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0939B" w14:textId="77777777" w:rsidR="00D45E44" w:rsidRPr="00A55D9D" w:rsidRDefault="00D45E44" w:rsidP="00D45E44">
      <w:pPr>
        <w:pStyle w:val="naisnod"/>
        <w:spacing w:before="0" w:after="0"/>
        <w:ind w:firstLine="720"/>
        <w:rPr>
          <w:sz w:val="28"/>
          <w:szCs w:val="28"/>
        </w:rPr>
      </w:pPr>
      <w:r w:rsidRPr="00A55D9D">
        <w:rPr>
          <w:sz w:val="28"/>
          <w:szCs w:val="28"/>
        </w:rPr>
        <w:t>Izziņa par atzinumos sniegtajiem iebildumiem</w:t>
      </w:r>
    </w:p>
    <w:p w14:paraId="094B93E1" w14:textId="77777777" w:rsidR="00D45E44" w:rsidRPr="00A55D9D" w:rsidRDefault="00D45E44" w:rsidP="00D45E44">
      <w:pPr>
        <w:pStyle w:val="naisf"/>
        <w:spacing w:before="0" w:after="0"/>
        <w:ind w:firstLine="720"/>
      </w:pPr>
    </w:p>
    <w:tbl>
      <w:tblPr>
        <w:tblW w:w="0" w:type="auto"/>
        <w:jc w:val="center"/>
        <w:tblLook w:val="00A0" w:firstRow="1" w:lastRow="0" w:firstColumn="1" w:lastColumn="0" w:noHBand="0" w:noVBand="0"/>
      </w:tblPr>
      <w:tblGrid>
        <w:gridCol w:w="13204"/>
      </w:tblGrid>
      <w:tr w:rsidR="00D45E44" w:rsidRPr="00A55D9D" w14:paraId="2224AB80" w14:textId="77777777" w:rsidTr="001D6E1B">
        <w:trPr>
          <w:jc w:val="center"/>
        </w:trPr>
        <w:tc>
          <w:tcPr>
            <w:tcW w:w="13204" w:type="dxa"/>
            <w:tcBorders>
              <w:bottom w:val="single" w:sz="6" w:space="0" w:color="000000"/>
            </w:tcBorders>
          </w:tcPr>
          <w:p w14:paraId="3374C7E0" w14:textId="1A56C95D" w:rsidR="00D45E44" w:rsidRPr="00A55D9D" w:rsidRDefault="00BB6EDF" w:rsidP="007F3A49">
            <w:pPr>
              <w:ind w:firstLine="720"/>
              <w:jc w:val="center"/>
            </w:pPr>
            <w:r w:rsidRPr="00BB6EDF">
              <w:rPr>
                <w:rFonts w:eastAsia="Calibri"/>
                <w:bCs/>
                <w:color w:val="000000" w:themeColor="text1"/>
                <w:sz w:val="28"/>
                <w:szCs w:val="28"/>
              </w:rPr>
              <w:t xml:space="preserve">Ministru kabineta noteikumu </w:t>
            </w:r>
            <w:r w:rsidR="007F3A49">
              <w:rPr>
                <w:rFonts w:eastAsia="Calibri"/>
                <w:bCs/>
                <w:color w:val="000000" w:themeColor="text1"/>
                <w:sz w:val="28"/>
                <w:szCs w:val="28"/>
              </w:rPr>
              <w:t>“</w:t>
            </w:r>
            <w:r w:rsidR="00760F00" w:rsidRPr="00760F00">
              <w:rPr>
                <w:rFonts w:eastAsia="Calibri"/>
                <w:bCs/>
                <w:color w:val="000000" w:themeColor="text1"/>
                <w:sz w:val="28"/>
                <w:szCs w:val="28"/>
              </w:rPr>
              <w:t>Grozījumi Ministru kabineta 2018. gada 17. jūlija noteikumos Nr. 418 “Emisijas kvotu izsolīšanas instrumenta finansēto projektu atklāta konkursa “Siltumnīcefekta gāzu emisiju samazināšana, attīstot enerģētiski pašpietiekamu ēku būvniecību” nolikums”</w:t>
            </w:r>
            <w:r w:rsidR="007F3A49" w:rsidRPr="00BB6EDF">
              <w:rPr>
                <w:rFonts w:eastAsia="Calibri"/>
                <w:bCs/>
                <w:color w:val="000000" w:themeColor="text1"/>
                <w:sz w:val="28"/>
                <w:szCs w:val="28"/>
              </w:rPr>
              <w:t xml:space="preserve"> projekt</w:t>
            </w:r>
            <w:r w:rsidR="007F3A49">
              <w:rPr>
                <w:rFonts w:eastAsia="Calibri"/>
                <w:bCs/>
                <w:color w:val="000000" w:themeColor="text1"/>
                <w:sz w:val="28"/>
                <w:szCs w:val="28"/>
              </w:rPr>
              <w:t>s</w:t>
            </w:r>
          </w:p>
        </w:tc>
      </w:tr>
    </w:tbl>
    <w:p w14:paraId="73D42025" w14:textId="77777777" w:rsidR="00D45E44" w:rsidRPr="00A55D9D" w:rsidRDefault="00D45E44" w:rsidP="00D45E44">
      <w:pPr>
        <w:pStyle w:val="naisc"/>
        <w:spacing w:before="0" w:after="0"/>
        <w:ind w:firstLine="1080"/>
      </w:pPr>
      <w:r w:rsidRPr="00A55D9D">
        <w:t>(dokumenta veids un nosaukums)</w:t>
      </w:r>
    </w:p>
    <w:p w14:paraId="2BE212B2" w14:textId="77777777" w:rsidR="00D45E44" w:rsidRPr="00A55D9D" w:rsidRDefault="00D45E44" w:rsidP="00D45E44">
      <w:pPr>
        <w:pStyle w:val="naisf"/>
        <w:spacing w:before="0" w:after="0"/>
        <w:ind w:firstLine="720"/>
      </w:pPr>
    </w:p>
    <w:p w14:paraId="1AF3F5D5" w14:textId="77777777" w:rsidR="00D45E44" w:rsidRPr="00A55D9D" w:rsidRDefault="00D45E44" w:rsidP="00D45E44">
      <w:pPr>
        <w:pStyle w:val="naisf"/>
        <w:spacing w:before="0" w:after="0"/>
        <w:ind w:firstLine="0"/>
        <w:jc w:val="center"/>
        <w:rPr>
          <w:b/>
        </w:rPr>
      </w:pPr>
      <w:r w:rsidRPr="00A55D9D">
        <w:rPr>
          <w:b/>
        </w:rPr>
        <w:t>I. Jautājumi, par kuriem saskaņošanā vienošanās nav panākta</w:t>
      </w:r>
    </w:p>
    <w:p w14:paraId="1C2AA494" w14:textId="77777777" w:rsidR="00D45E44" w:rsidRPr="00A55D9D" w:rsidRDefault="00D45E44" w:rsidP="00D45E44">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119"/>
        <w:gridCol w:w="3544"/>
        <w:gridCol w:w="3802"/>
        <w:gridCol w:w="2126"/>
        <w:gridCol w:w="1969"/>
      </w:tblGrid>
      <w:tr w:rsidR="00D45E44" w:rsidRPr="00A55D9D" w14:paraId="4A1F6D87" w14:textId="77777777" w:rsidTr="009023FA">
        <w:tc>
          <w:tcPr>
            <w:tcW w:w="708" w:type="dxa"/>
            <w:tcBorders>
              <w:top w:val="single" w:sz="6" w:space="0" w:color="000000"/>
              <w:left w:val="single" w:sz="6" w:space="0" w:color="000000"/>
              <w:bottom w:val="single" w:sz="6" w:space="0" w:color="000000"/>
              <w:right w:val="single" w:sz="6" w:space="0" w:color="000000"/>
            </w:tcBorders>
            <w:vAlign w:val="center"/>
          </w:tcPr>
          <w:p w14:paraId="2AF87E16" w14:textId="77777777" w:rsidR="00D45E44" w:rsidRPr="00A55D9D" w:rsidRDefault="00D45E44" w:rsidP="001D6E1B">
            <w:pPr>
              <w:pStyle w:val="naisc"/>
              <w:spacing w:before="0" w:after="0"/>
            </w:pPr>
            <w:r w:rsidRPr="00A55D9D">
              <w:t>Nr. p. k.</w:t>
            </w:r>
          </w:p>
        </w:tc>
        <w:tc>
          <w:tcPr>
            <w:tcW w:w="2119" w:type="dxa"/>
            <w:tcBorders>
              <w:top w:val="single" w:sz="6" w:space="0" w:color="000000"/>
              <w:left w:val="single" w:sz="6" w:space="0" w:color="000000"/>
              <w:bottom w:val="single" w:sz="6" w:space="0" w:color="000000"/>
              <w:right w:val="single" w:sz="6" w:space="0" w:color="000000"/>
            </w:tcBorders>
            <w:vAlign w:val="center"/>
          </w:tcPr>
          <w:p w14:paraId="1A09CDF0" w14:textId="77777777" w:rsidR="00D45E44" w:rsidRPr="00A55D9D" w:rsidRDefault="00D45E44" w:rsidP="001D6E1B">
            <w:pPr>
              <w:pStyle w:val="naisc"/>
              <w:spacing w:before="0" w:after="0"/>
              <w:ind w:firstLine="12"/>
            </w:pPr>
            <w:r w:rsidRPr="00A55D9D">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vAlign w:val="center"/>
          </w:tcPr>
          <w:p w14:paraId="052E2FA8" w14:textId="77777777" w:rsidR="00D45E44" w:rsidRPr="00A55D9D" w:rsidRDefault="00D45E44" w:rsidP="001D6E1B">
            <w:pPr>
              <w:pStyle w:val="naisc"/>
              <w:spacing w:before="0" w:after="0"/>
              <w:ind w:right="3"/>
            </w:pPr>
            <w:r w:rsidRPr="00A55D9D">
              <w:t>Atzinumā norādītais ministrijas (citas institūcijas) iebildums, kā arī saskaņošanā papildus izteiktais iebildums par projekta konkrēto punktu (pantu)</w:t>
            </w:r>
          </w:p>
        </w:tc>
        <w:tc>
          <w:tcPr>
            <w:tcW w:w="3802" w:type="dxa"/>
            <w:tcBorders>
              <w:top w:val="single" w:sz="6" w:space="0" w:color="000000"/>
              <w:left w:val="single" w:sz="6" w:space="0" w:color="000000"/>
              <w:bottom w:val="single" w:sz="6" w:space="0" w:color="000000"/>
              <w:right w:val="single" w:sz="6" w:space="0" w:color="000000"/>
            </w:tcBorders>
            <w:vAlign w:val="center"/>
          </w:tcPr>
          <w:p w14:paraId="57E6EDBD" w14:textId="77777777" w:rsidR="00D45E44" w:rsidRPr="00A55D9D" w:rsidRDefault="00D45E44" w:rsidP="001D6E1B">
            <w:pPr>
              <w:pStyle w:val="naisc"/>
              <w:spacing w:before="0" w:after="0"/>
              <w:ind w:firstLine="21"/>
            </w:pPr>
            <w:r w:rsidRPr="00A55D9D">
              <w:t>Atbildīgās ministrijas pamatojums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14:paraId="513B3DDB" w14:textId="77777777" w:rsidR="00D45E44" w:rsidRPr="00A55D9D" w:rsidRDefault="00D45E44" w:rsidP="001D6E1B">
            <w:pPr>
              <w:jc w:val="center"/>
            </w:pPr>
            <w:r w:rsidRPr="00A55D9D">
              <w:t>Atzinuma sniedzēja uzturētais iebildums, ja tas atšķiras no atzinumā norādītā iebilduma pamatojuma</w:t>
            </w:r>
          </w:p>
        </w:tc>
        <w:tc>
          <w:tcPr>
            <w:tcW w:w="1969" w:type="dxa"/>
            <w:tcBorders>
              <w:top w:val="single" w:sz="4" w:space="0" w:color="auto"/>
              <w:left w:val="single" w:sz="4" w:space="0" w:color="auto"/>
              <w:bottom w:val="single" w:sz="4" w:space="0" w:color="auto"/>
            </w:tcBorders>
            <w:vAlign w:val="center"/>
          </w:tcPr>
          <w:p w14:paraId="68C0DE5C" w14:textId="77777777" w:rsidR="00D45E44" w:rsidRPr="00A55D9D" w:rsidRDefault="00D45E44" w:rsidP="001D6E1B">
            <w:pPr>
              <w:jc w:val="center"/>
            </w:pPr>
            <w:r w:rsidRPr="00A55D9D">
              <w:t>Projekta attiecīgā punkta (panta) galīgā redakcija</w:t>
            </w:r>
          </w:p>
        </w:tc>
      </w:tr>
      <w:tr w:rsidR="000E3959" w:rsidRPr="00A55D9D" w14:paraId="4A863593" w14:textId="77777777" w:rsidTr="009023FA">
        <w:tc>
          <w:tcPr>
            <w:tcW w:w="708" w:type="dxa"/>
            <w:tcBorders>
              <w:top w:val="single" w:sz="6" w:space="0" w:color="000000"/>
              <w:left w:val="single" w:sz="6" w:space="0" w:color="000000"/>
              <w:bottom w:val="single" w:sz="6" w:space="0" w:color="000000"/>
              <w:right w:val="single" w:sz="6" w:space="0" w:color="000000"/>
            </w:tcBorders>
          </w:tcPr>
          <w:p w14:paraId="32B9A26B" w14:textId="77777777" w:rsidR="00D45E44" w:rsidRPr="00A55D9D" w:rsidRDefault="00D45E44" w:rsidP="001D6E1B">
            <w:pPr>
              <w:pStyle w:val="naisc"/>
              <w:spacing w:before="0" w:after="0"/>
            </w:pPr>
            <w:r w:rsidRPr="00A55D9D">
              <w:t>1</w:t>
            </w:r>
          </w:p>
        </w:tc>
        <w:tc>
          <w:tcPr>
            <w:tcW w:w="2119" w:type="dxa"/>
            <w:tcBorders>
              <w:top w:val="single" w:sz="6" w:space="0" w:color="000000"/>
              <w:left w:val="single" w:sz="6" w:space="0" w:color="000000"/>
              <w:bottom w:val="single" w:sz="6" w:space="0" w:color="000000"/>
              <w:right w:val="single" w:sz="6" w:space="0" w:color="000000"/>
            </w:tcBorders>
          </w:tcPr>
          <w:p w14:paraId="1698BC90" w14:textId="77777777" w:rsidR="00D45E44" w:rsidRPr="00A55D9D" w:rsidRDefault="00D45E44" w:rsidP="001D6E1B">
            <w:pPr>
              <w:pStyle w:val="naisc"/>
              <w:spacing w:before="0" w:after="0"/>
              <w:ind w:firstLine="720"/>
            </w:pPr>
            <w:r w:rsidRPr="00A55D9D">
              <w:t>2</w:t>
            </w:r>
          </w:p>
        </w:tc>
        <w:tc>
          <w:tcPr>
            <w:tcW w:w="3544" w:type="dxa"/>
            <w:tcBorders>
              <w:top w:val="single" w:sz="6" w:space="0" w:color="000000"/>
              <w:left w:val="single" w:sz="6" w:space="0" w:color="000000"/>
              <w:bottom w:val="single" w:sz="6" w:space="0" w:color="000000"/>
              <w:right w:val="single" w:sz="6" w:space="0" w:color="000000"/>
            </w:tcBorders>
          </w:tcPr>
          <w:p w14:paraId="7C86A40B" w14:textId="77777777" w:rsidR="00D45E44" w:rsidRPr="00A55D9D" w:rsidRDefault="00D45E44" w:rsidP="001D6E1B">
            <w:pPr>
              <w:pStyle w:val="naisc"/>
              <w:spacing w:before="0" w:after="0"/>
              <w:ind w:firstLine="720"/>
            </w:pPr>
            <w:r w:rsidRPr="00A55D9D">
              <w:t>3</w:t>
            </w:r>
          </w:p>
        </w:tc>
        <w:tc>
          <w:tcPr>
            <w:tcW w:w="3802" w:type="dxa"/>
            <w:tcBorders>
              <w:top w:val="single" w:sz="6" w:space="0" w:color="000000"/>
              <w:left w:val="single" w:sz="6" w:space="0" w:color="000000"/>
              <w:bottom w:val="single" w:sz="6" w:space="0" w:color="000000"/>
              <w:right w:val="single" w:sz="6" w:space="0" w:color="000000"/>
            </w:tcBorders>
          </w:tcPr>
          <w:p w14:paraId="545041FD" w14:textId="77777777" w:rsidR="00D45E44" w:rsidRPr="00A55D9D" w:rsidRDefault="00D45E44" w:rsidP="001D6E1B">
            <w:pPr>
              <w:pStyle w:val="naisc"/>
              <w:spacing w:before="0" w:after="0"/>
              <w:ind w:firstLine="720"/>
            </w:pPr>
            <w:r w:rsidRPr="00A55D9D">
              <w:t>4</w:t>
            </w:r>
          </w:p>
        </w:tc>
        <w:tc>
          <w:tcPr>
            <w:tcW w:w="2126" w:type="dxa"/>
            <w:tcBorders>
              <w:top w:val="single" w:sz="4" w:space="0" w:color="auto"/>
              <w:left w:val="single" w:sz="4" w:space="0" w:color="auto"/>
              <w:bottom w:val="single" w:sz="4" w:space="0" w:color="auto"/>
              <w:right w:val="single" w:sz="4" w:space="0" w:color="auto"/>
            </w:tcBorders>
          </w:tcPr>
          <w:p w14:paraId="26007AD3" w14:textId="77777777" w:rsidR="00D45E44" w:rsidRPr="00A55D9D" w:rsidRDefault="00D45E44" w:rsidP="001D6E1B">
            <w:pPr>
              <w:jc w:val="center"/>
            </w:pPr>
            <w:r w:rsidRPr="00A55D9D">
              <w:t>5</w:t>
            </w:r>
          </w:p>
        </w:tc>
        <w:tc>
          <w:tcPr>
            <w:tcW w:w="1969" w:type="dxa"/>
            <w:tcBorders>
              <w:top w:val="single" w:sz="4" w:space="0" w:color="auto"/>
              <w:left w:val="single" w:sz="4" w:space="0" w:color="auto"/>
              <w:bottom w:val="single" w:sz="4" w:space="0" w:color="auto"/>
            </w:tcBorders>
          </w:tcPr>
          <w:p w14:paraId="7B74CA6A" w14:textId="77777777" w:rsidR="00D45E44" w:rsidRPr="00A55D9D" w:rsidRDefault="00D45E44" w:rsidP="001D6E1B">
            <w:pPr>
              <w:jc w:val="center"/>
            </w:pPr>
            <w:r w:rsidRPr="00A55D9D">
              <w:t>6</w:t>
            </w:r>
          </w:p>
        </w:tc>
      </w:tr>
      <w:tr w:rsidR="00C41CAB" w:rsidRPr="00A55D9D" w14:paraId="27DE4806" w14:textId="77777777" w:rsidTr="009023FA">
        <w:tc>
          <w:tcPr>
            <w:tcW w:w="708" w:type="dxa"/>
            <w:tcBorders>
              <w:top w:val="single" w:sz="6" w:space="0" w:color="000000"/>
              <w:left w:val="single" w:sz="6" w:space="0" w:color="000000"/>
              <w:bottom w:val="single" w:sz="6" w:space="0" w:color="000000"/>
              <w:right w:val="single" w:sz="6" w:space="0" w:color="000000"/>
            </w:tcBorders>
          </w:tcPr>
          <w:p w14:paraId="19C225FE" w14:textId="1A7B5127" w:rsidR="00C41CAB" w:rsidRPr="00A55D9D" w:rsidRDefault="00C41CAB" w:rsidP="00C41CAB">
            <w:pPr>
              <w:pStyle w:val="naisc"/>
              <w:spacing w:before="0" w:after="0"/>
              <w:jc w:val="left"/>
            </w:pPr>
          </w:p>
        </w:tc>
        <w:tc>
          <w:tcPr>
            <w:tcW w:w="2119" w:type="dxa"/>
            <w:tcBorders>
              <w:top w:val="single" w:sz="6" w:space="0" w:color="000000"/>
              <w:left w:val="single" w:sz="6" w:space="0" w:color="000000"/>
              <w:bottom w:val="single" w:sz="6" w:space="0" w:color="000000"/>
              <w:right w:val="single" w:sz="6" w:space="0" w:color="000000"/>
            </w:tcBorders>
          </w:tcPr>
          <w:p w14:paraId="0BCDC6F9" w14:textId="6CDDF7E1" w:rsidR="00C41CAB" w:rsidRPr="00A55D9D" w:rsidRDefault="00C41CAB" w:rsidP="00B23DE4">
            <w:pPr>
              <w:jc w:val="both"/>
            </w:pPr>
          </w:p>
        </w:tc>
        <w:tc>
          <w:tcPr>
            <w:tcW w:w="3544" w:type="dxa"/>
            <w:tcBorders>
              <w:top w:val="single" w:sz="6" w:space="0" w:color="000000"/>
              <w:left w:val="single" w:sz="6" w:space="0" w:color="000000"/>
              <w:bottom w:val="single" w:sz="6" w:space="0" w:color="000000"/>
              <w:right w:val="single" w:sz="6" w:space="0" w:color="000000"/>
            </w:tcBorders>
          </w:tcPr>
          <w:p w14:paraId="2E8BE417" w14:textId="4EBEFCD5" w:rsidR="00A04582" w:rsidRPr="00760F00" w:rsidRDefault="00A04582" w:rsidP="00760F00">
            <w:pPr>
              <w:ind w:firstLine="1021"/>
              <w:jc w:val="both"/>
              <w:rPr>
                <w:sz w:val="28"/>
                <w:szCs w:val="28"/>
              </w:rPr>
            </w:pPr>
          </w:p>
        </w:tc>
        <w:tc>
          <w:tcPr>
            <w:tcW w:w="3802" w:type="dxa"/>
            <w:tcBorders>
              <w:top w:val="single" w:sz="6" w:space="0" w:color="000000"/>
              <w:left w:val="single" w:sz="6" w:space="0" w:color="000000"/>
              <w:bottom w:val="single" w:sz="6" w:space="0" w:color="000000"/>
              <w:right w:val="single" w:sz="6" w:space="0" w:color="000000"/>
            </w:tcBorders>
          </w:tcPr>
          <w:p w14:paraId="47BA00F3" w14:textId="52B46044" w:rsidR="00127393" w:rsidRPr="00A55D9D" w:rsidRDefault="00127393" w:rsidP="00F935F0">
            <w:pPr>
              <w:spacing w:before="120"/>
              <w:jc w:val="both"/>
            </w:pPr>
          </w:p>
        </w:tc>
        <w:tc>
          <w:tcPr>
            <w:tcW w:w="2126" w:type="dxa"/>
            <w:tcBorders>
              <w:top w:val="single" w:sz="4" w:space="0" w:color="auto"/>
              <w:left w:val="single" w:sz="4" w:space="0" w:color="auto"/>
              <w:bottom w:val="single" w:sz="4" w:space="0" w:color="auto"/>
              <w:right w:val="single" w:sz="4" w:space="0" w:color="auto"/>
            </w:tcBorders>
          </w:tcPr>
          <w:p w14:paraId="45C345C4" w14:textId="77777777" w:rsidR="00C41CAB" w:rsidRPr="00A55D9D" w:rsidRDefault="00C41CAB" w:rsidP="00C41CAB">
            <w:pPr>
              <w:jc w:val="both"/>
            </w:pPr>
          </w:p>
        </w:tc>
        <w:tc>
          <w:tcPr>
            <w:tcW w:w="1969" w:type="dxa"/>
            <w:tcBorders>
              <w:top w:val="single" w:sz="4" w:space="0" w:color="auto"/>
              <w:left w:val="single" w:sz="4" w:space="0" w:color="auto"/>
              <w:bottom w:val="single" w:sz="4" w:space="0" w:color="auto"/>
              <w:right w:val="single" w:sz="4" w:space="0" w:color="auto"/>
            </w:tcBorders>
          </w:tcPr>
          <w:p w14:paraId="6F5841B9" w14:textId="1E512641" w:rsidR="00C41CAB" w:rsidRPr="00A55D9D" w:rsidRDefault="00C41CAB" w:rsidP="00C41CAB">
            <w:pPr>
              <w:spacing w:before="120" w:after="120"/>
              <w:jc w:val="both"/>
              <w:rPr>
                <w:bCs/>
              </w:rPr>
            </w:pPr>
          </w:p>
        </w:tc>
      </w:tr>
    </w:tbl>
    <w:p w14:paraId="157DE4BA" w14:textId="4B9A915A" w:rsidR="00D45E44" w:rsidRDefault="00D45E44" w:rsidP="00D45E44">
      <w:pPr>
        <w:pStyle w:val="naisf"/>
        <w:spacing w:before="0" w:after="0"/>
        <w:ind w:firstLine="0"/>
      </w:pPr>
    </w:p>
    <w:p w14:paraId="6A9C369C" w14:textId="77777777" w:rsidR="00D45E44" w:rsidRPr="003D4B0F" w:rsidRDefault="00D45E44" w:rsidP="00D45E44">
      <w:pPr>
        <w:pStyle w:val="naisf"/>
        <w:spacing w:before="0" w:after="0"/>
        <w:ind w:firstLine="0"/>
        <w:rPr>
          <w:b/>
        </w:rPr>
      </w:pPr>
      <w:r w:rsidRPr="003D4B0F">
        <w:rPr>
          <w:b/>
        </w:rPr>
        <w:t>Informācija par starpministriju (starpinstitūciju) sanāksmi vai elektronisko saskaņošanu</w:t>
      </w:r>
    </w:p>
    <w:p w14:paraId="05E7E2C8" w14:textId="77777777" w:rsidR="00D45E44" w:rsidRPr="003D4B0F" w:rsidRDefault="00D45E44" w:rsidP="00D45E44">
      <w:pPr>
        <w:pStyle w:val="naisf"/>
        <w:spacing w:before="0" w:after="0"/>
        <w:ind w:firstLine="0"/>
        <w:rPr>
          <w:b/>
        </w:rPr>
      </w:pPr>
    </w:p>
    <w:tbl>
      <w:tblPr>
        <w:tblW w:w="12582" w:type="dxa"/>
        <w:tblLook w:val="00A0" w:firstRow="1" w:lastRow="0" w:firstColumn="1" w:lastColumn="0" w:noHBand="0" w:noVBand="0"/>
      </w:tblPr>
      <w:tblGrid>
        <w:gridCol w:w="6345"/>
        <w:gridCol w:w="6237"/>
      </w:tblGrid>
      <w:tr w:rsidR="00D45E44" w:rsidRPr="003D4B0F" w14:paraId="60AC0833" w14:textId="77777777" w:rsidTr="001D6E1B">
        <w:tc>
          <w:tcPr>
            <w:tcW w:w="6345" w:type="dxa"/>
            <w:shd w:val="clear" w:color="auto" w:fill="auto"/>
          </w:tcPr>
          <w:p w14:paraId="2BF3B98C" w14:textId="77777777" w:rsidR="00D45E44" w:rsidRPr="003D4B0F" w:rsidRDefault="00D45E44" w:rsidP="001D6E1B">
            <w:pPr>
              <w:pStyle w:val="naisf"/>
              <w:spacing w:before="0" w:after="0"/>
              <w:ind w:firstLine="0"/>
            </w:pPr>
            <w:r w:rsidRPr="003D4B0F">
              <w:t xml:space="preserve">Datums: </w:t>
            </w:r>
          </w:p>
        </w:tc>
        <w:tc>
          <w:tcPr>
            <w:tcW w:w="6237" w:type="dxa"/>
            <w:tcBorders>
              <w:bottom w:val="single" w:sz="4" w:space="0" w:color="auto"/>
            </w:tcBorders>
            <w:shd w:val="clear" w:color="auto" w:fill="auto"/>
          </w:tcPr>
          <w:p w14:paraId="70AAB9EF" w14:textId="798C2F40" w:rsidR="00D45E44" w:rsidRPr="003D4B0F" w:rsidRDefault="00D45E44" w:rsidP="00A04582">
            <w:pPr>
              <w:pStyle w:val="NormalWeb"/>
              <w:spacing w:before="0" w:beforeAutospacing="0" w:after="0" w:afterAutospacing="0"/>
            </w:pPr>
          </w:p>
        </w:tc>
      </w:tr>
      <w:tr w:rsidR="00D45E44" w:rsidRPr="003D4B0F" w14:paraId="49A8E79E" w14:textId="77777777" w:rsidTr="001D6E1B">
        <w:tc>
          <w:tcPr>
            <w:tcW w:w="6345" w:type="dxa"/>
          </w:tcPr>
          <w:p w14:paraId="42C36877" w14:textId="77777777" w:rsidR="00D45E44" w:rsidRPr="003D4B0F" w:rsidRDefault="00D45E44" w:rsidP="001D6E1B">
            <w:pPr>
              <w:pStyle w:val="naisf"/>
              <w:spacing w:before="0" w:after="0"/>
              <w:ind w:firstLine="0"/>
            </w:pPr>
          </w:p>
        </w:tc>
        <w:tc>
          <w:tcPr>
            <w:tcW w:w="6237" w:type="dxa"/>
            <w:tcBorders>
              <w:top w:val="single" w:sz="4" w:space="0" w:color="auto"/>
            </w:tcBorders>
          </w:tcPr>
          <w:p w14:paraId="5D8B7233" w14:textId="77777777" w:rsidR="00D45E44" w:rsidRPr="003D4B0F" w:rsidRDefault="00D45E44" w:rsidP="001D6E1B">
            <w:pPr>
              <w:pStyle w:val="NormalWeb"/>
              <w:spacing w:before="0" w:beforeAutospacing="0" w:after="0" w:afterAutospacing="0"/>
            </w:pPr>
          </w:p>
        </w:tc>
      </w:tr>
      <w:tr w:rsidR="00D45E44" w:rsidRPr="003D4B0F" w14:paraId="28B71EDF" w14:textId="77777777" w:rsidTr="001D6E1B">
        <w:tc>
          <w:tcPr>
            <w:tcW w:w="6345" w:type="dxa"/>
          </w:tcPr>
          <w:p w14:paraId="6FCA711C" w14:textId="77777777" w:rsidR="00D45E44" w:rsidRPr="003D4B0F" w:rsidRDefault="00D45E44" w:rsidP="001D6E1B">
            <w:pPr>
              <w:pStyle w:val="naiskr"/>
              <w:spacing w:before="0" w:after="0"/>
              <w:jc w:val="both"/>
            </w:pPr>
            <w:r w:rsidRPr="003D4B0F">
              <w:t>Saskaņošanas dalībnieki un datums, kad saņemts atzinums</w:t>
            </w:r>
          </w:p>
        </w:tc>
        <w:tc>
          <w:tcPr>
            <w:tcW w:w="6237" w:type="dxa"/>
            <w:tcBorders>
              <w:bottom w:val="single" w:sz="4" w:space="0" w:color="auto"/>
            </w:tcBorders>
          </w:tcPr>
          <w:p w14:paraId="0BEC2E10" w14:textId="0AF191E2" w:rsidR="005F3C33" w:rsidRDefault="005F3C33" w:rsidP="005F3C33">
            <w:r w:rsidRPr="003D4B0F">
              <w:t xml:space="preserve">Latvijas </w:t>
            </w:r>
            <w:r w:rsidR="003330BB">
              <w:t>P</w:t>
            </w:r>
            <w:r w:rsidRPr="003D4B0F">
              <w:t>ašvaldību savienība (</w:t>
            </w:r>
            <w:r>
              <w:t>13</w:t>
            </w:r>
            <w:r w:rsidRPr="003D4B0F">
              <w:t>.1</w:t>
            </w:r>
            <w:r>
              <w:t>1</w:t>
            </w:r>
            <w:r w:rsidRPr="003D4B0F">
              <w:t>.2019</w:t>
            </w:r>
            <w:r w:rsidR="0064089C">
              <w:t>; 30.04.2020</w:t>
            </w:r>
            <w:r w:rsidRPr="003D4B0F">
              <w:t>)</w:t>
            </w:r>
            <w:r w:rsidRPr="008B36F7">
              <w:t xml:space="preserve"> </w:t>
            </w:r>
          </w:p>
          <w:p w14:paraId="0AC06AC6" w14:textId="2B21E418" w:rsidR="008B36F7" w:rsidRPr="008B36F7" w:rsidRDefault="008B36F7" w:rsidP="008B36F7">
            <w:r w:rsidRPr="008B36F7">
              <w:t>Finanšu ministrija (</w:t>
            </w:r>
            <w:r w:rsidR="005F3C33">
              <w:t>14</w:t>
            </w:r>
            <w:r w:rsidRPr="008B36F7">
              <w:t>.</w:t>
            </w:r>
            <w:r>
              <w:t>1</w:t>
            </w:r>
            <w:r w:rsidR="005F3C33">
              <w:t>1</w:t>
            </w:r>
            <w:r w:rsidRPr="008B36F7">
              <w:t>.2019</w:t>
            </w:r>
            <w:r w:rsidR="003330BB">
              <w:t>;</w:t>
            </w:r>
            <w:r w:rsidR="006008C1">
              <w:t xml:space="preserve"> 22.11.2019</w:t>
            </w:r>
            <w:r w:rsidR="003330BB">
              <w:t>; 06.05.2020</w:t>
            </w:r>
            <w:r w:rsidRPr="008B36F7">
              <w:t>)</w:t>
            </w:r>
          </w:p>
          <w:p w14:paraId="675FC5CA" w14:textId="4A7D349B" w:rsidR="00401DAD" w:rsidRPr="003D4B0F" w:rsidRDefault="008B36F7" w:rsidP="00401DAD">
            <w:r w:rsidRPr="008B36F7">
              <w:t>Tieslietu ministrija (</w:t>
            </w:r>
            <w:r>
              <w:t>14</w:t>
            </w:r>
            <w:r w:rsidRPr="008B36F7">
              <w:t>.1</w:t>
            </w:r>
            <w:r>
              <w:t>1</w:t>
            </w:r>
            <w:r w:rsidRPr="008B36F7">
              <w:t>.2019</w:t>
            </w:r>
            <w:r w:rsidR="003330BB">
              <w:t>; 06.05.2020</w:t>
            </w:r>
            <w:r w:rsidRPr="008B36F7">
              <w:t>)</w:t>
            </w:r>
          </w:p>
          <w:p w14:paraId="446241C6" w14:textId="6C52B096" w:rsidR="00D45E44" w:rsidRDefault="00D45E44" w:rsidP="001D6E1B">
            <w:r w:rsidRPr="00E16813">
              <w:t>Ekonomikas ministrija (</w:t>
            </w:r>
            <w:r w:rsidR="00E16813" w:rsidRPr="00E16813">
              <w:t>1</w:t>
            </w:r>
            <w:r w:rsidR="006008C1">
              <w:t>5</w:t>
            </w:r>
            <w:r w:rsidR="00494DFF" w:rsidRPr="00E16813">
              <w:t>.</w:t>
            </w:r>
            <w:r w:rsidR="00A04582" w:rsidRPr="00E16813">
              <w:t>1</w:t>
            </w:r>
            <w:r w:rsidR="00E16813" w:rsidRPr="00E16813">
              <w:t>1</w:t>
            </w:r>
            <w:r w:rsidR="00494DFF" w:rsidRPr="00E16813">
              <w:t>.2019</w:t>
            </w:r>
            <w:r w:rsidR="003330BB">
              <w:t>; 05.05.2020</w:t>
            </w:r>
            <w:r w:rsidRPr="00E16813">
              <w:t>)</w:t>
            </w:r>
          </w:p>
          <w:p w14:paraId="7958A283" w14:textId="49E42CB6" w:rsidR="006008C1" w:rsidRPr="00E16813" w:rsidRDefault="006008C1" w:rsidP="003330BB">
            <w:pPr>
              <w:ind w:right="-480"/>
            </w:pPr>
            <w:r>
              <w:t>Latvijas Brīvo arodbiedrību savienība (14.11.2019</w:t>
            </w:r>
            <w:r w:rsidR="003330BB">
              <w:t>; 28.04.2020</w:t>
            </w:r>
            <w:r>
              <w:t>)</w:t>
            </w:r>
          </w:p>
          <w:p w14:paraId="71C83571" w14:textId="31B03970" w:rsidR="00A04582" w:rsidRPr="003D4B0F" w:rsidRDefault="00A04582" w:rsidP="00A04582"/>
        </w:tc>
      </w:tr>
    </w:tbl>
    <w:p w14:paraId="14281D5E" w14:textId="77777777" w:rsidR="00D45E44" w:rsidRPr="003D4B0F" w:rsidRDefault="00D45E44" w:rsidP="00D45E44">
      <w:bookmarkStart w:id="0" w:name="_GoBack"/>
      <w:bookmarkEnd w:id="0"/>
    </w:p>
    <w:tbl>
      <w:tblPr>
        <w:tblW w:w="13136" w:type="dxa"/>
        <w:tblLook w:val="00A0" w:firstRow="1" w:lastRow="0" w:firstColumn="1" w:lastColumn="0" w:noHBand="0" w:noVBand="0"/>
      </w:tblPr>
      <w:tblGrid>
        <w:gridCol w:w="6642"/>
        <w:gridCol w:w="6494"/>
      </w:tblGrid>
      <w:tr w:rsidR="00D45E44" w:rsidRPr="003D4B0F" w14:paraId="3AADB408" w14:textId="77777777" w:rsidTr="00551B1F">
        <w:trPr>
          <w:trHeight w:val="710"/>
        </w:trPr>
        <w:tc>
          <w:tcPr>
            <w:tcW w:w="6642" w:type="dxa"/>
          </w:tcPr>
          <w:p w14:paraId="61FB5625" w14:textId="77777777" w:rsidR="00D45E44" w:rsidRPr="003D4B0F" w:rsidRDefault="00D45E44" w:rsidP="001D6E1B">
            <w:pPr>
              <w:pStyle w:val="naiskr"/>
              <w:spacing w:before="0" w:after="0"/>
            </w:pPr>
            <w:r w:rsidRPr="003D4B0F">
              <w:lastRenderedPageBreak/>
              <w:t>Saskaņošanas dalībnieki izskatīja šādu ministriju (citu institūciju) iebildumus</w:t>
            </w:r>
          </w:p>
        </w:tc>
        <w:tc>
          <w:tcPr>
            <w:tcW w:w="6494" w:type="dxa"/>
            <w:tcBorders>
              <w:bottom w:val="single" w:sz="4" w:space="0" w:color="auto"/>
            </w:tcBorders>
          </w:tcPr>
          <w:p w14:paraId="1848C4AC" w14:textId="51C74757" w:rsidR="00D45E44" w:rsidRPr="003D4B0F" w:rsidRDefault="00D45E44" w:rsidP="00551B1F"/>
        </w:tc>
      </w:tr>
      <w:tr w:rsidR="00D45E44" w:rsidRPr="003D4B0F" w14:paraId="206131D5" w14:textId="77777777" w:rsidTr="00551B1F">
        <w:trPr>
          <w:trHeight w:val="1100"/>
        </w:trPr>
        <w:tc>
          <w:tcPr>
            <w:tcW w:w="6642" w:type="dxa"/>
          </w:tcPr>
          <w:p w14:paraId="57F4035A" w14:textId="77777777" w:rsidR="00551B1F" w:rsidRPr="003D4B0F" w:rsidRDefault="00551B1F" w:rsidP="001D6E1B">
            <w:pPr>
              <w:pStyle w:val="naiskr"/>
              <w:spacing w:before="0" w:after="0"/>
            </w:pPr>
          </w:p>
          <w:p w14:paraId="34E05D91" w14:textId="77777777" w:rsidR="00D45E44" w:rsidRPr="003D4B0F" w:rsidRDefault="00D45E44" w:rsidP="001D6E1B">
            <w:pPr>
              <w:pStyle w:val="naiskr"/>
              <w:spacing w:before="0" w:after="0"/>
            </w:pPr>
            <w:r w:rsidRPr="003D4B0F">
              <w:t>Ministrijas (citas institūcijas), kuras nav ieradušās uz sanāksmi vai kuras nav atbildējušas uz uzaicinājumu piedalīties elektroniskajā saskaņošanā</w:t>
            </w:r>
          </w:p>
        </w:tc>
        <w:tc>
          <w:tcPr>
            <w:tcW w:w="6494" w:type="dxa"/>
            <w:tcBorders>
              <w:top w:val="single" w:sz="4" w:space="0" w:color="auto"/>
              <w:bottom w:val="single" w:sz="4" w:space="0" w:color="auto"/>
            </w:tcBorders>
          </w:tcPr>
          <w:p w14:paraId="7B24E57A" w14:textId="77777777" w:rsidR="00D45E44" w:rsidRPr="003D4B0F" w:rsidRDefault="00D45E44" w:rsidP="001D6E1B">
            <w:pPr>
              <w:pStyle w:val="naiskr"/>
              <w:spacing w:before="0" w:after="0"/>
              <w:ind w:firstLine="17"/>
            </w:pPr>
          </w:p>
          <w:p w14:paraId="1E72422B" w14:textId="1913AF2F" w:rsidR="00741670" w:rsidRPr="006008C1" w:rsidRDefault="006008C1" w:rsidP="001D6E1B">
            <w:pPr>
              <w:pStyle w:val="naiskr"/>
              <w:spacing w:before="0" w:after="0"/>
              <w:ind w:firstLine="17"/>
            </w:pPr>
            <w:r w:rsidRPr="006008C1">
              <w:rPr>
                <w:shd w:val="clear" w:color="auto" w:fill="FFFFFF"/>
              </w:rPr>
              <w:t>Latvijas Tirdzniecības un rūpniecības kamera</w:t>
            </w:r>
          </w:p>
        </w:tc>
      </w:tr>
    </w:tbl>
    <w:p w14:paraId="54C80385" w14:textId="77777777" w:rsidR="005334B9" w:rsidRDefault="005334B9" w:rsidP="00D45E44">
      <w:pPr>
        <w:pStyle w:val="naisf"/>
        <w:spacing w:before="0" w:after="0"/>
        <w:ind w:firstLine="0"/>
        <w:jc w:val="center"/>
        <w:rPr>
          <w:b/>
        </w:rPr>
      </w:pPr>
    </w:p>
    <w:p w14:paraId="71712232" w14:textId="77777777" w:rsidR="005334B9" w:rsidRDefault="005334B9" w:rsidP="00D45E44">
      <w:pPr>
        <w:pStyle w:val="naisf"/>
        <w:spacing w:before="0" w:after="0"/>
        <w:ind w:firstLine="0"/>
        <w:jc w:val="center"/>
        <w:rPr>
          <w:b/>
        </w:rPr>
      </w:pPr>
    </w:p>
    <w:p w14:paraId="59F771C2" w14:textId="63C26A52" w:rsidR="00D45E44" w:rsidRPr="003D4B0F" w:rsidRDefault="00D45E44" w:rsidP="00D45E44">
      <w:pPr>
        <w:pStyle w:val="naisf"/>
        <w:spacing w:before="0" w:after="0"/>
        <w:ind w:firstLine="0"/>
        <w:jc w:val="center"/>
        <w:rPr>
          <w:b/>
        </w:rPr>
      </w:pPr>
      <w:r w:rsidRPr="003D4B0F">
        <w:rPr>
          <w:b/>
        </w:rPr>
        <w:t>II. Jautājumi, par kuriem saskaņošanā vienošanās ir panākta</w:t>
      </w:r>
    </w:p>
    <w:p w14:paraId="554F503B" w14:textId="77777777" w:rsidR="00D45E44" w:rsidRPr="003D4B0F" w:rsidRDefault="00D45E44" w:rsidP="00D45E44">
      <w:pPr>
        <w:pStyle w:val="naisf"/>
        <w:spacing w:before="0" w:after="0"/>
        <w:ind w:firstLine="720"/>
      </w:pPr>
    </w:p>
    <w:tbl>
      <w:tblPr>
        <w:tblW w:w="145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152"/>
        <w:gridCol w:w="5103"/>
        <w:gridCol w:w="3827"/>
        <w:gridCol w:w="2952"/>
      </w:tblGrid>
      <w:tr w:rsidR="00D45E44" w:rsidRPr="003D4B0F" w14:paraId="6F087869" w14:textId="77777777" w:rsidTr="0002549B">
        <w:tc>
          <w:tcPr>
            <w:tcW w:w="534" w:type="dxa"/>
            <w:tcBorders>
              <w:top w:val="single" w:sz="6" w:space="0" w:color="000000"/>
              <w:left w:val="single" w:sz="6" w:space="0" w:color="000000"/>
              <w:bottom w:val="single" w:sz="6" w:space="0" w:color="000000"/>
              <w:right w:val="single" w:sz="6" w:space="0" w:color="000000"/>
            </w:tcBorders>
          </w:tcPr>
          <w:p w14:paraId="5EC5D49A" w14:textId="77777777" w:rsidR="00D45E44" w:rsidRPr="003D4B0F" w:rsidRDefault="00D45E44" w:rsidP="00672E77">
            <w:pPr>
              <w:pStyle w:val="naisc"/>
              <w:spacing w:before="0" w:after="0"/>
              <w:jc w:val="left"/>
            </w:pPr>
            <w:r w:rsidRPr="003D4B0F">
              <w:t>Nr. p. k.</w:t>
            </w:r>
          </w:p>
        </w:tc>
        <w:tc>
          <w:tcPr>
            <w:tcW w:w="2152" w:type="dxa"/>
            <w:tcBorders>
              <w:top w:val="single" w:sz="6" w:space="0" w:color="000000"/>
              <w:left w:val="single" w:sz="6" w:space="0" w:color="000000"/>
              <w:bottom w:val="single" w:sz="6" w:space="0" w:color="000000"/>
              <w:right w:val="single" w:sz="6" w:space="0" w:color="000000"/>
            </w:tcBorders>
            <w:vAlign w:val="center"/>
          </w:tcPr>
          <w:p w14:paraId="667A0ABC" w14:textId="77777777" w:rsidR="00D45E44" w:rsidRPr="003D4B0F" w:rsidRDefault="00D45E44" w:rsidP="001D6E1B">
            <w:pPr>
              <w:pStyle w:val="naisc"/>
              <w:spacing w:before="0" w:after="0"/>
              <w:ind w:firstLine="12"/>
            </w:pPr>
            <w:r w:rsidRPr="003D4B0F">
              <w:t>Saskaņošanai nosūtītā projekta redakcija (konkrēta punkta (panta)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14:paraId="72FAB2A0" w14:textId="5D91E1D5" w:rsidR="00D45E44" w:rsidRPr="003D4B0F" w:rsidRDefault="00D45E44" w:rsidP="001D6E1B">
            <w:pPr>
              <w:pStyle w:val="naisc"/>
              <w:spacing w:before="0" w:after="0"/>
              <w:ind w:right="3"/>
            </w:pPr>
            <w:r w:rsidRPr="003D4B0F">
              <w:t xml:space="preserve">Atzinumā norādītais ministrijas (citas institūcijas) iebildums, kā arī saskaņošanā papildus izteiktais iebildums </w:t>
            </w:r>
            <w:r w:rsidR="00A33116" w:rsidRPr="003D4B0F">
              <w:t>par projekta konkrēto punktu (</w:t>
            </w:r>
            <w:r w:rsidRPr="003D4B0F">
              <w:t>pantu)</w:t>
            </w:r>
          </w:p>
        </w:tc>
        <w:tc>
          <w:tcPr>
            <w:tcW w:w="3827" w:type="dxa"/>
            <w:tcBorders>
              <w:top w:val="single" w:sz="6" w:space="0" w:color="000000"/>
              <w:left w:val="single" w:sz="6" w:space="0" w:color="000000"/>
              <w:bottom w:val="single" w:sz="6" w:space="0" w:color="000000"/>
              <w:right w:val="single" w:sz="6" w:space="0" w:color="000000"/>
            </w:tcBorders>
            <w:vAlign w:val="center"/>
          </w:tcPr>
          <w:p w14:paraId="16A38649" w14:textId="77777777" w:rsidR="00D45E44" w:rsidRPr="003D4B0F" w:rsidRDefault="00D45E44" w:rsidP="00737CA4">
            <w:pPr>
              <w:pStyle w:val="naisc"/>
              <w:spacing w:before="0" w:after="0"/>
              <w:jc w:val="both"/>
            </w:pPr>
            <w:r w:rsidRPr="003D4B0F">
              <w:t>Atbildīgās ministrijas norāde par to, ka iebildums ir ņemts vērā, vai informācija par saskaņošanā panākto alternatīvo risinājumu</w:t>
            </w:r>
          </w:p>
        </w:tc>
        <w:tc>
          <w:tcPr>
            <w:tcW w:w="2952" w:type="dxa"/>
            <w:tcBorders>
              <w:top w:val="single" w:sz="4" w:space="0" w:color="auto"/>
              <w:left w:val="single" w:sz="4" w:space="0" w:color="auto"/>
              <w:bottom w:val="single" w:sz="4" w:space="0" w:color="auto"/>
            </w:tcBorders>
            <w:vAlign w:val="center"/>
          </w:tcPr>
          <w:p w14:paraId="1A635033" w14:textId="77777777" w:rsidR="00D45E44" w:rsidRPr="003D4B0F" w:rsidRDefault="00D45E44" w:rsidP="001D6E1B">
            <w:pPr>
              <w:jc w:val="center"/>
            </w:pPr>
            <w:r w:rsidRPr="003D4B0F">
              <w:t>Projekta attiecīgā punkta (panta) galīgā redakcija</w:t>
            </w:r>
          </w:p>
        </w:tc>
      </w:tr>
      <w:tr w:rsidR="00D45E44" w:rsidRPr="003D4B0F" w14:paraId="7E0C3989" w14:textId="77777777" w:rsidTr="0002549B">
        <w:tc>
          <w:tcPr>
            <w:tcW w:w="534" w:type="dxa"/>
            <w:tcBorders>
              <w:top w:val="single" w:sz="6" w:space="0" w:color="000000"/>
              <w:left w:val="single" w:sz="6" w:space="0" w:color="000000"/>
              <w:bottom w:val="single" w:sz="6" w:space="0" w:color="000000"/>
              <w:right w:val="single" w:sz="6" w:space="0" w:color="000000"/>
            </w:tcBorders>
          </w:tcPr>
          <w:p w14:paraId="330043B7" w14:textId="77777777" w:rsidR="00D45E44" w:rsidRPr="003D4B0F" w:rsidRDefault="00D45E44" w:rsidP="00672E77">
            <w:pPr>
              <w:pStyle w:val="naisc"/>
              <w:spacing w:before="0" w:after="0"/>
              <w:jc w:val="left"/>
            </w:pPr>
            <w:r w:rsidRPr="003D4B0F">
              <w:t>1</w:t>
            </w:r>
          </w:p>
        </w:tc>
        <w:tc>
          <w:tcPr>
            <w:tcW w:w="2152" w:type="dxa"/>
            <w:tcBorders>
              <w:top w:val="single" w:sz="6" w:space="0" w:color="000000"/>
              <w:left w:val="single" w:sz="6" w:space="0" w:color="000000"/>
              <w:bottom w:val="single" w:sz="6" w:space="0" w:color="000000"/>
              <w:right w:val="single" w:sz="6" w:space="0" w:color="000000"/>
            </w:tcBorders>
          </w:tcPr>
          <w:p w14:paraId="2C3288CA" w14:textId="77777777" w:rsidR="00D45E44" w:rsidRPr="003D4B0F" w:rsidRDefault="00D45E44" w:rsidP="001D6E1B">
            <w:pPr>
              <w:pStyle w:val="naisc"/>
              <w:spacing w:before="0" w:after="0"/>
              <w:ind w:firstLine="12"/>
            </w:pPr>
            <w:r w:rsidRPr="003D4B0F">
              <w:t>2</w:t>
            </w:r>
          </w:p>
        </w:tc>
        <w:tc>
          <w:tcPr>
            <w:tcW w:w="5103" w:type="dxa"/>
            <w:tcBorders>
              <w:top w:val="single" w:sz="6" w:space="0" w:color="000000"/>
              <w:left w:val="single" w:sz="6" w:space="0" w:color="000000"/>
              <w:bottom w:val="single" w:sz="6" w:space="0" w:color="000000"/>
              <w:right w:val="single" w:sz="6" w:space="0" w:color="000000"/>
            </w:tcBorders>
          </w:tcPr>
          <w:p w14:paraId="29B687E6" w14:textId="77777777" w:rsidR="00D45E44" w:rsidRPr="003D4B0F" w:rsidRDefault="00D45E44" w:rsidP="001D6E1B">
            <w:pPr>
              <w:pStyle w:val="naisc"/>
              <w:spacing w:before="0" w:after="0"/>
            </w:pPr>
            <w:r w:rsidRPr="003D4B0F">
              <w:t>3</w:t>
            </w:r>
          </w:p>
        </w:tc>
        <w:tc>
          <w:tcPr>
            <w:tcW w:w="3827" w:type="dxa"/>
            <w:tcBorders>
              <w:top w:val="single" w:sz="6" w:space="0" w:color="000000"/>
              <w:left w:val="single" w:sz="6" w:space="0" w:color="000000"/>
              <w:bottom w:val="single" w:sz="6" w:space="0" w:color="000000"/>
              <w:right w:val="single" w:sz="6" w:space="0" w:color="000000"/>
            </w:tcBorders>
          </w:tcPr>
          <w:p w14:paraId="5A884637" w14:textId="77777777" w:rsidR="00D45E44" w:rsidRPr="003D4B0F" w:rsidRDefault="00D45E44" w:rsidP="00551B1F">
            <w:pPr>
              <w:pStyle w:val="naisc"/>
              <w:spacing w:before="0" w:after="0"/>
            </w:pPr>
            <w:r w:rsidRPr="003D4B0F">
              <w:t>4</w:t>
            </w:r>
          </w:p>
        </w:tc>
        <w:tc>
          <w:tcPr>
            <w:tcW w:w="2952" w:type="dxa"/>
            <w:tcBorders>
              <w:top w:val="single" w:sz="4" w:space="0" w:color="auto"/>
              <w:left w:val="single" w:sz="4" w:space="0" w:color="auto"/>
              <w:bottom w:val="single" w:sz="4" w:space="0" w:color="auto"/>
            </w:tcBorders>
          </w:tcPr>
          <w:p w14:paraId="38FA86A5" w14:textId="77777777" w:rsidR="00D45E44" w:rsidRPr="003D4B0F" w:rsidRDefault="00D45E44" w:rsidP="001D6E1B">
            <w:pPr>
              <w:jc w:val="center"/>
            </w:pPr>
            <w:r w:rsidRPr="003D4B0F">
              <w:t>5</w:t>
            </w:r>
          </w:p>
        </w:tc>
      </w:tr>
      <w:tr w:rsidR="00602136" w:rsidRPr="003D4B0F" w14:paraId="6BA76E7F" w14:textId="77777777" w:rsidTr="0002549B">
        <w:tc>
          <w:tcPr>
            <w:tcW w:w="534" w:type="dxa"/>
            <w:tcBorders>
              <w:top w:val="single" w:sz="6" w:space="0" w:color="000000"/>
              <w:left w:val="single" w:sz="6" w:space="0" w:color="000000"/>
              <w:bottom w:val="single" w:sz="6" w:space="0" w:color="000000"/>
              <w:right w:val="single" w:sz="6" w:space="0" w:color="000000"/>
            </w:tcBorders>
            <w:vAlign w:val="center"/>
          </w:tcPr>
          <w:p w14:paraId="52A39BE6" w14:textId="2BF6D6CC" w:rsidR="00DB3973" w:rsidRPr="003D4B0F" w:rsidRDefault="00DB3973" w:rsidP="004567E6">
            <w:pPr>
              <w:pStyle w:val="naisc"/>
              <w:spacing w:before="0" w:after="0"/>
              <w:ind w:left="426"/>
            </w:pPr>
            <w:r w:rsidRPr="003D4B0F">
              <w:t>1</w:t>
            </w:r>
          </w:p>
          <w:p w14:paraId="6E289D4C" w14:textId="03AE6D2F" w:rsidR="00602136" w:rsidRPr="003D4B0F" w:rsidRDefault="00DB3973" w:rsidP="004567E6">
            <w:pPr>
              <w:jc w:val="center"/>
            </w:pPr>
            <w:r w:rsidRPr="003D4B0F">
              <w:t>1.</w:t>
            </w:r>
          </w:p>
        </w:tc>
        <w:tc>
          <w:tcPr>
            <w:tcW w:w="2152" w:type="dxa"/>
            <w:tcBorders>
              <w:top w:val="single" w:sz="6" w:space="0" w:color="000000"/>
              <w:left w:val="single" w:sz="6" w:space="0" w:color="000000"/>
              <w:bottom w:val="single" w:sz="6" w:space="0" w:color="000000"/>
              <w:right w:val="single" w:sz="6" w:space="0" w:color="000000"/>
            </w:tcBorders>
          </w:tcPr>
          <w:p w14:paraId="69A0A3EA" w14:textId="34A9144D" w:rsidR="00602136" w:rsidRPr="003D4B0F" w:rsidRDefault="004E4BA4" w:rsidP="00602136">
            <w:pPr>
              <w:jc w:val="both"/>
              <w:rPr>
                <w:b/>
              </w:rPr>
            </w:pPr>
            <w:r w:rsidRPr="00823124">
              <w:rPr>
                <w:b/>
              </w:rPr>
              <w:t>MK noteikumu projekts</w:t>
            </w:r>
          </w:p>
        </w:tc>
        <w:tc>
          <w:tcPr>
            <w:tcW w:w="5103" w:type="dxa"/>
            <w:tcBorders>
              <w:top w:val="single" w:sz="6" w:space="0" w:color="000000"/>
              <w:left w:val="single" w:sz="6" w:space="0" w:color="000000"/>
              <w:bottom w:val="single" w:sz="6" w:space="0" w:color="000000"/>
              <w:right w:val="single" w:sz="6" w:space="0" w:color="000000"/>
            </w:tcBorders>
          </w:tcPr>
          <w:p w14:paraId="4A54757D" w14:textId="407B826E" w:rsidR="004E4BA4" w:rsidRPr="00E35341" w:rsidRDefault="005931FB" w:rsidP="004E4BA4">
            <w:pPr>
              <w:spacing w:before="120" w:after="120"/>
              <w:jc w:val="center"/>
              <w:rPr>
                <w:b/>
                <w:bCs/>
              </w:rPr>
            </w:pPr>
            <w:r w:rsidRPr="005931FB">
              <w:rPr>
                <w:b/>
                <w:bCs/>
              </w:rPr>
              <w:t>Finanšu ministrija</w:t>
            </w:r>
            <w:r w:rsidR="00527331">
              <w:rPr>
                <w:b/>
                <w:bCs/>
              </w:rPr>
              <w:t>s</w:t>
            </w:r>
            <w:r w:rsidRPr="005931FB">
              <w:rPr>
                <w:b/>
                <w:bCs/>
              </w:rPr>
              <w:t xml:space="preserve"> </w:t>
            </w:r>
            <w:r w:rsidR="004E4BA4" w:rsidRPr="00E35341">
              <w:rPr>
                <w:b/>
                <w:bCs/>
              </w:rPr>
              <w:t>(</w:t>
            </w:r>
            <w:r>
              <w:rPr>
                <w:b/>
                <w:bCs/>
              </w:rPr>
              <w:t>FM</w:t>
            </w:r>
            <w:r w:rsidR="004E4BA4" w:rsidRPr="00E35341">
              <w:rPr>
                <w:b/>
                <w:bCs/>
              </w:rPr>
              <w:t xml:space="preserve">) </w:t>
            </w:r>
            <w:r w:rsidR="00760F00">
              <w:rPr>
                <w:b/>
                <w:bCs/>
              </w:rPr>
              <w:t>14</w:t>
            </w:r>
            <w:r w:rsidR="004E4BA4" w:rsidRPr="00E35341">
              <w:rPr>
                <w:b/>
                <w:bCs/>
              </w:rPr>
              <w:t>.</w:t>
            </w:r>
            <w:r w:rsidR="00760F00">
              <w:rPr>
                <w:b/>
                <w:bCs/>
              </w:rPr>
              <w:t>11</w:t>
            </w:r>
            <w:r w:rsidR="004E4BA4" w:rsidRPr="00E35341">
              <w:rPr>
                <w:b/>
                <w:bCs/>
              </w:rPr>
              <w:t>.2019 atzinums</w:t>
            </w:r>
          </w:p>
          <w:p w14:paraId="52BD2E49" w14:textId="11B80466" w:rsidR="00602136" w:rsidRPr="003D4B0F" w:rsidRDefault="00760F00" w:rsidP="007D6A4A">
            <w:pPr>
              <w:spacing w:before="120" w:after="120"/>
              <w:jc w:val="both"/>
              <w:rPr>
                <w:b/>
              </w:rPr>
            </w:pPr>
            <w:r>
              <w:t xml:space="preserve">Lūdzam precizēt noteikumu projektu un anotāciju, lai nodrošinātu un paredzētu tādu normatīvo regulējumu, kas nosaka, ka, ja projekta īstenotājs ir valsts tiešās pārvaldes iestāde, atvasināta publiska persona, pašvaldība vai tās iestāde, tad maksājumu projekta īstenošanai (tai skaitā avansa maksājumu) veic VARAM, piemērojot atbilstošo transferta kodu atbilstoši budžetu izdevumu klasifikācijai pēc ekonomiskajām kategorijām. Vēršam uzmanību, ka projektu īstenotāji var būt pašvaldības un tās iestādes, valsts budžeta iestādes utt., tad SIA “Vides investīciju fonds” (turpmāk – VIF), darbojoties kā starpniekam pārskaitījumu veikšanā, veidotos situācija, ka no konsolidētā kopbudžeta viedokļa vieni un tie paši finanšu resursi parādās kā </w:t>
            </w:r>
            <w:r>
              <w:lastRenderedPageBreak/>
              <w:t>izdevumi (un arī kā ieņēmumi) divas reizes. Tas nenodrošina patiesas informācijas atspoguļošanu par budžeta izdevumiem un ieņēmumiem, starpbudžetu līdzekļu plūsmām, kā arī korektu izpildes un pārskatu informācijas sagatavošanu</w:t>
            </w:r>
            <w:r w:rsidR="005931FB">
              <w:t>.</w:t>
            </w:r>
          </w:p>
        </w:tc>
        <w:tc>
          <w:tcPr>
            <w:tcW w:w="3827" w:type="dxa"/>
            <w:tcBorders>
              <w:top w:val="single" w:sz="6" w:space="0" w:color="000000"/>
              <w:left w:val="single" w:sz="6" w:space="0" w:color="000000"/>
              <w:bottom w:val="single" w:sz="6" w:space="0" w:color="000000"/>
              <w:right w:val="single" w:sz="6" w:space="0" w:color="000000"/>
            </w:tcBorders>
          </w:tcPr>
          <w:p w14:paraId="70CDEB53" w14:textId="77777777" w:rsidR="00551844" w:rsidRDefault="00551844" w:rsidP="00551844">
            <w:pPr>
              <w:spacing w:before="120" w:after="120"/>
              <w:jc w:val="center"/>
              <w:rPr>
                <w:b/>
                <w:color w:val="000000" w:themeColor="text1"/>
              </w:rPr>
            </w:pPr>
            <w:r>
              <w:rPr>
                <w:b/>
                <w:color w:val="000000" w:themeColor="text1"/>
              </w:rPr>
              <w:lastRenderedPageBreak/>
              <w:t>Ņemts vērā</w:t>
            </w:r>
          </w:p>
          <w:p w14:paraId="3EA57E09" w14:textId="26C9C338" w:rsidR="00602136" w:rsidRPr="003D4B0F" w:rsidRDefault="00551844" w:rsidP="00551844">
            <w:pPr>
              <w:jc w:val="both"/>
              <w:rPr>
                <w:b/>
                <w:lang w:eastAsia="x-none"/>
              </w:rPr>
            </w:pPr>
            <w:r w:rsidRPr="006F7131">
              <w:rPr>
                <w:color w:val="000000" w:themeColor="text1"/>
              </w:rPr>
              <w:t>Ņemot vērā Finanšu ministrijas iebildumus, pēc atkārtotas funkcij</w:t>
            </w:r>
            <w:r>
              <w:rPr>
                <w:color w:val="000000" w:themeColor="text1"/>
              </w:rPr>
              <w:t>u</w:t>
            </w:r>
            <w:r w:rsidRPr="006F7131">
              <w:rPr>
                <w:color w:val="000000" w:themeColor="text1"/>
              </w:rPr>
              <w:t xml:space="preserve"> deleģēšanas </w:t>
            </w:r>
            <w:r w:rsidRPr="00910245">
              <w:rPr>
                <w:color w:val="000000" w:themeColor="text1"/>
              </w:rPr>
              <w:t>VIF</w:t>
            </w:r>
            <w:r w:rsidRPr="001C26F8">
              <w:rPr>
                <w:color w:val="000000" w:themeColor="text1"/>
              </w:rPr>
              <w:t xml:space="preserve"> </w:t>
            </w:r>
            <w:r w:rsidRPr="006F7131">
              <w:rPr>
                <w:color w:val="000000" w:themeColor="text1"/>
              </w:rPr>
              <w:t>iespēj</w:t>
            </w:r>
            <w:r>
              <w:rPr>
                <w:color w:val="000000" w:themeColor="text1"/>
              </w:rPr>
              <w:t>as izvērtēšanas</w:t>
            </w:r>
            <w:r w:rsidRPr="006F7131">
              <w:rPr>
                <w:color w:val="000000" w:themeColor="text1"/>
              </w:rPr>
              <w:t xml:space="preserve">, </w:t>
            </w:r>
            <w:r>
              <w:rPr>
                <w:color w:val="000000" w:themeColor="text1"/>
              </w:rPr>
              <w:t>maksājumu veikšanas funkciju finansējuma saņēmējiem saglabās VARAM.</w:t>
            </w:r>
          </w:p>
        </w:tc>
        <w:tc>
          <w:tcPr>
            <w:tcW w:w="2952" w:type="dxa"/>
            <w:tcBorders>
              <w:top w:val="single" w:sz="4" w:space="0" w:color="auto"/>
              <w:left w:val="single" w:sz="4" w:space="0" w:color="auto"/>
              <w:bottom w:val="single" w:sz="4" w:space="0" w:color="auto"/>
            </w:tcBorders>
          </w:tcPr>
          <w:p w14:paraId="6DE0FF1A" w14:textId="461A096C" w:rsidR="00602136" w:rsidRPr="003D4B0F" w:rsidRDefault="00551844" w:rsidP="00602136">
            <w:pPr>
              <w:jc w:val="both"/>
              <w:rPr>
                <w:rFonts w:eastAsia="Calibri"/>
              </w:rPr>
            </w:pPr>
            <w:r>
              <w:rPr>
                <w:rFonts w:eastAsia="Calibri"/>
                <w:color w:val="000000" w:themeColor="text1"/>
              </w:rPr>
              <w:t xml:space="preserve">Precizēts </w:t>
            </w:r>
            <w:r w:rsidRPr="002C6325">
              <w:rPr>
                <w:rFonts w:eastAsia="Calibri"/>
                <w:color w:val="000000" w:themeColor="text1"/>
              </w:rPr>
              <w:t>noteikumu projekts un anotācija,</w:t>
            </w:r>
            <w:r>
              <w:rPr>
                <w:rFonts w:eastAsia="Calibri"/>
                <w:color w:val="000000" w:themeColor="text1"/>
              </w:rPr>
              <w:t xml:space="preserve"> izslēdzot maksājumu veikšanas funkcijas deleģēšanu VIF.</w:t>
            </w:r>
          </w:p>
        </w:tc>
      </w:tr>
      <w:tr w:rsidR="00323CE2" w:rsidRPr="003D4B0F" w14:paraId="3A7075F4" w14:textId="77777777" w:rsidTr="0002549B">
        <w:tc>
          <w:tcPr>
            <w:tcW w:w="534" w:type="dxa"/>
            <w:tcBorders>
              <w:top w:val="single" w:sz="6" w:space="0" w:color="000000"/>
              <w:left w:val="single" w:sz="6" w:space="0" w:color="000000"/>
              <w:bottom w:val="single" w:sz="6" w:space="0" w:color="000000"/>
              <w:right w:val="single" w:sz="6" w:space="0" w:color="000000"/>
            </w:tcBorders>
            <w:vAlign w:val="center"/>
          </w:tcPr>
          <w:p w14:paraId="15E8E22C" w14:textId="31AAE20A" w:rsidR="00323CE2" w:rsidRPr="003D4B0F" w:rsidRDefault="00323CE2" w:rsidP="00323CE2">
            <w:pPr>
              <w:jc w:val="center"/>
            </w:pPr>
            <w:r w:rsidRPr="003D4B0F">
              <w:lastRenderedPageBreak/>
              <w:t>2.</w:t>
            </w:r>
          </w:p>
        </w:tc>
        <w:tc>
          <w:tcPr>
            <w:tcW w:w="2152" w:type="dxa"/>
            <w:tcBorders>
              <w:top w:val="single" w:sz="6" w:space="0" w:color="000000"/>
              <w:left w:val="single" w:sz="6" w:space="0" w:color="000000"/>
              <w:bottom w:val="single" w:sz="6" w:space="0" w:color="000000"/>
              <w:right w:val="single" w:sz="6" w:space="0" w:color="000000"/>
            </w:tcBorders>
          </w:tcPr>
          <w:p w14:paraId="17E70777" w14:textId="14819EDD" w:rsidR="00323CE2" w:rsidRPr="003D4B0F" w:rsidRDefault="00323CE2" w:rsidP="00323CE2">
            <w:pPr>
              <w:jc w:val="both"/>
              <w:rPr>
                <w:b/>
              </w:rPr>
            </w:pPr>
            <w:r>
              <w:rPr>
                <w:b/>
              </w:rPr>
              <w:t>Anotācija</w:t>
            </w:r>
          </w:p>
        </w:tc>
        <w:tc>
          <w:tcPr>
            <w:tcW w:w="5103" w:type="dxa"/>
            <w:tcBorders>
              <w:top w:val="single" w:sz="6" w:space="0" w:color="000000"/>
              <w:left w:val="single" w:sz="6" w:space="0" w:color="000000"/>
              <w:bottom w:val="single" w:sz="6" w:space="0" w:color="000000"/>
              <w:right w:val="single" w:sz="6" w:space="0" w:color="000000"/>
            </w:tcBorders>
          </w:tcPr>
          <w:p w14:paraId="3A433876" w14:textId="02EFB190" w:rsidR="00323CE2" w:rsidRPr="00E35341" w:rsidRDefault="00323CE2" w:rsidP="00323CE2">
            <w:pPr>
              <w:spacing w:before="120" w:after="120"/>
              <w:jc w:val="center"/>
              <w:rPr>
                <w:b/>
                <w:bCs/>
              </w:rPr>
            </w:pPr>
            <w:r w:rsidRPr="005931FB">
              <w:rPr>
                <w:b/>
                <w:bCs/>
              </w:rPr>
              <w:t>Finanšu ministrija</w:t>
            </w:r>
            <w:r>
              <w:rPr>
                <w:b/>
                <w:bCs/>
              </w:rPr>
              <w:t>s</w:t>
            </w:r>
            <w:r w:rsidRPr="005931FB">
              <w:rPr>
                <w:b/>
                <w:bCs/>
              </w:rPr>
              <w:t xml:space="preserve"> </w:t>
            </w:r>
            <w:r w:rsidRPr="00E35341">
              <w:rPr>
                <w:b/>
                <w:bCs/>
              </w:rPr>
              <w:t>(</w:t>
            </w:r>
            <w:r>
              <w:rPr>
                <w:b/>
                <w:bCs/>
              </w:rPr>
              <w:t>FM</w:t>
            </w:r>
            <w:r w:rsidRPr="00E35341">
              <w:rPr>
                <w:b/>
                <w:bCs/>
              </w:rPr>
              <w:t xml:space="preserve">) </w:t>
            </w:r>
            <w:r>
              <w:rPr>
                <w:b/>
                <w:bCs/>
              </w:rPr>
              <w:t>14</w:t>
            </w:r>
            <w:r w:rsidRPr="00E35341">
              <w:rPr>
                <w:b/>
                <w:bCs/>
              </w:rPr>
              <w:t>.1</w:t>
            </w:r>
            <w:r>
              <w:rPr>
                <w:b/>
                <w:bCs/>
              </w:rPr>
              <w:t>1</w:t>
            </w:r>
            <w:r w:rsidRPr="00E35341">
              <w:rPr>
                <w:b/>
                <w:bCs/>
              </w:rPr>
              <w:t>.2019 atzinums</w:t>
            </w:r>
          </w:p>
          <w:p w14:paraId="1516198E" w14:textId="18570F6E" w:rsidR="00323CE2" w:rsidRPr="003D4B0F" w:rsidRDefault="00323CE2" w:rsidP="007D6A4A">
            <w:pPr>
              <w:spacing w:before="120" w:after="120"/>
              <w:jc w:val="both"/>
              <w:rPr>
                <w:b/>
                <w:bCs/>
              </w:rPr>
            </w:pPr>
            <w:r>
              <w:t>Lūdzam anotācijā skaidrot, kā VARAM risinās situāciju, kad VIF gada laikā piešķirtais finansējums maksājumu veikšanai būs lielāks nekā faktiski nepieciešams, proti, kāda rīcība paredzēta attiecībā uz maksājumu veikšanai neizlietoto finansējumu, ņemot vērā, ka noteikumu projekts paredz, ka turpmāk maksājumus finansējuma saņēmējiem nodrošinās VIF, kuram saskaņā ar anotācijas I sadaļas “</w:t>
            </w:r>
            <w:r w:rsidRPr="008E4AA4">
              <w:t>Tiesību akta projekta izstrādes nepieciešamība</w:t>
            </w:r>
            <w:r>
              <w:t>” (turpmāk – I sadaļa) 2.punktā “</w:t>
            </w:r>
            <w:r w:rsidRPr="008E4AA4">
              <w:t xml:space="preserve">Pašreizējā situācija un problēmas, kuru risināšanai tiesību akta projekts izstrādāts, tiesiskā regulējuma mērķis un </w:t>
            </w:r>
            <w:r>
              <w:br/>
            </w:r>
            <w:r w:rsidRPr="008E4AA4">
              <w:t>būtība</w:t>
            </w:r>
            <w:r>
              <w:t>” (turpmāk – 2.punkts) sniegto informāciju VARAM finansējumu maksājumu veikšanai piešķirs reizi ceturksnī atbilstoši deleģējuma līgumā noteiktajam apjomam. Vienlaikus vēršam uzmanību, ka kārtējā gada budžeta likumā piešķirtie līdzekļi ir izlietojami kārtējā gada laikā.</w:t>
            </w:r>
          </w:p>
        </w:tc>
        <w:tc>
          <w:tcPr>
            <w:tcW w:w="3827" w:type="dxa"/>
            <w:tcBorders>
              <w:top w:val="single" w:sz="6" w:space="0" w:color="000000"/>
              <w:left w:val="single" w:sz="6" w:space="0" w:color="000000"/>
              <w:bottom w:val="single" w:sz="6" w:space="0" w:color="000000"/>
              <w:right w:val="single" w:sz="6" w:space="0" w:color="000000"/>
            </w:tcBorders>
          </w:tcPr>
          <w:p w14:paraId="318FDD54" w14:textId="77777777" w:rsidR="00323CE2" w:rsidRPr="009B38B5" w:rsidRDefault="00323CE2" w:rsidP="00323CE2">
            <w:pPr>
              <w:spacing w:before="120" w:after="120"/>
              <w:jc w:val="center"/>
              <w:rPr>
                <w:b/>
              </w:rPr>
            </w:pPr>
            <w:r w:rsidRPr="009B38B5">
              <w:rPr>
                <w:b/>
              </w:rPr>
              <w:t>Ņemts vērā</w:t>
            </w:r>
          </w:p>
          <w:p w14:paraId="0BDF0E58" w14:textId="5BD06576" w:rsidR="00323CE2" w:rsidRPr="003D4B0F" w:rsidRDefault="00551844" w:rsidP="00323CE2">
            <w:pPr>
              <w:spacing w:before="120" w:after="120"/>
              <w:jc w:val="both"/>
              <w:rPr>
                <w:b/>
              </w:rPr>
            </w:pPr>
            <w:r w:rsidRPr="00910245">
              <w:rPr>
                <w:color w:val="000000" w:themeColor="text1"/>
              </w:rPr>
              <w:t>Ņemot vērā Finanšu ministrijas iebildumus, pēc atkārtotas funkcij</w:t>
            </w:r>
            <w:r>
              <w:rPr>
                <w:color w:val="000000" w:themeColor="text1"/>
              </w:rPr>
              <w:t>u</w:t>
            </w:r>
            <w:r w:rsidRPr="00910245">
              <w:rPr>
                <w:color w:val="000000" w:themeColor="text1"/>
              </w:rPr>
              <w:t xml:space="preserve"> deleģēšanas VIF</w:t>
            </w:r>
            <w:r w:rsidRPr="001C26F8">
              <w:rPr>
                <w:color w:val="000000" w:themeColor="text1"/>
              </w:rPr>
              <w:t xml:space="preserve"> </w:t>
            </w:r>
            <w:r w:rsidRPr="00910245">
              <w:rPr>
                <w:color w:val="000000" w:themeColor="text1"/>
              </w:rPr>
              <w:t>iespēj</w:t>
            </w:r>
            <w:r>
              <w:rPr>
                <w:color w:val="000000" w:themeColor="text1"/>
              </w:rPr>
              <w:t>as izvērtēšanas</w:t>
            </w:r>
            <w:r w:rsidRPr="00910245">
              <w:rPr>
                <w:color w:val="000000" w:themeColor="text1"/>
              </w:rPr>
              <w:t xml:space="preserve">, </w:t>
            </w:r>
            <w:r>
              <w:rPr>
                <w:color w:val="000000" w:themeColor="text1"/>
              </w:rPr>
              <w:t>maksājumu veikšanas funkciju finansējuma saņēmējiem saglabās VARAM.</w:t>
            </w:r>
          </w:p>
        </w:tc>
        <w:tc>
          <w:tcPr>
            <w:tcW w:w="2952" w:type="dxa"/>
            <w:tcBorders>
              <w:top w:val="single" w:sz="4" w:space="0" w:color="auto"/>
              <w:left w:val="single" w:sz="4" w:space="0" w:color="auto"/>
              <w:bottom w:val="single" w:sz="4" w:space="0" w:color="auto"/>
            </w:tcBorders>
          </w:tcPr>
          <w:p w14:paraId="0735EA76" w14:textId="4BCBD46B" w:rsidR="00323CE2" w:rsidRPr="003D4B0F" w:rsidRDefault="00551844" w:rsidP="00323CE2">
            <w:pPr>
              <w:jc w:val="both"/>
              <w:rPr>
                <w:rFonts w:eastAsia="Calibri"/>
              </w:rPr>
            </w:pPr>
            <w:r>
              <w:rPr>
                <w:rFonts w:eastAsia="Calibri"/>
                <w:color w:val="000000" w:themeColor="text1"/>
              </w:rPr>
              <w:t>Precizēts</w:t>
            </w:r>
            <w:r w:rsidRPr="00E47145">
              <w:rPr>
                <w:rFonts w:eastAsia="Calibri"/>
                <w:color w:val="000000" w:themeColor="text1"/>
              </w:rPr>
              <w:t xml:space="preserve"> </w:t>
            </w:r>
            <w:r w:rsidRPr="002C6325">
              <w:rPr>
                <w:rFonts w:eastAsia="Calibri"/>
                <w:color w:val="000000" w:themeColor="text1"/>
              </w:rPr>
              <w:t>anotācijas</w:t>
            </w:r>
            <w:r w:rsidRPr="00E47145">
              <w:rPr>
                <w:rFonts w:eastAsia="Calibri"/>
                <w:color w:val="000000" w:themeColor="text1"/>
              </w:rPr>
              <w:t xml:space="preserve"> I sadaļas 2. punkts</w:t>
            </w:r>
            <w:r>
              <w:rPr>
                <w:rFonts w:eastAsia="Calibri"/>
                <w:color w:val="000000" w:themeColor="text1"/>
              </w:rPr>
              <w:t xml:space="preserve"> un noteikumu projekts</w:t>
            </w:r>
          </w:p>
        </w:tc>
      </w:tr>
      <w:tr w:rsidR="00323CE2" w:rsidRPr="003D4B0F" w14:paraId="5FE06487" w14:textId="77777777" w:rsidTr="0002549B">
        <w:trPr>
          <w:trHeight w:val="541"/>
        </w:trPr>
        <w:tc>
          <w:tcPr>
            <w:tcW w:w="534" w:type="dxa"/>
            <w:tcBorders>
              <w:top w:val="single" w:sz="6" w:space="0" w:color="000000"/>
              <w:left w:val="single" w:sz="6" w:space="0" w:color="000000"/>
              <w:bottom w:val="single" w:sz="6" w:space="0" w:color="000000"/>
              <w:right w:val="single" w:sz="6" w:space="0" w:color="000000"/>
            </w:tcBorders>
            <w:vAlign w:val="center"/>
          </w:tcPr>
          <w:p w14:paraId="54FCEC24" w14:textId="3F3D6726" w:rsidR="00323CE2" w:rsidRPr="003D4B0F" w:rsidRDefault="00323CE2" w:rsidP="00323CE2">
            <w:pPr>
              <w:jc w:val="center"/>
            </w:pPr>
            <w:r w:rsidRPr="003D4B0F">
              <w:t>3.</w:t>
            </w:r>
          </w:p>
        </w:tc>
        <w:tc>
          <w:tcPr>
            <w:tcW w:w="2152" w:type="dxa"/>
            <w:tcBorders>
              <w:top w:val="single" w:sz="6" w:space="0" w:color="000000"/>
              <w:left w:val="single" w:sz="6" w:space="0" w:color="000000"/>
              <w:bottom w:val="single" w:sz="6" w:space="0" w:color="000000"/>
              <w:right w:val="single" w:sz="6" w:space="0" w:color="000000"/>
            </w:tcBorders>
          </w:tcPr>
          <w:p w14:paraId="0796A825" w14:textId="082EF21E" w:rsidR="00323CE2" w:rsidRPr="003D4B0F" w:rsidRDefault="00323CE2" w:rsidP="00323CE2">
            <w:pPr>
              <w:jc w:val="both"/>
              <w:rPr>
                <w:b/>
              </w:rPr>
            </w:pPr>
            <w:r>
              <w:rPr>
                <w:b/>
              </w:rPr>
              <w:t>Anotācijas I daļas 2. punkts</w:t>
            </w:r>
          </w:p>
        </w:tc>
        <w:tc>
          <w:tcPr>
            <w:tcW w:w="5103" w:type="dxa"/>
            <w:tcBorders>
              <w:top w:val="single" w:sz="6" w:space="0" w:color="000000"/>
              <w:left w:val="single" w:sz="6" w:space="0" w:color="000000"/>
              <w:bottom w:val="single" w:sz="6" w:space="0" w:color="000000"/>
              <w:right w:val="single" w:sz="6" w:space="0" w:color="000000"/>
            </w:tcBorders>
          </w:tcPr>
          <w:p w14:paraId="1E51C054" w14:textId="42F5FBB8" w:rsidR="00323CE2" w:rsidRPr="00001F9C" w:rsidRDefault="00323CE2" w:rsidP="00323CE2">
            <w:pPr>
              <w:spacing w:before="120" w:after="120"/>
              <w:jc w:val="center"/>
              <w:rPr>
                <w:b/>
                <w:bCs/>
              </w:rPr>
            </w:pPr>
            <w:r w:rsidRPr="005931FB">
              <w:rPr>
                <w:b/>
                <w:bCs/>
              </w:rPr>
              <w:t xml:space="preserve">Finanšu ministrija </w:t>
            </w:r>
            <w:r w:rsidRPr="00E35341">
              <w:rPr>
                <w:b/>
                <w:bCs/>
              </w:rPr>
              <w:t>(</w:t>
            </w:r>
            <w:r>
              <w:rPr>
                <w:b/>
                <w:bCs/>
              </w:rPr>
              <w:t>FM</w:t>
            </w:r>
            <w:r w:rsidRPr="00E35341">
              <w:rPr>
                <w:b/>
                <w:bCs/>
              </w:rPr>
              <w:t xml:space="preserve">) </w:t>
            </w:r>
            <w:r>
              <w:rPr>
                <w:b/>
                <w:bCs/>
              </w:rPr>
              <w:t>14</w:t>
            </w:r>
            <w:r w:rsidRPr="00E35341">
              <w:rPr>
                <w:b/>
                <w:bCs/>
              </w:rPr>
              <w:t>.1</w:t>
            </w:r>
            <w:r>
              <w:rPr>
                <w:b/>
                <w:bCs/>
              </w:rPr>
              <w:t>1</w:t>
            </w:r>
            <w:r w:rsidRPr="00E35341">
              <w:rPr>
                <w:b/>
                <w:bCs/>
              </w:rPr>
              <w:t>.2019 atzinums</w:t>
            </w:r>
          </w:p>
          <w:p w14:paraId="47573804" w14:textId="139D81F7" w:rsidR="00323CE2" w:rsidRPr="003D4B0F" w:rsidRDefault="00323CE2" w:rsidP="007D6A4A">
            <w:pPr>
              <w:spacing w:before="120" w:after="120"/>
              <w:jc w:val="both"/>
            </w:pPr>
            <w:r>
              <w:t xml:space="preserve">Lūdzam anotācijas I sadaļas 2.punktā skaidrot, kā veidojas 3–5 dienu laika ietaupījums situācijā, kad maksājumu veikšanas funkciju nodod VIF, sniedzot detalizētu informāciju par projektu maksājumu administrēšanas laika patēriņu šobrīd. </w:t>
            </w:r>
            <w:r>
              <w:lastRenderedPageBreak/>
              <w:t>Vienlaikus lūdzam izvērtēt, vai laika patēriņa ietaupījumu nav iespējams nodrošināt ar spēkā esošā maksājumu procesa efektivitātes uzlabošanu, nevis funkcijas nodošanu VIF</w:t>
            </w:r>
            <w:r w:rsidRPr="00001F9C">
              <w:t>.</w:t>
            </w:r>
          </w:p>
        </w:tc>
        <w:tc>
          <w:tcPr>
            <w:tcW w:w="3827" w:type="dxa"/>
            <w:tcBorders>
              <w:top w:val="single" w:sz="6" w:space="0" w:color="000000"/>
              <w:left w:val="single" w:sz="6" w:space="0" w:color="000000"/>
              <w:bottom w:val="single" w:sz="6" w:space="0" w:color="000000"/>
              <w:right w:val="single" w:sz="6" w:space="0" w:color="000000"/>
            </w:tcBorders>
          </w:tcPr>
          <w:p w14:paraId="04562008" w14:textId="77777777" w:rsidR="00551844" w:rsidRDefault="00551844" w:rsidP="00551844">
            <w:pPr>
              <w:spacing w:before="120" w:after="120"/>
              <w:jc w:val="center"/>
              <w:rPr>
                <w:b/>
                <w:color w:val="000000" w:themeColor="text1"/>
              </w:rPr>
            </w:pPr>
            <w:r>
              <w:rPr>
                <w:b/>
                <w:color w:val="000000" w:themeColor="text1"/>
              </w:rPr>
              <w:lastRenderedPageBreak/>
              <w:t>Ņemts vērā</w:t>
            </w:r>
          </w:p>
          <w:p w14:paraId="486968A8" w14:textId="77177A17" w:rsidR="00323CE2" w:rsidRPr="003D4B0F" w:rsidRDefault="00551844" w:rsidP="00551844">
            <w:pPr>
              <w:jc w:val="both"/>
              <w:rPr>
                <w:b/>
                <w:lang w:eastAsia="x-none"/>
              </w:rPr>
            </w:pPr>
            <w:r w:rsidRPr="00910245">
              <w:rPr>
                <w:color w:val="000000" w:themeColor="text1"/>
              </w:rPr>
              <w:t>Ņemot vērā Finanšu ministrijas iebildumus, pēc atkārtotas funkcij</w:t>
            </w:r>
            <w:r>
              <w:rPr>
                <w:color w:val="000000" w:themeColor="text1"/>
              </w:rPr>
              <w:t>u</w:t>
            </w:r>
            <w:r w:rsidRPr="00910245">
              <w:rPr>
                <w:color w:val="000000" w:themeColor="text1"/>
              </w:rPr>
              <w:t xml:space="preserve"> deleģēšanas VIF</w:t>
            </w:r>
            <w:r w:rsidRPr="001C26F8">
              <w:rPr>
                <w:color w:val="000000" w:themeColor="text1"/>
              </w:rPr>
              <w:t xml:space="preserve"> </w:t>
            </w:r>
            <w:r w:rsidRPr="00910245">
              <w:rPr>
                <w:color w:val="000000" w:themeColor="text1"/>
              </w:rPr>
              <w:t>iespēj</w:t>
            </w:r>
            <w:r>
              <w:rPr>
                <w:color w:val="000000" w:themeColor="text1"/>
              </w:rPr>
              <w:t>as izvērtēšanas</w:t>
            </w:r>
            <w:r w:rsidRPr="00910245">
              <w:rPr>
                <w:color w:val="000000" w:themeColor="text1"/>
              </w:rPr>
              <w:t xml:space="preserve">, </w:t>
            </w:r>
            <w:r>
              <w:rPr>
                <w:color w:val="000000" w:themeColor="text1"/>
              </w:rPr>
              <w:t xml:space="preserve">maksājumu veikšanas </w:t>
            </w:r>
            <w:r>
              <w:rPr>
                <w:color w:val="000000" w:themeColor="text1"/>
              </w:rPr>
              <w:lastRenderedPageBreak/>
              <w:t>funkciju finansējuma saņēmējiem saglabās VARAM.</w:t>
            </w:r>
          </w:p>
        </w:tc>
        <w:tc>
          <w:tcPr>
            <w:tcW w:w="2952" w:type="dxa"/>
            <w:tcBorders>
              <w:top w:val="single" w:sz="4" w:space="0" w:color="auto"/>
              <w:left w:val="single" w:sz="4" w:space="0" w:color="auto"/>
              <w:bottom w:val="single" w:sz="4" w:space="0" w:color="auto"/>
            </w:tcBorders>
          </w:tcPr>
          <w:p w14:paraId="0EE0C489" w14:textId="4887CA00" w:rsidR="00323CE2" w:rsidRPr="003D4B0F" w:rsidRDefault="00551844" w:rsidP="00323CE2">
            <w:pPr>
              <w:jc w:val="both"/>
              <w:rPr>
                <w:rFonts w:eastAsia="Calibri"/>
              </w:rPr>
            </w:pPr>
            <w:r w:rsidRPr="002C6325">
              <w:rPr>
                <w:rFonts w:eastAsia="Calibri"/>
                <w:color w:val="000000" w:themeColor="text1"/>
              </w:rPr>
              <w:lastRenderedPageBreak/>
              <w:t>Anotācijā</w:t>
            </w:r>
            <w:r>
              <w:rPr>
                <w:rFonts w:eastAsia="Calibri"/>
                <w:b/>
                <w:color w:val="000000" w:themeColor="text1"/>
              </w:rPr>
              <w:t xml:space="preserve"> </w:t>
            </w:r>
            <w:r w:rsidRPr="00260C39">
              <w:rPr>
                <w:rFonts w:eastAsia="Calibri"/>
                <w:color w:val="000000" w:themeColor="text1"/>
              </w:rPr>
              <w:t>dzēsta atsauce uz laika ietaupījumu</w:t>
            </w:r>
            <w:r w:rsidRPr="009700AA">
              <w:rPr>
                <w:rFonts w:eastAsia="Calibri"/>
                <w:color w:val="000000" w:themeColor="text1"/>
              </w:rPr>
              <w:t xml:space="preserve"> </w:t>
            </w:r>
            <w:r>
              <w:rPr>
                <w:rFonts w:eastAsia="Calibri"/>
                <w:color w:val="000000" w:themeColor="text1"/>
              </w:rPr>
              <w:t>un maksājumu deleģēšanu VIF.</w:t>
            </w:r>
          </w:p>
        </w:tc>
      </w:tr>
      <w:tr w:rsidR="00323CE2" w:rsidRPr="003D4B0F" w14:paraId="402568D3" w14:textId="77777777" w:rsidTr="0002549B">
        <w:trPr>
          <w:trHeight w:val="540"/>
        </w:trPr>
        <w:tc>
          <w:tcPr>
            <w:tcW w:w="534" w:type="dxa"/>
            <w:tcBorders>
              <w:top w:val="single" w:sz="6" w:space="0" w:color="000000"/>
              <w:left w:val="single" w:sz="6" w:space="0" w:color="000000"/>
              <w:bottom w:val="single" w:sz="6" w:space="0" w:color="000000"/>
              <w:right w:val="single" w:sz="6" w:space="0" w:color="000000"/>
            </w:tcBorders>
            <w:vAlign w:val="center"/>
          </w:tcPr>
          <w:p w14:paraId="0B0E0899" w14:textId="5A39CD10" w:rsidR="00323CE2" w:rsidRPr="003D4B0F" w:rsidRDefault="00323CE2" w:rsidP="00323CE2">
            <w:pPr>
              <w:jc w:val="center"/>
            </w:pPr>
            <w:r w:rsidRPr="003D4B0F">
              <w:lastRenderedPageBreak/>
              <w:t>4.</w:t>
            </w:r>
          </w:p>
        </w:tc>
        <w:tc>
          <w:tcPr>
            <w:tcW w:w="2152" w:type="dxa"/>
            <w:tcBorders>
              <w:top w:val="single" w:sz="6" w:space="0" w:color="000000"/>
              <w:left w:val="single" w:sz="6" w:space="0" w:color="000000"/>
              <w:bottom w:val="single" w:sz="6" w:space="0" w:color="000000"/>
              <w:right w:val="single" w:sz="6" w:space="0" w:color="000000"/>
            </w:tcBorders>
          </w:tcPr>
          <w:p w14:paraId="346C7966" w14:textId="1EA1A7B2" w:rsidR="00323CE2" w:rsidRPr="003D4B0F" w:rsidRDefault="00323CE2" w:rsidP="00323CE2">
            <w:pPr>
              <w:rPr>
                <w:b/>
              </w:rPr>
            </w:pPr>
            <w:r>
              <w:rPr>
                <w:b/>
              </w:rPr>
              <w:t>Anotācija</w:t>
            </w:r>
          </w:p>
        </w:tc>
        <w:tc>
          <w:tcPr>
            <w:tcW w:w="5103" w:type="dxa"/>
            <w:tcBorders>
              <w:top w:val="single" w:sz="6" w:space="0" w:color="000000"/>
              <w:left w:val="single" w:sz="6" w:space="0" w:color="000000"/>
              <w:bottom w:val="single" w:sz="6" w:space="0" w:color="000000"/>
              <w:right w:val="single" w:sz="6" w:space="0" w:color="000000"/>
            </w:tcBorders>
          </w:tcPr>
          <w:p w14:paraId="038590F7" w14:textId="1F084145" w:rsidR="00323CE2" w:rsidRPr="00001F9C" w:rsidRDefault="00323CE2" w:rsidP="00323CE2">
            <w:pPr>
              <w:spacing w:before="120" w:after="120"/>
              <w:jc w:val="center"/>
              <w:rPr>
                <w:b/>
                <w:bCs/>
              </w:rPr>
            </w:pPr>
            <w:r w:rsidRPr="005931FB">
              <w:rPr>
                <w:b/>
                <w:bCs/>
              </w:rPr>
              <w:t>Finanšu ministrija</w:t>
            </w:r>
            <w:r>
              <w:rPr>
                <w:b/>
                <w:bCs/>
              </w:rPr>
              <w:t>s</w:t>
            </w:r>
            <w:r w:rsidRPr="005931FB">
              <w:rPr>
                <w:b/>
                <w:bCs/>
              </w:rPr>
              <w:t xml:space="preserve"> </w:t>
            </w:r>
            <w:r w:rsidRPr="00E35341">
              <w:rPr>
                <w:b/>
                <w:bCs/>
              </w:rPr>
              <w:t>(</w:t>
            </w:r>
            <w:r>
              <w:rPr>
                <w:b/>
                <w:bCs/>
              </w:rPr>
              <w:t>FM</w:t>
            </w:r>
            <w:r w:rsidRPr="00E35341">
              <w:rPr>
                <w:b/>
                <w:bCs/>
              </w:rPr>
              <w:t xml:space="preserve">) </w:t>
            </w:r>
            <w:r>
              <w:rPr>
                <w:b/>
                <w:bCs/>
              </w:rPr>
              <w:t>14</w:t>
            </w:r>
            <w:r w:rsidRPr="00E35341">
              <w:rPr>
                <w:b/>
                <w:bCs/>
              </w:rPr>
              <w:t>.1</w:t>
            </w:r>
            <w:r>
              <w:rPr>
                <w:b/>
                <w:bCs/>
              </w:rPr>
              <w:t>1</w:t>
            </w:r>
            <w:r w:rsidRPr="00E35341">
              <w:rPr>
                <w:b/>
                <w:bCs/>
              </w:rPr>
              <w:t>.2019 atzinums</w:t>
            </w:r>
          </w:p>
          <w:p w14:paraId="407A1127" w14:textId="69FEAA9B" w:rsidR="00323CE2" w:rsidRPr="003D4B0F" w:rsidRDefault="00323CE2" w:rsidP="005E366B">
            <w:pPr>
              <w:spacing w:before="120" w:after="120"/>
              <w:jc w:val="both"/>
              <w:rPr>
                <w:b/>
              </w:rPr>
            </w:pPr>
            <w:r>
              <w:t>Lūdzam anotācijā skaidrot, kā tiks nodrošināta atgūtā finansējuma izlietojuma kontrole, lai šis finansējums tiktu atkārtoti izmantots projektu īstenošanā, ņemot vērā, ka noteikumu projekts paredz, ka finansējumu, kas atzīts par neatbilstoši veiktu un atgūstamu, finansējuma saņēmējs atmaksā VIF</w:t>
            </w:r>
            <w:r w:rsidRPr="00001F9C">
              <w:t>.</w:t>
            </w:r>
          </w:p>
        </w:tc>
        <w:tc>
          <w:tcPr>
            <w:tcW w:w="3827" w:type="dxa"/>
            <w:tcBorders>
              <w:top w:val="single" w:sz="6" w:space="0" w:color="000000"/>
              <w:left w:val="single" w:sz="6" w:space="0" w:color="000000"/>
              <w:bottom w:val="single" w:sz="6" w:space="0" w:color="000000"/>
              <w:right w:val="single" w:sz="6" w:space="0" w:color="000000"/>
            </w:tcBorders>
          </w:tcPr>
          <w:p w14:paraId="3D55296D" w14:textId="77777777" w:rsidR="00323CE2" w:rsidRPr="00AF6612" w:rsidRDefault="00323CE2" w:rsidP="00323CE2">
            <w:pPr>
              <w:spacing w:before="120" w:after="120"/>
              <w:jc w:val="center"/>
              <w:rPr>
                <w:b/>
              </w:rPr>
            </w:pPr>
            <w:r w:rsidRPr="00AF6612">
              <w:rPr>
                <w:b/>
              </w:rPr>
              <w:t>Ņemts vērā</w:t>
            </w:r>
          </w:p>
          <w:p w14:paraId="25F0C981" w14:textId="6C269E9A" w:rsidR="00323CE2" w:rsidRPr="003D4B0F" w:rsidRDefault="00551844" w:rsidP="00323CE2">
            <w:pPr>
              <w:jc w:val="both"/>
            </w:pPr>
            <w:r w:rsidRPr="00DF3FCD">
              <w:rPr>
                <w:color w:val="000000" w:themeColor="text1"/>
              </w:rPr>
              <w:t>Deleģējuma līgumā ar VIF tiks ietvert</w:t>
            </w:r>
            <w:r>
              <w:rPr>
                <w:color w:val="000000" w:themeColor="text1"/>
              </w:rPr>
              <w:t>i</w:t>
            </w:r>
            <w:r w:rsidRPr="00DF3FCD">
              <w:rPr>
                <w:color w:val="000000" w:themeColor="text1"/>
              </w:rPr>
              <w:t xml:space="preserve"> atsevišķ</w:t>
            </w:r>
            <w:r>
              <w:rPr>
                <w:color w:val="000000" w:themeColor="text1"/>
              </w:rPr>
              <w:t>i</w:t>
            </w:r>
            <w:r w:rsidRPr="00DF3FCD">
              <w:rPr>
                <w:color w:val="000000" w:themeColor="text1"/>
              </w:rPr>
              <w:t xml:space="preserve"> punkt</w:t>
            </w:r>
            <w:r>
              <w:rPr>
                <w:color w:val="000000" w:themeColor="text1"/>
              </w:rPr>
              <w:t>i</w:t>
            </w:r>
            <w:r w:rsidRPr="00DF3FCD">
              <w:rPr>
                <w:color w:val="000000" w:themeColor="text1"/>
              </w:rPr>
              <w:t>, kas noteiks, ka VIF ceturkšņa atskaitēs par finansējuma izlietojumu atbildīgajai iestādei ir jāsniedz informāciju par atgūtā finansējumu apmēru</w:t>
            </w:r>
            <w:r>
              <w:rPr>
                <w:color w:val="000000" w:themeColor="text1"/>
              </w:rPr>
              <w:t xml:space="preserve"> pārskata periodā, kā arī definēs kārtību atgūtā finansējuma atmaksai VARAM.</w:t>
            </w:r>
          </w:p>
        </w:tc>
        <w:tc>
          <w:tcPr>
            <w:tcW w:w="2952" w:type="dxa"/>
            <w:tcBorders>
              <w:top w:val="single" w:sz="4" w:space="0" w:color="auto"/>
              <w:left w:val="single" w:sz="4" w:space="0" w:color="auto"/>
              <w:bottom w:val="single" w:sz="4" w:space="0" w:color="auto"/>
            </w:tcBorders>
          </w:tcPr>
          <w:p w14:paraId="216F2684" w14:textId="555E3A1F" w:rsidR="00323CE2" w:rsidRPr="003D4B0F" w:rsidRDefault="00323CE2" w:rsidP="00323CE2">
            <w:pPr>
              <w:jc w:val="both"/>
              <w:rPr>
                <w:rFonts w:eastAsia="Calibri"/>
              </w:rPr>
            </w:pPr>
            <w:r w:rsidRPr="00BA6363">
              <w:t>Papildināt</w:t>
            </w:r>
            <w:r>
              <w:t>s</w:t>
            </w:r>
            <w:r w:rsidRPr="00BA6363">
              <w:t xml:space="preserve"> anotācijas I sadaļa</w:t>
            </w:r>
            <w:r>
              <w:t>s 2. punkts</w:t>
            </w:r>
          </w:p>
        </w:tc>
      </w:tr>
      <w:tr w:rsidR="00323CE2" w:rsidRPr="003D4B0F" w14:paraId="35A1946D" w14:textId="77777777" w:rsidTr="0002549B">
        <w:tc>
          <w:tcPr>
            <w:tcW w:w="534" w:type="dxa"/>
            <w:tcBorders>
              <w:top w:val="single" w:sz="6" w:space="0" w:color="000000"/>
              <w:left w:val="single" w:sz="6" w:space="0" w:color="000000"/>
              <w:bottom w:val="single" w:sz="6" w:space="0" w:color="000000"/>
              <w:right w:val="single" w:sz="6" w:space="0" w:color="000000"/>
            </w:tcBorders>
            <w:vAlign w:val="center"/>
          </w:tcPr>
          <w:p w14:paraId="5CB4BFA9" w14:textId="290F987D" w:rsidR="00323CE2" w:rsidRPr="003D4B0F" w:rsidRDefault="00323CE2" w:rsidP="00323CE2">
            <w:pPr>
              <w:jc w:val="center"/>
            </w:pPr>
            <w:r w:rsidRPr="003D4B0F">
              <w:t>5.</w:t>
            </w:r>
          </w:p>
        </w:tc>
        <w:tc>
          <w:tcPr>
            <w:tcW w:w="2152" w:type="dxa"/>
            <w:tcBorders>
              <w:top w:val="single" w:sz="6" w:space="0" w:color="000000"/>
              <w:left w:val="single" w:sz="6" w:space="0" w:color="000000"/>
              <w:bottom w:val="single" w:sz="6" w:space="0" w:color="000000"/>
              <w:right w:val="single" w:sz="6" w:space="0" w:color="000000"/>
            </w:tcBorders>
          </w:tcPr>
          <w:p w14:paraId="4C1FA284" w14:textId="1FC6FAB3" w:rsidR="00323CE2" w:rsidRPr="003D4B0F" w:rsidRDefault="00323CE2" w:rsidP="00323CE2">
            <w:pPr>
              <w:rPr>
                <w:b/>
              </w:rPr>
            </w:pPr>
            <w:r>
              <w:rPr>
                <w:b/>
              </w:rPr>
              <w:t>Anotācijas III sadaļas 8. punkts</w:t>
            </w:r>
          </w:p>
        </w:tc>
        <w:tc>
          <w:tcPr>
            <w:tcW w:w="5103" w:type="dxa"/>
            <w:tcBorders>
              <w:top w:val="single" w:sz="6" w:space="0" w:color="000000"/>
              <w:left w:val="single" w:sz="6" w:space="0" w:color="000000"/>
              <w:bottom w:val="single" w:sz="6" w:space="0" w:color="000000"/>
              <w:right w:val="single" w:sz="6" w:space="0" w:color="000000"/>
            </w:tcBorders>
          </w:tcPr>
          <w:p w14:paraId="215D789A" w14:textId="5D479ABE" w:rsidR="00323CE2" w:rsidRPr="00001F9C" w:rsidRDefault="00323CE2" w:rsidP="00323CE2">
            <w:pPr>
              <w:spacing w:before="120" w:after="120"/>
              <w:jc w:val="center"/>
              <w:rPr>
                <w:b/>
                <w:bCs/>
              </w:rPr>
            </w:pPr>
            <w:r w:rsidRPr="005931FB">
              <w:rPr>
                <w:b/>
                <w:bCs/>
              </w:rPr>
              <w:t>Finanšu ministrija</w:t>
            </w:r>
            <w:r>
              <w:rPr>
                <w:b/>
                <w:bCs/>
              </w:rPr>
              <w:t>s</w:t>
            </w:r>
            <w:r w:rsidRPr="005931FB">
              <w:rPr>
                <w:b/>
                <w:bCs/>
              </w:rPr>
              <w:t xml:space="preserve"> </w:t>
            </w:r>
            <w:r w:rsidRPr="00E35341">
              <w:rPr>
                <w:b/>
                <w:bCs/>
              </w:rPr>
              <w:t>(</w:t>
            </w:r>
            <w:r>
              <w:rPr>
                <w:b/>
                <w:bCs/>
              </w:rPr>
              <w:t>FM</w:t>
            </w:r>
            <w:r w:rsidRPr="00E35341">
              <w:rPr>
                <w:b/>
                <w:bCs/>
              </w:rPr>
              <w:t xml:space="preserve">) </w:t>
            </w:r>
            <w:r>
              <w:rPr>
                <w:b/>
                <w:bCs/>
              </w:rPr>
              <w:t>14</w:t>
            </w:r>
            <w:r w:rsidRPr="00E35341">
              <w:rPr>
                <w:b/>
                <w:bCs/>
              </w:rPr>
              <w:t>.1</w:t>
            </w:r>
            <w:r>
              <w:rPr>
                <w:b/>
                <w:bCs/>
              </w:rPr>
              <w:t>1</w:t>
            </w:r>
            <w:r w:rsidRPr="00E35341">
              <w:rPr>
                <w:b/>
                <w:bCs/>
              </w:rPr>
              <w:t>.2019 atzinums</w:t>
            </w:r>
          </w:p>
          <w:p w14:paraId="77858D04" w14:textId="1704EAEE" w:rsidR="00323CE2" w:rsidRPr="0078704D" w:rsidRDefault="00323CE2" w:rsidP="005E366B">
            <w:pPr>
              <w:jc w:val="both"/>
            </w:pPr>
            <w:r>
              <w:t>Lūdzam anotācijas III sadaļas “</w:t>
            </w:r>
            <w:r w:rsidRPr="00162593">
              <w:t>Tiesību akta projekta ietekme uz valsts budžetu un pašvaldību budžetiem</w:t>
            </w:r>
            <w:r>
              <w:t xml:space="preserve">” (turpmāk – III sadaļa) 8.punktā VARAM budžeta apakšprogrammai 33.01.00 “Emisijas kvotu izsolīšanas instrumenta administrācija” norādīt kopējo plānoto finansējuma apmēru atbilstoši likumprojektam “Par valsts budžetu 2020.gadam” un likumprojektam “Par vidēja termiņa budžeta ietvaru 2020., 2021. un 2022.gadam” . </w:t>
            </w:r>
          </w:p>
          <w:p w14:paraId="74AA780B" w14:textId="76AC1DBD" w:rsidR="00323CE2" w:rsidRPr="003D4B0F" w:rsidRDefault="00323CE2" w:rsidP="00323CE2">
            <w:pPr>
              <w:jc w:val="both"/>
              <w:rPr>
                <w:b/>
              </w:rPr>
            </w:pPr>
          </w:p>
        </w:tc>
        <w:tc>
          <w:tcPr>
            <w:tcW w:w="3827" w:type="dxa"/>
            <w:tcBorders>
              <w:top w:val="single" w:sz="6" w:space="0" w:color="000000"/>
              <w:left w:val="single" w:sz="6" w:space="0" w:color="000000"/>
              <w:bottom w:val="single" w:sz="6" w:space="0" w:color="000000"/>
              <w:right w:val="single" w:sz="6" w:space="0" w:color="000000"/>
            </w:tcBorders>
          </w:tcPr>
          <w:p w14:paraId="4ACC32E2" w14:textId="371A9480" w:rsidR="00323CE2" w:rsidRPr="00323CE2" w:rsidRDefault="00323CE2" w:rsidP="00323CE2">
            <w:pPr>
              <w:spacing w:before="120" w:after="120"/>
              <w:jc w:val="center"/>
              <w:rPr>
                <w:b/>
              </w:rPr>
            </w:pPr>
            <w:r>
              <w:rPr>
                <w:b/>
              </w:rPr>
              <w:t>Ņ</w:t>
            </w:r>
            <w:r w:rsidRPr="00323CE2">
              <w:rPr>
                <w:b/>
              </w:rPr>
              <w:t>emts vērā</w:t>
            </w:r>
          </w:p>
        </w:tc>
        <w:tc>
          <w:tcPr>
            <w:tcW w:w="2952" w:type="dxa"/>
            <w:tcBorders>
              <w:top w:val="single" w:sz="4" w:space="0" w:color="auto"/>
              <w:left w:val="single" w:sz="4" w:space="0" w:color="auto"/>
              <w:bottom w:val="single" w:sz="4" w:space="0" w:color="auto"/>
            </w:tcBorders>
          </w:tcPr>
          <w:p w14:paraId="16C8EFBB" w14:textId="524B105A" w:rsidR="00323CE2" w:rsidRPr="003D4B0F" w:rsidRDefault="00323CE2" w:rsidP="00323CE2">
            <w:pPr>
              <w:jc w:val="both"/>
              <w:rPr>
                <w:rFonts w:eastAsia="Calibri"/>
              </w:rPr>
            </w:pPr>
            <w:r>
              <w:rPr>
                <w:rFonts w:eastAsia="Calibri"/>
              </w:rPr>
              <w:t>Precizēts anotācijas III sadaļas 8. punkts</w:t>
            </w:r>
          </w:p>
        </w:tc>
      </w:tr>
      <w:tr w:rsidR="00323CE2" w:rsidRPr="003D4B0F" w14:paraId="52900685" w14:textId="77777777" w:rsidTr="0002549B">
        <w:tc>
          <w:tcPr>
            <w:tcW w:w="534" w:type="dxa"/>
            <w:tcBorders>
              <w:top w:val="single" w:sz="6" w:space="0" w:color="000000"/>
              <w:left w:val="single" w:sz="6" w:space="0" w:color="000000"/>
              <w:bottom w:val="single" w:sz="6" w:space="0" w:color="000000"/>
              <w:right w:val="single" w:sz="6" w:space="0" w:color="000000"/>
            </w:tcBorders>
            <w:vAlign w:val="center"/>
          </w:tcPr>
          <w:p w14:paraId="7E735353" w14:textId="4CBF71F5" w:rsidR="00323CE2" w:rsidRPr="003D4B0F" w:rsidRDefault="00323CE2" w:rsidP="00323CE2">
            <w:pPr>
              <w:jc w:val="center"/>
            </w:pPr>
            <w:r w:rsidRPr="003D4B0F">
              <w:t>6.</w:t>
            </w:r>
          </w:p>
        </w:tc>
        <w:tc>
          <w:tcPr>
            <w:tcW w:w="2152" w:type="dxa"/>
            <w:tcBorders>
              <w:top w:val="single" w:sz="6" w:space="0" w:color="000000"/>
              <w:left w:val="single" w:sz="6" w:space="0" w:color="000000"/>
              <w:bottom w:val="single" w:sz="6" w:space="0" w:color="000000"/>
              <w:right w:val="single" w:sz="6" w:space="0" w:color="000000"/>
            </w:tcBorders>
          </w:tcPr>
          <w:p w14:paraId="29509FC0" w14:textId="63EE983C" w:rsidR="00323CE2" w:rsidRPr="003D4B0F" w:rsidRDefault="00323CE2" w:rsidP="00323CE2">
            <w:pPr>
              <w:jc w:val="both"/>
              <w:rPr>
                <w:b/>
              </w:rPr>
            </w:pPr>
            <w:r>
              <w:rPr>
                <w:b/>
              </w:rPr>
              <w:t>Anotācijas III sadaļa</w:t>
            </w:r>
          </w:p>
        </w:tc>
        <w:tc>
          <w:tcPr>
            <w:tcW w:w="5103" w:type="dxa"/>
            <w:tcBorders>
              <w:top w:val="single" w:sz="6" w:space="0" w:color="000000"/>
              <w:left w:val="single" w:sz="6" w:space="0" w:color="000000"/>
              <w:bottom w:val="single" w:sz="6" w:space="0" w:color="000000"/>
              <w:right w:val="single" w:sz="6" w:space="0" w:color="000000"/>
            </w:tcBorders>
          </w:tcPr>
          <w:p w14:paraId="15ED146B" w14:textId="456B23EB" w:rsidR="00323CE2" w:rsidRDefault="00323CE2" w:rsidP="00323CE2">
            <w:pPr>
              <w:jc w:val="center"/>
            </w:pPr>
            <w:r w:rsidRPr="005931FB">
              <w:rPr>
                <w:b/>
                <w:bCs/>
              </w:rPr>
              <w:t>Finanšu ministrija</w:t>
            </w:r>
            <w:r>
              <w:rPr>
                <w:b/>
                <w:bCs/>
              </w:rPr>
              <w:t>s</w:t>
            </w:r>
            <w:r w:rsidRPr="005931FB">
              <w:rPr>
                <w:b/>
                <w:bCs/>
              </w:rPr>
              <w:t xml:space="preserve"> </w:t>
            </w:r>
            <w:r w:rsidRPr="00E35341">
              <w:rPr>
                <w:b/>
                <w:bCs/>
              </w:rPr>
              <w:t>(</w:t>
            </w:r>
            <w:r>
              <w:rPr>
                <w:b/>
                <w:bCs/>
              </w:rPr>
              <w:t>FM</w:t>
            </w:r>
            <w:r w:rsidRPr="00E35341">
              <w:rPr>
                <w:b/>
                <w:bCs/>
              </w:rPr>
              <w:t xml:space="preserve">) </w:t>
            </w:r>
            <w:r>
              <w:rPr>
                <w:b/>
                <w:bCs/>
              </w:rPr>
              <w:t>14</w:t>
            </w:r>
            <w:r w:rsidRPr="00E35341">
              <w:rPr>
                <w:b/>
                <w:bCs/>
              </w:rPr>
              <w:t>.1</w:t>
            </w:r>
            <w:r>
              <w:rPr>
                <w:b/>
                <w:bCs/>
              </w:rPr>
              <w:t>1</w:t>
            </w:r>
            <w:r w:rsidRPr="00E35341">
              <w:rPr>
                <w:b/>
                <w:bCs/>
              </w:rPr>
              <w:t>.2019 atzinums</w:t>
            </w:r>
          </w:p>
          <w:p w14:paraId="150D4153" w14:textId="7CB8B93B" w:rsidR="00323CE2" w:rsidRPr="0047186F" w:rsidRDefault="00323CE2" w:rsidP="005E366B">
            <w:pPr>
              <w:jc w:val="both"/>
            </w:pPr>
            <w:r>
              <w:t xml:space="preserve">Lūdzam anotācijas III sadaļas ailē “turpmākie trīs gadi” 2022.gadam precizēt “n+2” vērtību, to vietā norādot attiecīgo gadu. </w:t>
            </w:r>
          </w:p>
        </w:tc>
        <w:tc>
          <w:tcPr>
            <w:tcW w:w="3827" w:type="dxa"/>
            <w:tcBorders>
              <w:top w:val="single" w:sz="6" w:space="0" w:color="000000"/>
              <w:left w:val="single" w:sz="6" w:space="0" w:color="000000"/>
              <w:bottom w:val="single" w:sz="6" w:space="0" w:color="000000"/>
              <w:right w:val="single" w:sz="6" w:space="0" w:color="000000"/>
            </w:tcBorders>
          </w:tcPr>
          <w:p w14:paraId="388FC5F3" w14:textId="148D47B2" w:rsidR="00323CE2" w:rsidRPr="003D4B0F" w:rsidRDefault="00323CE2" w:rsidP="00323CE2">
            <w:pPr>
              <w:spacing w:before="120" w:after="120"/>
              <w:jc w:val="center"/>
              <w:rPr>
                <w:b/>
              </w:rPr>
            </w:pPr>
            <w:r>
              <w:rPr>
                <w:b/>
              </w:rPr>
              <w:t>Ņemts vērā</w:t>
            </w:r>
          </w:p>
        </w:tc>
        <w:tc>
          <w:tcPr>
            <w:tcW w:w="2952" w:type="dxa"/>
            <w:tcBorders>
              <w:top w:val="single" w:sz="4" w:space="0" w:color="auto"/>
              <w:left w:val="single" w:sz="4" w:space="0" w:color="auto"/>
              <w:bottom w:val="single" w:sz="4" w:space="0" w:color="auto"/>
            </w:tcBorders>
          </w:tcPr>
          <w:p w14:paraId="7EA9C8F9" w14:textId="59F12DD2" w:rsidR="00323CE2" w:rsidRPr="00323CE2" w:rsidRDefault="00323CE2" w:rsidP="00323CE2">
            <w:pPr>
              <w:jc w:val="both"/>
            </w:pPr>
            <w:r w:rsidRPr="00323CE2">
              <w:t>Precizēta Anotācijas III sada</w:t>
            </w:r>
            <w:r>
              <w:t>ļa</w:t>
            </w:r>
          </w:p>
        </w:tc>
      </w:tr>
      <w:tr w:rsidR="00323CE2" w:rsidRPr="003D4B0F" w14:paraId="726D350D" w14:textId="77777777" w:rsidTr="0002549B">
        <w:tc>
          <w:tcPr>
            <w:tcW w:w="534" w:type="dxa"/>
            <w:tcBorders>
              <w:top w:val="single" w:sz="6" w:space="0" w:color="000000"/>
              <w:left w:val="single" w:sz="6" w:space="0" w:color="000000"/>
              <w:bottom w:val="single" w:sz="6" w:space="0" w:color="000000"/>
              <w:right w:val="single" w:sz="6" w:space="0" w:color="000000"/>
            </w:tcBorders>
            <w:vAlign w:val="center"/>
          </w:tcPr>
          <w:p w14:paraId="5A899D3A" w14:textId="411164B5" w:rsidR="00323CE2" w:rsidRPr="003D4B0F" w:rsidRDefault="00323CE2" w:rsidP="00323CE2">
            <w:pPr>
              <w:jc w:val="center"/>
            </w:pPr>
            <w:r w:rsidRPr="003D4B0F">
              <w:t>7.</w:t>
            </w:r>
          </w:p>
        </w:tc>
        <w:tc>
          <w:tcPr>
            <w:tcW w:w="2152" w:type="dxa"/>
            <w:tcBorders>
              <w:top w:val="single" w:sz="6" w:space="0" w:color="000000"/>
              <w:left w:val="single" w:sz="6" w:space="0" w:color="000000"/>
              <w:bottom w:val="single" w:sz="6" w:space="0" w:color="000000"/>
              <w:right w:val="single" w:sz="6" w:space="0" w:color="000000"/>
            </w:tcBorders>
          </w:tcPr>
          <w:p w14:paraId="6C618DEA" w14:textId="044F2048" w:rsidR="00323CE2" w:rsidRPr="003D4B0F" w:rsidRDefault="00323CE2" w:rsidP="00323CE2">
            <w:pPr>
              <w:jc w:val="both"/>
              <w:rPr>
                <w:b/>
              </w:rPr>
            </w:pPr>
            <w:r w:rsidRPr="00823124">
              <w:rPr>
                <w:b/>
              </w:rPr>
              <w:t>MK noteikumu projekts</w:t>
            </w:r>
          </w:p>
        </w:tc>
        <w:tc>
          <w:tcPr>
            <w:tcW w:w="5103" w:type="dxa"/>
            <w:tcBorders>
              <w:top w:val="single" w:sz="6" w:space="0" w:color="000000"/>
              <w:left w:val="single" w:sz="6" w:space="0" w:color="000000"/>
              <w:bottom w:val="single" w:sz="6" w:space="0" w:color="000000"/>
              <w:right w:val="single" w:sz="6" w:space="0" w:color="000000"/>
            </w:tcBorders>
          </w:tcPr>
          <w:p w14:paraId="19B26952" w14:textId="3A4DCEF4" w:rsidR="00323CE2" w:rsidRDefault="00323CE2" w:rsidP="00323CE2">
            <w:pPr>
              <w:jc w:val="center"/>
            </w:pPr>
            <w:r w:rsidRPr="005931FB">
              <w:rPr>
                <w:b/>
                <w:bCs/>
              </w:rPr>
              <w:t>Finanšu ministrija</w:t>
            </w:r>
            <w:r>
              <w:rPr>
                <w:b/>
                <w:bCs/>
              </w:rPr>
              <w:t>s</w:t>
            </w:r>
            <w:r w:rsidRPr="005931FB">
              <w:rPr>
                <w:b/>
                <w:bCs/>
              </w:rPr>
              <w:t xml:space="preserve"> </w:t>
            </w:r>
            <w:r w:rsidRPr="00E35341">
              <w:rPr>
                <w:b/>
                <w:bCs/>
              </w:rPr>
              <w:t>(</w:t>
            </w:r>
            <w:r>
              <w:rPr>
                <w:b/>
                <w:bCs/>
              </w:rPr>
              <w:t>FM</w:t>
            </w:r>
            <w:r w:rsidRPr="00E35341">
              <w:rPr>
                <w:b/>
                <w:bCs/>
              </w:rPr>
              <w:t xml:space="preserve">) </w:t>
            </w:r>
            <w:r>
              <w:rPr>
                <w:b/>
                <w:bCs/>
              </w:rPr>
              <w:t>14</w:t>
            </w:r>
            <w:r w:rsidRPr="00E35341">
              <w:rPr>
                <w:b/>
                <w:bCs/>
              </w:rPr>
              <w:t>.</w:t>
            </w:r>
            <w:r>
              <w:rPr>
                <w:b/>
                <w:bCs/>
              </w:rPr>
              <w:t>11</w:t>
            </w:r>
            <w:r w:rsidRPr="00E35341">
              <w:rPr>
                <w:b/>
                <w:bCs/>
              </w:rPr>
              <w:t>.2019 atzinums</w:t>
            </w:r>
          </w:p>
          <w:p w14:paraId="01B13C97" w14:textId="77777777" w:rsidR="00323CE2" w:rsidRDefault="00323CE2" w:rsidP="005E366B">
            <w:pPr>
              <w:jc w:val="both"/>
            </w:pPr>
            <w:r>
              <w:lastRenderedPageBreak/>
              <w:t xml:space="preserve">Lūdzam izvērtēt nepieciešamību precizēt noteikumu projektu, ņemot vērā, ka tajā ietvertie grozījumi paredz, ka VARAM kā atbildīgā iestāde saistībā ar projektu īstenošanas kontroli un auditu tiek svītrota no tā informācijas saņēmēju loka, kurai finansējuma saņēmējam jānodrošina pieeja projekta dokumentācijai, vienlaikus noteikumu projekts neparedz mainīt nosacījumu, ka VARAM kā atbildīgai iestādei ir tiesības veikt pārbaudes projekta īstenošanas vietās.  </w:t>
            </w:r>
          </w:p>
          <w:p w14:paraId="758E2DA9" w14:textId="7A8FBA22" w:rsidR="00323CE2" w:rsidRPr="003D4B0F" w:rsidRDefault="00323CE2" w:rsidP="00323CE2">
            <w:pPr>
              <w:jc w:val="both"/>
              <w:rPr>
                <w:b/>
              </w:rPr>
            </w:pPr>
          </w:p>
        </w:tc>
        <w:tc>
          <w:tcPr>
            <w:tcW w:w="3827" w:type="dxa"/>
            <w:tcBorders>
              <w:top w:val="single" w:sz="6" w:space="0" w:color="000000"/>
              <w:left w:val="single" w:sz="6" w:space="0" w:color="000000"/>
              <w:bottom w:val="single" w:sz="6" w:space="0" w:color="000000"/>
              <w:right w:val="single" w:sz="6" w:space="0" w:color="000000"/>
            </w:tcBorders>
          </w:tcPr>
          <w:p w14:paraId="18A9CF0D" w14:textId="3B29A6BA" w:rsidR="0009545B" w:rsidRPr="0009545B" w:rsidRDefault="0009545B" w:rsidP="0009545B">
            <w:pPr>
              <w:spacing w:before="120" w:after="120"/>
              <w:jc w:val="center"/>
              <w:rPr>
                <w:b/>
              </w:rPr>
            </w:pPr>
            <w:r w:rsidRPr="0009545B">
              <w:rPr>
                <w:b/>
              </w:rPr>
              <w:lastRenderedPageBreak/>
              <w:t>Ņemts vērā</w:t>
            </w:r>
          </w:p>
          <w:p w14:paraId="6A7A9CB6" w14:textId="769EF3A8" w:rsidR="00323CE2" w:rsidRPr="003D4B0F" w:rsidRDefault="00323CE2" w:rsidP="00323CE2">
            <w:pPr>
              <w:spacing w:before="120" w:after="120"/>
              <w:jc w:val="both"/>
              <w:rPr>
                <w:b/>
              </w:rPr>
            </w:pPr>
            <w:r w:rsidRPr="00265E37">
              <w:lastRenderedPageBreak/>
              <w:t xml:space="preserve">MK Noteikumu projektā dzēsta iepriekš piedāvātā redakcija: “1.18. svītrot </w:t>
            </w:r>
            <w:r>
              <w:t>87</w:t>
            </w:r>
            <w:r w:rsidRPr="00265E37">
              <w:t>. punkta ievaddaļā vārdu “ministrijai””, tādā veidā VARAM tiek nodrošināta pieeja projektu dokumentācijai.</w:t>
            </w:r>
          </w:p>
        </w:tc>
        <w:tc>
          <w:tcPr>
            <w:tcW w:w="2952" w:type="dxa"/>
            <w:tcBorders>
              <w:top w:val="single" w:sz="4" w:space="0" w:color="auto"/>
              <w:left w:val="single" w:sz="4" w:space="0" w:color="auto"/>
              <w:bottom w:val="single" w:sz="4" w:space="0" w:color="auto"/>
            </w:tcBorders>
          </w:tcPr>
          <w:p w14:paraId="7CDAD6BE" w14:textId="66BF5FE5" w:rsidR="00323CE2" w:rsidRPr="00323CE2" w:rsidRDefault="00323CE2" w:rsidP="00323CE2">
            <w:pPr>
              <w:jc w:val="both"/>
              <w:rPr>
                <w:b/>
              </w:rPr>
            </w:pPr>
            <w:r w:rsidRPr="00323CE2">
              <w:rPr>
                <w:rFonts w:eastAsia="Calibri"/>
                <w:bCs/>
                <w:color w:val="000000" w:themeColor="text1"/>
              </w:rPr>
              <w:lastRenderedPageBreak/>
              <w:t xml:space="preserve">Ministru kabineta 2018. gada 17. jūlija noteikumu </w:t>
            </w:r>
            <w:r w:rsidRPr="00323CE2">
              <w:rPr>
                <w:rFonts w:eastAsia="Calibri"/>
                <w:bCs/>
                <w:color w:val="000000" w:themeColor="text1"/>
              </w:rPr>
              <w:lastRenderedPageBreak/>
              <w:t>Nr. 418 “Emisijas kvotu izsolīšanas instrumenta finansēto projektu atklāta konkursa “Siltumnīcefekta gāzu emisiju samazināšana, attīstot enerģētiski pašpietiekamu ēku būvniecību” nolikums”87. punkts paliek šobrīd spēkā esošajā redakcijā.</w:t>
            </w:r>
          </w:p>
        </w:tc>
      </w:tr>
      <w:tr w:rsidR="00323CE2" w:rsidRPr="003D4B0F" w14:paraId="11FB374E" w14:textId="77777777" w:rsidTr="0002549B">
        <w:tc>
          <w:tcPr>
            <w:tcW w:w="534" w:type="dxa"/>
            <w:tcBorders>
              <w:top w:val="single" w:sz="6" w:space="0" w:color="000000"/>
              <w:left w:val="single" w:sz="6" w:space="0" w:color="000000"/>
              <w:bottom w:val="single" w:sz="6" w:space="0" w:color="000000"/>
              <w:right w:val="single" w:sz="6" w:space="0" w:color="000000"/>
            </w:tcBorders>
            <w:vAlign w:val="center"/>
          </w:tcPr>
          <w:p w14:paraId="4F26C2A7" w14:textId="713190DA" w:rsidR="00323CE2" w:rsidRPr="003D4B0F" w:rsidRDefault="00323CE2" w:rsidP="00323CE2">
            <w:pPr>
              <w:jc w:val="center"/>
            </w:pPr>
            <w:r w:rsidRPr="003D4B0F">
              <w:lastRenderedPageBreak/>
              <w:t>8.</w:t>
            </w:r>
          </w:p>
        </w:tc>
        <w:tc>
          <w:tcPr>
            <w:tcW w:w="2152" w:type="dxa"/>
            <w:tcBorders>
              <w:top w:val="single" w:sz="6" w:space="0" w:color="000000"/>
              <w:left w:val="single" w:sz="6" w:space="0" w:color="000000"/>
              <w:bottom w:val="single" w:sz="6" w:space="0" w:color="000000"/>
              <w:right w:val="single" w:sz="6" w:space="0" w:color="000000"/>
            </w:tcBorders>
          </w:tcPr>
          <w:p w14:paraId="1D065317" w14:textId="3522AF90" w:rsidR="00323CE2" w:rsidRPr="003D4B0F" w:rsidRDefault="00323CE2" w:rsidP="00323CE2">
            <w:pPr>
              <w:jc w:val="both"/>
              <w:rPr>
                <w:b/>
              </w:rPr>
            </w:pPr>
            <w:r w:rsidRPr="00823124">
              <w:rPr>
                <w:b/>
              </w:rPr>
              <w:t>MK noteikumu projekts</w:t>
            </w:r>
          </w:p>
        </w:tc>
        <w:tc>
          <w:tcPr>
            <w:tcW w:w="5103" w:type="dxa"/>
            <w:tcBorders>
              <w:top w:val="single" w:sz="6" w:space="0" w:color="000000"/>
              <w:left w:val="single" w:sz="6" w:space="0" w:color="000000"/>
              <w:bottom w:val="single" w:sz="6" w:space="0" w:color="000000"/>
              <w:right w:val="single" w:sz="6" w:space="0" w:color="000000"/>
            </w:tcBorders>
          </w:tcPr>
          <w:p w14:paraId="2D47CA8F" w14:textId="4E29A032" w:rsidR="00323CE2" w:rsidRDefault="00323CE2" w:rsidP="00323CE2">
            <w:pPr>
              <w:jc w:val="center"/>
            </w:pPr>
            <w:r>
              <w:rPr>
                <w:b/>
                <w:bCs/>
              </w:rPr>
              <w:t>Tieslietu</w:t>
            </w:r>
            <w:r w:rsidRPr="005931FB">
              <w:rPr>
                <w:b/>
                <w:bCs/>
              </w:rPr>
              <w:t xml:space="preserve"> ministrija</w:t>
            </w:r>
            <w:r>
              <w:rPr>
                <w:b/>
                <w:bCs/>
              </w:rPr>
              <w:t>s</w:t>
            </w:r>
            <w:r w:rsidRPr="005931FB">
              <w:rPr>
                <w:b/>
                <w:bCs/>
              </w:rPr>
              <w:t xml:space="preserve"> </w:t>
            </w:r>
            <w:r w:rsidRPr="00E35341">
              <w:rPr>
                <w:b/>
                <w:bCs/>
              </w:rPr>
              <w:t>(</w:t>
            </w:r>
            <w:r>
              <w:rPr>
                <w:b/>
                <w:bCs/>
              </w:rPr>
              <w:t>TM</w:t>
            </w:r>
            <w:r w:rsidRPr="00E35341">
              <w:rPr>
                <w:b/>
                <w:bCs/>
              </w:rPr>
              <w:t xml:space="preserve">) </w:t>
            </w:r>
            <w:r>
              <w:rPr>
                <w:b/>
                <w:bCs/>
              </w:rPr>
              <w:t>14</w:t>
            </w:r>
            <w:r w:rsidRPr="00E35341">
              <w:rPr>
                <w:b/>
                <w:bCs/>
              </w:rPr>
              <w:t>.1</w:t>
            </w:r>
            <w:r>
              <w:rPr>
                <w:b/>
                <w:bCs/>
              </w:rPr>
              <w:t>1</w:t>
            </w:r>
            <w:r w:rsidRPr="00E35341">
              <w:rPr>
                <w:b/>
                <w:bCs/>
              </w:rPr>
              <w:t>.2019 atzinums</w:t>
            </w:r>
          </w:p>
          <w:p w14:paraId="16AE6BB4" w14:textId="363289F2" w:rsidR="00323CE2" w:rsidRPr="003D4B0F" w:rsidRDefault="00323CE2" w:rsidP="005E366B">
            <w:pPr>
              <w:jc w:val="both"/>
              <w:rPr>
                <w:b/>
              </w:rPr>
            </w:pPr>
            <w:r w:rsidRPr="0047186F">
              <w:t xml:space="preserve">Norādām, ka Valsts pārvaldes iekārtas likuma 43. panta otrā daļa noteic, ka „Deleģējot pārvaldes uzdevumu ar līgumu, attiecībā uz konkrētā uzdevuma izpildi pilnvarotā persona atrodas tās iestādes </w:t>
            </w:r>
            <w:r w:rsidRPr="0047186F">
              <w:rPr>
                <w:u w:val="single"/>
              </w:rPr>
              <w:t>padotībā</w:t>
            </w:r>
            <w:r w:rsidRPr="0047186F">
              <w:t xml:space="preserve">, kura slēdz līgumu.” Ievērojot minēto, lūdzam precizēt projekta 1.1. apakšpunktu, kas šobrīd paredz, ka </w:t>
            </w:r>
            <w:r w:rsidRPr="0047186F">
              <w:rPr>
                <w:bCs/>
                <w:iCs/>
              </w:rPr>
              <w:t xml:space="preserve">sabiedrība ar ierobežotu atbildību "Vides investīciju fonds” (turpmāk – Vides investīciju fonds) attiecībā uz tai deleģēto valsts pārvaldes uzdevuma izpildi ir Vides aizsardzības un reģionālās attīstības ministrija (turpmāk - ministrija) </w:t>
            </w:r>
            <w:r w:rsidRPr="0047186F">
              <w:rPr>
                <w:bCs/>
                <w:iCs/>
                <w:u w:val="single"/>
              </w:rPr>
              <w:t>pārraudzībā</w:t>
            </w:r>
            <w:r w:rsidRPr="0047186F">
              <w:rPr>
                <w:bCs/>
                <w:iCs/>
              </w:rPr>
              <w:t>. Turklāt, lai izvairītos no normatīvo aktu normu dublēšanas, lūdzam svītrot projekta 1.1. apakšpunktā izteiktā 3. punkta pēdējo teikumu, jo prasību, ka Vides investīciju fonds attiecībā uz tam deleģēto valsts pārvaldes uzdevuma izpildi būs ministrijas padotībā, noteic Valsts pārvaldes iekārtas likuma 43. panta otrā daļa, vai arī projekta anotācijā skaidrot nepieciešamību projektā dublēt minēto likuma normu</w:t>
            </w:r>
          </w:p>
        </w:tc>
        <w:tc>
          <w:tcPr>
            <w:tcW w:w="3827" w:type="dxa"/>
            <w:tcBorders>
              <w:top w:val="single" w:sz="6" w:space="0" w:color="000000"/>
              <w:left w:val="single" w:sz="6" w:space="0" w:color="000000"/>
              <w:bottom w:val="single" w:sz="6" w:space="0" w:color="000000"/>
              <w:right w:val="single" w:sz="6" w:space="0" w:color="000000"/>
            </w:tcBorders>
          </w:tcPr>
          <w:p w14:paraId="71A77E5B" w14:textId="77777777" w:rsidR="00323CE2" w:rsidRDefault="00AA03EA" w:rsidP="00AA03EA">
            <w:pPr>
              <w:spacing w:before="120" w:after="120"/>
              <w:jc w:val="center"/>
              <w:rPr>
                <w:b/>
              </w:rPr>
            </w:pPr>
            <w:r>
              <w:rPr>
                <w:b/>
              </w:rPr>
              <w:t>Ņemts vērā</w:t>
            </w:r>
          </w:p>
          <w:p w14:paraId="41A7678A" w14:textId="24B7F251" w:rsidR="00551844" w:rsidRPr="002C6325" w:rsidRDefault="00551844" w:rsidP="002C6325">
            <w:pPr>
              <w:pStyle w:val="CommentText"/>
              <w:jc w:val="both"/>
              <w:rPr>
                <w:bCs/>
                <w:iCs/>
                <w:color w:val="000000" w:themeColor="text1"/>
                <w:sz w:val="24"/>
                <w:szCs w:val="24"/>
              </w:rPr>
            </w:pPr>
            <w:r w:rsidRPr="002C6325">
              <w:rPr>
                <w:color w:val="000000" w:themeColor="text1"/>
                <w:sz w:val="24"/>
                <w:szCs w:val="24"/>
              </w:rPr>
              <w:t xml:space="preserve">Saskaņā ar VPIL 7.panta trešo daļu  padotību īsteno pakļautības vai pārraudzības formā. Līdz ar to tiesiskās skaidrības labad ir nepieciešams izvēlēties padotības formu un šī izvēle ir noteikta noteikumu </w:t>
            </w:r>
            <w:r w:rsidRPr="002C6325">
              <w:rPr>
                <w:bCs/>
                <w:iCs/>
                <w:color w:val="000000" w:themeColor="text1"/>
                <w:sz w:val="24"/>
                <w:szCs w:val="24"/>
              </w:rPr>
              <w:t>projekta 1.1 punktā.</w:t>
            </w:r>
          </w:p>
          <w:p w14:paraId="6AA625FE" w14:textId="38D028BF" w:rsidR="00551844" w:rsidRPr="002C6325" w:rsidRDefault="00551844" w:rsidP="002C6325">
            <w:pPr>
              <w:pStyle w:val="CommentText"/>
              <w:jc w:val="both"/>
              <w:rPr>
                <w:color w:val="000000" w:themeColor="text1"/>
                <w:sz w:val="24"/>
                <w:szCs w:val="24"/>
              </w:rPr>
            </w:pPr>
            <w:r w:rsidRPr="002C6325">
              <w:rPr>
                <w:bCs/>
                <w:iCs/>
                <w:color w:val="000000" w:themeColor="text1"/>
                <w:sz w:val="24"/>
                <w:szCs w:val="24"/>
              </w:rPr>
              <w:t>Pārraudzība konkrētā gadījumā ir efektīvāka, jo ļauj VARAM vērtēt VIF lēmumu tiesiskos nevis tehniskos aspektus, kas prasītu no VARAM tehniskās ekspertīzes kapacitāti.</w:t>
            </w:r>
          </w:p>
          <w:p w14:paraId="030C6D40" w14:textId="77777777" w:rsidR="00551844" w:rsidRPr="002C6325" w:rsidRDefault="00551844" w:rsidP="002C6325">
            <w:pPr>
              <w:jc w:val="both"/>
              <w:rPr>
                <w:color w:val="000000" w:themeColor="text1"/>
              </w:rPr>
            </w:pPr>
            <w:r w:rsidRPr="002C6325">
              <w:rPr>
                <w:color w:val="000000" w:themeColor="text1"/>
              </w:rPr>
              <w:t>VPIL 7. panta  4.punkts: Pakļautība nozīmē augstākas iestādes vai amatpersonas tiesības dot rīkojumu zemākai iestādei vai amatpersonai, kā arī atcelt zemākas iestādes vai amatpersonas lēmumu.</w:t>
            </w:r>
          </w:p>
          <w:p w14:paraId="3C66A3C5" w14:textId="0EC7D9EA" w:rsidR="00551844" w:rsidRPr="003D4B0F" w:rsidRDefault="00551844" w:rsidP="002C6325">
            <w:pPr>
              <w:jc w:val="both"/>
              <w:rPr>
                <w:b/>
              </w:rPr>
            </w:pPr>
            <w:r w:rsidRPr="002C6325">
              <w:rPr>
                <w:color w:val="000000" w:themeColor="text1"/>
              </w:rPr>
              <w:t xml:space="preserve">VPIL 7.panta 5.punkts: Pārraudzība nozīmē augstākas iestādes vai </w:t>
            </w:r>
            <w:r w:rsidRPr="002C6325">
              <w:rPr>
                <w:color w:val="000000" w:themeColor="text1"/>
              </w:rPr>
              <w:lastRenderedPageBreak/>
              <w:t>amatpersonas tiesības pārbaudīt zemākas iestādes vai amatpersonas lēmuma tiesiskumu un atcelt prettiesisku lēmumu, kā arī prettiesiskas bezdarbības gadījumā dot rīkojumu pieņemt lēmumu.</w:t>
            </w:r>
          </w:p>
        </w:tc>
        <w:tc>
          <w:tcPr>
            <w:tcW w:w="2952" w:type="dxa"/>
            <w:tcBorders>
              <w:top w:val="single" w:sz="4" w:space="0" w:color="auto"/>
              <w:left w:val="single" w:sz="4" w:space="0" w:color="auto"/>
              <w:bottom w:val="single" w:sz="4" w:space="0" w:color="auto"/>
            </w:tcBorders>
          </w:tcPr>
          <w:p w14:paraId="48A58C11" w14:textId="43705FCC" w:rsidR="00323CE2" w:rsidRPr="003D4B0F" w:rsidRDefault="00551844" w:rsidP="00323CE2">
            <w:pPr>
              <w:jc w:val="both"/>
              <w:rPr>
                <w:b/>
              </w:rPr>
            </w:pPr>
            <w:r>
              <w:rPr>
                <w:color w:val="000000" w:themeColor="text1"/>
              </w:rPr>
              <w:lastRenderedPageBreak/>
              <w:t xml:space="preserve">Papildināts </w:t>
            </w:r>
            <w:r>
              <w:rPr>
                <w:bCs/>
                <w:color w:val="000000" w:themeColor="text1"/>
              </w:rPr>
              <w:t>a</w:t>
            </w:r>
            <w:r>
              <w:rPr>
                <w:color w:val="000000" w:themeColor="text1"/>
              </w:rPr>
              <w:t>notācijas I sadaļas 2. punkts.</w:t>
            </w:r>
          </w:p>
        </w:tc>
      </w:tr>
      <w:tr w:rsidR="00323CE2" w:rsidRPr="003D4B0F" w14:paraId="50DC90DC" w14:textId="77777777" w:rsidTr="0002549B">
        <w:trPr>
          <w:trHeight w:val="522"/>
        </w:trPr>
        <w:tc>
          <w:tcPr>
            <w:tcW w:w="534" w:type="dxa"/>
            <w:tcBorders>
              <w:top w:val="single" w:sz="6" w:space="0" w:color="000000"/>
              <w:left w:val="single" w:sz="6" w:space="0" w:color="000000"/>
              <w:bottom w:val="single" w:sz="6" w:space="0" w:color="000000"/>
              <w:right w:val="single" w:sz="6" w:space="0" w:color="000000"/>
            </w:tcBorders>
            <w:vAlign w:val="center"/>
          </w:tcPr>
          <w:p w14:paraId="58584FF8" w14:textId="2A0D0145" w:rsidR="00323CE2" w:rsidRPr="003D4B0F" w:rsidRDefault="00323CE2" w:rsidP="00323CE2">
            <w:pPr>
              <w:jc w:val="center"/>
            </w:pPr>
            <w:r w:rsidRPr="003D4B0F">
              <w:lastRenderedPageBreak/>
              <w:t>9.</w:t>
            </w:r>
          </w:p>
        </w:tc>
        <w:tc>
          <w:tcPr>
            <w:tcW w:w="2152" w:type="dxa"/>
            <w:tcBorders>
              <w:top w:val="single" w:sz="6" w:space="0" w:color="000000"/>
              <w:left w:val="single" w:sz="6" w:space="0" w:color="000000"/>
              <w:bottom w:val="single" w:sz="6" w:space="0" w:color="000000"/>
              <w:right w:val="single" w:sz="6" w:space="0" w:color="000000"/>
            </w:tcBorders>
          </w:tcPr>
          <w:p w14:paraId="7A7418BE" w14:textId="465D2AA7" w:rsidR="00323CE2" w:rsidRPr="003D4B0F" w:rsidRDefault="00323CE2" w:rsidP="00323CE2">
            <w:pPr>
              <w:jc w:val="both"/>
              <w:rPr>
                <w:b/>
              </w:rPr>
            </w:pPr>
            <w:r>
              <w:rPr>
                <w:b/>
              </w:rPr>
              <w:t>Anotācijas I sadaļas 2. punkts</w:t>
            </w:r>
          </w:p>
        </w:tc>
        <w:tc>
          <w:tcPr>
            <w:tcW w:w="5103" w:type="dxa"/>
            <w:tcBorders>
              <w:top w:val="single" w:sz="6" w:space="0" w:color="000000"/>
              <w:left w:val="single" w:sz="6" w:space="0" w:color="000000"/>
              <w:bottom w:val="single" w:sz="6" w:space="0" w:color="000000"/>
              <w:right w:val="single" w:sz="6" w:space="0" w:color="000000"/>
            </w:tcBorders>
          </w:tcPr>
          <w:p w14:paraId="6C1AF5DD" w14:textId="50FB2790" w:rsidR="00323CE2" w:rsidRDefault="00323CE2" w:rsidP="00323CE2">
            <w:pPr>
              <w:spacing w:before="120" w:after="120"/>
              <w:jc w:val="center"/>
            </w:pPr>
            <w:r>
              <w:rPr>
                <w:b/>
                <w:bCs/>
              </w:rPr>
              <w:t>Tieslietu</w:t>
            </w:r>
            <w:r w:rsidRPr="005931FB">
              <w:rPr>
                <w:b/>
                <w:bCs/>
              </w:rPr>
              <w:t xml:space="preserve"> ministrija</w:t>
            </w:r>
            <w:r>
              <w:rPr>
                <w:b/>
                <w:bCs/>
              </w:rPr>
              <w:t>s</w:t>
            </w:r>
            <w:r w:rsidRPr="005931FB">
              <w:rPr>
                <w:b/>
                <w:bCs/>
              </w:rPr>
              <w:t xml:space="preserve"> </w:t>
            </w:r>
            <w:r w:rsidRPr="00E35341">
              <w:rPr>
                <w:b/>
                <w:bCs/>
              </w:rPr>
              <w:t>(</w:t>
            </w:r>
            <w:r>
              <w:rPr>
                <w:b/>
                <w:bCs/>
              </w:rPr>
              <w:t>TM</w:t>
            </w:r>
            <w:r w:rsidRPr="00E35341">
              <w:rPr>
                <w:b/>
                <w:bCs/>
              </w:rPr>
              <w:t xml:space="preserve">) </w:t>
            </w:r>
            <w:r>
              <w:rPr>
                <w:b/>
                <w:bCs/>
              </w:rPr>
              <w:t>14</w:t>
            </w:r>
            <w:r w:rsidRPr="00E35341">
              <w:rPr>
                <w:b/>
                <w:bCs/>
              </w:rPr>
              <w:t>.1</w:t>
            </w:r>
            <w:r>
              <w:rPr>
                <w:b/>
                <w:bCs/>
              </w:rPr>
              <w:t>1</w:t>
            </w:r>
            <w:r w:rsidRPr="00E35341">
              <w:rPr>
                <w:b/>
                <w:bCs/>
              </w:rPr>
              <w:t>.2019 atzinums</w:t>
            </w:r>
          </w:p>
          <w:p w14:paraId="5D14D6D7" w14:textId="77777777" w:rsidR="00323CE2" w:rsidRDefault="00323CE2" w:rsidP="005E366B">
            <w:pPr>
              <w:jc w:val="both"/>
              <w:rPr>
                <w:bCs/>
                <w:iCs/>
              </w:rPr>
            </w:pPr>
            <w:r w:rsidRPr="0047186F">
              <w:t xml:space="preserve">Lūdzam projekta anotācijas I sadaļas 2. punktā izvērstāk skaidrot projektā izteikto grozījumu, tostarp projekta 1.1., 1.4., 1.9. apakšpunkta nepieciešamību un pamatotību atbilstoši </w:t>
            </w:r>
            <w:r w:rsidRPr="0047186F">
              <w:rPr>
                <w:bCs/>
                <w:iCs/>
              </w:rPr>
              <w:t>Ministru kabineta 2009. gada 15. decembra instrukcijas Nr. 19 “Tiesību akta projekta sākotnējās ietekmes izvērtēšanas kārtība” 14. punktam, cita starpā norādot pastāvošo tiesisko regulējumu un skaidrojot tā būtību, raksturojot pastāvošā tiesiskā regulējuma nepilnības un skaidrojot, kā tiesiskā regulējuma izmaiņas risinās norādīto problēmu vai atrisinās to pilnībā.</w:t>
            </w:r>
          </w:p>
          <w:p w14:paraId="0382DE2F" w14:textId="77777777" w:rsidR="003C2EAC" w:rsidRDefault="003C2EAC" w:rsidP="003C2EAC">
            <w:pPr>
              <w:jc w:val="both"/>
              <w:rPr>
                <w:bCs/>
                <w:iCs/>
              </w:rPr>
            </w:pPr>
            <w:r w:rsidRPr="0047186F">
              <w:rPr>
                <w:iCs/>
              </w:rPr>
              <w:t>Tai skaitā norādām, ka Valsts pārvaldes iekārtas likuma</w:t>
            </w:r>
            <w:r w:rsidRPr="0047186F">
              <w:t xml:space="preserve"> 40. panta pirmā daļa noteic, ka publiska persona var deleģēt privātpersonai un citai publiskai personai (turpmāk – pilnvarotā persona) pārvaldes uzdevumu, ja pilnvarotā persona attiecīgo uzdevumu var veikt efektīvāk. Savukārt Valsts pārvaldes iekārtas likuma 42. pants noteic, ka privātpersonai jābūt tiesīgai veikt attiecīgo pārvaldes uzdevumu. Lemjot par pārvaldes uzdevuma deleģēšanu privātpersonai, ņem vērā tās pieredzi, reputāciju, resursus, personāla kvalifikāciju, kā arī citus kritērijus. Lemjot par pārvaldes uzdevuma deleģēšanu personu </w:t>
            </w:r>
            <w:r w:rsidRPr="0047186F">
              <w:lastRenderedPageBreak/>
              <w:t xml:space="preserve">apvienībai, izvērtē, vai tā nepārstāv atsevišķas mantiski vai citādi ieinteresētas grupas intereses. Ievērojot minēto, lūdzam papildināt projekta anotāciju ar atbilstošu informāciju un izvērstu pamatojumu par </w:t>
            </w:r>
            <w:r w:rsidRPr="0047186F">
              <w:rPr>
                <w:bCs/>
                <w:iCs/>
              </w:rPr>
              <w:t>projekta 1.1. apakšpunktā paredzētā valsts pārvaldes uzdevuma deleģēšanu privātpersonai – Vides investīciju fondam.</w:t>
            </w:r>
          </w:p>
          <w:p w14:paraId="52E62756" w14:textId="4E927003" w:rsidR="003C2EAC" w:rsidRPr="0047186F" w:rsidRDefault="003C2EAC" w:rsidP="003C2EAC">
            <w:pPr>
              <w:jc w:val="both"/>
              <w:rPr>
                <w:b/>
              </w:rPr>
            </w:pPr>
            <w:r w:rsidRPr="0047186F">
              <w:rPr>
                <w:bCs/>
                <w:iCs/>
              </w:rPr>
              <w:t>Lūdzam arī skaidrot, kādus uzdevumus ietver projekta 1.1. apakšpunktā paredzētā projektu īstenošanas uzraudzības kontrole un kā tā atšķiras no projekta anotācijas I sadaļā norādītās kontroles funkcijas, ko nodrošinās ministrija.</w:t>
            </w:r>
          </w:p>
        </w:tc>
        <w:tc>
          <w:tcPr>
            <w:tcW w:w="3827" w:type="dxa"/>
            <w:tcBorders>
              <w:top w:val="single" w:sz="6" w:space="0" w:color="000000"/>
              <w:left w:val="single" w:sz="6" w:space="0" w:color="000000"/>
              <w:bottom w:val="single" w:sz="6" w:space="0" w:color="000000"/>
              <w:right w:val="single" w:sz="6" w:space="0" w:color="000000"/>
            </w:tcBorders>
          </w:tcPr>
          <w:p w14:paraId="75D82F06" w14:textId="77777777" w:rsidR="00BF5FD5" w:rsidRDefault="00BF5FD5" w:rsidP="00BF5FD5">
            <w:pPr>
              <w:spacing w:before="120" w:after="120"/>
              <w:jc w:val="center"/>
              <w:rPr>
                <w:b/>
              </w:rPr>
            </w:pPr>
            <w:r>
              <w:rPr>
                <w:b/>
              </w:rPr>
              <w:lastRenderedPageBreak/>
              <w:t>Ņemts vērā</w:t>
            </w:r>
          </w:p>
          <w:p w14:paraId="79A654A3" w14:textId="0190E66E" w:rsidR="003C2EAC" w:rsidRPr="00DF3FCD" w:rsidRDefault="003C2EAC" w:rsidP="003C2EAC">
            <w:pPr>
              <w:spacing w:before="120" w:after="120"/>
              <w:jc w:val="both"/>
              <w:rPr>
                <w:color w:val="000000" w:themeColor="text1"/>
              </w:rPr>
            </w:pPr>
            <w:r>
              <w:rPr>
                <w:color w:val="000000" w:themeColor="text1"/>
              </w:rPr>
              <w:t xml:space="preserve">Atbilstoši jau spēkā esošam deleģējumam (2019. gada 13.maija Atsevišķu pārvaldes uzdevumu deleģēšanas līgums V/9/2019 starp VARAM un VIF un šī līguma 1. pielikumā noteiktie deleģētie uzdevumi) </w:t>
            </w:r>
            <w:r w:rsidRPr="00FE5E22">
              <w:rPr>
                <w:color w:val="000000" w:themeColor="text1"/>
              </w:rPr>
              <w:t>VIF jau šobrīd ir deleģētas</w:t>
            </w:r>
            <w:r>
              <w:rPr>
                <w:color w:val="000000" w:themeColor="text1"/>
              </w:rPr>
              <w:t xml:space="preserve"> daudz</w:t>
            </w:r>
            <w:r w:rsidR="00BF5FD5">
              <w:rPr>
                <w:color w:val="000000" w:themeColor="text1"/>
              </w:rPr>
              <w:t>as</w:t>
            </w:r>
            <w:r w:rsidRPr="00FE5E22">
              <w:rPr>
                <w:color w:val="000000" w:themeColor="text1"/>
              </w:rPr>
              <w:t xml:space="preserve"> funkcijas, kas skar EKII projektu īstenošanas uzraudzību, </w:t>
            </w:r>
            <w:r>
              <w:rPr>
                <w:color w:val="000000" w:themeColor="text1"/>
              </w:rPr>
              <w:t>kā rezultātā</w:t>
            </w:r>
            <w:r w:rsidRPr="00FE5E22">
              <w:rPr>
                <w:color w:val="000000" w:themeColor="text1"/>
              </w:rPr>
              <w:t xml:space="preserve">, VARAM, izvērtējot iespējas veicināt projektu efektīvāku un ātrāku uzraudzības procesu, uzskata, ka VIF būtu jāpārņem saistītās funkcijas, kuru veikšanā VIF jau šobrīd </w:t>
            </w:r>
            <w:r>
              <w:rPr>
                <w:color w:val="000000" w:themeColor="text1"/>
              </w:rPr>
              <w:t xml:space="preserve">lielā mērā </w:t>
            </w:r>
            <w:r w:rsidRPr="00FE5E22">
              <w:rPr>
                <w:color w:val="000000" w:themeColor="text1"/>
              </w:rPr>
              <w:t>ir iesaistīts.</w:t>
            </w:r>
          </w:p>
          <w:p w14:paraId="627FE0E3" w14:textId="53B2F8E9" w:rsidR="00323CE2" w:rsidRPr="003D4B0F" w:rsidRDefault="003C2EAC" w:rsidP="00224B2A">
            <w:pPr>
              <w:jc w:val="both"/>
              <w:rPr>
                <w:b/>
                <w:lang w:eastAsia="x-none"/>
              </w:rPr>
            </w:pPr>
            <w:r>
              <w:t xml:space="preserve">Attiecībā uz kontroles funkcijām jāatzīmē, ka </w:t>
            </w:r>
            <w:r w:rsidRPr="00633AC2">
              <w:t xml:space="preserve">VIF veiks </w:t>
            </w:r>
            <w:r w:rsidR="00224B2A">
              <w:t xml:space="preserve">finansējuma saņēmēju īstenoto </w:t>
            </w:r>
            <w:r w:rsidRPr="00633AC2">
              <w:rPr>
                <w:iCs/>
              </w:rPr>
              <w:t>projekt</w:t>
            </w:r>
            <w:r w:rsidR="00224B2A">
              <w:rPr>
                <w:iCs/>
              </w:rPr>
              <w:t xml:space="preserve">u kontroli – EKII projektu </w:t>
            </w:r>
            <w:r w:rsidRPr="00633AC2">
              <w:rPr>
                <w:iCs/>
              </w:rPr>
              <w:t>grozījumu</w:t>
            </w:r>
            <w:r w:rsidR="00224B2A">
              <w:rPr>
                <w:iCs/>
              </w:rPr>
              <w:t>, t.sk. projekta līgumu grozījumu</w:t>
            </w:r>
            <w:r w:rsidRPr="00633AC2">
              <w:rPr>
                <w:iCs/>
              </w:rPr>
              <w:t xml:space="preserve"> un īstenošanas uzraudzības, kā arī monitoringa funkcijas</w:t>
            </w:r>
            <w:r w:rsidRPr="00633AC2">
              <w:t xml:space="preserve">, savukārt, VARAM </w:t>
            </w:r>
            <w:r w:rsidRPr="00633AC2">
              <w:rPr>
                <w:iCs/>
              </w:rPr>
              <w:t xml:space="preserve">nodrošinās </w:t>
            </w:r>
            <w:r w:rsidR="00224B2A">
              <w:rPr>
                <w:iCs/>
              </w:rPr>
              <w:t xml:space="preserve">kopējās EKII sistēmas </w:t>
            </w:r>
            <w:r w:rsidRPr="00633AC2">
              <w:rPr>
                <w:iCs/>
              </w:rPr>
              <w:t xml:space="preserve">kontroles funkcijas, kā, piemēram, iekšējās kontroles </w:t>
            </w:r>
            <w:r w:rsidRPr="00633AC2">
              <w:rPr>
                <w:iCs/>
              </w:rPr>
              <w:lastRenderedPageBreak/>
              <w:t>sistēmas izstrāde un uzturēšana, VIF deleģējuma līgumos noteikto uzdevumu uzraudzības kontrole (ikgadēja EKII darbības audita nodrošināšana), VIF iekšējās kontroles sistēmu vai tā grozījumu apstiprināšanu, apstiprinās projektu pārbaužu plānu un nodrošināt tā izpildes uzraudzību</w:t>
            </w:r>
          </w:p>
        </w:tc>
        <w:tc>
          <w:tcPr>
            <w:tcW w:w="2952" w:type="dxa"/>
            <w:tcBorders>
              <w:top w:val="single" w:sz="4" w:space="0" w:color="auto"/>
              <w:left w:val="single" w:sz="4" w:space="0" w:color="auto"/>
              <w:bottom w:val="single" w:sz="4" w:space="0" w:color="auto"/>
            </w:tcBorders>
          </w:tcPr>
          <w:p w14:paraId="5EE34BB7" w14:textId="5FE75054" w:rsidR="00323CE2" w:rsidRPr="003D4B0F" w:rsidRDefault="003C2EAC" w:rsidP="00323CE2">
            <w:pPr>
              <w:jc w:val="both"/>
              <w:rPr>
                <w:color w:val="000000" w:themeColor="text1"/>
              </w:rPr>
            </w:pPr>
            <w:r>
              <w:rPr>
                <w:color w:val="000000" w:themeColor="text1"/>
              </w:rPr>
              <w:lastRenderedPageBreak/>
              <w:t xml:space="preserve">Precizēts </w:t>
            </w:r>
            <w:r w:rsidRPr="002C6325">
              <w:rPr>
                <w:color w:val="000000" w:themeColor="text1"/>
              </w:rPr>
              <w:t>anotācijas</w:t>
            </w:r>
            <w:r>
              <w:rPr>
                <w:b/>
                <w:color w:val="000000" w:themeColor="text1"/>
              </w:rPr>
              <w:t xml:space="preserve"> </w:t>
            </w:r>
            <w:r w:rsidRPr="002C6325">
              <w:rPr>
                <w:color w:val="000000" w:themeColor="text1"/>
              </w:rPr>
              <w:t>I sadaļas 2. punkts.</w:t>
            </w:r>
          </w:p>
        </w:tc>
      </w:tr>
      <w:tr w:rsidR="00323CE2" w:rsidRPr="003D4B0F" w14:paraId="0092B84D" w14:textId="77777777" w:rsidTr="0002549B">
        <w:tc>
          <w:tcPr>
            <w:tcW w:w="534" w:type="dxa"/>
            <w:tcBorders>
              <w:top w:val="single" w:sz="6" w:space="0" w:color="000000"/>
              <w:left w:val="single" w:sz="6" w:space="0" w:color="000000"/>
              <w:bottom w:val="single" w:sz="6" w:space="0" w:color="000000"/>
              <w:right w:val="single" w:sz="6" w:space="0" w:color="000000"/>
            </w:tcBorders>
            <w:vAlign w:val="center"/>
          </w:tcPr>
          <w:p w14:paraId="351774D6" w14:textId="300AB5F9" w:rsidR="00323CE2" w:rsidRPr="003D4B0F" w:rsidRDefault="00323CE2" w:rsidP="003C2EAC">
            <w:pPr>
              <w:jc w:val="center"/>
            </w:pPr>
            <w:r>
              <w:lastRenderedPageBreak/>
              <w:t>1</w:t>
            </w:r>
            <w:r w:rsidR="003C2EAC">
              <w:t>0</w:t>
            </w:r>
            <w:r>
              <w:t>.</w:t>
            </w:r>
          </w:p>
        </w:tc>
        <w:tc>
          <w:tcPr>
            <w:tcW w:w="2152" w:type="dxa"/>
            <w:tcBorders>
              <w:top w:val="single" w:sz="6" w:space="0" w:color="000000"/>
              <w:left w:val="single" w:sz="6" w:space="0" w:color="000000"/>
              <w:bottom w:val="single" w:sz="6" w:space="0" w:color="000000"/>
              <w:right w:val="single" w:sz="6" w:space="0" w:color="000000"/>
            </w:tcBorders>
          </w:tcPr>
          <w:p w14:paraId="5FE9FBE0" w14:textId="2AF0A16C" w:rsidR="00323CE2" w:rsidRPr="003D4B0F" w:rsidRDefault="00323CE2" w:rsidP="00323CE2">
            <w:pPr>
              <w:jc w:val="both"/>
              <w:rPr>
                <w:b/>
              </w:rPr>
            </w:pPr>
            <w:r w:rsidRPr="00823124">
              <w:rPr>
                <w:b/>
              </w:rPr>
              <w:t>MK noteikumu projekts</w:t>
            </w:r>
          </w:p>
        </w:tc>
        <w:tc>
          <w:tcPr>
            <w:tcW w:w="5103" w:type="dxa"/>
            <w:tcBorders>
              <w:top w:val="single" w:sz="6" w:space="0" w:color="000000"/>
              <w:left w:val="single" w:sz="6" w:space="0" w:color="000000"/>
              <w:bottom w:val="single" w:sz="6" w:space="0" w:color="000000"/>
              <w:right w:val="single" w:sz="6" w:space="0" w:color="000000"/>
            </w:tcBorders>
          </w:tcPr>
          <w:p w14:paraId="42B5703C" w14:textId="02CF1941" w:rsidR="00323CE2" w:rsidRDefault="00323CE2" w:rsidP="00323CE2">
            <w:pPr>
              <w:spacing w:before="120" w:after="120"/>
              <w:jc w:val="center"/>
            </w:pPr>
            <w:r>
              <w:rPr>
                <w:b/>
                <w:bCs/>
              </w:rPr>
              <w:t>Tieslietu</w:t>
            </w:r>
            <w:r w:rsidRPr="005931FB">
              <w:rPr>
                <w:b/>
                <w:bCs/>
              </w:rPr>
              <w:t xml:space="preserve"> ministrija</w:t>
            </w:r>
            <w:r>
              <w:rPr>
                <w:b/>
                <w:bCs/>
              </w:rPr>
              <w:t>s</w:t>
            </w:r>
            <w:r w:rsidRPr="005931FB">
              <w:rPr>
                <w:b/>
                <w:bCs/>
              </w:rPr>
              <w:t xml:space="preserve"> </w:t>
            </w:r>
            <w:r w:rsidRPr="00E35341">
              <w:rPr>
                <w:b/>
                <w:bCs/>
              </w:rPr>
              <w:t>(</w:t>
            </w:r>
            <w:r>
              <w:rPr>
                <w:b/>
                <w:bCs/>
              </w:rPr>
              <w:t>TM</w:t>
            </w:r>
            <w:r w:rsidRPr="00E35341">
              <w:rPr>
                <w:b/>
                <w:bCs/>
              </w:rPr>
              <w:t xml:space="preserve">) </w:t>
            </w:r>
            <w:r>
              <w:rPr>
                <w:b/>
                <w:bCs/>
              </w:rPr>
              <w:t>14</w:t>
            </w:r>
            <w:r w:rsidRPr="00E35341">
              <w:rPr>
                <w:b/>
                <w:bCs/>
              </w:rPr>
              <w:t>.1</w:t>
            </w:r>
            <w:r>
              <w:rPr>
                <w:b/>
                <w:bCs/>
              </w:rPr>
              <w:t>1</w:t>
            </w:r>
            <w:r w:rsidRPr="00E35341">
              <w:rPr>
                <w:b/>
                <w:bCs/>
              </w:rPr>
              <w:t>.2019 atzinums</w:t>
            </w:r>
          </w:p>
          <w:p w14:paraId="2E709AD1" w14:textId="2F7AB13B" w:rsidR="00323CE2" w:rsidRPr="0047186F" w:rsidRDefault="00323CE2" w:rsidP="00C43475">
            <w:pPr>
              <w:spacing w:before="120" w:after="120"/>
              <w:jc w:val="both"/>
            </w:pPr>
            <w:r w:rsidRPr="0047186F">
              <w:t xml:space="preserve">Kā arī projekta 1.4. apakšpunkts paredz svītrot noteikumu 53. punktu, kas noteic, ka “Vides investīciju fonda valdes priekšsēdētāja lēmumu par projekta iesnieguma apstiprināšanu vai noraidīšanu var apstrīdēt, iesniedzot attiecīgu iesniegumu ministrijas valsts sekretāram.” Vēršam uzmanību, ka Vides investīciju fonds attiecībā uz tam deleģēto uzdevumu izpildi ir ministrijas padotībā un atbilstoši Valsts pārvaldes iekārtas likuma 43. panta trešajai daļai uzraudzībai pār pārvaldes uzdevuma izpildi jābūt pilnīgai un efektīvai. Atbilstoši Valsts pārvaldes iekārtas likuma 7. panta piektajai daļai pārraudzība nozīmē augstākas iestādes vai amatpersonas tiesības pārbaudīt zemākas iestādes vai amatpersonas lēmuma tiesiskumu un atcelt prettiesisku lēmumu, kā arī prettiesiskas bezdarbības gadījumā dot rīkojumu pieņemt lēmumu. Tādējādi persona lēmumu par projekta iesnieguma apstiprināšanu vai noraidīšanu </w:t>
            </w:r>
            <w:r w:rsidRPr="0047186F">
              <w:lastRenderedPageBreak/>
              <w:t>jebkurā gadījumā varēs apstrīdēt ministrijā. Ņemot vērā minēto, lūdzam projekta anotācijas I sadaļā skaidrot projekta 1.4. apakšpunkta mērķi un nepieciešamību.</w:t>
            </w:r>
          </w:p>
        </w:tc>
        <w:tc>
          <w:tcPr>
            <w:tcW w:w="3827" w:type="dxa"/>
            <w:tcBorders>
              <w:top w:val="single" w:sz="6" w:space="0" w:color="000000"/>
              <w:left w:val="single" w:sz="6" w:space="0" w:color="000000"/>
              <w:bottom w:val="single" w:sz="6" w:space="0" w:color="000000"/>
              <w:right w:val="single" w:sz="6" w:space="0" w:color="000000"/>
            </w:tcBorders>
          </w:tcPr>
          <w:p w14:paraId="2D3D70A2" w14:textId="77777777" w:rsidR="003C2EAC" w:rsidRDefault="003C2EAC" w:rsidP="003C2EAC">
            <w:pPr>
              <w:spacing w:before="120" w:after="120"/>
              <w:jc w:val="center"/>
              <w:rPr>
                <w:b/>
                <w:bCs/>
                <w:color w:val="000000" w:themeColor="text1"/>
              </w:rPr>
            </w:pPr>
            <w:r>
              <w:rPr>
                <w:b/>
                <w:bCs/>
                <w:color w:val="000000" w:themeColor="text1"/>
              </w:rPr>
              <w:lastRenderedPageBreak/>
              <w:t>Ņemts vērā</w:t>
            </w:r>
          </w:p>
          <w:p w14:paraId="0F654492" w14:textId="5E38E276" w:rsidR="00323CE2" w:rsidRDefault="003C2EAC" w:rsidP="002C6325">
            <w:pPr>
              <w:spacing w:before="120" w:after="120"/>
              <w:jc w:val="both"/>
              <w:rPr>
                <w:color w:val="000000" w:themeColor="text1"/>
              </w:rPr>
            </w:pPr>
            <w:r>
              <w:t xml:space="preserve">Ar noteikumu projektu tiek svītrota </w:t>
            </w:r>
            <w:r w:rsidRPr="00BF5FD5">
              <w:rPr>
                <w:color w:val="000000" w:themeColor="text1"/>
              </w:rPr>
              <w:t>lieka norma</w:t>
            </w:r>
            <w:r w:rsidRPr="00A22E54">
              <w:rPr>
                <w:color w:val="000000" w:themeColor="text1"/>
              </w:rPr>
              <w:t xml:space="preserve"> </w:t>
            </w:r>
            <w:r w:rsidR="007F3A49">
              <w:t>par</w:t>
            </w:r>
            <w:r>
              <w:t xml:space="preserve"> </w:t>
            </w:r>
            <w:r w:rsidRPr="00DF3FCD">
              <w:rPr>
                <w:color w:val="000000" w:themeColor="text1"/>
              </w:rPr>
              <w:t>Vides investīciju fonda valdes priekšsēdētāja lēmum</w:t>
            </w:r>
            <w:r w:rsidR="007F3A49">
              <w:rPr>
                <w:color w:val="000000" w:themeColor="text1"/>
              </w:rPr>
              <w:t>a</w:t>
            </w:r>
            <w:r w:rsidRPr="00DF3FCD">
              <w:rPr>
                <w:color w:val="000000" w:themeColor="text1"/>
              </w:rPr>
              <w:t xml:space="preserve"> par projekta iesnieguma apstiprināšanu vai noraidīšanu </w:t>
            </w:r>
            <w:r w:rsidR="007F3A49">
              <w:rPr>
                <w:color w:val="000000" w:themeColor="text1"/>
              </w:rPr>
              <w:t xml:space="preserve"> ap</w:t>
            </w:r>
            <w:r w:rsidR="007F3A49" w:rsidRPr="00DF3FCD">
              <w:rPr>
                <w:color w:val="000000" w:themeColor="text1"/>
              </w:rPr>
              <w:t>strīdē</w:t>
            </w:r>
            <w:r w:rsidR="007F3A49">
              <w:rPr>
                <w:color w:val="000000" w:themeColor="text1"/>
              </w:rPr>
              <w:t>šanu</w:t>
            </w:r>
            <w:r w:rsidRPr="00DF3FCD">
              <w:rPr>
                <w:color w:val="000000" w:themeColor="text1"/>
              </w:rPr>
              <w:t>, iesniedzot attiecīgu iesniegumu ministrijas valsts sekretāram</w:t>
            </w:r>
            <w:r>
              <w:rPr>
                <w:color w:val="000000" w:themeColor="text1"/>
              </w:rPr>
              <w:t xml:space="preserve">. </w:t>
            </w:r>
            <w:r w:rsidR="007F3A49">
              <w:rPr>
                <w:color w:val="000000" w:themeColor="text1"/>
              </w:rPr>
              <w:t xml:space="preserve">Šī </w:t>
            </w:r>
            <w:r>
              <w:rPr>
                <w:color w:val="000000" w:themeColor="text1"/>
              </w:rPr>
              <w:t>norma ir lieka, jo a</w:t>
            </w:r>
            <w:r w:rsidRPr="00DF3FCD">
              <w:rPr>
                <w:color w:val="000000" w:themeColor="text1"/>
              </w:rPr>
              <w:t>tbilstoši Valsts pārvaldes iekārtas likuma 7. panta piektajai daļai</w:t>
            </w:r>
            <w:r>
              <w:rPr>
                <w:color w:val="000000" w:themeColor="text1"/>
              </w:rPr>
              <w:t>:</w:t>
            </w:r>
            <w:r w:rsidRPr="00DF3FCD">
              <w:rPr>
                <w:color w:val="000000" w:themeColor="text1"/>
              </w:rPr>
              <w:t xml:space="preserve"> pārraudzība nozīmē augstākas iestādes vai amatpersonas tiesības pārbaudīt zemākas iestādes vai amatpersonas lēmuma tiesiskumu un atcelt prettiesisku lēmumu, kā arī prettiesiskas bezdarbības gadījumā dot rīkojumu pieņemt lēmumu. Tādējādi persona</w:t>
            </w:r>
            <w:r>
              <w:rPr>
                <w:color w:val="000000" w:themeColor="text1"/>
              </w:rPr>
              <w:t>s</w:t>
            </w:r>
            <w:r w:rsidRPr="00DF3FCD">
              <w:rPr>
                <w:color w:val="000000" w:themeColor="text1"/>
              </w:rPr>
              <w:t xml:space="preserve"> lēmumu par projekta iesnieguma apstiprināšanu </w:t>
            </w:r>
            <w:r w:rsidRPr="00DF3FCD">
              <w:rPr>
                <w:color w:val="000000" w:themeColor="text1"/>
              </w:rPr>
              <w:lastRenderedPageBreak/>
              <w:t>vai noraidīšanu jebkurā gadījumā varēs apstrīdēt ministrijā.</w:t>
            </w:r>
          </w:p>
          <w:p w14:paraId="30F0009E" w14:textId="1A3CB1AD" w:rsidR="003C2EAC" w:rsidRPr="003D4B0F" w:rsidRDefault="003C2EAC" w:rsidP="002C6325">
            <w:pPr>
              <w:spacing w:before="120" w:after="120"/>
              <w:jc w:val="both"/>
              <w:rPr>
                <w:b/>
                <w:bCs/>
              </w:rPr>
            </w:pPr>
          </w:p>
        </w:tc>
        <w:tc>
          <w:tcPr>
            <w:tcW w:w="2952" w:type="dxa"/>
            <w:tcBorders>
              <w:top w:val="single" w:sz="4" w:space="0" w:color="auto"/>
              <w:left w:val="single" w:sz="4" w:space="0" w:color="auto"/>
              <w:bottom w:val="single" w:sz="4" w:space="0" w:color="auto"/>
            </w:tcBorders>
          </w:tcPr>
          <w:p w14:paraId="02548C30" w14:textId="62CDE208" w:rsidR="00323CE2" w:rsidRPr="003D4B0F" w:rsidRDefault="003C2EAC" w:rsidP="00323CE2">
            <w:pPr>
              <w:jc w:val="both"/>
              <w:rPr>
                <w:b/>
              </w:rPr>
            </w:pPr>
            <w:r w:rsidRPr="00260C39">
              <w:rPr>
                <w:color w:val="000000" w:themeColor="text1"/>
              </w:rPr>
              <w:lastRenderedPageBreak/>
              <w:t>Papildināta</w:t>
            </w:r>
            <w:r>
              <w:rPr>
                <w:b/>
                <w:color w:val="000000" w:themeColor="text1"/>
              </w:rPr>
              <w:t xml:space="preserve"> </w:t>
            </w:r>
            <w:r w:rsidRPr="00434489">
              <w:rPr>
                <w:color w:val="000000" w:themeColor="text1"/>
              </w:rPr>
              <w:t>anotācija</w:t>
            </w:r>
          </w:p>
        </w:tc>
      </w:tr>
      <w:tr w:rsidR="00323CE2" w:rsidRPr="003D4B0F" w14:paraId="4832AD4D" w14:textId="77777777" w:rsidTr="0002549B">
        <w:tc>
          <w:tcPr>
            <w:tcW w:w="534" w:type="dxa"/>
            <w:tcBorders>
              <w:top w:val="single" w:sz="6" w:space="0" w:color="000000"/>
              <w:left w:val="single" w:sz="6" w:space="0" w:color="000000"/>
              <w:bottom w:val="single" w:sz="6" w:space="0" w:color="000000"/>
              <w:right w:val="single" w:sz="6" w:space="0" w:color="000000"/>
            </w:tcBorders>
            <w:vAlign w:val="center"/>
          </w:tcPr>
          <w:p w14:paraId="5AA6F660" w14:textId="15386698" w:rsidR="00323CE2" w:rsidRPr="003D4B0F" w:rsidRDefault="00323CE2" w:rsidP="003C2EAC">
            <w:pPr>
              <w:jc w:val="center"/>
            </w:pPr>
            <w:r>
              <w:lastRenderedPageBreak/>
              <w:t>1</w:t>
            </w:r>
            <w:r w:rsidR="003C2EAC">
              <w:t>1.</w:t>
            </w:r>
          </w:p>
        </w:tc>
        <w:tc>
          <w:tcPr>
            <w:tcW w:w="2152" w:type="dxa"/>
            <w:tcBorders>
              <w:top w:val="single" w:sz="6" w:space="0" w:color="000000"/>
              <w:left w:val="single" w:sz="6" w:space="0" w:color="000000"/>
              <w:bottom w:val="single" w:sz="6" w:space="0" w:color="000000"/>
              <w:right w:val="single" w:sz="6" w:space="0" w:color="000000"/>
            </w:tcBorders>
          </w:tcPr>
          <w:p w14:paraId="52469CD0" w14:textId="7563A90F" w:rsidR="00323CE2" w:rsidRPr="003D4B0F" w:rsidRDefault="00323CE2" w:rsidP="00323CE2">
            <w:pPr>
              <w:jc w:val="both"/>
              <w:rPr>
                <w:b/>
              </w:rPr>
            </w:pPr>
            <w:r w:rsidRPr="00823124">
              <w:rPr>
                <w:b/>
              </w:rPr>
              <w:t>MK noteikumu projekts</w:t>
            </w:r>
          </w:p>
        </w:tc>
        <w:tc>
          <w:tcPr>
            <w:tcW w:w="5103" w:type="dxa"/>
            <w:tcBorders>
              <w:top w:val="single" w:sz="6" w:space="0" w:color="000000"/>
              <w:left w:val="single" w:sz="6" w:space="0" w:color="000000"/>
              <w:bottom w:val="single" w:sz="6" w:space="0" w:color="000000"/>
              <w:right w:val="single" w:sz="6" w:space="0" w:color="000000"/>
            </w:tcBorders>
          </w:tcPr>
          <w:p w14:paraId="184FFAE9" w14:textId="2DF389B0" w:rsidR="00323CE2" w:rsidRDefault="00323CE2" w:rsidP="00323CE2">
            <w:pPr>
              <w:spacing w:before="120" w:after="120"/>
              <w:jc w:val="center"/>
            </w:pPr>
            <w:r>
              <w:rPr>
                <w:b/>
                <w:bCs/>
              </w:rPr>
              <w:t>Ekonomikas</w:t>
            </w:r>
            <w:r w:rsidRPr="005931FB">
              <w:rPr>
                <w:b/>
                <w:bCs/>
              </w:rPr>
              <w:t xml:space="preserve"> ministrija</w:t>
            </w:r>
            <w:r>
              <w:rPr>
                <w:b/>
                <w:bCs/>
              </w:rPr>
              <w:t>s</w:t>
            </w:r>
            <w:r w:rsidRPr="005931FB">
              <w:rPr>
                <w:b/>
                <w:bCs/>
              </w:rPr>
              <w:t xml:space="preserve"> </w:t>
            </w:r>
            <w:r w:rsidRPr="00E35341">
              <w:rPr>
                <w:b/>
                <w:bCs/>
              </w:rPr>
              <w:t>(</w:t>
            </w:r>
            <w:r>
              <w:rPr>
                <w:b/>
                <w:bCs/>
              </w:rPr>
              <w:t>TM</w:t>
            </w:r>
            <w:r w:rsidRPr="00E35341">
              <w:rPr>
                <w:b/>
                <w:bCs/>
              </w:rPr>
              <w:t xml:space="preserve">) </w:t>
            </w:r>
            <w:r>
              <w:rPr>
                <w:b/>
                <w:bCs/>
              </w:rPr>
              <w:t>19</w:t>
            </w:r>
            <w:r w:rsidRPr="00E35341">
              <w:rPr>
                <w:b/>
                <w:bCs/>
              </w:rPr>
              <w:t>.1</w:t>
            </w:r>
            <w:r>
              <w:rPr>
                <w:b/>
                <w:bCs/>
              </w:rPr>
              <w:t>1</w:t>
            </w:r>
            <w:r w:rsidRPr="00E35341">
              <w:rPr>
                <w:b/>
                <w:bCs/>
              </w:rPr>
              <w:t>.2019 atzinums</w:t>
            </w:r>
          </w:p>
          <w:p w14:paraId="0A8101D5" w14:textId="64113531" w:rsidR="00323CE2" w:rsidRPr="00E16813" w:rsidRDefault="00323CE2" w:rsidP="00233E42">
            <w:r w:rsidRPr="00E16813">
              <w:t>Lūdzam papildināt noteikumu projekta 1.1. punkta redakciju šādi:</w:t>
            </w:r>
          </w:p>
          <w:p w14:paraId="122FFCAF" w14:textId="77777777" w:rsidR="00323CE2" w:rsidRPr="00E16813" w:rsidRDefault="00323CE2" w:rsidP="00323CE2">
            <w:pPr>
              <w:ind w:firstLine="851"/>
            </w:pPr>
          </w:p>
          <w:p w14:paraId="55FD70CF" w14:textId="77777777" w:rsidR="00323CE2" w:rsidRPr="00E16813" w:rsidRDefault="00323CE2" w:rsidP="00233E42">
            <w:bookmarkStart w:id="1" w:name="_Hlk24464978"/>
            <w:r w:rsidRPr="00E16813">
              <w:t>1.1. izteikt 3. punktu šādā redakcijā:</w:t>
            </w:r>
          </w:p>
          <w:bookmarkEnd w:id="1"/>
          <w:p w14:paraId="79FAAC87" w14:textId="4F5984E0" w:rsidR="00323CE2" w:rsidRPr="003D4B0F" w:rsidRDefault="00323CE2" w:rsidP="00233E42">
            <w:pPr>
              <w:jc w:val="both"/>
            </w:pPr>
            <w:r w:rsidRPr="00E16813">
              <w:t xml:space="preserve">„3.Vides aizsardzības un reģionālās attīstības ministrija (turpmāk – ministrija) ir atbildīga par finanšu instrumenta finansēto projektu konkursa nolikuma izstrādi. Ministrija  ar līgumu deleģē valsts sabiedrībai ar ierobežotu atbildību “Vides investīciju fonds” (turpmāk – Vides investīciju fonds) šādus uzdevumus: veikt projektu iesniegumu atlasi, vērtēšanu un lēmuma pieņemšanu par finanšu instrumenta finansējuma piešķiršanu, tai skaitā pārvaldes lēmumu izdošanu, kā arī par līgumu par projekta īstenošanu (turpmāk – projekta līgums) sagatavošanu, noslēgšanu, grozīšanu un izbeigšanu, projektu pārskatu pārbaudi un projektu īstenošanas uzraudzību kontroli, maksājumu veikšanu un monitoringa uzraudzību </w:t>
            </w:r>
            <w:r w:rsidRPr="00E16813">
              <w:rPr>
                <w:i/>
                <w:iCs/>
                <w:u w:val="single"/>
              </w:rPr>
              <w:t>ieskaitot informācijas sniegšanu par projektu enerģijas ietaupījumu saskaņā ar normatīvajiem aktiem energoefektivitātes monitoringa jomā</w:t>
            </w:r>
            <w:r w:rsidRPr="00E16813">
              <w:t>. Attiecībā uz šajā punktā minēto uzdevumu izpildi Vides investīciju fonds ir ministrijas pārraudzībā.”;</w:t>
            </w:r>
          </w:p>
        </w:tc>
        <w:tc>
          <w:tcPr>
            <w:tcW w:w="3827" w:type="dxa"/>
            <w:tcBorders>
              <w:top w:val="single" w:sz="6" w:space="0" w:color="000000"/>
              <w:left w:val="single" w:sz="6" w:space="0" w:color="000000"/>
              <w:bottom w:val="single" w:sz="6" w:space="0" w:color="000000"/>
              <w:right w:val="single" w:sz="6" w:space="0" w:color="000000"/>
            </w:tcBorders>
          </w:tcPr>
          <w:p w14:paraId="20B9B680" w14:textId="24703CE5" w:rsidR="00323CE2" w:rsidRPr="003D4B0F" w:rsidRDefault="00A14E9A" w:rsidP="00A14E9A">
            <w:pPr>
              <w:spacing w:before="120" w:after="120"/>
              <w:jc w:val="center"/>
              <w:rPr>
                <w:b/>
                <w:bCs/>
              </w:rPr>
            </w:pPr>
            <w:r>
              <w:rPr>
                <w:b/>
                <w:bCs/>
              </w:rPr>
              <w:t>Ņemts vērā</w:t>
            </w:r>
          </w:p>
        </w:tc>
        <w:tc>
          <w:tcPr>
            <w:tcW w:w="2952" w:type="dxa"/>
            <w:tcBorders>
              <w:top w:val="single" w:sz="4" w:space="0" w:color="auto"/>
              <w:left w:val="single" w:sz="4" w:space="0" w:color="auto"/>
              <w:bottom w:val="single" w:sz="4" w:space="0" w:color="auto"/>
            </w:tcBorders>
          </w:tcPr>
          <w:p w14:paraId="78F461DE" w14:textId="5660DD8C" w:rsidR="00A14E9A" w:rsidRPr="009D569D" w:rsidRDefault="00A14E9A" w:rsidP="00A14E9A">
            <w:pPr>
              <w:jc w:val="both"/>
              <w:rPr>
                <w:color w:val="000000"/>
              </w:rPr>
            </w:pPr>
            <w:r w:rsidRPr="009D569D">
              <w:rPr>
                <w:b/>
                <w:color w:val="000000"/>
              </w:rPr>
              <w:t>MK noteikumu projektā</w:t>
            </w:r>
            <w:r w:rsidRPr="009D569D">
              <w:rPr>
                <w:color w:val="000000"/>
              </w:rPr>
              <w:t>:</w:t>
            </w:r>
          </w:p>
          <w:p w14:paraId="3A183174" w14:textId="77777777" w:rsidR="009D569D" w:rsidRPr="009D569D" w:rsidRDefault="00A14E9A" w:rsidP="00A14E9A">
            <w:pPr>
              <w:jc w:val="both"/>
              <w:rPr>
                <w:color w:val="000000"/>
              </w:rPr>
            </w:pPr>
            <w:r w:rsidRPr="009D569D">
              <w:rPr>
                <w:color w:val="000000"/>
              </w:rPr>
              <w:t>1.1. izteikt 3. punktu šādā redakcijā:</w:t>
            </w:r>
          </w:p>
          <w:p w14:paraId="0F9AFEEE" w14:textId="446911B5" w:rsidR="00323CE2" w:rsidRPr="009D569D" w:rsidRDefault="00A14E9A" w:rsidP="00A14E9A">
            <w:pPr>
              <w:jc w:val="both"/>
              <w:rPr>
                <w:b/>
              </w:rPr>
            </w:pPr>
            <w:r w:rsidRPr="009D569D">
              <w:rPr>
                <w:color w:val="000000"/>
              </w:rPr>
              <w:t xml:space="preserve"> </w:t>
            </w:r>
            <w:r w:rsidRPr="009D569D">
              <w:t>“</w:t>
            </w:r>
            <w:r w:rsidR="009D569D" w:rsidRPr="009D569D">
              <w:t xml:space="preserve">3.Vides aizsardzības un reģionālās attīstības ministrija (turpmāk – ministrija) ir atbildīga par konkursa nolikuma izstrādi. Ministrija ar līgumu deleģē valsts sabiedrībai ar ierobežotu atbildību “Vides investīciju fonds” (turpmāk – Vides investīciju fonds) veikt projektu iesniegumu pieņemšanu, vērtēšanu un lēmuma pieņemšanu par finanšu instrumenta finansējuma piešķiršanu, tai skaitā pārvaldes lēmumu izdošanu, kā arī par līgumu par projekta īstenošanu (turpmāk – projekta līgums) sagatavošanu, noslēgšanu, grozīšanu un izbeigšanu, veikt pārskatu pārbaudi un projektu īstenošanas kontroli, tajā skaitā projektiem izmaksāto finanšu instrumenta </w:t>
            </w:r>
            <w:r w:rsidR="009D569D" w:rsidRPr="009D569D">
              <w:lastRenderedPageBreak/>
              <w:t>līdzekļu, kas atzīti par neattiecināmiem atgūšanu, kā arī monitoringa uzraudzību, ieskaitot informācijas sniegšanu par projektu enerģijas ietaupījumu saskaņā ar normatīvajiem aktiem energoefektivitātes monitoringa jomā. Attiecībā uz šajā punktā minēto uzdevumu  izpildi Vides investīciju fonds ir ministrijas pārraudzībā.</w:t>
            </w:r>
            <w:r w:rsidRPr="009D569D">
              <w:rPr>
                <w:bCs/>
              </w:rPr>
              <w:t>”</w:t>
            </w:r>
          </w:p>
        </w:tc>
      </w:tr>
      <w:tr w:rsidR="00323CE2" w:rsidRPr="003D4B0F" w14:paraId="19C12063" w14:textId="77777777" w:rsidTr="0002549B">
        <w:tc>
          <w:tcPr>
            <w:tcW w:w="534" w:type="dxa"/>
            <w:tcBorders>
              <w:top w:val="single" w:sz="6" w:space="0" w:color="000000"/>
              <w:left w:val="single" w:sz="6" w:space="0" w:color="000000"/>
              <w:bottom w:val="single" w:sz="6" w:space="0" w:color="000000"/>
              <w:right w:val="single" w:sz="6" w:space="0" w:color="000000"/>
            </w:tcBorders>
            <w:vAlign w:val="center"/>
          </w:tcPr>
          <w:p w14:paraId="1481F63F" w14:textId="20725536" w:rsidR="00323CE2" w:rsidRPr="003D4B0F" w:rsidRDefault="00323CE2" w:rsidP="003C2EAC">
            <w:pPr>
              <w:jc w:val="center"/>
            </w:pPr>
            <w:r>
              <w:lastRenderedPageBreak/>
              <w:t>1</w:t>
            </w:r>
            <w:r w:rsidR="003C2EAC">
              <w:t>2.</w:t>
            </w:r>
          </w:p>
        </w:tc>
        <w:tc>
          <w:tcPr>
            <w:tcW w:w="2152" w:type="dxa"/>
            <w:tcBorders>
              <w:top w:val="single" w:sz="6" w:space="0" w:color="000000"/>
              <w:left w:val="single" w:sz="6" w:space="0" w:color="000000"/>
              <w:bottom w:val="single" w:sz="6" w:space="0" w:color="000000"/>
              <w:right w:val="single" w:sz="6" w:space="0" w:color="000000"/>
            </w:tcBorders>
          </w:tcPr>
          <w:p w14:paraId="58D0935F" w14:textId="28419419" w:rsidR="00323CE2" w:rsidRPr="003D4B0F" w:rsidRDefault="00323CE2" w:rsidP="00323CE2">
            <w:pPr>
              <w:jc w:val="both"/>
              <w:rPr>
                <w:b/>
              </w:rPr>
            </w:pPr>
            <w:r>
              <w:rPr>
                <w:b/>
              </w:rPr>
              <w:t>MK noteikumu projekts</w:t>
            </w:r>
          </w:p>
        </w:tc>
        <w:tc>
          <w:tcPr>
            <w:tcW w:w="5103" w:type="dxa"/>
            <w:tcBorders>
              <w:top w:val="single" w:sz="6" w:space="0" w:color="000000"/>
              <w:left w:val="single" w:sz="6" w:space="0" w:color="000000"/>
              <w:bottom w:val="single" w:sz="6" w:space="0" w:color="000000"/>
              <w:right w:val="single" w:sz="6" w:space="0" w:color="000000"/>
            </w:tcBorders>
          </w:tcPr>
          <w:p w14:paraId="436E2FBB" w14:textId="29CD0F8D" w:rsidR="00323CE2" w:rsidRPr="009E2F1D" w:rsidRDefault="00323CE2" w:rsidP="00323CE2">
            <w:pPr>
              <w:shd w:val="clear" w:color="auto" w:fill="FFFFFF"/>
              <w:jc w:val="both"/>
              <w:rPr>
                <w:b/>
              </w:rPr>
            </w:pPr>
            <w:r w:rsidRPr="009E2F1D">
              <w:rPr>
                <w:b/>
              </w:rPr>
              <w:t>Finanšu ministrijas 22.11.19 papildu atzinums</w:t>
            </w:r>
          </w:p>
          <w:p w14:paraId="7A90F0CA" w14:textId="77777777" w:rsidR="00323CE2" w:rsidRPr="009E2F1D" w:rsidRDefault="00323CE2" w:rsidP="00323CE2">
            <w:pPr>
              <w:shd w:val="clear" w:color="auto" w:fill="FFFFFF"/>
              <w:jc w:val="both"/>
            </w:pPr>
            <w:r>
              <w:t xml:space="preserve">Ievērojot to, ka komercdarbības atbalsts MK 2018.gada 17.jūlija noteikumos Nr.418 “Emisijas kvotu izsolīšanas instrumenta finansēto projektu atklāta konkursa “Siltumnīcefekta gāzu emisiju samazināšana, attīstot enerģētiski pašpietiekamu ēku būvniecību” nolikums” (turpmāk – MK noteikumi Nr.418) ietvaros tiek sniegts saskaņā ar Eiropas Komisijas 2014.gada 17.jūnija Regulu (ES) Nr.651/2014, ar ko noteiktas atbalsta kategorijas atzīst par saderīgām ar iekšējo tirgu, piemērojot Līguma 107. un 108.pantu (turpmāk – Komisijas regula Nr.651/2014) un, ņemot vērā aktuālāko Eiropas Savienības tiesas judikatūru (sk. Eiropas Savienības Tiesas 2019.gada 5.marta spriedumu lietā Nr.C-349/17 (ECLI:EU:C:2019:172)), lūdzam papildināt noteikumu projektu ar punktu, kas paredz komercdarbības atbalsta atgūšanu kopā ar </w:t>
            </w:r>
            <w:r>
              <w:lastRenderedPageBreak/>
              <w:t xml:space="preserve">procentiem, ja komercdarbības atbalsta saņēmējs ir pārkāpis Komisijas regulas Nr.651/2014 prasības, piemēram, šādā redakcijā: </w:t>
            </w:r>
          </w:p>
          <w:p w14:paraId="54B27E19" w14:textId="554B463C" w:rsidR="00323CE2" w:rsidRPr="003D4B0F" w:rsidRDefault="00323CE2" w:rsidP="00BC6D0F">
            <w:pPr>
              <w:ind w:left="33"/>
              <w:jc w:val="both"/>
            </w:pPr>
            <w:r>
              <w:t>“</w:t>
            </w:r>
            <w:r>
              <w:rPr>
                <w:i/>
                <w:iCs/>
              </w:rPr>
              <w:t>Ja atbalsta saņēmējs ir pārkāpis Komisijas regulas Nr.651/2014 prasības, atbalsta saņēmējam ir pienākums atmaksāt atbalsta sniedzējam visu projekta ietvaros saņemto valsts atbalstu kopā ar procentiem, ko publicē Eiropas Komisija saskaņā ar Komisijas 2004.gada 21.aprīļa regulas (EK) Nr.794/2004, ar ko īsteno Padomes Regulu (ES) 2015/1589, ar ko nosaka sīki izstrādātus noteikumus Līguma par Eiropas Savienības darbību 108.panta piemērošanai, 10.pantu, tiem pieskaitot 100 bāzes punktus, no dienas, kad valsts atbalsts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r>
              <w:t>.”.</w:t>
            </w:r>
          </w:p>
        </w:tc>
        <w:tc>
          <w:tcPr>
            <w:tcW w:w="3827" w:type="dxa"/>
            <w:tcBorders>
              <w:top w:val="single" w:sz="6" w:space="0" w:color="000000"/>
              <w:left w:val="single" w:sz="6" w:space="0" w:color="000000"/>
              <w:bottom w:val="single" w:sz="6" w:space="0" w:color="000000"/>
              <w:right w:val="single" w:sz="6" w:space="0" w:color="000000"/>
            </w:tcBorders>
          </w:tcPr>
          <w:p w14:paraId="5E9C7613" w14:textId="43A323BD" w:rsidR="00323CE2" w:rsidRPr="003D4B0F" w:rsidRDefault="00A14E9A" w:rsidP="00A14E9A">
            <w:pPr>
              <w:spacing w:before="120" w:after="120"/>
              <w:jc w:val="center"/>
              <w:rPr>
                <w:b/>
                <w:bCs/>
              </w:rPr>
            </w:pPr>
            <w:r>
              <w:rPr>
                <w:b/>
                <w:bCs/>
              </w:rPr>
              <w:lastRenderedPageBreak/>
              <w:t>Ņemts vērā</w:t>
            </w:r>
          </w:p>
        </w:tc>
        <w:tc>
          <w:tcPr>
            <w:tcW w:w="2952" w:type="dxa"/>
            <w:tcBorders>
              <w:top w:val="single" w:sz="4" w:space="0" w:color="auto"/>
              <w:left w:val="single" w:sz="4" w:space="0" w:color="auto"/>
              <w:bottom w:val="single" w:sz="4" w:space="0" w:color="auto"/>
            </w:tcBorders>
          </w:tcPr>
          <w:p w14:paraId="649EE838" w14:textId="77777777" w:rsidR="00A14E9A" w:rsidRPr="0043714A" w:rsidRDefault="00A14E9A" w:rsidP="00A14E9A">
            <w:pPr>
              <w:jc w:val="both"/>
              <w:rPr>
                <w:rFonts w:eastAsia="Calibri"/>
              </w:rPr>
            </w:pPr>
            <w:r w:rsidRPr="0043714A">
              <w:rPr>
                <w:rFonts w:eastAsia="Calibri"/>
              </w:rPr>
              <w:t>Papildināts MK noteikumu projekts ar:</w:t>
            </w:r>
          </w:p>
          <w:p w14:paraId="336A8D72" w14:textId="28286F1B" w:rsidR="00323CE2" w:rsidRPr="00E5460A" w:rsidRDefault="00E5460A" w:rsidP="00EB1F82">
            <w:pPr>
              <w:spacing w:before="120" w:after="120"/>
              <w:jc w:val="both"/>
              <w:rPr>
                <w:b/>
              </w:rPr>
            </w:pPr>
            <w:r w:rsidRPr="00EB1F82">
              <w:rPr>
                <w:iCs/>
              </w:rPr>
              <w:t>“</w:t>
            </w:r>
            <w:r w:rsidRPr="00EB1F82">
              <w:t>84.</w:t>
            </w:r>
            <w:r w:rsidRPr="00EB1F82">
              <w:rPr>
                <w:vertAlign w:val="superscript"/>
              </w:rPr>
              <w:t xml:space="preserve">1 </w:t>
            </w:r>
            <w:r w:rsidR="009D569D" w:rsidRPr="009D569D">
              <w:rPr>
                <w:iCs/>
              </w:rPr>
              <w:t xml:space="preserve">Ja tiek pārkāptas šajos noteikumos noteiktās komercdarbības atbalsta piešķiršanas prasības, atbalsta saņēmējam ir pienākums atmaksāt Vides investīciju fondam visu projekta ietvaros saņemto nelikumīgo komercdarbības atbalstu kopā ar procentiem, ko publicē Eiropas Komisija saskaņā ar Komisijas 2004. gada 21. aprīļa regulas (EK) Nr. 794/2004, ar ko īsteno Padomes Regulu (ES) 2015/1589, ar ko nosaka sīki izstrādātus noteikumus </w:t>
            </w:r>
            <w:r w:rsidR="009D569D" w:rsidRPr="009D569D">
              <w:rPr>
                <w:iCs/>
              </w:rPr>
              <w:lastRenderedPageBreak/>
              <w:t>Līguma par Eiropas Savienības darbību 108. panta piemērošanai (turpmāk – Regula Nr. 794/2004), 10. pantu, tiem pieskaitot 100 bāzes punktus, no dienas, kad nelikumīgais komercdarbības atbalsts tika izmaksāts finansējuma saņēmējam līdz tā atgūšanas dienai, ievērojot Regulas Nr. 794/2004 11. pantā noteikto procentu likmes piemērošanas metodi. Vides investīciju fonds, savukārt, nodrošina atmaksātā finanšu instrumenta finansējuma atmaksu Atbildīgajai iestādei.</w:t>
            </w:r>
            <w:r w:rsidRPr="00EB1F82">
              <w:t>”;</w:t>
            </w:r>
          </w:p>
        </w:tc>
      </w:tr>
      <w:tr w:rsidR="00323CE2" w:rsidRPr="003D4B0F" w14:paraId="184CDF8D" w14:textId="77777777" w:rsidTr="0002549B">
        <w:tc>
          <w:tcPr>
            <w:tcW w:w="534" w:type="dxa"/>
            <w:tcBorders>
              <w:top w:val="single" w:sz="6" w:space="0" w:color="000000"/>
              <w:left w:val="single" w:sz="6" w:space="0" w:color="000000"/>
              <w:bottom w:val="single" w:sz="6" w:space="0" w:color="000000"/>
              <w:right w:val="single" w:sz="6" w:space="0" w:color="000000"/>
            </w:tcBorders>
            <w:vAlign w:val="center"/>
          </w:tcPr>
          <w:p w14:paraId="00D97996" w14:textId="573CEFC2" w:rsidR="00323CE2" w:rsidRPr="003D4B0F" w:rsidRDefault="00323CE2" w:rsidP="003C2EAC">
            <w:pPr>
              <w:jc w:val="center"/>
            </w:pPr>
            <w:r>
              <w:lastRenderedPageBreak/>
              <w:t>1</w:t>
            </w:r>
            <w:r w:rsidR="003C2EAC">
              <w:t>3</w:t>
            </w:r>
            <w:r w:rsidR="00E4556D">
              <w:t>.</w:t>
            </w:r>
          </w:p>
        </w:tc>
        <w:tc>
          <w:tcPr>
            <w:tcW w:w="2152" w:type="dxa"/>
            <w:tcBorders>
              <w:top w:val="single" w:sz="6" w:space="0" w:color="000000"/>
              <w:left w:val="single" w:sz="6" w:space="0" w:color="000000"/>
              <w:bottom w:val="single" w:sz="6" w:space="0" w:color="000000"/>
              <w:right w:val="single" w:sz="6" w:space="0" w:color="000000"/>
            </w:tcBorders>
          </w:tcPr>
          <w:p w14:paraId="321A13FC" w14:textId="7479CDE6" w:rsidR="00323CE2" w:rsidRPr="003D4B0F" w:rsidRDefault="00323CE2" w:rsidP="00323CE2">
            <w:pPr>
              <w:jc w:val="both"/>
              <w:rPr>
                <w:b/>
              </w:rPr>
            </w:pPr>
            <w:r>
              <w:rPr>
                <w:b/>
              </w:rPr>
              <w:t xml:space="preserve">MK noteikumu projekts </w:t>
            </w:r>
          </w:p>
        </w:tc>
        <w:tc>
          <w:tcPr>
            <w:tcW w:w="5103" w:type="dxa"/>
            <w:tcBorders>
              <w:top w:val="single" w:sz="6" w:space="0" w:color="000000"/>
              <w:left w:val="single" w:sz="6" w:space="0" w:color="000000"/>
              <w:bottom w:val="single" w:sz="6" w:space="0" w:color="000000"/>
              <w:right w:val="single" w:sz="6" w:space="0" w:color="000000"/>
            </w:tcBorders>
          </w:tcPr>
          <w:p w14:paraId="5D047938" w14:textId="3AA88C44" w:rsidR="00323CE2" w:rsidRDefault="00323CE2" w:rsidP="00323CE2">
            <w:pPr>
              <w:shd w:val="clear" w:color="auto" w:fill="FFFFFF"/>
              <w:jc w:val="both"/>
            </w:pPr>
            <w:r w:rsidRPr="009E2F1D">
              <w:rPr>
                <w:b/>
              </w:rPr>
              <w:t>Finanšu ministrijas 22.11.19 papildu atzinums</w:t>
            </w:r>
          </w:p>
          <w:p w14:paraId="2D7D6FA2" w14:textId="3B764490" w:rsidR="00323CE2" w:rsidRPr="003D4B0F" w:rsidRDefault="00323CE2" w:rsidP="00323CE2">
            <w:pPr>
              <w:pStyle w:val="doc-ti"/>
              <w:shd w:val="clear" w:color="auto" w:fill="FFFFFF"/>
              <w:spacing w:before="0" w:beforeAutospacing="0" w:after="0" w:afterAutospacing="0"/>
              <w:jc w:val="both"/>
            </w:pPr>
            <w:r>
              <w:t>Ņemot vērā, ka MK noteikumi Nr.418 skaidri nenosaka komercdarbības atbalsta piešķiršanas brīdi, lūdzam papildināt MK noteikumus Nr.418 ar punktu/-iem, kas noteiktu atbalsta piešķiršanas brīdi, kad atbalsts tiek sniegts saskaņā ar Komisijas regulu Nr.651/2014. Skaidrojam, ka atbalsta piešķiršanas brīža identificēšana ir būtisks priekšnosacījums korektai interpretācijai par datumu, kurā tiktu uzskatīts, ka atbalsts ticis piešķirts tā saņēmējam saskaņā ar minēto regulu.</w:t>
            </w:r>
          </w:p>
        </w:tc>
        <w:tc>
          <w:tcPr>
            <w:tcW w:w="3827" w:type="dxa"/>
            <w:tcBorders>
              <w:top w:val="single" w:sz="6" w:space="0" w:color="000000"/>
              <w:left w:val="single" w:sz="6" w:space="0" w:color="000000"/>
              <w:bottom w:val="single" w:sz="6" w:space="0" w:color="000000"/>
              <w:right w:val="single" w:sz="6" w:space="0" w:color="000000"/>
            </w:tcBorders>
          </w:tcPr>
          <w:p w14:paraId="40306AF6" w14:textId="525A8166" w:rsidR="00323CE2" w:rsidRPr="003D4B0F" w:rsidRDefault="0000371D" w:rsidP="002C6325">
            <w:pPr>
              <w:spacing w:before="120" w:after="120"/>
              <w:jc w:val="center"/>
              <w:rPr>
                <w:b/>
                <w:bCs/>
              </w:rPr>
            </w:pPr>
            <w:r>
              <w:rPr>
                <w:b/>
                <w:bCs/>
              </w:rPr>
              <w:t>Ņemts vērā</w:t>
            </w:r>
          </w:p>
        </w:tc>
        <w:tc>
          <w:tcPr>
            <w:tcW w:w="2952" w:type="dxa"/>
            <w:tcBorders>
              <w:top w:val="single" w:sz="4" w:space="0" w:color="auto"/>
              <w:left w:val="single" w:sz="4" w:space="0" w:color="auto"/>
              <w:bottom w:val="single" w:sz="4" w:space="0" w:color="auto"/>
            </w:tcBorders>
          </w:tcPr>
          <w:p w14:paraId="7C27785F" w14:textId="2F516B7E" w:rsidR="00E5460A" w:rsidRPr="00EB1F82" w:rsidRDefault="00E5460A" w:rsidP="00EB1F82">
            <w:pPr>
              <w:spacing w:before="120" w:after="120"/>
              <w:jc w:val="both"/>
              <w:rPr>
                <w:bCs/>
              </w:rPr>
            </w:pPr>
            <w:r w:rsidRPr="00EB1F82">
              <w:rPr>
                <w:bCs/>
              </w:rPr>
              <w:t>Papildināts n</w:t>
            </w:r>
            <w:r w:rsidR="0000371D" w:rsidRPr="00EB1F82">
              <w:rPr>
                <w:bCs/>
              </w:rPr>
              <w:t>oteikumu projekt</w:t>
            </w:r>
            <w:r>
              <w:rPr>
                <w:bCs/>
              </w:rPr>
              <w:t>s</w:t>
            </w:r>
            <w:r w:rsidR="0000371D" w:rsidRPr="00E5460A">
              <w:rPr>
                <w:bCs/>
              </w:rPr>
              <w:t xml:space="preserve"> </w:t>
            </w:r>
            <w:r>
              <w:rPr>
                <w:bCs/>
              </w:rPr>
              <w:t>“</w:t>
            </w:r>
            <w:r w:rsidRPr="00EB1F82">
              <w:rPr>
                <w:bCs/>
              </w:rPr>
              <w:t>1.5. papildināt noteikumus ar 53</w:t>
            </w:r>
            <w:r w:rsidRPr="00EB1F82">
              <w:rPr>
                <w:bCs/>
                <w:vertAlign w:val="superscript"/>
              </w:rPr>
              <w:t>1</w:t>
            </w:r>
            <w:r w:rsidRPr="00EB1F82">
              <w:rPr>
                <w:bCs/>
              </w:rPr>
              <w:t xml:space="preserve">. punktu šādā redakcijā: </w:t>
            </w:r>
          </w:p>
          <w:p w14:paraId="1C843E0B" w14:textId="520C374A" w:rsidR="00323CE2" w:rsidRPr="003D4B0F" w:rsidRDefault="00E5460A" w:rsidP="00EB1F82">
            <w:pPr>
              <w:spacing w:before="120" w:after="120"/>
              <w:ind w:firstLine="709"/>
              <w:jc w:val="both"/>
              <w:rPr>
                <w:b/>
              </w:rPr>
            </w:pPr>
            <w:r w:rsidRPr="00EB1F82">
              <w:rPr>
                <w:rFonts w:eastAsia="Calibri"/>
                <w:color w:val="000000"/>
              </w:rPr>
              <w:t>“</w:t>
            </w:r>
            <w:r w:rsidRPr="00EB1F82">
              <w:t>53</w:t>
            </w:r>
            <w:r w:rsidRPr="00EB1F82">
              <w:rPr>
                <w:vertAlign w:val="superscript"/>
              </w:rPr>
              <w:t>1</w:t>
            </w:r>
            <w:r w:rsidRPr="00EB1F82">
              <w:t>. </w:t>
            </w:r>
            <w:r w:rsidR="00A3171C" w:rsidRPr="00A3171C">
              <w:t xml:space="preserve">Valsts atbalsta piešķiršanas brīdis ir diena, kad Vides investīciju fonds pieņem lēmumu par projekta iesnieguma apstiprināšanu </w:t>
            </w:r>
            <w:r w:rsidR="00A3171C" w:rsidRPr="00A3171C">
              <w:lastRenderedPageBreak/>
              <w:t>un finanšu instrumenta finansējuma piešķiršanu</w:t>
            </w:r>
            <w:r w:rsidR="00A3171C">
              <w:t>.</w:t>
            </w:r>
            <w:r>
              <w:rPr>
                <w:rFonts w:eastAsia="Calibri"/>
                <w:color w:val="000000"/>
              </w:rPr>
              <w:t>”</w:t>
            </w:r>
          </w:p>
        </w:tc>
      </w:tr>
      <w:tr w:rsidR="00E4556D" w:rsidRPr="003D4B0F" w14:paraId="609C947C" w14:textId="77777777" w:rsidTr="0002549B">
        <w:tc>
          <w:tcPr>
            <w:tcW w:w="534" w:type="dxa"/>
            <w:tcBorders>
              <w:top w:val="single" w:sz="6" w:space="0" w:color="000000"/>
              <w:left w:val="single" w:sz="6" w:space="0" w:color="000000"/>
              <w:bottom w:val="single" w:sz="6" w:space="0" w:color="000000"/>
              <w:right w:val="single" w:sz="6" w:space="0" w:color="000000"/>
            </w:tcBorders>
            <w:vAlign w:val="center"/>
          </w:tcPr>
          <w:p w14:paraId="2D8AB57E" w14:textId="7FBD2B8D" w:rsidR="00E4556D" w:rsidRDefault="00E4556D" w:rsidP="003C2EAC">
            <w:pPr>
              <w:jc w:val="center"/>
            </w:pPr>
            <w:r>
              <w:lastRenderedPageBreak/>
              <w:t>1</w:t>
            </w:r>
            <w:r w:rsidR="003C2EAC">
              <w:t>4</w:t>
            </w:r>
            <w:r>
              <w:t>.</w:t>
            </w:r>
          </w:p>
        </w:tc>
        <w:tc>
          <w:tcPr>
            <w:tcW w:w="2152" w:type="dxa"/>
            <w:tcBorders>
              <w:top w:val="single" w:sz="6" w:space="0" w:color="000000"/>
              <w:left w:val="single" w:sz="6" w:space="0" w:color="000000"/>
              <w:bottom w:val="single" w:sz="6" w:space="0" w:color="000000"/>
              <w:right w:val="single" w:sz="6" w:space="0" w:color="000000"/>
            </w:tcBorders>
          </w:tcPr>
          <w:p w14:paraId="3D6174F9" w14:textId="6DE22AEB" w:rsidR="00E4556D" w:rsidRDefault="00E4556D" w:rsidP="00323CE2">
            <w:pPr>
              <w:jc w:val="both"/>
              <w:rPr>
                <w:b/>
              </w:rPr>
            </w:pPr>
            <w:r>
              <w:rPr>
                <w:b/>
              </w:rPr>
              <w:t>MK noteikumu projekts</w:t>
            </w:r>
          </w:p>
        </w:tc>
        <w:tc>
          <w:tcPr>
            <w:tcW w:w="5103" w:type="dxa"/>
            <w:tcBorders>
              <w:top w:val="single" w:sz="6" w:space="0" w:color="000000"/>
              <w:left w:val="single" w:sz="6" w:space="0" w:color="000000"/>
              <w:bottom w:val="single" w:sz="6" w:space="0" w:color="000000"/>
              <w:right w:val="single" w:sz="6" w:space="0" w:color="000000"/>
            </w:tcBorders>
          </w:tcPr>
          <w:p w14:paraId="5CC31F19" w14:textId="77777777" w:rsidR="00E4556D" w:rsidRDefault="00E4556D" w:rsidP="00E4556D">
            <w:pPr>
              <w:spacing w:before="120" w:after="120"/>
              <w:jc w:val="center"/>
              <w:rPr>
                <w:b/>
                <w:bCs/>
              </w:rPr>
            </w:pPr>
            <w:r>
              <w:rPr>
                <w:b/>
                <w:bCs/>
              </w:rPr>
              <w:t>Latvijas Pašvaldību savienības (LPS) 13.11.2019 atzinums</w:t>
            </w:r>
          </w:p>
          <w:p w14:paraId="448CDA6C" w14:textId="4BF274C4" w:rsidR="00E4556D" w:rsidRPr="00760F00" w:rsidRDefault="00E4556D" w:rsidP="00BC6D0F">
            <w:pPr>
              <w:jc w:val="both"/>
            </w:pPr>
            <w:r w:rsidRPr="00760F00">
              <w:t xml:space="preserve">LPS, izvērtējot analogos risinājumus, uzskata, ka Klimata pārmaiņu finanšu instrumenta (KPFI) realizācija ir viens no labākajiem piemēriem. LPS ieskatā ir izveidota un veiksmīgi darbojas KPFI projektu ieviešanas shēma un svarīga loma šajā uzraudzības shēmā visā projekta ieviešanas ciklā ir Vides aizsardzības un  reģionālās attīstības ministrijai (VARAM). KPFI finansēto projektu īstenošanas, pārskatu iesniegšanas un pārbaudes kārtība ļoti pārskatāmi attēlota VARAM mājas lapā: </w:t>
            </w:r>
            <w:hyperlink r:id="rId8" w:history="1">
              <w:r w:rsidRPr="00760F00">
                <w:rPr>
                  <w:rStyle w:val="Hyperlink"/>
                </w:rPr>
                <w:t>http://www.varam.gov.lv/lat/darbibas_veidi/KPFI/merki/</w:t>
              </w:r>
            </w:hyperlink>
            <w:r w:rsidRPr="00760F00">
              <w:t xml:space="preserve">. </w:t>
            </w:r>
          </w:p>
          <w:p w14:paraId="6AA440FE" w14:textId="77777777" w:rsidR="00E4556D" w:rsidRPr="00760F00" w:rsidRDefault="00E4556D" w:rsidP="0002549B">
            <w:pPr>
              <w:jc w:val="both"/>
            </w:pPr>
            <w:r w:rsidRPr="00760F00">
              <w:t xml:space="preserve">LPS uzsver, ka tieši VARAM līdzdalība ieviešanas un uzraudzības procesā ir bijis viens no veiksmes nosacījumiem, lai sabiedrībai ar ierobežotu atbildību “Vides investīciju fonds” izdotos sasniegt klimata politikas mērķus. </w:t>
            </w:r>
          </w:p>
          <w:p w14:paraId="5ED148E6" w14:textId="7063B23B" w:rsidR="00E4556D" w:rsidRPr="009E2F1D" w:rsidRDefault="00E4556D" w:rsidP="00E4556D">
            <w:pPr>
              <w:shd w:val="clear" w:color="auto" w:fill="FFFFFF"/>
              <w:jc w:val="both"/>
              <w:rPr>
                <w:b/>
              </w:rPr>
            </w:pPr>
            <w:r w:rsidRPr="00760F00">
              <w:t>LPS ieskatā nav pamata mainīt esošo sistēmu, bet g</w:t>
            </w:r>
            <w:r w:rsidR="0002549B">
              <w:t xml:space="preserve">an šī KPFI shēma jānostiprina, </w:t>
            </w:r>
            <w:r w:rsidRPr="00760F00">
              <w:t xml:space="preserve">jo tā ir saprotama gan  komercbankām, gan Valsts Kasei un projektu ieviesējiem. Tieši VARAM līdzdalība ir garants, ka tiks noteikti Emisijas kvotu izsolīšanas instrumenta darbības prioritārie virzieni izsoļu ieņēmumu izmantošanai gan klimata pārmaiņu mazināšanai, gan pielāgošanās klimata pārmaiņām, gan uz klimata politikas radīto pozitīvo pārmaiņu </w:t>
            </w:r>
            <w:r w:rsidRPr="00760F00">
              <w:lastRenderedPageBreak/>
              <w:t>izmantošanai un tiks nodrošināta uzraudzība visā projekta cikla laikā.</w:t>
            </w:r>
          </w:p>
        </w:tc>
        <w:tc>
          <w:tcPr>
            <w:tcW w:w="3827" w:type="dxa"/>
            <w:tcBorders>
              <w:top w:val="single" w:sz="6" w:space="0" w:color="000000"/>
              <w:left w:val="single" w:sz="6" w:space="0" w:color="000000"/>
              <w:bottom w:val="single" w:sz="6" w:space="0" w:color="000000"/>
              <w:right w:val="single" w:sz="6" w:space="0" w:color="000000"/>
            </w:tcBorders>
          </w:tcPr>
          <w:p w14:paraId="0FF65784" w14:textId="2C8D834A" w:rsidR="00E4556D" w:rsidRDefault="00BC6D0F" w:rsidP="00E4556D">
            <w:pPr>
              <w:jc w:val="center"/>
              <w:rPr>
                <w:b/>
              </w:rPr>
            </w:pPr>
            <w:r>
              <w:rPr>
                <w:b/>
              </w:rPr>
              <w:lastRenderedPageBreak/>
              <w:t>Ņ</w:t>
            </w:r>
            <w:r w:rsidR="00E4556D" w:rsidRPr="00C93589">
              <w:rPr>
                <w:b/>
              </w:rPr>
              <w:t>emts vērā</w:t>
            </w:r>
          </w:p>
          <w:p w14:paraId="78881826" w14:textId="77777777" w:rsidR="00E4556D" w:rsidRDefault="00E4556D" w:rsidP="00E4556D">
            <w:pPr>
              <w:spacing w:before="120"/>
              <w:jc w:val="both"/>
            </w:pPr>
            <w:r w:rsidRPr="00C93589">
              <w:t xml:space="preserve">VARAM </w:t>
            </w:r>
            <w:r>
              <w:t xml:space="preserve">informē, ka Klimata pārmaiņu finanšu instrumenta (KPFI) ietvaros projektu īstenošana ir noslēgusies līdz 2015. gada 30.jūnijam. Šobrīd notiek atsevišķu projektu rezultātu monitorings. Ik gadu VARAM tīmekļvietnē tiek publicēts informatīvais ziņojums par KPFI darbību iepriekšējā gadā atbilstoši likuma “Par Latvijas Republikas dalību Kioto protokola elastīgajos mehānismos” 10. panta pirmās daļas 6. punktam. Tas tiks darīts arī turpmāk. </w:t>
            </w:r>
            <w:hyperlink r:id="rId9" w:history="1">
              <w:r>
                <w:rPr>
                  <w:rStyle w:val="Hyperlink"/>
                </w:rPr>
                <w:t>http://www.varam.gov.lv/lat/darbibas_veidi/KPFI/likumd/</w:t>
              </w:r>
            </w:hyperlink>
            <w:r>
              <w:t>. Arī attiecībā uz Emisijas kvotu izsolīšanas instrumentu VARAM atbilstoši likuma „Par piesārņojumu” 32.</w:t>
            </w:r>
            <w:r w:rsidRPr="002B58E9">
              <w:rPr>
                <w:vertAlign w:val="superscript"/>
              </w:rPr>
              <w:t>2</w:t>
            </w:r>
            <w:r>
              <w:t xml:space="preserve"> panta 4.</w:t>
            </w:r>
            <w:r w:rsidRPr="00AB48A1">
              <w:rPr>
                <w:vertAlign w:val="superscript"/>
              </w:rPr>
              <w:t xml:space="preserve">7 </w:t>
            </w:r>
            <w:r>
              <w:t>daļa ik gadu sagatavos un publicēs savā tīmekļvietnē (</w:t>
            </w:r>
            <w:hyperlink r:id="rId10" w:history="1">
              <w:r>
                <w:rPr>
                  <w:rStyle w:val="Hyperlink"/>
                </w:rPr>
                <w:t>http://www.varam.gov.lv/lat/fondi/ekii/likumdosana/</w:t>
              </w:r>
            </w:hyperlink>
            <w:r>
              <w:t xml:space="preserve">) informatīvo ziņojumu par izsoļu ieņēmumu izmantošanu iepriekšējā gadā, tai skaitā informāciju par finansētajiem pasākumiem, par panākto siltumnīcefekta gāzu emisijas samazinājumu, par to, kādi </w:t>
            </w:r>
            <w:r>
              <w:lastRenderedPageBreak/>
              <w:t>sasniegumi gūti, nodrošinot pielāgošanos klimata pārmaiņām, kā arī par nodrošināto vides kvalitātes uzlabojumu kopumā.</w:t>
            </w:r>
          </w:p>
          <w:p w14:paraId="181368A9" w14:textId="4D23F5BB" w:rsidR="00E4556D" w:rsidRDefault="00E4556D" w:rsidP="00E4556D">
            <w:pPr>
              <w:spacing w:before="120"/>
              <w:jc w:val="both"/>
            </w:pPr>
            <w:r>
              <w:rPr>
                <w:rFonts w:eastAsia="Calibri"/>
                <w:bCs/>
                <w:color w:val="000000" w:themeColor="text1"/>
              </w:rPr>
              <w:t xml:space="preserve">Noteikumu projekts paredz </w:t>
            </w:r>
            <w:r>
              <w:t>deleģēt projektu līguma grozījumu un īstenošanas uzraudzības, kā arī monitoringa funkcijas SIA „Vides investīcijas fonds”, tādā veidā mazinot maksājumu pieprasījumu un projekta grozījumu izskatīšanas laiku.</w:t>
            </w:r>
          </w:p>
          <w:p w14:paraId="1DE69498" w14:textId="3946D40A" w:rsidR="00E4556D" w:rsidRPr="003D4B0F" w:rsidRDefault="00E4556D" w:rsidP="00A538E8">
            <w:pPr>
              <w:spacing w:before="120" w:after="120"/>
              <w:jc w:val="both"/>
              <w:rPr>
                <w:b/>
                <w:bCs/>
              </w:rPr>
            </w:pPr>
            <w:r>
              <w:rPr>
                <w:iCs/>
              </w:rPr>
              <w:t xml:space="preserve">Arī </w:t>
            </w:r>
            <w:r w:rsidR="00A538E8">
              <w:rPr>
                <w:iCs/>
              </w:rPr>
              <w:t xml:space="preserve">turpmāk </w:t>
            </w:r>
            <w:r>
              <w:rPr>
                <w:iCs/>
              </w:rPr>
              <w:t xml:space="preserve">pēc </w:t>
            </w:r>
            <w:r w:rsidR="00A538E8">
              <w:rPr>
                <w:iCs/>
              </w:rPr>
              <w:t>n</w:t>
            </w:r>
            <w:r>
              <w:rPr>
                <w:iCs/>
              </w:rPr>
              <w:t>oteikumu projekta apstiprināšanas VARAM nodrošinā</w:t>
            </w:r>
            <w:r w:rsidR="00A538E8">
              <w:rPr>
                <w:iCs/>
              </w:rPr>
              <w:t>s</w:t>
            </w:r>
            <w:r>
              <w:rPr>
                <w:iCs/>
              </w:rPr>
              <w:t xml:space="preserve"> </w:t>
            </w:r>
            <w:r w:rsidR="00A538E8">
              <w:rPr>
                <w:iCs/>
              </w:rPr>
              <w:t xml:space="preserve">EKII </w:t>
            </w:r>
            <w:r>
              <w:rPr>
                <w:iCs/>
              </w:rPr>
              <w:t>projektu atklāto konkursu nolikumu izstrādi, budžeta plānošanu un uzraudzību EKII apakšprogrammās</w:t>
            </w:r>
            <w:r w:rsidR="00A538E8">
              <w:rPr>
                <w:iCs/>
              </w:rPr>
              <w:t xml:space="preserve">, kā arī nodrošinās </w:t>
            </w:r>
            <w:r w:rsidR="0042704D">
              <w:rPr>
                <w:iCs/>
                <w:color w:val="000000" w:themeColor="text1"/>
              </w:rPr>
              <w:t xml:space="preserve"> maksājumu veikšanu finansējuma saņēmējiem</w:t>
            </w:r>
            <w:r w:rsidR="00A538E8">
              <w:rPr>
                <w:iCs/>
                <w:color w:val="000000" w:themeColor="text1"/>
              </w:rPr>
              <w:t xml:space="preserve"> un kopējās EKII sistēmas </w:t>
            </w:r>
            <w:r>
              <w:rPr>
                <w:iCs/>
              </w:rPr>
              <w:t>kontroles funkcijas VIF deleģējuma līgumā</w:t>
            </w:r>
            <w:r w:rsidRPr="005F28EE">
              <w:rPr>
                <w:iCs/>
              </w:rPr>
              <w:t xml:space="preserve"> noteikto uzdevumu uzraudzības kontrole</w:t>
            </w:r>
            <w:r>
              <w:rPr>
                <w:iCs/>
              </w:rPr>
              <w:t>i (</w:t>
            </w:r>
            <w:r w:rsidRPr="005F28EE">
              <w:rPr>
                <w:iCs/>
              </w:rPr>
              <w:t>ikgadēja</w:t>
            </w:r>
            <w:r>
              <w:rPr>
                <w:iCs/>
              </w:rPr>
              <w:t xml:space="preserve"> EKII darbības</w:t>
            </w:r>
            <w:r w:rsidRPr="005F28EE">
              <w:rPr>
                <w:iCs/>
              </w:rPr>
              <w:t xml:space="preserve"> audita nodrošināšana</w:t>
            </w:r>
            <w:r>
              <w:rPr>
                <w:iCs/>
              </w:rPr>
              <w:t xml:space="preserve">), </w:t>
            </w:r>
            <w:r w:rsidRPr="005F28EE">
              <w:rPr>
                <w:iCs/>
              </w:rPr>
              <w:t xml:space="preserve">VIF iekšējās kontroles sistēmu vai tā grozījumu </w:t>
            </w:r>
            <w:r>
              <w:rPr>
                <w:iCs/>
              </w:rPr>
              <w:t>saskaņošana un tml.</w:t>
            </w:r>
          </w:p>
        </w:tc>
        <w:tc>
          <w:tcPr>
            <w:tcW w:w="2952" w:type="dxa"/>
            <w:tcBorders>
              <w:top w:val="single" w:sz="4" w:space="0" w:color="auto"/>
              <w:left w:val="single" w:sz="4" w:space="0" w:color="auto"/>
              <w:bottom w:val="single" w:sz="4" w:space="0" w:color="auto"/>
            </w:tcBorders>
          </w:tcPr>
          <w:p w14:paraId="31DF5A6B" w14:textId="0E0C8000" w:rsidR="00E4556D" w:rsidRPr="003D4B0F" w:rsidRDefault="00E4556D" w:rsidP="00323CE2">
            <w:pPr>
              <w:jc w:val="both"/>
              <w:rPr>
                <w:b/>
              </w:rPr>
            </w:pPr>
            <w:r>
              <w:rPr>
                <w:color w:val="000000" w:themeColor="text1"/>
              </w:rPr>
              <w:lastRenderedPageBreak/>
              <w:t xml:space="preserve">Precizēts </w:t>
            </w:r>
            <w:r w:rsidRPr="00BC6D0F">
              <w:rPr>
                <w:color w:val="000000" w:themeColor="text1"/>
              </w:rPr>
              <w:t>noteikumu projekts un anotācija</w:t>
            </w:r>
          </w:p>
        </w:tc>
      </w:tr>
    </w:tbl>
    <w:p w14:paraId="4F9A7F60" w14:textId="77AFE458" w:rsidR="00D45E44" w:rsidRPr="003D4B0F" w:rsidRDefault="00D45E44" w:rsidP="00D45E44"/>
    <w:p w14:paraId="70EF3C77" w14:textId="77777777" w:rsidR="00D45E44" w:rsidRPr="003D4B0F" w:rsidRDefault="00D45E44" w:rsidP="00D45E44">
      <w:r w:rsidRPr="003D4B0F">
        <w:t xml:space="preserve">Atbildīgā amatpersona: </w:t>
      </w:r>
    </w:p>
    <w:p w14:paraId="0CE98814" w14:textId="14683C50" w:rsidR="00807AA6" w:rsidRPr="003D4B0F" w:rsidRDefault="009E2F1D" w:rsidP="00D45E44">
      <w:r>
        <w:t>G.Zustenieks,</w:t>
      </w:r>
      <w:r w:rsidR="00551B1F" w:rsidRPr="003D4B0F">
        <w:t xml:space="preserve"> </w:t>
      </w:r>
    </w:p>
    <w:p w14:paraId="47318044" w14:textId="130875AD" w:rsidR="00551B1F" w:rsidRPr="00606385" w:rsidRDefault="005B282D" w:rsidP="00D45E44">
      <w:hyperlink r:id="rId11" w:history="1">
        <w:r w:rsidR="009E2F1D" w:rsidRPr="00A57258">
          <w:rPr>
            <w:rStyle w:val="Hyperlink"/>
          </w:rPr>
          <w:t>gusts.zustenieks@varam.gov.lv</w:t>
        </w:r>
      </w:hyperlink>
      <w:r w:rsidR="00551B1F">
        <w:t xml:space="preserve"> </w:t>
      </w:r>
    </w:p>
    <w:sectPr w:rsidR="00551B1F" w:rsidRPr="00606385" w:rsidSect="001D6E1B">
      <w:headerReference w:type="even" r:id="rId12"/>
      <w:headerReference w:type="default" r:id="rId13"/>
      <w:footerReference w:type="default" r:id="rId14"/>
      <w:footerReference w:type="first" r:id="rId15"/>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61CE8" w14:textId="77777777" w:rsidR="005B282D" w:rsidRDefault="005B282D" w:rsidP="00D45E44">
      <w:r>
        <w:separator/>
      </w:r>
    </w:p>
  </w:endnote>
  <w:endnote w:type="continuationSeparator" w:id="0">
    <w:p w14:paraId="0F8BB5A6" w14:textId="77777777" w:rsidR="005B282D" w:rsidRDefault="005B282D" w:rsidP="00D4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charset w:val="00"/>
    <w:family w:val="swiss"/>
    <w:pitch w:val="variable"/>
    <w:sig w:usb0="0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237A5" w14:textId="2B41AC0E" w:rsidR="00F208E4" w:rsidRPr="00F13E2F" w:rsidRDefault="00F208E4">
    <w:pPr>
      <w:pStyle w:val="Footer"/>
      <w:rPr>
        <w:sz w:val="20"/>
        <w:szCs w:val="20"/>
      </w:rPr>
    </w:pPr>
    <w:r w:rsidRPr="00446AE4">
      <w:rPr>
        <w:sz w:val="20"/>
        <w:szCs w:val="20"/>
      </w:rPr>
      <w:fldChar w:fldCharType="begin"/>
    </w:r>
    <w:r w:rsidRPr="00446AE4">
      <w:rPr>
        <w:sz w:val="20"/>
        <w:szCs w:val="20"/>
      </w:rPr>
      <w:instrText xml:space="preserve"> FILENAME   \* MERGEFORMAT </w:instrText>
    </w:r>
    <w:r w:rsidRPr="00446AE4">
      <w:rPr>
        <w:sz w:val="20"/>
        <w:szCs w:val="20"/>
      </w:rPr>
      <w:fldChar w:fldCharType="separate"/>
    </w:r>
    <w:r w:rsidR="00FC3BD4">
      <w:rPr>
        <w:noProof/>
        <w:sz w:val="20"/>
        <w:szCs w:val="20"/>
      </w:rPr>
      <w:t>VARAMIzz_220520_EKII_MKN418</w:t>
    </w:r>
    <w:r w:rsidRPr="00446AE4">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5E2CE" w14:textId="62BD7D7E" w:rsidR="00F208E4" w:rsidRPr="00B67DFF" w:rsidRDefault="00F208E4">
    <w:pPr>
      <w:pStyle w:val="Footer"/>
      <w:rPr>
        <w:noProof/>
        <w:sz w:val="20"/>
        <w:szCs w:val="20"/>
      </w:rPr>
    </w:pPr>
    <w:r w:rsidRPr="00B67DFF">
      <w:rPr>
        <w:sz w:val="20"/>
        <w:szCs w:val="20"/>
      </w:rPr>
      <w:fldChar w:fldCharType="begin"/>
    </w:r>
    <w:r w:rsidRPr="00B67DFF">
      <w:rPr>
        <w:sz w:val="20"/>
        <w:szCs w:val="20"/>
      </w:rPr>
      <w:instrText xml:space="preserve"> FILENAME   \* MERGEFORMAT </w:instrText>
    </w:r>
    <w:r w:rsidRPr="00B67DFF">
      <w:rPr>
        <w:sz w:val="20"/>
        <w:szCs w:val="20"/>
      </w:rPr>
      <w:fldChar w:fldCharType="separate"/>
    </w:r>
    <w:r w:rsidR="00FC3BD4">
      <w:rPr>
        <w:noProof/>
        <w:sz w:val="20"/>
        <w:szCs w:val="20"/>
      </w:rPr>
      <w:t>VARAMIzz_220520_EKII_MKN418</w:t>
    </w:r>
    <w:r w:rsidRPr="00B67DFF">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FF251" w14:textId="77777777" w:rsidR="005B282D" w:rsidRDefault="005B282D" w:rsidP="00D45E44">
      <w:r>
        <w:separator/>
      </w:r>
    </w:p>
  </w:footnote>
  <w:footnote w:type="continuationSeparator" w:id="0">
    <w:p w14:paraId="46B66DD6" w14:textId="77777777" w:rsidR="005B282D" w:rsidRDefault="005B282D" w:rsidP="00D45E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8D69F" w14:textId="77777777" w:rsidR="00F208E4" w:rsidRDefault="00F208E4" w:rsidP="001D6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2E81A2" w14:textId="77777777" w:rsidR="00F208E4" w:rsidRDefault="00F208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B56A5" w14:textId="1389DCA2" w:rsidR="00F208E4" w:rsidRDefault="00F208E4" w:rsidP="001D6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3BD4">
      <w:rPr>
        <w:rStyle w:val="PageNumber"/>
        <w:noProof/>
      </w:rPr>
      <w:t>12</w:t>
    </w:r>
    <w:r>
      <w:rPr>
        <w:rStyle w:val="PageNumber"/>
      </w:rPr>
      <w:fldChar w:fldCharType="end"/>
    </w:r>
  </w:p>
  <w:p w14:paraId="6FB7C138" w14:textId="77777777" w:rsidR="00F208E4" w:rsidRDefault="00F208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C3"/>
    <w:multiLevelType w:val="hybridMultilevel"/>
    <w:tmpl w:val="DA326BB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1">
    <w:nsid w:val="07F91EBE"/>
    <w:multiLevelType w:val="hybridMultilevel"/>
    <w:tmpl w:val="244CB970"/>
    <w:lvl w:ilvl="0" w:tplc="FFFFFFFF">
      <w:start w:val="1"/>
      <w:numFmt w:val="bullet"/>
      <w:lvlText w:val=""/>
      <w:lvlJc w:val="left"/>
      <w:pPr>
        <w:ind w:left="1571" w:hanging="360"/>
      </w:pPr>
      <w:rPr>
        <w:rFonts w:ascii="Symbol" w:eastAsia="Calibri" w:hAnsi="Symbol"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 w15:restartNumberingAfterBreak="0">
    <w:nsid w:val="08165DDC"/>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051C34"/>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57703"/>
    <w:multiLevelType w:val="hybridMultilevel"/>
    <w:tmpl w:val="CFD0E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AB5B49"/>
    <w:multiLevelType w:val="hybridMultilevel"/>
    <w:tmpl w:val="7E3E926A"/>
    <w:lvl w:ilvl="0" w:tplc="5DA044DE">
      <w:start w:val="1"/>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6" w15:restartNumberingAfterBreak="0">
    <w:nsid w:val="18423F9D"/>
    <w:multiLevelType w:val="multilevel"/>
    <w:tmpl w:val="0908C2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1BC21881"/>
    <w:multiLevelType w:val="hybridMultilevel"/>
    <w:tmpl w:val="1DB04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75357"/>
    <w:multiLevelType w:val="hybridMultilevel"/>
    <w:tmpl w:val="DB4ED7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F603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081A35"/>
    <w:multiLevelType w:val="hybridMultilevel"/>
    <w:tmpl w:val="59A44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9650AD"/>
    <w:multiLevelType w:val="hybridMultilevel"/>
    <w:tmpl w:val="A450038A"/>
    <w:lvl w:ilvl="0" w:tplc="028E6448">
      <w:start w:val="1"/>
      <w:numFmt w:val="decimal"/>
      <w:lvlText w:val="%1."/>
      <w:lvlJc w:val="left"/>
      <w:pPr>
        <w:ind w:left="653" w:hanging="360"/>
      </w:pPr>
      <w:rPr>
        <w:rFonts w:ascii="Times New Roman" w:eastAsia="Times New Roman" w:hAnsi="Times New Roman" w:cs="Times New Roman"/>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13" w15:restartNumberingAfterBreak="0">
    <w:nsid w:val="290969D5"/>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D6027"/>
    <w:multiLevelType w:val="hybridMultilevel"/>
    <w:tmpl w:val="2AC069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0D21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7F1E0E"/>
    <w:multiLevelType w:val="multilevel"/>
    <w:tmpl w:val="7D9C4AD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99D0535"/>
    <w:multiLevelType w:val="hybridMultilevel"/>
    <w:tmpl w:val="A22C23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EBE4A3A"/>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D05FEC"/>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363DD1"/>
    <w:multiLevelType w:val="hybridMultilevel"/>
    <w:tmpl w:val="9B769BB6"/>
    <w:lvl w:ilvl="0" w:tplc="101A3428">
      <w:start w:val="1"/>
      <w:numFmt w:val="bullet"/>
      <w:lvlText w:val="•"/>
      <w:lvlJc w:val="left"/>
      <w:pPr>
        <w:tabs>
          <w:tab w:val="num" w:pos="720"/>
        </w:tabs>
        <w:ind w:left="720" w:hanging="360"/>
      </w:pPr>
      <w:rPr>
        <w:rFonts w:ascii="Times New Roman" w:hAnsi="Times New Roman" w:hint="default"/>
      </w:rPr>
    </w:lvl>
    <w:lvl w:ilvl="1" w:tplc="35B00B7E" w:tentative="1">
      <w:start w:val="1"/>
      <w:numFmt w:val="bullet"/>
      <w:lvlText w:val="•"/>
      <w:lvlJc w:val="left"/>
      <w:pPr>
        <w:tabs>
          <w:tab w:val="num" w:pos="1440"/>
        </w:tabs>
        <w:ind w:left="1440" w:hanging="360"/>
      </w:pPr>
      <w:rPr>
        <w:rFonts w:ascii="Times New Roman" w:hAnsi="Times New Roman" w:hint="default"/>
      </w:rPr>
    </w:lvl>
    <w:lvl w:ilvl="2" w:tplc="4D0E9006" w:tentative="1">
      <w:start w:val="1"/>
      <w:numFmt w:val="bullet"/>
      <w:lvlText w:val="•"/>
      <w:lvlJc w:val="left"/>
      <w:pPr>
        <w:tabs>
          <w:tab w:val="num" w:pos="2160"/>
        </w:tabs>
        <w:ind w:left="2160" w:hanging="360"/>
      </w:pPr>
      <w:rPr>
        <w:rFonts w:ascii="Times New Roman" w:hAnsi="Times New Roman" w:hint="default"/>
      </w:rPr>
    </w:lvl>
    <w:lvl w:ilvl="3" w:tplc="C9D0E1EE" w:tentative="1">
      <w:start w:val="1"/>
      <w:numFmt w:val="bullet"/>
      <w:lvlText w:val="•"/>
      <w:lvlJc w:val="left"/>
      <w:pPr>
        <w:tabs>
          <w:tab w:val="num" w:pos="2880"/>
        </w:tabs>
        <w:ind w:left="2880" w:hanging="360"/>
      </w:pPr>
      <w:rPr>
        <w:rFonts w:ascii="Times New Roman" w:hAnsi="Times New Roman" w:hint="default"/>
      </w:rPr>
    </w:lvl>
    <w:lvl w:ilvl="4" w:tplc="E84672AC" w:tentative="1">
      <w:start w:val="1"/>
      <w:numFmt w:val="bullet"/>
      <w:lvlText w:val="•"/>
      <w:lvlJc w:val="left"/>
      <w:pPr>
        <w:tabs>
          <w:tab w:val="num" w:pos="3600"/>
        </w:tabs>
        <w:ind w:left="3600" w:hanging="360"/>
      </w:pPr>
      <w:rPr>
        <w:rFonts w:ascii="Times New Roman" w:hAnsi="Times New Roman" w:hint="default"/>
      </w:rPr>
    </w:lvl>
    <w:lvl w:ilvl="5" w:tplc="9F5621FE" w:tentative="1">
      <w:start w:val="1"/>
      <w:numFmt w:val="bullet"/>
      <w:lvlText w:val="•"/>
      <w:lvlJc w:val="left"/>
      <w:pPr>
        <w:tabs>
          <w:tab w:val="num" w:pos="4320"/>
        </w:tabs>
        <w:ind w:left="4320" w:hanging="360"/>
      </w:pPr>
      <w:rPr>
        <w:rFonts w:ascii="Times New Roman" w:hAnsi="Times New Roman" w:hint="default"/>
      </w:rPr>
    </w:lvl>
    <w:lvl w:ilvl="6" w:tplc="89A6211E" w:tentative="1">
      <w:start w:val="1"/>
      <w:numFmt w:val="bullet"/>
      <w:lvlText w:val="•"/>
      <w:lvlJc w:val="left"/>
      <w:pPr>
        <w:tabs>
          <w:tab w:val="num" w:pos="5040"/>
        </w:tabs>
        <w:ind w:left="5040" w:hanging="360"/>
      </w:pPr>
      <w:rPr>
        <w:rFonts w:ascii="Times New Roman" w:hAnsi="Times New Roman" w:hint="default"/>
      </w:rPr>
    </w:lvl>
    <w:lvl w:ilvl="7" w:tplc="FC2847EA" w:tentative="1">
      <w:start w:val="1"/>
      <w:numFmt w:val="bullet"/>
      <w:lvlText w:val="•"/>
      <w:lvlJc w:val="left"/>
      <w:pPr>
        <w:tabs>
          <w:tab w:val="num" w:pos="5760"/>
        </w:tabs>
        <w:ind w:left="5760" w:hanging="360"/>
      </w:pPr>
      <w:rPr>
        <w:rFonts w:ascii="Times New Roman" w:hAnsi="Times New Roman" w:hint="default"/>
      </w:rPr>
    </w:lvl>
    <w:lvl w:ilvl="8" w:tplc="327C4F4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D044E98"/>
    <w:multiLevelType w:val="hybridMultilevel"/>
    <w:tmpl w:val="0016C310"/>
    <w:lvl w:ilvl="0" w:tplc="DE5AA668">
      <w:start w:val="1"/>
      <w:numFmt w:val="decimal"/>
      <w:lvlText w:val="%1)"/>
      <w:lvlJc w:val="left"/>
      <w:pPr>
        <w:ind w:left="360" w:hanging="360"/>
      </w:pPr>
      <w:rPr>
        <w:rFonts w:hint="default"/>
      </w:rPr>
    </w:lvl>
    <w:lvl w:ilvl="1" w:tplc="956260A0" w:tentative="1">
      <w:start w:val="1"/>
      <w:numFmt w:val="lowerLetter"/>
      <w:lvlText w:val="%2."/>
      <w:lvlJc w:val="left"/>
      <w:pPr>
        <w:ind w:left="1080" w:hanging="360"/>
      </w:pPr>
    </w:lvl>
    <w:lvl w:ilvl="2" w:tplc="3AE25218" w:tentative="1">
      <w:start w:val="1"/>
      <w:numFmt w:val="lowerRoman"/>
      <w:lvlText w:val="%3."/>
      <w:lvlJc w:val="right"/>
      <w:pPr>
        <w:ind w:left="1800" w:hanging="180"/>
      </w:pPr>
    </w:lvl>
    <w:lvl w:ilvl="3" w:tplc="E1029D96" w:tentative="1">
      <w:start w:val="1"/>
      <w:numFmt w:val="decimal"/>
      <w:lvlText w:val="%4."/>
      <w:lvlJc w:val="left"/>
      <w:pPr>
        <w:ind w:left="2520" w:hanging="360"/>
      </w:pPr>
    </w:lvl>
    <w:lvl w:ilvl="4" w:tplc="1DDCCF0A" w:tentative="1">
      <w:start w:val="1"/>
      <w:numFmt w:val="lowerLetter"/>
      <w:lvlText w:val="%5."/>
      <w:lvlJc w:val="left"/>
      <w:pPr>
        <w:ind w:left="3240" w:hanging="360"/>
      </w:pPr>
    </w:lvl>
    <w:lvl w:ilvl="5" w:tplc="40DA718A" w:tentative="1">
      <w:start w:val="1"/>
      <w:numFmt w:val="lowerRoman"/>
      <w:lvlText w:val="%6."/>
      <w:lvlJc w:val="right"/>
      <w:pPr>
        <w:ind w:left="3960" w:hanging="180"/>
      </w:pPr>
    </w:lvl>
    <w:lvl w:ilvl="6" w:tplc="1BEEEF30" w:tentative="1">
      <w:start w:val="1"/>
      <w:numFmt w:val="decimal"/>
      <w:lvlText w:val="%7."/>
      <w:lvlJc w:val="left"/>
      <w:pPr>
        <w:ind w:left="4680" w:hanging="360"/>
      </w:pPr>
    </w:lvl>
    <w:lvl w:ilvl="7" w:tplc="B6986388" w:tentative="1">
      <w:start w:val="1"/>
      <w:numFmt w:val="lowerLetter"/>
      <w:lvlText w:val="%8."/>
      <w:lvlJc w:val="left"/>
      <w:pPr>
        <w:ind w:left="5400" w:hanging="360"/>
      </w:pPr>
    </w:lvl>
    <w:lvl w:ilvl="8" w:tplc="C110208C" w:tentative="1">
      <w:start w:val="1"/>
      <w:numFmt w:val="lowerRoman"/>
      <w:lvlText w:val="%9."/>
      <w:lvlJc w:val="right"/>
      <w:pPr>
        <w:ind w:left="6120" w:hanging="180"/>
      </w:pPr>
    </w:lvl>
  </w:abstractNum>
  <w:abstractNum w:abstractNumId="22" w15:restartNumberingAfterBreak="0">
    <w:nsid w:val="4E293C01"/>
    <w:multiLevelType w:val="hybridMultilevel"/>
    <w:tmpl w:val="7DEEA8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D54A28"/>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24" w15:restartNumberingAfterBreak="0">
    <w:nsid w:val="534F3E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746AD9"/>
    <w:multiLevelType w:val="multilevel"/>
    <w:tmpl w:val="89506D9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9504CD"/>
    <w:multiLevelType w:val="hybridMultilevel"/>
    <w:tmpl w:val="A450038A"/>
    <w:lvl w:ilvl="0" w:tplc="028E6448">
      <w:start w:val="1"/>
      <w:numFmt w:val="decimal"/>
      <w:lvlText w:val="%1."/>
      <w:lvlJc w:val="left"/>
      <w:pPr>
        <w:ind w:left="653" w:hanging="360"/>
      </w:pPr>
      <w:rPr>
        <w:rFonts w:ascii="Times New Roman" w:eastAsia="Times New Roman" w:hAnsi="Times New Roman" w:cs="Times New Roman"/>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27" w15:restartNumberingAfterBreak="0">
    <w:nsid w:val="5A5942E4"/>
    <w:multiLevelType w:val="hybridMultilevel"/>
    <w:tmpl w:val="E87EBE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B673CEC"/>
    <w:multiLevelType w:val="hybridMultilevel"/>
    <w:tmpl w:val="30D60B22"/>
    <w:lvl w:ilvl="0" w:tplc="644E891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60114255"/>
    <w:multiLevelType w:val="hybridMultilevel"/>
    <w:tmpl w:val="A9B61712"/>
    <w:lvl w:ilvl="0" w:tplc="CA62CC8C">
      <w:start w:val="1"/>
      <w:numFmt w:val="decimal"/>
      <w:lvlText w:val="%1."/>
      <w:lvlJc w:val="left"/>
      <w:pPr>
        <w:ind w:left="720" w:hanging="360"/>
      </w:pPr>
      <w:rPr>
        <w:rFonts w:ascii="Times New Roman" w:eastAsia="Calibri" w:hAnsi="Times New Roman" w:cs="Times New Roman" w:hint="default"/>
        <w:color w:val="auto"/>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69FD4BA9"/>
    <w:multiLevelType w:val="hybridMultilevel"/>
    <w:tmpl w:val="9ACC08C0"/>
    <w:lvl w:ilvl="0" w:tplc="354E798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6D6A38EB"/>
    <w:multiLevelType w:val="hybridMultilevel"/>
    <w:tmpl w:val="BD0891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F031B8D"/>
    <w:multiLevelType w:val="hybridMultilevel"/>
    <w:tmpl w:val="ACA0E79A"/>
    <w:lvl w:ilvl="0" w:tplc="E96A0F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754227A7"/>
    <w:multiLevelType w:val="hybridMultilevel"/>
    <w:tmpl w:val="BEF67F7E"/>
    <w:lvl w:ilvl="0" w:tplc="740A0DD4">
      <w:numFmt w:val="bullet"/>
      <w:lvlText w:val="-"/>
      <w:lvlJc w:val="left"/>
      <w:pPr>
        <w:ind w:left="720" w:hanging="360"/>
      </w:pPr>
      <w:rPr>
        <w:rFonts w:ascii="Calibri" w:eastAsia="Times New Roman" w:hAnsi="Calibri" w:cs="Calibr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5465872"/>
    <w:multiLevelType w:val="hybridMultilevel"/>
    <w:tmpl w:val="B75CECDA"/>
    <w:lvl w:ilvl="0" w:tplc="B92EC43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0120D7"/>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E25152"/>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512479"/>
    <w:multiLevelType w:val="multilevel"/>
    <w:tmpl w:val="C9F6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8"/>
  </w:num>
  <w:num w:numId="3">
    <w:abstractNumId w:val="13"/>
  </w:num>
  <w:num w:numId="4">
    <w:abstractNumId w:val="28"/>
  </w:num>
  <w:num w:numId="5">
    <w:abstractNumId w:val="3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8"/>
  </w:num>
  <w:num w:numId="10">
    <w:abstractNumId w:val="5"/>
  </w:num>
  <w:num w:numId="11">
    <w:abstractNumId w:val="26"/>
  </w:num>
  <w:num w:numId="12">
    <w:abstractNumId w:val="35"/>
  </w:num>
  <w:num w:numId="13">
    <w:abstractNumId w:val="19"/>
  </w:num>
  <w:num w:numId="14">
    <w:abstractNumId w:val="3"/>
  </w:num>
  <w:num w:numId="15">
    <w:abstractNumId w:val="11"/>
  </w:num>
  <w:num w:numId="16">
    <w:abstractNumId w:val="17"/>
  </w:num>
  <w:num w:numId="17">
    <w:abstractNumId w:val="0"/>
  </w:num>
  <w:num w:numId="18">
    <w:abstractNumId w:val="36"/>
  </w:num>
  <w:num w:numId="19">
    <w:abstractNumId w:val="31"/>
  </w:num>
  <w:num w:numId="20">
    <w:abstractNumId w:val="16"/>
  </w:num>
  <w:num w:numId="21">
    <w:abstractNumId w:val="37"/>
  </w:num>
  <w:num w:numId="22">
    <w:abstractNumId w:val="22"/>
  </w:num>
  <w:num w:numId="23">
    <w:abstractNumId w:val="4"/>
  </w:num>
  <w:num w:numId="24">
    <w:abstractNumId w:val="33"/>
  </w:num>
  <w:num w:numId="25">
    <w:abstractNumId w:val="20"/>
  </w:num>
  <w:num w:numId="26">
    <w:abstractNumId w:val="14"/>
  </w:num>
  <w:num w:numId="27">
    <w:abstractNumId w:val="2"/>
  </w:num>
  <w:num w:numId="28">
    <w:abstractNumId w:val="12"/>
  </w:num>
  <w:num w:numId="29">
    <w:abstractNumId w:val="21"/>
  </w:num>
  <w:num w:numId="30">
    <w:abstractNumId w:val="34"/>
  </w:num>
  <w:num w:numId="31">
    <w:abstractNumId w:val="1"/>
  </w:num>
  <w:num w:numId="32">
    <w:abstractNumId w:val="6"/>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5"/>
  </w:num>
  <w:num w:numId="36">
    <w:abstractNumId w:val="25"/>
  </w:num>
  <w:num w:numId="37">
    <w:abstractNumId w:val="9"/>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44"/>
    <w:rsid w:val="000004F0"/>
    <w:rsid w:val="00001F9C"/>
    <w:rsid w:val="00003494"/>
    <w:rsid w:val="0000371D"/>
    <w:rsid w:val="00006269"/>
    <w:rsid w:val="000107BB"/>
    <w:rsid w:val="000112C1"/>
    <w:rsid w:val="0001283C"/>
    <w:rsid w:val="00014269"/>
    <w:rsid w:val="00015891"/>
    <w:rsid w:val="000167EE"/>
    <w:rsid w:val="00020F84"/>
    <w:rsid w:val="00020F90"/>
    <w:rsid w:val="0002549B"/>
    <w:rsid w:val="00025F62"/>
    <w:rsid w:val="0002724B"/>
    <w:rsid w:val="00027937"/>
    <w:rsid w:val="00027EE6"/>
    <w:rsid w:val="00041ADA"/>
    <w:rsid w:val="000421BC"/>
    <w:rsid w:val="00044011"/>
    <w:rsid w:val="00044DC8"/>
    <w:rsid w:val="00045CD6"/>
    <w:rsid w:val="000517FA"/>
    <w:rsid w:val="0006239B"/>
    <w:rsid w:val="00064ECF"/>
    <w:rsid w:val="00065DDE"/>
    <w:rsid w:val="000674A9"/>
    <w:rsid w:val="000721B8"/>
    <w:rsid w:val="00072820"/>
    <w:rsid w:val="000733D2"/>
    <w:rsid w:val="00073908"/>
    <w:rsid w:val="00076DAB"/>
    <w:rsid w:val="000771AD"/>
    <w:rsid w:val="0008039F"/>
    <w:rsid w:val="00084B6C"/>
    <w:rsid w:val="00085592"/>
    <w:rsid w:val="0009545B"/>
    <w:rsid w:val="00095C44"/>
    <w:rsid w:val="000967CD"/>
    <w:rsid w:val="000A08DF"/>
    <w:rsid w:val="000A168E"/>
    <w:rsid w:val="000A1E6B"/>
    <w:rsid w:val="000A2A2D"/>
    <w:rsid w:val="000A3332"/>
    <w:rsid w:val="000A3669"/>
    <w:rsid w:val="000A6574"/>
    <w:rsid w:val="000A6D0D"/>
    <w:rsid w:val="000B038D"/>
    <w:rsid w:val="000B484F"/>
    <w:rsid w:val="000B67BF"/>
    <w:rsid w:val="000B7FDA"/>
    <w:rsid w:val="000C770E"/>
    <w:rsid w:val="000D681B"/>
    <w:rsid w:val="000E2436"/>
    <w:rsid w:val="000E3959"/>
    <w:rsid w:val="000E4BD5"/>
    <w:rsid w:val="000E59BC"/>
    <w:rsid w:val="000E5A2F"/>
    <w:rsid w:val="000E66EC"/>
    <w:rsid w:val="000E6AD1"/>
    <w:rsid w:val="000F297D"/>
    <w:rsid w:val="000F3C46"/>
    <w:rsid w:val="000F525A"/>
    <w:rsid w:val="000F5917"/>
    <w:rsid w:val="00101E6D"/>
    <w:rsid w:val="00101F95"/>
    <w:rsid w:val="001131CA"/>
    <w:rsid w:val="00116C08"/>
    <w:rsid w:val="00123CBF"/>
    <w:rsid w:val="0012669E"/>
    <w:rsid w:val="00127393"/>
    <w:rsid w:val="00132389"/>
    <w:rsid w:val="001404B0"/>
    <w:rsid w:val="00141A86"/>
    <w:rsid w:val="0014391F"/>
    <w:rsid w:val="0015078D"/>
    <w:rsid w:val="00150B19"/>
    <w:rsid w:val="001519EB"/>
    <w:rsid w:val="001537EC"/>
    <w:rsid w:val="001633CE"/>
    <w:rsid w:val="00163906"/>
    <w:rsid w:val="00163BEF"/>
    <w:rsid w:val="00173E96"/>
    <w:rsid w:val="0017647A"/>
    <w:rsid w:val="001767FB"/>
    <w:rsid w:val="001774AB"/>
    <w:rsid w:val="00181AFD"/>
    <w:rsid w:val="00183DB3"/>
    <w:rsid w:val="001911F9"/>
    <w:rsid w:val="00191C11"/>
    <w:rsid w:val="001952D0"/>
    <w:rsid w:val="00197D4B"/>
    <w:rsid w:val="001A144B"/>
    <w:rsid w:val="001A265A"/>
    <w:rsid w:val="001B0DDF"/>
    <w:rsid w:val="001B41DB"/>
    <w:rsid w:val="001B65AA"/>
    <w:rsid w:val="001C6111"/>
    <w:rsid w:val="001D312B"/>
    <w:rsid w:val="001D3DA4"/>
    <w:rsid w:val="001D6E1B"/>
    <w:rsid w:val="001D71DF"/>
    <w:rsid w:val="001D76DF"/>
    <w:rsid w:val="001E1BE7"/>
    <w:rsid w:val="001E32B2"/>
    <w:rsid w:val="001E755A"/>
    <w:rsid w:val="001F5A6E"/>
    <w:rsid w:val="00201E76"/>
    <w:rsid w:val="00201E88"/>
    <w:rsid w:val="00214ECA"/>
    <w:rsid w:val="002159C3"/>
    <w:rsid w:val="00217B95"/>
    <w:rsid w:val="00223E2B"/>
    <w:rsid w:val="00224B2A"/>
    <w:rsid w:val="0023015E"/>
    <w:rsid w:val="00233E42"/>
    <w:rsid w:val="002359CE"/>
    <w:rsid w:val="002444C2"/>
    <w:rsid w:val="002470C5"/>
    <w:rsid w:val="002472AA"/>
    <w:rsid w:val="00256C82"/>
    <w:rsid w:val="002631E1"/>
    <w:rsid w:val="0026658A"/>
    <w:rsid w:val="00271D74"/>
    <w:rsid w:val="00274157"/>
    <w:rsid w:val="0028355B"/>
    <w:rsid w:val="00284D53"/>
    <w:rsid w:val="00285BA7"/>
    <w:rsid w:val="002A362D"/>
    <w:rsid w:val="002A381E"/>
    <w:rsid w:val="002A47AF"/>
    <w:rsid w:val="002B04C5"/>
    <w:rsid w:val="002B0A7F"/>
    <w:rsid w:val="002B236C"/>
    <w:rsid w:val="002B4E02"/>
    <w:rsid w:val="002C26D4"/>
    <w:rsid w:val="002C6325"/>
    <w:rsid w:val="002C7097"/>
    <w:rsid w:val="002D0B44"/>
    <w:rsid w:val="002D261F"/>
    <w:rsid w:val="002D7310"/>
    <w:rsid w:val="002E04CA"/>
    <w:rsid w:val="002E2BCD"/>
    <w:rsid w:val="002E2C9B"/>
    <w:rsid w:val="002E4396"/>
    <w:rsid w:val="002F1086"/>
    <w:rsid w:val="002F64F0"/>
    <w:rsid w:val="002F790E"/>
    <w:rsid w:val="00301564"/>
    <w:rsid w:val="003034C9"/>
    <w:rsid w:val="00313F1C"/>
    <w:rsid w:val="00316B64"/>
    <w:rsid w:val="00316EAB"/>
    <w:rsid w:val="0032311D"/>
    <w:rsid w:val="00323CE2"/>
    <w:rsid w:val="00331011"/>
    <w:rsid w:val="003330BB"/>
    <w:rsid w:val="00350777"/>
    <w:rsid w:val="0035090F"/>
    <w:rsid w:val="00351B86"/>
    <w:rsid w:val="00355827"/>
    <w:rsid w:val="00361ECA"/>
    <w:rsid w:val="00365B11"/>
    <w:rsid w:val="003720E6"/>
    <w:rsid w:val="003723EF"/>
    <w:rsid w:val="00375E29"/>
    <w:rsid w:val="00377E42"/>
    <w:rsid w:val="00380C25"/>
    <w:rsid w:val="00384111"/>
    <w:rsid w:val="00387347"/>
    <w:rsid w:val="00392BD8"/>
    <w:rsid w:val="003942BF"/>
    <w:rsid w:val="003A1AE3"/>
    <w:rsid w:val="003A3ED3"/>
    <w:rsid w:val="003B2751"/>
    <w:rsid w:val="003B42FA"/>
    <w:rsid w:val="003B6862"/>
    <w:rsid w:val="003B69B4"/>
    <w:rsid w:val="003C1123"/>
    <w:rsid w:val="003C2EAC"/>
    <w:rsid w:val="003D07E3"/>
    <w:rsid w:val="003D3E4E"/>
    <w:rsid w:val="003D4B0F"/>
    <w:rsid w:val="003D680C"/>
    <w:rsid w:val="003D6B21"/>
    <w:rsid w:val="003E4831"/>
    <w:rsid w:val="003E546C"/>
    <w:rsid w:val="003E7BCE"/>
    <w:rsid w:val="003F1F5F"/>
    <w:rsid w:val="003F7694"/>
    <w:rsid w:val="003F7BE2"/>
    <w:rsid w:val="00400729"/>
    <w:rsid w:val="00401DAD"/>
    <w:rsid w:val="00403BFB"/>
    <w:rsid w:val="004113EB"/>
    <w:rsid w:val="00413124"/>
    <w:rsid w:val="00414448"/>
    <w:rsid w:val="00414543"/>
    <w:rsid w:val="0042704D"/>
    <w:rsid w:val="00434489"/>
    <w:rsid w:val="0043714A"/>
    <w:rsid w:val="00443417"/>
    <w:rsid w:val="00450068"/>
    <w:rsid w:val="00453BE4"/>
    <w:rsid w:val="004567E6"/>
    <w:rsid w:val="004614F2"/>
    <w:rsid w:val="00464E07"/>
    <w:rsid w:val="0047186F"/>
    <w:rsid w:val="00471885"/>
    <w:rsid w:val="00471F9D"/>
    <w:rsid w:val="0047540F"/>
    <w:rsid w:val="00480451"/>
    <w:rsid w:val="004874AA"/>
    <w:rsid w:val="00491BBE"/>
    <w:rsid w:val="00494DFF"/>
    <w:rsid w:val="004A277F"/>
    <w:rsid w:val="004A4F47"/>
    <w:rsid w:val="004A72C2"/>
    <w:rsid w:val="004A7595"/>
    <w:rsid w:val="004B07F9"/>
    <w:rsid w:val="004B14CA"/>
    <w:rsid w:val="004B2243"/>
    <w:rsid w:val="004B245B"/>
    <w:rsid w:val="004B5D21"/>
    <w:rsid w:val="004B64A0"/>
    <w:rsid w:val="004C015D"/>
    <w:rsid w:val="004C10B6"/>
    <w:rsid w:val="004C31D5"/>
    <w:rsid w:val="004D3F43"/>
    <w:rsid w:val="004D426B"/>
    <w:rsid w:val="004D786D"/>
    <w:rsid w:val="004E4BA4"/>
    <w:rsid w:val="00500B09"/>
    <w:rsid w:val="00512BF5"/>
    <w:rsid w:val="00514D8B"/>
    <w:rsid w:val="005158FF"/>
    <w:rsid w:val="00516B41"/>
    <w:rsid w:val="005229F6"/>
    <w:rsid w:val="00523668"/>
    <w:rsid w:val="0052601D"/>
    <w:rsid w:val="00527331"/>
    <w:rsid w:val="00531C73"/>
    <w:rsid w:val="005334B9"/>
    <w:rsid w:val="0053526A"/>
    <w:rsid w:val="00536FF8"/>
    <w:rsid w:val="005419E6"/>
    <w:rsid w:val="00543123"/>
    <w:rsid w:val="0054479C"/>
    <w:rsid w:val="00545763"/>
    <w:rsid w:val="0055161F"/>
    <w:rsid w:val="00551844"/>
    <w:rsid w:val="00551B1F"/>
    <w:rsid w:val="0055490C"/>
    <w:rsid w:val="00554B2A"/>
    <w:rsid w:val="00561A7E"/>
    <w:rsid w:val="00562D42"/>
    <w:rsid w:val="005637AB"/>
    <w:rsid w:val="00563C9C"/>
    <w:rsid w:val="00563F9C"/>
    <w:rsid w:val="005656FB"/>
    <w:rsid w:val="005663A3"/>
    <w:rsid w:val="00571AD5"/>
    <w:rsid w:val="005831EE"/>
    <w:rsid w:val="00586C2C"/>
    <w:rsid w:val="00592BE6"/>
    <w:rsid w:val="005931FB"/>
    <w:rsid w:val="00593F16"/>
    <w:rsid w:val="00597B9C"/>
    <w:rsid w:val="005A2FF1"/>
    <w:rsid w:val="005A5DE5"/>
    <w:rsid w:val="005A5EF2"/>
    <w:rsid w:val="005A6746"/>
    <w:rsid w:val="005B14DC"/>
    <w:rsid w:val="005B282D"/>
    <w:rsid w:val="005B2D08"/>
    <w:rsid w:val="005B331C"/>
    <w:rsid w:val="005C2B1C"/>
    <w:rsid w:val="005D0565"/>
    <w:rsid w:val="005D27A7"/>
    <w:rsid w:val="005D46FF"/>
    <w:rsid w:val="005D68A6"/>
    <w:rsid w:val="005D7CC1"/>
    <w:rsid w:val="005E2E1F"/>
    <w:rsid w:val="005E366B"/>
    <w:rsid w:val="005E75AC"/>
    <w:rsid w:val="005F3C33"/>
    <w:rsid w:val="006001E1"/>
    <w:rsid w:val="006008C1"/>
    <w:rsid w:val="00602136"/>
    <w:rsid w:val="006027EC"/>
    <w:rsid w:val="00604979"/>
    <w:rsid w:val="00605FE4"/>
    <w:rsid w:val="00606385"/>
    <w:rsid w:val="006135C1"/>
    <w:rsid w:val="00616375"/>
    <w:rsid w:val="00622590"/>
    <w:rsid w:val="0062321A"/>
    <w:rsid w:val="006247BD"/>
    <w:rsid w:val="00633D35"/>
    <w:rsid w:val="0064089C"/>
    <w:rsid w:val="00642B0E"/>
    <w:rsid w:val="00646C64"/>
    <w:rsid w:val="00646D6E"/>
    <w:rsid w:val="00647941"/>
    <w:rsid w:val="00656C9A"/>
    <w:rsid w:val="00662CB3"/>
    <w:rsid w:val="00670FCE"/>
    <w:rsid w:val="00672E77"/>
    <w:rsid w:val="00675319"/>
    <w:rsid w:val="006763BA"/>
    <w:rsid w:val="00676A07"/>
    <w:rsid w:val="0068025E"/>
    <w:rsid w:val="006838F2"/>
    <w:rsid w:val="006859DE"/>
    <w:rsid w:val="006954E6"/>
    <w:rsid w:val="00697976"/>
    <w:rsid w:val="006A3483"/>
    <w:rsid w:val="006A601C"/>
    <w:rsid w:val="006B5ACE"/>
    <w:rsid w:val="006B7860"/>
    <w:rsid w:val="006C425E"/>
    <w:rsid w:val="006C70CE"/>
    <w:rsid w:val="006D1A73"/>
    <w:rsid w:val="006D25F3"/>
    <w:rsid w:val="006D38AE"/>
    <w:rsid w:val="006D500A"/>
    <w:rsid w:val="006E0A2D"/>
    <w:rsid w:val="006F0F44"/>
    <w:rsid w:val="006F5B54"/>
    <w:rsid w:val="00701204"/>
    <w:rsid w:val="00704772"/>
    <w:rsid w:val="00705994"/>
    <w:rsid w:val="00705CE2"/>
    <w:rsid w:val="00706469"/>
    <w:rsid w:val="00723144"/>
    <w:rsid w:val="00736475"/>
    <w:rsid w:val="00737A17"/>
    <w:rsid w:val="00737CA4"/>
    <w:rsid w:val="00741670"/>
    <w:rsid w:val="007469F0"/>
    <w:rsid w:val="00752991"/>
    <w:rsid w:val="007545B5"/>
    <w:rsid w:val="00754FBC"/>
    <w:rsid w:val="00760F00"/>
    <w:rsid w:val="00767692"/>
    <w:rsid w:val="007827FA"/>
    <w:rsid w:val="007838FC"/>
    <w:rsid w:val="00785181"/>
    <w:rsid w:val="007874FD"/>
    <w:rsid w:val="00792DB4"/>
    <w:rsid w:val="007939E9"/>
    <w:rsid w:val="00794F96"/>
    <w:rsid w:val="0079565B"/>
    <w:rsid w:val="007A16CD"/>
    <w:rsid w:val="007A454F"/>
    <w:rsid w:val="007A6A00"/>
    <w:rsid w:val="007B189F"/>
    <w:rsid w:val="007B207C"/>
    <w:rsid w:val="007B347B"/>
    <w:rsid w:val="007B3CE4"/>
    <w:rsid w:val="007B4B1D"/>
    <w:rsid w:val="007B7544"/>
    <w:rsid w:val="007C0664"/>
    <w:rsid w:val="007C1FC5"/>
    <w:rsid w:val="007C4792"/>
    <w:rsid w:val="007C69C3"/>
    <w:rsid w:val="007D6A4A"/>
    <w:rsid w:val="007E25A9"/>
    <w:rsid w:val="007E5D0C"/>
    <w:rsid w:val="007E67CB"/>
    <w:rsid w:val="007E746C"/>
    <w:rsid w:val="007F1468"/>
    <w:rsid w:val="007F2706"/>
    <w:rsid w:val="007F3A30"/>
    <w:rsid w:val="007F3A49"/>
    <w:rsid w:val="007F6690"/>
    <w:rsid w:val="007F737A"/>
    <w:rsid w:val="00803714"/>
    <w:rsid w:val="008059BE"/>
    <w:rsid w:val="00807312"/>
    <w:rsid w:val="00807AA6"/>
    <w:rsid w:val="008107E5"/>
    <w:rsid w:val="008110F3"/>
    <w:rsid w:val="00813550"/>
    <w:rsid w:val="0081414D"/>
    <w:rsid w:val="00823124"/>
    <w:rsid w:val="0082691D"/>
    <w:rsid w:val="008302F6"/>
    <w:rsid w:val="008403DB"/>
    <w:rsid w:val="008469C8"/>
    <w:rsid w:val="00851D27"/>
    <w:rsid w:val="00860C81"/>
    <w:rsid w:val="00867C3F"/>
    <w:rsid w:val="00872523"/>
    <w:rsid w:val="00874635"/>
    <w:rsid w:val="008774EB"/>
    <w:rsid w:val="00883AE3"/>
    <w:rsid w:val="00885786"/>
    <w:rsid w:val="00890848"/>
    <w:rsid w:val="00891DEE"/>
    <w:rsid w:val="00893D37"/>
    <w:rsid w:val="008A14A0"/>
    <w:rsid w:val="008A6BCC"/>
    <w:rsid w:val="008A7532"/>
    <w:rsid w:val="008A769D"/>
    <w:rsid w:val="008A7F0C"/>
    <w:rsid w:val="008B2891"/>
    <w:rsid w:val="008B36F7"/>
    <w:rsid w:val="008B3884"/>
    <w:rsid w:val="008B5445"/>
    <w:rsid w:val="008B6016"/>
    <w:rsid w:val="008B684E"/>
    <w:rsid w:val="008B7286"/>
    <w:rsid w:val="008C5407"/>
    <w:rsid w:val="008C62B8"/>
    <w:rsid w:val="008D2958"/>
    <w:rsid w:val="008D45CE"/>
    <w:rsid w:val="008E0924"/>
    <w:rsid w:val="008E0A14"/>
    <w:rsid w:val="008E0DD6"/>
    <w:rsid w:val="008E1F4F"/>
    <w:rsid w:val="008E23C3"/>
    <w:rsid w:val="008E3398"/>
    <w:rsid w:val="008E56E2"/>
    <w:rsid w:val="008E5D51"/>
    <w:rsid w:val="008E73A6"/>
    <w:rsid w:val="008F2174"/>
    <w:rsid w:val="008F22AA"/>
    <w:rsid w:val="008F282E"/>
    <w:rsid w:val="008F573B"/>
    <w:rsid w:val="009009EE"/>
    <w:rsid w:val="00901A81"/>
    <w:rsid w:val="009023FA"/>
    <w:rsid w:val="00903B22"/>
    <w:rsid w:val="00906426"/>
    <w:rsid w:val="00907261"/>
    <w:rsid w:val="009127D5"/>
    <w:rsid w:val="00913C0A"/>
    <w:rsid w:val="00913CC9"/>
    <w:rsid w:val="009178E1"/>
    <w:rsid w:val="00920143"/>
    <w:rsid w:val="00921637"/>
    <w:rsid w:val="009248DD"/>
    <w:rsid w:val="00930210"/>
    <w:rsid w:val="00930A01"/>
    <w:rsid w:val="00932B76"/>
    <w:rsid w:val="00933040"/>
    <w:rsid w:val="009331CF"/>
    <w:rsid w:val="00941F38"/>
    <w:rsid w:val="009423EC"/>
    <w:rsid w:val="009501BB"/>
    <w:rsid w:val="00950F3B"/>
    <w:rsid w:val="00956636"/>
    <w:rsid w:val="00966566"/>
    <w:rsid w:val="009668CD"/>
    <w:rsid w:val="00970845"/>
    <w:rsid w:val="0097289F"/>
    <w:rsid w:val="0097642C"/>
    <w:rsid w:val="009831C7"/>
    <w:rsid w:val="009860EC"/>
    <w:rsid w:val="009866F3"/>
    <w:rsid w:val="009869F4"/>
    <w:rsid w:val="009928E8"/>
    <w:rsid w:val="00993C93"/>
    <w:rsid w:val="009953EB"/>
    <w:rsid w:val="009959BD"/>
    <w:rsid w:val="00995F5D"/>
    <w:rsid w:val="009A1CB0"/>
    <w:rsid w:val="009A4494"/>
    <w:rsid w:val="009A4DCD"/>
    <w:rsid w:val="009A6A17"/>
    <w:rsid w:val="009A7F77"/>
    <w:rsid w:val="009B46CE"/>
    <w:rsid w:val="009B5CB0"/>
    <w:rsid w:val="009B7AA9"/>
    <w:rsid w:val="009C144C"/>
    <w:rsid w:val="009C7A15"/>
    <w:rsid w:val="009C7FEE"/>
    <w:rsid w:val="009D569D"/>
    <w:rsid w:val="009E0EF4"/>
    <w:rsid w:val="009E1E38"/>
    <w:rsid w:val="009E2F1D"/>
    <w:rsid w:val="009E2F61"/>
    <w:rsid w:val="009E7516"/>
    <w:rsid w:val="009F08FA"/>
    <w:rsid w:val="009F5C16"/>
    <w:rsid w:val="00A0001C"/>
    <w:rsid w:val="00A039C9"/>
    <w:rsid w:val="00A04582"/>
    <w:rsid w:val="00A05748"/>
    <w:rsid w:val="00A05F3E"/>
    <w:rsid w:val="00A11015"/>
    <w:rsid w:val="00A11167"/>
    <w:rsid w:val="00A134CB"/>
    <w:rsid w:val="00A14E9A"/>
    <w:rsid w:val="00A15CA1"/>
    <w:rsid w:val="00A17E6E"/>
    <w:rsid w:val="00A23695"/>
    <w:rsid w:val="00A278BB"/>
    <w:rsid w:val="00A30AE7"/>
    <w:rsid w:val="00A3171C"/>
    <w:rsid w:val="00A33116"/>
    <w:rsid w:val="00A35912"/>
    <w:rsid w:val="00A35D6A"/>
    <w:rsid w:val="00A456E4"/>
    <w:rsid w:val="00A47347"/>
    <w:rsid w:val="00A516F2"/>
    <w:rsid w:val="00A52339"/>
    <w:rsid w:val="00A538E8"/>
    <w:rsid w:val="00A55894"/>
    <w:rsid w:val="00A55D9D"/>
    <w:rsid w:val="00A62A90"/>
    <w:rsid w:val="00A66230"/>
    <w:rsid w:val="00A70E9D"/>
    <w:rsid w:val="00A7572E"/>
    <w:rsid w:val="00A7661F"/>
    <w:rsid w:val="00A779C6"/>
    <w:rsid w:val="00A80849"/>
    <w:rsid w:val="00A8216C"/>
    <w:rsid w:val="00A85729"/>
    <w:rsid w:val="00A862B6"/>
    <w:rsid w:val="00A86A18"/>
    <w:rsid w:val="00A92A7F"/>
    <w:rsid w:val="00A93C09"/>
    <w:rsid w:val="00A94945"/>
    <w:rsid w:val="00A9684F"/>
    <w:rsid w:val="00A96F98"/>
    <w:rsid w:val="00AA03EA"/>
    <w:rsid w:val="00AA13EC"/>
    <w:rsid w:val="00AA1B8E"/>
    <w:rsid w:val="00AA4B99"/>
    <w:rsid w:val="00AB7615"/>
    <w:rsid w:val="00AB7D6E"/>
    <w:rsid w:val="00AC78B0"/>
    <w:rsid w:val="00AD112B"/>
    <w:rsid w:val="00AD1156"/>
    <w:rsid w:val="00AD2D2F"/>
    <w:rsid w:val="00AE1041"/>
    <w:rsid w:val="00AE3366"/>
    <w:rsid w:val="00AE6305"/>
    <w:rsid w:val="00AE6DC0"/>
    <w:rsid w:val="00AF502B"/>
    <w:rsid w:val="00AF578B"/>
    <w:rsid w:val="00B013EF"/>
    <w:rsid w:val="00B07612"/>
    <w:rsid w:val="00B15F3A"/>
    <w:rsid w:val="00B167E2"/>
    <w:rsid w:val="00B1699E"/>
    <w:rsid w:val="00B23DE4"/>
    <w:rsid w:val="00B25E11"/>
    <w:rsid w:val="00B315D1"/>
    <w:rsid w:val="00B42995"/>
    <w:rsid w:val="00B43708"/>
    <w:rsid w:val="00B43A0A"/>
    <w:rsid w:val="00B44A55"/>
    <w:rsid w:val="00B452DE"/>
    <w:rsid w:val="00B45645"/>
    <w:rsid w:val="00B50587"/>
    <w:rsid w:val="00B51D54"/>
    <w:rsid w:val="00B53748"/>
    <w:rsid w:val="00B54FED"/>
    <w:rsid w:val="00B601F3"/>
    <w:rsid w:val="00B613DC"/>
    <w:rsid w:val="00B62718"/>
    <w:rsid w:val="00B62ED2"/>
    <w:rsid w:val="00B63775"/>
    <w:rsid w:val="00B65A42"/>
    <w:rsid w:val="00B679EE"/>
    <w:rsid w:val="00B734BB"/>
    <w:rsid w:val="00B73772"/>
    <w:rsid w:val="00B75A38"/>
    <w:rsid w:val="00B804CB"/>
    <w:rsid w:val="00B80E4A"/>
    <w:rsid w:val="00B84333"/>
    <w:rsid w:val="00B8475B"/>
    <w:rsid w:val="00B84E16"/>
    <w:rsid w:val="00B902E9"/>
    <w:rsid w:val="00B91861"/>
    <w:rsid w:val="00B925F8"/>
    <w:rsid w:val="00B935C8"/>
    <w:rsid w:val="00B93951"/>
    <w:rsid w:val="00B94F24"/>
    <w:rsid w:val="00BA0B2F"/>
    <w:rsid w:val="00BA3D81"/>
    <w:rsid w:val="00BA5EA8"/>
    <w:rsid w:val="00BB164E"/>
    <w:rsid w:val="00BB554E"/>
    <w:rsid w:val="00BB6956"/>
    <w:rsid w:val="00BB6EDF"/>
    <w:rsid w:val="00BC0A41"/>
    <w:rsid w:val="00BC61A4"/>
    <w:rsid w:val="00BC6D0F"/>
    <w:rsid w:val="00BD104D"/>
    <w:rsid w:val="00BD2070"/>
    <w:rsid w:val="00BD3679"/>
    <w:rsid w:val="00BD44A2"/>
    <w:rsid w:val="00BE1F5F"/>
    <w:rsid w:val="00BE5785"/>
    <w:rsid w:val="00BF2744"/>
    <w:rsid w:val="00BF451C"/>
    <w:rsid w:val="00BF5FD5"/>
    <w:rsid w:val="00BF7D5B"/>
    <w:rsid w:val="00C01802"/>
    <w:rsid w:val="00C06E57"/>
    <w:rsid w:val="00C06FCA"/>
    <w:rsid w:val="00C10F74"/>
    <w:rsid w:val="00C12271"/>
    <w:rsid w:val="00C15047"/>
    <w:rsid w:val="00C2260D"/>
    <w:rsid w:val="00C41CAB"/>
    <w:rsid w:val="00C43475"/>
    <w:rsid w:val="00C61609"/>
    <w:rsid w:val="00C6589D"/>
    <w:rsid w:val="00C73272"/>
    <w:rsid w:val="00C74DE9"/>
    <w:rsid w:val="00C80928"/>
    <w:rsid w:val="00C80E4C"/>
    <w:rsid w:val="00C8316C"/>
    <w:rsid w:val="00C83854"/>
    <w:rsid w:val="00C921BE"/>
    <w:rsid w:val="00C92FDD"/>
    <w:rsid w:val="00C93B29"/>
    <w:rsid w:val="00C9451C"/>
    <w:rsid w:val="00C95F40"/>
    <w:rsid w:val="00C97FF7"/>
    <w:rsid w:val="00CA374B"/>
    <w:rsid w:val="00CB52FD"/>
    <w:rsid w:val="00CB7825"/>
    <w:rsid w:val="00CC0004"/>
    <w:rsid w:val="00CC60EF"/>
    <w:rsid w:val="00CD00EF"/>
    <w:rsid w:val="00CD3473"/>
    <w:rsid w:val="00CD4F46"/>
    <w:rsid w:val="00CD5136"/>
    <w:rsid w:val="00CE0CAE"/>
    <w:rsid w:val="00CE25DC"/>
    <w:rsid w:val="00CE34FB"/>
    <w:rsid w:val="00CE3FA9"/>
    <w:rsid w:val="00CE583A"/>
    <w:rsid w:val="00CF39C4"/>
    <w:rsid w:val="00CF5F5D"/>
    <w:rsid w:val="00CF6B95"/>
    <w:rsid w:val="00CF7822"/>
    <w:rsid w:val="00D12283"/>
    <w:rsid w:val="00D12B3C"/>
    <w:rsid w:val="00D14824"/>
    <w:rsid w:val="00D21D3E"/>
    <w:rsid w:val="00D268E6"/>
    <w:rsid w:val="00D41EC6"/>
    <w:rsid w:val="00D42445"/>
    <w:rsid w:val="00D44646"/>
    <w:rsid w:val="00D45E44"/>
    <w:rsid w:val="00D46FFC"/>
    <w:rsid w:val="00D50C40"/>
    <w:rsid w:val="00D57314"/>
    <w:rsid w:val="00D57329"/>
    <w:rsid w:val="00D63915"/>
    <w:rsid w:val="00D667A3"/>
    <w:rsid w:val="00D7686D"/>
    <w:rsid w:val="00D81FF1"/>
    <w:rsid w:val="00D8512D"/>
    <w:rsid w:val="00D8729E"/>
    <w:rsid w:val="00D87AB2"/>
    <w:rsid w:val="00D9068E"/>
    <w:rsid w:val="00D923EA"/>
    <w:rsid w:val="00D94399"/>
    <w:rsid w:val="00D9578C"/>
    <w:rsid w:val="00DA15F1"/>
    <w:rsid w:val="00DA4DC3"/>
    <w:rsid w:val="00DA547A"/>
    <w:rsid w:val="00DA79D7"/>
    <w:rsid w:val="00DB1795"/>
    <w:rsid w:val="00DB2526"/>
    <w:rsid w:val="00DB3973"/>
    <w:rsid w:val="00DB41FE"/>
    <w:rsid w:val="00DB47C4"/>
    <w:rsid w:val="00DB6274"/>
    <w:rsid w:val="00DB7E7C"/>
    <w:rsid w:val="00DB7F10"/>
    <w:rsid w:val="00DC0E2D"/>
    <w:rsid w:val="00DC4790"/>
    <w:rsid w:val="00DD4C55"/>
    <w:rsid w:val="00DF5A2A"/>
    <w:rsid w:val="00E000A0"/>
    <w:rsid w:val="00E010B5"/>
    <w:rsid w:val="00E0237F"/>
    <w:rsid w:val="00E064F6"/>
    <w:rsid w:val="00E16813"/>
    <w:rsid w:val="00E22124"/>
    <w:rsid w:val="00E24870"/>
    <w:rsid w:val="00E3037A"/>
    <w:rsid w:val="00E32F64"/>
    <w:rsid w:val="00E35341"/>
    <w:rsid w:val="00E365E8"/>
    <w:rsid w:val="00E37BF6"/>
    <w:rsid w:val="00E43584"/>
    <w:rsid w:val="00E4556D"/>
    <w:rsid w:val="00E4677E"/>
    <w:rsid w:val="00E46A82"/>
    <w:rsid w:val="00E4702F"/>
    <w:rsid w:val="00E5460A"/>
    <w:rsid w:val="00E564DD"/>
    <w:rsid w:val="00E573AA"/>
    <w:rsid w:val="00E60BC7"/>
    <w:rsid w:val="00E63267"/>
    <w:rsid w:val="00E66955"/>
    <w:rsid w:val="00E66F18"/>
    <w:rsid w:val="00E70254"/>
    <w:rsid w:val="00E70F93"/>
    <w:rsid w:val="00E73FE8"/>
    <w:rsid w:val="00E76D27"/>
    <w:rsid w:val="00E77E3C"/>
    <w:rsid w:val="00E80C3A"/>
    <w:rsid w:val="00E90088"/>
    <w:rsid w:val="00E90B24"/>
    <w:rsid w:val="00E95EC4"/>
    <w:rsid w:val="00E967A0"/>
    <w:rsid w:val="00EB1F82"/>
    <w:rsid w:val="00EB2986"/>
    <w:rsid w:val="00EB48E9"/>
    <w:rsid w:val="00EB5BD2"/>
    <w:rsid w:val="00EC0006"/>
    <w:rsid w:val="00EC1EBF"/>
    <w:rsid w:val="00EC2BDF"/>
    <w:rsid w:val="00EC4256"/>
    <w:rsid w:val="00EC7C58"/>
    <w:rsid w:val="00EC7EF4"/>
    <w:rsid w:val="00ED007B"/>
    <w:rsid w:val="00ED1B73"/>
    <w:rsid w:val="00ED3D55"/>
    <w:rsid w:val="00ED5973"/>
    <w:rsid w:val="00ED66B2"/>
    <w:rsid w:val="00EE3ACF"/>
    <w:rsid w:val="00EF1B85"/>
    <w:rsid w:val="00EF1E6C"/>
    <w:rsid w:val="00EF2722"/>
    <w:rsid w:val="00EF58C4"/>
    <w:rsid w:val="00EF5DC0"/>
    <w:rsid w:val="00EF6DE9"/>
    <w:rsid w:val="00EF77AC"/>
    <w:rsid w:val="00F003A4"/>
    <w:rsid w:val="00F029A2"/>
    <w:rsid w:val="00F02E89"/>
    <w:rsid w:val="00F02F63"/>
    <w:rsid w:val="00F12B81"/>
    <w:rsid w:val="00F13B55"/>
    <w:rsid w:val="00F208E4"/>
    <w:rsid w:val="00F2462D"/>
    <w:rsid w:val="00F246E2"/>
    <w:rsid w:val="00F2504A"/>
    <w:rsid w:val="00F30E90"/>
    <w:rsid w:val="00F30F11"/>
    <w:rsid w:val="00F32933"/>
    <w:rsid w:val="00F33005"/>
    <w:rsid w:val="00F353CF"/>
    <w:rsid w:val="00F36597"/>
    <w:rsid w:val="00F36C6E"/>
    <w:rsid w:val="00F40130"/>
    <w:rsid w:val="00F40379"/>
    <w:rsid w:val="00F40CCC"/>
    <w:rsid w:val="00F4180B"/>
    <w:rsid w:val="00F41EB2"/>
    <w:rsid w:val="00F4688D"/>
    <w:rsid w:val="00F473B7"/>
    <w:rsid w:val="00F503EE"/>
    <w:rsid w:val="00F505A8"/>
    <w:rsid w:val="00F54641"/>
    <w:rsid w:val="00F554F3"/>
    <w:rsid w:val="00F629F1"/>
    <w:rsid w:val="00F7019E"/>
    <w:rsid w:val="00F70C25"/>
    <w:rsid w:val="00F76806"/>
    <w:rsid w:val="00F826BF"/>
    <w:rsid w:val="00F856D7"/>
    <w:rsid w:val="00F935F0"/>
    <w:rsid w:val="00FA0B02"/>
    <w:rsid w:val="00FA41E6"/>
    <w:rsid w:val="00FB1189"/>
    <w:rsid w:val="00FB27AF"/>
    <w:rsid w:val="00FB3182"/>
    <w:rsid w:val="00FB39A7"/>
    <w:rsid w:val="00FB3E75"/>
    <w:rsid w:val="00FB4569"/>
    <w:rsid w:val="00FC2123"/>
    <w:rsid w:val="00FC3BD4"/>
    <w:rsid w:val="00FC48D8"/>
    <w:rsid w:val="00FD1BDE"/>
    <w:rsid w:val="00FD2653"/>
    <w:rsid w:val="00FD30E4"/>
    <w:rsid w:val="00FD4DE3"/>
    <w:rsid w:val="00FD7131"/>
    <w:rsid w:val="00FE0F08"/>
    <w:rsid w:val="00FE29C8"/>
    <w:rsid w:val="00FE3A52"/>
    <w:rsid w:val="00FE513C"/>
    <w:rsid w:val="00FE6177"/>
    <w:rsid w:val="00FF2B02"/>
    <w:rsid w:val="00FF553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C2771"/>
  <w15:docId w15:val="{A2DA5FB1-A1CC-47C4-B92D-47400CAF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E4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D45E44"/>
    <w:pPr>
      <w:spacing w:before="100" w:beforeAutospacing="1" w:after="100" w:afterAutospacing="1"/>
      <w:outlineLvl w:val="0"/>
    </w:pPr>
    <w:rPr>
      <w:rFonts w:ascii="Cambria" w:hAnsi="Cambria"/>
      <w:b/>
      <w:bCs/>
      <w:color w:val="365F91"/>
      <w:sz w:val="28"/>
      <w:szCs w:val="28"/>
      <w:lang w:val="x-none" w:eastAsia="x-none"/>
    </w:rPr>
  </w:style>
  <w:style w:type="paragraph" w:styleId="Heading2">
    <w:name w:val="heading 2"/>
    <w:basedOn w:val="Normal"/>
    <w:next w:val="Normal"/>
    <w:link w:val="Heading2Char"/>
    <w:semiHidden/>
    <w:unhideWhenUsed/>
    <w:qFormat/>
    <w:rsid w:val="00D45E44"/>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nhideWhenUsed/>
    <w:qFormat/>
    <w:rsid w:val="00D45E44"/>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5E44"/>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semiHidden/>
    <w:rsid w:val="00D45E44"/>
    <w:rPr>
      <w:rFonts w:ascii="Calibri Light" w:eastAsia="Times New Roman" w:hAnsi="Calibri Light" w:cs="Times New Roman"/>
      <w:b/>
      <w:bCs/>
      <w:i/>
      <w:iCs/>
      <w:sz w:val="28"/>
      <w:szCs w:val="28"/>
      <w:lang w:val="x-none" w:eastAsia="x-none"/>
    </w:rPr>
  </w:style>
  <w:style w:type="character" w:customStyle="1" w:styleId="Heading3Char">
    <w:name w:val="Heading 3 Char"/>
    <w:basedOn w:val="DefaultParagraphFont"/>
    <w:link w:val="Heading3"/>
    <w:rsid w:val="00D45E44"/>
    <w:rPr>
      <w:rFonts w:ascii="Calibri Light" w:eastAsia="Times New Roman" w:hAnsi="Calibri Light" w:cs="Times New Roman"/>
      <w:b/>
      <w:bCs/>
      <w:sz w:val="26"/>
      <w:szCs w:val="26"/>
      <w:lang w:val="x-none" w:eastAsia="x-none"/>
    </w:rPr>
  </w:style>
  <w:style w:type="character" w:styleId="Hyperlink">
    <w:name w:val="Hyperlink"/>
    <w:uiPriority w:val="99"/>
    <w:semiHidden/>
    <w:rsid w:val="00D45E44"/>
    <w:rPr>
      <w:rFonts w:cs="Times New Roman"/>
      <w:color w:val="0000FF"/>
      <w:u w:val="single"/>
    </w:rPr>
  </w:style>
  <w:style w:type="character" w:styleId="FollowedHyperlink">
    <w:name w:val="FollowedHyperlink"/>
    <w:uiPriority w:val="99"/>
    <w:semiHidden/>
    <w:rsid w:val="00D45E44"/>
    <w:rPr>
      <w:rFonts w:cs="Times New Roman"/>
      <w:color w:val="800080"/>
      <w:u w:val="single"/>
    </w:rPr>
  </w:style>
  <w:style w:type="paragraph" w:customStyle="1" w:styleId="h1">
    <w:name w:val="h1"/>
    <w:basedOn w:val="Normal"/>
    <w:uiPriority w:val="99"/>
    <w:rsid w:val="00D45E44"/>
    <w:pPr>
      <w:spacing w:after="150"/>
    </w:pPr>
    <w:rPr>
      <w:color w:val="306060"/>
      <w:sz w:val="31"/>
      <w:szCs w:val="31"/>
    </w:rPr>
  </w:style>
  <w:style w:type="paragraph" w:customStyle="1" w:styleId="h2">
    <w:name w:val="h2"/>
    <w:basedOn w:val="Normal"/>
    <w:uiPriority w:val="99"/>
    <w:rsid w:val="00D45E44"/>
    <w:pPr>
      <w:spacing w:before="100" w:beforeAutospacing="1" w:after="100" w:afterAutospacing="1"/>
    </w:pPr>
    <w:rPr>
      <w:color w:val="306060"/>
    </w:rPr>
  </w:style>
  <w:style w:type="paragraph" w:customStyle="1" w:styleId="a">
    <w:name w:val="a"/>
    <w:basedOn w:val="Normal"/>
    <w:uiPriority w:val="99"/>
    <w:rsid w:val="00D45E44"/>
    <w:pPr>
      <w:spacing w:before="100" w:beforeAutospacing="1" w:after="100" w:afterAutospacing="1"/>
    </w:pPr>
    <w:rPr>
      <w:color w:val="306060"/>
    </w:rPr>
  </w:style>
  <w:style w:type="paragraph" w:customStyle="1" w:styleId="b">
    <w:name w:val="b"/>
    <w:basedOn w:val="Normal"/>
    <w:uiPriority w:val="99"/>
    <w:rsid w:val="00D45E44"/>
    <w:pPr>
      <w:spacing w:before="100" w:beforeAutospacing="1" w:after="100" w:afterAutospacing="1"/>
    </w:pPr>
    <w:rPr>
      <w:color w:val="306060"/>
    </w:rPr>
  </w:style>
  <w:style w:type="paragraph" w:customStyle="1" w:styleId="body">
    <w:name w:val="body"/>
    <w:basedOn w:val="Normal"/>
    <w:uiPriority w:val="99"/>
    <w:rsid w:val="00D45E44"/>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D45E44"/>
    <w:pPr>
      <w:spacing w:before="100" w:beforeAutospacing="1" w:after="100" w:afterAutospacing="1"/>
    </w:pPr>
    <w:rPr>
      <w:color w:val="F0F8F8"/>
    </w:rPr>
  </w:style>
  <w:style w:type="paragraph" w:customStyle="1" w:styleId="radio">
    <w:name w:val="radio"/>
    <w:basedOn w:val="Normal"/>
    <w:uiPriority w:val="99"/>
    <w:rsid w:val="00D45E44"/>
    <w:pPr>
      <w:spacing w:before="100" w:beforeAutospacing="1" w:after="100" w:afterAutospacing="1"/>
    </w:pPr>
  </w:style>
  <w:style w:type="paragraph" w:customStyle="1" w:styleId="headcol">
    <w:name w:val="headcol"/>
    <w:basedOn w:val="Normal"/>
    <w:uiPriority w:val="99"/>
    <w:rsid w:val="00D45E44"/>
    <w:pPr>
      <w:spacing w:before="100" w:beforeAutospacing="1" w:after="100" w:afterAutospacing="1"/>
    </w:pPr>
    <w:rPr>
      <w:color w:val="F0F8F8"/>
    </w:rPr>
  </w:style>
  <w:style w:type="paragraph" w:customStyle="1" w:styleId="titlecol">
    <w:name w:val="titlecol"/>
    <w:basedOn w:val="Normal"/>
    <w:uiPriority w:val="99"/>
    <w:rsid w:val="00D45E44"/>
    <w:pPr>
      <w:spacing w:before="100" w:beforeAutospacing="1" w:after="100" w:afterAutospacing="1"/>
      <w:jc w:val="right"/>
    </w:pPr>
    <w:rPr>
      <w:b/>
      <w:bCs/>
    </w:rPr>
  </w:style>
  <w:style w:type="paragraph" w:customStyle="1" w:styleId="th">
    <w:name w:val="th"/>
    <w:basedOn w:val="Normal"/>
    <w:uiPriority w:val="99"/>
    <w:rsid w:val="00D45E44"/>
    <w:pPr>
      <w:spacing w:before="100" w:beforeAutospacing="1" w:after="100" w:afterAutospacing="1"/>
    </w:pPr>
    <w:rPr>
      <w:b/>
      <w:bCs/>
      <w:color w:val="333333"/>
    </w:rPr>
  </w:style>
  <w:style w:type="paragraph" w:customStyle="1" w:styleId="thr">
    <w:name w:val="thr"/>
    <w:basedOn w:val="Normal"/>
    <w:uiPriority w:val="99"/>
    <w:rsid w:val="00D45E44"/>
    <w:pPr>
      <w:spacing w:before="100" w:beforeAutospacing="1" w:after="100" w:afterAutospacing="1"/>
      <w:jc w:val="right"/>
    </w:pPr>
  </w:style>
  <w:style w:type="paragraph" w:customStyle="1" w:styleId="bdc">
    <w:name w:val="bdc"/>
    <w:basedOn w:val="Normal"/>
    <w:uiPriority w:val="99"/>
    <w:rsid w:val="00D45E44"/>
    <w:pPr>
      <w:spacing w:before="100" w:beforeAutospacing="1" w:after="100" w:afterAutospacing="1"/>
    </w:pPr>
    <w:rPr>
      <w:b/>
      <w:bCs/>
    </w:rPr>
  </w:style>
  <w:style w:type="paragraph" w:customStyle="1" w:styleId="input">
    <w:name w:val="input"/>
    <w:basedOn w:val="Normal"/>
    <w:uiPriority w:val="99"/>
    <w:rsid w:val="00D45E44"/>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D45E44"/>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D45E44"/>
    <w:pPr>
      <w:shd w:val="clear" w:color="auto" w:fill="F0F8F8"/>
      <w:spacing w:before="100" w:beforeAutospacing="1" w:after="100" w:afterAutospacing="1"/>
    </w:pPr>
    <w:rPr>
      <w:color w:val="333333"/>
    </w:rPr>
  </w:style>
  <w:style w:type="paragraph" w:customStyle="1" w:styleId="top1">
    <w:name w:val="top1"/>
    <w:basedOn w:val="Normal"/>
    <w:uiPriority w:val="99"/>
    <w:rsid w:val="00D45E44"/>
    <w:pPr>
      <w:spacing w:before="100" w:beforeAutospacing="1" w:after="100" w:afterAutospacing="1"/>
    </w:pPr>
  </w:style>
  <w:style w:type="paragraph" w:customStyle="1" w:styleId="logo">
    <w:name w:val="logo"/>
    <w:basedOn w:val="Normal"/>
    <w:uiPriority w:val="99"/>
    <w:rsid w:val="00D45E44"/>
    <w:pPr>
      <w:spacing w:before="100" w:beforeAutospacing="1" w:after="100" w:afterAutospacing="1"/>
    </w:pPr>
  </w:style>
  <w:style w:type="paragraph" w:customStyle="1" w:styleId="top2">
    <w:name w:val="top2"/>
    <w:basedOn w:val="Normal"/>
    <w:uiPriority w:val="99"/>
    <w:rsid w:val="00D45E44"/>
    <w:pPr>
      <w:spacing w:before="100" w:beforeAutospacing="1" w:after="100" w:afterAutospacing="1"/>
    </w:pPr>
  </w:style>
  <w:style w:type="paragraph" w:customStyle="1" w:styleId="hline">
    <w:name w:val="hline"/>
    <w:basedOn w:val="Normal"/>
    <w:uiPriority w:val="99"/>
    <w:rsid w:val="00D45E44"/>
    <w:pPr>
      <w:spacing w:before="100" w:beforeAutospacing="1" w:after="100" w:afterAutospacing="1"/>
    </w:pPr>
  </w:style>
  <w:style w:type="paragraph" w:customStyle="1" w:styleId="vline">
    <w:name w:val="vline"/>
    <w:basedOn w:val="Normal"/>
    <w:uiPriority w:val="99"/>
    <w:rsid w:val="00D45E44"/>
    <w:pPr>
      <w:spacing w:before="100" w:beforeAutospacing="1" w:after="100" w:afterAutospacing="1"/>
    </w:pPr>
  </w:style>
  <w:style w:type="paragraph" w:customStyle="1" w:styleId="zvabri">
    <w:name w:val="zvabri"/>
    <w:basedOn w:val="Normal"/>
    <w:uiPriority w:val="99"/>
    <w:rsid w:val="00D45E44"/>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D45E44"/>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semiHidden/>
    <w:rsid w:val="00D45E44"/>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rsid w:val="00D45E44"/>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D45E44"/>
    <w:rPr>
      <w:rFonts w:ascii="Arial" w:eastAsia="Times New Roman" w:hAnsi="Arial" w:cs="Times New Roman"/>
      <w:vanish/>
      <w:sz w:val="16"/>
      <w:szCs w:val="16"/>
      <w:lang w:val="x-none" w:eastAsia="x-none"/>
    </w:rPr>
  </w:style>
  <w:style w:type="paragraph" w:styleId="NormalWeb">
    <w:name w:val="Normal (Web)"/>
    <w:basedOn w:val="Normal"/>
    <w:uiPriority w:val="99"/>
    <w:rsid w:val="00D45E44"/>
    <w:pPr>
      <w:spacing w:before="100" w:beforeAutospacing="1" w:after="100" w:afterAutospacing="1"/>
    </w:pPr>
  </w:style>
  <w:style w:type="paragraph" w:customStyle="1" w:styleId="naisf">
    <w:name w:val="naisf"/>
    <w:basedOn w:val="Normal"/>
    <w:rsid w:val="00D45E44"/>
    <w:pPr>
      <w:spacing w:before="75" w:after="75"/>
      <w:ind w:firstLine="375"/>
      <w:jc w:val="both"/>
    </w:pPr>
  </w:style>
  <w:style w:type="paragraph" w:customStyle="1" w:styleId="nais1">
    <w:name w:val="nais1"/>
    <w:basedOn w:val="Normal"/>
    <w:uiPriority w:val="99"/>
    <w:rsid w:val="00D45E44"/>
    <w:pPr>
      <w:spacing w:before="75" w:after="75"/>
      <w:ind w:left="450" w:firstLine="375"/>
      <w:jc w:val="both"/>
    </w:pPr>
  </w:style>
  <w:style w:type="paragraph" w:customStyle="1" w:styleId="nais2">
    <w:name w:val="nais2"/>
    <w:basedOn w:val="Normal"/>
    <w:uiPriority w:val="99"/>
    <w:rsid w:val="00D45E44"/>
    <w:pPr>
      <w:spacing w:before="75" w:after="75"/>
      <w:ind w:left="900" w:firstLine="375"/>
      <w:jc w:val="both"/>
    </w:pPr>
  </w:style>
  <w:style w:type="paragraph" w:customStyle="1" w:styleId="naispant">
    <w:name w:val="naispant"/>
    <w:basedOn w:val="Normal"/>
    <w:uiPriority w:val="99"/>
    <w:rsid w:val="00D45E44"/>
    <w:pPr>
      <w:spacing w:before="75" w:after="75"/>
      <w:ind w:left="375" w:firstLine="375"/>
      <w:jc w:val="both"/>
    </w:pPr>
    <w:rPr>
      <w:b/>
      <w:bCs/>
    </w:rPr>
  </w:style>
  <w:style w:type="paragraph" w:customStyle="1" w:styleId="naisvisr">
    <w:name w:val="naisvisr"/>
    <w:basedOn w:val="Normal"/>
    <w:uiPriority w:val="99"/>
    <w:rsid w:val="00D45E44"/>
    <w:pPr>
      <w:spacing w:before="150" w:after="150"/>
      <w:jc w:val="center"/>
    </w:pPr>
    <w:rPr>
      <w:b/>
      <w:bCs/>
      <w:sz w:val="28"/>
      <w:szCs w:val="28"/>
    </w:rPr>
  </w:style>
  <w:style w:type="paragraph" w:customStyle="1" w:styleId="naisnod">
    <w:name w:val="naisnod"/>
    <w:basedOn w:val="Normal"/>
    <w:uiPriority w:val="99"/>
    <w:rsid w:val="00D45E44"/>
    <w:pPr>
      <w:spacing w:before="150" w:after="150"/>
      <w:jc w:val="center"/>
    </w:pPr>
    <w:rPr>
      <w:b/>
      <w:bCs/>
    </w:rPr>
  </w:style>
  <w:style w:type="paragraph" w:customStyle="1" w:styleId="naislab">
    <w:name w:val="naislab"/>
    <w:basedOn w:val="Normal"/>
    <w:uiPriority w:val="99"/>
    <w:rsid w:val="00D45E44"/>
    <w:pPr>
      <w:spacing w:before="75" w:after="75"/>
      <w:jc w:val="right"/>
    </w:pPr>
  </w:style>
  <w:style w:type="paragraph" w:customStyle="1" w:styleId="naiskr">
    <w:name w:val="naiskr"/>
    <w:basedOn w:val="Normal"/>
    <w:rsid w:val="00D45E44"/>
    <w:pPr>
      <w:spacing w:before="75" w:after="75"/>
    </w:pPr>
  </w:style>
  <w:style w:type="paragraph" w:customStyle="1" w:styleId="naisc">
    <w:name w:val="naisc"/>
    <w:basedOn w:val="Normal"/>
    <w:rsid w:val="00D45E44"/>
    <w:pPr>
      <w:spacing w:before="75" w:after="75"/>
      <w:jc w:val="center"/>
    </w:pPr>
  </w:style>
  <w:style w:type="character" w:styleId="Strong">
    <w:name w:val="Strong"/>
    <w:uiPriority w:val="22"/>
    <w:qFormat/>
    <w:rsid w:val="00D45E44"/>
    <w:rPr>
      <w:rFonts w:cs="Times New Roman"/>
      <w:b/>
      <w:bCs/>
    </w:rPr>
  </w:style>
  <w:style w:type="character" w:customStyle="1" w:styleId="th1">
    <w:name w:val="th1"/>
    <w:uiPriority w:val="99"/>
    <w:rsid w:val="00D45E44"/>
    <w:rPr>
      <w:rFonts w:cs="Times New Roman"/>
      <w:b/>
      <w:bCs/>
      <w:color w:val="333333"/>
    </w:rPr>
  </w:style>
  <w:style w:type="character" w:styleId="Emphasis">
    <w:name w:val="Emphasis"/>
    <w:uiPriority w:val="99"/>
    <w:qFormat/>
    <w:rsid w:val="00D45E44"/>
    <w:rPr>
      <w:rFonts w:cs="Times New Roman"/>
      <w:i/>
      <w:iCs/>
    </w:rPr>
  </w:style>
  <w:style w:type="paragraph" w:styleId="BalloonText">
    <w:name w:val="Balloon Text"/>
    <w:basedOn w:val="Normal"/>
    <w:link w:val="BalloonTextChar"/>
    <w:uiPriority w:val="99"/>
    <w:semiHidden/>
    <w:rsid w:val="00D45E44"/>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45E44"/>
    <w:rPr>
      <w:rFonts w:ascii="Tahoma" w:eastAsia="Times New Roman" w:hAnsi="Tahoma" w:cs="Times New Roman"/>
      <w:sz w:val="16"/>
      <w:szCs w:val="16"/>
      <w:lang w:val="x-none" w:eastAsia="x-none"/>
    </w:rPr>
  </w:style>
  <w:style w:type="table" w:styleId="TableGrid">
    <w:name w:val="Table Grid"/>
    <w:basedOn w:val="TableNormal"/>
    <w:uiPriority w:val="99"/>
    <w:rsid w:val="00D45E4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D45E44"/>
    <w:pPr>
      <w:ind w:firstLine="709"/>
      <w:jc w:val="both"/>
    </w:pPr>
    <w:rPr>
      <w:sz w:val="28"/>
      <w:szCs w:val="28"/>
      <w:lang w:eastAsia="x-none"/>
    </w:rPr>
  </w:style>
  <w:style w:type="character" w:customStyle="1" w:styleId="BodyTextIndent3Char">
    <w:name w:val="Body Text Indent 3 Char"/>
    <w:basedOn w:val="DefaultParagraphFont"/>
    <w:link w:val="BodyTextIndent3"/>
    <w:uiPriority w:val="99"/>
    <w:rsid w:val="00D45E44"/>
    <w:rPr>
      <w:rFonts w:ascii="Times New Roman" w:eastAsia="Times New Roman" w:hAnsi="Times New Roman" w:cs="Times New Roman"/>
      <w:sz w:val="28"/>
      <w:szCs w:val="28"/>
      <w:lang w:eastAsia="x-none"/>
    </w:rPr>
  </w:style>
  <w:style w:type="paragraph" w:styleId="Header">
    <w:name w:val="header"/>
    <w:basedOn w:val="Normal"/>
    <w:link w:val="HeaderChar"/>
    <w:uiPriority w:val="99"/>
    <w:rsid w:val="00D45E44"/>
    <w:pPr>
      <w:tabs>
        <w:tab w:val="center" w:pos="4153"/>
        <w:tab w:val="right" w:pos="8306"/>
      </w:tabs>
    </w:pPr>
  </w:style>
  <w:style w:type="character" w:customStyle="1" w:styleId="HeaderChar">
    <w:name w:val="Header Char"/>
    <w:basedOn w:val="DefaultParagraphFont"/>
    <w:link w:val="Header"/>
    <w:uiPriority w:val="99"/>
    <w:rsid w:val="00D45E44"/>
    <w:rPr>
      <w:rFonts w:ascii="Times New Roman" w:eastAsia="Times New Roman" w:hAnsi="Times New Roman" w:cs="Times New Roman"/>
      <w:sz w:val="24"/>
      <w:szCs w:val="24"/>
      <w:lang w:eastAsia="lv-LV"/>
    </w:rPr>
  </w:style>
  <w:style w:type="character" w:styleId="PageNumber">
    <w:name w:val="page number"/>
    <w:uiPriority w:val="99"/>
    <w:rsid w:val="00D45E44"/>
    <w:rPr>
      <w:rFonts w:cs="Times New Roman"/>
    </w:rPr>
  </w:style>
  <w:style w:type="paragraph" w:styleId="Footer">
    <w:name w:val="footer"/>
    <w:basedOn w:val="Normal"/>
    <w:link w:val="FooterChar"/>
    <w:uiPriority w:val="99"/>
    <w:rsid w:val="00D45E44"/>
    <w:pPr>
      <w:tabs>
        <w:tab w:val="center" w:pos="4153"/>
        <w:tab w:val="right" w:pos="8306"/>
      </w:tabs>
    </w:pPr>
  </w:style>
  <w:style w:type="character" w:customStyle="1" w:styleId="FooterChar">
    <w:name w:val="Footer Char"/>
    <w:basedOn w:val="DefaultParagraphFont"/>
    <w:link w:val="Footer"/>
    <w:uiPriority w:val="99"/>
    <w:rsid w:val="00D45E44"/>
    <w:rPr>
      <w:rFonts w:ascii="Times New Roman" w:eastAsia="Times New Roman" w:hAnsi="Times New Roman" w:cs="Times New Roman"/>
      <w:sz w:val="24"/>
      <w:szCs w:val="24"/>
      <w:lang w:eastAsia="lv-LV"/>
    </w:rPr>
  </w:style>
  <w:style w:type="paragraph" w:styleId="ListParagraph">
    <w:name w:val="List Paragraph"/>
    <w:aliases w:val="2,Strip,H&amp;P List Paragraph,Medium Grid 1 - Accent 21,Bullets,Normal bullet 2,Bullet list,Numbered List,List Paragraph1,Paragraph,Bullet point 1,1st level - Bullet List Paragraph,Lettre d'introduction,Paragrafo elenco,List Paragraph11"/>
    <w:basedOn w:val="Normal"/>
    <w:link w:val="ListParagraphChar"/>
    <w:uiPriority w:val="34"/>
    <w:qFormat/>
    <w:rsid w:val="00D45E44"/>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unhideWhenUsed/>
    <w:rsid w:val="00D45E44"/>
    <w:rPr>
      <w:sz w:val="16"/>
      <w:szCs w:val="16"/>
    </w:rPr>
  </w:style>
  <w:style w:type="paragraph" w:styleId="CommentText">
    <w:name w:val="annotation text"/>
    <w:basedOn w:val="Normal"/>
    <w:link w:val="CommentTextChar"/>
    <w:uiPriority w:val="99"/>
    <w:unhideWhenUsed/>
    <w:rsid w:val="00D45E44"/>
    <w:rPr>
      <w:sz w:val="20"/>
      <w:szCs w:val="20"/>
    </w:rPr>
  </w:style>
  <w:style w:type="character" w:customStyle="1" w:styleId="CommentTextChar">
    <w:name w:val="Comment Text Char"/>
    <w:basedOn w:val="DefaultParagraphFont"/>
    <w:link w:val="CommentText"/>
    <w:uiPriority w:val="99"/>
    <w:rsid w:val="00D45E4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D45E44"/>
    <w:rPr>
      <w:b/>
      <w:bCs/>
      <w:lang w:val="x-none" w:eastAsia="x-none"/>
    </w:rPr>
  </w:style>
  <w:style w:type="character" w:customStyle="1" w:styleId="CommentSubjectChar">
    <w:name w:val="Comment Subject Char"/>
    <w:basedOn w:val="CommentTextChar"/>
    <w:link w:val="CommentSubject"/>
    <w:rsid w:val="00D45E44"/>
    <w:rPr>
      <w:rFonts w:ascii="Times New Roman" w:eastAsia="Times New Roman" w:hAnsi="Times New Roman" w:cs="Times New Roman"/>
      <w:b/>
      <w:bCs/>
      <w:sz w:val="20"/>
      <w:szCs w:val="20"/>
      <w:lang w:val="x-none" w:eastAsia="x-none"/>
    </w:rPr>
  </w:style>
  <w:style w:type="paragraph" w:customStyle="1" w:styleId="tv213">
    <w:name w:val="tv213"/>
    <w:basedOn w:val="Normal"/>
    <w:rsid w:val="00D45E44"/>
    <w:pPr>
      <w:spacing w:before="100" w:beforeAutospacing="1" w:after="100" w:afterAutospacing="1"/>
    </w:pPr>
  </w:style>
  <w:style w:type="character" w:customStyle="1" w:styleId="italic">
    <w:name w:val="italic"/>
    <w:rsid w:val="00D45E44"/>
  </w:style>
  <w:style w:type="character" w:customStyle="1" w:styleId="ListParagraphChar">
    <w:name w:val="List Paragraph Char"/>
    <w:aliases w:val="2 Char,Strip Char,H&amp;P List Paragraph Char,Medium Grid 1 - Accent 21 Char,Bullets Char,Normal bullet 2 Char,Bullet list Char,Numbered List Char,List Paragraph1 Char,Paragraph Char,Bullet point 1 Char,Lettre d'introduction Char"/>
    <w:link w:val="ListParagraph"/>
    <w:uiPriority w:val="34"/>
    <w:qFormat/>
    <w:rsid w:val="00D45E44"/>
    <w:rPr>
      <w:rFonts w:ascii="Calibri" w:eastAsia="Times New Roman" w:hAnsi="Calibri" w:cs="Times New Roman"/>
      <w:lang w:val="x-none"/>
    </w:rPr>
  </w:style>
  <w:style w:type="paragraph" w:styleId="FootnoteText">
    <w:name w:val="footnote text"/>
    <w:aliases w:val="Char,(Diplomarbeit),(Diplomarbeit)1,(Diplomarbeit)2,(Diplomarbeit)3,(Diplomarbeit)4,(Diplomarbeit)5,(Diplomarbeit)6,(Diplomarbeit)7,-E Fußnotentext,Footnote,Fußnote,Fußnote Char,Fußnote Char Char Char,Fußnotentext Ursprung,footnote text,o"/>
    <w:basedOn w:val="Normal"/>
    <w:link w:val="FootnoteTextChar"/>
    <w:uiPriority w:val="99"/>
    <w:unhideWhenUsed/>
    <w:qFormat/>
    <w:rsid w:val="00D45E44"/>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aliases w:val="Char Char,(Diplomarbeit) Char,(Diplomarbeit)1 Char,(Diplomarbeit)2 Char,(Diplomarbeit)3 Char,(Diplomarbeit)4 Char,(Diplomarbeit)5 Char,(Diplomarbeit)6 Char,(Diplomarbeit)7 Char,-E Fußnotentext Char,Footnote Char,Fußnote Char1,o Char"/>
    <w:basedOn w:val="DefaultParagraphFont"/>
    <w:link w:val="FootnoteText"/>
    <w:uiPriority w:val="99"/>
    <w:qFormat/>
    <w:rsid w:val="00D45E44"/>
    <w:rPr>
      <w:rFonts w:ascii="Calibri" w:eastAsia="Calibri" w:hAnsi="Calibri" w:cs="Times New Roman"/>
      <w:sz w:val="20"/>
      <w:szCs w:val="20"/>
      <w:lang w:val="en-US"/>
    </w:rPr>
  </w:style>
  <w:style w:type="character" w:styleId="FootnoteReference">
    <w:name w:val="footnote reference"/>
    <w:aliases w:val="Footnote Reference Number,SUPERS,-E Fußnotenzeichen,(Diplomarbeit FZ),(Diplomarbeit FZ)1,(Diplomarbeit FZ)2,(Diplomarbeit FZ)3,(Diplomarbeit FZ)4,(Diplomarbeit FZ)5,(Diplomarbeit FZ)6,(Diplomarbeit FZ)7,(Diplomarbeit FZ)8,fr,BVI fnr,N"/>
    <w:link w:val="FootnoteRefernece"/>
    <w:uiPriority w:val="99"/>
    <w:unhideWhenUsed/>
    <w:qFormat/>
    <w:rsid w:val="00D45E44"/>
    <w:rPr>
      <w:vertAlign w:val="superscript"/>
    </w:rPr>
  </w:style>
  <w:style w:type="character" w:customStyle="1" w:styleId="spelle">
    <w:name w:val="spelle"/>
    <w:rsid w:val="00D45E44"/>
  </w:style>
  <w:style w:type="paragraph" w:styleId="BodyText">
    <w:name w:val="Body Text"/>
    <w:basedOn w:val="Normal"/>
    <w:link w:val="BodyTextChar"/>
    <w:uiPriority w:val="99"/>
    <w:unhideWhenUsed/>
    <w:rsid w:val="00D45E44"/>
    <w:pPr>
      <w:spacing w:after="120"/>
    </w:pPr>
    <w:rPr>
      <w:lang w:val="x-none" w:eastAsia="x-none"/>
    </w:rPr>
  </w:style>
  <w:style w:type="character" w:customStyle="1" w:styleId="BodyTextChar">
    <w:name w:val="Body Text Char"/>
    <w:basedOn w:val="DefaultParagraphFont"/>
    <w:link w:val="BodyText"/>
    <w:uiPriority w:val="99"/>
    <w:rsid w:val="00D45E44"/>
    <w:rPr>
      <w:rFonts w:ascii="Times New Roman" w:eastAsia="Times New Roman" w:hAnsi="Times New Roman" w:cs="Times New Roman"/>
      <w:sz w:val="24"/>
      <w:szCs w:val="24"/>
      <w:lang w:val="x-none" w:eastAsia="x-none"/>
    </w:rPr>
  </w:style>
  <w:style w:type="table" w:customStyle="1" w:styleId="ListTable5Dark-Accent33">
    <w:name w:val="List Table 5 Dark - Accent 33"/>
    <w:basedOn w:val="TableNormal"/>
    <w:next w:val="ListTable5Dark-Accent31"/>
    <w:uiPriority w:val="50"/>
    <w:rsid w:val="00D45E44"/>
    <w:pPr>
      <w:spacing w:after="0" w:line="240" w:lineRule="auto"/>
    </w:pPr>
    <w:rPr>
      <w:rFonts w:ascii="Calibri" w:eastAsia="Calibri" w:hAnsi="Calibri" w:cs="DokChampa"/>
      <w:color w:val="FFFFFF"/>
      <w:lang w:val="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45E44"/>
    <w:pPr>
      <w:spacing w:after="0" w:line="240" w:lineRule="auto"/>
    </w:pPr>
    <w:rPr>
      <w:rFonts w:ascii="Times New Roman" w:eastAsia="Times New Roman" w:hAnsi="Times New Roman" w:cs="Times New Roman"/>
      <w:color w:val="FFFFFF"/>
      <w:sz w:val="20"/>
      <w:szCs w:val="20"/>
      <w:lang w:eastAsia="lv-LV"/>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FootnoteCharacters">
    <w:name w:val="Footnote Characters"/>
    <w:rsid w:val="00D45E44"/>
    <w:rPr>
      <w:rFonts w:ascii="Times New Roman" w:hAnsi="Times New Roman"/>
      <w:sz w:val="20"/>
    </w:rPr>
  </w:style>
  <w:style w:type="paragraph" w:customStyle="1" w:styleId="FootnoteText2">
    <w:name w:val="Footnote Text2"/>
    <w:basedOn w:val="TOC4"/>
    <w:rsid w:val="00D45E44"/>
    <w:pPr>
      <w:tabs>
        <w:tab w:val="left" w:pos="1540"/>
        <w:tab w:val="right" w:leader="dot" w:pos="9061"/>
      </w:tabs>
      <w:suppressAutoHyphens/>
      <w:ind w:left="0"/>
    </w:pPr>
    <w:rPr>
      <w:rFonts w:ascii="Calibri Light" w:hAnsi="Calibri Light" w:cs="Calibri"/>
      <w:i/>
      <w:sz w:val="18"/>
      <w:lang w:val="en-US" w:eastAsia="zh-CN"/>
    </w:rPr>
  </w:style>
  <w:style w:type="paragraph" w:styleId="TOC4">
    <w:name w:val="toc 4"/>
    <w:basedOn w:val="Normal"/>
    <w:next w:val="Normal"/>
    <w:autoRedefine/>
    <w:rsid w:val="00D45E44"/>
    <w:pPr>
      <w:ind w:left="720"/>
    </w:pPr>
  </w:style>
  <w:style w:type="paragraph" w:customStyle="1" w:styleId="FootnoteRefernece">
    <w:name w:val="Footnote Refernece"/>
    <w:aliases w:val="ftref,Odwołanie przypisu,Footnotes refss,Ref,de nota al pie,E,E FNZ"/>
    <w:basedOn w:val="Normal"/>
    <w:next w:val="Normal"/>
    <w:link w:val="FootnoteReference"/>
    <w:uiPriority w:val="99"/>
    <w:rsid w:val="00D45E44"/>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D45E4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ody0">
    <w:name w:val="Body"/>
    <w:rsid w:val="00D45E44"/>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eastAsia="lv-LV"/>
    </w:rPr>
  </w:style>
  <w:style w:type="paragraph" w:customStyle="1" w:styleId="pamattekststabul">
    <w:name w:val="pamattekststabul"/>
    <w:basedOn w:val="Normal"/>
    <w:rsid w:val="00D45E44"/>
    <w:pPr>
      <w:spacing w:before="100" w:beforeAutospacing="1" w:after="100" w:afterAutospacing="1"/>
    </w:pPr>
    <w:rPr>
      <w:lang w:val="en-US" w:eastAsia="en-US"/>
    </w:rPr>
  </w:style>
  <w:style w:type="paragraph" w:customStyle="1" w:styleId="ManualNumPar1">
    <w:name w:val="Manual NumPar 1"/>
    <w:basedOn w:val="Normal"/>
    <w:next w:val="Normal"/>
    <w:rsid w:val="00D45E44"/>
    <w:pPr>
      <w:spacing w:before="120" w:after="120"/>
      <w:ind w:left="850" w:hanging="850"/>
      <w:jc w:val="both"/>
    </w:pPr>
    <w:rPr>
      <w:rFonts w:eastAsia="Calibri"/>
      <w:szCs w:val="22"/>
      <w:lang w:eastAsia="en-US"/>
    </w:rPr>
  </w:style>
  <w:style w:type="paragraph" w:customStyle="1" w:styleId="ChapterTitle">
    <w:name w:val="ChapterTitle"/>
    <w:basedOn w:val="Normal"/>
    <w:next w:val="Normal"/>
    <w:rsid w:val="00D45E44"/>
    <w:pPr>
      <w:keepNext/>
      <w:spacing w:before="120" w:after="360"/>
      <w:jc w:val="center"/>
    </w:pPr>
    <w:rPr>
      <w:rFonts w:eastAsia="Calibri"/>
      <w:b/>
      <w:sz w:val="32"/>
      <w:szCs w:val="22"/>
      <w:lang w:eastAsia="en-US"/>
    </w:rPr>
  </w:style>
  <w:style w:type="paragraph" w:customStyle="1" w:styleId="Point0number">
    <w:name w:val="Point 0 (number)"/>
    <w:basedOn w:val="Normal"/>
    <w:rsid w:val="00D45E44"/>
    <w:pPr>
      <w:numPr>
        <w:numId w:val="6"/>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D45E44"/>
    <w:pPr>
      <w:numPr>
        <w:ilvl w:val="2"/>
        <w:numId w:val="6"/>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D45E44"/>
    <w:pPr>
      <w:numPr>
        <w:ilvl w:val="4"/>
        <w:numId w:val="6"/>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D45E44"/>
    <w:pPr>
      <w:numPr>
        <w:ilvl w:val="6"/>
        <w:numId w:val="6"/>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D45E44"/>
    <w:pPr>
      <w:numPr>
        <w:ilvl w:val="1"/>
        <w:numId w:val="6"/>
      </w:numPr>
      <w:tabs>
        <w:tab w:val="clear" w:pos="850"/>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D45E44"/>
    <w:pPr>
      <w:numPr>
        <w:ilvl w:val="3"/>
        <w:numId w:val="6"/>
      </w:numPr>
      <w:tabs>
        <w:tab w:val="clear" w:pos="1417"/>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D45E44"/>
    <w:pPr>
      <w:numPr>
        <w:ilvl w:val="5"/>
        <w:numId w:val="6"/>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D45E44"/>
    <w:pPr>
      <w:numPr>
        <w:ilvl w:val="7"/>
        <w:numId w:val="6"/>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D45E44"/>
    <w:pPr>
      <w:numPr>
        <w:ilvl w:val="8"/>
        <w:numId w:val="6"/>
      </w:numPr>
      <w:tabs>
        <w:tab w:val="clear" w:pos="3118"/>
        <w:tab w:val="num" w:pos="360"/>
      </w:tabs>
      <w:spacing w:before="120" w:after="120"/>
      <w:ind w:left="0" w:firstLine="0"/>
      <w:jc w:val="both"/>
    </w:pPr>
    <w:rPr>
      <w:rFonts w:eastAsia="Calibri"/>
      <w:szCs w:val="22"/>
      <w:lang w:eastAsia="en-US"/>
    </w:rPr>
  </w:style>
  <w:style w:type="paragraph" w:customStyle="1" w:styleId="Titrearticle">
    <w:name w:val="Titre article"/>
    <w:basedOn w:val="Normal"/>
    <w:next w:val="Normal"/>
    <w:rsid w:val="00D45E44"/>
    <w:pPr>
      <w:keepNext/>
      <w:spacing w:before="360" w:after="120"/>
      <w:jc w:val="center"/>
    </w:pPr>
    <w:rPr>
      <w:rFonts w:eastAsia="Calibri"/>
      <w:i/>
      <w:szCs w:val="22"/>
      <w:lang w:eastAsia="en-US"/>
    </w:rPr>
  </w:style>
  <w:style w:type="character" w:customStyle="1" w:styleId="None">
    <w:name w:val="None"/>
    <w:rsid w:val="00D45E44"/>
  </w:style>
  <w:style w:type="paragraph" w:customStyle="1" w:styleId="CharCharCharChar">
    <w:name w:val="Char Char Char Char"/>
    <w:aliases w:val="Char2"/>
    <w:basedOn w:val="Normal"/>
    <w:next w:val="Normal"/>
    <w:uiPriority w:val="99"/>
    <w:rsid w:val="00D45E44"/>
    <w:pPr>
      <w:widowControl w:val="0"/>
      <w:autoSpaceDE w:val="0"/>
      <w:autoSpaceDN w:val="0"/>
      <w:adjustRightInd w:val="0"/>
      <w:spacing w:after="160" w:line="240" w:lineRule="exact"/>
      <w:jc w:val="both"/>
    </w:pPr>
    <w:rPr>
      <w:rFonts w:ascii="Calibri" w:hAnsi="Calibri"/>
      <w:sz w:val="20"/>
      <w:szCs w:val="20"/>
      <w:vertAlign w:val="superscript"/>
    </w:rPr>
  </w:style>
  <w:style w:type="paragraph" w:customStyle="1" w:styleId="xmsonormal">
    <w:name w:val="x_msonormal"/>
    <w:basedOn w:val="Normal"/>
    <w:rsid w:val="00D45E44"/>
    <w:pPr>
      <w:spacing w:before="100" w:beforeAutospacing="1" w:after="100" w:afterAutospacing="1"/>
    </w:pPr>
  </w:style>
  <w:style w:type="paragraph" w:customStyle="1" w:styleId="mt-translation">
    <w:name w:val="mt-translation"/>
    <w:basedOn w:val="Normal"/>
    <w:rsid w:val="00D45E44"/>
    <w:pPr>
      <w:spacing w:before="100" w:beforeAutospacing="1" w:after="100" w:afterAutospacing="1"/>
    </w:pPr>
    <w:rPr>
      <w:lang w:val="en-GB" w:eastAsia="en-GB"/>
    </w:rPr>
  </w:style>
  <w:style w:type="paragraph" w:customStyle="1" w:styleId="xmsolistparagraph">
    <w:name w:val="x_msolistparagraph"/>
    <w:basedOn w:val="Normal"/>
    <w:rsid w:val="00D45E44"/>
    <w:pPr>
      <w:spacing w:before="100" w:beforeAutospacing="1" w:after="100" w:afterAutospacing="1"/>
    </w:pPr>
  </w:style>
  <w:style w:type="paragraph" w:customStyle="1" w:styleId="BodyA">
    <w:name w:val="Body A"/>
    <w:rsid w:val="00D45E44"/>
    <w:pPr>
      <w:spacing w:after="0" w:line="240" w:lineRule="auto"/>
    </w:pPr>
    <w:rPr>
      <w:rFonts w:ascii="Helvetica" w:eastAsia="Arial Unicode MS" w:hAnsi="Helvetica" w:cs="Arial Unicode MS"/>
      <w:color w:val="000000"/>
      <w:u w:color="000000"/>
      <w:lang w:eastAsia="lv-LV"/>
    </w:rPr>
  </w:style>
  <w:style w:type="paragraph" w:styleId="Revision">
    <w:name w:val="Revision"/>
    <w:hidden/>
    <w:uiPriority w:val="99"/>
    <w:semiHidden/>
    <w:rsid w:val="00A7572E"/>
    <w:pPr>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064ECF"/>
    <w:pPr>
      <w:spacing w:after="120"/>
      <w:ind w:left="283"/>
    </w:pPr>
  </w:style>
  <w:style w:type="character" w:customStyle="1" w:styleId="BodyTextIndentChar">
    <w:name w:val="Body Text Indent Char"/>
    <w:basedOn w:val="DefaultParagraphFont"/>
    <w:link w:val="BodyTextIndent"/>
    <w:uiPriority w:val="99"/>
    <w:semiHidden/>
    <w:rsid w:val="00064ECF"/>
    <w:rPr>
      <w:rFonts w:ascii="Times New Roman" w:eastAsia="Times New Roman" w:hAnsi="Times New Roman" w:cs="Times New Roman"/>
      <w:sz w:val="24"/>
      <w:szCs w:val="24"/>
      <w:lang w:eastAsia="lv-LV"/>
    </w:rPr>
  </w:style>
  <w:style w:type="paragraph" w:customStyle="1" w:styleId="doc-ti">
    <w:name w:val="doc-ti"/>
    <w:basedOn w:val="Normal"/>
    <w:uiPriority w:val="99"/>
    <w:rsid w:val="009E2F1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5912">
      <w:bodyDiv w:val="1"/>
      <w:marLeft w:val="0"/>
      <w:marRight w:val="0"/>
      <w:marTop w:val="0"/>
      <w:marBottom w:val="0"/>
      <w:divBdr>
        <w:top w:val="none" w:sz="0" w:space="0" w:color="auto"/>
        <w:left w:val="none" w:sz="0" w:space="0" w:color="auto"/>
        <w:bottom w:val="none" w:sz="0" w:space="0" w:color="auto"/>
        <w:right w:val="none" w:sz="0" w:space="0" w:color="auto"/>
      </w:divBdr>
    </w:div>
    <w:div w:id="90707316">
      <w:bodyDiv w:val="1"/>
      <w:marLeft w:val="0"/>
      <w:marRight w:val="0"/>
      <w:marTop w:val="0"/>
      <w:marBottom w:val="0"/>
      <w:divBdr>
        <w:top w:val="none" w:sz="0" w:space="0" w:color="auto"/>
        <w:left w:val="none" w:sz="0" w:space="0" w:color="auto"/>
        <w:bottom w:val="none" w:sz="0" w:space="0" w:color="auto"/>
        <w:right w:val="none" w:sz="0" w:space="0" w:color="auto"/>
      </w:divBdr>
    </w:div>
    <w:div w:id="188296041">
      <w:bodyDiv w:val="1"/>
      <w:marLeft w:val="0"/>
      <w:marRight w:val="0"/>
      <w:marTop w:val="0"/>
      <w:marBottom w:val="0"/>
      <w:divBdr>
        <w:top w:val="none" w:sz="0" w:space="0" w:color="auto"/>
        <w:left w:val="none" w:sz="0" w:space="0" w:color="auto"/>
        <w:bottom w:val="none" w:sz="0" w:space="0" w:color="auto"/>
        <w:right w:val="none" w:sz="0" w:space="0" w:color="auto"/>
      </w:divBdr>
    </w:div>
    <w:div w:id="247152564">
      <w:bodyDiv w:val="1"/>
      <w:marLeft w:val="0"/>
      <w:marRight w:val="0"/>
      <w:marTop w:val="0"/>
      <w:marBottom w:val="0"/>
      <w:divBdr>
        <w:top w:val="none" w:sz="0" w:space="0" w:color="auto"/>
        <w:left w:val="none" w:sz="0" w:space="0" w:color="auto"/>
        <w:bottom w:val="none" w:sz="0" w:space="0" w:color="auto"/>
        <w:right w:val="none" w:sz="0" w:space="0" w:color="auto"/>
      </w:divBdr>
    </w:div>
    <w:div w:id="285279641">
      <w:bodyDiv w:val="1"/>
      <w:marLeft w:val="0"/>
      <w:marRight w:val="0"/>
      <w:marTop w:val="0"/>
      <w:marBottom w:val="0"/>
      <w:divBdr>
        <w:top w:val="none" w:sz="0" w:space="0" w:color="auto"/>
        <w:left w:val="none" w:sz="0" w:space="0" w:color="auto"/>
        <w:bottom w:val="none" w:sz="0" w:space="0" w:color="auto"/>
        <w:right w:val="none" w:sz="0" w:space="0" w:color="auto"/>
      </w:divBdr>
    </w:div>
    <w:div w:id="426654747">
      <w:bodyDiv w:val="1"/>
      <w:marLeft w:val="0"/>
      <w:marRight w:val="0"/>
      <w:marTop w:val="0"/>
      <w:marBottom w:val="0"/>
      <w:divBdr>
        <w:top w:val="none" w:sz="0" w:space="0" w:color="auto"/>
        <w:left w:val="none" w:sz="0" w:space="0" w:color="auto"/>
        <w:bottom w:val="none" w:sz="0" w:space="0" w:color="auto"/>
        <w:right w:val="none" w:sz="0" w:space="0" w:color="auto"/>
      </w:divBdr>
    </w:div>
    <w:div w:id="550534097">
      <w:bodyDiv w:val="1"/>
      <w:marLeft w:val="0"/>
      <w:marRight w:val="0"/>
      <w:marTop w:val="0"/>
      <w:marBottom w:val="0"/>
      <w:divBdr>
        <w:top w:val="none" w:sz="0" w:space="0" w:color="auto"/>
        <w:left w:val="none" w:sz="0" w:space="0" w:color="auto"/>
        <w:bottom w:val="none" w:sz="0" w:space="0" w:color="auto"/>
        <w:right w:val="none" w:sz="0" w:space="0" w:color="auto"/>
      </w:divBdr>
    </w:div>
    <w:div w:id="651448684">
      <w:bodyDiv w:val="1"/>
      <w:marLeft w:val="0"/>
      <w:marRight w:val="0"/>
      <w:marTop w:val="0"/>
      <w:marBottom w:val="0"/>
      <w:divBdr>
        <w:top w:val="none" w:sz="0" w:space="0" w:color="auto"/>
        <w:left w:val="none" w:sz="0" w:space="0" w:color="auto"/>
        <w:bottom w:val="none" w:sz="0" w:space="0" w:color="auto"/>
        <w:right w:val="none" w:sz="0" w:space="0" w:color="auto"/>
      </w:divBdr>
    </w:div>
    <w:div w:id="740177039">
      <w:bodyDiv w:val="1"/>
      <w:marLeft w:val="0"/>
      <w:marRight w:val="0"/>
      <w:marTop w:val="0"/>
      <w:marBottom w:val="0"/>
      <w:divBdr>
        <w:top w:val="none" w:sz="0" w:space="0" w:color="auto"/>
        <w:left w:val="none" w:sz="0" w:space="0" w:color="auto"/>
        <w:bottom w:val="none" w:sz="0" w:space="0" w:color="auto"/>
        <w:right w:val="none" w:sz="0" w:space="0" w:color="auto"/>
      </w:divBdr>
    </w:div>
    <w:div w:id="807819732">
      <w:bodyDiv w:val="1"/>
      <w:marLeft w:val="0"/>
      <w:marRight w:val="0"/>
      <w:marTop w:val="0"/>
      <w:marBottom w:val="0"/>
      <w:divBdr>
        <w:top w:val="none" w:sz="0" w:space="0" w:color="auto"/>
        <w:left w:val="none" w:sz="0" w:space="0" w:color="auto"/>
        <w:bottom w:val="none" w:sz="0" w:space="0" w:color="auto"/>
        <w:right w:val="none" w:sz="0" w:space="0" w:color="auto"/>
      </w:divBdr>
    </w:div>
    <w:div w:id="1019700126">
      <w:bodyDiv w:val="1"/>
      <w:marLeft w:val="0"/>
      <w:marRight w:val="0"/>
      <w:marTop w:val="0"/>
      <w:marBottom w:val="0"/>
      <w:divBdr>
        <w:top w:val="none" w:sz="0" w:space="0" w:color="auto"/>
        <w:left w:val="none" w:sz="0" w:space="0" w:color="auto"/>
        <w:bottom w:val="none" w:sz="0" w:space="0" w:color="auto"/>
        <w:right w:val="none" w:sz="0" w:space="0" w:color="auto"/>
      </w:divBdr>
    </w:div>
    <w:div w:id="1111125547">
      <w:bodyDiv w:val="1"/>
      <w:marLeft w:val="0"/>
      <w:marRight w:val="0"/>
      <w:marTop w:val="0"/>
      <w:marBottom w:val="0"/>
      <w:divBdr>
        <w:top w:val="none" w:sz="0" w:space="0" w:color="auto"/>
        <w:left w:val="none" w:sz="0" w:space="0" w:color="auto"/>
        <w:bottom w:val="none" w:sz="0" w:space="0" w:color="auto"/>
        <w:right w:val="none" w:sz="0" w:space="0" w:color="auto"/>
      </w:divBdr>
    </w:div>
    <w:div w:id="1178352386">
      <w:bodyDiv w:val="1"/>
      <w:marLeft w:val="0"/>
      <w:marRight w:val="0"/>
      <w:marTop w:val="0"/>
      <w:marBottom w:val="0"/>
      <w:divBdr>
        <w:top w:val="none" w:sz="0" w:space="0" w:color="auto"/>
        <w:left w:val="none" w:sz="0" w:space="0" w:color="auto"/>
        <w:bottom w:val="none" w:sz="0" w:space="0" w:color="auto"/>
        <w:right w:val="none" w:sz="0" w:space="0" w:color="auto"/>
      </w:divBdr>
    </w:div>
    <w:div w:id="1236472931">
      <w:bodyDiv w:val="1"/>
      <w:marLeft w:val="0"/>
      <w:marRight w:val="0"/>
      <w:marTop w:val="0"/>
      <w:marBottom w:val="0"/>
      <w:divBdr>
        <w:top w:val="none" w:sz="0" w:space="0" w:color="auto"/>
        <w:left w:val="none" w:sz="0" w:space="0" w:color="auto"/>
        <w:bottom w:val="none" w:sz="0" w:space="0" w:color="auto"/>
        <w:right w:val="none" w:sz="0" w:space="0" w:color="auto"/>
      </w:divBdr>
    </w:div>
    <w:div w:id="1249343363">
      <w:bodyDiv w:val="1"/>
      <w:marLeft w:val="0"/>
      <w:marRight w:val="0"/>
      <w:marTop w:val="0"/>
      <w:marBottom w:val="0"/>
      <w:divBdr>
        <w:top w:val="none" w:sz="0" w:space="0" w:color="auto"/>
        <w:left w:val="none" w:sz="0" w:space="0" w:color="auto"/>
        <w:bottom w:val="none" w:sz="0" w:space="0" w:color="auto"/>
        <w:right w:val="none" w:sz="0" w:space="0" w:color="auto"/>
      </w:divBdr>
    </w:div>
    <w:div w:id="1368678605">
      <w:bodyDiv w:val="1"/>
      <w:marLeft w:val="0"/>
      <w:marRight w:val="0"/>
      <w:marTop w:val="0"/>
      <w:marBottom w:val="0"/>
      <w:divBdr>
        <w:top w:val="none" w:sz="0" w:space="0" w:color="auto"/>
        <w:left w:val="none" w:sz="0" w:space="0" w:color="auto"/>
        <w:bottom w:val="none" w:sz="0" w:space="0" w:color="auto"/>
        <w:right w:val="none" w:sz="0" w:space="0" w:color="auto"/>
      </w:divBdr>
    </w:div>
    <w:div w:id="1736277992">
      <w:bodyDiv w:val="1"/>
      <w:marLeft w:val="0"/>
      <w:marRight w:val="0"/>
      <w:marTop w:val="0"/>
      <w:marBottom w:val="0"/>
      <w:divBdr>
        <w:top w:val="none" w:sz="0" w:space="0" w:color="auto"/>
        <w:left w:val="none" w:sz="0" w:space="0" w:color="auto"/>
        <w:bottom w:val="none" w:sz="0" w:space="0" w:color="auto"/>
        <w:right w:val="none" w:sz="0" w:space="0" w:color="auto"/>
      </w:divBdr>
    </w:div>
    <w:div w:id="1778914405">
      <w:bodyDiv w:val="1"/>
      <w:marLeft w:val="0"/>
      <w:marRight w:val="0"/>
      <w:marTop w:val="0"/>
      <w:marBottom w:val="0"/>
      <w:divBdr>
        <w:top w:val="none" w:sz="0" w:space="0" w:color="auto"/>
        <w:left w:val="none" w:sz="0" w:space="0" w:color="auto"/>
        <w:bottom w:val="none" w:sz="0" w:space="0" w:color="auto"/>
        <w:right w:val="none" w:sz="0" w:space="0" w:color="auto"/>
      </w:divBdr>
    </w:div>
    <w:div w:id="1940258918">
      <w:bodyDiv w:val="1"/>
      <w:marLeft w:val="0"/>
      <w:marRight w:val="0"/>
      <w:marTop w:val="0"/>
      <w:marBottom w:val="0"/>
      <w:divBdr>
        <w:top w:val="none" w:sz="0" w:space="0" w:color="auto"/>
        <w:left w:val="none" w:sz="0" w:space="0" w:color="auto"/>
        <w:bottom w:val="none" w:sz="0" w:space="0" w:color="auto"/>
        <w:right w:val="none" w:sz="0" w:space="0" w:color="auto"/>
      </w:divBdr>
    </w:div>
    <w:div w:id="203452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darbibas_veidi/KPFI/merk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sts.zustenieks@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lat/fondi/ekii/likumdosana/" TargetMode="External"/><Relationship Id="rId4" Type="http://schemas.openxmlformats.org/officeDocument/2006/relationships/settings" Target="settings.xml"/><Relationship Id="rId9" Type="http://schemas.openxmlformats.org/officeDocument/2006/relationships/hyperlink" Target="http://www.varam.gov.lv/lat/darbibas_veidi/KPFI/likum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B1D6C-6496-47E4-807F-1F053E99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15163</Words>
  <Characters>8644</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Vides aizsardzības un reģionālās attīstības ministrija</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Raimonds Kašs</dc:creator>
  <cp:keywords/>
  <dc:description/>
  <cp:lastModifiedBy>Gusts Zustenieks</cp:lastModifiedBy>
  <cp:revision>13</cp:revision>
  <cp:lastPrinted>2019-04-29T11:44:00Z</cp:lastPrinted>
  <dcterms:created xsi:type="dcterms:W3CDTF">2020-02-13T09:35:00Z</dcterms:created>
  <dcterms:modified xsi:type="dcterms:W3CDTF">2020-05-22T08:26:00Z</dcterms:modified>
  <cp:category>Vides politika</cp:category>
</cp:coreProperties>
</file>