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D495" w14:textId="1BD5D09C" w:rsidR="00FF04BF" w:rsidRDefault="00AE4C15" w:rsidP="00AE4C15">
      <w:pPr>
        <w:pStyle w:val="naisf"/>
        <w:spacing w:before="0" w:beforeAutospacing="0" w:after="0" w:afterAutospacing="0"/>
        <w:jc w:val="center"/>
        <w:rPr>
          <w:rFonts w:eastAsia="Times New Roman"/>
          <w:b/>
          <w:bCs/>
          <w:sz w:val="28"/>
          <w:szCs w:val="28"/>
          <w:lang w:val="lv-LV" w:eastAsia="lv-LV"/>
        </w:rPr>
      </w:pPr>
      <w:bookmarkStart w:id="0" w:name="OLE_LINK7"/>
      <w:bookmarkStart w:id="1" w:name="OLE_LINK8"/>
      <w:r w:rsidRPr="00FF04BF">
        <w:rPr>
          <w:rFonts w:eastAsia="Times New Roman"/>
          <w:b/>
          <w:bCs/>
          <w:sz w:val="28"/>
          <w:szCs w:val="28"/>
          <w:lang w:val="lv-LV" w:eastAsia="lv-LV"/>
        </w:rPr>
        <w:t>Ministru kabineta noteikumu projekt</w:t>
      </w:r>
      <w:r w:rsidR="00351B2B" w:rsidRPr="00FF04BF">
        <w:rPr>
          <w:rFonts w:eastAsia="Times New Roman"/>
          <w:b/>
          <w:bCs/>
          <w:sz w:val="28"/>
          <w:szCs w:val="28"/>
          <w:lang w:val="lv-LV" w:eastAsia="lv-LV"/>
        </w:rPr>
        <w:t>s</w:t>
      </w:r>
      <w:r w:rsidRPr="00FF04BF">
        <w:rPr>
          <w:rFonts w:eastAsia="Times New Roman"/>
          <w:b/>
          <w:bCs/>
          <w:sz w:val="28"/>
          <w:szCs w:val="28"/>
          <w:lang w:val="lv-LV" w:eastAsia="lv-LV"/>
        </w:rPr>
        <w:t xml:space="preserve"> “</w:t>
      </w:r>
      <w:r w:rsidR="00702EE6" w:rsidRPr="00702EE6">
        <w:rPr>
          <w:rFonts w:eastAsia="Times New Roman"/>
          <w:b/>
          <w:bCs/>
          <w:sz w:val="28"/>
          <w:szCs w:val="28"/>
          <w:lang w:val="lv-LV" w:eastAsia="lv-LV"/>
        </w:rPr>
        <w:t>Valsts un Eiropas Savienības atbalsta biškopībai piešķiršanas, administrēšanas un uzraudzības kārtība</w:t>
      </w:r>
      <w:r w:rsidRPr="00FF04BF">
        <w:rPr>
          <w:rFonts w:eastAsia="Times New Roman"/>
          <w:b/>
          <w:bCs/>
          <w:sz w:val="28"/>
          <w:szCs w:val="28"/>
          <w:lang w:val="lv-LV" w:eastAsia="lv-LV"/>
        </w:rPr>
        <w:t>”</w:t>
      </w:r>
      <w:r w:rsidR="00FF04BF">
        <w:rPr>
          <w:rFonts w:eastAsia="Times New Roman"/>
          <w:b/>
          <w:bCs/>
          <w:sz w:val="28"/>
          <w:szCs w:val="28"/>
          <w:lang w:val="lv-LV" w:eastAsia="lv-LV"/>
        </w:rPr>
        <w:t xml:space="preserve"> </w:t>
      </w:r>
    </w:p>
    <w:p w14:paraId="6584D03F" w14:textId="568416B1" w:rsidR="00757B05" w:rsidRDefault="00AE4C15" w:rsidP="00AE4C15">
      <w:pPr>
        <w:pStyle w:val="naisf"/>
        <w:spacing w:before="0" w:beforeAutospacing="0" w:after="0" w:afterAutospacing="0"/>
        <w:jc w:val="center"/>
        <w:rPr>
          <w:rFonts w:eastAsia="Times New Roman"/>
          <w:b/>
          <w:bCs/>
          <w:sz w:val="28"/>
          <w:szCs w:val="28"/>
          <w:lang w:val="lv-LV" w:eastAsia="lv-LV"/>
        </w:rPr>
      </w:pPr>
      <w:r w:rsidRPr="00FF04BF">
        <w:rPr>
          <w:rFonts w:eastAsia="Times New Roman"/>
          <w:b/>
          <w:bCs/>
          <w:sz w:val="28"/>
          <w:szCs w:val="28"/>
          <w:lang w:val="lv-LV" w:eastAsia="lv-LV"/>
        </w:rPr>
        <w:t>sākotnējās ietekmes novērtējuma ziņojums (anotācija)</w:t>
      </w:r>
    </w:p>
    <w:p w14:paraId="246777D8" w14:textId="77777777" w:rsidR="00FF04BF" w:rsidRPr="00FF04BF" w:rsidRDefault="00FF04BF" w:rsidP="00AE4C15">
      <w:pPr>
        <w:pStyle w:val="naisf"/>
        <w:spacing w:before="0" w:beforeAutospacing="0" w:after="0" w:afterAutospacing="0"/>
        <w:jc w:val="center"/>
        <w:rPr>
          <w:rFonts w:eastAsia="Times New Roman"/>
          <w:b/>
          <w:bCs/>
          <w:sz w:val="28"/>
          <w:szCs w:val="28"/>
          <w:lang w:val="lv-LV" w:eastAsia="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B5231F" w14:paraId="39A3C33A" w14:textId="77777777" w:rsidTr="00070BEE">
        <w:trPr>
          <w:trHeight w:val="756"/>
        </w:trPr>
        <w:tc>
          <w:tcPr>
            <w:tcW w:w="0" w:type="auto"/>
            <w:gridSpan w:val="2"/>
            <w:tcBorders>
              <w:top w:val="single" w:sz="4" w:space="0" w:color="auto"/>
              <w:left w:val="single" w:sz="4" w:space="0" w:color="auto"/>
              <w:bottom w:val="single" w:sz="4" w:space="0" w:color="auto"/>
              <w:right w:val="single" w:sz="4" w:space="0" w:color="auto"/>
            </w:tcBorders>
            <w:vAlign w:val="center"/>
          </w:tcPr>
          <w:p w14:paraId="3335FFD1" w14:textId="77777777" w:rsidR="00F974CA" w:rsidRPr="00B5231F" w:rsidRDefault="00F974CA" w:rsidP="00105B67">
            <w:pPr>
              <w:jc w:val="center"/>
              <w:rPr>
                <w:b/>
                <w:bCs/>
                <w:lang w:val="lv-LV" w:eastAsia="lv-LV"/>
              </w:rPr>
            </w:pPr>
            <w:r w:rsidRPr="00B5231F">
              <w:rPr>
                <w:b/>
                <w:bCs/>
                <w:lang w:val="lv-LV" w:eastAsia="lv-LV"/>
              </w:rPr>
              <w:t>Tiesību akta projekta anotācijas kopsavilkums</w:t>
            </w:r>
          </w:p>
        </w:tc>
      </w:tr>
      <w:tr w:rsidR="00F974CA" w:rsidRPr="00195F05" w14:paraId="0F8D2635" w14:textId="77777777" w:rsidTr="00CE788D">
        <w:tc>
          <w:tcPr>
            <w:tcW w:w="1640" w:type="pct"/>
            <w:shd w:val="clear" w:color="auto" w:fill="auto"/>
          </w:tcPr>
          <w:p w14:paraId="5A855ACA" w14:textId="77777777" w:rsidR="00F974CA" w:rsidRPr="00BA34E6" w:rsidRDefault="00F974CA" w:rsidP="00105B67">
            <w:pPr>
              <w:jc w:val="both"/>
              <w:rPr>
                <w:lang w:val="lv-LV" w:eastAsia="lv-LV"/>
              </w:rPr>
            </w:pPr>
            <w:r w:rsidRPr="00BA34E6">
              <w:rPr>
                <w:lang w:val="lv-LV"/>
              </w:rPr>
              <w:t>Mērķis, risinājums un projekta spēkā stāšanās laiks (500 zīmes bez atstarpēm)</w:t>
            </w:r>
          </w:p>
        </w:tc>
        <w:tc>
          <w:tcPr>
            <w:tcW w:w="3360" w:type="pct"/>
            <w:shd w:val="clear" w:color="auto" w:fill="auto"/>
          </w:tcPr>
          <w:p w14:paraId="016124EB" w14:textId="4DC8ACAC" w:rsidR="00D1228E" w:rsidRDefault="00B15005" w:rsidP="00D1228E">
            <w:pPr>
              <w:jc w:val="both"/>
              <w:rPr>
                <w:bCs/>
                <w:lang w:val="lv-LV" w:eastAsia="lv-LV"/>
              </w:rPr>
            </w:pPr>
            <w:r>
              <w:rPr>
                <w:bCs/>
                <w:lang w:val="lv-LV" w:eastAsia="lv-LV"/>
              </w:rPr>
              <w:t>Ministru kabineta noteikumu projekt</w:t>
            </w:r>
            <w:r w:rsidR="00857C33">
              <w:rPr>
                <w:bCs/>
                <w:lang w:val="lv-LV" w:eastAsia="lv-LV"/>
              </w:rPr>
              <w:t>s</w:t>
            </w:r>
            <w:r>
              <w:rPr>
                <w:bCs/>
                <w:lang w:val="lv-LV" w:eastAsia="lv-LV"/>
              </w:rPr>
              <w:t xml:space="preserve"> </w:t>
            </w:r>
            <w:r w:rsidRPr="00295B18">
              <w:rPr>
                <w:bCs/>
                <w:lang w:val="lv-LV" w:eastAsia="lv-LV"/>
              </w:rPr>
              <w:t>“</w:t>
            </w:r>
            <w:r w:rsidR="00702EE6" w:rsidRPr="00295B18">
              <w:rPr>
                <w:bCs/>
                <w:lang w:val="lv-LV" w:eastAsia="lv-LV"/>
              </w:rPr>
              <w:t>Valsts un Eiropas Savienības atbalsta biškopībai piešķiršanas, administrēšanas un uzraudzības kārtība</w:t>
            </w:r>
            <w:r w:rsidRPr="00295B18">
              <w:rPr>
                <w:bCs/>
                <w:lang w:val="lv-LV" w:eastAsia="lv-LV"/>
              </w:rPr>
              <w:t>”</w:t>
            </w:r>
            <w:r>
              <w:rPr>
                <w:bCs/>
                <w:lang w:val="lv-LV" w:eastAsia="lv-LV"/>
              </w:rPr>
              <w:t xml:space="preserve"> (turpmāk </w:t>
            </w:r>
            <w:r w:rsidR="00C8502A">
              <w:rPr>
                <w:bCs/>
                <w:lang w:val="lv-LV" w:eastAsia="lv-LV"/>
              </w:rPr>
              <w:t>–</w:t>
            </w:r>
            <w:r>
              <w:rPr>
                <w:bCs/>
                <w:lang w:val="lv-LV" w:eastAsia="lv-LV"/>
              </w:rPr>
              <w:t xml:space="preserve"> n</w:t>
            </w:r>
            <w:r w:rsidRPr="00AE4C15">
              <w:rPr>
                <w:bCs/>
                <w:lang w:val="lv-LV" w:eastAsia="lv-LV"/>
              </w:rPr>
              <w:t>oteikumu projekt</w:t>
            </w:r>
            <w:r>
              <w:rPr>
                <w:bCs/>
                <w:lang w:val="lv-LV" w:eastAsia="lv-LV"/>
              </w:rPr>
              <w:t>s)</w:t>
            </w:r>
            <w:r w:rsidRPr="00AE4C15">
              <w:rPr>
                <w:bCs/>
                <w:lang w:val="lv-LV" w:eastAsia="lv-LV"/>
              </w:rPr>
              <w:t xml:space="preserve"> </w:t>
            </w:r>
            <w:r w:rsidR="000A69A4">
              <w:rPr>
                <w:bCs/>
                <w:lang w:val="lv-LV" w:eastAsia="lv-LV"/>
              </w:rPr>
              <w:t>nosaka</w:t>
            </w:r>
            <w:r w:rsidR="00D1228E">
              <w:rPr>
                <w:bCs/>
                <w:lang w:val="lv-LV" w:eastAsia="lv-LV"/>
              </w:rPr>
              <w:t xml:space="preserve"> </w:t>
            </w:r>
            <w:r w:rsidR="00D1228E" w:rsidRPr="00AE4C15">
              <w:rPr>
                <w:bCs/>
                <w:lang w:val="lv-LV" w:eastAsia="lv-LV"/>
              </w:rPr>
              <w:t xml:space="preserve">atbalsta </w:t>
            </w:r>
            <w:r w:rsidR="00D1228E">
              <w:rPr>
                <w:bCs/>
                <w:lang w:val="lv-LV" w:eastAsia="lv-LV"/>
              </w:rPr>
              <w:t>pasākum</w:t>
            </w:r>
            <w:r w:rsidR="00857C33">
              <w:rPr>
                <w:bCs/>
                <w:lang w:val="lv-LV" w:eastAsia="lv-LV"/>
              </w:rPr>
              <w:t>us</w:t>
            </w:r>
            <w:r w:rsidR="00D1228E">
              <w:rPr>
                <w:bCs/>
                <w:lang w:val="lv-LV" w:eastAsia="lv-LV"/>
              </w:rPr>
              <w:t xml:space="preserve"> un atbalsta </w:t>
            </w:r>
            <w:r w:rsidR="00D1228E" w:rsidRPr="00AE4C15">
              <w:rPr>
                <w:bCs/>
                <w:lang w:val="lv-LV" w:eastAsia="lv-LV"/>
              </w:rPr>
              <w:t>saņemšanai nepieciešam</w:t>
            </w:r>
            <w:r w:rsidR="00857C33">
              <w:rPr>
                <w:bCs/>
                <w:lang w:val="lv-LV" w:eastAsia="lv-LV"/>
              </w:rPr>
              <w:t>os</w:t>
            </w:r>
            <w:r w:rsidR="00D1228E" w:rsidRPr="00AE4C15">
              <w:rPr>
                <w:bCs/>
                <w:lang w:val="lv-LV" w:eastAsia="lv-LV"/>
              </w:rPr>
              <w:t xml:space="preserve"> dokument</w:t>
            </w:r>
            <w:r w:rsidR="00857C33">
              <w:rPr>
                <w:bCs/>
                <w:lang w:val="lv-LV" w:eastAsia="lv-LV"/>
              </w:rPr>
              <w:t>us</w:t>
            </w:r>
            <w:r w:rsidR="00D1228E" w:rsidRPr="00AE4C15">
              <w:rPr>
                <w:bCs/>
                <w:lang w:val="lv-LV" w:eastAsia="lv-LV"/>
              </w:rPr>
              <w:t>, kas iesnie</w:t>
            </w:r>
            <w:r w:rsidR="00C8502A">
              <w:rPr>
                <w:bCs/>
                <w:lang w:val="lv-LV" w:eastAsia="lv-LV"/>
              </w:rPr>
              <w:t>dzami</w:t>
            </w:r>
            <w:r w:rsidR="00D1228E" w:rsidRPr="00AE4C15">
              <w:rPr>
                <w:bCs/>
                <w:lang w:val="lv-LV" w:eastAsia="lv-LV"/>
              </w:rPr>
              <w:t xml:space="preserve"> Lauku atbalsta dienest</w:t>
            </w:r>
            <w:r w:rsidR="00C8502A">
              <w:rPr>
                <w:bCs/>
                <w:lang w:val="lv-LV" w:eastAsia="lv-LV"/>
              </w:rPr>
              <w:t>ā</w:t>
            </w:r>
            <w:r w:rsidR="00F9104E">
              <w:rPr>
                <w:bCs/>
                <w:lang w:val="lv-LV" w:eastAsia="lv-LV"/>
              </w:rPr>
              <w:t xml:space="preserve"> </w:t>
            </w:r>
            <w:r w:rsidR="00F9104E" w:rsidRPr="00F9104E">
              <w:rPr>
                <w:bCs/>
                <w:lang w:val="lv-LV" w:eastAsia="lv-LV"/>
              </w:rPr>
              <w:t>(turpmāk – dienests)</w:t>
            </w:r>
            <w:r w:rsidR="00D1228E" w:rsidRPr="00AE4C15">
              <w:rPr>
                <w:bCs/>
                <w:lang w:val="lv-LV" w:eastAsia="lv-LV"/>
              </w:rPr>
              <w:t xml:space="preserve">, lai nodrošinātu atbilstošu administrēšanu un savlaicīgu atbalsta piešķiršanu atbalsta pretendentam par īstenotajiem pasākumiem saistībā ar </w:t>
            </w:r>
            <w:r w:rsidR="00D1228E">
              <w:rPr>
                <w:bCs/>
                <w:lang w:val="lv-LV" w:eastAsia="lv-LV"/>
              </w:rPr>
              <w:t xml:space="preserve">Latvijas </w:t>
            </w:r>
            <w:r w:rsidR="00D1228E" w:rsidRPr="00AE4C15">
              <w:rPr>
                <w:bCs/>
                <w:lang w:val="lv-LV" w:eastAsia="lv-LV"/>
              </w:rPr>
              <w:t>biškopības programmu</w:t>
            </w:r>
            <w:r w:rsidR="00D1228E">
              <w:rPr>
                <w:bCs/>
                <w:lang w:val="lv-LV" w:eastAsia="lv-LV"/>
              </w:rPr>
              <w:t xml:space="preserve"> 2020.</w:t>
            </w:r>
            <w:r w:rsidR="00C8502A">
              <w:rPr>
                <w:bCs/>
                <w:lang w:val="lv-LV" w:eastAsia="lv-LV"/>
              </w:rPr>
              <w:t>–</w:t>
            </w:r>
            <w:r w:rsidR="00D1228E">
              <w:rPr>
                <w:bCs/>
                <w:lang w:val="lv-LV" w:eastAsia="lv-LV"/>
              </w:rPr>
              <w:t>2022.</w:t>
            </w:r>
            <w:r w:rsidR="008F3A8A">
              <w:rPr>
                <w:bCs/>
                <w:lang w:val="lv-LV" w:eastAsia="lv-LV"/>
              </w:rPr>
              <w:t xml:space="preserve"> </w:t>
            </w:r>
            <w:r w:rsidR="00D1228E">
              <w:rPr>
                <w:bCs/>
                <w:lang w:val="lv-LV" w:eastAsia="lv-LV"/>
              </w:rPr>
              <w:t>gadam</w:t>
            </w:r>
            <w:r w:rsidR="00D1228E" w:rsidRPr="00AE4C15">
              <w:rPr>
                <w:bCs/>
                <w:lang w:val="lv-LV" w:eastAsia="lv-LV"/>
              </w:rPr>
              <w:t>.</w:t>
            </w:r>
          </w:p>
          <w:p w14:paraId="48F8E59A" w14:textId="04B6AE94" w:rsidR="002D32A3" w:rsidRPr="00BA34E6" w:rsidRDefault="00D1228E" w:rsidP="00045218">
            <w:pPr>
              <w:jc w:val="both"/>
              <w:rPr>
                <w:lang w:val="lv-LV"/>
              </w:rPr>
            </w:pPr>
            <w:r w:rsidRPr="000C3C3C">
              <w:rPr>
                <w:bCs/>
                <w:lang w:val="lv-LV" w:eastAsia="lv-LV"/>
              </w:rPr>
              <w:t>Noteikumu projekts stāsies spēkā nākamajā dienā pēc tā izsludināšanas oficiālajā izdevumā „Latvijas Vēstnesis”.</w:t>
            </w:r>
          </w:p>
        </w:tc>
      </w:tr>
    </w:tbl>
    <w:p w14:paraId="34FF69E4" w14:textId="77777777" w:rsidR="00F974CA" w:rsidRPr="000D2356" w:rsidRDefault="00F974CA" w:rsidP="005D73DE">
      <w:pPr>
        <w:pStyle w:val="naisf"/>
        <w:spacing w:before="0" w:beforeAutospacing="0" w:after="0" w:afterAutospacing="0"/>
        <w:rPr>
          <w:sz w:val="22"/>
          <w:lang w:val="lv-LV"/>
        </w:rPr>
      </w:pPr>
    </w:p>
    <w:p w14:paraId="458E10DE" w14:textId="77777777" w:rsidR="00F974CA" w:rsidRPr="000D2356"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0D2356" w14:paraId="3FC09954" w14:textId="77777777" w:rsidTr="00CA1F22">
        <w:tc>
          <w:tcPr>
            <w:tcW w:w="0" w:type="auto"/>
            <w:gridSpan w:val="3"/>
            <w:vAlign w:val="center"/>
          </w:tcPr>
          <w:bookmarkEnd w:id="0"/>
          <w:bookmarkEnd w:id="1"/>
          <w:p w14:paraId="7629E199" w14:textId="77777777" w:rsidR="00A162FE" w:rsidRPr="000D2356" w:rsidRDefault="00A162FE" w:rsidP="005D73DE">
            <w:pPr>
              <w:jc w:val="center"/>
              <w:rPr>
                <w:b/>
                <w:bCs/>
                <w:sz w:val="22"/>
                <w:lang w:val="lv-LV" w:eastAsia="lv-LV"/>
              </w:rPr>
            </w:pPr>
            <w:r w:rsidRPr="000D2356">
              <w:rPr>
                <w:b/>
                <w:bCs/>
                <w:lang w:val="lv-LV" w:eastAsia="lv-LV"/>
              </w:rPr>
              <w:t>I. Tiesību akta projekta izstrādes nepieciešamība</w:t>
            </w:r>
          </w:p>
        </w:tc>
      </w:tr>
      <w:tr w:rsidR="005D73DE" w:rsidRPr="00195F05" w14:paraId="25F276A0" w14:textId="77777777" w:rsidTr="00C21DCA">
        <w:tc>
          <w:tcPr>
            <w:tcW w:w="250" w:type="pct"/>
          </w:tcPr>
          <w:p w14:paraId="5AC6F0F9" w14:textId="77777777" w:rsidR="00A162FE" w:rsidRPr="000D2356" w:rsidRDefault="00A162FE" w:rsidP="00C21DCA">
            <w:pPr>
              <w:jc w:val="center"/>
              <w:rPr>
                <w:lang w:val="lv-LV" w:eastAsia="lv-LV"/>
              </w:rPr>
            </w:pPr>
            <w:r w:rsidRPr="000D2356">
              <w:rPr>
                <w:lang w:val="lv-LV" w:eastAsia="lv-LV"/>
              </w:rPr>
              <w:t>1.</w:t>
            </w:r>
          </w:p>
        </w:tc>
        <w:tc>
          <w:tcPr>
            <w:tcW w:w="1397" w:type="pct"/>
          </w:tcPr>
          <w:p w14:paraId="1D1768E9" w14:textId="77777777" w:rsidR="00A162FE" w:rsidRPr="000D2356" w:rsidRDefault="00A162FE" w:rsidP="005D73DE">
            <w:pPr>
              <w:jc w:val="both"/>
              <w:rPr>
                <w:lang w:val="lv-LV" w:eastAsia="lv-LV"/>
              </w:rPr>
            </w:pPr>
            <w:r w:rsidRPr="000D2356">
              <w:rPr>
                <w:lang w:val="lv-LV" w:eastAsia="lv-LV"/>
              </w:rPr>
              <w:t>Pamatojums</w:t>
            </w:r>
          </w:p>
        </w:tc>
        <w:tc>
          <w:tcPr>
            <w:tcW w:w="3353" w:type="pct"/>
          </w:tcPr>
          <w:p w14:paraId="5848BAFB" w14:textId="77777777" w:rsidR="00A162FE" w:rsidRPr="00857C33" w:rsidRDefault="00672F09" w:rsidP="00447162">
            <w:pPr>
              <w:pStyle w:val="Bezatstarpm"/>
              <w:jc w:val="both"/>
              <w:rPr>
                <w:rFonts w:ascii="Times New Roman" w:eastAsia="Times New Roman" w:hAnsi="Times New Roman"/>
                <w:sz w:val="24"/>
                <w:szCs w:val="24"/>
                <w:lang w:eastAsia="lv-LV"/>
              </w:rPr>
            </w:pPr>
            <w:r w:rsidRPr="00857C33">
              <w:rPr>
                <w:rFonts w:ascii="Times New Roman" w:eastAsia="Times New Roman" w:hAnsi="Times New Roman"/>
                <w:sz w:val="24"/>
                <w:szCs w:val="24"/>
                <w:lang w:eastAsia="lv-LV"/>
              </w:rPr>
              <w:t>Zemkopības ministrijas iniciatīva</w:t>
            </w:r>
            <w:r w:rsidR="00AE4C15" w:rsidRPr="00857C33">
              <w:rPr>
                <w:rFonts w:ascii="Times New Roman" w:eastAsia="Times New Roman" w:hAnsi="Times New Roman"/>
                <w:sz w:val="24"/>
                <w:szCs w:val="24"/>
                <w:lang w:eastAsia="lv-LV"/>
              </w:rPr>
              <w:t>.</w:t>
            </w:r>
          </w:p>
          <w:p w14:paraId="452B373A" w14:textId="282281F9" w:rsidR="00857C33" w:rsidRPr="00857C33" w:rsidRDefault="00857C33" w:rsidP="00857C33">
            <w:pPr>
              <w:pStyle w:val="Bezatstarpm"/>
              <w:jc w:val="both"/>
              <w:rPr>
                <w:rFonts w:ascii="Times New Roman" w:hAnsi="Times New Roman"/>
              </w:rPr>
            </w:pPr>
            <w:r w:rsidRPr="00857C33">
              <w:rPr>
                <w:rFonts w:ascii="Times New Roman" w:hAnsi="Times New Roman"/>
                <w:sz w:val="24"/>
                <w:szCs w:val="24"/>
              </w:rPr>
              <w:t>Lauksaimniecības un lauku attīstības likuma 5. panta ceturt</w:t>
            </w:r>
            <w:r>
              <w:rPr>
                <w:rFonts w:ascii="Times New Roman" w:hAnsi="Times New Roman"/>
                <w:sz w:val="24"/>
                <w:szCs w:val="24"/>
              </w:rPr>
              <w:t>ā</w:t>
            </w:r>
            <w:r w:rsidRPr="00857C33">
              <w:rPr>
                <w:rFonts w:ascii="Times New Roman" w:hAnsi="Times New Roman"/>
                <w:sz w:val="24"/>
                <w:szCs w:val="24"/>
              </w:rPr>
              <w:t xml:space="preserve"> un septīt</w:t>
            </w:r>
            <w:r>
              <w:rPr>
                <w:rFonts w:ascii="Times New Roman" w:hAnsi="Times New Roman"/>
                <w:sz w:val="24"/>
                <w:szCs w:val="24"/>
              </w:rPr>
              <w:t>ā</w:t>
            </w:r>
            <w:r w:rsidRPr="00857C33">
              <w:rPr>
                <w:rFonts w:ascii="Times New Roman" w:hAnsi="Times New Roman"/>
                <w:sz w:val="24"/>
                <w:szCs w:val="24"/>
              </w:rPr>
              <w:t xml:space="preserve"> daļ</w:t>
            </w:r>
            <w:r>
              <w:rPr>
                <w:rFonts w:ascii="Times New Roman" w:hAnsi="Times New Roman"/>
                <w:sz w:val="24"/>
                <w:szCs w:val="24"/>
              </w:rPr>
              <w:t>a.</w:t>
            </w:r>
          </w:p>
        </w:tc>
      </w:tr>
      <w:tr w:rsidR="005D73DE" w:rsidRPr="00B133F1" w14:paraId="11F1BD1F" w14:textId="77777777" w:rsidTr="000238EF">
        <w:tc>
          <w:tcPr>
            <w:tcW w:w="250" w:type="pct"/>
          </w:tcPr>
          <w:p w14:paraId="61BDA7B2" w14:textId="77777777" w:rsidR="00A162FE" w:rsidRPr="000D2356" w:rsidRDefault="00A162FE" w:rsidP="00C21DCA">
            <w:pPr>
              <w:jc w:val="center"/>
              <w:rPr>
                <w:lang w:val="lv-LV" w:eastAsia="lv-LV"/>
              </w:rPr>
            </w:pPr>
            <w:r w:rsidRPr="000D2356">
              <w:rPr>
                <w:lang w:val="lv-LV" w:eastAsia="lv-LV"/>
              </w:rPr>
              <w:t>2.</w:t>
            </w:r>
          </w:p>
        </w:tc>
        <w:tc>
          <w:tcPr>
            <w:tcW w:w="1397" w:type="pct"/>
          </w:tcPr>
          <w:p w14:paraId="099107EC" w14:textId="77777777" w:rsidR="00A162FE" w:rsidRDefault="00A162FE" w:rsidP="005D73DE">
            <w:pPr>
              <w:jc w:val="both"/>
              <w:rPr>
                <w:lang w:val="lv-LV"/>
              </w:rPr>
            </w:pPr>
            <w:r w:rsidRPr="000D2356">
              <w:rPr>
                <w:lang w:val="lv-LV" w:eastAsia="lv-LV"/>
              </w:rPr>
              <w:t xml:space="preserve">Pašreizējā situācija </w:t>
            </w:r>
            <w:r w:rsidR="006A073E" w:rsidRPr="000D2356">
              <w:rPr>
                <w:lang w:val="lv-LV"/>
              </w:rPr>
              <w:t>un problēmas, kuru risināšanai tiesību akta projekts izstrādāts, tiesiskā regulējuma mērķis un būtība</w:t>
            </w:r>
          </w:p>
          <w:p w14:paraId="6D230963" w14:textId="77777777" w:rsidR="00172415" w:rsidRPr="00172415" w:rsidRDefault="00172415" w:rsidP="00172415">
            <w:pPr>
              <w:rPr>
                <w:lang w:val="lv-LV" w:eastAsia="lv-LV"/>
              </w:rPr>
            </w:pPr>
          </w:p>
          <w:p w14:paraId="5BB64B62" w14:textId="77777777" w:rsidR="00172415" w:rsidRPr="00172415" w:rsidRDefault="00172415" w:rsidP="00172415">
            <w:pPr>
              <w:rPr>
                <w:lang w:val="lv-LV" w:eastAsia="lv-LV"/>
              </w:rPr>
            </w:pPr>
          </w:p>
          <w:p w14:paraId="19169027" w14:textId="77777777" w:rsidR="00172415" w:rsidRPr="00172415" w:rsidRDefault="00172415" w:rsidP="00172415">
            <w:pPr>
              <w:rPr>
                <w:lang w:val="lv-LV" w:eastAsia="lv-LV"/>
              </w:rPr>
            </w:pPr>
          </w:p>
          <w:p w14:paraId="7FDDF454" w14:textId="77777777" w:rsidR="00172415" w:rsidRPr="00172415" w:rsidRDefault="00172415" w:rsidP="00172415">
            <w:pPr>
              <w:rPr>
                <w:lang w:val="lv-LV" w:eastAsia="lv-LV"/>
              </w:rPr>
            </w:pPr>
          </w:p>
          <w:p w14:paraId="0F3A29EB" w14:textId="77777777" w:rsidR="00172415" w:rsidRPr="00172415" w:rsidRDefault="00172415" w:rsidP="00172415">
            <w:pPr>
              <w:rPr>
                <w:lang w:val="lv-LV" w:eastAsia="lv-LV"/>
              </w:rPr>
            </w:pPr>
          </w:p>
          <w:p w14:paraId="17F24A76" w14:textId="77777777" w:rsidR="00172415" w:rsidRPr="00172415" w:rsidRDefault="00172415" w:rsidP="00172415">
            <w:pPr>
              <w:rPr>
                <w:lang w:val="lv-LV" w:eastAsia="lv-LV"/>
              </w:rPr>
            </w:pPr>
          </w:p>
          <w:p w14:paraId="5BB8D3B3" w14:textId="77777777" w:rsidR="00172415" w:rsidRPr="00172415" w:rsidRDefault="00172415" w:rsidP="00172415">
            <w:pPr>
              <w:rPr>
                <w:lang w:val="lv-LV" w:eastAsia="lv-LV"/>
              </w:rPr>
            </w:pPr>
          </w:p>
          <w:p w14:paraId="432F045C" w14:textId="77777777" w:rsidR="00172415" w:rsidRPr="00172415" w:rsidRDefault="00172415" w:rsidP="00172415">
            <w:pPr>
              <w:rPr>
                <w:lang w:val="lv-LV" w:eastAsia="lv-LV"/>
              </w:rPr>
            </w:pPr>
          </w:p>
          <w:p w14:paraId="5B4CC612" w14:textId="77777777" w:rsidR="00172415" w:rsidRPr="00172415" w:rsidRDefault="00172415" w:rsidP="00172415">
            <w:pPr>
              <w:rPr>
                <w:lang w:val="lv-LV" w:eastAsia="lv-LV"/>
              </w:rPr>
            </w:pPr>
          </w:p>
          <w:p w14:paraId="5585F257" w14:textId="77777777" w:rsidR="00172415" w:rsidRPr="00172415" w:rsidRDefault="00172415" w:rsidP="00172415">
            <w:pPr>
              <w:rPr>
                <w:lang w:val="lv-LV" w:eastAsia="lv-LV"/>
              </w:rPr>
            </w:pPr>
          </w:p>
          <w:p w14:paraId="65EC3EFA" w14:textId="77777777" w:rsidR="00172415" w:rsidRPr="00172415" w:rsidRDefault="00172415" w:rsidP="00172415">
            <w:pPr>
              <w:rPr>
                <w:lang w:val="lv-LV" w:eastAsia="lv-LV"/>
              </w:rPr>
            </w:pPr>
          </w:p>
          <w:p w14:paraId="295E82BD" w14:textId="77777777" w:rsidR="00172415" w:rsidRPr="00172415" w:rsidRDefault="00172415" w:rsidP="00172415">
            <w:pPr>
              <w:rPr>
                <w:lang w:val="lv-LV" w:eastAsia="lv-LV"/>
              </w:rPr>
            </w:pPr>
          </w:p>
          <w:p w14:paraId="43D7541F" w14:textId="3338E964" w:rsidR="00172415" w:rsidRPr="00172415" w:rsidRDefault="00172415" w:rsidP="00172415">
            <w:pPr>
              <w:rPr>
                <w:lang w:val="lv-LV" w:eastAsia="lv-LV"/>
              </w:rPr>
            </w:pPr>
          </w:p>
        </w:tc>
        <w:tc>
          <w:tcPr>
            <w:tcW w:w="3353" w:type="pct"/>
            <w:shd w:val="clear" w:color="auto" w:fill="auto"/>
          </w:tcPr>
          <w:p w14:paraId="065E5B46" w14:textId="0281F1EF" w:rsidR="00DE6417" w:rsidRDefault="004C5349" w:rsidP="00AE4C15">
            <w:pPr>
              <w:jc w:val="both"/>
              <w:rPr>
                <w:bCs/>
                <w:lang w:val="lv-LV" w:eastAsia="lv-LV"/>
              </w:rPr>
            </w:pPr>
            <w:r w:rsidRPr="00AE4C15">
              <w:rPr>
                <w:bCs/>
                <w:lang w:val="lv-LV" w:eastAsia="lv-LV"/>
              </w:rPr>
              <w:t>Pašlaik spēkā ir Ministru kabineta 2012.</w:t>
            </w:r>
            <w:r>
              <w:rPr>
                <w:bCs/>
                <w:lang w:val="lv-LV" w:eastAsia="lv-LV"/>
              </w:rPr>
              <w:t xml:space="preserve"> </w:t>
            </w:r>
            <w:r w:rsidRPr="00AE4C15">
              <w:rPr>
                <w:bCs/>
                <w:lang w:val="lv-LV" w:eastAsia="lv-LV"/>
              </w:rPr>
              <w:t>gada 7.</w:t>
            </w:r>
            <w:r>
              <w:rPr>
                <w:bCs/>
                <w:lang w:val="lv-LV" w:eastAsia="lv-LV"/>
              </w:rPr>
              <w:t xml:space="preserve"> </w:t>
            </w:r>
            <w:r w:rsidRPr="00AE4C15">
              <w:rPr>
                <w:bCs/>
                <w:lang w:val="lv-LV" w:eastAsia="lv-LV"/>
              </w:rPr>
              <w:t>februāra noteikumi Nr.</w:t>
            </w:r>
            <w:r>
              <w:rPr>
                <w:bCs/>
                <w:lang w:val="lv-LV" w:eastAsia="lv-LV"/>
              </w:rPr>
              <w:t xml:space="preserve"> </w:t>
            </w:r>
            <w:r w:rsidRPr="00AE4C15">
              <w:rPr>
                <w:bCs/>
                <w:lang w:val="lv-LV" w:eastAsia="lv-LV"/>
              </w:rPr>
              <w:t>99 „Noteikumi par valsts un Eiropas Savienības atbalsta piešķiršanu biškopībai, tā administrēšanas un uzraudzības kārtību” (turpmāk – noteikumi</w:t>
            </w:r>
            <w:r>
              <w:rPr>
                <w:bCs/>
                <w:lang w:val="lv-LV" w:eastAsia="lv-LV"/>
              </w:rPr>
              <w:t xml:space="preserve"> Nr. 99</w:t>
            </w:r>
            <w:r w:rsidRPr="00AE4C15">
              <w:rPr>
                <w:bCs/>
                <w:lang w:val="lv-LV" w:eastAsia="lv-LV"/>
              </w:rPr>
              <w:t>).</w:t>
            </w:r>
          </w:p>
          <w:p w14:paraId="7A88FBAA" w14:textId="522149C6" w:rsidR="00E96852" w:rsidRPr="005F2F12" w:rsidRDefault="000A69A4" w:rsidP="00E96852">
            <w:pPr>
              <w:jc w:val="both"/>
              <w:rPr>
                <w:b/>
                <w:lang w:val="lv-LV" w:eastAsia="lv-LV"/>
              </w:rPr>
            </w:pPr>
            <w:r>
              <w:rPr>
                <w:bCs/>
                <w:lang w:val="lv-LV" w:eastAsia="lv-LV"/>
              </w:rPr>
              <w:t xml:space="preserve">Zemkopības ministrija ir </w:t>
            </w:r>
            <w:r w:rsidR="00C8502A">
              <w:rPr>
                <w:bCs/>
                <w:lang w:val="lv-LV" w:eastAsia="lv-LV"/>
              </w:rPr>
              <w:t>sagatavo</w:t>
            </w:r>
            <w:r>
              <w:rPr>
                <w:bCs/>
                <w:lang w:val="lv-LV" w:eastAsia="lv-LV"/>
              </w:rPr>
              <w:t xml:space="preserve">jusi </w:t>
            </w:r>
            <w:r w:rsidR="00C8502A">
              <w:rPr>
                <w:bCs/>
                <w:lang w:val="lv-LV" w:eastAsia="lv-LV"/>
              </w:rPr>
              <w:t>jaunu</w:t>
            </w:r>
            <w:r>
              <w:rPr>
                <w:bCs/>
                <w:lang w:val="lv-LV" w:eastAsia="lv-LV"/>
              </w:rPr>
              <w:t xml:space="preserve"> noteikumu projektu, </w:t>
            </w:r>
            <w:r w:rsidR="00C8502A">
              <w:rPr>
                <w:bCs/>
                <w:lang w:val="lv-LV" w:eastAsia="lv-LV"/>
              </w:rPr>
              <w:t>ievērojot</w:t>
            </w:r>
            <w:r>
              <w:rPr>
                <w:bCs/>
                <w:lang w:val="lv-LV" w:eastAsia="lv-LV"/>
              </w:rPr>
              <w:t xml:space="preserve"> </w:t>
            </w:r>
            <w:r w:rsidR="00740AF9">
              <w:rPr>
                <w:bCs/>
                <w:lang w:val="lv-LV" w:eastAsia="lv-LV"/>
              </w:rPr>
              <w:t>jaun</w:t>
            </w:r>
            <w:r w:rsidR="00C8502A">
              <w:rPr>
                <w:bCs/>
                <w:lang w:val="lv-LV" w:eastAsia="lv-LV"/>
              </w:rPr>
              <w:t>ās</w:t>
            </w:r>
            <w:r w:rsidR="00740AF9">
              <w:rPr>
                <w:bCs/>
                <w:lang w:val="lv-LV" w:eastAsia="lv-LV"/>
              </w:rPr>
              <w:t xml:space="preserve"> </w:t>
            </w:r>
            <w:r w:rsidR="00740AF9" w:rsidRPr="00AE4C15">
              <w:rPr>
                <w:bCs/>
                <w:lang w:val="lv-LV" w:eastAsia="lv-LV"/>
              </w:rPr>
              <w:t>Latvijas biškopības programm</w:t>
            </w:r>
            <w:r w:rsidR="00740AF9">
              <w:rPr>
                <w:bCs/>
                <w:lang w:val="lv-LV" w:eastAsia="lv-LV"/>
              </w:rPr>
              <w:t>a</w:t>
            </w:r>
            <w:r w:rsidR="00C8502A">
              <w:rPr>
                <w:bCs/>
                <w:lang w:val="lv-LV" w:eastAsia="lv-LV"/>
              </w:rPr>
              <w:t>s</w:t>
            </w:r>
            <w:r w:rsidR="00740AF9" w:rsidRPr="00AE4C15">
              <w:rPr>
                <w:bCs/>
                <w:lang w:val="lv-LV" w:eastAsia="lv-LV"/>
              </w:rPr>
              <w:t xml:space="preserve"> 2020.</w:t>
            </w:r>
            <w:r w:rsidR="00C8502A">
              <w:rPr>
                <w:bCs/>
                <w:lang w:val="lv-LV" w:eastAsia="lv-LV"/>
              </w:rPr>
              <w:t>–</w:t>
            </w:r>
            <w:r w:rsidR="00740AF9" w:rsidRPr="00AE4C15">
              <w:rPr>
                <w:bCs/>
                <w:lang w:val="lv-LV" w:eastAsia="lv-LV"/>
              </w:rPr>
              <w:t>2022.</w:t>
            </w:r>
            <w:r w:rsidR="00B15005">
              <w:rPr>
                <w:bCs/>
                <w:lang w:val="lv-LV" w:eastAsia="lv-LV"/>
              </w:rPr>
              <w:t xml:space="preserve"> </w:t>
            </w:r>
            <w:r w:rsidR="00740AF9" w:rsidRPr="00AE4C15">
              <w:rPr>
                <w:bCs/>
                <w:lang w:val="lv-LV" w:eastAsia="lv-LV"/>
              </w:rPr>
              <w:t xml:space="preserve">gadam (turpmāk </w:t>
            </w:r>
            <w:r w:rsidR="00C8502A">
              <w:rPr>
                <w:bCs/>
                <w:lang w:val="lv-LV" w:eastAsia="lv-LV"/>
              </w:rPr>
              <w:t>–</w:t>
            </w:r>
            <w:r w:rsidR="00F9104E">
              <w:rPr>
                <w:bCs/>
                <w:lang w:val="lv-LV" w:eastAsia="lv-LV"/>
              </w:rPr>
              <w:t xml:space="preserve"> </w:t>
            </w:r>
            <w:r w:rsidR="00740AF9" w:rsidRPr="00AE4C15">
              <w:rPr>
                <w:bCs/>
                <w:lang w:val="lv-LV" w:eastAsia="lv-LV"/>
              </w:rPr>
              <w:t>biškopības programma)</w:t>
            </w:r>
            <w:r>
              <w:rPr>
                <w:bCs/>
                <w:lang w:val="lv-LV" w:eastAsia="lv-LV"/>
              </w:rPr>
              <w:t xml:space="preserve"> </w:t>
            </w:r>
            <w:r w:rsidR="00C8502A">
              <w:rPr>
                <w:bCs/>
                <w:lang w:val="lv-LV" w:eastAsia="lv-LV"/>
              </w:rPr>
              <w:t>apstiprināšanu</w:t>
            </w:r>
            <w:r w:rsidR="00AD6683">
              <w:rPr>
                <w:bCs/>
                <w:lang w:val="lv-LV" w:eastAsia="lv-LV"/>
              </w:rPr>
              <w:t xml:space="preserve"> un</w:t>
            </w:r>
            <w:r w:rsidR="00C8502A">
              <w:rPr>
                <w:bCs/>
                <w:lang w:val="lv-LV" w:eastAsia="lv-LV"/>
              </w:rPr>
              <w:t xml:space="preserve"> </w:t>
            </w:r>
            <w:r w:rsidR="00E929AF" w:rsidRPr="00AE4C15">
              <w:rPr>
                <w:bCs/>
                <w:lang w:val="lv-LV" w:eastAsia="lv-LV"/>
              </w:rPr>
              <w:t>Eiropas Parlamenta un Padomes 2013. gada 17. decembra Regul</w:t>
            </w:r>
            <w:r w:rsidR="009729ED">
              <w:rPr>
                <w:bCs/>
                <w:lang w:val="lv-LV" w:eastAsia="lv-LV"/>
              </w:rPr>
              <w:t>as</w:t>
            </w:r>
            <w:r w:rsidR="00E929AF" w:rsidRPr="00AE4C15">
              <w:rPr>
                <w:bCs/>
                <w:lang w:val="lv-LV" w:eastAsia="lv-LV"/>
              </w:rPr>
              <w:t xml:space="preserve"> (ES) Nr.1308/2013, ar ko izveido lauksaimniecības produktu tirgu kopīgu organizāciju un atceļ Padomes Regulas (EEK) Nr.</w:t>
            </w:r>
            <w:r w:rsidR="00C8502A">
              <w:rPr>
                <w:bCs/>
                <w:lang w:val="lv-LV" w:eastAsia="lv-LV"/>
              </w:rPr>
              <w:t xml:space="preserve"> </w:t>
            </w:r>
            <w:r w:rsidR="00E929AF" w:rsidRPr="00AE4C15">
              <w:rPr>
                <w:bCs/>
                <w:lang w:val="lv-LV" w:eastAsia="lv-LV"/>
              </w:rPr>
              <w:t>922/72, (EEK) Nr.234/79, (EK) Nr.</w:t>
            </w:r>
            <w:r w:rsidR="00C8502A">
              <w:rPr>
                <w:bCs/>
                <w:lang w:val="lv-LV" w:eastAsia="lv-LV"/>
              </w:rPr>
              <w:t> </w:t>
            </w:r>
            <w:r w:rsidR="00E929AF" w:rsidRPr="00AE4C15">
              <w:rPr>
                <w:bCs/>
                <w:lang w:val="lv-LV" w:eastAsia="lv-LV"/>
              </w:rPr>
              <w:t>1037/2001 un (EK) Nr.</w:t>
            </w:r>
            <w:r w:rsidR="00C8502A">
              <w:rPr>
                <w:bCs/>
                <w:lang w:val="lv-LV" w:eastAsia="lv-LV"/>
              </w:rPr>
              <w:t xml:space="preserve"> </w:t>
            </w:r>
            <w:r w:rsidR="00E929AF" w:rsidRPr="00AE4C15">
              <w:rPr>
                <w:bCs/>
                <w:lang w:val="lv-LV" w:eastAsia="lv-LV"/>
              </w:rPr>
              <w:t>1234/2007</w:t>
            </w:r>
            <w:r w:rsidR="009729ED">
              <w:rPr>
                <w:bCs/>
                <w:lang w:val="lv-LV" w:eastAsia="lv-LV"/>
              </w:rPr>
              <w:t xml:space="preserve"> (turpmāk</w:t>
            </w:r>
            <w:r w:rsidR="00B15005">
              <w:rPr>
                <w:bCs/>
                <w:lang w:val="lv-LV" w:eastAsia="lv-LV"/>
              </w:rPr>
              <w:t xml:space="preserve"> –</w:t>
            </w:r>
            <w:r w:rsidR="009729ED">
              <w:rPr>
                <w:bCs/>
                <w:lang w:val="lv-LV" w:eastAsia="lv-LV"/>
              </w:rPr>
              <w:t xml:space="preserve"> Regula Nr.</w:t>
            </w:r>
            <w:r w:rsidR="00C8502A">
              <w:rPr>
                <w:bCs/>
                <w:lang w:val="lv-LV" w:eastAsia="lv-LV"/>
              </w:rPr>
              <w:t> </w:t>
            </w:r>
            <w:r w:rsidR="009729ED">
              <w:rPr>
                <w:bCs/>
                <w:lang w:val="lv-LV" w:eastAsia="lv-LV"/>
              </w:rPr>
              <w:t>1308/2013)</w:t>
            </w:r>
            <w:r w:rsidR="00E929AF" w:rsidRPr="00AE4C15">
              <w:rPr>
                <w:bCs/>
                <w:lang w:val="lv-LV" w:eastAsia="lv-LV"/>
              </w:rPr>
              <w:t xml:space="preserve"> 55.</w:t>
            </w:r>
            <w:r w:rsidR="00B15005">
              <w:rPr>
                <w:bCs/>
                <w:lang w:val="lv-LV" w:eastAsia="lv-LV"/>
              </w:rPr>
              <w:t xml:space="preserve"> </w:t>
            </w:r>
            <w:r w:rsidR="00E929AF" w:rsidRPr="00AE4C15">
              <w:rPr>
                <w:bCs/>
                <w:lang w:val="lv-LV" w:eastAsia="lv-LV"/>
              </w:rPr>
              <w:t>panta 4.</w:t>
            </w:r>
            <w:r w:rsidR="00B15005">
              <w:rPr>
                <w:bCs/>
                <w:lang w:val="lv-LV" w:eastAsia="lv-LV"/>
              </w:rPr>
              <w:t xml:space="preserve"> </w:t>
            </w:r>
            <w:r w:rsidR="00E929AF" w:rsidRPr="00AE4C15">
              <w:rPr>
                <w:bCs/>
                <w:lang w:val="lv-LV" w:eastAsia="lv-LV"/>
              </w:rPr>
              <w:t xml:space="preserve">punktā </w:t>
            </w:r>
            <w:r w:rsidR="00626904">
              <w:rPr>
                <w:bCs/>
                <w:lang w:val="lv-LV" w:eastAsia="lv-LV"/>
              </w:rPr>
              <w:t>noteikt</w:t>
            </w:r>
            <w:r>
              <w:rPr>
                <w:bCs/>
                <w:lang w:val="lv-LV" w:eastAsia="lv-LV"/>
              </w:rPr>
              <w:t>os</w:t>
            </w:r>
            <w:r w:rsidR="00E929AF" w:rsidRPr="00AE4C15">
              <w:rPr>
                <w:bCs/>
                <w:lang w:val="lv-LV" w:eastAsia="lv-LV"/>
              </w:rPr>
              <w:t xml:space="preserve"> atbalsta pasākum</w:t>
            </w:r>
            <w:r>
              <w:rPr>
                <w:bCs/>
                <w:lang w:val="lv-LV" w:eastAsia="lv-LV"/>
              </w:rPr>
              <w:t>us</w:t>
            </w:r>
            <w:r w:rsidR="0040584B">
              <w:rPr>
                <w:bCs/>
                <w:lang w:val="lv-LV" w:eastAsia="lv-LV"/>
              </w:rPr>
              <w:t>.</w:t>
            </w:r>
            <w:r w:rsidR="004C264B">
              <w:rPr>
                <w:bCs/>
                <w:lang w:val="lv-LV" w:eastAsia="lv-LV"/>
              </w:rPr>
              <w:t xml:space="preserve"> </w:t>
            </w:r>
            <w:r w:rsidR="0040584B">
              <w:rPr>
                <w:bCs/>
                <w:lang w:val="lv-LV" w:eastAsia="lv-LV"/>
              </w:rPr>
              <w:t>S</w:t>
            </w:r>
            <w:r w:rsidR="00C73A3B" w:rsidRPr="00E96852">
              <w:rPr>
                <w:bCs/>
                <w:lang w:val="lv-LV" w:eastAsia="lv-LV"/>
              </w:rPr>
              <w:t xml:space="preserve">askaņā ar </w:t>
            </w:r>
            <w:r w:rsidR="0040584B">
              <w:rPr>
                <w:bCs/>
                <w:lang w:val="lv-LV" w:eastAsia="lv-LV"/>
              </w:rPr>
              <w:t xml:space="preserve">Regulas Nr. 1308/2013 </w:t>
            </w:r>
            <w:r w:rsidR="00E96852" w:rsidRPr="00E96852">
              <w:rPr>
                <w:bCs/>
                <w:lang w:val="lv-LV" w:eastAsia="lv-LV"/>
              </w:rPr>
              <w:t>56. un 57.</w:t>
            </w:r>
            <w:r w:rsidR="00C8502A">
              <w:rPr>
                <w:bCs/>
                <w:lang w:val="lv-LV" w:eastAsia="lv-LV"/>
              </w:rPr>
              <w:t> </w:t>
            </w:r>
            <w:r w:rsidR="00E96852" w:rsidRPr="00E96852">
              <w:rPr>
                <w:bCs/>
                <w:lang w:val="lv-LV" w:eastAsia="lv-LV"/>
              </w:rPr>
              <w:t xml:space="preserve">panta prasībām </w:t>
            </w:r>
            <w:r w:rsidR="0040584B">
              <w:rPr>
                <w:bCs/>
                <w:lang w:val="lv-LV" w:eastAsia="lv-LV"/>
              </w:rPr>
              <w:t xml:space="preserve">ir stājusies </w:t>
            </w:r>
            <w:r w:rsidR="00E96852" w:rsidRPr="00E96852">
              <w:rPr>
                <w:bCs/>
                <w:lang w:val="lv-LV" w:eastAsia="lv-LV"/>
              </w:rPr>
              <w:t>spēkā Komisijas 2015. gada 11.</w:t>
            </w:r>
            <w:r w:rsidR="00AD6683">
              <w:rPr>
                <w:bCs/>
                <w:lang w:val="lv-LV" w:eastAsia="lv-LV"/>
              </w:rPr>
              <w:t> </w:t>
            </w:r>
            <w:r w:rsidR="00E96852" w:rsidRPr="00E96852">
              <w:rPr>
                <w:bCs/>
                <w:lang w:val="lv-LV" w:eastAsia="lv-LV"/>
              </w:rPr>
              <w:t>maija Deleģēt</w:t>
            </w:r>
            <w:r w:rsidR="0040584B">
              <w:rPr>
                <w:bCs/>
                <w:lang w:val="lv-LV" w:eastAsia="lv-LV"/>
              </w:rPr>
              <w:t>ā</w:t>
            </w:r>
            <w:r w:rsidR="00E96852" w:rsidRPr="00E96852">
              <w:rPr>
                <w:bCs/>
                <w:lang w:val="lv-LV" w:eastAsia="lv-LV"/>
              </w:rPr>
              <w:t xml:space="preserve"> </w:t>
            </w:r>
            <w:r w:rsidR="0040584B">
              <w:rPr>
                <w:bCs/>
                <w:lang w:val="lv-LV" w:eastAsia="lv-LV"/>
              </w:rPr>
              <w:t>r</w:t>
            </w:r>
            <w:r w:rsidR="00E96852" w:rsidRPr="00E96852">
              <w:rPr>
                <w:bCs/>
                <w:lang w:val="lv-LV" w:eastAsia="lv-LV"/>
              </w:rPr>
              <w:t>egul</w:t>
            </w:r>
            <w:r w:rsidR="0040584B">
              <w:rPr>
                <w:bCs/>
                <w:lang w:val="lv-LV" w:eastAsia="lv-LV"/>
              </w:rPr>
              <w:t>a</w:t>
            </w:r>
            <w:r w:rsidR="00E96852" w:rsidRPr="00E96852">
              <w:rPr>
                <w:bCs/>
                <w:lang w:val="lv-LV" w:eastAsia="lv-LV"/>
              </w:rPr>
              <w:t xml:space="preserve"> (ES) 2015/1366, ar ko Eiropas Parlamenta un Padomes Regulu (ES) Nr.</w:t>
            </w:r>
            <w:r w:rsidR="00C8502A">
              <w:rPr>
                <w:bCs/>
                <w:lang w:val="lv-LV" w:eastAsia="lv-LV"/>
              </w:rPr>
              <w:t xml:space="preserve"> </w:t>
            </w:r>
            <w:r w:rsidR="00E96852" w:rsidRPr="00E96852">
              <w:rPr>
                <w:bCs/>
                <w:lang w:val="lv-LV" w:eastAsia="lv-LV"/>
              </w:rPr>
              <w:t>1308/2013 papildina attiecībā uz biškopības nozari</w:t>
            </w:r>
            <w:r w:rsidR="0029595D" w:rsidRPr="0029595D">
              <w:rPr>
                <w:lang w:val="lv-LV"/>
              </w:rPr>
              <w:t xml:space="preserve"> </w:t>
            </w:r>
            <w:r w:rsidR="0029595D" w:rsidRPr="0029595D">
              <w:rPr>
                <w:bCs/>
                <w:lang w:val="lv-LV" w:eastAsia="lv-LV"/>
              </w:rPr>
              <w:t xml:space="preserve">(turpmāk – Regula </w:t>
            </w:r>
            <w:r w:rsidR="0029595D">
              <w:rPr>
                <w:bCs/>
                <w:lang w:val="lv-LV" w:eastAsia="lv-LV"/>
              </w:rPr>
              <w:t>2015</w:t>
            </w:r>
            <w:r w:rsidR="0029595D" w:rsidRPr="0029595D">
              <w:rPr>
                <w:bCs/>
                <w:lang w:val="lv-LV" w:eastAsia="lv-LV"/>
              </w:rPr>
              <w:t>/13</w:t>
            </w:r>
            <w:r w:rsidR="0029595D">
              <w:rPr>
                <w:bCs/>
                <w:lang w:val="lv-LV" w:eastAsia="lv-LV"/>
              </w:rPr>
              <w:t>66</w:t>
            </w:r>
            <w:r w:rsidR="0029595D" w:rsidRPr="0029595D">
              <w:rPr>
                <w:bCs/>
                <w:lang w:val="lv-LV" w:eastAsia="lv-LV"/>
              </w:rPr>
              <w:t>)</w:t>
            </w:r>
            <w:r w:rsidR="00E96852" w:rsidRPr="00E96852">
              <w:rPr>
                <w:bCs/>
                <w:lang w:val="lv-LV" w:eastAsia="lv-LV"/>
              </w:rPr>
              <w:t xml:space="preserve"> un Komisijas 2015. gada 6.</w:t>
            </w:r>
            <w:r w:rsidR="00C8502A">
              <w:rPr>
                <w:bCs/>
                <w:lang w:val="lv-LV" w:eastAsia="lv-LV"/>
              </w:rPr>
              <w:t> </w:t>
            </w:r>
            <w:r w:rsidR="00E96852" w:rsidRPr="00E96852">
              <w:rPr>
                <w:bCs/>
                <w:lang w:val="lv-LV" w:eastAsia="lv-LV"/>
              </w:rPr>
              <w:t xml:space="preserve">augusta Īstenošanas </w:t>
            </w:r>
            <w:r w:rsidR="00AD6683">
              <w:rPr>
                <w:bCs/>
                <w:lang w:val="lv-LV" w:eastAsia="lv-LV"/>
              </w:rPr>
              <w:t>r</w:t>
            </w:r>
            <w:r w:rsidR="00E96852" w:rsidRPr="00E96852">
              <w:rPr>
                <w:bCs/>
                <w:lang w:val="lv-LV" w:eastAsia="lv-LV"/>
              </w:rPr>
              <w:t>egul</w:t>
            </w:r>
            <w:r w:rsidR="0040584B">
              <w:rPr>
                <w:bCs/>
                <w:lang w:val="lv-LV" w:eastAsia="lv-LV"/>
              </w:rPr>
              <w:t>a</w:t>
            </w:r>
            <w:r w:rsidR="00E96852" w:rsidRPr="00E96852">
              <w:rPr>
                <w:bCs/>
                <w:lang w:val="lv-LV" w:eastAsia="lv-LV"/>
              </w:rPr>
              <w:t xml:space="preserve"> (ES) 2015/1368, ar ko paredz noteikumus par to, kā Eiropas Parlamenta un Padomes Regulu (ES) Nr.1308/2013 piemēro attiecībā uz atbalstu biškopības nozarē</w:t>
            </w:r>
            <w:r w:rsidR="0029595D">
              <w:rPr>
                <w:bCs/>
                <w:lang w:val="lv-LV" w:eastAsia="lv-LV"/>
              </w:rPr>
              <w:t xml:space="preserve"> </w:t>
            </w:r>
            <w:r w:rsidR="0029595D" w:rsidRPr="0029595D">
              <w:rPr>
                <w:bCs/>
                <w:lang w:val="lv-LV" w:eastAsia="lv-LV"/>
              </w:rPr>
              <w:t>(turpmāk – Regula 2015/136</w:t>
            </w:r>
            <w:r w:rsidR="0029595D">
              <w:rPr>
                <w:bCs/>
                <w:lang w:val="lv-LV" w:eastAsia="lv-LV"/>
              </w:rPr>
              <w:t>8</w:t>
            </w:r>
            <w:r w:rsidR="0029595D" w:rsidRPr="0029595D">
              <w:rPr>
                <w:bCs/>
                <w:lang w:val="lv-LV" w:eastAsia="lv-LV"/>
              </w:rPr>
              <w:t>)</w:t>
            </w:r>
            <w:r w:rsidR="000822FF">
              <w:rPr>
                <w:bCs/>
                <w:lang w:val="lv-LV" w:eastAsia="lv-LV"/>
              </w:rPr>
              <w:t>.</w:t>
            </w:r>
            <w:r w:rsidR="005F2F12">
              <w:rPr>
                <w:bCs/>
                <w:lang w:val="lv-LV" w:eastAsia="lv-LV"/>
              </w:rPr>
              <w:t xml:space="preserve"> </w:t>
            </w:r>
          </w:p>
          <w:p w14:paraId="661ED492" w14:textId="26187AD3" w:rsidR="00702EE6" w:rsidRPr="00295B18" w:rsidRDefault="00702EE6" w:rsidP="00E96852">
            <w:pPr>
              <w:jc w:val="both"/>
              <w:rPr>
                <w:bCs/>
                <w:lang w:val="lv-LV" w:eastAsia="lv-LV"/>
              </w:rPr>
            </w:pPr>
            <w:r w:rsidRPr="00295B18">
              <w:rPr>
                <w:bCs/>
                <w:lang w:val="lv-LV" w:eastAsia="lv-LV"/>
              </w:rPr>
              <w:t xml:space="preserve">Saskaņā ar Regulas 2015/1368 5. pantu Komisijai ir jāapstiprina dalībvalstu </w:t>
            </w:r>
            <w:proofErr w:type="spellStart"/>
            <w:r w:rsidRPr="00295B18">
              <w:rPr>
                <w:bCs/>
                <w:lang w:val="lv-LV" w:eastAsia="lv-LV"/>
              </w:rPr>
              <w:t>iztrādātās</w:t>
            </w:r>
            <w:proofErr w:type="spellEnd"/>
            <w:r w:rsidRPr="00295B18">
              <w:rPr>
                <w:bCs/>
                <w:lang w:val="lv-LV" w:eastAsia="lv-LV"/>
              </w:rPr>
              <w:t xml:space="preserve"> biškopības programmas, kurās ir noteikti pasākumi, kas izvēlēti no Regulas (ES) Nr. 1308/2013 55. panta 4. punktā ietvertā saraksta</w:t>
            </w:r>
            <w:r w:rsidR="00AD6683">
              <w:rPr>
                <w:bCs/>
                <w:lang w:val="lv-LV" w:eastAsia="lv-LV"/>
              </w:rPr>
              <w:t>,</w:t>
            </w:r>
            <w:r w:rsidRPr="00295B18">
              <w:rPr>
                <w:bCs/>
                <w:lang w:val="lv-LV" w:eastAsia="lv-LV"/>
              </w:rPr>
              <w:t xml:space="preserve"> un t</w:t>
            </w:r>
            <w:r w:rsidR="0029595D" w:rsidRPr="00295B18">
              <w:rPr>
                <w:bCs/>
                <w:lang w:val="lv-LV" w:eastAsia="lv-LV"/>
              </w:rPr>
              <w:t>ajā</w:t>
            </w:r>
            <w:r w:rsidR="00B707F7" w:rsidRPr="00295B18">
              <w:rPr>
                <w:bCs/>
                <w:lang w:val="lv-LV" w:eastAsia="lv-LV"/>
              </w:rPr>
              <w:t>s</w:t>
            </w:r>
            <w:r w:rsidRPr="00295B18">
              <w:rPr>
                <w:bCs/>
                <w:lang w:val="lv-LV" w:eastAsia="lv-LV"/>
              </w:rPr>
              <w:t xml:space="preserve"> </w:t>
            </w:r>
            <w:r w:rsidR="00C97516" w:rsidRPr="00295B18">
              <w:rPr>
                <w:bCs/>
                <w:lang w:val="lv-LV" w:eastAsia="lv-LV"/>
              </w:rPr>
              <w:t xml:space="preserve">ir </w:t>
            </w:r>
            <w:r w:rsidR="0029595D" w:rsidRPr="00295B18">
              <w:rPr>
                <w:bCs/>
                <w:lang w:val="lv-LV" w:eastAsia="lv-LV"/>
              </w:rPr>
              <w:lastRenderedPageBreak/>
              <w:t>iekļauts</w:t>
            </w:r>
            <w:r w:rsidRPr="00295B18">
              <w:rPr>
                <w:bCs/>
                <w:lang w:val="lv-LV" w:eastAsia="lv-LV"/>
              </w:rPr>
              <w:t xml:space="preserve"> detalizēts </w:t>
            </w:r>
            <w:r w:rsidR="00AD6683">
              <w:rPr>
                <w:bCs/>
                <w:lang w:val="lv-LV" w:eastAsia="lv-LV"/>
              </w:rPr>
              <w:t>pasākumus īstenojamo</w:t>
            </w:r>
            <w:r w:rsidR="00AD6683" w:rsidRPr="00295B18">
              <w:rPr>
                <w:bCs/>
                <w:lang w:val="lv-LV" w:eastAsia="lv-LV"/>
              </w:rPr>
              <w:t xml:space="preserve"> </w:t>
            </w:r>
            <w:r w:rsidRPr="00295B18">
              <w:rPr>
                <w:bCs/>
                <w:lang w:val="lv-LV" w:eastAsia="lv-LV"/>
              </w:rPr>
              <w:t xml:space="preserve">darbību </w:t>
            </w:r>
            <w:r w:rsidR="00AD6683">
              <w:rPr>
                <w:bCs/>
                <w:lang w:val="lv-LV" w:eastAsia="lv-LV"/>
              </w:rPr>
              <w:t>un satura</w:t>
            </w:r>
            <w:r w:rsidR="00AD6683" w:rsidRPr="00295B18">
              <w:rPr>
                <w:bCs/>
                <w:lang w:val="lv-LV" w:eastAsia="lv-LV"/>
              </w:rPr>
              <w:t xml:space="preserve"> </w:t>
            </w:r>
            <w:r w:rsidRPr="00295B18">
              <w:rPr>
                <w:bCs/>
                <w:lang w:val="lv-LV" w:eastAsia="lv-LV"/>
              </w:rPr>
              <w:t>apraksts saskaņā ar Regulas 2015/1368 4. pant</w:t>
            </w:r>
            <w:r w:rsidR="00B707F7" w:rsidRPr="00295B18">
              <w:rPr>
                <w:bCs/>
                <w:lang w:val="lv-LV" w:eastAsia="lv-LV"/>
              </w:rPr>
              <w:t>a prasībām</w:t>
            </w:r>
            <w:r w:rsidR="0029595D" w:rsidRPr="00295B18">
              <w:rPr>
                <w:bCs/>
                <w:lang w:val="lv-LV" w:eastAsia="lv-LV"/>
              </w:rPr>
              <w:t xml:space="preserve">. Vienlaikus ar </w:t>
            </w:r>
            <w:r w:rsidR="00C97516" w:rsidRPr="00295B18">
              <w:rPr>
                <w:bCs/>
                <w:lang w:val="lv-LV" w:eastAsia="lv-LV"/>
              </w:rPr>
              <w:t xml:space="preserve">biškopības </w:t>
            </w:r>
            <w:r w:rsidR="0029595D" w:rsidRPr="00295B18">
              <w:rPr>
                <w:bCs/>
                <w:lang w:val="lv-LV" w:eastAsia="lv-LV"/>
              </w:rPr>
              <w:t>programm</w:t>
            </w:r>
            <w:r w:rsidR="00C97516" w:rsidRPr="00295B18">
              <w:rPr>
                <w:bCs/>
                <w:lang w:val="lv-LV" w:eastAsia="lv-LV"/>
              </w:rPr>
              <w:t>as</w:t>
            </w:r>
            <w:r w:rsidR="0029595D" w:rsidRPr="00295B18">
              <w:rPr>
                <w:bCs/>
                <w:lang w:val="lv-LV" w:eastAsia="lv-LV"/>
              </w:rPr>
              <w:t xml:space="preserve"> apstiprināšanu </w:t>
            </w:r>
            <w:r w:rsidR="00C97516" w:rsidRPr="00295B18">
              <w:rPr>
                <w:bCs/>
                <w:lang w:val="lv-LV" w:eastAsia="lv-LV"/>
              </w:rPr>
              <w:t xml:space="preserve">Komisija </w:t>
            </w:r>
            <w:r w:rsidR="00AD6683">
              <w:rPr>
                <w:bCs/>
                <w:lang w:val="lv-LV" w:eastAsia="lv-LV"/>
              </w:rPr>
              <w:t>atbilstoši</w:t>
            </w:r>
            <w:r w:rsidR="0029595D" w:rsidRPr="00295B18">
              <w:rPr>
                <w:bCs/>
                <w:lang w:val="lv-LV" w:eastAsia="lv-LV"/>
              </w:rPr>
              <w:t xml:space="preserve"> </w:t>
            </w:r>
            <w:r w:rsidR="00C97516" w:rsidRPr="00295B18">
              <w:rPr>
                <w:bCs/>
                <w:lang w:val="lv-LV" w:eastAsia="lv-LV"/>
              </w:rPr>
              <w:t>Regulas 2015/1366 4.pant</w:t>
            </w:r>
            <w:r w:rsidR="00AD6683">
              <w:rPr>
                <w:bCs/>
                <w:lang w:val="lv-LV" w:eastAsia="lv-LV"/>
              </w:rPr>
              <w:t>am</w:t>
            </w:r>
            <w:r w:rsidR="00C97516" w:rsidRPr="00295B18">
              <w:rPr>
                <w:bCs/>
                <w:lang w:val="lv-LV" w:eastAsia="lv-LV"/>
              </w:rPr>
              <w:t xml:space="preserve"> paredz līdzfinansējuma ap</w:t>
            </w:r>
            <w:r w:rsidR="00AD6683">
              <w:rPr>
                <w:bCs/>
                <w:lang w:val="lv-LV" w:eastAsia="lv-LV"/>
              </w:rPr>
              <w:t>mēru</w:t>
            </w:r>
            <w:r w:rsidR="00B707F7" w:rsidRPr="00295B18">
              <w:rPr>
                <w:bCs/>
                <w:lang w:val="lv-LV" w:eastAsia="lv-LV"/>
              </w:rPr>
              <w:t xml:space="preserve"> </w:t>
            </w:r>
            <w:r w:rsidR="00AD6683">
              <w:rPr>
                <w:bCs/>
                <w:lang w:val="lv-LV" w:eastAsia="lv-LV"/>
              </w:rPr>
              <w:t>atkarībā no</w:t>
            </w:r>
            <w:r w:rsidR="00B707F7" w:rsidRPr="00295B18">
              <w:rPr>
                <w:bCs/>
                <w:lang w:val="lv-LV" w:eastAsia="lv-LV"/>
              </w:rPr>
              <w:t xml:space="preserve"> katrā </w:t>
            </w:r>
            <w:proofErr w:type="spellStart"/>
            <w:r w:rsidR="00B707F7" w:rsidRPr="00295B18">
              <w:rPr>
                <w:bCs/>
                <w:lang w:val="lv-LV" w:eastAsia="lv-LV"/>
              </w:rPr>
              <w:t>dalībavalstī</w:t>
            </w:r>
            <w:proofErr w:type="spellEnd"/>
            <w:r w:rsidR="00B707F7" w:rsidRPr="00295B18">
              <w:rPr>
                <w:bCs/>
                <w:lang w:val="lv-LV" w:eastAsia="lv-LV"/>
              </w:rPr>
              <w:t xml:space="preserve"> esoš</w:t>
            </w:r>
            <w:r w:rsidR="00AD6683">
              <w:rPr>
                <w:bCs/>
                <w:lang w:val="lv-LV" w:eastAsia="lv-LV"/>
              </w:rPr>
              <w:t>ā</w:t>
            </w:r>
            <w:r w:rsidR="00B707F7" w:rsidRPr="00295B18">
              <w:rPr>
                <w:bCs/>
                <w:lang w:val="lv-LV" w:eastAsia="lv-LV"/>
              </w:rPr>
              <w:t xml:space="preserve"> bišu stropu skait</w:t>
            </w:r>
            <w:r w:rsidR="00AD6683">
              <w:rPr>
                <w:bCs/>
                <w:lang w:val="lv-LV" w:eastAsia="lv-LV"/>
              </w:rPr>
              <w:t>a</w:t>
            </w:r>
            <w:r w:rsidR="00C97516" w:rsidRPr="00295B18">
              <w:rPr>
                <w:bCs/>
                <w:lang w:val="lv-LV" w:eastAsia="lv-LV"/>
              </w:rPr>
              <w:t>.</w:t>
            </w:r>
          </w:p>
          <w:p w14:paraId="468CADC1" w14:textId="14ABFD99" w:rsidR="000A6E94" w:rsidRDefault="00702EE6" w:rsidP="00E96852">
            <w:pPr>
              <w:jc w:val="both"/>
              <w:rPr>
                <w:bCs/>
                <w:lang w:val="lv-LV" w:eastAsia="lv-LV"/>
              </w:rPr>
            </w:pPr>
            <w:r w:rsidRPr="00295B18">
              <w:rPr>
                <w:bCs/>
                <w:lang w:val="lv-LV" w:eastAsia="lv-LV"/>
              </w:rPr>
              <w:t>Tāpat i</w:t>
            </w:r>
            <w:r w:rsidR="0040584B" w:rsidRPr="00295B18">
              <w:rPr>
                <w:bCs/>
                <w:lang w:val="lv-LV" w:eastAsia="lv-LV"/>
              </w:rPr>
              <w:t xml:space="preserve">epriekš </w:t>
            </w:r>
            <w:r w:rsidR="00BD0FAC" w:rsidRPr="00295B18">
              <w:rPr>
                <w:bCs/>
                <w:lang w:val="lv-LV" w:eastAsia="lv-LV"/>
              </w:rPr>
              <w:t>minēt</w:t>
            </w:r>
            <w:r w:rsidR="008543D7" w:rsidRPr="00295B18">
              <w:rPr>
                <w:bCs/>
                <w:lang w:val="lv-LV" w:eastAsia="lv-LV"/>
              </w:rPr>
              <w:t>ajos</w:t>
            </w:r>
            <w:r w:rsidR="00BD0FAC" w:rsidRPr="00295B18">
              <w:rPr>
                <w:bCs/>
                <w:lang w:val="lv-LV" w:eastAsia="lv-LV"/>
              </w:rPr>
              <w:t xml:space="preserve"> </w:t>
            </w:r>
            <w:r w:rsidR="00E96852" w:rsidRPr="00295B18">
              <w:rPr>
                <w:bCs/>
                <w:lang w:val="lv-LV" w:eastAsia="lv-LV"/>
              </w:rPr>
              <w:t>Eiropas Savienības normatīv</w:t>
            </w:r>
            <w:r w:rsidR="008543D7" w:rsidRPr="00295B18">
              <w:rPr>
                <w:bCs/>
                <w:lang w:val="lv-LV" w:eastAsia="lv-LV"/>
              </w:rPr>
              <w:t>ajos</w:t>
            </w:r>
            <w:r w:rsidR="00E96852" w:rsidRPr="00295B18">
              <w:rPr>
                <w:bCs/>
                <w:lang w:val="lv-LV" w:eastAsia="lv-LV"/>
              </w:rPr>
              <w:t xml:space="preserve"> aktos par atbalstu biškopības nozar</w:t>
            </w:r>
            <w:r w:rsidR="008543D7" w:rsidRPr="00295B18">
              <w:rPr>
                <w:bCs/>
                <w:lang w:val="lv-LV" w:eastAsia="lv-LV"/>
              </w:rPr>
              <w:t>ei</w:t>
            </w:r>
            <w:r w:rsidR="00E96852" w:rsidRPr="00295B18">
              <w:rPr>
                <w:bCs/>
                <w:lang w:val="lv-LV" w:eastAsia="lv-LV"/>
              </w:rPr>
              <w:t xml:space="preserve"> ir</w:t>
            </w:r>
            <w:r w:rsidR="00BD0FAC" w:rsidRPr="00295B18">
              <w:rPr>
                <w:bCs/>
                <w:lang w:val="lv-LV" w:eastAsia="lv-LV"/>
              </w:rPr>
              <w:t xml:space="preserve"> </w:t>
            </w:r>
            <w:r w:rsidR="00E96852" w:rsidRPr="00295B18">
              <w:rPr>
                <w:bCs/>
                <w:lang w:val="lv-LV" w:eastAsia="lv-LV"/>
              </w:rPr>
              <w:t>noteikts, ka dalībvalsts pienākums ir sagatavot un noteiktā termiņā</w:t>
            </w:r>
            <w:r w:rsidR="00900680" w:rsidRPr="00295B18">
              <w:rPr>
                <w:bCs/>
                <w:lang w:val="lv-LV" w:eastAsia="lv-LV"/>
              </w:rPr>
              <w:t xml:space="preserve"> (tostarp</w:t>
            </w:r>
            <w:r w:rsidR="00900680" w:rsidRPr="00295B18">
              <w:rPr>
                <w:bCs/>
                <w:lang w:val="lv-LV"/>
              </w:rPr>
              <w:t xml:space="preserve"> </w:t>
            </w:r>
            <w:r w:rsidR="00900680" w:rsidRPr="00295B18">
              <w:rPr>
                <w:bCs/>
                <w:lang w:val="lv-LV" w:eastAsia="lv-LV"/>
              </w:rPr>
              <w:t>noteikts termiņš, k</w:t>
            </w:r>
            <w:r w:rsidRPr="00295B18">
              <w:rPr>
                <w:bCs/>
                <w:lang w:val="lv-LV" w:eastAsia="lv-LV"/>
              </w:rPr>
              <w:t>urā</w:t>
            </w:r>
            <w:r w:rsidR="00900680" w:rsidRPr="00295B18">
              <w:rPr>
                <w:bCs/>
                <w:lang w:val="lv-LV" w:eastAsia="lv-LV"/>
              </w:rPr>
              <w:t xml:space="preserve"> dalībvalsts paziņo </w:t>
            </w:r>
            <w:r w:rsidR="000C0846" w:rsidRPr="00295B18">
              <w:rPr>
                <w:bCs/>
                <w:lang w:val="lv-LV" w:eastAsia="lv-LV"/>
              </w:rPr>
              <w:t>par i</w:t>
            </w:r>
            <w:r w:rsidR="0029595D" w:rsidRPr="00295B18">
              <w:rPr>
                <w:bCs/>
                <w:lang w:val="lv-LV" w:eastAsia="lv-LV"/>
              </w:rPr>
              <w:t>z</w:t>
            </w:r>
            <w:r w:rsidR="000C0846" w:rsidRPr="00295B18">
              <w:rPr>
                <w:bCs/>
                <w:lang w:val="lv-LV" w:eastAsia="lv-LV"/>
              </w:rPr>
              <w:t xml:space="preserve">strādāto </w:t>
            </w:r>
            <w:r w:rsidR="00900680" w:rsidRPr="00295B18">
              <w:rPr>
                <w:bCs/>
                <w:lang w:val="lv-LV" w:eastAsia="lv-LV"/>
              </w:rPr>
              <w:t>biškopības programm</w:t>
            </w:r>
            <w:r w:rsidR="000C0846" w:rsidRPr="00295B18">
              <w:rPr>
                <w:bCs/>
                <w:lang w:val="lv-LV" w:eastAsia="lv-LV"/>
              </w:rPr>
              <w:t>u</w:t>
            </w:r>
            <w:r w:rsidR="00900680" w:rsidRPr="00295B18">
              <w:rPr>
                <w:bCs/>
                <w:lang w:val="lv-LV" w:eastAsia="lv-LV"/>
              </w:rPr>
              <w:t xml:space="preserve"> un Komisija</w:t>
            </w:r>
            <w:r w:rsidR="00AD6683">
              <w:rPr>
                <w:bCs/>
                <w:lang w:val="lv-LV" w:eastAsia="lv-LV"/>
              </w:rPr>
              <w:t xml:space="preserve"> īsteno</w:t>
            </w:r>
            <w:r w:rsidR="00900680" w:rsidRPr="00295B18">
              <w:rPr>
                <w:bCs/>
                <w:lang w:val="lv-LV" w:eastAsia="lv-LV"/>
              </w:rPr>
              <w:t xml:space="preserve"> š</w:t>
            </w:r>
            <w:r w:rsidR="000C0846" w:rsidRPr="00295B18">
              <w:rPr>
                <w:bCs/>
                <w:lang w:val="lv-LV" w:eastAsia="lv-LV"/>
              </w:rPr>
              <w:t>īs</w:t>
            </w:r>
            <w:r w:rsidR="00900680" w:rsidRPr="00295B18">
              <w:rPr>
                <w:bCs/>
                <w:lang w:val="lv-LV" w:eastAsia="lv-LV"/>
              </w:rPr>
              <w:t xml:space="preserve"> programm</w:t>
            </w:r>
            <w:r w:rsidR="000C0846" w:rsidRPr="00295B18">
              <w:rPr>
                <w:bCs/>
                <w:lang w:val="lv-LV" w:eastAsia="lv-LV"/>
              </w:rPr>
              <w:t>as</w:t>
            </w:r>
            <w:r w:rsidR="00900680" w:rsidRPr="00295B18">
              <w:rPr>
                <w:bCs/>
                <w:lang w:val="lv-LV" w:eastAsia="lv-LV"/>
              </w:rPr>
              <w:t xml:space="preserve"> apstiprināšanas procedūru)</w:t>
            </w:r>
            <w:r w:rsidR="002E304D" w:rsidRPr="00295B18">
              <w:rPr>
                <w:bCs/>
                <w:lang w:val="lv-LV" w:eastAsia="lv-LV"/>
              </w:rPr>
              <w:t xml:space="preserve"> </w:t>
            </w:r>
            <w:r w:rsidR="00E96852" w:rsidRPr="00295B18">
              <w:rPr>
                <w:bCs/>
                <w:lang w:val="lv-LV" w:eastAsia="lv-LV"/>
              </w:rPr>
              <w:t xml:space="preserve">sniegt informāciju Eiropas Komisijai, </w:t>
            </w:r>
            <w:r w:rsidR="00E96852" w:rsidRPr="00E96852">
              <w:rPr>
                <w:bCs/>
                <w:lang w:val="lv-LV" w:eastAsia="lv-LV"/>
              </w:rPr>
              <w:t>tāpēc noteikumu projektā ir paredzēta informācijas apmaiņa starp Lauku atbalsta dienestu, atbalsta pretendentu un Zemkopības ministriju, lai nodrošinātu atbilstošas informācijas savlaicīgu sagatavošanu un nosūtīšanu Eiropas Komisijai.</w:t>
            </w:r>
          </w:p>
          <w:p w14:paraId="74358DE3" w14:textId="252C80B2" w:rsidR="00FE4E40" w:rsidRDefault="00FC3F06" w:rsidP="00AE4C15">
            <w:pPr>
              <w:jc w:val="both"/>
              <w:rPr>
                <w:bCs/>
                <w:lang w:val="lv-LV" w:eastAsia="lv-LV"/>
              </w:rPr>
            </w:pPr>
            <w:r>
              <w:rPr>
                <w:bCs/>
                <w:lang w:val="lv-LV" w:eastAsia="lv-LV"/>
              </w:rPr>
              <w:t>N</w:t>
            </w:r>
            <w:r w:rsidRPr="00E929AF">
              <w:rPr>
                <w:bCs/>
                <w:lang w:val="lv-LV" w:eastAsia="lv-LV"/>
              </w:rPr>
              <w:t>oteikumu projekt</w:t>
            </w:r>
            <w:r>
              <w:rPr>
                <w:bCs/>
                <w:lang w:val="lv-LV" w:eastAsia="lv-LV"/>
              </w:rPr>
              <w:t>ā</w:t>
            </w:r>
            <w:r w:rsidRPr="00E929AF">
              <w:rPr>
                <w:bCs/>
                <w:lang w:val="lv-LV" w:eastAsia="lv-LV"/>
              </w:rPr>
              <w:t xml:space="preserve"> </w:t>
            </w:r>
            <w:r w:rsidR="00545367">
              <w:rPr>
                <w:bCs/>
                <w:lang w:val="lv-LV" w:eastAsia="lv-LV"/>
              </w:rPr>
              <w:t>precizēti</w:t>
            </w:r>
            <w:r w:rsidR="00E929AF">
              <w:rPr>
                <w:bCs/>
                <w:lang w:val="lv-LV" w:eastAsia="lv-LV"/>
              </w:rPr>
              <w:t xml:space="preserve"> </w:t>
            </w:r>
            <w:r>
              <w:rPr>
                <w:bCs/>
                <w:lang w:val="lv-LV" w:eastAsia="lv-LV"/>
              </w:rPr>
              <w:t xml:space="preserve">atbalsta </w:t>
            </w:r>
            <w:r w:rsidR="00E929AF" w:rsidRPr="00AE4C15">
              <w:rPr>
                <w:bCs/>
                <w:lang w:val="lv-LV" w:eastAsia="lv-LV"/>
              </w:rPr>
              <w:t>saņemšanai nepieciešamie dokumenti, kas iesnie</w:t>
            </w:r>
            <w:r w:rsidR="00C8502A">
              <w:rPr>
                <w:bCs/>
                <w:lang w:val="lv-LV" w:eastAsia="lv-LV"/>
              </w:rPr>
              <w:t>dzam</w:t>
            </w:r>
            <w:r w:rsidR="00E929AF" w:rsidRPr="00AE4C15">
              <w:rPr>
                <w:bCs/>
                <w:lang w:val="lv-LV" w:eastAsia="lv-LV"/>
              </w:rPr>
              <w:t>i dienestam, lai nodrošinātu atbilstošu administrēšanu un savlaicīgu atbalsta piešķiršanu atbalsta pretendentam par īstenotajiem pasākumiem biškopības programm</w:t>
            </w:r>
            <w:r w:rsidR="00C8502A">
              <w:rPr>
                <w:bCs/>
                <w:lang w:val="lv-LV" w:eastAsia="lv-LV"/>
              </w:rPr>
              <w:t>ā</w:t>
            </w:r>
            <w:r w:rsidR="00E929AF" w:rsidRPr="00AE4C15">
              <w:rPr>
                <w:bCs/>
                <w:lang w:val="lv-LV" w:eastAsia="lv-LV"/>
              </w:rPr>
              <w:t>.</w:t>
            </w:r>
          </w:p>
          <w:p w14:paraId="63171BCA" w14:textId="071423D9" w:rsidR="00AE4C15" w:rsidRDefault="00E929AF" w:rsidP="00AE4C15">
            <w:pPr>
              <w:jc w:val="both"/>
              <w:rPr>
                <w:lang w:val="lv-LV" w:eastAsia="lv-LV"/>
              </w:rPr>
            </w:pPr>
            <w:r>
              <w:rPr>
                <w:bCs/>
                <w:lang w:val="lv-LV" w:eastAsia="lv-LV"/>
              </w:rPr>
              <w:t>N</w:t>
            </w:r>
            <w:r w:rsidRPr="00E929AF">
              <w:rPr>
                <w:bCs/>
                <w:lang w:val="lv-LV" w:eastAsia="lv-LV"/>
              </w:rPr>
              <w:t xml:space="preserve">oteikumu projekta </w:t>
            </w:r>
            <w:r w:rsidR="00AE4C15" w:rsidRPr="00AE4C15">
              <w:rPr>
                <w:bCs/>
                <w:lang w:val="lv-LV" w:eastAsia="lv-LV"/>
              </w:rPr>
              <w:t>mērķis ir precizēt kārtību, kādā piešķir, administrē un uzrauga valsts un Eiropas Savienības atbalstu biškopībai par biškopības programmā noteikt</w:t>
            </w:r>
            <w:r w:rsidR="00CB64A1">
              <w:rPr>
                <w:bCs/>
                <w:lang w:val="lv-LV" w:eastAsia="lv-LV"/>
              </w:rPr>
              <w:t>ajiem</w:t>
            </w:r>
            <w:r w:rsidR="00AE4C15" w:rsidRPr="00AE4C15">
              <w:rPr>
                <w:bCs/>
                <w:lang w:val="lv-LV" w:eastAsia="lv-LV"/>
              </w:rPr>
              <w:t xml:space="preserve"> pasākumiem</w:t>
            </w:r>
            <w:r w:rsidR="00AE4C15" w:rsidRPr="00AE4C15">
              <w:rPr>
                <w:lang w:val="lv-LV" w:eastAsia="lv-LV"/>
              </w:rPr>
              <w:t>.</w:t>
            </w:r>
          </w:p>
          <w:p w14:paraId="29F32509" w14:textId="77777777" w:rsidR="00E929AF" w:rsidRDefault="00AE4C15" w:rsidP="00AE4C15">
            <w:pPr>
              <w:jc w:val="both"/>
              <w:rPr>
                <w:bCs/>
                <w:lang w:val="lv-LV" w:eastAsia="lv-LV"/>
              </w:rPr>
            </w:pPr>
            <w:r w:rsidRPr="00AE4C15">
              <w:rPr>
                <w:bCs/>
                <w:lang w:val="lv-LV" w:eastAsia="lv-LV"/>
              </w:rPr>
              <w:t>Noteikumu projekt</w:t>
            </w:r>
            <w:r w:rsidR="00E929AF">
              <w:rPr>
                <w:bCs/>
                <w:lang w:val="lv-LV" w:eastAsia="lv-LV"/>
              </w:rPr>
              <w:t>s paredz:</w:t>
            </w:r>
          </w:p>
          <w:p w14:paraId="03E6F541" w14:textId="5B895151" w:rsidR="005D2663" w:rsidRPr="002618A7" w:rsidRDefault="00692A63" w:rsidP="002618A7">
            <w:pPr>
              <w:pStyle w:val="Sarakstarindkopa"/>
              <w:numPr>
                <w:ilvl w:val="0"/>
                <w:numId w:val="15"/>
              </w:numPr>
              <w:jc w:val="both"/>
              <w:rPr>
                <w:bCs/>
                <w:lang w:val="lv-LV" w:eastAsia="lv-LV"/>
              </w:rPr>
            </w:pPr>
            <w:r>
              <w:rPr>
                <w:bCs/>
                <w:lang w:val="lv-LV" w:eastAsia="lv-LV"/>
              </w:rPr>
              <w:t>7</w:t>
            </w:r>
            <w:r w:rsidRPr="009F1015">
              <w:rPr>
                <w:bCs/>
                <w:lang w:val="lv-LV" w:eastAsia="lv-LV"/>
              </w:rPr>
              <w:t>.</w:t>
            </w:r>
            <w:r w:rsidR="00C86D41">
              <w:rPr>
                <w:bCs/>
                <w:lang w:val="lv-LV" w:eastAsia="lv-LV"/>
              </w:rPr>
              <w:t xml:space="preserve"> </w:t>
            </w:r>
            <w:r w:rsidRPr="009F1015">
              <w:rPr>
                <w:bCs/>
                <w:lang w:val="lv-LV" w:eastAsia="lv-LV"/>
              </w:rPr>
              <w:t>punkt</w:t>
            </w:r>
            <w:r>
              <w:rPr>
                <w:bCs/>
                <w:lang w:val="lv-LV" w:eastAsia="lv-LV"/>
              </w:rPr>
              <w:t xml:space="preserve">ā precizēt atbalsta pretendentam noteiktos </w:t>
            </w:r>
            <w:r w:rsidR="002618A7">
              <w:rPr>
                <w:bCs/>
                <w:lang w:val="lv-LV" w:eastAsia="lv-LV"/>
              </w:rPr>
              <w:t xml:space="preserve">atbilstības </w:t>
            </w:r>
            <w:r>
              <w:rPr>
                <w:bCs/>
                <w:lang w:val="lv-LV" w:eastAsia="lv-LV"/>
              </w:rPr>
              <w:t>kritērijus, jo</w:t>
            </w:r>
            <w:r w:rsidR="00B14026" w:rsidRPr="00811624">
              <w:rPr>
                <w:bCs/>
                <w:lang w:val="lv-LV" w:eastAsia="lv-LV"/>
              </w:rPr>
              <w:t xml:space="preserve"> </w:t>
            </w:r>
            <w:r w:rsidR="00C8502A">
              <w:rPr>
                <w:rFonts w:eastAsia="Calibri"/>
                <w:lang w:val="lv-LV"/>
              </w:rPr>
              <w:t>no</w:t>
            </w:r>
            <w:r w:rsidR="00B14026" w:rsidRPr="00811624">
              <w:rPr>
                <w:rFonts w:eastAsia="Calibri"/>
                <w:lang w:val="lv-LV"/>
              </w:rPr>
              <w:t xml:space="preserve"> 2018. gada 1. novembr</w:t>
            </w:r>
            <w:r w:rsidR="00C8502A">
              <w:rPr>
                <w:rFonts w:eastAsia="Calibri"/>
                <w:lang w:val="lv-LV"/>
              </w:rPr>
              <w:t>a</w:t>
            </w:r>
            <w:r w:rsidR="00B14026" w:rsidRPr="00811624">
              <w:rPr>
                <w:rFonts w:eastAsia="Calibri"/>
                <w:lang w:val="lv-LV"/>
              </w:rPr>
              <w:t xml:space="preserve"> ir stājusies spēkā </w:t>
            </w:r>
            <w:r w:rsidR="00B14026" w:rsidRPr="00811624">
              <w:rPr>
                <w:lang w:val="lv-LV" w:eastAsia="lv-LV"/>
              </w:rPr>
              <w:t>Eiropas Parlamenta un Padomes 2016.</w:t>
            </w:r>
            <w:r w:rsidR="00AD6683">
              <w:rPr>
                <w:lang w:val="lv-LV" w:eastAsia="lv-LV"/>
              </w:rPr>
              <w:t> </w:t>
            </w:r>
            <w:r w:rsidR="00B14026" w:rsidRPr="00811624">
              <w:rPr>
                <w:lang w:val="lv-LV" w:eastAsia="lv-LV"/>
              </w:rPr>
              <w:t>gada 8.</w:t>
            </w:r>
            <w:r w:rsidR="00C8502A">
              <w:rPr>
                <w:lang w:val="lv-LV" w:eastAsia="lv-LV"/>
              </w:rPr>
              <w:t> </w:t>
            </w:r>
            <w:r w:rsidR="00B14026" w:rsidRPr="00811624">
              <w:rPr>
                <w:lang w:val="lv-LV" w:eastAsia="lv-LV"/>
              </w:rPr>
              <w:t>jūnija Regula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w:t>
            </w:r>
            <w:r w:rsidR="00735914">
              <w:rPr>
                <w:lang w:val="lv-LV" w:eastAsia="lv-LV"/>
              </w:rPr>
              <w:t xml:space="preserve"> (turpmāk </w:t>
            </w:r>
            <w:r w:rsidR="00C8502A">
              <w:rPr>
                <w:lang w:val="lv-LV" w:eastAsia="lv-LV"/>
              </w:rPr>
              <w:t>–</w:t>
            </w:r>
            <w:r w:rsidR="00735914">
              <w:rPr>
                <w:lang w:val="lv-LV" w:eastAsia="lv-LV"/>
              </w:rPr>
              <w:t xml:space="preserve"> regula 2016/1012)</w:t>
            </w:r>
            <w:r w:rsidR="00B14026" w:rsidRPr="00811624">
              <w:rPr>
                <w:lang w:val="lv-LV" w:eastAsia="lv-LV"/>
              </w:rPr>
              <w:t xml:space="preserve">, </w:t>
            </w:r>
            <w:r w:rsidR="00B14026" w:rsidRPr="00811624">
              <w:rPr>
                <w:rFonts w:eastAsia="Calibri"/>
                <w:lang w:val="lv-LV"/>
              </w:rPr>
              <w:t>kur</w:t>
            </w:r>
            <w:r w:rsidR="00C8502A">
              <w:rPr>
                <w:rFonts w:eastAsia="Calibri"/>
                <w:lang w:val="lv-LV"/>
              </w:rPr>
              <w:t>u</w:t>
            </w:r>
            <w:r w:rsidR="00B14026" w:rsidRPr="00811624">
              <w:rPr>
                <w:rFonts w:eastAsia="Calibri"/>
                <w:lang w:val="lv-LV"/>
              </w:rPr>
              <w:t xml:space="preserve"> ievieš</w:t>
            </w:r>
            <w:r w:rsidR="00C8502A">
              <w:rPr>
                <w:rFonts w:eastAsia="Calibri"/>
                <w:lang w:val="lv-LV"/>
              </w:rPr>
              <w:t>ot</w:t>
            </w:r>
            <w:r w:rsidR="00B14026" w:rsidRPr="00811624">
              <w:rPr>
                <w:rFonts w:eastAsia="Calibri"/>
                <w:lang w:val="lv-LV"/>
              </w:rPr>
              <w:t xml:space="preserve"> ir grozīti nacionālie normatīvie akti dzīvnieku audzēšanas un ciltsdarba jomā</w:t>
            </w:r>
            <w:r>
              <w:rPr>
                <w:bCs/>
                <w:lang w:val="lv-LV" w:eastAsia="lv-LV"/>
              </w:rPr>
              <w:t xml:space="preserve">, </w:t>
            </w:r>
            <w:r w:rsidR="00C8502A">
              <w:rPr>
                <w:bCs/>
                <w:lang w:val="lv-LV" w:eastAsia="lv-LV"/>
              </w:rPr>
              <w:t xml:space="preserve">jo </w:t>
            </w:r>
            <w:r w:rsidR="00B94BEB">
              <w:rPr>
                <w:rFonts w:eastAsia="Calibri"/>
                <w:lang w:val="lv-LV"/>
              </w:rPr>
              <w:t>t</w:t>
            </w:r>
            <w:r w:rsidR="00B94BEB" w:rsidRPr="00B94BEB">
              <w:rPr>
                <w:rFonts w:eastAsia="Calibri"/>
                <w:lang w:val="lv-LV"/>
              </w:rPr>
              <w:t>ā tiek nodrošināta tiesību normu saskaņotība ar iepriekšminēt</w:t>
            </w:r>
            <w:r w:rsidR="00A6764C">
              <w:rPr>
                <w:rFonts w:eastAsia="Calibri"/>
                <w:lang w:val="lv-LV"/>
              </w:rPr>
              <w:t>ajiem</w:t>
            </w:r>
            <w:r w:rsidR="00B94BEB" w:rsidRPr="00B94BEB">
              <w:rPr>
                <w:rFonts w:eastAsia="Calibri"/>
                <w:lang w:val="lv-LV"/>
              </w:rPr>
              <w:t xml:space="preserve"> normatīv</w:t>
            </w:r>
            <w:r w:rsidR="00A6764C">
              <w:rPr>
                <w:rFonts w:eastAsia="Calibri"/>
                <w:lang w:val="lv-LV"/>
              </w:rPr>
              <w:t>ajiem</w:t>
            </w:r>
            <w:r w:rsidR="00B94BEB" w:rsidRPr="00B94BEB">
              <w:rPr>
                <w:rFonts w:eastAsia="Calibri"/>
                <w:lang w:val="lv-LV"/>
              </w:rPr>
              <w:t xml:space="preserve"> aktiem</w:t>
            </w:r>
            <w:r w:rsidR="00F029E8">
              <w:rPr>
                <w:rFonts w:eastAsia="Calibri"/>
                <w:lang w:val="lv-LV"/>
              </w:rPr>
              <w:t>. Tā kā ciltsdarb</w:t>
            </w:r>
            <w:r w:rsidR="00C8502A">
              <w:rPr>
                <w:rFonts w:eastAsia="Calibri"/>
                <w:lang w:val="lv-LV"/>
              </w:rPr>
              <w:t>s</w:t>
            </w:r>
            <w:r w:rsidR="00F029E8">
              <w:rPr>
                <w:rFonts w:eastAsia="Calibri"/>
                <w:lang w:val="lv-LV"/>
              </w:rPr>
              <w:t xml:space="preserve"> nav obligāts pasākums</w:t>
            </w:r>
            <w:r w:rsidR="0074771C">
              <w:rPr>
                <w:rFonts w:eastAsia="Calibri"/>
                <w:lang w:val="lv-LV"/>
              </w:rPr>
              <w:t xml:space="preserve"> (izņemot</w:t>
            </w:r>
            <w:r w:rsidR="0074771C" w:rsidRPr="00735914">
              <w:rPr>
                <w:rFonts w:eastAsia="Calibri"/>
                <w:lang w:val="lv-LV"/>
              </w:rPr>
              <w:t xml:space="preserve"> regul</w:t>
            </w:r>
            <w:r w:rsidR="0074771C">
              <w:rPr>
                <w:rFonts w:eastAsia="Calibri"/>
                <w:lang w:val="lv-LV"/>
              </w:rPr>
              <w:t>ā</w:t>
            </w:r>
            <w:r w:rsidR="0074771C" w:rsidRPr="00735914">
              <w:rPr>
                <w:rFonts w:eastAsia="Calibri"/>
                <w:lang w:val="lv-LV"/>
              </w:rPr>
              <w:t xml:space="preserve"> 2016/1012</w:t>
            </w:r>
            <w:r w:rsidR="0074771C">
              <w:rPr>
                <w:rFonts w:eastAsia="Calibri"/>
                <w:lang w:val="lv-LV"/>
              </w:rPr>
              <w:t xml:space="preserve"> minē</w:t>
            </w:r>
            <w:r w:rsidR="00C86D41">
              <w:rPr>
                <w:rFonts w:eastAsia="Calibri"/>
                <w:lang w:val="lv-LV"/>
              </w:rPr>
              <w:t>to</w:t>
            </w:r>
            <w:r w:rsidR="0074771C">
              <w:rPr>
                <w:rFonts w:eastAsia="Calibri"/>
                <w:lang w:val="lv-LV"/>
              </w:rPr>
              <w:t xml:space="preserve"> sugu dzīvniekiem)</w:t>
            </w:r>
            <w:r w:rsidR="00F029E8">
              <w:rPr>
                <w:rFonts w:eastAsia="Calibri"/>
                <w:lang w:val="lv-LV"/>
              </w:rPr>
              <w:t xml:space="preserve">, </w:t>
            </w:r>
            <w:r w:rsidR="0017182D">
              <w:rPr>
                <w:rFonts w:eastAsia="Calibri"/>
                <w:lang w:val="lv-LV"/>
              </w:rPr>
              <w:t xml:space="preserve"> </w:t>
            </w:r>
            <w:r w:rsidR="00F029E8">
              <w:rPr>
                <w:rFonts w:eastAsia="Calibri"/>
                <w:lang w:val="lv-LV"/>
              </w:rPr>
              <w:t xml:space="preserve">Latvijas </w:t>
            </w:r>
            <w:r w:rsidR="00FC1C48">
              <w:rPr>
                <w:rFonts w:eastAsia="Calibri"/>
                <w:lang w:val="lv-LV"/>
              </w:rPr>
              <w:t>B</w:t>
            </w:r>
            <w:r w:rsidR="00F029E8">
              <w:rPr>
                <w:rFonts w:eastAsia="Calibri"/>
                <w:lang w:val="lv-LV"/>
              </w:rPr>
              <w:t>iškopības biedrība nolēma neatjaunot šķirnes dzīvnieku audzēšanas organizācijas statusu</w:t>
            </w:r>
            <w:r w:rsidR="00C8502A">
              <w:rPr>
                <w:rFonts w:eastAsia="Calibri"/>
                <w:lang w:val="lv-LV"/>
              </w:rPr>
              <w:t>, t.i.,</w:t>
            </w:r>
            <w:r w:rsidR="00F029E8">
              <w:rPr>
                <w:rFonts w:eastAsia="Calibri"/>
                <w:lang w:val="lv-LV"/>
              </w:rPr>
              <w:t xml:space="preserve"> saskaņā ar iepriekšminēt</w:t>
            </w:r>
            <w:r w:rsidR="00350260">
              <w:rPr>
                <w:rFonts w:eastAsia="Calibri"/>
                <w:lang w:val="lv-LV"/>
              </w:rPr>
              <w:t>ajiem</w:t>
            </w:r>
            <w:r w:rsidR="00F029E8">
              <w:rPr>
                <w:rFonts w:eastAsia="Calibri"/>
                <w:lang w:val="lv-LV"/>
              </w:rPr>
              <w:t xml:space="preserve"> normatīv</w:t>
            </w:r>
            <w:r w:rsidR="00350260">
              <w:rPr>
                <w:rFonts w:eastAsia="Calibri"/>
                <w:lang w:val="lv-LV"/>
              </w:rPr>
              <w:t>ajiem</w:t>
            </w:r>
            <w:r w:rsidR="00F029E8">
              <w:rPr>
                <w:rFonts w:eastAsia="Calibri"/>
                <w:lang w:val="lv-LV"/>
              </w:rPr>
              <w:t xml:space="preserve"> aktiem neveikt atzīšanas procesu</w:t>
            </w:r>
            <w:r w:rsidR="00BA03EE">
              <w:rPr>
                <w:bCs/>
                <w:lang w:val="lv-LV" w:eastAsia="lv-LV"/>
              </w:rPr>
              <w:t>.</w:t>
            </w:r>
            <w:r w:rsidR="002618A7">
              <w:rPr>
                <w:bCs/>
                <w:lang w:val="lv-LV" w:eastAsia="lv-LV"/>
              </w:rPr>
              <w:t xml:space="preserve"> Papildus </w:t>
            </w:r>
            <w:r w:rsidR="00AD6683">
              <w:rPr>
                <w:bCs/>
                <w:lang w:val="lv-LV" w:eastAsia="lv-LV"/>
              </w:rPr>
              <w:t>ir</w:t>
            </w:r>
            <w:r w:rsidR="002618A7">
              <w:rPr>
                <w:bCs/>
                <w:lang w:val="lv-LV" w:eastAsia="lv-LV"/>
              </w:rPr>
              <w:t xml:space="preserve"> paredzēts</w:t>
            </w:r>
            <w:r w:rsidR="00B3192F" w:rsidRPr="002618A7">
              <w:rPr>
                <w:bCs/>
                <w:lang w:val="lv-LV" w:eastAsia="lv-LV"/>
              </w:rPr>
              <w:t>, ka biedrībā var darboties arī persona,</w:t>
            </w:r>
            <w:r w:rsidR="00D94262" w:rsidRPr="002618A7">
              <w:rPr>
                <w:bCs/>
                <w:lang w:val="lv-LV" w:eastAsia="lv-LV"/>
              </w:rPr>
              <w:t xml:space="preserve"> </w:t>
            </w:r>
            <w:r w:rsidR="00B3192F" w:rsidRPr="002618A7">
              <w:rPr>
                <w:bCs/>
                <w:lang w:val="lv-LV" w:eastAsia="lv-LV"/>
              </w:rPr>
              <w:t>k</w:t>
            </w:r>
            <w:r w:rsidR="00C8502A">
              <w:rPr>
                <w:bCs/>
                <w:lang w:val="lv-LV" w:eastAsia="lv-LV"/>
              </w:rPr>
              <w:t>as</w:t>
            </w:r>
            <w:r w:rsidR="00B3192F" w:rsidRPr="002618A7">
              <w:rPr>
                <w:bCs/>
                <w:lang w:val="lv-LV" w:eastAsia="lv-LV"/>
              </w:rPr>
              <w:t xml:space="preserve"> augstākā mācību iestādē ir</w:t>
            </w:r>
            <w:r w:rsidR="002618A7">
              <w:rPr>
                <w:bCs/>
                <w:lang w:val="lv-LV" w:eastAsia="lv-LV"/>
              </w:rPr>
              <w:t xml:space="preserve"> </w:t>
            </w:r>
            <w:r w:rsidR="004F3F46" w:rsidRPr="002618A7">
              <w:rPr>
                <w:bCs/>
                <w:lang w:val="lv-LV" w:eastAsia="lv-LV"/>
              </w:rPr>
              <w:t>ap</w:t>
            </w:r>
            <w:r w:rsidR="00B3192F" w:rsidRPr="002618A7">
              <w:rPr>
                <w:bCs/>
                <w:lang w:val="lv-LV" w:eastAsia="lv-LV"/>
              </w:rPr>
              <w:t xml:space="preserve">guvusi </w:t>
            </w:r>
            <w:r w:rsidR="00D94262" w:rsidRPr="002618A7">
              <w:rPr>
                <w:bCs/>
                <w:lang w:val="lv-LV" w:eastAsia="lv-LV"/>
              </w:rPr>
              <w:t>p</w:t>
            </w:r>
            <w:r w:rsidR="00B3192F" w:rsidRPr="002618A7">
              <w:rPr>
                <w:bCs/>
                <w:lang w:val="lv-LV" w:eastAsia="lv-LV"/>
              </w:rPr>
              <w:t>rofesionālās pilnveides izglītīb</w:t>
            </w:r>
            <w:r w:rsidR="005B6882">
              <w:rPr>
                <w:bCs/>
                <w:lang w:val="lv-LV" w:eastAsia="lv-LV"/>
              </w:rPr>
              <w:t xml:space="preserve">as </w:t>
            </w:r>
            <w:r w:rsidR="00B3192F" w:rsidRPr="002618A7">
              <w:rPr>
                <w:bCs/>
                <w:lang w:val="lv-LV" w:eastAsia="lv-LV"/>
              </w:rPr>
              <w:t xml:space="preserve"> </w:t>
            </w:r>
            <w:r w:rsidR="0052128E" w:rsidRPr="002618A7">
              <w:rPr>
                <w:bCs/>
                <w:lang w:val="lv-LV" w:eastAsia="lv-LV"/>
              </w:rPr>
              <w:t>(mūžizglītība</w:t>
            </w:r>
            <w:r w:rsidR="005B6882">
              <w:rPr>
                <w:bCs/>
                <w:lang w:val="lv-LV" w:eastAsia="lv-LV"/>
              </w:rPr>
              <w:t>s</w:t>
            </w:r>
            <w:r w:rsidR="0052128E" w:rsidRPr="002618A7">
              <w:rPr>
                <w:bCs/>
                <w:lang w:val="lv-LV" w:eastAsia="lv-LV"/>
              </w:rPr>
              <w:t xml:space="preserve">) </w:t>
            </w:r>
            <w:r w:rsidR="005B6882">
              <w:rPr>
                <w:bCs/>
                <w:lang w:val="lv-LV" w:eastAsia="lv-LV"/>
              </w:rPr>
              <w:t>programmu “B</w:t>
            </w:r>
            <w:r w:rsidR="00B3192F" w:rsidRPr="002618A7">
              <w:rPr>
                <w:bCs/>
                <w:lang w:val="lv-LV" w:eastAsia="lv-LV"/>
              </w:rPr>
              <w:t>iškopīb</w:t>
            </w:r>
            <w:r w:rsidR="005B6882">
              <w:rPr>
                <w:bCs/>
                <w:lang w:val="lv-LV" w:eastAsia="lv-LV"/>
              </w:rPr>
              <w:t>a”</w:t>
            </w:r>
            <w:r w:rsidR="00C8502A">
              <w:rPr>
                <w:bCs/>
                <w:lang w:val="lv-LV" w:eastAsia="lv-LV"/>
              </w:rPr>
              <w:t>;</w:t>
            </w:r>
          </w:p>
          <w:p w14:paraId="11A1CCAA" w14:textId="77777777" w:rsidR="006B7C85" w:rsidRDefault="00BF3AE6" w:rsidP="006B7C85">
            <w:pPr>
              <w:pStyle w:val="Sarakstarindkopa"/>
              <w:numPr>
                <w:ilvl w:val="0"/>
                <w:numId w:val="15"/>
              </w:numPr>
              <w:jc w:val="both"/>
              <w:rPr>
                <w:bCs/>
                <w:lang w:val="lv-LV" w:eastAsia="lv-LV"/>
              </w:rPr>
            </w:pPr>
            <w:r>
              <w:rPr>
                <w:bCs/>
                <w:lang w:val="lv-LV" w:eastAsia="lv-LV"/>
              </w:rPr>
              <w:t>8. un 1</w:t>
            </w:r>
            <w:r w:rsidR="00702EE6">
              <w:rPr>
                <w:bCs/>
                <w:lang w:val="lv-LV" w:eastAsia="lv-LV"/>
              </w:rPr>
              <w:t>2</w:t>
            </w:r>
            <w:r>
              <w:rPr>
                <w:bCs/>
                <w:lang w:val="lv-LV" w:eastAsia="lv-LV"/>
              </w:rPr>
              <w:t>.</w:t>
            </w:r>
            <w:r w:rsidR="00B70D76">
              <w:rPr>
                <w:bCs/>
                <w:lang w:val="lv-LV" w:eastAsia="lv-LV"/>
              </w:rPr>
              <w:t xml:space="preserve"> </w:t>
            </w:r>
            <w:r>
              <w:rPr>
                <w:bCs/>
                <w:lang w:val="lv-LV" w:eastAsia="lv-LV"/>
              </w:rPr>
              <w:t xml:space="preserve">punktā </w:t>
            </w:r>
            <w:r w:rsidR="00AB101E" w:rsidRPr="00AB101E">
              <w:rPr>
                <w:bCs/>
                <w:lang w:val="lv-LV" w:eastAsia="lv-LV"/>
              </w:rPr>
              <w:t xml:space="preserve">precizēt </w:t>
            </w:r>
            <w:r w:rsidR="00C8502A" w:rsidRPr="00AB101E">
              <w:rPr>
                <w:bCs/>
                <w:lang w:val="lv-LV" w:eastAsia="lv-LV"/>
              </w:rPr>
              <w:t xml:space="preserve">atbalsta saņemšanai </w:t>
            </w:r>
            <w:r w:rsidR="00C8502A">
              <w:rPr>
                <w:bCs/>
                <w:lang w:val="lv-LV" w:eastAsia="lv-LV"/>
              </w:rPr>
              <w:t xml:space="preserve">nepieciešamos </w:t>
            </w:r>
            <w:r w:rsidR="00AB101E" w:rsidRPr="00AB101E">
              <w:rPr>
                <w:bCs/>
                <w:lang w:val="lv-LV" w:eastAsia="lv-LV"/>
              </w:rPr>
              <w:t>administrēšanas dokumentus, k</w:t>
            </w:r>
            <w:r w:rsidR="00C8502A">
              <w:rPr>
                <w:bCs/>
                <w:lang w:val="lv-LV" w:eastAsia="lv-LV"/>
              </w:rPr>
              <w:t>as</w:t>
            </w:r>
            <w:r w:rsidR="00AB101E" w:rsidRPr="00AB101E">
              <w:rPr>
                <w:bCs/>
                <w:lang w:val="lv-LV" w:eastAsia="lv-LV"/>
              </w:rPr>
              <w:t xml:space="preserve"> </w:t>
            </w:r>
            <w:r w:rsidR="00C8502A">
              <w:rPr>
                <w:bCs/>
                <w:lang w:val="lv-LV" w:eastAsia="lv-LV"/>
              </w:rPr>
              <w:lastRenderedPageBreak/>
              <w:t xml:space="preserve">patlaban </w:t>
            </w:r>
            <w:r w:rsidR="00B70D76">
              <w:rPr>
                <w:bCs/>
                <w:lang w:val="lv-LV" w:eastAsia="lv-LV"/>
              </w:rPr>
              <w:t>ir</w:t>
            </w:r>
            <w:r w:rsidR="00AB101E" w:rsidRPr="00AB101E">
              <w:rPr>
                <w:bCs/>
                <w:lang w:val="lv-LV" w:eastAsia="lv-LV"/>
              </w:rPr>
              <w:t xml:space="preserve"> </w:t>
            </w:r>
            <w:r w:rsidR="007F64B8">
              <w:rPr>
                <w:bCs/>
                <w:lang w:val="lv-LV" w:eastAsia="lv-LV"/>
              </w:rPr>
              <w:t>noteikti noteikum</w:t>
            </w:r>
            <w:r w:rsidR="00B70D76">
              <w:rPr>
                <w:bCs/>
                <w:lang w:val="lv-LV" w:eastAsia="lv-LV"/>
              </w:rPr>
              <w:t>u</w:t>
            </w:r>
            <w:r w:rsidR="007F64B8">
              <w:rPr>
                <w:bCs/>
                <w:lang w:val="lv-LV" w:eastAsia="lv-LV"/>
              </w:rPr>
              <w:t xml:space="preserve"> Nr.</w:t>
            </w:r>
            <w:r>
              <w:rPr>
                <w:bCs/>
                <w:lang w:val="lv-LV" w:eastAsia="lv-LV"/>
              </w:rPr>
              <w:t xml:space="preserve"> </w:t>
            </w:r>
            <w:r w:rsidR="007F64B8">
              <w:rPr>
                <w:bCs/>
                <w:lang w:val="lv-LV" w:eastAsia="lv-LV"/>
              </w:rPr>
              <w:t xml:space="preserve">99 </w:t>
            </w:r>
            <w:r w:rsidR="007F64B8" w:rsidRPr="009F1015">
              <w:rPr>
                <w:bCs/>
                <w:lang w:val="lv-LV" w:eastAsia="lv-LV"/>
              </w:rPr>
              <w:t>1. un 3.</w:t>
            </w:r>
            <w:r w:rsidR="00C8502A">
              <w:rPr>
                <w:bCs/>
                <w:lang w:val="lv-LV" w:eastAsia="lv-LV"/>
              </w:rPr>
              <w:t> </w:t>
            </w:r>
            <w:r w:rsidR="007F64B8" w:rsidRPr="009F1015">
              <w:rPr>
                <w:bCs/>
                <w:lang w:val="lv-LV" w:eastAsia="lv-LV"/>
              </w:rPr>
              <w:t>pielikum</w:t>
            </w:r>
            <w:r w:rsidR="00B70D76">
              <w:rPr>
                <w:bCs/>
                <w:lang w:val="lv-LV" w:eastAsia="lv-LV"/>
              </w:rPr>
              <w:t>ā</w:t>
            </w:r>
            <w:r w:rsidR="009A47E1">
              <w:rPr>
                <w:bCs/>
                <w:lang w:val="lv-LV" w:eastAsia="lv-LV"/>
              </w:rPr>
              <w:t>.</w:t>
            </w:r>
            <w:r w:rsidR="007F64B8" w:rsidRPr="009F1015">
              <w:rPr>
                <w:bCs/>
                <w:lang w:val="lv-LV" w:eastAsia="lv-LV"/>
              </w:rPr>
              <w:t xml:space="preserve"> </w:t>
            </w:r>
            <w:r w:rsidR="009A47E1">
              <w:rPr>
                <w:bCs/>
                <w:lang w:val="lv-LV" w:eastAsia="lv-LV"/>
              </w:rPr>
              <w:t>Tā</w:t>
            </w:r>
            <w:r w:rsidR="007F64B8" w:rsidRPr="009F1015">
              <w:rPr>
                <w:bCs/>
                <w:lang w:val="lv-LV" w:eastAsia="lv-LV"/>
              </w:rPr>
              <w:t xml:space="preserve"> vietā noteikumu projekt</w:t>
            </w:r>
            <w:r w:rsidR="009A47E1">
              <w:rPr>
                <w:bCs/>
                <w:lang w:val="lv-LV" w:eastAsia="lv-LV"/>
              </w:rPr>
              <w:t>s</w:t>
            </w:r>
            <w:r w:rsidR="007F64B8" w:rsidRPr="009F1015">
              <w:rPr>
                <w:bCs/>
                <w:lang w:val="lv-LV" w:eastAsia="lv-LV"/>
              </w:rPr>
              <w:t xml:space="preserve"> nosak</w:t>
            </w:r>
            <w:r w:rsidR="009A47E1">
              <w:rPr>
                <w:bCs/>
                <w:lang w:val="lv-LV" w:eastAsia="lv-LV"/>
              </w:rPr>
              <w:t>a</w:t>
            </w:r>
            <w:r w:rsidR="007F64B8" w:rsidRPr="009F1015">
              <w:rPr>
                <w:bCs/>
                <w:lang w:val="lv-LV" w:eastAsia="lv-LV"/>
              </w:rPr>
              <w:t xml:space="preserve"> veidlapā iekļaujamās informācijas saturu un apjomu</w:t>
            </w:r>
            <w:r w:rsidR="005B0D83">
              <w:rPr>
                <w:bCs/>
                <w:lang w:val="lv-LV" w:eastAsia="lv-LV"/>
              </w:rPr>
              <w:t>. A</w:t>
            </w:r>
            <w:r w:rsidR="007F64B8" w:rsidRPr="009F1015">
              <w:rPr>
                <w:bCs/>
                <w:lang w:val="lv-LV" w:eastAsia="lv-LV"/>
              </w:rPr>
              <w:t xml:space="preserve">tbalsta pretendentam </w:t>
            </w:r>
            <w:r w:rsidR="007F64B8" w:rsidRPr="007F64B8">
              <w:rPr>
                <w:bCs/>
                <w:lang w:val="lv-LV" w:eastAsia="lv-LV"/>
              </w:rPr>
              <w:t xml:space="preserve">iepazīstoties ar nosacījumiem par atbalsta saņemšanu, </w:t>
            </w:r>
            <w:r w:rsidR="005B0D83" w:rsidRPr="00AB101E">
              <w:rPr>
                <w:bCs/>
                <w:lang w:val="lv-LV" w:eastAsia="lv-LV"/>
              </w:rPr>
              <w:t xml:space="preserve">dienesta tīmekļvietnē </w:t>
            </w:r>
            <w:r w:rsidR="00C8502A" w:rsidRPr="007F64B8">
              <w:rPr>
                <w:bCs/>
                <w:lang w:val="lv-LV" w:eastAsia="lv-LV"/>
              </w:rPr>
              <w:t xml:space="preserve">vienlaikus </w:t>
            </w:r>
            <w:r w:rsidR="007F64B8" w:rsidRPr="007F64B8">
              <w:rPr>
                <w:bCs/>
                <w:lang w:val="lv-LV" w:eastAsia="lv-LV"/>
              </w:rPr>
              <w:t>būs redzami aizpildāmie dokumenti</w:t>
            </w:r>
            <w:r w:rsidR="005B0D83">
              <w:rPr>
                <w:bCs/>
                <w:lang w:val="lv-LV" w:eastAsia="lv-LV"/>
              </w:rPr>
              <w:t xml:space="preserve"> jeb </w:t>
            </w:r>
            <w:r w:rsidR="007F64B8" w:rsidRPr="009F1015">
              <w:rPr>
                <w:bCs/>
                <w:lang w:val="lv-LV" w:eastAsia="lv-LV"/>
              </w:rPr>
              <w:t>veidlap</w:t>
            </w:r>
            <w:r w:rsidR="007F64B8">
              <w:rPr>
                <w:bCs/>
                <w:lang w:val="lv-LV" w:eastAsia="lv-LV"/>
              </w:rPr>
              <w:t>as</w:t>
            </w:r>
            <w:r w:rsidR="007F64B8" w:rsidRPr="009F1015">
              <w:rPr>
                <w:bCs/>
                <w:lang w:val="lv-LV" w:eastAsia="lv-LV"/>
              </w:rPr>
              <w:t xml:space="preserve"> aktuālā versija</w:t>
            </w:r>
            <w:r w:rsidR="00FC7C44">
              <w:rPr>
                <w:bCs/>
                <w:lang w:val="lv-LV" w:eastAsia="lv-LV"/>
              </w:rPr>
              <w:t>,</w:t>
            </w:r>
            <w:r w:rsidR="007F64B8" w:rsidRPr="009F1015">
              <w:rPr>
                <w:bCs/>
                <w:lang w:val="lv-LV" w:eastAsia="lv-LV"/>
              </w:rPr>
              <w:t xml:space="preserve"> kuras </w:t>
            </w:r>
            <w:r w:rsidR="007F64B8" w:rsidRPr="009F1015">
              <w:rPr>
                <w:lang w:val="lv-LV"/>
              </w:rPr>
              <w:t xml:space="preserve">dizainu un formu </w:t>
            </w:r>
            <w:r w:rsidR="005B0D83" w:rsidRPr="009F1015">
              <w:rPr>
                <w:lang w:val="lv-LV"/>
              </w:rPr>
              <w:t>nodrošin</w:t>
            </w:r>
            <w:r w:rsidR="009A47E1">
              <w:rPr>
                <w:lang w:val="lv-LV"/>
              </w:rPr>
              <w:t>ās</w:t>
            </w:r>
            <w:r w:rsidR="005B0D83" w:rsidRPr="009F1015">
              <w:rPr>
                <w:lang w:val="lv-LV"/>
              </w:rPr>
              <w:t xml:space="preserve"> </w:t>
            </w:r>
            <w:r w:rsidR="007F64B8" w:rsidRPr="009F1015">
              <w:rPr>
                <w:lang w:val="lv-LV"/>
              </w:rPr>
              <w:t>dienests</w:t>
            </w:r>
            <w:r>
              <w:rPr>
                <w:lang w:val="lv-LV"/>
              </w:rPr>
              <w:t>. Tāpat dienests</w:t>
            </w:r>
            <w:r w:rsidR="00DE6417">
              <w:rPr>
                <w:lang w:val="lv-LV"/>
              </w:rPr>
              <w:t xml:space="preserve"> nodrošinās </w:t>
            </w:r>
            <w:r w:rsidR="007F64B8" w:rsidRPr="009F1015">
              <w:rPr>
                <w:lang w:val="lv-LV"/>
              </w:rPr>
              <w:t xml:space="preserve">veidlapu </w:t>
            </w:r>
            <w:r w:rsidR="007F64B8">
              <w:rPr>
                <w:lang w:val="lv-LV"/>
              </w:rPr>
              <w:t xml:space="preserve">aktualizēšanu un </w:t>
            </w:r>
            <w:r w:rsidR="007F64B8" w:rsidRPr="009F1015">
              <w:rPr>
                <w:lang w:val="lv-LV"/>
              </w:rPr>
              <w:t>pieejamību gan elektroniskajā vidē, gan klātienē</w:t>
            </w:r>
            <w:r w:rsidR="00740AF9" w:rsidRPr="009F1015">
              <w:rPr>
                <w:lang w:val="lv-LV"/>
              </w:rPr>
              <w:t>.</w:t>
            </w:r>
            <w:r w:rsidR="00811624" w:rsidRPr="009F1015">
              <w:rPr>
                <w:lang w:val="lv-LV"/>
              </w:rPr>
              <w:t xml:space="preserve"> Savukārt </w:t>
            </w:r>
            <w:r w:rsidR="009A47E1">
              <w:rPr>
                <w:lang w:val="lv-LV"/>
              </w:rPr>
              <w:t xml:space="preserve">noteikumu Nr. 99 </w:t>
            </w:r>
            <w:r w:rsidR="00740AF9" w:rsidRPr="009F1015">
              <w:rPr>
                <w:bCs/>
                <w:lang w:val="lv-LV" w:eastAsia="lv-LV"/>
              </w:rPr>
              <w:t>2.</w:t>
            </w:r>
            <w:r w:rsidR="00C34871">
              <w:rPr>
                <w:bCs/>
                <w:lang w:val="lv-LV" w:eastAsia="lv-LV"/>
              </w:rPr>
              <w:t xml:space="preserve"> </w:t>
            </w:r>
            <w:r w:rsidR="00740AF9" w:rsidRPr="009F1015">
              <w:rPr>
                <w:bCs/>
                <w:lang w:val="lv-LV" w:eastAsia="lv-LV"/>
              </w:rPr>
              <w:t>pielikum</w:t>
            </w:r>
            <w:r w:rsidR="009A47E1">
              <w:rPr>
                <w:bCs/>
                <w:lang w:val="lv-LV" w:eastAsia="lv-LV"/>
              </w:rPr>
              <w:t>ā ietvertā informācija</w:t>
            </w:r>
            <w:r w:rsidR="00740AF9" w:rsidRPr="009F1015">
              <w:rPr>
                <w:bCs/>
                <w:lang w:val="lv-LV" w:eastAsia="lv-LV"/>
              </w:rPr>
              <w:t xml:space="preserve"> </w:t>
            </w:r>
            <w:r w:rsidR="005E0B04">
              <w:rPr>
                <w:bCs/>
                <w:lang w:val="lv-LV" w:eastAsia="lv-LV"/>
              </w:rPr>
              <w:t xml:space="preserve">noteikumu projektā </w:t>
            </w:r>
            <w:r w:rsidR="00520ECE">
              <w:rPr>
                <w:bCs/>
                <w:lang w:val="lv-LV" w:eastAsia="lv-LV"/>
              </w:rPr>
              <w:t>ne</w:t>
            </w:r>
            <w:r w:rsidR="00740AF9" w:rsidRPr="009F1015">
              <w:rPr>
                <w:bCs/>
                <w:lang w:val="lv-LV" w:eastAsia="lv-LV"/>
              </w:rPr>
              <w:t xml:space="preserve">tiek </w:t>
            </w:r>
            <w:r w:rsidR="00520ECE">
              <w:rPr>
                <w:bCs/>
                <w:lang w:val="lv-LV" w:eastAsia="lv-LV"/>
              </w:rPr>
              <w:t>paredzē</w:t>
            </w:r>
            <w:r w:rsidR="00740AF9" w:rsidRPr="009F1015">
              <w:rPr>
                <w:bCs/>
                <w:lang w:val="lv-LV" w:eastAsia="lv-LV"/>
              </w:rPr>
              <w:t>t</w:t>
            </w:r>
            <w:r w:rsidR="009A47E1">
              <w:rPr>
                <w:bCs/>
                <w:lang w:val="lv-LV" w:eastAsia="lv-LV"/>
              </w:rPr>
              <w:t>a</w:t>
            </w:r>
            <w:r w:rsidR="00811624" w:rsidRPr="009F1015">
              <w:rPr>
                <w:bCs/>
                <w:lang w:val="lv-LV" w:eastAsia="lv-LV"/>
              </w:rPr>
              <w:t xml:space="preserve"> vispār</w:t>
            </w:r>
            <w:r w:rsidR="00740AF9" w:rsidRPr="009F1015">
              <w:rPr>
                <w:bCs/>
                <w:lang w:val="lv-LV" w:eastAsia="lv-LV"/>
              </w:rPr>
              <w:t xml:space="preserve">, jo </w:t>
            </w:r>
            <w:r w:rsidR="00AE4C15" w:rsidRPr="009F1015">
              <w:rPr>
                <w:bCs/>
                <w:lang w:val="lv-LV" w:eastAsia="lv-LV"/>
              </w:rPr>
              <w:t>dienests biškopju sarakstu iegūs</w:t>
            </w:r>
            <w:r w:rsidR="00B14026">
              <w:rPr>
                <w:bCs/>
                <w:lang w:val="lv-LV" w:eastAsia="lv-LV"/>
              </w:rPr>
              <w:t>t</w:t>
            </w:r>
            <w:r w:rsidR="00AE4C15" w:rsidRPr="009F1015">
              <w:rPr>
                <w:bCs/>
                <w:lang w:val="lv-LV" w:eastAsia="lv-LV"/>
              </w:rPr>
              <w:t xml:space="preserve"> Lauksaimniecības datu centra elektroniskā datubāzē</w:t>
            </w:r>
            <w:r w:rsidR="00811624" w:rsidRPr="009F1015">
              <w:rPr>
                <w:bCs/>
                <w:lang w:val="lv-LV" w:eastAsia="lv-LV"/>
              </w:rPr>
              <w:t>, tā samazinot administratīvo slogu atbalsta saņēmējam</w:t>
            </w:r>
            <w:r w:rsidR="00740AF9" w:rsidRPr="009F1015">
              <w:rPr>
                <w:bCs/>
                <w:lang w:val="lv-LV" w:eastAsia="lv-LV"/>
              </w:rPr>
              <w:t>.</w:t>
            </w:r>
          </w:p>
          <w:p w14:paraId="098C9907" w14:textId="4E650B21" w:rsidR="00604252" w:rsidRPr="00C820C4" w:rsidRDefault="006B7C85" w:rsidP="00604252">
            <w:pPr>
              <w:jc w:val="both"/>
              <w:rPr>
                <w:bCs/>
                <w:lang w:val="lv-LV" w:eastAsia="lv-LV"/>
              </w:rPr>
            </w:pPr>
            <w:r w:rsidRPr="00295B18">
              <w:rPr>
                <w:bCs/>
                <w:lang w:val="lv-LV" w:eastAsia="lv-LV"/>
              </w:rPr>
              <w:t>Lauku atbalsta dienests pēc dienesta elektroniskās pieteikšanās sistēmā vai elektroniska dokumenta veidā atbilstoši normatīvajiem aktiem par elektronisko dokumentu noformēšanu</w:t>
            </w:r>
            <w:r w:rsidR="005A6822" w:rsidRPr="00295B18">
              <w:rPr>
                <w:bCs/>
                <w:lang w:val="lv-LV" w:eastAsia="lv-LV"/>
              </w:rPr>
              <w:t>,</w:t>
            </w:r>
            <w:r w:rsidRPr="00295B18">
              <w:rPr>
                <w:bCs/>
                <w:lang w:val="lv-LV" w:eastAsia="lv-LV"/>
              </w:rPr>
              <w:t xml:space="preserve"> iesnieguma saņemšanas </w:t>
            </w:r>
            <w:r w:rsidR="00AD6683">
              <w:rPr>
                <w:bCs/>
                <w:lang w:val="lv-LV" w:eastAsia="lv-LV"/>
              </w:rPr>
              <w:t>pārbauda</w:t>
            </w:r>
            <w:r w:rsidRPr="00295B18">
              <w:rPr>
                <w:bCs/>
                <w:lang w:val="lv-LV" w:eastAsia="lv-LV"/>
              </w:rPr>
              <w:t xml:space="preserve"> norādīt</w:t>
            </w:r>
            <w:r w:rsidR="00AD6683">
              <w:rPr>
                <w:bCs/>
                <w:lang w:val="lv-LV" w:eastAsia="lv-LV"/>
              </w:rPr>
              <w:t>o</w:t>
            </w:r>
            <w:r w:rsidRPr="00295B18">
              <w:rPr>
                <w:bCs/>
                <w:lang w:val="lv-LV" w:eastAsia="lv-LV"/>
              </w:rPr>
              <w:t xml:space="preserve"> informācij</w:t>
            </w:r>
            <w:r w:rsidR="00AD6683">
              <w:rPr>
                <w:bCs/>
                <w:lang w:val="lv-LV" w:eastAsia="lv-LV"/>
              </w:rPr>
              <w:t>u</w:t>
            </w:r>
            <w:r w:rsidRPr="00295B18">
              <w:rPr>
                <w:bCs/>
                <w:lang w:val="lv-LV" w:eastAsia="lv-LV"/>
              </w:rPr>
              <w:t xml:space="preserve"> </w:t>
            </w:r>
            <w:r w:rsidR="005A6822" w:rsidRPr="00295B18">
              <w:rPr>
                <w:bCs/>
                <w:lang w:val="lv-LV" w:eastAsia="lv-LV"/>
              </w:rPr>
              <w:t>atbilstoši Iesniegumu likumā</w:t>
            </w:r>
            <w:r w:rsidR="005B32C9" w:rsidRPr="00295B18">
              <w:rPr>
                <w:bCs/>
                <w:lang w:val="lv-LV" w:eastAsia="lv-LV"/>
              </w:rPr>
              <w:t>,</w:t>
            </w:r>
            <w:r w:rsidR="005A6822" w:rsidRPr="00295B18">
              <w:rPr>
                <w:bCs/>
                <w:lang w:val="lv-LV" w:eastAsia="lv-LV"/>
              </w:rPr>
              <w:t xml:space="preserve"> </w:t>
            </w:r>
            <w:r w:rsidRPr="00295B18">
              <w:rPr>
                <w:bCs/>
                <w:lang w:val="lv-LV" w:eastAsia="lv-LV"/>
              </w:rPr>
              <w:t>Lauksaimniecības un lauku at</w:t>
            </w:r>
            <w:r w:rsidR="00B02D02" w:rsidRPr="00295B18">
              <w:rPr>
                <w:bCs/>
                <w:lang w:val="lv-LV" w:eastAsia="lv-LV"/>
              </w:rPr>
              <w:t>tīstības</w:t>
            </w:r>
            <w:r w:rsidRPr="00295B18">
              <w:rPr>
                <w:bCs/>
                <w:lang w:val="lv-LV" w:eastAsia="lv-LV"/>
              </w:rPr>
              <w:t xml:space="preserve"> likumā</w:t>
            </w:r>
            <w:r w:rsidR="005B32C9" w:rsidRPr="00295B18">
              <w:rPr>
                <w:bCs/>
                <w:lang w:val="lv-LV" w:eastAsia="lv-LV"/>
              </w:rPr>
              <w:t>,</w:t>
            </w:r>
            <w:r w:rsidRPr="00295B18">
              <w:rPr>
                <w:bCs/>
                <w:lang w:val="lv-LV" w:eastAsia="lv-LV"/>
              </w:rPr>
              <w:t xml:space="preserve"> Administratīvā procesa likumā</w:t>
            </w:r>
            <w:r w:rsidR="00152298" w:rsidRPr="00295B18">
              <w:rPr>
                <w:bCs/>
                <w:lang w:val="lv-LV" w:eastAsia="lv-LV"/>
              </w:rPr>
              <w:t>, kā arī citos</w:t>
            </w:r>
            <w:r w:rsidR="005B32C9" w:rsidRPr="00295B18">
              <w:rPr>
                <w:bCs/>
                <w:lang w:val="lv-LV" w:eastAsia="lv-LV"/>
              </w:rPr>
              <w:t xml:space="preserve"> ar valsts un Eiropas Savienības atbalsta administrēšanu </w:t>
            </w:r>
            <w:r w:rsidR="00152298" w:rsidRPr="00295B18">
              <w:rPr>
                <w:bCs/>
                <w:lang w:val="lv-LV" w:eastAsia="lv-LV"/>
              </w:rPr>
              <w:t xml:space="preserve">un uzraudzību </w:t>
            </w:r>
            <w:r w:rsidR="005B32C9" w:rsidRPr="00295B18">
              <w:rPr>
                <w:bCs/>
                <w:lang w:val="lv-LV" w:eastAsia="lv-LV"/>
              </w:rPr>
              <w:t>saist</w:t>
            </w:r>
            <w:r w:rsidR="00AD6683">
              <w:rPr>
                <w:bCs/>
                <w:lang w:val="lv-LV" w:eastAsia="lv-LV"/>
              </w:rPr>
              <w:t>ītos</w:t>
            </w:r>
            <w:r w:rsidR="005B32C9" w:rsidRPr="00295B18">
              <w:rPr>
                <w:bCs/>
                <w:lang w:val="lv-LV" w:eastAsia="lv-LV"/>
              </w:rPr>
              <w:t xml:space="preserve"> normatīv</w:t>
            </w:r>
            <w:r w:rsidR="00AD6683">
              <w:rPr>
                <w:bCs/>
                <w:lang w:val="lv-LV" w:eastAsia="lv-LV"/>
              </w:rPr>
              <w:t>aj</w:t>
            </w:r>
            <w:r w:rsidR="005B32C9" w:rsidRPr="00295B18">
              <w:rPr>
                <w:bCs/>
                <w:lang w:val="lv-LV" w:eastAsia="lv-LV"/>
              </w:rPr>
              <w:t xml:space="preserve">os aktos </w:t>
            </w:r>
            <w:r w:rsidRPr="00295B18">
              <w:rPr>
                <w:bCs/>
                <w:lang w:val="lv-LV" w:eastAsia="lv-LV"/>
              </w:rPr>
              <w:t>noteiktaj</w:t>
            </w:r>
            <w:r w:rsidR="005B32C9" w:rsidRPr="00295B18">
              <w:rPr>
                <w:bCs/>
                <w:lang w:val="lv-LV" w:eastAsia="lv-LV"/>
              </w:rPr>
              <w:t>ā</w:t>
            </w:r>
            <w:r w:rsidRPr="00295B18">
              <w:rPr>
                <w:bCs/>
                <w:lang w:val="lv-LV" w:eastAsia="lv-LV"/>
              </w:rPr>
              <w:t>m pr</w:t>
            </w:r>
            <w:r w:rsidR="005A6822" w:rsidRPr="00295B18">
              <w:rPr>
                <w:bCs/>
                <w:lang w:val="lv-LV" w:eastAsia="lv-LV"/>
              </w:rPr>
              <w:t>a</w:t>
            </w:r>
            <w:r w:rsidRPr="00295B18">
              <w:rPr>
                <w:bCs/>
                <w:lang w:val="lv-LV" w:eastAsia="lv-LV"/>
              </w:rPr>
              <w:t xml:space="preserve">sībām. </w:t>
            </w:r>
            <w:r w:rsidR="00DA347D" w:rsidRPr="00604252">
              <w:rPr>
                <w:bCs/>
                <w:lang w:val="lv-LV" w:eastAsia="lv-LV"/>
              </w:rPr>
              <w:t>Lai pretendentam neradītu administratīvo slogu</w:t>
            </w:r>
            <w:r w:rsidR="008F583F" w:rsidRPr="00604252">
              <w:rPr>
                <w:bCs/>
                <w:lang w:val="lv-LV" w:eastAsia="lv-LV"/>
              </w:rPr>
              <w:t>,</w:t>
            </w:r>
            <w:r w:rsidR="00DA347D" w:rsidRPr="00604252">
              <w:rPr>
                <w:bCs/>
                <w:lang w:val="lv-LV" w:eastAsia="lv-LV"/>
              </w:rPr>
              <w:t xml:space="preserve"> Lauku atbalsta dienests tam nepieciešamo informāciju iegūst</w:t>
            </w:r>
            <w:r w:rsidR="00AD6683">
              <w:rPr>
                <w:bCs/>
                <w:lang w:val="lv-LV" w:eastAsia="lv-LV"/>
              </w:rPr>
              <w:t>,</w:t>
            </w:r>
            <w:r w:rsidR="00DA347D" w:rsidRPr="00604252">
              <w:rPr>
                <w:bCs/>
                <w:lang w:val="lv-LV" w:eastAsia="lv-LV"/>
              </w:rPr>
              <w:t xml:space="preserve"> savstarpēji sadarbojoties ar citām iestādēm</w:t>
            </w:r>
            <w:r w:rsidR="00AD6683">
              <w:rPr>
                <w:bCs/>
                <w:lang w:val="lv-LV" w:eastAsia="lv-LV"/>
              </w:rPr>
              <w:t xml:space="preserve"> un</w:t>
            </w:r>
            <w:r w:rsidR="00E07CA0" w:rsidRPr="00604252">
              <w:rPr>
                <w:bCs/>
                <w:lang w:val="lv-LV"/>
              </w:rPr>
              <w:t xml:space="preserve"> ņemot vērā </w:t>
            </w:r>
            <w:r w:rsidR="00E07CA0" w:rsidRPr="00604252">
              <w:rPr>
                <w:bCs/>
                <w:lang w:val="lv-LV" w:eastAsia="lv-LV"/>
              </w:rPr>
              <w:t>valsts informācijas sistēmās ietverto informāciju,</w:t>
            </w:r>
            <w:r w:rsidR="00DA347D" w:rsidRPr="00604252">
              <w:rPr>
                <w:bCs/>
                <w:lang w:val="lv-LV" w:eastAsia="lv-LV"/>
              </w:rPr>
              <w:t xml:space="preserve"> t</w:t>
            </w:r>
            <w:r w:rsidR="005A6822" w:rsidRPr="00604252">
              <w:rPr>
                <w:bCs/>
                <w:lang w:val="lv-LV" w:eastAsia="lv-LV"/>
              </w:rPr>
              <w:t>ostarp</w:t>
            </w:r>
            <w:r w:rsidR="00024B2B">
              <w:rPr>
                <w:bCs/>
                <w:lang w:val="lv-LV" w:eastAsia="lv-LV"/>
              </w:rPr>
              <w:t xml:space="preserve"> noteikumu projekta</w:t>
            </w:r>
            <w:r w:rsidR="005A6822" w:rsidRPr="00604252">
              <w:rPr>
                <w:bCs/>
                <w:lang w:val="lv-LV" w:eastAsia="lv-LV"/>
              </w:rPr>
              <w:t xml:space="preserve"> 8.12.9., </w:t>
            </w:r>
            <w:r w:rsidR="007732C4" w:rsidRPr="00604252">
              <w:rPr>
                <w:bCs/>
                <w:lang w:val="lv-LV" w:eastAsia="lv-LV"/>
              </w:rPr>
              <w:t xml:space="preserve">un </w:t>
            </w:r>
            <w:r w:rsidR="005A6822" w:rsidRPr="00604252">
              <w:rPr>
                <w:bCs/>
                <w:lang w:val="lv-LV" w:eastAsia="lv-LV"/>
              </w:rPr>
              <w:t>8.12.10.</w:t>
            </w:r>
            <w:r w:rsidR="008F583F" w:rsidRPr="00604252">
              <w:rPr>
                <w:bCs/>
                <w:lang w:val="lv-LV" w:eastAsia="lv-LV"/>
              </w:rPr>
              <w:t xml:space="preserve"> </w:t>
            </w:r>
            <w:r w:rsidR="005A6822" w:rsidRPr="00604252">
              <w:rPr>
                <w:bCs/>
                <w:lang w:val="lv-LV" w:eastAsia="lv-LV"/>
              </w:rPr>
              <w:t>apakšpunktā minēto informāciju iegūst no Sodu reģistra un</w:t>
            </w:r>
            <w:r w:rsidR="00AD6683">
              <w:rPr>
                <w:bCs/>
                <w:lang w:val="lv-LV" w:eastAsia="lv-LV"/>
              </w:rPr>
              <w:t>, ja</w:t>
            </w:r>
            <w:r w:rsidR="005A6822" w:rsidRPr="00604252">
              <w:rPr>
                <w:bCs/>
                <w:lang w:val="lv-LV" w:eastAsia="lv-LV"/>
              </w:rPr>
              <w:t xml:space="preserve"> nepieciešam</w:t>
            </w:r>
            <w:r w:rsidR="00AD6683">
              <w:rPr>
                <w:bCs/>
                <w:lang w:val="lv-LV" w:eastAsia="lv-LV"/>
              </w:rPr>
              <w:t>s,</w:t>
            </w:r>
            <w:r w:rsidR="005A6822" w:rsidRPr="00604252">
              <w:rPr>
                <w:bCs/>
                <w:lang w:val="lv-LV" w:eastAsia="lv-LV"/>
              </w:rPr>
              <w:t xml:space="preserve"> pēc papildu informācijas vēršas Iekšlietu ministrijas Informācijas centrā ar elektronisku pieprasījumu pārbaudei Sodu reģistrā (Sodu reģistra likuma 21.</w:t>
            </w:r>
            <w:r w:rsidR="008F583F" w:rsidRPr="00604252">
              <w:rPr>
                <w:bCs/>
                <w:lang w:val="lv-LV" w:eastAsia="lv-LV"/>
              </w:rPr>
              <w:t xml:space="preserve"> </w:t>
            </w:r>
            <w:r w:rsidR="005A6822" w:rsidRPr="00604252">
              <w:rPr>
                <w:bCs/>
                <w:lang w:val="lv-LV" w:eastAsia="lv-LV"/>
              </w:rPr>
              <w:t>panta noteiktajā kārtībā</w:t>
            </w:r>
            <w:r w:rsidR="005A6822" w:rsidRPr="00C820C4">
              <w:rPr>
                <w:bCs/>
                <w:lang w:val="lv-LV" w:eastAsia="lv-LV"/>
              </w:rPr>
              <w:t>)</w:t>
            </w:r>
            <w:r w:rsidR="00604252" w:rsidRPr="00C820C4">
              <w:rPr>
                <w:bCs/>
                <w:lang w:val="lv-LV" w:eastAsia="lv-LV"/>
              </w:rPr>
              <w:t xml:space="preserve">, kā arī ņemot vērā </w:t>
            </w:r>
            <w:r w:rsidR="00F34B80" w:rsidRPr="00C820C4">
              <w:rPr>
                <w:bCs/>
                <w:lang w:val="lv-LV" w:eastAsia="lv-LV"/>
              </w:rPr>
              <w:t xml:space="preserve"> </w:t>
            </w:r>
            <w:r w:rsidR="00604252" w:rsidRPr="00C820C4">
              <w:rPr>
                <w:bCs/>
                <w:lang w:val="lv-LV" w:eastAsia="lv-LV"/>
              </w:rPr>
              <w:t xml:space="preserve">Krimināllikumā noteiktos pantus: </w:t>
            </w:r>
            <w:r w:rsidR="00AD6683">
              <w:rPr>
                <w:bCs/>
                <w:lang w:val="lv-LV" w:eastAsia="lv-LV"/>
              </w:rPr>
              <w:t>“</w:t>
            </w:r>
            <w:r w:rsidR="00CD58C7" w:rsidRPr="00C820C4">
              <w:rPr>
                <w:bCs/>
                <w:lang w:val="lv-LV" w:eastAsia="lv-LV"/>
              </w:rPr>
              <w:t>79</w:t>
            </w:r>
            <w:r w:rsidR="00A83F71" w:rsidRPr="00C820C4">
              <w:rPr>
                <w:bCs/>
                <w:lang w:val="lv-LV" w:eastAsia="lv-LV"/>
              </w:rPr>
              <w:t>.</w:t>
            </w:r>
            <w:r w:rsidR="00CD58C7" w:rsidRPr="00C820C4">
              <w:rPr>
                <w:bCs/>
                <w:vertAlign w:val="superscript"/>
                <w:lang w:val="lv-LV" w:eastAsia="lv-LV"/>
              </w:rPr>
              <w:t>1</w:t>
            </w:r>
            <w:r w:rsidR="00604252" w:rsidRPr="00C820C4">
              <w:rPr>
                <w:bCs/>
                <w:lang w:val="lv-LV" w:eastAsia="lv-LV"/>
              </w:rPr>
              <w:t xml:space="preserve"> pants. Terorisms</w:t>
            </w:r>
          </w:p>
          <w:p w14:paraId="6EB71D89" w14:textId="0956C9D5" w:rsidR="00604252" w:rsidRPr="00C820C4" w:rsidRDefault="00CD58C7" w:rsidP="00604252">
            <w:pPr>
              <w:jc w:val="both"/>
              <w:rPr>
                <w:bCs/>
                <w:lang w:val="lv-LV" w:eastAsia="lv-LV"/>
              </w:rPr>
            </w:pPr>
            <w:r w:rsidRPr="00C820C4">
              <w:rPr>
                <w:bCs/>
                <w:lang w:val="lv-LV" w:eastAsia="lv-LV"/>
              </w:rPr>
              <w:t>79</w:t>
            </w:r>
            <w:r w:rsidR="00604252" w:rsidRPr="00C820C4">
              <w:rPr>
                <w:bCs/>
                <w:lang w:val="lv-LV" w:eastAsia="lv-LV"/>
              </w:rPr>
              <w:t>.</w:t>
            </w:r>
            <w:r w:rsidR="00A83F71" w:rsidRPr="00C820C4">
              <w:rPr>
                <w:bCs/>
                <w:vertAlign w:val="superscript"/>
                <w:lang w:val="lv-LV" w:eastAsia="lv-LV"/>
              </w:rPr>
              <w:t>2</w:t>
            </w:r>
            <w:r w:rsidR="00604252" w:rsidRPr="00C820C4">
              <w:rPr>
                <w:bCs/>
                <w:lang w:val="lv-LV" w:eastAsia="lv-LV"/>
              </w:rPr>
              <w:t xml:space="preserve"> pants. Terorisma finansēšana</w:t>
            </w:r>
          </w:p>
          <w:p w14:paraId="328069A9" w14:textId="3B84868E" w:rsidR="00A83F71" w:rsidRPr="00C820C4" w:rsidRDefault="00A83F71" w:rsidP="00604252">
            <w:pPr>
              <w:jc w:val="both"/>
              <w:rPr>
                <w:bCs/>
                <w:lang w:val="lv-LV" w:eastAsia="lv-LV"/>
              </w:rPr>
            </w:pPr>
            <w:r w:rsidRPr="00C820C4">
              <w:rPr>
                <w:bCs/>
                <w:lang w:val="lv-LV" w:eastAsia="lv-LV"/>
              </w:rPr>
              <w:t>79.</w:t>
            </w:r>
            <w:r w:rsidRPr="00C820C4">
              <w:rPr>
                <w:bCs/>
                <w:vertAlign w:val="superscript"/>
                <w:lang w:val="lv-LV" w:eastAsia="lv-LV"/>
              </w:rPr>
              <w:t>4</w:t>
            </w:r>
            <w:r w:rsidRPr="00C820C4">
              <w:rPr>
                <w:bCs/>
                <w:lang w:val="lv-LV" w:eastAsia="lv-LV"/>
              </w:rPr>
              <w:t xml:space="preserve"> pants. </w:t>
            </w:r>
            <w:bookmarkStart w:id="2" w:name="_Hlk40954250"/>
            <w:r w:rsidRPr="00C820C4">
              <w:rPr>
                <w:bCs/>
                <w:lang w:val="lv-LV" w:eastAsia="lv-LV"/>
              </w:rPr>
              <w:t>Personas vervēšana, apmācīšana un apmācīšanās terorismam</w:t>
            </w:r>
          </w:p>
          <w:p w14:paraId="4A6747A6" w14:textId="7734752E" w:rsidR="00A83F71" w:rsidRPr="00C820C4" w:rsidRDefault="00A83F71" w:rsidP="00604252">
            <w:pPr>
              <w:jc w:val="both"/>
              <w:rPr>
                <w:bCs/>
                <w:lang w:val="lv-LV" w:eastAsia="lv-LV"/>
              </w:rPr>
            </w:pPr>
            <w:r w:rsidRPr="00C820C4">
              <w:rPr>
                <w:bCs/>
                <w:lang w:val="lv-LV" w:eastAsia="lv-LV"/>
              </w:rPr>
              <w:t>79.</w:t>
            </w:r>
            <w:r w:rsidRPr="00C820C4">
              <w:rPr>
                <w:bCs/>
                <w:vertAlign w:val="superscript"/>
                <w:lang w:val="lv-LV" w:eastAsia="lv-LV"/>
              </w:rPr>
              <w:t>6</w:t>
            </w:r>
            <w:r w:rsidRPr="00C820C4">
              <w:rPr>
                <w:bCs/>
                <w:lang w:val="lv-LV" w:eastAsia="lv-LV"/>
              </w:rPr>
              <w:t xml:space="preserve"> pants. Terorisma attaisnošana, aicinājums uz terorismu un terorisma draudi</w:t>
            </w:r>
          </w:p>
          <w:bookmarkEnd w:id="2"/>
          <w:p w14:paraId="0140E46F" w14:textId="77777777" w:rsidR="00604252" w:rsidRPr="00C820C4" w:rsidRDefault="00604252" w:rsidP="00604252">
            <w:pPr>
              <w:jc w:val="both"/>
              <w:rPr>
                <w:bCs/>
                <w:lang w:val="lv-LV" w:eastAsia="lv-LV"/>
              </w:rPr>
            </w:pPr>
            <w:r w:rsidRPr="00C820C4">
              <w:rPr>
                <w:bCs/>
                <w:lang w:val="lv-LV" w:eastAsia="lv-LV"/>
              </w:rPr>
              <w:t>177. pants. Krāpšana</w:t>
            </w:r>
          </w:p>
          <w:p w14:paraId="31882E5F" w14:textId="77777777" w:rsidR="00604252" w:rsidRPr="00C820C4" w:rsidRDefault="00604252" w:rsidP="00604252">
            <w:pPr>
              <w:jc w:val="both"/>
              <w:rPr>
                <w:bCs/>
                <w:lang w:val="lv-LV" w:eastAsia="lv-LV"/>
              </w:rPr>
            </w:pPr>
            <w:r w:rsidRPr="00C820C4">
              <w:rPr>
                <w:bCs/>
                <w:lang w:val="lv-LV" w:eastAsia="lv-LV"/>
              </w:rPr>
              <w:t>177.</w:t>
            </w:r>
            <w:r w:rsidRPr="00C820C4">
              <w:rPr>
                <w:bCs/>
                <w:vertAlign w:val="superscript"/>
                <w:lang w:val="lv-LV" w:eastAsia="lv-LV"/>
              </w:rPr>
              <w:t>1</w:t>
            </w:r>
            <w:r w:rsidRPr="00C820C4">
              <w:rPr>
                <w:bCs/>
                <w:lang w:val="lv-LV" w:eastAsia="lv-LV"/>
              </w:rPr>
              <w:t xml:space="preserve"> pants. </w:t>
            </w:r>
            <w:bookmarkStart w:id="3" w:name="_Hlk40954142"/>
            <w:r w:rsidRPr="00C820C4">
              <w:rPr>
                <w:bCs/>
                <w:lang w:val="lv-LV" w:eastAsia="lv-LV"/>
              </w:rPr>
              <w:t>Krāpšana automatizētā datu apstrādes sistēmā</w:t>
            </w:r>
          </w:p>
          <w:p w14:paraId="5067C742" w14:textId="77777777" w:rsidR="00604252" w:rsidRPr="00C820C4" w:rsidRDefault="00604252" w:rsidP="00604252">
            <w:pPr>
              <w:jc w:val="both"/>
              <w:rPr>
                <w:bCs/>
                <w:lang w:val="lv-LV" w:eastAsia="lv-LV"/>
              </w:rPr>
            </w:pPr>
            <w:r w:rsidRPr="00C820C4">
              <w:rPr>
                <w:bCs/>
                <w:lang w:val="lv-LV" w:eastAsia="lv-LV"/>
              </w:rPr>
              <w:t>178. pants. Apdrošināšanas krāpšana</w:t>
            </w:r>
            <w:bookmarkEnd w:id="3"/>
          </w:p>
          <w:p w14:paraId="3853FEAA" w14:textId="77777777" w:rsidR="00604252" w:rsidRPr="00C820C4" w:rsidRDefault="00604252" w:rsidP="00604252">
            <w:pPr>
              <w:jc w:val="both"/>
              <w:rPr>
                <w:bCs/>
                <w:lang w:val="lv-LV" w:eastAsia="lv-LV"/>
              </w:rPr>
            </w:pPr>
            <w:r w:rsidRPr="00C820C4">
              <w:rPr>
                <w:bCs/>
                <w:lang w:val="lv-LV" w:eastAsia="lv-LV"/>
              </w:rPr>
              <w:t>179. pants. Piesavināšanās</w:t>
            </w:r>
          </w:p>
          <w:p w14:paraId="095D8D16" w14:textId="77777777" w:rsidR="00604252" w:rsidRPr="00C820C4" w:rsidRDefault="00604252" w:rsidP="00604252">
            <w:pPr>
              <w:jc w:val="both"/>
              <w:rPr>
                <w:bCs/>
                <w:lang w:val="lv-LV" w:eastAsia="lv-LV"/>
              </w:rPr>
            </w:pPr>
            <w:r w:rsidRPr="00C820C4">
              <w:rPr>
                <w:bCs/>
                <w:lang w:val="lv-LV" w:eastAsia="lv-LV"/>
              </w:rPr>
              <w:t>195. pants. Noziedzīgi iegūtu līdzekļu legalizēšana</w:t>
            </w:r>
          </w:p>
          <w:p w14:paraId="64FA49D9" w14:textId="77777777" w:rsidR="00604252" w:rsidRPr="00C820C4" w:rsidRDefault="00604252" w:rsidP="00604252">
            <w:pPr>
              <w:jc w:val="both"/>
              <w:rPr>
                <w:bCs/>
                <w:lang w:val="lv-LV" w:eastAsia="lv-LV"/>
              </w:rPr>
            </w:pPr>
            <w:r w:rsidRPr="00C820C4">
              <w:rPr>
                <w:bCs/>
                <w:lang w:val="lv-LV" w:eastAsia="lv-LV"/>
              </w:rPr>
              <w:t>198. pants. Neatļauta labumu pieņemšana</w:t>
            </w:r>
          </w:p>
          <w:p w14:paraId="70F00742" w14:textId="77777777" w:rsidR="00604252" w:rsidRPr="00C820C4" w:rsidRDefault="00604252" w:rsidP="00604252">
            <w:pPr>
              <w:jc w:val="both"/>
              <w:rPr>
                <w:bCs/>
                <w:lang w:val="lv-LV" w:eastAsia="lv-LV"/>
              </w:rPr>
            </w:pPr>
            <w:r w:rsidRPr="00C820C4">
              <w:rPr>
                <w:bCs/>
                <w:lang w:val="lv-LV" w:eastAsia="lv-LV"/>
              </w:rPr>
              <w:t>199. pants. Komerciālā uzpirkšana</w:t>
            </w:r>
          </w:p>
          <w:p w14:paraId="435371BA" w14:textId="77777777" w:rsidR="00604252" w:rsidRPr="00C820C4" w:rsidRDefault="00604252" w:rsidP="00604252">
            <w:pPr>
              <w:jc w:val="both"/>
              <w:rPr>
                <w:bCs/>
                <w:lang w:val="lv-LV" w:eastAsia="lv-LV"/>
              </w:rPr>
            </w:pPr>
            <w:r w:rsidRPr="00C820C4">
              <w:rPr>
                <w:bCs/>
                <w:lang w:val="lv-LV" w:eastAsia="lv-LV"/>
              </w:rPr>
              <w:t>218. pants. Izvairīšanās no nodokļiem un tiem pielīdzināto maksājumu nomaksas</w:t>
            </w:r>
          </w:p>
          <w:p w14:paraId="733EC50F" w14:textId="77777777" w:rsidR="00604252" w:rsidRPr="00C820C4" w:rsidRDefault="00604252" w:rsidP="00604252">
            <w:pPr>
              <w:jc w:val="both"/>
              <w:rPr>
                <w:bCs/>
                <w:lang w:val="lv-LV" w:eastAsia="lv-LV"/>
              </w:rPr>
            </w:pPr>
            <w:r w:rsidRPr="00C820C4">
              <w:rPr>
                <w:bCs/>
                <w:lang w:val="lv-LV" w:eastAsia="lv-LV"/>
              </w:rPr>
              <w:t>320. pants. Kukuļņemšana</w:t>
            </w:r>
          </w:p>
          <w:p w14:paraId="4A1ABE25" w14:textId="77777777" w:rsidR="00604252" w:rsidRPr="00C820C4" w:rsidRDefault="00604252" w:rsidP="00604252">
            <w:pPr>
              <w:jc w:val="both"/>
              <w:rPr>
                <w:bCs/>
                <w:lang w:val="lv-LV" w:eastAsia="lv-LV"/>
              </w:rPr>
            </w:pPr>
            <w:r w:rsidRPr="00C820C4">
              <w:rPr>
                <w:bCs/>
                <w:lang w:val="lv-LV" w:eastAsia="lv-LV"/>
              </w:rPr>
              <w:t>321. pants. Kukuļa piesavināšanās</w:t>
            </w:r>
          </w:p>
          <w:p w14:paraId="7EFD6848" w14:textId="77777777" w:rsidR="00604252" w:rsidRPr="00C820C4" w:rsidRDefault="00604252" w:rsidP="00604252">
            <w:pPr>
              <w:jc w:val="both"/>
              <w:rPr>
                <w:bCs/>
                <w:lang w:val="lv-LV" w:eastAsia="lv-LV"/>
              </w:rPr>
            </w:pPr>
            <w:r w:rsidRPr="00C820C4">
              <w:rPr>
                <w:bCs/>
                <w:lang w:val="lv-LV" w:eastAsia="lv-LV"/>
              </w:rPr>
              <w:t>322. pants. Starpniecība kukuļošanā</w:t>
            </w:r>
          </w:p>
          <w:p w14:paraId="5A1889EE" w14:textId="1568CEBA" w:rsidR="001223BD" w:rsidRPr="00C820C4" w:rsidRDefault="00604252" w:rsidP="00604252">
            <w:pPr>
              <w:jc w:val="both"/>
              <w:rPr>
                <w:bCs/>
                <w:lang w:val="lv-LV" w:eastAsia="lv-LV"/>
              </w:rPr>
            </w:pPr>
            <w:r w:rsidRPr="00C820C4">
              <w:rPr>
                <w:bCs/>
                <w:lang w:val="lv-LV" w:eastAsia="lv-LV"/>
              </w:rPr>
              <w:t>323. pants. Kukuļdošana</w:t>
            </w:r>
            <w:r w:rsidR="00AD6683">
              <w:rPr>
                <w:bCs/>
                <w:lang w:val="lv-LV" w:eastAsia="lv-LV"/>
              </w:rPr>
              <w:t>” –</w:t>
            </w:r>
          </w:p>
          <w:p w14:paraId="48790090" w14:textId="6153D3A4" w:rsidR="00604252" w:rsidRPr="00C820C4" w:rsidRDefault="00604252" w:rsidP="00604252">
            <w:pPr>
              <w:jc w:val="both"/>
              <w:rPr>
                <w:bCs/>
                <w:lang w:val="lv-LV"/>
              </w:rPr>
            </w:pPr>
            <w:r w:rsidRPr="00C820C4">
              <w:rPr>
                <w:bCs/>
                <w:lang w:val="lv-LV" w:eastAsia="lv-LV"/>
              </w:rPr>
              <w:lastRenderedPageBreak/>
              <w:t>vai Administratīvo pārkāpumu kodeksa (pēc 2020.gada 1.jūlija</w:t>
            </w:r>
            <w:r w:rsidR="00AD6683">
              <w:rPr>
                <w:bCs/>
                <w:lang w:val="lv-LV" w:eastAsia="lv-LV"/>
              </w:rPr>
              <w:t xml:space="preserve"> – </w:t>
            </w:r>
            <w:r w:rsidRPr="00C820C4">
              <w:rPr>
                <w:bCs/>
                <w:lang w:val="lv-LV" w:eastAsia="lv-LV"/>
              </w:rPr>
              <w:t>attiecīgo nozari regulējošo likumu) pantus:</w:t>
            </w:r>
            <w:r w:rsidRPr="00C820C4">
              <w:rPr>
                <w:bCs/>
                <w:lang w:val="lv-LV"/>
              </w:rPr>
              <w:t xml:space="preserve"> </w:t>
            </w:r>
          </w:p>
          <w:p w14:paraId="033A77B4" w14:textId="7A7B6D8A" w:rsidR="00604252" w:rsidRPr="00C820C4" w:rsidRDefault="00AD6683" w:rsidP="00604252">
            <w:pPr>
              <w:jc w:val="both"/>
              <w:rPr>
                <w:bCs/>
                <w:lang w:val="lv-LV" w:eastAsia="lv-LV"/>
              </w:rPr>
            </w:pPr>
            <w:r>
              <w:rPr>
                <w:bCs/>
                <w:lang w:val="lv-LV"/>
              </w:rPr>
              <w:t>“</w:t>
            </w:r>
            <w:r w:rsidR="00604252" w:rsidRPr="00C820C4">
              <w:rPr>
                <w:bCs/>
                <w:lang w:val="lv-LV"/>
              </w:rPr>
              <w:t>1</w:t>
            </w:r>
            <w:r w:rsidR="00604252" w:rsidRPr="00C820C4">
              <w:rPr>
                <w:bCs/>
                <w:lang w:val="lv-LV" w:eastAsia="lv-LV"/>
              </w:rPr>
              <w:t>89.</w:t>
            </w:r>
            <w:r w:rsidR="00604252" w:rsidRPr="00C820C4">
              <w:rPr>
                <w:bCs/>
                <w:vertAlign w:val="superscript"/>
                <w:lang w:val="lv-LV" w:eastAsia="lv-LV"/>
              </w:rPr>
              <w:t>2</w:t>
            </w:r>
            <w:r w:rsidR="00604252" w:rsidRPr="00C820C4">
              <w:rPr>
                <w:bCs/>
                <w:lang w:val="lv-LV" w:eastAsia="lv-LV"/>
              </w:rPr>
              <w:t xml:space="preserve"> panta trešā daļa. Par vienas vai vairāku tādu personu (līdz piecām personām) nodarbināšanu, kuras nav tiesīgas uzturēties Latvijas Republikā</w:t>
            </w:r>
          </w:p>
          <w:p w14:paraId="54D42480" w14:textId="689D63C0" w:rsidR="00604252" w:rsidRPr="00C820C4" w:rsidRDefault="00604252" w:rsidP="00604252">
            <w:pPr>
              <w:jc w:val="both"/>
              <w:rPr>
                <w:bCs/>
                <w:lang w:val="lv-LV" w:eastAsia="lv-LV"/>
              </w:rPr>
            </w:pPr>
            <w:r w:rsidRPr="00C820C4">
              <w:rPr>
                <w:bCs/>
                <w:lang w:val="lv-LV" w:eastAsia="lv-LV"/>
              </w:rPr>
              <w:t>41. panta otrā un piektā daļa. Darba līguma nenoslēgšana rakstveidā</w:t>
            </w:r>
          </w:p>
          <w:p w14:paraId="31C690BA" w14:textId="77FF5ABF" w:rsidR="00604252" w:rsidRPr="00C820C4" w:rsidRDefault="00604252" w:rsidP="00604252">
            <w:pPr>
              <w:jc w:val="both"/>
              <w:rPr>
                <w:bCs/>
                <w:lang w:val="lv-LV" w:eastAsia="lv-LV"/>
              </w:rPr>
            </w:pPr>
            <w:r w:rsidRPr="00C820C4">
              <w:rPr>
                <w:bCs/>
                <w:lang w:val="lv-LV" w:eastAsia="lv-LV"/>
              </w:rPr>
              <w:t>159.</w:t>
            </w:r>
            <w:r w:rsidRPr="00C820C4">
              <w:rPr>
                <w:bCs/>
                <w:vertAlign w:val="superscript"/>
                <w:lang w:val="lv-LV" w:eastAsia="lv-LV"/>
              </w:rPr>
              <w:t xml:space="preserve">8 </w:t>
            </w:r>
            <w:r w:rsidRPr="00C820C4">
              <w:rPr>
                <w:bCs/>
                <w:lang w:val="lv-LV" w:eastAsia="lv-LV"/>
              </w:rPr>
              <w:t>panta septītā daļa. Informatīvās deklarācijas par darba ņēmējiem, kura tiek iesniegta par personām, kuras uzsāk darbu, neiesniegšanu nodokļu normatīvajos aktos noteiktajā termiņā</w:t>
            </w:r>
            <w:r w:rsidR="007174A4" w:rsidRPr="00C820C4">
              <w:rPr>
                <w:bCs/>
                <w:lang w:val="lv-LV" w:eastAsia="lv-LV"/>
              </w:rPr>
              <w:t>.</w:t>
            </w:r>
            <w:r w:rsidR="00AD6683">
              <w:rPr>
                <w:bCs/>
                <w:lang w:val="lv-LV" w:eastAsia="lv-LV"/>
              </w:rPr>
              <w:t>”</w:t>
            </w:r>
          </w:p>
          <w:p w14:paraId="1A493771" w14:textId="3B826F2F" w:rsidR="00AD6683" w:rsidRPr="00C820C4" w:rsidRDefault="00C71480" w:rsidP="00604252">
            <w:pPr>
              <w:jc w:val="both"/>
              <w:rPr>
                <w:bCs/>
                <w:color w:val="FF0000"/>
                <w:lang w:val="lv-LV" w:eastAsia="lv-LV"/>
              </w:rPr>
            </w:pPr>
            <w:r w:rsidRPr="00C820C4">
              <w:rPr>
                <w:bCs/>
                <w:lang w:val="lv-LV" w:eastAsia="lv-LV"/>
              </w:rPr>
              <w:t>Papildus tam</w:t>
            </w:r>
            <w:r w:rsidR="00234F08">
              <w:rPr>
                <w:bCs/>
                <w:lang w:val="lv-LV" w:eastAsia="lv-LV"/>
              </w:rPr>
              <w:t>,</w:t>
            </w:r>
            <w:r w:rsidRPr="00C820C4">
              <w:rPr>
                <w:bCs/>
                <w:lang w:val="lv-LV" w:eastAsia="lv-LV"/>
              </w:rPr>
              <w:t xml:space="preserve"> </w:t>
            </w:r>
            <w:r w:rsidR="009B354F" w:rsidRPr="00C820C4">
              <w:rPr>
                <w:bCs/>
                <w:lang w:val="lv-LV" w:eastAsia="lv-LV"/>
              </w:rPr>
              <w:t xml:space="preserve">pamatojoties </w:t>
            </w:r>
            <w:r w:rsidR="00234F08" w:rsidRPr="00B80EE7">
              <w:rPr>
                <w:lang w:val="lv-LV"/>
              </w:rPr>
              <w:t xml:space="preserve">uz Regulu 2015/1366, Lauku atbalsta dienests pēc iesnieguma saņemšanas izvērtē pretendentu atbilstoši noteiktajām prasībām normatīvajos aktos par valsts un Eiropas Savienības atbalsta piešķiršanu lauku un zivsaimniecības attīstībai konkrētam pasākumam, lai atbalsta pretendents nesaņem divkāršu finansējumu – kā atbalstu biškopības nozarei saskaņā ar Regulas (ES) Nr. 1308/2013 55. pantu un kā lauku attīstības atbalstu saskaņā ar Komisijas (ES) 2014. gada 17. jūlija īstenošanas Regulu Nr. 808/2014, ar kuru paredz noteikumus, kā piemērot Eiropas Parlamenta un Padomes Regulu (ES) Nr. 1305/2013 par atbalstu lauku attīstībai no Eiropas Lauksaimniecības fonda lauku attīstībai (ELFLA). Turklāt šāda pārbaude vajadzīga arī tāpēc, lai Lauku atbalsta dienests varētu piemērot sankcijas, konstatējot, ka maksājums izmaksāts nepamatoti atbalsta pretendenta krāpšanas vai rupjas nolaidības dēļ, saskaņā </w:t>
            </w:r>
            <w:r w:rsidR="00B7085C" w:rsidRPr="00C820C4">
              <w:rPr>
                <w:bCs/>
                <w:lang w:val="lv-LV" w:eastAsia="lv-LV"/>
              </w:rPr>
              <w:t>Eiropas Parlamenta un Padomes 2013. gada 17. decembra Regulas (ES) Nr. 1306/2013 par kopējās lauksaimniecības politikas finansēšanu, pārvaldību un uzraudzību un Padomes Regulas (EEK) Nr. 352/78, (EK) Nr. 165/94, (EK) Nr. 2799/98, (EK) Nr. 814/2000, (EK) Nr. 1290/2005 un (EK) Nr. 485/2008 atcelšanu (turpmāk – regula Nr. 1306/2013) 63. un 64. pant</w:t>
            </w:r>
            <w:r w:rsidR="00234F08">
              <w:rPr>
                <w:bCs/>
                <w:lang w:val="lv-LV" w:eastAsia="lv-LV"/>
              </w:rPr>
              <w:t>u</w:t>
            </w:r>
            <w:r w:rsidR="00B7085C" w:rsidRPr="00C820C4">
              <w:rPr>
                <w:bCs/>
                <w:lang w:val="lv-LV" w:eastAsia="lv-LV"/>
              </w:rPr>
              <w:t xml:space="preserve"> un Komisijas 2014. gada 6. augusta (ES) Īstenošanas regul</w:t>
            </w:r>
            <w:r w:rsidR="00234F08">
              <w:rPr>
                <w:bCs/>
                <w:lang w:val="lv-LV" w:eastAsia="lv-LV"/>
              </w:rPr>
              <w:t>u</w:t>
            </w:r>
            <w:r w:rsidR="00B7085C" w:rsidRPr="00C820C4">
              <w:rPr>
                <w:bCs/>
                <w:lang w:val="lv-LV" w:eastAsia="lv-LV"/>
              </w:rPr>
              <w:t xml:space="preserve"> Nr. 908/2014, ar ko paredz noteikumus par to, kā Eiropas Parlamenta un Padomes Regulu (ES) Nr. 1306/2013 piemēro attiecībā uz maksājumu aģentūrām un citām struktūrām, finanšu pārvaldību, grāmatojumu noskaidrošanu, noteikumiem par pārbaudēm, nodrošinājumu un pārredzamību</w:t>
            </w:r>
            <w:r w:rsidR="00604252" w:rsidRPr="00C820C4">
              <w:rPr>
                <w:bCs/>
                <w:lang w:val="lv-LV" w:eastAsia="lv-LV"/>
              </w:rPr>
              <w:t xml:space="preserve">. </w:t>
            </w:r>
          </w:p>
          <w:p w14:paraId="4FFAC066" w14:textId="3B13E3E3" w:rsidR="00F05C36" w:rsidRPr="00C820C4" w:rsidRDefault="00F05C36" w:rsidP="00AD6683">
            <w:pPr>
              <w:ind w:firstLine="394"/>
              <w:jc w:val="both"/>
              <w:rPr>
                <w:bCs/>
                <w:lang w:val="lv-LV" w:eastAsia="lv-LV"/>
              </w:rPr>
            </w:pPr>
            <w:r w:rsidRPr="00C820C4">
              <w:rPr>
                <w:bCs/>
                <w:lang w:val="lv-LV" w:eastAsia="lv-LV"/>
              </w:rPr>
              <w:t>Izvērtējot iepriekšējo</w:t>
            </w:r>
            <w:r w:rsidR="00AD6683">
              <w:rPr>
                <w:bCs/>
                <w:lang w:val="lv-LV" w:eastAsia="lv-LV"/>
              </w:rPr>
              <w:t>s</w:t>
            </w:r>
            <w:r w:rsidRPr="00C820C4">
              <w:rPr>
                <w:bCs/>
                <w:lang w:val="lv-LV" w:eastAsia="lv-LV"/>
              </w:rPr>
              <w:t xml:space="preserve"> gad</w:t>
            </w:r>
            <w:r w:rsidR="00AD6683">
              <w:rPr>
                <w:bCs/>
                <w:lang w:val="lv-LV" w:eastAsia="lv-LV"/>
              </w:rPr>
              <w:t>os īstenoto</w:t>
            </w:r>
            <w:r w:rsidRPr="00C820C4">
              <w:rPr>
                <w:bCs/>
                <w:lang w:val="lv-LV" w:eastAsia="lv-LV"/>
              </w:rPr>
              <w:t xml:space="preserve"> biškopības programmu, var secināt, ka biškopības nozarē vērojamas pozitīvas tendences, jo:</w:t>
            </w:r>
          </w:p>
          <w:p w14:paraId="61B3E7FD" w14:textId="5F1C1970" w:rsidR="00F05C36" w:rsidRPr="00D4175F" w:rsidRDefault="00F05C36" w:rsidP="00D4175F">
            <w:pPr>
              <w:pStyle w:val="Sarakstarindkopa"/>
              <w:numPr>
                <w:ilvl w:val="0"/>
                <w:numId w:val="19"/>
              </w:numPr>
              <w:jc w:val="both"/>
              <w:rPr>
                <w:bCs/>
                <w:lang w:val="lv-LV" w:eastAsia="lv-LV"/>
              </w:rPr>
            </w:pPr>
            <w:r w:rsidRPr="00D4175F">
              <w:rPr>
                <w:bCs/>
                <w:lang w:val="lv-LV" w:eastAsia="lv-LV"/>
              </w:rPr>
              <w:t xml:space="preserve">lai veicinātu zināšanu pilnveidošanos un pieredzes apmaiņu profesionālajā jomā, Latvijas </w:t>
            </w:r>
            <w:r w:rsidR="003D284B" w:rsidRPr="00D4175F">
              <w:rPr>
                <w:bCs/>
                <w:lang w:val="lv-LV" w:eastAsia="lv-LV"/>
              </w:rPr>
              <w:t>B</w:t>
            </w:r>
            <w:r w:rsidRPr="00D4175F">
              <w:rPr>
                <w:bCs/>
                <w:lang w:val="lv-LV" w:eastAsia="lv-LV"/>
              </w:rPr>
              <w:t xml:space="preserve">iškopības biedrība (turpmāk – LBB) </w:t>
            </w:r>
            <w:r w:rsidR="00AD6683">
              <w:rPr>
                <w:bCs/>
                <w:lang w:val="lv-LV" w:eastAsia="lv-LV"/>
              </w:rPr>
              <w:t xml:space="preserve">ir </w:t>
            </w:r>
            <w:r w:rsidRPr="00D4175F">
              <w:rPr>
                <w:bCs/>
                <w:lang w:val="lv-LV" w:eastAsia="lv-LV"/>
              </w:rPr>
              <w:t xml:space="preserve">organizējusi daudzus seminārus, ikgadējo konferenci un biškopju vasaras saietu par aktualitātēm biškopībā, jaunākajām tehnoloģijām, citu valstu pieredzi, bišu bioloģiju, darvošanu, nektāraugiem, medus un citu biškopība produktu kvalitāti, bišu slimībām, higiēnas prasībām biškopība produkcijas ražošanā, bišu māšu audzēšanu </w:t>
            </w:r>
            <w:r w:rsidRPr="00D4175F">
              <w:rPr>
                <w:bCs/>
                <w:lang w:val="lv-LV" w:eastAsia="lv-LV"/>
              </w:rPr>
              <w:lastRenderedPageBreak/>
              <w:t>un bišu apstrādi pret slimībām un citām biškopjiem aktuālām tēmām;</w:t>
            </w:r>
          </w:p>
          <w:p w14:paraId="4DD7B412" w14:textId="6E6496AE" w:rsidR="00F05C36" w:rsidRPr="00D4175F" w:rsidRDefault="00F05C36" w:rsidP="00D4175F">
            <w:pPr>
              <w:pStyle w:val="Sarakstarindkopa"/>
              <w:numPr>
                <w:ilvl w:val="0"/>
                <w:numId w:val="19"/>
              </w:numPr>
              <w:jc w:val="both"/>
              <w:rPr>
                <w:bCs/>
                <w:lang w:val="lv-LV" w:eastAsia="lv-LV"/>
              </w:rPr>
            </w:pPr>
            <w:r w:rsidRPr="00D4175F">
              <w:rPr>
                <w:bCs/>
                <w:lang w:val="lv-LV" w:eastAsia="lv-LV"/>
              </w:rPr>
              <w:t xml:space="preserve">lai mazinātu slimības izplatīšanos un uzlabotu bišu veselību, LBB iepērk un biškopjiem bez maksas </w:t>
            </w:r>
            <w:r w:rsidR="00AD6683">
              <w:rPr>
                <w:bCs/>
                <w:lang w:val="lv-LV" w:eastAsia="lv-LV"/>
              </w:rPr>
              <w:t>iz</w:t>
            </w:r>
            <w:r w:rsidR="00AD6683" w:rsidRPr="003A391C">
              <w:rPr>
                <w:bCs/>
                <w:lang w:val="lv-LV" w:eastAsia="lv-LV"/>
              </w:rPr>
              <w:t xml:space="preserve">dala </w:t>
            </w:r>
            <w:r w:rsidRPr="00D4175F">
              <w:rPr>
                <w:bCs/>
                <w:lang w:val="lv-LV" w:eastAsia="lv-LV"/>
              </w:rPr>
              <w:t xml:space="preserve">preparātus un aizsarglīdzekļus to lietošanai </w:t>
            </w:r>
            <w:proofErr w:type="spellStart"/>
            <w:r w:rsidRPr="00D4175F">
              <w:rPr>
                <w:bCs/>
                <w:lang w:val="lv-LV" w:eastAsia="lv-LV"/>
              </w:rPr>
              <w:t>varrozes</w:t>
            </w:r>
            <w:proofErr w:type="spellEnd"/>
            <w:r w:rsidRPr="00D4175F">
              <w:rPr>
                <w:bCs/>
                <w:lang w:val="lv-LV" w:eastAsia="lv-LV"/>
              </w:rPr>
              <w:t xml:space="preserve"> ierobežošanai dravās;</w:t>
            </w:r>
          </w:p>
          <w:p w14:paraId="6723E43D" w14:textId="23F58D5F" w:rsidR="00F05C36" w:rsidRPr="00D4175F" w:rsidRDefault="00C820C4" w:rsidP="00D4175F">
            <w:pPr>
              <w:pStyle w:val="Sarakstarindkopa"/>
              <w:numPr>
                <w:ilvl w:val="0"/>
                <w:numId w:val="19"/>
              </w:numPr>
              <w:jc w:val="both"/>
              <w:rPr>
                <w:bCs/>
                <w:lang w:val="lv-LV" w:eastAsia="lv-LV"/>
              </w:rPr>
            </w:pPr>
            <w:r w:rsidRPr="00D4175F">
              <w:rPr>
                <w:bCs/>
                <w:lang w:val="lv-LV" w:eastAsia="lv-LV"/>
              </w:rPr>
              <w:t xml:space="preserve">lai biškopjiem būtu pieejamas zināmas izcelsmes bišu mātes, kas samazinātu bišu zudumus un veicinātu bišu skaita atjaunināšanu stropos, </w:t>
            </w:r>
            <w:r w:rsidR="00F05C36" w:rsidRPr="00D4175F">
              <w:rPr>
                <w:bCs/>
                <w:lang w:val="lv-LV" w:eastAsia="lv-LV"/>
              </w:rPr>
              <w:t>ir izveidota un uzturēta bišu māšu audzēšanas darba informatīvā sistēma, kā arī tiek nodrošināta bišu māšu audzēšana, iepirkšana, ataudzēšana un novērtēšana;</w:t>
            </w:r>
          </w:p>
          <w:p w14:paraId="66F7DFDC" w14:textId="1E3D283E" w:rsidR="00F05C36" w:rsidRPr="00D4175F" w:rsidRDefault="00F05C36" w:rsidP="00D4175F">
            <w:pPr>
              <w:pStyle w:val="Sarakstarindkopa"/>
              <w:numPr>
                <w:ilvl w:val="0"/>
                <w:numId w:val="19"/>
              </w:numPr>
              <w:jc w:val="both"/>
              <w:rPr>
                <w:bCs/>
                <w:lang w:val="lv-LV" w:eastAsia="lv-LV"/>
              </w:rPr>
            </w:pPr>
            <w:r w:rsidRPr="00D4175F">
              <w:rPr>
                <w:bCs/>
                <w:lang w:val="lv-LV" w:eastAsia="lv-LV"/>
              </w:rPr>
              <w:t xml:space="preserve">lai īstenotu lietišķās pētījumu programmas biškopības un biškopības produktu jomā, LBB ik gadu veic medus kvalitātes analīzes. </w:t>
            </w:r>
          </w:p>
          <w:p w14:paraId="4FEFBDC5" w14:textId="66398C14" w:rsidR="00F05C36" w:rsidRPr="00C820C4" w:rsidRDefault="00C820C4" w:rsidP="00F05C36">
            <w:pPr>
              <w:jc w:val="both"/>
              <w:rPr>
                <w:bCs/>
                <w:lang w:val="lv-LV" w:eastAsia="lv-LV"/>
              </w:rPr>
            </w:pPr>
            <w:r>
              <w:rPr>
                <w:bCs/>
                <w:lang w:val="lv-LV" w:eastAsia="lv-LV"/>
              </w:rPr>
              <w:t>Analiz</w:t>
            </w:r>
            <w:r w:rsidR="00F05C36" w:rsidRPr="00C820C4">
              <w:rPr>
                <w:bCs/>
                <w:lang w:val="lv-LV" w:eastAsia="lv-LV"/>
              </w:rPr>
              <w:t>ējot biškopības nozar</w:t>
            </w:r>
            <w:r w:rsidR="006C4B79" w:rsidRPr="00C820C4">
              <w:rPr>
                <w:bCs/>
                <w:lang w:val="lv-LV" w:eastAsia="lv-LV"/>
              </w:rPr>
              <w:t>ē</w:t>
            </w:r>
            <w:r w:rsidR="00F05C36" w:rsidRPr="00C820C4">
              <w:rPr>
                <w:bCs/>
                <w:lang w:val="lv-LV" w:eastAsia="lv-LV"/>
              </w:rPr>
              <w:t xml:space="preserve"> esošo situāciju, var redzēt, ka </w:t>
            </w:r>
            <w:r w:rsidR="006C4B79" w:rsidRPr="00C820C4">
              <w:rPr>
                <w:bCs/>
                <w:lang w:val="lv-LV" w:eastAsia="lv-LV"/>
              </w:rPr>
              <w:t>l</w:t>
            </w:r>
            <w:r w:rsidR="00F05C36" w:rsidRPr="00C820C4">
              <w:rPr>
                <w:bCs/>
                <w:lang w:val="lv-LV" w:eastAsia="lv-LV"/>
              </w:rPr>
              <w:t>ielāko daļu no saražotās produkcijas, biškopji realizē tiešā pārdošanā patērētājiem un vairumtirdzniecībā, kā arī daļa saražotās produkcijas tiek realizēt</w:t>
            </w:r>
            <w:r w:rsidR="00AD6683">
              <w:rPr>
                <w:bCs/>
                <w:lang w:val="lv-LV" w:eastAsia="lv-LV"/>
              </w:rPr>
              <w:t>a</w:t>
            </w:r>
            <w:r w:rsidR="00F05C36" w:rsidRPr="00C820C4">
              <w:rPr>
                <w:bCs/>
                <w:lang w:val="lv-LV" w:eastAsia="lv-LV"/>
              </w:rPr>
              <w:t xml:space="preserve"> mazumtirdzniecības uzņēmumiem (veikaliem), pārtikas ražotājiem (konditorejām u.c.) un eksportēta. Pēc Centrālās statistikas</w:t>
            </w:r>
            <w:r w:rsidR="00656F31">
              <w:rPr>
                <w:bCs/>
                <w:lang w:val="lv-LV" w:eastAsia="lv-LV"/>
              </w:rPr>
              <w:t xml:space="preserve"> pārvaldes</w:t>
            </w:r>
            <w:r w:rsidR="00F05C36" w:rsidRPr="00C820C4">
              <w:rPr>
                <w:bCs/>
                <w:lang w:val="lv-LV" w:eastAsia="lv-LV"/>
              </w:rPr>
              <w:t xml:space="preserve"> datiem 2019.gadā tika saražot</w:t>
            </w:r>
            <w:r w:rsidR="00AD6683">
              <w:rPr>
                <w:bCs/>
                <w:lang w:val="lv-LV" w:eastAsia="lv-LV"/>
              </w:rPr>
              <w:t>a</w:t>
            </w:r>
            <w:r w:rsidR="00F05C36" w:rsidRPr="00C820C4">
              <w:rPr>
                <w:bCs/>
                <w:lang w:val="lv-LV" w:eastAsia="lv-LV"/>
              </w:rPr>
              <w:t xml:space="preserve">s 2152 tonnas medus un medus vidējā cena bija 4 221 </w:t>
            </w:r>
            <w:proofErr w:type="spellStart"/>
            <w:r w:rsidR="00656F31" w:rsidRPr="00120730">
              <w:rPr>
                <w:bCs/>
                <w:i/>
                <w:lang w:val="lv-LV" w:eastAsia="lv-LV"/>
              </w:rPr>
              <w:t>euro</w:t>
            </w:r>
            <w:proofErr w:type="spellEnd"/>
            <w:r w:rsidR="00F05C36" w:rsidRPr="00C820C4">
              <w:rPr>
                <w:bCs/>
                <w:lang w:val="lv-LV" w:eastAsia="lv-LV"/>
              </w:rPr>
              <w:t xml:space="preserve"> par tonnu, bet 2018.gadā tika saražot</w:t>
            </w:r>
            <w:r w:rsidR="00AD6683">
              <w:rPr>
                <w:bCs/>
                <w:lang w:val="lv-LV" w:eastAsia="lv-LV"/>
              </w:rPr>
              <w:t>a</w:t>
            </w:r>
            <w:r w:rsidR="00F05C36" w:rsidRPr="00C820C4">
              <w:rPr>
                <w:bCs/>
                <w:lang w:val="lv-LV" w:eastAsia="lv-LV"/>
              </w:rPr>
              <w:t xml:space="preserve">s 1998 tonnas medus un medus vidējā cena bija 4725 </w:t>
            </w:r>
            <w:proofErr w:type="spellStart"/>
            <w:r w:rsidR="00656F31" w:rsidRPr="00120730">
              <w:rPr>
                <w:bCs/>
                <w:i/>
                <w:lang w:val="lv-LV" w:eastAsia="lv-LV"/>
              </w:rPr>
              <w:t>euro</w:t>
            </w:r>
            <w:proofErr w:type="spellEnd"/>
            <w:r w:rsidR="00F05C36" w:rsidRPr="00C820C4">
              <w:rPr>
                <w:bCs/>
                <w:lang w:val="lv-LV" w:eastAsia="lv-LV"/>
              </w:rPr>
              <w:t xml:space="preserve"> par tonnu. Salīdzin</w:t>
            </w:r>
            <w:r w:rsidR="00AD6683">
              <w:rPr>
                <w:bCs/>
                <w:lang w:val="lv-LV" w:eastAsia="lv-LV"/>
              </w:rPr>
              <w:t>ājumā</w:t>
            </w:r>
            <w:r w:rsidR="00F05C36" w:rsidRPr="00C820C4">
              <w:rPr>
                <w:bCs/>
                <w:lang w:val="lv-LV" w:eastAsia="lv-LV"/>
              </w:rPr>
              <w:t xml:space="preserve"> ar 2018. gadu saražotā medus apjoms 2019.gadā ir palielinājies par 7,71%, bet medus vidējā cena samazinājās par 10</w:t>
            </w:r>
            <w:r w:rsidR="00AD6683">
              <w:rPr>
                <w:bCs/>
                <w:lang w:val="lv-LV" w:eastAsia="lv-LV"/>
              </w:rPr>
              <w:t>,</w:t>
            </w:r>
            <w:r w:rsidR="00F05C36" w:rsidRPr="00C820C4">
              <w:rPr>
                <w:bCs/>
                <w:lang w:val="lv-LV" w:eastAsia="lv-LV"/>
              </w:rPr>
              <w:t>67%.</w:t>
            </w:r>
          </w:p>
          <w:p w14:paraId="096B9E9B" w14:textId="48BFB9AD" w:rsidR="00F32D1A" w:rsidRPr="006C4B79" w:rsidRDefault="00F32D1A" w:rsidP="00461987">
            <w:pPr>
              <w:jc w:val="both"/>
              <w:rPr>
                <w:bCs/>
                <w:lang w:val="lv-LV" w:eastAsia="lv-LV"/>
              </w:rPr>
            </w:pPr>
            <w:r w:rsidRPr="00C820C4">
              <w:rPr>
                <w:bCs/>
                <w:lang w:val="lv-LV" w:eastAsia="lv-LV"/>
              </w:rPr>
              <w:t>Atbilstoši biškopības</w:t>
            </w:r>
            <w:r w:rsidRPr="006C4B79">
              <w:rPr>
                <w:bCs/>
                <w:lang w:val="lv-LV" w:eastAsia="lv-LV"/>
              </w:rPr>
              <w:t xml:space="preserve"> programmas mērķim – uzlabot biškopības produktu ražošanas un tirdzniecības nosacījumus</w:t>
            </w:r>
            <w:r w:rsidR="00AD6683">
              <w:rPr>
                <w:bCs/>
                <w:lang w:val="lv-LV" w:eastAsia="lv-LV"/>
              </w:rPr>
              <w:t> –</w:t>
            </w:r>
            <w:r w:rsidRPr="006C4B79">
              <w:rPr>
                <w:bCs/>
                <w:lang w:val="lv-LV" w:eastAsia="lv-LV"/>
              </w:rPr>
              <w:t xml:space="preserve"> 2020. gadā plānots valsts un ELGF atbalsts noteiktām darbībām 415 tūks</w:t>
            </w:r>
            <w:r w:rsidR="008F583F" w:rsidRPr="006C4B79">
              <w:rPr>
                <w:bCs/>
                <w:lang w:val="lv-LV" w:eastAsia="lv-LV"/>
              </w:rPr>
              <w:t>t</w:t>
            </w:r>
            <w:r w:rsidRPr="006C4B79">
              <w:rPr>
                <w:bCs/>
                <w:lang w:val="lv-LV" w:eastAsia="lv-LV"/>
              </w:rPr>
              <w:t xml:space="preserve">. </w:t>
            </w:r>
            <w:proofErr w:type="spellStart"/>
            <w:r w:rsidRPr="006C4B79">
              <w:rPr>
                <w:bCs/>
                <w:i/>
                <w:lang w:val="lv-LV" w:eastAsia="lv-LV"/>
              </w:rPr>
              <w:t>euro</w:t>
            </w:r>
            <w:proofErr w:type="spellEnd"/>
            <w:r w:rsidRPr="006C4B79">
              <w:rPr>
                <w:bCs/>
                <w:lang w:val="lv-LV" w:eastAsia="lv-LV"/>
              </w:rPr>
              <w:t xml:space="preserve"> apmērā.</w:t>
            </w:r>
            <w:r w:rsidR="00461987" w:rsidRPr="006C4B79">
              <w:rPr>
                <w:bCs/>
                <w:lang w:val="lv-LV" w:eastAsia="lv-LV"/>
              </w:rPr>
              <w:tab/>
            </w:r>
          </w:p>
          <w:p w14:paraId="7B72AD59" w14:textId="7A4185EA" w:rsidR="00F61D3C" w:rsidRPr="006C4B79" w:rsidRDefault="00F61D3C" w:rsidP="00F61D3C">
            <w:pPr>
              <w:jc w:val="both"/>
              <w:rPr>
                <w:bCs/>
                <w:lang w:val="lv-LV" w:eastAsia="lv-LV"/>
              </w:rPr>
            </w:pPr>
            <w:r w:rsidRPr="006C4B79">
              <w:rPr>
                <w:bCs/>
                <w:lang w:val="lv-LV" w:eastAsia="lv-LV"/>
              </w:rPr>
              <w:t>Ievērojot Ministru kabineta 2009. gada 3. februāra noteikumu Nr. 108 “Normatīvo aktu projektu sagatavošanas noteikumi” 140. punktu, ir sagatavots jauns noteikumu projekts, jo grozījumu noteikumu projektu nesagatavo, ja tā normu apjoms pārsniedz pusi no spēkā esošo noteikumu normu apjoma.</w:t>
            </w:r>
          </w:p>
          <w:p w14:paraId="2CFD7156" w14:textId="0DD2DC36" w:rsidR="000C3C3C" w:rsidRPr="00B133F1" w:rsidRDefault="000C3C3C" w:rsidP="000C3C3C">
            <w:pPr>
              <w:jc w:val="both"/>
              <w:rPr>
                <w:bCs/>
                <w:lang w:val="lv-LV" w:eastAsia="lv-LV"/>
              </w:rPr>
            </w:pPr>
            <w:r w:rsidRPr="006C4B79">
              <w:rPr>
                <w:bCs/>
                <w:lang w:val="lv-LV" w:eastAsia="lv-LV"/>
              </w:rPr>
              <w:t>Sagatavotais noteikumu projekts pilnībā atrisinās visas problēmas un nepilnības.</w:t>
            </w:r>
          </w:p>
        </w:tc>
      </w:tr>
      <w:tr w:rsidR="005D73DE" w:rsidRPr="000D2356" w14:paraId="59774902" w14:textId="77777777" w:rsidTr="00C21DCA">
        <w:tc>
          <w:tcPr>
            <w:tcW w:w="250" w:type="pct"/>
          </w:tcPr>
          <w:p w14:paraId="01F10FAE" w14:textId="77777777" w:rsidR="00A162FE" w:rsidRPr="000D2356" w:rsidRDefault="00A162FE" w:rsidP="00C21DCA">
            <w:pPr>
              <w:jc w:val="center"/>
              <w:rPr>
                <w:lang w:val="lv-LV" w:eastAsia="lv-LV"/>
              </w:rPr>
            </w:pPr>
            <w:r w:rsidRPr="000D2356">
              <w:rPr>
                <w:lang w:val="lv-LV" w:eastAsia="lv-LV"/>
              </w:rPr>
              <w:lastRenderedPageBreak/>
              <w:t>3.</w:t>
            </w:r>
          </w:p>
        </w:tc>
        <w:tc>
          <w:tcPr>
            <w:tcW w:w="1397" w:type="pct"/>
          </w:tcPr>
          <w:p w14:paraId="17F32948" w14:textId="77777777" w:rsidR="00A162FE" w:rsidRPr="000D2356" w:rsidRDefault="006A073E" w:rsidP="005D73DE">
            <w:pPr>
              <w:jc w:val="both"/>
              <w:rPr>
                <w:lang w:val="lv-LV" w:eastAsia="lv-LV"/>
              </w:rPr>
            </w:pPr>
            <w:r w:rsidRPr="000D2356">
              <w:rPr>
                <w:lang w:val="lv-LV" w:eastAsia="lv-LV"/>
              </w:rPr>
              <w:t>Projekta izstrādē iesaistītās institūcijas</w:t>
            </w:r>
            <w:r w:rsidR="00354783" w:rsidRPr="000D2356">
              <w:rPr>
                <w:lang w:val="lv-LV" w:eastAsia="lv-LV"/>
              </w:rPr>
              <w:t xml:space="preserve"> </w:t>
            </w:r>
            <w:r w:rsidR="00354783" w:rsidRPr="000D2356">
              <w:rPr>
                <w:lang w:val="lv-LV"/>
              </w:rPr>
              <w:t>un publiskas personas kapitālsabiedrības</w:t>
            </w:r>
          </w:p>
        </w:tc>
        <w:tc>
          <w:tcPr>
            <w:tcW w:w="3353" w:type="pct"/>
          </w:tcPr>
          <w:p w14:paraId="668362EF" w14:textId="3EEDCFB2" w:rsidR="00A162FE" w:rsidRPr="000D2356" w:rsidRDefault="00AE4C15" w:rsidP="005D73DE">
            <w:pPr>
              <w:jc w:val="both"/>
              <w:rPr>
                <w:lang w:val="lv-LV" w:eastAsia="lv-LV"/>
              </w:rPr>
            </w:pPr>
            <w:r>
              <w:rPr>
                <w:iCs/>
                <w:lang w:val="lv-LV" w:eastAsia="lv-LV"/>
              </w:rPr>
              <w:t>Lauku atbalsta</w:t>
            </w:r>
            <w:r w:rsidR="00F82B12" w:rsidRPr="000D2356">
              <w:rPr>
                <w:iCs/>
                <w:lang w:val="lv-LV" w:eastAsia="lv-LV"/>
              </w:rPr>
              <w:t xml:space="preserve"> dienests</w:t>
            </w:r>
          </w:p>
        </w:tc>
      </w:tr>
      <w:tr w:rsidR="005D73DE" w:rsidRPr="000D2356" w14:paraId="02048EE5" w14:textId="77777777" w:rsidTr="00C21DCA">
        <w:tc>
          <w:tcPr>
            <w:tcW w:w="250" w:type="pct"/>
          </w:tcPr>
          <w:p w14:paraId="5038B7EE" w14:textId="77777777" w:rsidR="00A162FE" w:rsidRPr="000D2356" w:rsidRDefault="00A162FE" w:rsidP="00C21DCA">
            <w:pPr>
              <w:jc w:val="center"/>
              <w:rPr>
                <w:lang w:val="lv-LV" w:eastAsia="lv-LV"/>
              </w:rPr>
            </w:pPr>
            <w:r w:rsidRPr="000D2356">
              <w:rPr>
                <w:lang w:val="lv-LV" w:eastAsia="lv-LV"/>
              </w:rPr>
              <w:t>4.</w:t>
            </w:r>
          </w:p>
        </w:tc>
        <w:tc>
          <w:tcPr>
            <w:tcW w:w="1397" w:type="pct"/>
          </w:tcPr>
          <w:p w14:paraId="2AF4F603" w14:textId="77777777" w:rsidR="00A162FE" w:rsidRPr="000D2356" w:rsidRDefault="006A073E" w:rsidP="005D73DE">
            <w:pPr>
              <w:jc w:val="both"/>
              <w:rPr>
                <w:lang w:val="lv-LV" w:eastAsia="lv-LV"/>
              </w:rPr>
            </w:pPr>
            <w:r w:rsidRPr="000D2356">
              <w:rPr>
                <w:lang w:val="lv-LV" w:eastAsia="lv-LV"/>
              </w:rPr>
              <w:t>Cita informācija</w:t>
            </w:r>
          </w:p>
        </w:tc>
        <w:tc>
          <w:tcPr>
            <w:tcW w:w="3353" w:type="pct"/>
          </w:tcPr>
          <w:p w14:paraId="128E8EAF" w14:textId="77777777" w:rsidR="00A162FE" w:rsidRPr="000D2356" w:rsidRDefault="00AE2738" w:rsidP="005D73DE">
            <w:pPr>
              <w:jc w:val="both"/>
              <w:rPr>
                <w:lang w:val="lv-LV"/>
              </w:rPr>
            </w:pPr>
            <w:r w:rsidRPr="000D2356">
              <w:rPr>
                <w:iCs/>
                <w:lang w:val="lv-LV" w:eastAsia="lv-LV"/>
              </w:rPr>
              <w:t>Nav</w:t>
            </w:r>
            <w:r w:rsidR="00A741F4">
              <w:rPr>
                <w:iCs/>
                <w:lang w:val="lv-LV" w:eastAsia="lv-LV"/>
              </w:rPr>
              <w:t>.</w:t>
            </w:r>
          </w:p>
        </w:tc>
      </w:tr>
    </w:tbl>
    <w:p w14:paraId="03EA86F7" w14:textId="77777777" w:rsidR="00C21DCA" w:rsidRPr="000D2356"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6D468F" w:rsidRPr="00195F05" w14:paraId="0F7689E3" w14:textId="77777777" w:rsidTr="00105B67">
        <w:tc>
          <w:tcPr>
            <w:tcW w:w="0" w:type="auto"/>
            <w:gridSpan w:val="3"/>
            <w:vAlign w:val="center"/>
          </w:tcPr>
          <w:p w14:paraId="574865CF" w14:textId="77777777" w:rsidR="006D468F" w:rsidRPr="000D2356" w:rsidRDefault="006D468F" w:rsidP="00105B67">
            <w:pPr>
              <w:jc w:val="center"/>
              <w:rPr>
                <w:b/>
                <w:bCs/>
                <w:lang w:val="lv-LV" w:eastAsia="lv-LV"/>
              </w:rPr>
            </w:pPr>
            <w:r w:rsidRPr="000D2356">
              <w:rPr>
                <w:b/>
                <w:szCs w:val="28"/>
                <w:lang w:val="lv-LV"/>
              </w:rPr>
              <w:t>II. Tiesību akta projekta ietekme uz sabiedrību,</w:t>
            </w:r>
            <w:r w:rsidRPr="000D2356">
              <w:rPr>
                <w:b/>
                <w:bCs/>
                <w:szCs w:val="28"/>
                <w:lang w:val="lv-LV"/>
              </w:rPr>
              <w:t xml:space="preserve"> tautsaimniecības attīstību un administratīvo slogu</w:t>
            </w:r>
          </w:p>
        </w:tc>
      </w:tr>
      <w:tr w:rsidR="006D468F" w:rsidRPr="009A2E0A" w14:paraId="4FD73C9E" w14:textId="77777777" w:rsidTr="00105B67">
        <w:tc>
          <w:tcPr>
            <w:tcW w:w="250" w:type="pct"/>
          </w:tcPr>
          <w:p w14:paraId="51948FE6" w14:textId="77777777" w:rsidR="006D468F" w:rsidRPr="000D2356" w:rsidRDefault="006D468F" w:rsidP="00105B67">
            <w:pPr>
              <w:jc w:val="center"/>
              <w:rPr>
                <w:lang w:val="lv-LV" w:eastAsia="lv-LV"/>
              </w:rPr>
            </w:pPr>
            <w:r w:rsidRPr="000D2356">
              <w:rPr>
                <w:lang w:val="lv-LV" w:eastAsia="lv-LV"/>
              </w:rPr>
              <w:t>1.</w:t>
            </w:r>
          </w:p>
        </w:tc>
        <w:tc>
          <w:tcPr>
            <w:tcW w:w="1397" w:type="pct"/>
          </w:tcPr>
          <w:p w14:paraId="4B613A81" w14:textId="77777777" w:rsidR="006D468F" w:rsidRPr="000D2356" w:rsidRDefault="006D468F" w:rsidP="00105B67">
            <w:pPr>
              <w:jc w:val="both"/>
              <w:rPr>
                <w:lang w:val="lv-LV"/>
              </w:rPr>
            </w:pPr>
            <w:r w:rsidRPr="000D2356">
              <w:rPr>
                <w:lang w:val="lv-LV"/>
              </w:rPr>
              <w:t>Sabiedrības mērķgrupas, kuras tiesiskais regulējums ietekmē vai varētu ietekmēt</w:t>
            </w:r>
          </w:p>
        </w:tc>
        <w:tc>
          <w:tcPr>
            <w:tcW w:w="3353" w:type="pct"/>
          </w:tcPr>
          <w:p w14:paraId="19759B65" w14:textId="2D0FACC1" w:rsidR="006D468F" w:rsidRPr="000D2356" w:rsidRDefault="00E6147B" w:rsidP="00397ADB">
            <w:pPr>
              <w:jc w:val="both"/>
              <w:rPr>
                <w:lang w:val="lv-LV"/>
              </w:rPr>
            </w:pPr>
            <w:r w:rsidRPr="00E6147B">
              <w:rPr>
                <w:lang w:val="lv-LV" w:eastAsia="lv-LV"/>
              </w:rPr>
              <w:t xml:space="preserve">Noteikumu projekta tiesiskais regulējums attieksies </w:t>
            </w:r>
            <w:r w:rsidR="009A2E0A">
              <w:rPr>
                <w:lang w:val="lv-LV" w:eastAsia="lv-LV"/>
              </w:rPr>
              <w:t xml:space="preserve">uz </w:t>
            </w:r>
            <w:r w:rsidR="0063288F" w:rsidRPr="00E6147B">
              <w:rPr>
                <w:lang w:val="lv-LV" w:eastAsia="lv-LV"/>
              </w:rPr>
              <w:t xml:space="preserve">Latvijas Biškopības biedrību </w:t>
            </w:r>
            <w:r w:rsidR="0063288F">
              <w:rPr>
                <w:lang w:val="lv-LV" w:eastAsia="lv-LV"/>
              </w:rPr>
              <w:t>un</w:t>
            </w:r>
            <w:r w:rsidRPr="00E6147B">
              <w:rPr>
                <w:lang w:val="lv-LV" w:eastAsia="lv-LV"/>
              </w:rPr>
              <w:t xml:space="preserve"> bišu saimju īpašniekiem un turētājiem. </w:t>
            </w:r>
            <w:r w:rsidR="009A2E0A">
              <w:rPr>
                <w:lang w:val="lv-LV" w:eastAsia="lv-LV"/>
              </w:rPr>
              <w:t>Lauksaimniecības d</w:t>
            </w:r>
            <w:r w:rsidRPr="00E6147B">
              <w:rPr>
                <w:lang w:val="lv-LV" w:eastAsia="lv-LV"/>
              </w:rPr>
              <w:t>atu centra elektroniskajā datubāzē ir reģistrēts 2931 biškopis</w:t>
            </w:r>
            <w:r w:rsidR="00A8493F" w:rsidRPr="00C031B6">
              <w:rPr>
                <w:lang w:val="lv-LV"/>
              </w:rPr>
              <w:t>.</w:t>
            </w:r>
          </w:p>
        </w:tc>
      </w:tr>
      <w:tr w:rsidR="006D468F" w:rsidRPr="00A95242" w14:paraId="7A16BF87" w14:textId="77777777" w:rsidTr="00105B67">
        <w:tc>
          <w:tcPr>
            <w:tcW w:w="250" w:type="pct"/>
          </w:tcPr>
          <w:p w14:paraId="0F3D6BD1" w14:textId="77777777" w:rsidR="006D468F" w:rsidRPr="000D2356" w:rsidRDefault="006D468F" w:rsidP="00105B67">
            <w:pPr>
              <w:jc w:val="center"/>
              <w:rPr>
                <w:lang w:val="lv-LV" w:eastAsia="lv-LV"/>
              </w:rPr>
            </w:pPr>
            <w:r w:rsidRPr="000D2356">
              <w:rPr>
                <w:lang w:val="lv-LV" w:eastAsia="lv-LV"/>
              </w:rPr>
              <w:lastRenderedPageBreak/>
              <w:t>2.</w:t>
            </w:r>
          </w:p>
        </w:tc>
        <w:tc>
          <w:tcPr>
            <w:tcW w:w="1397" w:type="pct"/>
          </w:tcPr>
          <w:p w14:paraId="425DF26A" w14:textId="77777777" w:rsidR="006D468F" w:rsidRPr="000D2356" w:rsidRDefault="006D468F" w:rsidP="00105B67">
            <w:pPr>
              <w:widowControl w:val="0"/>
              <w:jc w:val="both"/>
              <w:rPr>
                <w:lang w:val="lv-LV"/>
              </w:rPr>
            </w:pPr>
            <w:r w:rsidRPr="000D2356">
              <w:rPr>
                <w:lang w:val="lv-LV"/>
              </w:rPr>
              <w:t>Tiesiskā regulējuma ietekme uz tautsaimniecību un administratīvo slogu</w:t>
            </w:r>
          </w:p>
        </w:tc>
        <w:tc>
          <w:tcPr>
            <w:tcW w:w="3353" w:type="pct"/>
          </w:tcPr>
          <w:p w14:paraId="2794DF4A" w14:textId="70D3230F" w:rsidR="00E6147B" w:rsidRDefault="00E6147B" w:rsidP="00397ADB">
            <w:pPr>
              <w:jc w:val="both"/>
              <w:rPr>
                <w:lang w:val="lv-LV"/>
              </w:rPr>
            </w:pPr>
            <w:r w:rsidRPr="00E6147B">
              <w:rPr>
                <w:lang w:val="lv-LV" w:eastAsia="lv-LV"/>
              </w:rPr>
              <w:t>Noteikumu projekts nerada negatīvu ietekmi uz uzņēmējdarbības vidi un dažāda lieluma uzņēmumiem, konkurenci, vidi, veselību un nevalstiskajām organizācijām. Noteikumu projekts rada pozitīvu ietekmi uz Nacionālā attīstības plāna rādītājiem, jo nodrošina dzīvnieku veselības un labturības uzraudzības pasākumu reģistrāciju, uzskaiti un analīzi, tā garantējot sabiedrības veselību un dzīvnieku izcelsmes pārtikas patērētāju aizsardzību</w:t>
            </w:r>
            <w:r>
              <w:rPr>
                <w:lang w:val="lv-LV" w:eastAsia="lv-LV"/>
              </w:rPr>
              <w:t>.</w:t>
            </w:r>
          </w:p>
          <w:p w14:paraId="3C75464D" w14:textId="794C0E34" w:rsidR="00F639A4" w:rsidRPr="000D2356" w:rsidRDefault="001625FE" w:rsidP="00625976">
            <w:pPr>
              <w:jc w:val="both"/>
              <w:rPr>
                <w:lang w:val="lv-LV"/>
              </w:rPr>
            </w:pPr>
            <w:r>
              <w:rPr>
                <w:lang w:val="lv-LV"/>
              </w:rPr>
              <w:t xml:space="preserve">Administratīvais slogs nepalielinās, jo </w:t>
            </w:r>
            <w:r w:rsidR="00EB5CE9">
              <w:rPr>
                <w:lang w:val="lv-LV"/>
              </w:rPr>
              <w:t xml:space="preserve">dienests jau </w:t>
            </w:r>
            <w:r w:rsidR="00C8502A">
              <w:rPr>
                <w:lang w:val="lv-LV"/>
              </w:rPr>
              <w:t>pašlaik</w:t>
            </w:r>
            <w:r w:rsidR="00EB5CE9">
              <w:rPr>
                <w:lang w:val="lv-LV"/>
              </w:rPr>
              <w:t xml:space="preserve"> pilda </w:t>
            </w:r>
            <w:r w:rsidR="00E6147B">
              <w:rPr>
                <w:lang w:val="lv-LV"/>
              </w:rPr>
              <w:t>noteikumos</w:t>
            </w:r>
            <w:r w:rsidR="00397ADB">
              <w:rPr>
                <w:lang w:val="lv-LV"/>
              </w:rPr>
              <w:t xml:space="preserve"> </w:t>
            </w:r>
            <w:r>
              <w:rPr>
                <w:lang w:val="lv-LV"/>
              </w:rPr>
              <w:t>minētās funkcijas.</w:t>
            </w:r>
            <w:r w:rsidR="002456F0">
              <w:rPr>
                <w:lang w:val="lv-LV"/>
              </w:rPr>
              <w:t xml:space="preserve"> Uzņēmējiem netiek noteikti jauni pienākumi.</w:t>
            </w:r>
          </w:p>
        </w:tc>
      </w:tr>
      <w:tr w:rsidR="006D468F" w:rsidRPr="000D2356" w14:paraId="289FD742" w14:textId="77777777" w:rsidTr="00105B67">
        <w:tc>
          <w:tcPr>
            <w:tcW w:w="250" w:type="pct"/>
          </w:tcPr>
          <w:p w14:paraId="55BE89CA" w14:textId="77777777" w:rsidR="006D468F" w:rsidRPr="000D2356" w:rsidRDefault="006D468F" w:rsidP="00105B67">
            <w:pPr>
              <w:jc w:val="center"/>
              <w:rPr>
                <w:lang w:val="lv-LV" w:eastAsia="lv-LV"/>
              </w:rPr>
            </w:pPr>
            <w:r w:rsidRPr="000D2356">
              <w:rPr>
                <w:lang w:val="lv-LV" w:eastAsia="lv-LV"/>
              </w:rPr>
              <w:t>3.</w:t>
            </w:r>
          </w:p>
        </w:tc>
        <w:tc>
          <w:tcPr>
            <w:tcW w:w="1397" w:type="pct"/>
          </w:tcPr>
          <w:p w14:paraId="09B8EC05" w14:textId="77777777" w:rsidR="006D468F" w:rsidRPr="000D2356" w:rsidRDefault="006D468F" w:rsidP="00105B67">
            <w:pPr>
              <w:pStyle w:val="Paraststmeklis"/>
              <w:spacing w:before="0" w:beforeAutospacing="0" w:after="0" w:afterAutospacing="0"/>
              <w:jc w:val="both"/>
              <w:rPr>
                <w:lang w:val="lv-LV"/>
              </w:rPr>
            </w:pPr>
            <w:r w:rsidRPr="000D2356">
              <w:rPr>
                <w:lang w:val="lv-LV"/>
              </w:rPr>
              <w:t>Administratīvo izmaksu monetārs novērtējums</w:t>
            </w:r>
          </w:p>
        </w:tc>
        <w:tc>
          <w:tcPr>
            <w:tcW w:w="3353" w:type="pct"/>
          </w:tcPr>
          <w:p w14:paraId="164322EF" w14:textId="77777777" w:rsidR="006D468F" w:rsidRPr="000D2356" w:rsidRDefault="00AE2738" w:rsidP="00105B67">
            <w:pPr>
              <w:jc w:val="both"/>
              <w:rPr>
                <w:lang w:val="lv-LV" w:eastAsia="lv-LV"/>
              </w:rPr>
            </w:pPr>
            <w:r w:rsidRPr="000D2356">
              <w:rPr>
                <w:iCs/>
                <w:lang w:val="lv-LV" w:eastAsia="lv-LV"/>
              </w:rPr>
              <w:t>Projekts šo jomu neskar.</w:t>
            </w:r>
          </w:p>
        </w:tc>
      </w:tr>
      <w:tr w:rsidR="007A5683" w:rsidRPr="000D2356" w14:paraId="565AB1E0" w14:textId="77777777" w:rsidTr="00105B67">
        <w:tc>
          <w:tcPr>
            <w:tcW w:w="250" w:type="pct"/>
          </w:tcPr>
          <w:p w14:paraId="1711CDCE" w14:textId="77777777" w:rsidR="007A5683" w:rsidRPr="000D2356" w:rsidRDefault="007A5683" w:rsidP="007A5683">
            <w:pPr>
              <w:jc w:val="center"/>
              <w:rPr>
                <w:lang w:val="lv-LV" w:eastAsia="lv-LV"/>
              </w:rPr>
            </w:pPr>
            <w:r w:rsidRPr="000D2356">
              <w:rPr>
                <w:lang w:val="lv-LV" w:eastAsia="lv-LV"/>
              </w:rPr>
              <w:t>4.</w:t>
            </w:r>
          </w:p>
        </w:tc>
        <w:tc>
          <w:tcPr>
            <w:tcW w:w="1397" w:type="pct"/>
          </w:tcPr>
          <w:p w14:paraId="21110E9C" w14:textId="77777777" w:rsidR="007A5683" w:rsidRPr="000D2356" w:rsidRDefault="007A5683" w:rsidP="007A5683">
            <w:pPr>
              <w:pStyle w:val="Paraststmeklis"/>
              <w:spacing w:before="0" w:beforeAutospacing="0" w:after="0" w:afterAutospacing="0"/>
              <w:jc w:val="both"/>
              <w:rPr>
                <w:lang w:val="lv-LV"/>
              </w:rPr>
            </w:pPr>
            <w:r w:rsidRPr="000D2356">
              <w:rPr>
                <w:lang w:val="lv-LV"/>
              </w:rPr>
              <w:t>Atbilstības izmaksu monetārs novērtējums</w:t>
            </w:r>
          </w:p>
        </w:tc>
        <w:tc>
          <w:tcPr>
            <w:tcW w:w="3353" w:type="pct"/>
          </w:tcPr>
          <w:p w14:paraId="266A480C" w14:textId="77777777" w:rsidR="007A5683" w:rsidRPr="000D2356" w:rsidRDefault="00351CDB" w:rsidP="007A5683">
            <w:pPr>
              <w:jc w:val="both"/>
              <w:rPr>
                <w:lang w:val="lv-LV" w:eastAsia="lv-LV"/>
              </w:rPr>
            </w:pPr>
            <w:r w:rsidRPr="000D2356">
              <w:rPr>
                <w:iCs/>
                <w:lang w:val="lv-LV" w:eastAsia="lv-LV"/>
              </w:rPr>
              <w:t>Projekts šo jomu neskar.</w:t>
            </w:r>
          </w:p>
        </w:tc>
      </w:tr>
      <w:tr w:rsidR="006D468F" w:rsidRPr="000D2356" w14:paraId="07D209BB" w14:textId="77777777" w:rsidTr="00105B67">
        <w:tc>
          <w:tcPr>
            <w:tcW w:w="250" w:type="pct"/>
          </w:tcPr>
          <w:p w14:paraId="7066BD15" w14:textId="77777777" w:rsidR="006D468F" w:rsidRPr="000D2356" w:rsidRDefault="007A5683" w:rsidP="00105B67">
            <w:pPr>
              <w:jc w:val="center"/>
              <w:rPr>
                <w:lang w:val="lv-LV" w:eastAsia="lv-LV"/>
              </w:rPr>
            </w:pPr>
            <w:r w:rsidRPr="000D2356">
              <w:rPr>
                <w:lang w:val="lv-LV" w:eastAsia="lv-LV"/>
              </w:rPr>
              <w:t>5</w:t>
            </w:r>
            <w:r w:rsidR="006D468F" w:rsidRPr="000D2356">
              <w:rPr>
                <w:lang w:val="lv-LV" w:eastAsia="lv-LV"/>
              </w:rPr>
              <w:t>.</w:t>
            </w:r>
          </w:p>
        </w:tc>
        <w:tc>
          <w:tcPr>
            <w:tcW w:w="1397" w:type="pct"/>
          </w:tcPr>
          <w:p w14:paraId="3070BF3F" w14:textId="77777777" w:rsidR="006D468F" w:rsidRPr="000D2356" w:rsidRDefault="006D468F" w:rsidP="00105B67">
            <w:pPr>
              <w:jc w:val="both"/>
              <w:rPr>
                <w:lang w:val="lv-LV"/>
              </w:rPr>
            </w:pPr>
            <w:r w:rsidRPr="000D2356">
              <w:rPr>
                <w:lang w:val="lv-LV"/>
              </w:rPr>
              <w:t>Cita informācija</w:t>
            </w:r>
          </w:p>
        </w:tc>
        <w:tc>
          <w:tcPr>
            <w:tcW w:w="3353" w:type="pct"/>
          </w:tcPr>
          <w:p w14:paraId="7065AE06" w14:textId="77777777" w:rsidR="006D468F" w:rsidRPr="000D2356" w:rsidRDefault="00351CDB" w:rsidP="00105B67">
            <w:pPr>
              <w:jc w:val="both"/>
              <w:rPr>
                <w:lang w:val="lv-LV"/>
              </w:rPr>
            </w:pPr>
            <w:r w:rsidRPr="000D2356">
              <w:rPr>
                <w:lang w:val="lv-LV"/>
              </w:rPr>
              <w:t>Nav</w:t>
            </w:r>
            <w:r w:rsidR="00A741F4">
              <w:rPr>
                <w:lang w:val="lv-LV"/>
              </w:rPr>
              <w:t>.</w:t>
            </w:r>
          </w:p>
        </w:tc>
      </w:tr>
    </w:tbl>
    <w:p w14:paraId="1FCBEDA1" w14:textId="7EBDDA08" w:rsidR="00203C0A" w:rsidRDefault="00203C0A" w:rsidP="005D73DE">
      <w:pPr>
        <w:jc w:val="both"/>
        <w:rPr>
          <w:lang w:val="lv-LV"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EA573F" w:rsidRPr="00195F05" w14:paraId="29B130F9" w14:textId="77777777" w:rsidTr="00AD6683">
        <w:trPr>
          <w:cantSplit/>
        </w:trPr>
        <w:tc>
          <w:tcPr>
            <w:tcW w:w="9065" w:type="dxa"/>
            <w:gridSpan w:val="8"/>
            <w:shd w:val="clear" w:color="auto" w:fill="auto"/>
            <w:vAlign w:val="center"/>
            <w:hideMark/>
          </w:tcPr>
          <w:p w14:paraId="7C357407" w14:textId="77777777" w:rsidR="00EA573F" w:rsidRPr="00BB1513" w:rsidRDefault="00EA573F" w:rsidP="00EA573F">
            <w:pPr>
              <w:rPr>
                <w:b/>
                <w:bCs/>
                <w:lang w:val="lv-LV" w:eastAsia="lv-LV"/>
              </w:rPr>
            </w:pPr>
            <w:r w:rsidRPr="00BB1513">
              <w:rPr>
                <w:b/>
                <w:bCs/>
                <w:lang w:val="lv-LV" w:eastAsia="lv-LV"/>
              </w:rPr>
              <w:t>III. Tiesību akta projekta ietekme uz valsts budžetu un pašvaldību budžetiem</w:t>
            </w:r>
          </w:p>
        </w:tc>
      </w:tr>
      <w:tr w:rsidR="00EA573F" w:rsidRPr="00BB1513" w14:paraId="6E751A24" w14:textId="77777777" w:rsidTr="00AD6683">
        <w:trPr>
          <w:cantSplit/>
        </w:trPr>
        <w:tc>
          <w:tcPr>
            <w:tcW w:w="2162" w:type="dxa"/>
            <w:vMerge w:val="restart"/>
            <w:shd w:val="clear" w:color="auto" w:fill="FFFFFF"/>
            <w:vAlign w:val="center"/>
          </w:tcPr>
          <w:p w14:paraId="0DB080D3" w14:textId="77777777" w:rsidR="00EA573F" w:rsidRPr="00295B18" w:rsidRDefault="00EA573F" w:rsidP="00EA573F">
            <w:pPr>
              <w:rPr>
                <w:lang w:val="lv-LV" w:eastAsia="lv-LV"/>
              </w:rPr>
            </w:pPr>
            <w:r w:rsidRPr="00295B18">
              <w:rPr>
                <w:lang w:val="lv-LV" w:eastAsia="lv-LV"/>
              </w:rPr>
              <w:t>Rādītāji</w:t>
            </w:r>
          </w:p>
        </w:tc>
        <w:tc>
          <w:tcPr>
            <w:tcW w:w="2147" w:type="dxa"/>
            <w:gridSpan w:val="2"/>
            <w:vMerge w:val="restart"/>
            <w:shd w:val="clear" w:color="auto" w:fill="FFFFFF"/>
            <w:vAlign w:val="center"/>
            <w:hideMark/>
          </w:tcPr>
          <w:p w14:paraId="474AD340" w14:textId="6393122F" w:rsidR="00EA573F" w:rsidRPr="00295B18" w:rsidRDefault="00EA573F" w:rsidP="00EA573F">
            <w:pPr>
              <w:rPr>
                <w:lang w:val="lv-LV" w:eastAsia="lv-LV"/>
              </w:rPr>
            </w:pPr>
            <w:r w:rsidRPr="00295B18">
              <w:rPr>
                <w:lang w:val="lv-LV" w:eastAsia="lv-LV"/>
              </w:rPr>
              <w:t>2020.gads</w:t>
            </w:r>
          </w:p>
        </w:tc>
        <w:tc>
          <w:tcPr>
            <w:tcW w:w="4756" w:type="dxa"/>
            <w:gridSpan w:val="5"/>
            <w:shd w:val="clear" w:color="auto" w:fill="FFFFFF"/>
            <w:vAlign w:val="center"/>
            <w:hideMark/>
          </w:tcPr>
          <w:p w14:paraId="1C972BB9" w14:textId="77777777" w:rsidR="00EA573F" w:rsidRPr="00295B18" w:rsidRDefault="00EA573F" w:rsidP="00EA573F">
            <w:pPr>
              <w:rPr>
                <w:lang w:val="lv-LV" w:eastAsia="lv-LV"/>
              </w:rPr>
            </w:pPr>
            <w:r w:rsidRPr="00295B18">
              <w:rPr>
                <w:lang w:val="lv-LV" w:eastAsia="lv-LV"/>
              </w:rPr>
              <w:t>Turpmākie trīs gadi (</w:t>
            </w:r>
            <w:proofErr w:type="spellStart"/>
            <w:r w:rsidRPr="00295B18">
              <w:rPr>
                <w:i/>
                <w:iCs/>
                <w:lang w:val="lv-LV" w:eastAsia="lv-LV"/>
              </w:rPr>
              <w:t>euro</w:t>
            </w:r>
            <w:proofErr w:type="spellEnd"/>
            <w:r w:rsidRPr="00295B18">
              <w:rPr>
                <w:lang w:val="lv-LV" w:eastAsia="lv-LV"/>
              </w:rPr>
              <w:t>)</w:t>
            </w:r>
          </w:p>
        </w:tc>
      </w:tr>
      <w:tr w:rsidR="00EA573F" w:rsidRPr="00BB1513" w14:paraId="65F01183" w14:textId="77777777" w:rsidTr="00AD6683">
        <w:trPr>
          <w:cantSplit/>
        </w:trPr>
        <w:tc>
          <w:tcPr>
            <w:tcW w:w="2162" w:type="dxa"/>
            <w:vMerge/>
            <w:shd w:val="clear" w:color="auto" w:fill="auto"/>
            <w:vAlign w:val="center"/>
            <w:hideMark/>
          </w:tcPr>
          <w:p w14:paraId="1D78D14A" w14:textId="77777777" w:rsidR="00EA573F" w:rsidRPr="00295B18" w:rsidRDefault="00EA573F" w:rsidP="00EA573F">
            <w:pPr>
              <w:rPr>
                <w:lang w:val="lv-LV" w:eastAsia="lv-LV"/>
              </w:rPr>
            </w:pPr>
          </w:p>
        </w:tc>
        <w:tc>
          <w:tcPr>
            <w:tcW w:w="2147" w:type="dxa"/>
            <w:gridSpan w:val="2"/>
            <w:vMerge/>
            <w:shd w:val="clear" w:color="auto" w:fill="auto"/>
            <w:vAlign w:val="center"/>
            <w:hideMark/>
          </w:tcPr>
          <w:p w14:paraId="3F01C140" w14:textId="77777777" w:rsidR="00EA573F" w:rsidRPr="00295B18" w:rsidRDefault="00EA573F" w:rsidP="00EA573F">
            <w:pPr>
              <w:rPr>
                <w:lang w:val="lv-LV" w:eastAsia="lv-LV"/>
              </w:rPr>
            </w:pPr>
          </w:p>
        </w:tc>
        <w:tc>
          <w:tcPr>
            <w:tcW w:w="1881" w:type="dxa"/>
            <w:gridSpan w:val="2"/>
            <w:shd w:val="clear" w:color="auto" w:fill="FFFFFF"/>
            <w:vAlign w:val="center"/>
            <w:hideMark/>
          </w:tcPr>
          <w:p w14:paraId="415F8506" w14:textId="77777777" w:rsidR="00EA573F" w:rsidRPr="00295B18" w:rsidRDefault="00EA573F" w:rsidP="00EA573F">
            <w:pPr>
              <w:rPr>
                <w:lang w:val="lv-LV" w:eastAsia="lv-LV"/>
              </w:rPr>
            </w:pPr>
            <w:r w:rsidRPr="00295B18">
              <w:rPr>
                <w:lang w:val="lv-LV" w:eastAsia="lv-LV"/>
              </w:rPr>
              <w:t>2021.gads</w:t>
            </w:r>
          </w:p>
        </w:tc>
        <w:tc>
          <w:tcPr>
            <w:tcW w:w="1880" w:type="dxa"/>
            <w:gridSpan w:val="2"/>
            <w:shd w:val="clear" w:color="auto" w:fill="FFFFFF"/>
            <w:vAlign w:val="center"/>
            <w:hideMark/>
          </w:tcPr>
          <w:p w14:paraId="087F09AE" w14:textId="77777777" w:rsidR="00EA573F" w:rsidRPr="00295B18" w:rsidRDefault="00EA573F" w:rsidP="00EA573F">
            <w:pPr>
              <w:rPr>
                <w:lang w:val="lv-LV" w:eastAsia="lv-LV"/>
              </w:rPr>
            </w:pPr>
            <w:r w:rsidRPr="00295B18">
              <w:rPr>
                <w:lang w:val="lv-LV" w:eastAsia="lv-LV"/>
              </w:rPr>
              <w:t>2022.gads</w:t>
            </w:r>
          </w:p>
        </w:tc>
        <w:tc>
          <w:tcPr>
            <w:tcW w:w="995" w:type="dxa"/>
            <w:shd w:val="clear" w:color="auto" w:fill="FFFFFF"/>
            <w:vAlign w:val="center"/>
            <w:hideMark/>
          </w:tcPr>
          <w:p w14:paraId="0CA30B2A" w14:textId="77777777" w:rsidR="00EA573F" w:rsidRPr="00295B18" w:rsidRDefault="00EA573F" w:rsidP="00EA573F">
            <w:pPr>
              <w:rPr>
                <w:lang w:val="lv-LV" w:eastAsia="lv-LV"/>
              </w:rPr>
            </w:pPr>
            <w:r w:rsidRPr="00295B18">
              <w:rPr>
                <w:lang w:val="lv-LV" w:eastAsia="lv-LV"/>
              </w:rPr>
              <w:t>2023.g.</w:t>
            </w:r>
          </w:p>
        </w:tc>
      </w:tr>
      <w:tr w:rsidR="00EA573F" w:rsidRPr="00BB1513" w14:paraId="7FC1494D" w14:textId="77777777" w:rsidTr="00AD6683">
        <w:trPr>
          <w:cantSplit/>
        </w:trPr>
        <w:tc>
          <w:tcPr>
            <w:tcW w:w="2162" w:type="dxa"/>
            <w:vMerge/>
            <w:shd w:val="clear" w:color="auto" w:fill="auto"/>
            <w:vAlign w:val="center"/>
            <w:hideMark/>
          </w:tcPr>
          <w:p w14:paraId="45DCC4D4" w14:textId="77777777" w:rsidR="00EA573F" w:rsidRPr="00295B18" w:rsidRDefault="00EA573F" w:rsidP="00EA573F">
            <w:pPr>
              <w:rPr>
                <w:lang w:val="lv-LV" w:eastAsia="lv-LV"/>
              </w:rPr>
            </w:pPr>
          </w:p>
        </w:tc>
        <w:tc>
          <w:tcPr>
            <w:tcW w:w="1074" w:type="dxa"/>
            <w:shd w:val="clear" w:color="auto" w:fill="FFFFFF"/>
            <w:vAlign w:val="center"/>
            <w:hideMark/>
          </w:tcPr>
          <w:p w14:paraId="4177C49E" w14:textId="77777777" w:rsidR="00EA573F" w:rsidRPr="00295B18" w:rsidRDefault="00EA573F" w:rsidP="00EA573F">
            <w:pPr>
              <w:rPr>
                <w:lang w:val="lv-LV" w:eastAsia="lv-LV"/>
              </w:rPr>
            </w:pPr>
            <w:r w:rsidRPr="00295B18">
              <w:rPr>
                <w:lang w:val="lv-LV" w:eastAsia="lv-LV"/>
              </w:rPr>
              <w:t>saskaņā ar valsts budžetu</w:t>
            </w:r>
          </w:p>
          <w:p w14:paraId="2ABEC5CE" w14:textId="77777777" w:rsidR="00EA573F" w:rsidRPr="00295B18" w:rsidRDefault="00EA573F" w:rsidP="00EA573F">
            <w:pPr>
              <w:rPr>
                <w:lang w:val="lv-LV" w:eastAsia="lv-LV"/>
              </w:rPr>
            </w:pPr>
            <w:r w:rsidRPr="00295B18">
              <w:rPr>
                <w:lang w:val="lv-LV" w:eastAsia="lv-LV"/>
              </w:rPr>
              <w:t>2020. gadam</w:t>
            </w:r>
          </w:p>
        </w:tc>
        <w:tc>
          <w:tcPr>
            <w:tcW w:w="1073" w:type="dxa"/>
            <w:shd w:val="clear" w:color="auto" w:fill="FFFFFF"/>
            <w:vAlign w:val="center"/>
            <w:hideMark/>
          </w:tcPr>
          <w:p w14:paraId="73B73298" w14:textId="77777777" w:rsidR="00EA573F" w:rsidRPr="00295B18" w:rsidRDefault="00EA573F" w:rsidP="00EA573F">
            <w:pPr>
              <w:rPr>
                <w:lang w:val="lv-LV" w:eastAsia="lv-LV"/>
              </w:rPr>
            </w:pPr>
            <w:r w:rsidRPr="00295B18">
              <w:rPr>
                <w:lang w:val="lv-LV" w:eastAsia="lv-LV"/>
              </w:rPr>
              <w:t xml:space="preserve">izmaiņas kārtējā gadā, salīdzinot ar valsts budžetu 2020. gadam </w:t>
            </w:r>
          </w:p>
        </w:tc>
        <w:tc>
          <w:tcPr>
            <w:tcW w:w="941" w:type="dxa"/>
            <w:shd w:val="clear" w:color="auto" w:fill="FFFFFF"/>
            <w:vAlign w:val="center"/>
            <w:hideMark/>
          </w:tcPr>
          <w:p w14:paraId="561CEB5A" w14:textId="77777777" w:rsidR="00EA573F" w:rsidRPr="00295B18" w:rsidRDefault="00EA573F" w:rsidP="00EA573F">
            <w:pPr>
              <w:rPr>
                <w:lang w:val="lv-LV" w:eastAsia="lv-LV"/>
              </w:rPr>
            </w:pPr>
            <w:r w:rsidRPr="00295B18">
              <w:rPr>
                <w:lang w:val="lv-LV" w:eastAsia="lv-LV"/>
              </w:rPr>
              <w:t>saskaņā ar vidēja termiņa budžeta ietvaru</w:t>
            </w:r>
          </w:p>
        </w:tc>
        <w:tc>
          <w:tcPr>
            <w:tcW w:w="940" w:type="dxa"/>
            <w:shd w:val="clear" w:color="auto" w:fill="FFFFFF"/>
            <w:vAlign w:val="center"/>
            <w:hideMark/>
          </w:tcPr>
          <w:p w14:paraId="2E7DB888" w14:textId="77777777" w:rsidR="00EA573F" w:rsidRPr="00295B18" w:rsidRDefault="00EA573F" w:rsidP="00EA573F">
            <w:pPr>
              <w:rPr>
                <w:color w:val="FF0000"/>
                <w:lang w:val="lv-LV" w:eastAsia="lv-LV"/>
              </w:rPr>
            </w:pPr>
            <w:r w:rsidRPr="00295B18">
              <w:rPr>
                <w:lang w:val="lv-LV" w:eastAsia="lv-LV"/>
              </w:rPr>
              <w:t>izmaiņas, salīdzinot ar vidēja termiņa budžeta ietvaru 2021. gadam</w:t>
            </w:r>
          </w:p>
        </w:tc>
        <w:tc>
          <w:tcPr>
            <w:tcW w:w="940" w:type="dxa"/>
            <w:shd w:val="clear" w:color="auto" w:fill="FFFFFF"/>
            <w:vAlign w:val="center"/>
            <w:hideMark/>
          </w:tcPr>
          <w:p w14:paraId="281D1545" w14:textId="77777777" w:rsidR="00EA573F" w:rsidRPr="00295B18" w:rsidRDefault="00EA573F" w:rsidP="00EA573F">
            <w:pPr>
              <w:rPr>
                <w:color w:val="FF0000"/>
                <w:lang w:val="lv-LV" w:eastAsia="lv-LV"/>
              </w:rPr>
            </w:pPr>
            <w:r w:rsidRPr="00295B18">
              <w:rPr>
                <w:lang w:val="lv-LV" w:eastAsia="lv-LV"/>
              </w:rPr>
              <w:t>saskaņā ar vidēja termiņa budžeta ietvaru</w:t>
            </w:r>
          </w:p>
        </w:tc>
        <w:tc>
          <w:tcPr>
            <w:tcW w:w="940" w:type="dxa"/>
            <w:shd w:val="clear" w:color="auto" w:fill="FFFFFF"/>
            <w:vAlign w:val="center"/>
            <w:hideMark/>
          </w:tcPr>
          <w:p w14:paraId="7EC5C610" w14:textId="77777777" w:rsidR="00EA573F" w:rsidRPr="00295B18" w:rsidRDefault="00EA573F" w:rsidP="00EA573F">
            <w:pPr>
              <w:rPr>
                <w:lang w:val="lv-LV" w:eastAsia="lv-LV"/>
              </w:rPr>
            </w:pPr>
            <w:r w:rsidRPr="00295B18">
              <w:rPr>
                <w:lang w:val="lv-LV" w:eastAsia="lv-LV"/>
              </w:rPr>
              <w:t>izmaiņas, salīdzinot ar vidēja termiņa budžeta ietvaru 2022. gadam</w:t>
            </w:r>
          </w:p>
        </w:tc>
        <w:tc>
          <w:tcPr>
            <w:tcW w:w="995" w:type="dxa"/>
            <w:shd w:val="clear" w:color="auto" w:fill="FFFFFF"/>
            <w:vAlign w:val="center"/>
            <w:hideMark/>
          </w:tcPr>
          <w:p w14:paraId="044C5764" w14:textId="77777777" w:rsidR="00EA573F" w:rsidRPr="00295B18" w:rsidRDefault="00EA573F" w:rsidP="00EA573F">
            <w:pPr>
              <w:rPr>
                <w:lang w:val="lv-LV" w:eastAsia="lv-LV"/>
              </w:rPr>
            </w:pPr>
            <w:r w:rsidRPr="00295B18">
              <w:rPr>
                <w:lang w:val="lv-LV" w:eastAsia="lv-LV"/>
              </w:rPr>
              <w:t>izmaiņas, salīdzinot ar vidēja termiņa budžeta ietvaru 2022. gadam</w:t>
            </w:r>
          </w:p>
        </w:tc>
      </w:tr>
      <w:tr w:rsidR="00EA573F" w:rsidRPr="00BB1513" w14:paraId="4C378B99" w14:textId="77777777" w:rsidTr="00AD6683">
        <w:trPr>
          <w:cantSplit/>
        </w:trPr>
        <w:tc>
          <w:tcPr>
            <w:tcW w:w="2162" w:type="dxa"/>
            <w:shd w:val="clear" w:color="auto" w:fill="FFFFFF"/>
            <w:vAlign w:val="center"/>
            <w:hideMark/>
          </w:tcPr>
          <w:p w14:paraId="35261518" w14:textId="77777777" w:rsidR="00EA573F" w:rsidRPr="00295B18" w:rsidRDefault="00EA573F" w:rsidP="00EA573F">
            <w:pPr>
              <w:rPr>
                <w:lang w:val="lv-LV" w:eastAsia="lv-LV"/>
              </w:rPr>
            </w:pPr>
            <w:r w:rsidRPr="00295B18">
              <w:rPr>
                <w:lang w:val="lv-LV" w:eastAsia="lv-LV"/>
              </w:rPr>
              <w:t>1</w:t>
            </w:r>
          </w:p>
        </w:tc>
        <w:tc>
          <w:tcPr>
            <w:tcW w:w="1074" w:type="dxa"/>
            <w:shd w:val="clear" w:color="auto" w:fill="FFFFFF"/>
            <w:vAlign w:val="center"/>
            <w:hideMark/>
          </w:tcPr>
          <w:p w14:paraId="110418F5" w14:textId="77777777" w:rsidR="00EA573F" w:rsidRPr="00295B18" w:rsidRDefault="00EA573F" w:rsidP="00EA573F">
            <w:pPr>
              <w:rPr>
                <w:lang w:val="lv-LV" w:eastAsia="lv-LV"/>
              </w:rPr>
            </w:pPr>
            <w:r w:rsidRPr="00295B18">
              <w:rPr>
                <w:lang w:val="lv-LV" w:eastAsia="lv-LV"/>
              </w:rPr>
              <w:t>2</w:t>
            </w:r>
          </w:p>
        </w:tc>
        <w:tc>
          <w:tcPr>
            <w:tcW w:w="1073" w:type="dxa"/>
            <w:shd w:val="clear" w:color="auto" w:fill="FFFFFF"/>
            <w:vAlign w:val="center"/>
            <w:hideMark/>
          </w:tcPr>
          <w:p w14:paraId="653E1D4F" w14:textId="77777777" w:rsidR="00EA573F" w:rsidRPr="00295B18" w:rsidRDefault="00EA573F" w:rsidP="00EA573F">
            <w:pPr>
              <w:rPr>
                <w:lang w:val="lv-LV" w:eastAsia="lv-LV"/>
              </w:rPr>
            </w:pPr>
            <w:r w:rsidRPr="00295B18">
              <w:rPr>
                <w:lang w:val="lv-LV" w:eastAsia="lv-LV"/>
              </w:rPr>
              <w:t>3</w:t>
            </w:r>
          </w:p>
        </w:tc>
        <w:tc>
          <w:tcPr>
            <w:tcW w:w="941" w:type="dxa"/>
            <w:shd w:val="clear" w:color="auto" w:fill="FFFFFF"/>
            <w:vAlign w:val="center"/>
            <w:hideMark/>
          </w:tcPr>
          <w:p w14:paraId="1AF74348" w14:textId="77777777" w:rsidR="00EA573F" w:rsidRPr="00295B18" w:rsidRDefault="00EA573F" w:rsidP="00EA573F">
            <w:pPr>
              <w:rPr>
                <w:lang w:val="lv-LV" w:eastAsia="lv-LV"/>
              </w:rPr>
            </w:pPr>
            <w:r w:rsidRPr="00295B18">
              <w:rPr>
                <w:lang w:val="lv-LV" w:eastAsia="lv-LV"/>
              </w:rPr>
              <w:t>4</w:t>
            </w:r>
          </w:p>
        </w:tc>
        <w:tc>
          <w:tcPr>
            <w:tcW w:w="940" w:type="dxa"/>
            <w:shd w:val="clear" w:color="auto" w:fill="FFFFFF"/>
            <w:vAlign w:val="center"/>
            <w:hideMark/>
          </w:tcPr>
          <w:p w14:paraId="1ADCE3FF" w14:textId="77777777" w:rsidR="00EA573F" w:rsidRPr="00295B18" w:rsidRDefault="00EA573F" w:rsidP="00EA573F">
            <w:pPr>
              <w:rPr>
                <w:lang w:val="lv-LV" w:eastAsia="lv-LV"/>
              </w:rPr>
            </w:pPr>
            <w:r w:rsidRPr="00295B18">
              <w:rPr>
                <w:lang w:val="lv-LV" w:eastAsia="lv-LV"/>
              </w:rPr>
              <w:t>5</w:t>
            </w:r>
          </w:p>
        </w:tc>
        <w:tc>
          <w:tcPr>
            <w:tcW w:w="940" w:type="dxa"/>
            <w:shd w:val="clear" w:color="auto" w:fill="FFFFFF"/>
            <w:vAlign w:val="center"/>
            <w:hideMark/>
          </w:tcPr>
          <w:p w14:paraId="27236203" w14:textId="77777777" w:rsidR="00EA573F" w:rsidRPr="00295B18" w:rsidRDefault="00EA573F" w:rsidP="00EA573F">
            <w:pPr>
              <w:rPr>
                <w:lang w:val="lv-LV" w:eastAsia="lv-LV"/>
              </w:rPr>
            </w:pPr>
            <w:r w:rsidRPr="00295B18">
              <w:rPr>
                <w:lang w:val="lv-LV" w:eastAsia="lv-LV"/>
              </w:rPr>
              <w:t>6</w:t>
            </w:r>
          </w:p>
        </w:tc>
        <w:tc>
          <w:tcPr>
            <w:tcW w:w="940" w:type="dxa"/>
            <w:shd w:val="clear" w:color="auto" w:fill="FFFFFF"/>
            <w:vAlign w:val="center"/>
            <w:hideMark/>
          </w:tcPr>
          <w:p w14:paraId="1373E5A8" w14:textId="77777777" w:rsidR="00EA573F" w:rsidRPr="00295B18" w:rsidRDefault="00EA573F" w:rsidP="00EA573F">
            <w:pPr>
              <w:rPr>
                <w:lang w:val="lv-LV" w:eastAsia="lv-LV"/>
              </w:rPr>
            </w:pPr>
            <w:r w:rsidRPr="00295B18">
              <w:rPr>
                <w:lang w:val="lv-LV" w:eastAsia="lv-LV"/>
              </w:rPr>
              <w:t>7</w:t>
            </w:r>
          </w:p>
        </w:tc>
        <w:tc>
          <w:tcPr>
            <w:tcW w:w="995" w:type="dxa"/>
            <w:shd w:val="clear" w:color="auto" w:fill="FFFFFF"/>
            <w:vAlign w:val="center"/>
            <w:hideMark/>
          </w:tcPr>
          <w:p w14:paraId="603E2C54" w14:textId="77777777" w:rsidR="00EA573F" w:rsidRPr="00295B18" w:rsidRDefault="00EA573F" w:rsidP="00EA573F">
            <w:pPr>
              <w:rPr>
                <w:lang w:val="lv-LV" w:eastAsia="lv-LV"/>
              </w:rPr>
            </w:pPr>
            <w:r w:rsidRPr="00295B18">
              <w:rPr>
                <w:lang w:val="lv-LV" w:eastAsia="lv-LV"/>
              </w:rPr>
              <w:t>8</w:t>
            </w:r>
          </w:p>
        </w:tc>
      </w:tr>
      <w:tr w:rsidR="00825A26" w:rsidRPr="00BB1513" w14:paraId="65B83739" w14:textId="77777777" w:rsidTr="00AD6683">
        <w:trPr>
          <w:cantSplit/>
        </w:trPr>
        <w:tc>
          <w:tcPr>
            <w:tcW w:w="2162" w:type="dxa"/>
            <w:shd w:val="clear" w:color="auto" w:fill="FFFFFF"/>
            <w:hideMark/>
          </w:tcPr>
          <w:p w14:paraId="09F35ACE" w14:textId="77777777" w:rsidR="00825A26" w:rsidRPr="00295B18" w:rsidRDefault="00825A26" w:rsidP="00825A26">
            <w:pPr>
              <w:rPr>
                <w:highlight w:val="yellow"/>
                <w:lang w:val="lv-LV" w:eastAsia="lv-LV"/>
              </w:rPr>
            </w:pPr>
            <w:r w:rsidRPr="00295B18">
              <w:rPr>
                <w:lang w:val="lv-LV" w:eastAsia="lv-LV"/>
              </w:rPr>
              <w:t>1. Budžeta ieņēmumi</w:t>
            </w:r>
          </w:p>
        </w:tc>
        <w:tc>
          <w:tcPr>
            <w:tcW w:w="1074" w:type="dxa"/>
            <w:shd w:val="clear" w:color="auto" w:fill="FFFFFF"/>
            <w:vAlign w:val="center"/>
          </w:tcPr>
          <w:p w14:paraId="57EF4BBA" w14:textId="0135A605" w:rsidR="00825A26" w:rsidRPr="00295B18" w:rsidRDefault="00321E32" w:rsidP="00825A26">
            <w:pPr>
              <w:rPr>
                <w:lang w:val="lv-LV" w:eastAsia="lv-LV"/>
              </w:rPr>
            </w:pPr>
            <w:r w:rsidRPr="00295B18">
              <w:rPr>
                <w:lang w:val="lv-LV" w:eastAsia="lv-LV"/>
              </w:rPr>
              <w:t>193 810</w:t>
            </w:r>
          </w:p>
        </w:tc>
        <w:tc>
          <w:tcPr>
            <w:tcW w:w="1073" w:type="dxa"/>
            <w:shd w:val="clear" w:color="auto" w:fill="auto"/>
            <w:vAlign w:val="center"/>
          </w:tcPr>
          <w:p w14:paraId="123915EF" w14:textId="21EF5FE6" w:rsidR="00825A26" w:rsidRPr="00295B18" w:rsidRDefault="00321E32" w:rsidP="00825A26">
            <w:pPr>
              <w:rPr>
                <w:lang w:val="lv-LV" w:eastAsia="lv-LV"/>
              </w:rPr>
            </w:pPr>
            <w:r w:rsidRPr="00295B18">
              <w:rPr>
                <w:lang w:val="lv-LV" w:eastAsia="lv-LV"/>
              </w:rPr>
              <w:t>13 690</w:t>
            </w:r>
          </w:p>
        </w:tc>
        <w:tc>
          <w:tcPr>
            <w:tcW w:w="941" w:type="dxa"/>
            <w:shd w:val="clear" w:color="auto" w:fill="auto"/>
            <w:vAlign w:val="center"/>
          </w:tcPr>
          <w:p w14:paraId="330B32DD" w14:textId="2F3ECBD9" w:rsidR="00825A26" w:rsidRPr="00295B18" w:rsidRDefault="00321E32" w:rsidP="00825A26">
            <w:pPr>
              <w:rPr>
                <w:lang w:val="lv-LV" w:eastAsia="lv-LV"/>
              </w:rPr>
            </w:pPr>
            <w:r w:rsidRPr="00295B18">
              <w:rPr>
                <w:lang w:val="lv-LV" w:eastAsia="lv-LV"/>
              </w:rPr>
              <w:t>193 810</w:t>
            </w:r>
          </w:p>
        </w:tc>
        <w:tc>
          <w:tcPr>
            <w:tcW w:w="940" w:type="dxa"/>
            <w:shd w:val="clear" w:color="auto" w:fill="auto"/>
            <w:vAlign w:val="center"/>
          </w:tcPr>
          <w:p w14:paraId="4FAB153C" w14:textId="0C0C7346" w:rsidR="00825A26" w:rsidRPr="00295B18" w:rsidRDefault="002D006C" w:rsidP="00825A26">
            <w:pPr>
              <w:rPr>
                <w:lang w:val="lv-LV" w:eastAsia="lv-LV"/>
              </w:rPr>
            </w:pPr>
            <w:r w:rsidRPr="00295B18">
              <w:rPr>
                <w:lang w:val="lv-LV" w:eastAsia="lv-LV"/>
              </w:rPr>
              <w:t>13 690</w:t>
            </w:r>
          </w:p>
        </w:tc>
        <w:tc>
          <w:tcPr>
            <w:tcW w:w="940" w:type="dxa"/>
            <w:shd w:val="clear" w:color="auto" w:fill="auto"/>
            <w:vAlign w:val="center"/>
          </w:tcPr>
          <w:p w14:paraId="715A8D8A" w14:textId="0173F74A"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39F4D2CE" w14:textId="1ED5C999" w:rsidR="00825A26" w:rsidRPr="00295B18" w:rsidRDefault="002D006C" w:rsidP="00825A26">
            <w:pPr>
              <w:rPr>
                <w:lang w:val="lv-LV" w:eastAsia="lv-LV"/>
              </w:rPr>
            </w:pPr>
            <w:r w:rsidRPr="00295B18">
              <w:rPr>
                <w:lang w:val="lv-LV" w:eastAsia="lv-LV"/>
              </w:rPr>
              <w:t>248 398</w:t>
            </w:r>
          </w:p>
        </w:tc>
        <w:tc>
          <w:tcPr>
            <w:tcW w:w="995" w:type="dxa"/>
            <w:shd w:val="clear" w:color="auto" w:fill="auto"/>
            <w:vAlign w:val="center"/>
          </w:tcPr>
          <w:p w14:paraId="0048036E" w14:textId="075372E1" w:rsidR="00825A26" w:rsidRPr="00295B18" w:rsidRDefault="00825A26" w:rsidP="00825A26">
            <w:pPr>
              <w:rPr>
                <w:lang w:val="lv-LV" w:eastAsia="lv-LV"/>
              </w:rPr>
            </w:pPr>
            <w:r w:rsidRPr="00295B18">
              <w:rPr>
                <w:lang w:val="lv-LV" w:eastAsia="lv-LV"/>
              </w:rPr>
              <w:t>0</w:t>
            </w:r>
          </w:p>
        </w:tc>
      </w:tr>
      <w:tr w:rsidR="00825A26" w:rsidRPr="00BB1513" w14:paraId="6A31C617" w14:textId="77777777" w:rsidTr="00AD6683">
        <w:trPr>
          <w:cantSplit/>
        </w:trPr>
        <w:tc>
          <w:tcPr>
            <w:tcW w:w="2162" w:type="dxa"/>
            <w:shd w:val="clear" w:color="auto" w:fill="auto"/>
            <w:hideMark/>
          </w:tcPr>
          <w:p w14:paraId="672B829D" w14:textId="77777777" w:rsidR="00825A26" w:rsidRPr="00295B18" w:rsidRDefault="00825A26" w:rsidP="00825A26">
            <w:pPr>
              <w:rPr>
                <w:lang w:val="lv-LV" w:eastAsia="lv-LV"/>
              </w:rPr>
            </w:pPr>
            <w:r w:rsidRPr="00295B18">
              <w:rPr>
                <w:lang w:val="lv-LV" w:eastAsia="lv-LV"/>
              </w:rPr>
              <w:t>1.1. valsts pamatbudžets, tai skaitā ieņēmumi no maksas pakalpojumiem un citi pašu ieņēmumi</w:t>
            </w:r>
          </w:p>
        </w:tc>
        <w:tc>
          <w:tcPr>
            <w:tcW w:w="1074" w:type="dxa"/>
            <w:shd w:val="clear" w:color="auto" w:fill="FFFFFF"/>
            <w:vAlign w:val="center"/>
          </w:tcPr>
          <w:p w14:paraId="0B3EA166" w14:textId="507CB607" w:rsidR="00825A26" w:rsidRPr="00295B18" w:rsidRDefault="00321E32" w:rsidP="00825A26">
            <w:pPr>
              <w:rPr>
                <w:lang w:val="lv-LV" w:eastAsia="lv-LV"/>
              </w:rPr>
            </w:pPr>
            <w:r w:rsidRPr="00295B18">
              <w:rPr>
                <w:lang w:val="lv-LV" w:eastAsia="lv-LV"/>
              </w:rPr>
              <w:t>193 810</w:t>
            </w:r>
          </w:p>
        </w:tc>
        <w:tc>
          <w:tcPr>
            <w:tcW w:w="1073" w:type="dxa"/>
            <w:shd w:val="clear" w:color="auto" w:fill="auto"/>
            <w:vAlign w:val="center"/>
          </w:tcPr>
          <w:p w14:paraId="7CC269CB" w14:textId="615C0316" w:rsidR="00825A26" w:rsidRPr="00295B18" w:rsidRDefault="00321E32" w:rsidP="00825A26">
            <w:pPr>
              <w:rPr>
                <w:lang w:val="lv-LV" w:eastAsia="lv-LV"/>
              </w:rPr>
            </w:pPr>
            <w:r w:rsidRPr="00295B18">
              <w:rPr>
                <w:lang w:val="lv-LV" w:eastAsia="lv-LV"/>
              </w:rPr>
              <w:t>13 690</w:t>
            </w:r>
          </w:p>
        </w:tc>
        <w:tc>
          <w:tcPr>
            <w:tcW w:w="941" w:type="dxa"/>
            <w:shd w:val="clear" w:color="auto" w:fill="auto"/>
            <w:vAlign w:val="center"/>
          </w:tcPr>
          <w:p w14:paraId="4961833C" w14:textId="3A354AF0" w:rsidR="00825A26" w:rsidRPr="00295B18" w:rsidRDefault="00321E32" w:rsidP="00825A26">
            <w:pPr>
              <w:rPr>
                <w:lang w:val="lv-LV" w:eastAsia="lv-LV"/>
              </w:rPr>
            </w:pPr>
            <w:r w:rsidRPr="00295B18">
              <w:rPr>
                <w:lang w:val="lv-LV" w:eastAsia="lv-LV"/>
              </w:rPr>
              <w:t>193 810</w:t>
            </w:r>
          </w:p>
        </w:tc>
        <w:tc>
          <w:tcPr>
            <w:tcW w:w="940" w:type="dxa"/>
            <w:shd w:val="clear" w:color="auto" w:fill="auto"/>
            <w:vAlign w:val="center"/>
          </w:tcPr>
          <w:p w14:paraId="3CF4839E" w14:textId="3289D313" w:rsidR="00825A26" w:rsidRPr="00295B18" w:rsidRDefault="002D006C" w:rsidP="00825A26">
            <w:pPr>
              <w:rPr>
                <w:lang w:val="lv-LV" w:eastAsia="lv-LV"/>
              </w:rPr>
            </w:pPr>
            <w:r w:rsidRPr="00295B18">
              <w:rPr>
                <w:lang w:val="lv-LV" w:eastAsia="lv-LV"/>
              </w:rPr>
              <w:t>13 690</w:t>
            </w:r>
          </w:p>
        </w:tc>
        <w:tc>
          <w:tcPr>
            <w:tcW w:w="940" w:type="dxa"/>
            <w:shd w:val="clear" w:color="auto" w:fill="auto"/>
            <w:vAlign w:val="center"/>
          </w:tcPr>
          <w:p w14:paraId="0B6A10AE" w14:textId="39673D9F"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7F0E933D" w14:textId="12C2AA90" w:rsidR="00825A26" w:rsidRPr="00295B18" w:rsidRDefault="002D006C" w:rsidP="00825A26">
            <w:pPr>
              <w:rPr>
                <w:lang w:val="lv-LV" w:eastAsia="lv-LV"/>
              </w:rPr>
            </w:pPr>
            <w:r w:rsidRPr="00295B18">
              <w:rPr>
                <w:lang w:val="lv-LV" w:eastAsia="lv-LV"/>
              </w:rPr>
              <w:t>248 398</w:t>
            </w:r>
          </w:p>
        </w:tc>
        <w:tc>
          <w:tcPr>
            <w:tcW w:w="995" w:type="dxa"/>
            <w:shd w:val="clear" w:color="auto" w:fill="auto"/>
            <w:vAlign w:val="center"/>
          </w:tcPr>
          <w:p w14:paraId="6D33758E" w14:textId="1B6FC123" w:rsidR="00825A26" w:rsidRPr="00295B18" w:rsidRDefault="00825A26" w:rsidP="00825A26">
            <w:pPr>
              <w:rPr>
                <w:lang w:val="lv-LV" w:eastAsia="lv-LV"/>
              </w:rPr>
            </w:pPr>
            <w:r w:rsidRPr="00295B18">
              <w:rPr>
                <w:lang w:val="lv-LV" w:eastAsia="lv-LV"/>
              </w:rPr>
              <w:t>0</w:t>
            </w:r>
          </w:p>
        </w:tc>
      </w:tr>
      <w:tr w:rsidR="00825A26" w:rsidRPr="00BB1513" w14:paraId="574773FE" w14:textId="77777777" w:rsidTr="00AD6683">
        <w:trPr>
          <w:cantSplit/>
        </w:trPr>
        <w:tc>
          <w:tcPr>
            <w:tcW w:w="2162" w:type="dxa"/>
            <w:shd w:val="clear" w:color="auto" w:fill="auto"/>
            <w:hideMark/>
          </w:tcPr>
          <w:p w14:paraId="128943CA" w14:textId="77777777" w:rsidR="00825A26" w:rsidRPr="00295B18" w:rsidRDefault="00825A26" w:rsidP="00825A26">
            <w:pPr>
              <w:rPr>
                <w:lang w:val="lv-LV" w:eastAsia="lv-LV"/>
              </w:rPr>
            </w:pPr>
            <w:r w:rsidRPr="00295B18">
              <w:rPr>
                <w:lang w:val="lv-LV" w:eastAsia="lv-LV"/>
              </w:rPr>
              <w:t>1.2. valsts speciālais budžets</w:t>
            </w:r>
          </w:p>
        </w:tc>
        <w:tc>
          <w:tcPr>
            <w:tcW w:w="1074" w:type="dxa"/>
            <w:shd w:val="clear" w:color="auto" w:fill="auto"/>
            <w:vAlign w:val="center"/>
            <w:hideMark/>
          </w:tcPr>
          <w:p w14:paraId="36FA5148" w14:textId="77777777" w:rsidR="00825A26" w:rsidRPr="00295B18" w:rsidRDefault="00825A26" w:rsidP="00825A26">
            <w:pPr>
              <w:rPr>
                <w:lang w:val="lv-LV" w:eastAsia="lv-LV"/>
              </w:rPr>
            </w:pPr>
            <w:r w:rsidRPr="00295B18">
              <w:rPr>
                <w:lang w:val="lv-LV" w:eastAsia="lv-LV"/>
              </w:rPr>
              <w:t>0</w:t>
            </w:r>
          </w:p>
        </w:tc>
        <w:tc>
          <w:tcPr>
            <w:tcW w:w="1073" w:type="dxa"/>
            <w:shd w:val="clear" w:color="auto" w:fill="auto"/>
            <w:vAlign w:val="center"/>
            <w:hideMark/>
          </w:tcPr>
          <w:p w14:paraId="3C0D1A23" w14:textId="77777777" w:rsidR="00825A26" w:rsidRPr="00295B18" w:rsidRDefault="00825A26" w:rsidP="00825A26">
            <w:pPr>
              <w:rPr>
                <w:lang w:val="lv-LV" w:eastAsia="lv-LV"/>
              </w:rPr>
            </w:pPr>
            <w:r w:rsidRPr="00295B18">
              <w:rPr>
                <w:lang w:val="lv-LV" w:eastAsia="lv-LV"/>
              </w:rPr>
              <w:t>0</w:t>
            </w:r>
          </w:p>
        </w:tc>
        <w:tc>
          <w:tcPr>
            <w:tcW w:w="941" w:type="dxa"/>
            <w:shd w:val="clear" w:color="auto" w:fill="auto"/>
            <w:vAlign w:val="center"/>
            <w:hideMark/>
          </w:tcPr>
          <w:p w14:paraId="5DB08888"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58729EC0"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40410152"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18DC6AE7" w14:textId="77777777" w:rsidR="00825A26" w:rsidRPr="00295B18" w:rsidRDefault="00825A26" w:rsidP="00825A26">
            <w:pPr>
              <w:rPr>
                <w:lang w:val="lv-LV" w:eastAsia="lv-LV"/>
              </w:rPr>
            </w:pPr>
            <w:r w:rsidRPr="00295B18">
              <w:rPr>
                <w:lang w:val="lv-LV" w:eastAsia="lv-LV"/>
              </w:rPr>
              <w:t>0</w:t>
            </w:r>
          </w:p>
        </w:tc>
        <w:tc>
          <w:tcPr>
            <w:tcW w:w="995" w:type="dxa"/>
            <w:shd w:val="clear" w:color="auto" w:fill="auto"/>
            <w:vAlign w:val="center"/>
            <w:hideMark/>
          </w:tcPr>
          <w:p w14:paraId="5AFDD7AA" w14:textId="77777777" w:rsidR="00825A26" w:rsidRPr="00295B18" w:rsidRDefault="00825A26" w:rsidP="00825A26">
            <w:pPr>
              <w:rPr>
                <w:lang w:val="lv-LV" w:eastAsia="lv-LV"/>
              </w:rPr>
            </w:pPr>
            <w:r w:rsidRPr="00295B18">
              <w:rPr>
                <w:lang w:val="lv-LV" w:eastAsia="lv-LV"/>
              </w:rPr>
              <w:t>0</w:t>
            </w:r>
          </w:p>
        </w:tc>
      </w:tr>
      <w:tr w:rsidR="00825A26" w:rsidRPr="00BB1513" w14:paraId="7C762A02" w14:textId="77777777" w:rsidTr="00AD6683">
        <w:trPr>
          <w:cantSplit/>
        </w:trPr>
        <w:tc>
          <w:tcPr>
            <w:tcW w:w="2162" w:type="dxa"/>
            <w:shd w:val="clear" w:color="auto" w:fill="auto"/>
            <w:hideMark/>
          </w:tcPr>
          <w:p w14:paraId="6B39ABF1" w14:textId="77777777" w:rsidR="00825A26" w:rsidRPr="00295B18" w:rsidRDefault="00825A26" w:rsidP="00825A26">
            <w:pPr>
              <w:rPr>
                <w:lang w:val="lv-LV" w:eastAsia="lv-LV"/>
              </w:rPr>
            </w:pPr>
            <w:r w:rsidRPr="00295B18">
              <w:rPr>
                <w:lang w:val="lv-LV" w:eastAsia="lv-LV"/>
              </w:rPr>
              <w:t>1.3. pašvaldību budžets</w:t>
            </w:r>
          </w:p>
        </w:tc>
        <w:tc>
          <w:tcPr>
            <w:tcW w:w="1074" w:type="dxa"/>
            <w:shd w:val="clear" w:color="auto" w:fill="auto"/>
            <w:vAlign w:val="center"/>
            <w:hideMark/>
          </w:tcPr>
          <w:p w14:paraId="1E862022" w14:textId="77777777" w:rsidR="00825A26" w:rsidRPr="00295B18" w:rsidRDefault="00825A26" w:rsidP="00825A26">
            <w:pPr>
              <w:rPr>
                <w:lang w:val="lv-LV" w:eastAsia="lv-LV"/>
              </w:rPr>
            </w:pPr>
            <w:r w:rsidRPr="00295B18">
              <w:rPr>
                <w:lang w:val="lv-LV" w:eastAsia="lv-LV"/>
              </w:rPr>
              <w:t>0</w:t>
            </w:r>
          </w:p>
        </w:tc>
        <w:tc>
          <w:tcPr>
            <w:tcW w:w="1073" w:type="dxa"/>
            <w:shd w:val="clear" w:color="auto" w:fill="auto"/>
            <w:vAlign w:val="center"/>
            <w:hideMark/>
          </w:tcPr>
          <w:p w14:paraId="1A8B7B44" w14:textId="77777777" w:rsidR="00825A26" w:rsidRPr="00295B18" w:rsidRDefault="00825A26" w:rsidP="00825A26">
            <w:pPr>
              <w:rPr>
                <w:lang w:val="lv-LV" w:eastAsia="lv-LV"/>
              </w:rPr>
            </w:pPr>
            <w:r w:rsidRPr="00295B18">
              <w:rPr>
                <w:lang w:val="lv-LV" w:eastAsia="lv-LV"/>
              </w:rPr>
              <w:t>0</w:t>
            </w:r>
          </w:p>
        </w:tc>
        <w:tc>
          <w:tcPr>
            <w:tcW w:w="941" w:type="dxa"/>
            <w:shd w:val="clear" w:color="auto" w:fill="auto"/>
            <w:vAlign w:val="center"/>
            <w:hideMark/>
          </w:tcPr>
          <w:p w14:paraId="74049B0B"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6FBCEFCD"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3E488096"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7E79D0BB" w14:textId="77777777" w:rsidR="00825A26" w:rsidRPr="00295B18" w:rsidRDefault="00825A26" w:rsidP="00825A26">
            <w:pPr>
              <w:rPr>
                <w:lang w:val="lv-LV" w:eastAsia="lv-LV"/>
              </w:rPr>
            </w:pPr>
            <w:r w:rsidRPr="00295B18">
              <w:rPr>
                <w:lang w:val="lv-LV" w:eastAsia="lv-LV"/>
              </w:rPr>
              <w:t>0</w:t>
            </w:r>
          </w:p>
        </w:tc>
        <w:tc>
          <w:tcPr>
            <w:tcW w:w="995" w:type="dxa"/>
            <w:shd w:val="clear" w:color="auto" w:fill="auto"/>
            <w:vAlign w:val="center"/>
            <w:hideMark/>
          </w:tcPr>
          <w:p w14:paraId="224998C3" w14:textId="77777777" w:rsidR="00825A26" w:rsidRPr="00295B18" w:rsidRDefault="00825A26" w:rsidP="00825A26">
            <w:pPr>
              <w:rPr>
                <w:lang w:val="lv-LV" w:eastAsia="lv-LV"/>
              </w:rPr>
            </w:pPr>
            <w:r w:rsidRPr="00295B18">
              <w:rPr>
                <w:lang w:val="lv-LV" w:eastAsia="lv-LV"/>
              </w:rPr>
              <w:t>0</w:t>
            </w:r>
          </w:p>
        </w:tc>
      </w:tr>
      <w:tr w:rsidR="00825A26" w:rsidRPr="00BB1513" w14:paraId="29F93648" w14:textId="77777777" w:rsidTr="00AD6683">
        <w:trPr>
          <w:cantSplit/>
        </w:trPr>
        <w:tc>
          <w:tcPr>
            <w:tcW w:w="2162" w:type="dxa"/>
            <w:shd w:val="clear" w:color="auto" w:fill="auto"/>
            <w:hideMark/>
          </w:tcPr>
          <w:p w14:paraId="5C367F44" w14:textId="77777777" w:rsidR="00825A26" w:rsidRPr="00295B18" w:rsidRDefault="00825A26" w:rsidP="00825A26">
            <w:pPr>
              <w:rPr>
                <w:lang w:val="lv-LV" w:eastAsia="lv-LV"/>
              </w:rPr>
            </w:pPr>
            <w:r w:rsidRPr="00295B18">
              <w:rPr>
                <w:lang w:val="lv-LV" w:eastAsia="lv-LV"/>
              </w:rPr>
              <w:t>2. Budžeta izdevumi</w:t>
            </w:r>
          </w:p>
        </w:tc>
        <w:tc>
          <w:tcPr>
            <w:tcW w:w="1074" w:type="dxa"/>
            <w:shd w:val="clear" w:color="auto" w:fill="auto"/>
            <w:vAlign w:val="center"/>
          </w:tcPr>
          <w:p w14:paraId="31BD4D50" w14:textId="4CD7263F" w:rsidR="00825A26" w:rsidRPr="00295B18" w:rsidRDefault="00321E32" w:rsidP="00825A26">
            <w:pPr>
              <w:rPr>
                <w:lang w:val="lv-LV" w:eastAsia="lv-LV"/>
              </w:rPr>
            </w:pPr>
            <w:r w:rsidRPr="00295B18">
              <w:rPr>
                <w:lang w:val="lv-LV" w:eastAsia="lv-LV"/>
              </w:rPr>
              <w:t>387 620</w:t>
            </w:r>
          </w:p>
        </w:tc>
        <w:tc>
          <w:tcPr>
            <w:tcW w:w="1073" w:type="dxa"/>
            <w:shd w:val="clear" w:color="auto" w:fill="auto"/>
            <w:vAlign w:val="center"/>
          </w:tcPr>
          <w:p w14:paraId="464BC855" w14:textId="7EDB0F53" w:rsidR="00825A26" w:rsidRPr="00295B18" w:rsidRDefault="00321E32" w:rsidP="00825A26">
            <w:pPr>
              <w:rPr>
                <w:lang w:val="lv-LV" w:eastAsia="lv-LV"/>
              </w:rPr>
            </w:pPr>
            <w:r w:rsidRPr="00295B18">
              <w:rPr>
                <w:lang w:val="lv-LV" w:eastAsia="lv-LV"/>
              </w:rPr>
              <w:t>27 380</w:t>
            </w:r>
          </w:p>
        </w:tc>
        <w:tc>
          <w:tcPr>
            <w:tcW w:w="941" w:type="dxa"/>
            <w:shd w:val="clear" w:color="auto" w:fill="auto"/>
            <w:vAlign w:val="center"/>
          </w:tcPr>
          <w:p w14:paraId="64514FA6" w14:textId="358B7730" w:rsidR="00825A26" w:rsidRPr="00295B18" w:rsidRDefault="00321E32" w:rsidP="00825A26">
            <w:pPr>
              <w:rPr>
                <w:lang w:val="lv-LV" w:eastAsia="lv-LV"/>
              </w:rPr>
            </w:pPr>
            <w:r w:rsidRPr="00295B18">
              <w:rPr>
                <w:lang w:val="lv-LV" w:eastAsia="lv-LV"/>
              </w:rPr>
              <w:t>387 620</w:t>
            </w:r>
          </w:p>
        </w:tc>
        <w:tc>
          <w:tcPr>
            <w:tcW w:w="940" w:type="dxa"/>
            <w:shd w:val="clear" w:color="auto" w:fill="auto"/>
            <w:vAlign w:val="center"/>
          </w:tcPr>
          <w:p w14:paraId="1E698D4A" w14:textId="509E2038" w:rsidR="00825A26" w:rsidRPr="00295B18" w:rsidRDefault="00321E32" w:rsidP="00825A26">
            <w:pPr>
              <w:rPr>
                <w:lang w:val="lv-LV" w:eastAsia="lv-LV"/>
              </w:rPr>
            </w:pPr>
            <w:r w:rsidRPr="00295B18">
              <w:rPr>
                <w:lang w:val="lv-LV" w:eastAsia="lv-LV"/>
              </w:rPr>
              <w:t>27 380</w:t>
            </w:r>
          </w:p>
        </w:tc>
        <w:tc>
          <w:tcPr>
            <w:tcW w:w="940" w:type="dxa"/>
            <w:shd w:val="clear" w:color="auto" w:fill="auto"/>
            <w:vAlign w:val="center"/>
          </w:tcPr>
          <w:p w14:paraId="525E1EA2" w14:textId="7CA72C89"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7FCA0304" w14:textId="39B508FB" w:rsidR="00825A26" w:rsidRPr="00295B18" w:rsidRDefault="002D006C" w:rsidP="00825A26">
            <w:pPr>
              <w:rPr>
                <w:lang w:val="lv-LV" w:eastAsia="lv-LV"/>
              </w:rPr>
            </w:pPr>
            <w:r w:rsidRPr="00295B18">
              <w:rPr>
                <w:lang w:val="lv-LV" w:eastAsia="lv-LV"/>
              </w:rPr>
              <w:t>496 796</w:t>
            </w:r>
          </w:p>
        </w:tc>
        <w:tc>
          <w:tcPr>
            <w:tcW w:w="995" w:type="dxa"/>
            <w:shd w:val="clear" w:color="auto" w:fill="auto"/>
            <w:vAlign w:val="center"/>
          </w:tcPr>
          <w:p w14:paraId="03E2AC50" w14:textId="09884950" w:rsidR="00825A26" w:rsidRPr="00295B18" w:rsidRDefault="00825A26" w:rsidP="00825A26">
            <w:pPr>
              <w:rPr>
                <w:lang w:val="lv-LV" w:eastAsia="lv-LV"/>
              </w:rPr>
            </w:pPr>
            <w:r w:rsidRPr="00295B18">
              <w:rPr>
                <w:lang w:val="lv-LV" w:eastAsia="lv-LV"/>
              </w:rPr>
              <w:t>0</w:t>
            </w:r>
          </w:p>
        </w:tc>
      </w:tr>
      <w:tr w:rsidR="00825A26" w:rsidRPr="00BB1513" w14:paraId="6046D9DC" w14:textId="77777777" w:rsidTr="00EA573F">
        <w:trPr>
          <w:cantSplit/>
        </w:trPr>
        <w:tc>
          <w:tcPr>
            <w:tcW w:w="2162" w:type="dxa"/>
            <w:shd w:val="clear" w:color="auto" w:fill="auto"/>
            <w:hideMark/>
          </w:tcPr>
          <w:p w14:paraId="58A42AFE" w14:textId="77777777" w:rsidR="00825A26" w:rsidRPr="00295B18" w:rsidRDefault="00825A26" w:rsidP="00825A26">
            <w:pPr>
              <w:rPr>
                <w:lang w:val="lv-LV" w:eastAsia="lv-LV"/>
              </w:rPr>
            </w:pPr>
            <w:r w:rsidRPr="00295B18">
              <w:rPr>
                <w:lang w:val="lv-LV" w:eastAsia="lv-LV"/>
              </w:rPr>
              <w:t>2.1. valsts pamatbudžets</w:t>
            </w:r>
          </w:p>
        </w:tc>
        <w:tc>
          <w:tcPr>
            <w:tcW w:w="1074" w:type="dxa"/>
            <w:shd w:val="clear" w:color="auto" w:fill="auto"/>
            <w:vAlign w:val="center"/>
          </w:tcPr>
          <w:p w14:paraId="2D122D03" w14:textId="2CBE2574" w:rsidR="00825A26" w:rsidRPr="00295B18" w:rsidRDefault="00321E32" w:rsidP="00825A26">
            <w:pPr>
              <w:rPr>
                <w:lang w:val="lv-LV" w:eastAsia="lv-LV"/>
              </w:rPr>
            </w:pPr>
            <w:r w:rsidRPr="00295B18">
              <w:rPr>
                <w:lang w:val="lv-LV" w:eastAsia="lv-LV"/>
              </w:rPr>
              <w:t>387 620</w:t>
            </w:r>
          </w:p>
        </w:tc>
        <w:tc>
          <w:tcPr>
            <w:tcW w:w="1073" w:type="dxa"/>
            <w:shd w:val="clear" w:color="auto" w:fill="auto"/>
            <w:vAlign w:val="center"/>
          </w:tcPr>
          <w:p w14:paraId="2D55A4A8" w14:textId="15B035FF" w:rsidR="00825A26" w:rsidRPr="00295B18" w:rsidRDefault="00321E32" w:rsidP="00825A26">
            <w:pPr>
              <w:rPr>
                <w:lang w:val="lv-LV" w:eastAsia="lv-LV"/>
              </w:rPr>
            </w:pPr>
            <w:r w:rsidRPr="00295B18">
              <w:rPr>
                <w:lang w:val="lv-LV" w:eastAsia="lv-LV"/>
              </w:rPr>
              <w:t>27 380</w:t>
            </w:r>
          </w:p>
        </w:tc>
        <w:tc>
          <w:tcPr>
            <w:tcW w:w="941" w:type="dxa"/>
            <w:shd w:val="clear" w:color="auto" w:fill="auto"/>
            <w:vAlign w:val="center"/>
          </w:tcPr>
          <w:p w14:paraId="499A8F55" w14:textId="71256A86" w:rsidR="00825A26" w:rsidRPr="00295B18" w:rsidRDefault="00321E32" w:rsidP="00825A26">
            <w:pPr>
              <w:rPr>
                <w:lang w:val="lv-LV" w:eastAsia="lv-LV"/>
              </w:rPr>
            </w:pPr>
            <w:r w:rsidRPr="00295B18">
              <w:rPr>
                <w:lang w:val="lv-LV" w:eastAsia="lv-LV"/>
              </w:rPr>
              <w:t>387 620</w:t>
            </w:r>
          </w:p>
        </w:tc>
        <w:tc>
          <w:tcPr>
            <w:tcW w:w="940" w:type="dxa"/>
            <w:shd w:val="clear" w:color="auto" w:fill="auto"/>
            <w:vAlign w:val="center"/>
          </w:tcPr>
          <w:p w14:paraId="49798299" w14:textId="0C5F929D" w:rsidR="00825A26" w:rsidRPr="00295B18" w:rsidRDefault="00321E32" w:rsidP="00825A26">
            <w:pPr>
              <w:rPr>
                <w:lang w:val="lv-LV" w:eastAsia="lv-LV"/>
              </w:rPr>
            </w:pPr>
            <w:r w:rsidRPr="00295B18">
              <w:rPr>
                <w:lang w:val="lv-LV" w:eastAsia="lv-LV"/>
              </w:rPr>
              <w:t>27 380</w:t>
            </w:r>
          </w:p>
        </w:tc>
        <w:tc>
          <w:tcPr>
            <w:tcW w:w="940" w:type="dxa"/>
            <w:shd w:val="clear" w:color="auto" w:fill="auto"/>
            <w:vAlign w:val="center"/>
          </w:tcPr>
          <w:p w14:paraId="559415CD" w14:textId="737F9BB9"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2D153ABB" w14:textId="1C1598BA" w:rsidR="00825A26" w:rsidRPr="00295B18" w:rsidRDefault="002D006C" w:rsidP="00825A26">
            <w:pPr>
              <w:rPr>
                <w:lang w:val="lv-LV" w:eastAsia="lv-LV"/>
              </w:rPr>
            </w:pPr>
            <w:r w:rsidRPr="00295B18">
              <w:rPr>
                <w:lang w:val="lv-LV" w:eastAsia="lv-LV"/>
              </w:rPr>
              <w:t>496 796</w:t>
            </w:r>
          </w:p>
        </w:tc>
        <w:tc>
          <w:tcPr>
            <w:tcW w:w="995" w:type="dxa"/>
            <w:shd w:val="clear" w:color="auto" w:fill="auto"/>
            <w:vAlign w:val="center"/>
          </w:tcPr>
          <w:p w14:paraId="227AE8EF" w14:textId="4C713577" w:rsidR="00825A26" w:rsidRPr="00295B18" w:rsidRDefault="00825A26" w:rsidP="00825A26">
            <w:pPr>
              <w:rPr>
                <w:lang w:val="lv-LV" w:eastAsia="lv-LV"/>
              </w:rPr>
            </w:pPr>
            <w:r w:rsidRPr="00295B18">
              <w:rPr>
                <w:lang w:val="lv-LV" w:eastAsia="lv-LV"/>
              </w:rPr>
              <w:t>0</w:t>
            </w:r>
          </w:p>
        </w:tc>
      </w:tr>
      <w:tr w:rsidR="00825A26" w:rsidRPr="00BB1513" w14:paraId="3A746053" w14:textId="77777777" w:rsidTr="00AD6683">
        <w:trPr>
          <w:cantSplit/>
        </w:trPr>
        <w:tc>
          <w:tcPr>
            <w:tcW w:w="2162" w:type="dxa"/>
            <w:shd w:val="clear" w:color="auto" w:fill="auto"/>
            <w:hideMark/>
          </w:tcPr>
          <w:p w14:paraId="1920C03D" w14:textId="77777777" w:rsidR="00825A26" w:rsidRPr="00295B18" w:rsidRDefault="00825A26" w:rsidP="00825A26">
            <w:pPr>
              <w:rPr>
                <w:lang w:val="lv-LV" w:eastAsia="lv-LV"/>
              </w:rPr>
            </w:pPr>
            <w:r w:rsidRPr="00295B18">
              <w:rPr>
                <w:lang w:val="lv-LV" w:eastAsia="lv-LV"/>
              </w:rPr>
              <w:t>2.2. valsts speciālais budžets</w:t>
            </w:r>
          </w:p>
        </w:tc>
        <w:tc>
          <w:tcPr>
            <w:tcW w:w="1074" w:type="dxa"/>
            <w:shd w:val="clear" w:color="auto" w:fill="auto"/>
            <w:vAlign w:val="center"/>
            <w:hideMark/>
          </w:tcPr>
          <w:p w14:paraId="187BAC8B" w14:textId="77777777" w:rsidR="00825A26" w:rsidRPr="00295B18" w:rsidRDefault="00825A26" w:rsidP="00825A26">
            <w:pPr>
              <w:rPr>
                <w:lang w:val="lv-LV" w:eastAsia="lv-LV"/>
              </w:rPr>
            </w:pPr>
            <w:r w:rsidRPr="00295B18">
              <w:rPr>
                <w:lang w:val="lv-LV" w:eastAsia="lv-LV"/>
              </w:rPr>
              <w:t>0</w:t>
            </w:r>
          </w:p>
        </w:tc>
        <w:tc>
          <w:tcPr>
            <w:tcW w:w="1073" w:type="dxa"/>
            <w:shd w:val="clear" w:color="auto" w:fill="auto"/>
            <w:vAlign w:val="center"/>
            <w:hideMark/>
          </w:tcPr>
          <w:p w14:paraId="5B9715CE" w14:textId="77777777" w:rsidR="00825A26" w:rsidRPr="00295B18" w:rsidRDefault="00825A26" w:rsidP="00825A26">
            <w:pPr>
              <w:rPr>
                <w:lang w:val="lv-LV" w:eastAsia="lv-LV"/>
              </w:rPr>
            </w:pPr>
            <w:r w:rsidRPr="00295B18">
              <w:rPr>
                <w:lang w:val="lv-LV" w:eastAsia="lv-LV"/>
              </w:rPr>
              <w:t>0</w:t>
            </w:r>
          </w:p>
        </w:tc>
        <w:tc>
          <w:tcPr>
            <w:tcW w:w="941" w:type="dxa"/>
            <w:shd w:val="clear" w:color="auto" w:fill="auto"/>
            <w:vAlign w:val="center"/>
            <w:hideMark/>
          </w:tcPr>
          <w:p w14:paraId="4E2C5A59"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1692F25C"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1E6867B9"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265FF5CE" w14:textId="77777777" w:rsidR="00825A26" w:rsidRPr="00295B18" w:rsidRDefault="00825A26" w:rsidP="00825A26">
            <w:pPr>
              <w:rPr>
                <w:lang w:val="lv-LV" w:eastAsia="lv-LV"/>
              </w:rPr>
            </w:pPr>
            <w:r w:rsidRPr="00295B18">
              <w:rPr>
                <w:lang w:val="lv-LV" w:eastAsia="lv-LV"/>
              </w:rPr>
              <w:t>0</w:t>
            </w:r>
          </w:p>
        </w:tc>
        <w:tc>
          <w:tcPr>
            <w:tcW w:w="995" w:type="dxa"/>
            <w:shd w:val="clear" w:color="auto" w:fill="auto"/>
            <w:vAlign w:val="center"/>
            <w:hideMark/>
          </w:tcPr>
          <w:p w14:paraId="4A65B242" w14:textId="77777777" w:rsidR="00825A26" w:rsidRPr="00295B18" w:rsidRDefault="00825A26" w:rsidP="00825A26">
            <w:pPr>
              <w:rPr>
                <w:lang w:val="lv-LV" w:eastAsia="lv-LV"/>
              </w:rPr>
            </w:pPr>
            <w:r w:rsidRPr="00295B18">
              <w:rPr>
                <w:lang w:val="lv-LV" w:eastAsia="lv-LV"/>
              </w:rPr>
              <w:t>0</w:t>
            </w:r>
          </w:p>
        </w:tc>
      </w:tr>
      <w:tr w:rsidR="00825A26" w:rsidRPr="00BB1513" w14:paraId="3719158E" w14:textId="77777777" w:rsidTr="00AD6683">
        <w:trPr>
          <w:cantSplit/>
        </w:trPr>
        <w:tc>
          <w:tcPr>
            <w:tcW w:w="2162" w:type="dxa"/>
            <w:shd w:val="clear" w:color="auto" w:fill="auto"/>
            <w:hideMark/>
          </w:tcPr>
          <w:p w14:paraId="1DA01B88" w14:textId="77777777" w:rsidR="00825A26" w:rsidRPr="00295B18" w:rsidRDefault="00825A26" w:rsidP="00825A26">
            <w:pPr>
              <w:rPr>
                <w:lang w:val="lv-LV" w:eastAsia="lv-LV"/>
              </w:rPr>
            </w:pPr>
            <w:r w:rsidRPr="00295B18">
              <w:rPr>
                <w:lang w:val="lv-LV" w:eastAsia="lv-LV"/>
              </w:rPr>
              <w:lastRenderedPageBreak/>
              <w:t>2.3. pašvaldību budžets</w:t>
            </w:r>
          </w:p>
        </w:tc>
        <w:tc>
          <w:tcPr>
            <w:tcW w:w="1074" w:type="dxa"/>
            <w:shd w:val="clear" w:color="auto" w:fill="auto"/>
            <w:vAlign w:val="center"/>
            <w:hideMark/>
          </w:tcPr>
          <w:p w14:paraId="224CFFE8" w14:textId="77777777" w:rsidR="00825A26" w:rsidRPr="00295B18" w:rsidRDefault="00825A26" w:rsidP="00825A26">
            <w:pPr>
              <w:rPr>
                <w:lang w:val="lv-LV" w:eastAsia="lv-LV"/>
              </w:rPr>
            </w:pPr>
            <w:r w:rsidRPr="00295B18">
              <w:rPr>
                <w:lang w:val="lv-LV" w:eastAsia="lv-LV"/>
              </w:rPr>
              <w:t>0</w:t>
            </w:r>
          </w:p>
        </w:tc>
        <w:tc>
          <w:tcPr>
            <w:tcW w:w="1073" w:type="dxa"/>
            <w:shd w:val="clear" w:color="auto" w:fill="auto"/>
            <w:vAlign w:val="center"/>
            <w:hideMark/>
          </w:tcPr>
          <w:p w14:paraId="7F023667" w14:textId="77777777" w:rsidR="00825A26" w:rsidRPr="00295B18" w:rsidRDefault="00825A26" w:rsidP="00825A26">
            <w:pPr>
              <w:rPr>
                <w:lang w:val="lv-LV" w:eastAsia="lv-LV"/>
              </w:rPr>
            </w:pPr>
            <w:r w:rsidRPr="00295B18">
              <w:rPr>
                <w:lang w:val="lv-LV" w:eastAsia="lv-LV"/>
              </w:rPr>
              <w:t>0</w:t>
            </w:r>
          </w:p>
        </w:tc>
        <w:tc>
          <w:tcPr>
            <w:tcW w:w="941" w:type="dxa"/>
            <w:shd w:val="clear" w:color="auto" w:fill="auto"/>
            <w:vAlign w:val="center"/>
            <w:hideMark/>
          </w:tcPr>
          <w:p w14:paraId="12EE066E"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50796AEC"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5D07CC14"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0F2D0E22" w14:textId="77777777" w:rsidR="00825A26" w:rsidRPr="00295B18" w:rsidRDefault="00825A26" w:rsidP="00825A26">
            <w:pPr>
              <w:rPr>
                <w:lang w:val="lv-LV" w:eastAsia="lv-LV"/>
              </w:rPr>
            </w:pPr>
            <w:r w:rsidRPr="00295B18">
              <w:rPr>
                <w:lang w:val="lv-LV" w:eastAsia="lv-LV"/>
              </w:rPr>
              <w:t>0</w:t>
            </w:r>
          </w:p>
        </w:tc>
        <w:tc>
          <w:tcPr>
            <w:tcW w:w="995" w:type="dxa"/>
            <w:shd w:val="clear" w:color="auto" w:fill="auto"/>
            <w:vAlign w:val="center"/>
            <w:hideMark/>
          </w:tcPr>
          <w:p w14:paraId="4E83F349" w14:textId="77777777" w:rsidR="00825A26" w:rsidRPr="00295B18" w:rsidRDefault="00825A26" w:rsidP="00825A26">
            <w:pPr>
              <w:rPr>
                <w:lang w:val="lv-LV" w:eastAsia="lv-LV"/>
              </w:rPr>
            </w:pPr>
            <w:r w:rsidRPr="00295B18">
              <w:rPr>
                <w:lang w:val="lv-LV" w:eastAsia="lv-LV"/>
              </w:rPr>
              <w:t>0</w:t>
            </w:r>
          </w:p>
        </w:tc>
      </w:tr>
      <w:tr w:rsidR="00825A26" w:rsidRPr="00BB1513" w14:paraId="0FB3294D" w14:textId="77777777" w:rsidTr="00AD6683">
        <w:trPr>
          <w:cantSplit/>
        </w:trPr>
        <w:tc>
          <w:tcPr>
            <w:tcW w:w="2162" w:type="dxa"/>
            <w:shd w:val="clear" w:color="auto" w:fill="auto"/>
            <w:hideMark/>
          </w:tcPr>
          <w:p w14:paraId="585CC0DA" w14:textId="77777777" w:rsidR="00825A26" w:rsidRPr="00295B18" w:rsidRDefault="00825A26" w:rsidP="00825A26">
            <w:pPr>
              <w:rPr>
                <w:lang w:val="lv-LV" w:eastAsia="lv-LV"/>
              </w:rPr>
            </w:pPr>
            <w:r w:rsidRPr="00295B18">
              <w:rPr>
                <w:lang w:val="lv-LV" w:eastAsia="lv-LV"/>
              </w:rPr>
              <w:t>3. Finansiālā ietekme</w:t>
            </w:r>
          </w:p>
        </w:tc>
        <w:tc>
          <w:tcPr>
            <w:tcW w:w="1074" w:type="dxa"/>
            <w:shd w:val="clear" w:color="auto" w:fill="auto"/>
            <w:vAlign w:val="center"/>
            <w:hideMark/>
          </w:tcPr>
          <w:p w14:paraId="795F43FB" w14:textId="3038E696" w:rsidR="00825A26" w:rsidRPr="00295B18" w:rsidRDefault="00321E32" w:rsidP="00825A26">
            <w:pPr>
              <w:rPr>
                <w:lang w:val="lv-LV" w:eastAsia="lv-LV"/>
              </w:rPr>
            </w:pPr>
            <w:r w:rsidRPr="00295B18">
              <w:rPr>
                <w:lang w:val="lv-LV" w:eastAsia="lv-LV"/>
              </w:rPr>
              <w:t>- 193 810</w:t>
            </w:r>
          </w:p>
        </w:tc>
        <w:tc>
          <w:tcPr>
            <w:tcW w:w="1073" w:type="dxa"/>
            <w:shd w:val="clear" w:color="auto" w:fill="auto"/>
            <w:vAlign w:val="center"/>
            <w:hideMark/>
          </w:tcPr>
          <w:p w14:paraId="56BFFDC0" w14:textId="465F563C" w:rsidR="00825A26" w:rsidRPr="00295B18" w:rsidRDefault="00321E32" w:rsidP="00825A26">
            <w:pPr>
              <w:rPr>
                <w:lang w:val="lv-LV" w:eastAsia="lv-LV"/>
              </w:rPr>
            </w:pPr>
            <w:r w:rsidRPr="00295B18">
              <w:rPr>
                <w:lang w:val="lv-LV" w:eastAsia="lv-LV"/>
              </w:rPr>
              <w:t>- 13 690</w:t>
            </w:r>
          </w:p>
        </w:tc>
        <w:tc>
          <w:tcPr>
            <w:tcW w:w="941" w:type="dxa"/>
            <w:shd w:val="clear" w:color="auto" w:fill="auto"/>
            <w:vAlign w:val="center"/>
            <w:hideMark/>
          </w:tcPr>
          <w:p w14:paraId="1E769B79" w14:textId="2553A825" w:rsidR="00825A26" w:rsidRPr="00295B18" w:rsidRDefault="00321E32" w:rsidP="00825A26">
            <w:pPr>
              <w:rPr>
                <w:lang w:val="lv-LV" w:eastAsia="lv-LV"/>
              </w:rPr>
            </w:pPr>
            <w:r w:rsidRPr="00295B18">
              <w:rPr>
                <w:lang w:val="lv-LV" w:eastAsia="lv-LV"/>
              </w:rPr>
              <w:t>-193 810</w:t>
            </w:r>
          </w:p>
        </w:tc>
        <w:tc>
          <w:tcPr>
            <w:tcW w:w="940" w:type="dxa"/>
            <w:shd w:val="clear" w:color="auto" w:fill="auto"/>
            <w:vAlign w:val="center"/>
            <w:hideMark/>
          </w:tcPr>
          <w:p w14:paraId="473739F0" w14:textId="39ABD491" w:rsidR="00825A26" w:rsidRPr="00295B18" w:rsidRDefault="00321E32" w:rsidP="00825A26">
            <w:pPr>
              <w:rPr>
                <w:lang w:val="lv-LV" w:eastAsia="lv-LV"/>
              </w:rPr>
            </w:pPr>
            <w:r w:rsidRPr="00295B18">
              <w:rPr>
                <w:lang w:val="lv-LV" w:eastAsia="lv-LV"/>
              </w:rPr>
              <w:t>-13 690</w:t>
            </w:r>
          </w:p>
        </w:tc>
        <w:tc>
          <w:tcPr>
            <w:tcW w:w="940" w:type="dxa"/>
            <w:shd w:val="clear" w:color="auto" w:fill="auto"/>
            <w:vAlign w:val="center"/>
          </w:tcPr>
          <w:p w14:paraId="2CB682E2"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70C7D1A5" w14:textId="19A7F3AA" w:rsidR="00825A26" w:rsidRPr="00295B18" w:rsidRDefault="002D006C" w:rsidP="00825A26">
            <w:pPr>
              <w:rPr>
                <w:lang w:val="lv-LV" w:eastAsia="lv-LV"/>
              </w:rPr>
            </w:pPr>
            <w:r w:rsidRPr="00295B18">
              <w:rPr>
                <w:lang w:val="lv-LV" w:eastAsia="lv-LV"/>
              </w:rPr>
              <w:t>-248 398</w:t>
            </w:r>
          </w:p>
        </w:tc>
        <w:tc>
          <w:tcPr>
            <w:tcW w:w="995" w:type="dxa"/>
            <w:shd w:val="clear" w:color="auto" w:fill="auto"/>
            <w:vAlign w:val="center"/>
            <w:hideMark/>
          </w:tcPr>
          <w:p w14:paraId="3CC293F6" w14:textId="77777777" w:rsidR="00825A26" w:rsidRPr="00295B18" w:rsidRDefault="00825A26" w:rsidP="00825A26">
            <w:pPr>
              <w:rPr>
                <w:lang w:val="lv-LV" w:eastAsia="lv-LV"/>
              </w:rPr>
            </w:pPr>
            <w:r w:rsidRPr="00295B18">
              <w:rPr>
                <w:lang w:val="lv-LV" w:eastAsia="lv-LV"/>
              </w:rPr>
              <w:t>0</w:t>
            </w:r>
          </w:p>
        </w:tc>
      </w:tr>
      <w:tr w:rsidR="00825A26" w:rsidRPr="00BB1513" w14:paraId="2E9CC2EB" w14:textId="77777777" w:rsidTr="00AD6683">
        <w:trPr>
          <w:cantSplit/>
        </w:trPr>
        <w:tc>
          <w:tcPr>
            <w:tcW w:w="2162" w:type="dxa"/>
            <w:shd w:val="clear" w:color="auto" w:fill="auto"/>
            <w:hideMark/>
          </w:tcPr>
          <w:p w14:paraId="674415C9" w14:textId="77777777" w:rsidR="00825A26" w:rsidRPr="00295B18" w:rsidRDefault="00825A26" w:rsidP="00825A26">
            <w:pPr>
              <w:rPr>
                <w:lang w:val="lv-LV" w:eastAsia="lv-LV"/>
              </w:rPr>
            </w:pPr>
            <w:r w:rsidRPr="00295B18">
              <w:rPr>
                <w:lang w:val="lv-LV" w:eastAsia="lv-LV"/>
              </w:rPr>
              <w:t>3.1. valsts pamatbudžets</w:t>
            </w:r>
          </w:p>
        </w:tc>
        <w:tc>
          <w:tcPr>
            <w:tcW w:w="1074" w:type="dxa"/>
            <w:shd w:val="clear" w:color="auto" w:fill="auto"/>
            <w:vAlign w:val="center"/>
            <w:hideMark/>
          </w:tcPr>
          <w:p w14:paraId="3A049D4E" w14:textId="17CFAE0F" w:rsidR="00825A26" w:rsidRPr="00295B18" w:rsidRDefault="00321E32" w:rsidP="00825A26">
            <w:pPr>
              <w:rPr>
                <w:lang w:val="lv-LV" w:eastAsia="lv-LV"/>
              </w:rPr>
            </w:pPr>
            <w:r w:rsidRPr="00295B18">
              <w:rPr>
                <w:lang w:val="lv-LV" w:eastAsia="lv-LV"/>
              </w:rPr>
              <w:t>- 193 810</w:t>
            </w:r>
          </w:p>
        </w:tc>
        <w:tc>
          <w:tcPr>
            <w:tcW w:w="1073" w:type="dxa"/>
            <w:shd w:val="clear" w:color="auto" w:fill="auto"/>
            <w:vAlign w:val="center"/>
            <w:hideMark/>
          </w:tcPr>
          <w:p w14:paraId="5E1398A5" w14:textId="03A61DE2" w:rsidR="00825A26" w:rsidRPr="00295B18" w:rsidRDefault="00321E32" w:rsidP="00825A26">
            <w:pPr>
              <w:rPr>
                <w:lang w:val="lv-LV" w:eastAsia="lv-LV"/>
              </w:rPr>
            </w:pPr>
            <w:r w:rsidRPr="00295B18">
              <w:rPr>
                <w:lang w:val="lv-LV" w:eastAsia="lv-LV"/>
              </w:rPr>
              <w:t>- 13 690</w:t>
            </w:r>
          </w:p>
        </w:tc>
        <w:tc>
          <w:tcPr>
            <w:tcW w:w="941" w:type="dxa"/>
            <w:shd w:val="clear" w:color="auto" w:fill="auto"/>
            <w:vAlign w:val="center"/>
            <w:hideMark/>
          </w:tcPr>
          <w:p w14:paraId="30D3CD94" w14:textId="7A4ADDD4" w:rsidR="00825A26" w:rsidRPr="00295B18" w:rsidRDefault="00321E32" w:rsidP="00825A26">
            <w:pPr>
              <w:rPr>
                <w:lang w:val="lv-LV" w:eastAsia="lv-LV"/>
              </w:rPr>
            </w:pPr>
            <w:r w:rsidRPr="00295B18">
              <w:rPr>
                <w:lang w:val="lv-LV" w:eastAsia="lv-LV"/>
              </w:rPr>
              <w:t>-193 810</w:t>
            </w:r>
          </w:p>
        </w:tc>
        <w:tc>
          <w:tcPr>
            <w:tcW w:w="940" w:type="dxa"/>
            <w:shd w:val="clear" w:color="auto" w:fill="auto"/>
            <w:vAlign w:val="center"/>
            <w:hideMark/>
          </w:tcPr>
          <w:p w14:paraId="48828639" w14:textId="52F78C68" w:rsidR="00825A26" w:rsidRPr="00295B18" w:rsidRDefault="00321E32" w:rsidP="00825A26">
            <w:pPr>
              <w:rPr>
                <w:lang w:val="lv-LV" w:eastAsia="lv-LV"/>
              </w:rPr>
            </w:pPr>
            <w:r w:rsidRPr="00295B18">
              <w:rPr>
                <w:lang w:val="lv-LV" w:eastAsia="lv-LV"/>
              </w:rPr>
              <w:t>-13 690</w:t>
            </w:r>
          </w:p>
        </w:tc>
        <w:tc>
          <w:tcPr>
            <w:tcW w:w="940" w:type="dxa"/>
            <w:shd w:val="clear" w:color="auto" w:fill="auto"/>
            <w:vAlign w:val="center"/>
          </w:tcPr>
          <w:p w14:paraId="52642248"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6683FB5F" w14:textId="436868F7" w:rsidR="00825A26" w:rsidRPr="00295B18" w:rsidRDefault="002D006C" w:rsidP="00825A26">
            <w:pPr>
              <w:rPr>
                <w:lang w:val="lv-LV" w:eastAsia="lv-LV"/>
              </w:rPr>
            </w:pPr>
            <w:r w:rsidRPr="00295B18">
              <w:rPr>
                <w:lang w:val="lv-LV" w:eastAsia="lv-LV"/>
              </w:rPr>
              <w:t>-248 398</w:t>
            </w:r>
          </w:p>
        </w:tc>
        <w:tc>
          <w:tcPr>
            <w:tcW w:w="995" w:type="dxa"/>
            <w:shd w:val="clear" w:color="auto" w:fill="auto"/>
            <w:vAlign w:val="center"/>
            <w:hideMark/>
          </w:tcPr>
          <w:p w14:paraId="704F55D5" w14:textId="77777777" w:rsidR="00825A26" w:rsidRPr="00295B18" w:rsidRDefault="00825A26" w:rsidP="00825A26">
            <w:pPr>
              <w:rPr>
                <w:lang w:val="lv-LV" w:eastAsia="lv-LV"/>
              </w:rPr>
            </w:pPr>
            <w:r w:rsidRPr="00295B18">
              <w:rPr>
                <w:lang w:val="lv-LV" w:eastAsia="lv-LV"/>
              </w:rPr>
              <w:t>0</w:t>
            </w:r>
          </w:p>
        </w:tc>
      </w:tr>
      <w:tr w:rsidR="00825A26" w:rsidRPr="00BB1513" w14:paraId="104573B3" w14:textId="77777777" w:rsidTr="00AD6683">
        <w:trPr>
          <w:cantSplit/>
        </w:trPr>
        <w:tc>
          <w:tcPr>
            <w:tcW w:w="2162" w:type="dxa"/>
            <w:shd w:val="clear" w:color="auto" w:fill="auto"/>
            <w:hideMark/>
          </w:tcPr>
          <w:p w14:paraId="4EEE72A2" w14:textId="77777777" w:rsidR="00825A26" w:rsidRPr="00295B18" w:rsidRDefault="00825A26" w:rsidP="00825A26">
            <w:pPr>
              <w:rPr>
                <w:lang w:val="lv-LV" w:eastAsia="lv-LV"/>
              </w:rPr>
            </w:pPr>
            <w:r w:rsidRPr="00295B18">
              <w:rPr>
                <w:lang w:val="lv-LV" w:eastAsia="lv-LV"/>
              </w:rPr>
              <w:t>3.2. speciālais budžets</w:t>
            </w:r>
          </w:p>
        </w:tc>
        <w:tc>
          <w:tcPr>
            <w:tcW w:w="1074" w:type="dxa"/>
            <w:shd w:val="clear" w:color="auto" w:fill="auto"/>
            <w:vAlign w:val="center"/>
            <w:hideMark/>
          </w:tcPr>
          <w:p w14:paraId="2CB092B6" w14:textId="77777777" w:rsidR="00825A26" w:rsidRPr="00295B18" w:rsidRDefault="00825A26" w:rsidP="00825A26">
            <w:pPr>
              <w:rPr>
                <w:lang w:val="lv-LV" w:eastAsia="lv-LV"/>
              </w:rPr>
            </w:pPr>
            <w:r w:rsidRPr="00295B18">
              <w:rPr>
                <w:lang w:val="lv-LV" w:eastAsia="lv-LV"/>
              </w:rPr>
              <w:t>0</w:t>
            </w:r>
          </w:p>
        </w:tc>
        <w:tc>
          <w:tcPr>
            <w:tcW w:w="1073" w:type="dxa"/>
            <w:shd w:val="clear" w:color="auto" w:fill="auto"/>
            <w:vAlign w:val="center"/>
            <w:hideMark/>
          </w:tcPr>
          <w:p w14:paraId="0CF90C23" w14:textId="77777777" w:rsidR="00825A26" w:rsidRPr="00295B18" w:rsidRDefault="00825A26" w:rsidP="00825A26">
            <w:pPr>
              <w:rPr>
                <w:lang w:val="lv-LV" w:eastAsia="lv-LV"/>
              </w:rPr>
            </w:pPr>
            <w:r w:rsidRPr="00295B18">
              <w:rPr>
                <w:lang w:val="lv-LV" w:eastAsia="lv-LV"/>
              </w:rPr>
              <w:t>0</w:t>
            </w:r>
          </w:p>
        </w:tc>
        <w:tc>
          <w:tcPr>
            <w:tcW w:w="941" w:type="dxa"/>
            <w:shd w:val="clear" w:color="auto" w:fill="auto"/>
            <w:vAlign w:val="center"/>
            <w:hideMark/>
          </w:tcPr>
          <w:p w14:paraId="49536126"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1EC2BEC1"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301CC4B0"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5AB24DDB" w14:textId="77777777" w:rsidR="00825A26" w:rsidRPr="00295B18" w:rsidRDefault="00825A26" w:rsidP="00825A26">
            <w:pPr>
              <w:rPr>
                <w:lang w:val="lv-LV" w:eastAsia="lv-LV"/>
              </w:rPr>
            </w:pPr>
            <w:r w:rsidRPr="00295B18">
              <w:rPr>
                <w:lang w:val="lv-LV" w:eastAsia="lv-LV"/>
              </w:rPr>
              <w:t>0</w:t>
            </w:r>
          </w:p>
        </w:tc>
        <w:tc>
          <w:tcPr>
            <w:tcW w:w="995" w:type="dxa"/>
            <w:shd w:val="clear" w:color="auto" w:fill="auto"/>
            <w:vAlign w:val="center"/>
            <w:hideMark/>
          </w:tcPr>
          <w:p w14:paraId="0561B410" w14:textId="77777777" w:rsidR="00825A26" w:rsidRPr="00295B18" w:rsidRDefault="00825A26" w:rsidP="00825A26">
            <w:pPr>
              <w:rPr>
                <w:lang w:val="lv-LV" w:eastAsia="lv-LV"/>
              </w:rPr>
            </w:pPr>
            <w:r w:rsidRPr="00295B18">
              <w:rPr>
                <w:lang w:val="lv-LV" w:eastAsia="lv-LV"/>
              </w:rPr>
              <w:t>0</w:t>
            </w:r>
          </w:p>
        </w:tc>
      </w:tr>
      <w:tr w:rsidR="00825A26" w:rsidRPr="00BB1513" w14:paraId="483834F5" w14:textId="77777777" w:rsidTr="00AD6683">
        <w:trPr>
          <w:cantSplit/>
        </w:trPr>
        <w:tc>
          <w:tcPr>
            <w:tcW w:w="2162" w:type="dxa"/>
            <w:shd w:val="clear" w:color="auto" w:fill="auto"/>
            <w:hideMark/>
          </w:tcPr>
          <w:p w14:paraId="5374621C" w14:textId="77777777" w:rsidR="00825A26" w:rsidRPr="00295B18" w:rsidRDefault="00825A26" w:rsidP="00825A26">
            <w:pPr>
              <w:rPr>
                <w:lang w:val="lv-LV" w:eastAsia="lv-LV"/>
              </w:rPr>
            </w:pPr>
            <w:r w:rsidRPr="00295B18">
              <w:rPr>
                <w:lang w:val="lv-LV" w:eastAsia="lv-LV"/>
              </w:rPr>
              <w:t>3.3. pašvaldību budžets</w:t>
            </w:r>
          </w:p>
        </w:tc>
        <w:tc>
          <w:tcPr>
            <w:tcW w:w="1074" w:type="dxa"/>
            <w:shd w:val="clear" w:color="auto" w:fill="auto"/>
            <w:vAlign w:val="center"/>
            <w:hideMark/>
          </w:tcPr>
          <w:p w14:paraId="32E49BF9" w14:textId="77777777" w:rsidR="00825A26" w:rsidRPr="00295B18" w:rsidRDefault="00825A26" w:rsidP="00825A26">
            <w:pPr>
              <w:rPr>
                <w:lang w:val="lv-LV" w:eastAsia="lv-LV"/>
              </w:rPr>
            </w:pPr>
            <w:r w:rsidRPr="00295B18">
              <w:rPr>
                <w:lang w:val="lv-LV" w:eastAsia="lv-LV"/>
              </w:rPr>
              <w:t>0</w:t>
            </w:r>
          </w:p>
        </w:tc>
        <w:tc>
          <w:tcPr>
            <w:tcW w:w="1073" w:type="dxa"/>
            <w:shd w:val="clear" w:color="auto" w:fill="auto"/>
            <w:vAlign w:val="center"/>
            <w:hideMark/>
          </w:tcPr>
          <w:p w14:paraId="07406418" w14:textId="77777777" w:rsidR="00825A26" w:rsidRPr="00295B18" w:rsidRDefault="00825A26" w:rsidP="00825A26">
            <w:pPr>
              <w:rPr>
                <w:lang w:val="lv-LV" w:eastAsia="lv-LV"/>
              </w:rPr>
            </w:pPr>
            <w:r w:rsidRPr="00295B18">
              <w:rPr>
                <w:lang w:val="lv-LV" w:eastAsia="lv-LV"/>
              </w:rPr>
              <w:t>0</w:t>
            </w:r>
          </w:p>
        </w:tc>
        <w:tc>
          <w:tcPr>
            <w:tcW w:w="941" w:type="dxa"/>
            <w:shd w:val="clear" w:color="auto" w:fill="auto"/>
            <w:vAlign w:val="center"/>
            <w:hideMark/>
          </w:tcPr>
          <w:p w14:paraId="4C4CAEE1"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34DDD67D"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3D7A50B4"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1876D452" w14:textId="77777777" w:rsidR="00825A26" w:rsidRPr="00295B18" w:rsidRDefault="00825A26" w:rsidP="00825A26">
            <w:pPr>
              <w:rPr>
                <w:lang w:val="lv-LV" w:eastAsia="lv-LV"/>
              </w:rPr>
            </w:pPr>
            <w:r w:rsidRPr="00295B18">
              <w:rPr>
                <w:lang w:val="lv-LV" w:eastAsia="lv-LV"/>
              </w:rPr>
              <w:t>0</w:t>
            </w:r>
          </w:p>
        </w:tc>
        <w:tc>
          <w:tcPr>
            <w:tcW w:w="995" w:type="dxa"/>
            <w:shd w:val="clear" w:color="auto" w:fill="auto"/>
            <w:vAlign w:val="center"/>
            <w:hideMark/>
          </w:tcPr>
          <w:p w14:paraId="21BC19D8" w14:textId="77777777" w:rsidR="00825A26" w:rsidRPr="00295B18" w:rsidRDefault="00825A26" w:rsidP="00825A26">
            <w:pPr>
              <w:rPr>
                <w:lang w:val="lv-LV" w:eastAsia="lv-LV"/>
              </w:rPr>
            </w:pPr>
            <w:r w:rsidRPr="00295B18">
              <w:rPr>
                <w:lang w:val="lv-LV" w:eastAsia="lv-LV"/>
              </w:rPr>
              <w:t>0</w:t>
            </w:r>
          </w:p>
        </w:tc>
      </w:tr>
      <w:tr w:rsidR="00825A26" w:rsidRPr="00BB1513" w14:paraId="4B5F147B" w14:textId="77777777" w:rsidTr="00AD6683">
        <w:trPr>
          <w:cantSplit/>
        </w:trPr>
        <w:tc>
          <w:tcPr>
            <w:tcW w:w="2162" w:type="dxa"/>
            <w:shd w:val="clear" w:color="auto" w:fill="auto"/>
            <w:hideMark/>
          </w:tcPr>
          <w:p w14:paraId="2F546B67" w14:textId="77777777" w:rsidR="00825A26" w:rsidRPr="00295B18" w:rsidRDefault="00825A26" w:rsidP="00825A26">
            <w:pPr>
              <w:rPr>
                <w:lang w:val="lv-LV" w:eastAsia="lv-LV"/>
              </w:rPr>
            </w:pPr>
            <w:r w:rsidRPr="00295B18">
              <w:rPr>
                <w:lang w:val="lv-LV" w:eastAsia="lv-LV"/>
              </w:rPr>
              <w:t>4. Finanšu līdzekļi papildu izdevumu finansēšanai (kompensējošu izdevumu samazinājumu norāda ar "+" zīmi)</w:t>
            </w:r>
          </w:p>
        </w:tc>
        <w:tc>
          <w:tcPr>
            <w:tcW w:w="1074" w:type="dxa"/>
            <w:shd w:val="clear" w:color="auto" w:fill="auto"/>
            <w:vAlign w:val="center"/>
            <w:hideMark/>
          </w:tcPr>
          <w:p w14:paraId="54A9246F" w14:textId="3E6ED6B9" w:rsidR="00825A26" w:rsidRPr="00295B18" w:rsidRDefault="00904449" w:rsidP="00825A26">
            <w:pPr>
              <w:rPr>
                <w:lang w:val="lv-LV" w:eastAsia="lv-LV"/>
              </w:rPr>
            </w:pPr>
            <w:r w:rsidRPr="00295B18">
              <w:rPr>
                <w:lang w:val="lv-LV" w:eastAsia="lv-LV"/>
              </w:rPr>
              <w:t>0</w:t>
            </w:r>
          </w:p>
        </w:tc>
        <w:tc>
          <w:tcPr>
            <w:tcW w:w="1073" w:type="dxa"/>
            <w:shd w:val="clear" w:color="auto" w:fill="auto"/>
            <w:vAlign w:val="center"/>
            <w:hideMark/>
          </w:tcPr>
          <w:p w14:paraId="77E7A43E" w14:textId="08EC64E1" w:rsidR="00825A26" w:rsidRPr="00295B18" w:rsidRDefault="00904449" w:rsidP="00825A26">
            <w:pPr>
              <w:rPr>
                <w:lang w:val="lv-LV" w:eastAsia="lv-LV"/>
              </w:rPr>
            </w:pPr>
            <w:r w:rsidRPr="00295B18">
              <w:rPr>
                <w:lang w:val="lv-LV" w:eastAsia="lv-LV"/>
              </w:rPr>
              <w:t>0</w:t>
            </w:r>
          </w:p>
        </w:tc>
        <w:tc>
          <w:tcPr>
            <w:tcW w:w="941" w:type="dxa"/>
            <w:shd w:val="clear" w:color="auto" w:fill="auto"/>
            <w:vAlign w:val="center"/>
            <w:hideMark/>
          </w:tcPr>
          <w:p w14:paraId="0C94CA46" w14:textId="024DF224" w:rsidR="00825A26" w:rsidRPr="00295B18" w:rsidRDefault="00904449" w:rsidP="00825A26">
            <w:pPr>
              <w:rPr>
                <w:lang w:val="lv-LV" w:eastAsia="lv-LV"/>
              </w:rPr>
            </w:pPr>
            <w:r w:rsidRPr="00295B18">
              <w:rPr>
                <w:lang w:val="lv-LV" w:eastAsia="lv-LV"/>
              </w:rPr>
              <w:t>0</w:t>
            </w:r>
          </w:p>
        </w:tc>
        <w:tc>
          <w:tcPr>
            <w:tcW w:w="940" w:type="dxa"/>
            <w:shd w:val="clear" w:color="auto" w:fill="auto"/>
            <w:vAlign w:val="center"/>
            <w:hideMark/>
          </w:tcPr>
          <w:p w14:paraId="43209AB3" w14:textId="069DF03C" w:rsidR="00825A26" w:rsidRPr="00295B18" w:rsidRDefault="00904449" w:rsidP="00825A26">
            <w:pPr>
              <w:rPr>
                <w:lang w:val="lv-LV" w:eastAsia="lv-LV"/>
              </w:rPr>
            </w:pPr>
            <w:r w:rsidRPr="00295B18">
              <w:rPr>
                <w:lang w:val="lv-LV" w:eastAsia="lv-LV"/>
              </w:rPr>
              <w:t>0</w:t>
            </w:r>
          </w:p>
        </w:tc>
        <w:tc>
          <w:tcPr>
            <w:tcW w:w="940" w:type="dxa"/>
            <w:shd w:val="clear" w:color="auto" w:fill="auto"/>
            <w:vAlign w:val="center"/>
          </w:tcPr>
          <w:p w14:paraId="54DB9281"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069031AA" w14:textId="046D5543" w:rsidR="00825A26" w:rsidRPr="00295B18" w:rsidRDefault="00904449" w:rsidP="00825A26">
            <w:pPr>
              <w:rPr>
                <w:lang w:val="lv-LV" w:eastAsia="lv-LV"/>
              </w:rPr>
            </w:pPr>
            <w:r w:rsidRPr="00295B18">
              <w:rPr>
                <w:lang w:val="lv-LV" w:eastAsia="lv-LV"/>
              </w:rPr>
              <w:t>0</w:t>
            </w:r>
          </w:p>
        </w:tc>
        <w:tc>
          <w:tcPr>
            <w:tcW w:w="995" w:type="dxa"/>
            <w:shd w:val="clear" w:color="auto" w:fill="auto"/>
            <w:vAlign w:val="center"/>
            <w:hideMark/>
          </w:tcPr>
          <w:p w14:paraId="64CDEF38" w14:textId="77777777" w:rsidR="00825A26" w:rsidRPr="00295B18" w:rsidRDefault="00825A26" w:rsidP="00825A26">
            <w:pPr>
              <w:rPr>
                <w:lang w:val="lv-LV" w:eastAsia="lv-LV"/>
              </w:rPr>
            </w:pPr>
            <w:r w:rsidRPr="00295B18">
              <w:rPr>
                <w:lang w:val="lv-LV" w:eastAsia="lv-LV"/>
              </w:rPr>
              <w:t>0</w:t>
            </w:r>
          </w:p>
        </w:tc>
      </w:tr>
      <w:tr w:rsidR="00825A26" w:rsidRPr="00BB1513" w14:paraId="234DF3CB" w14:textId="77777777" w:rsidTr="00F3685F">
        <w:trPr>
          <w:cantSplit/>
        </w:trPr>
        <w:tc>
          <w:tcPr>
            <w:tcW w:w="2162" w:type="dxa"/>
            <w:shd w:val="clear" w:color="auto" w:fill="auto"/>
            <w:hideMark/>
          </w:tcPr>
          <w:p w14:paraId="19A1840F" w14:textId="77777777" w:rsidR="00825A26" w:rsidRPr="00295B18" w:rsidRDefault="00825A26" w:rsidP="00825A26">
            <w:pPr>
              <w:rPr>
                <w:lang w:val="lv-LV" w:eastAsia="lv-LV"/>
              </w:rPr>
            </w:pPr>
            <w:r w:rsidRPr="00295B18">
              <w:rPr>
                <w:lang w:val="lv-LV" w:eastAsia="lv-LV"/>
              </w:rPr>
              <w:t>5. Precizēta finansiālā ietekme</w:t>
            </w:r>
          </w:p>
        </w:tc>
        <w:tc>
          <w:tcPr>
            <w:tcW w:w="1074" w:type="dxa"/>
            <w:shd w:val="clear" w:color="auto" w:fill="auto"/>
            <w:vAlign w:val="center"/>
          </w:tcPr>
          <w:p w14:paraId="6453F0F7" w14:textId="7CC82F86" w:rsidR="00825A26" w:rsidRPr="00295B18" w:rsidRDefault="00904449" w:rsidP="00825A26">
            <w:pPr>
              <w:rPr>
                <w:lang w:val="lv-LV" w:eastAsia="lv-LV"/>
              </w:rPr>
            </w:pPr>
            <w:r w:rsidRPr="00295B18">
              <w:rPr>
                <w:lang w:val="lv-LV" w:eastAsia="lv-LV"/>
              </w:rPr>
              <w:t>-193 810</w:t>
            </w:r>
          </w:p>
        </w:tc>
        <w:tc>
          <w:tcPr>
            <w:tcW w:w="1073" w:type="dxa"/>
            <w:shd w:val="clear" w:color="auto" w:fill="auto"/>
            <w:vAlign w:val="center"/>
            <w:hideMark/>
          </w:tcPr>
          <w:p w14:paraId="03501272" w14:textId="2A15BDF0" w:rsidR="00825A26" w:rsidRPr="00295B18" w:rsidRDefault="002A2C88" w:rsidP="00825A26">
            <w:pPr>
              <w:rPr>
                <w:lang w:val="lv-LV" w:eastAsia="lv-LV"/>
              </w:rPr>
            </w:pPr>
            <w:r w:rsidRPr="00295B18">
              <w:rPr>
                <w:lang w:val="lv-LV" w:eastAsia="lv-LV"/>
              </w:rPr>
              <w:t>-</w:t>
            </w:r>
            <w:r w:rsidR="00904449" w:rsidRPr="00295B18">
              <w:rPr>
                <w:lang w:val="lv-LV" w:eastAsia="lv-LV"/>
              </w:rPr>
              <w:t>13 690</w:t>
            </w:r>
          </w:p>
        </w:tc>
        <w:tc>
          <w:tcPr>
            <w:tcW w:w="941" w:type="dxa"/>
            <w:shd w:val="clear" w:color="auto" w:fill="auto"/>
            <w:vAlign w:val="center"/>
            <w:hideMark/>
          </w:tcPr>
          <w:p w14:paraId="31E0434E" w14:textId="00D8C0D1" w:rsidR="00825A26" w:rsidRPr="00295B18" w:rsidRDefault="00904449" w:rsidP="00825A26">
            <w:pPr>
              <w:rPr>
                <w:lang w:val="lv-LV" w:eastAsia="lv-LV"/>
              </w:rPr>
            </w:pPr>
            <w:r w:rsidRPr="00295B18">
              <w:rPr>
                <w:lang w:val="lv-LV" w:eastAsia="lv-LV"/>
              </w:rPr>
              <w:t>-193 810</w:t>
            </w:r>
          </w:p>
        </w:tc>
        <w:tc>
          <w:tcPr>
            <w:tcW w:w="940" w:type="dxa"/>
            <w:shd w:val="clear" w:color="auto" w:fill="auto"/>
            <w:vAlign w:val="center"/>
            <w:hideMark/>
          </w:tcPr>
          <w:p w14:paraId="0382E168" w14:textId="0588BF12" w:rsidR="00825A26" w:rsidRPr="00295B18" w:rsidRDefault="00904449" w:rsidP="00825A26">
            <w:pPr>
              <w:rPr>
                <w:lang w:val="lv-LV" w:eastAsia="lv-LV"/>
              </w:rPr>
            </w:pPr>
            <w:r w:rsidRPr="00295B18">
              <w:rPr>
                <w:lang w:val="lv-LV" w:eastAsia="lv-LV"/>
              </w:rPr>
              <w:t>-13 690</w:t>
            </w:r>
          </w:p>
        </w:tc>
        <w:tc>
          <w:tcPr>
            <w:tcW w:w="940" w:type="dxa"/>
            <w:shd w:val="clear" w:color="auto" w:fill="auto"/>
            <w:vAlign w:val="center"/>
          </w:tcPr>
          <w:p w14:paraId="4F0E03A2" w14:textId="7C59A2F5"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67AE482C" w14:textId="6FCAF3F1" w:rsidR="00825A26" w:rsidRPr="00295B18" w:rsidRDefault="00904449" w:rsidP="00825A26">
            <w:pPr>
              <w:rPr>
                <w:lang w:val="lv-LV" w:eastAsia="lv-LV"/>
              </w:rPr>
            </w:pPr>
            <w:r w:rsidRPr="00295B18">
              <w:rPr>
                <w:lang w:val="lv-LV" w:eastAsia="lv-LV"/>
              </w:rPr>
              <w:t>-248 398</w:t>
            </w:r>
          </w:p>
        </w:tc>
        <w:tc>
          <w:tcPr>
            <w:tcW w:w="995" w:type="dxa"/>
            <w:shd w:val="clear" w:color="auto" w:fill="auto"/>
            <w:vAlign w:val="center"/>
            <w:hideMark/>
          </w:tcPr>
          <w:p w14:paraId="2413B686" w14:textId="77777777" w:rsidR="00825A26" w:rsidRPr="00295B18" w:rsidRDefault="00825A26" w:rsidP="00825A26">
            <w:pPr>
              <w:rPr>
                <w:lang w:val="lv-LV" w:eastAsia="lv-LV"/>
              </w:rPr>
            </w:pPr>
            <w:r w:rsidRPr="00295B18">
              <w:rPr>
                <w:lang w:val="lv-LV" w:eastAsia="lv-LV"/>
              </w:rPr>
              <w:t>0</w:t>
            </w:r>
          </w:p>
        </w:tc>
      </w:tr>
      <w:tr w:rsidR="00825A26" w:rsidRPr="00BB1513" w14:paraId="214F1453" w14:textId="77777777" w:rsidTr="00825A26">
        <w:trPr>
          <w:cantSplit/>
        </w:trPr>
        <w:tc>
          <w:tcPr>
            <w:tcW w:w="2162" w:type="dxa"/>
            <w:shd w:val="clear" w:color="auto" w:fill="auto"/>
            <w:hideMark/>
          </w:tcPr>
          <w:p w14:paraId="008E86AC" w14:textId="77777777" w:rsidR="00825A26" w:rsidRPr="00295B18" w:rsidRDefault="00825A26" w:rsidP="00825A26">
            <w:pPr>
              <w:rPr>
                <w:lang w:val="lv-LV" w:eastAsia="lv-LV"/>
              </w:rPr>
            </w:pPr>
            <w:r w:rsidRPr="00295B18">
              <w:rPr>
                <w:lang w:val="lv-LV" w:eastAsia="lv-LV"/>
              </w:rPr>
              <w:t>5.1. valsts pamatbudžets</w:t>
            </w:r>
          </w:p>
        </w:tc>
        <w:tc>
          <w:tcPr>
            <w:tcW w:w="1074" w:type="dxa"/>
            <w:shd w:val="clear" w:color="auto" w:fill="auto"/>
            <w:vAlign w:val="center"/>
          </w:tcPr>
          <w:p w14:paraId="76D11261" w14:textId="6B7827E4" w:rsidR="00825A26" w:rsidRPr="00295B18" w:rsidRDefault="00904449" w:rsidP="00825A26">
            <w:pPr>
              <w:rPr>
                <w:lang w:val="lv-LV" w:eastAsia="lv-LV"/>
              </w:rPr>
            </w:pPr>
            <w:r w:rsidRPr="00295B18">
              <w:rPr>
                <w:lang w:val="lv-LV" w:eastAsia="lv-LV"/>
              </w:rPr>
              <w:t>-193 810</w:t>
            </w:r>
          </w:p>
        </w:tc>
        <w:tc>
          <w:tcPr>
            <w:tcW w:w="1073" w:type="dxa"/>
            <w:shd w:val="clear" w:color="auto" w:fill="auto"/>
            <w:vAlign w:val="center"/>
            <w:hideMark/>
          </w:tcPr>
          <w:p w14:paraId="4DBAFF49" w14:textId="1F2469B2" w:rsidR="00825A26" w:rsidRPr="00295B18" w:rsidRDefault="002A2C88" w:rsidP="00825A26">
            <w:pPr>
              <w:rPr>
                <w:lang w:val="lv-LV" w:eastAsia="lv-LV"/>
              </w:rPr>
            </w:pPr>
            <w:r w:rsidRPr="00295B18">
              <w:rPr>
                <w:lang w:val="lv-LV" w:eastAsia="lv-LV"/>
              </w:rPr>
              <w:t>-</w:t>
            </w:r>
            <w:r w:rsidR="00904449" w:rsidRPr="00295B18">
              <w:rPr>
                <w:lang w:val="lv-LV" w:eastAsia="lv-LV"/>
              </w:rPr>
              <w:t>13 690</w:t>
            </w:r>
          </w:p>
        </w:tc>
        <w:tc>
          <w:tcPr>
            <w:tcW w:w="941" w:type="dxa"/>
            <w:shd w:val="clear" w:color="auto" w:fill="auto"/>
            <w:vAlign w:val="center"/>
            <w:hideMark/>
          </w:tcPr>
          <w:p w14:paraId="19E0760E" w14:textId="1669C81A" w:rsidR="00825A26" w:rsidRPr="00295B18" w:rsidRDefault="00904449" w:rsidP="00825A26">
            <w:pPr>
              <w:rPr>
                <w:lang w:val="lv-LV" w:eastAsia="lv-LV"/>
              </w:rPr>
            </w:pPr>
            <w:r w:rsidRPr="00295B18">
              <w:rPr>
                <w:lang w:val="lv-LV" w:eastAsia="lv-LV"/>
              </w:rPr>
              <w:t>-193 810</w:t>
            </w:r>
          </w:p>
        </w:tc>
        <w:tc>
          <w:tcPr>
            <w:tcW w:w="940" w:type="dxa"/>
            <w:shd w:val="clear" w:color="auto" w:fill="auto"/>
            <w:vAlign w:val="center"/>
            <w:hideMark/>
          </w:tcPr>
          <w:p w14:paraId="531DA517" w14:textId="0544D3AA" w:rsidR="00825A26" w:rsidRPr="00295B18" w:rsidRDefault="00904449" w:rsidP="00825A26">
            <w:pPr>
              <w:rPr>
                <w:lang w:val="lv-LV" w:eastAsia="lv-LV"/>
              </w:rPr>
            </w:pPr>
            <w:r w:rsidRPr="00295B18">
              <w:rPr>
                <w:lang w:val="lv-LV" w:eastAsia="lv-LV"/>
              </w:rPr>
              <w:t>-13 690</w:t>
            </w:r>
          </w:p>
        </w:tc>
        <w:tc>
          <w:tcPr>
            <w:tcW w:w="940" w:type="dxa"/>
            <w:shd w:val="clear" w:color="auto" w:fill="auto"/>
            <w:vAlign w:val="center"/>
          </w:tcPr>
          <w:p w14:paraId="3353516D" w14:textId="15CD891E"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1E6795EC" w14:textId="3739F470" w:rsidR="00825A26" w:rsidRPr="00295B18" w:rsidRDefault="00904449" w:rsidP="00825A26">
            <w:pPr>
              <w:rPr>
                <w:lang w:val="lv-LV" w:eastAsia="lv-LV"/>
              </w:rPr>
            </w:pPr>
            <w:r w:rsidRPr="00295B18">
              <w:rPr>
                <w:lang w:val="lv-LV" w:eastAsia="lv-LV"/>
              </w:rPr>
              <w:t>-248 398</w:t>
            </w:r>
          </w:p>
        </w:tc>
        <w:tc>
          <w:tcPr>
            <w:tcW w:w="995" w:type="dxa"/>
            <w:shd w:val="clear" w:color="auto" w:fill="auto"/>
            <w:vAlign w:val="center"/>
            <w:hideMark/>
          </w:tcPr>
          <w:p w14:paraId="06EF319D" w14:textId="77777777" w:rsidR="00825A26" w:rsidRPr="00295B18" w:rsidRDefault="00825A26" w:rsidP="00825A26">
            <w:pPr>
              <w:rPr>
                <w:lang w:val="lv-LV" w:eastAsia="lv-LV"/>
              </w:rPr>
            </w:pPr>
            <w:r w:rsidRPr="00295B18">
              <w:rPr>
                <w:lang w:val="lv-LV" w:eastAsia="lv-LV"/>
              </w:rPr>
              <w:t>0</w:t>
            </w:r>
          </w:p>
        </w:tc>
      </w:tr>
      <w:tr w:rsidR="00825A26" w:rsidRPr="00BB1513" w14:paraId="71DD5CEF" w14:textId="77777777" w:rsidTr="00AD6683">
        <w:trPr>
          <w:cantSplit/>
        </w:trPr>
        <w:tc>
          <w:tcPr>
            <w:tcW w:w="2162" w:type="dxa"/>
            <w:shd w:val="clear" w:color="auto" w:fill="auto"/>
            <w:hideMark/>
          </w:tcPr>
          <w:p w14:paraId="71CB8825" w14:textId="77777777" w:rsidR="00825A26" w:rsidRPr="00295B18" w:rsidRDefault="00825A26" w:rsidP="00825A26">
            <w:pPr>
              <w:rPr>
                <w:lang w:val="lv-LV" w:eastAsia="lv-LV"/>
              </w:rPr>
            </w:pPr>
            <w:r w:rsidRPr="00295B18">
              <w:rPr>
                <w:lang w:val="lv-LV" w:eastAsia="lv-LV"/>
              </w:rPr>
              <w:t>5.2. speciālais budžets</w:t>
            </w:r>
          </w:p>
        </w:tc>
        <w:tc>
          <w:tcPr>
            <w:tcW w:w="1074" w:type="dxa"/>
            <w:shd w:val="clear" w:color="auto" w:fill="auto"/>
            <w:vAlign w:val="center"/>
            <w:hideMark/>
          </w:tcPr>
          <w:p w14:paraId="2832E509" w14:textId="53F24BAD" w:rsidR="00825A26" w:rsidRPr="00295B18" w:rsidRDefault="00825A26" w:rsidP="00825A26">
            <w:pPr>
              <w:rPr>
                <w:lang w:val="lv-LV" w:eastAsia="lv-LV"/>
              </w:rPr>
            </w:pPr>
            <w:r w:rsidRPr="00295B18">
              <w:rPr>
                <w:lang w:val="lv-LV" w:eastAsia="lv-LV"/>
              </w:rPr>
              <w:t>0</w:t>
            </w:r>
          </w:p>
        </w:tc>
        <w:tc>
          <w:tcPr>
            <w:tcW w:w="1073" w:type="dxa"/>
            <w:shd w:val="clear" w:color="auto" w:fill="auto"/>
            <w:vAlign w:val="center"/>
            <w:hideMark/>
          </w:tcPr>
          <w:p w14:paraId="43894BD5" w14:textId="77777777" w:rsidR="00825A26" w:rsidRPr="00295B18" w:rsidRDefault="00825A26" w:rsidP="00825A26">
            <w:pPr>
              <w:rPr>
                <w:lang w:val="lv-LV" w:eastAsia="lv-LV"/>
              </w:rPr>
            </w:pPr>
            <w:r w:rsidRPr="00295B18">
              <w:rPr>
                <w:lang w:val="lv-LV" w:eastAsia="lv-LV"/>
              </w:rPr>
              <w:t>0</w:t>
            </w:r>
          </w:p>
        </w:tc>
        <w:tc>
          <w:tcPr>
            <w:tcW w:w="941" w:type="dxa"/>
            <w:shd w:val="clear" w:color="auto" w:fill="auto"/>
            <w:vAlign w:val="center"/>
            <w:hideMark/>
          </w:tcPr>
          <w:p w14:paraId="052F01C0" w14:textId="4FC2CD68"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7762CE48"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24908E74" w14:textId="0911FDF9"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58B5BA00" w14:textId="77777777" w:rsidR="00825A26" w:rsidRPr="00295B18" w:rsidRDefault="00825A26" w:rsidP="00825A26">
            <w:pPr>
              <w:rPr>
                <w:lang w:val="lv-LV" w:eastAsia="lv-LV"/>
              </w:rPr>
            </w:pPr>
            <w:r w:rsidRPr="00295B18">
              <w:rPr>
                <w:lang w:val="lv-LV" w:eastAsia="lv-LV"/>
              </w:rPr>
              <w:t>0</w:t>
            </w:r>
          </w:p>
        </w:tc>
        <w:tc>
          <w:tcPr>
            <w:tcW w:w="995" w:type="dxa"/>
            <w:shd w:val="clear" w:color="auto" w:fill="auto"/>
            <w:vAlign w:val="center"/>
            <w:hideMark/>
          </w:tcPr>
          <w:p w14:paraId="4EAD853D" w14:textId="77777777" w:rsidR="00825A26" w:rsidRPr="00295B18" w:rsidRDefault="00825A26" w:rsidP="00825A26">
            <w:pPr>
              <w:rPr>
                <w:lang w:val="lv-LV" w:eastAsia="lv-LV"/>
              </w:rPr>
            </w:pPr>
            <w:r w:rsidRPr="00295B18">
              <w:rPr>
                <w:lang w:val="lv-LV" w:eastAsia="lv-LV"/>
              </w:rPr>
              <w:t>0</w:t>
            </w:r>
          </w:p>
        </w:tc>
      </w:tr>
      <w:tr w:rsidR="00825A26" w:rsidRPr="00BB1513" w14:paraId="67694F9E" w14:textId="77777777" w:rsidTr="00AD6683">
        <w:trPr>
          <w:cantSplit/>
        </w:trPr>
        <w:tc>
          <w:tcPr>
            <w:tcW w:w="2162" w:type="dxa"/>
            <w:shd w:val="clear" w:color="auto" w:fill="auto"/>
            <w:hideMark/>
          </w:tcPr>
          <w:p w14:paraId="54432C9E" w14:textId="77777777" w:rsidR="00825A26" w:rsidRPr="00295B18" w:rsidRDefault="00825A26" w:rsidP="00825A26">
            <w:pPr>
              <w:rPr>
                <w:lang w:val="lv-LV" w:eastAsia="lv-LV"/>
              </w:rPr>
            </w:pPr>
            <w:r w:rsidRPr="00295B18">
              <w:rPr>
                <w:lang w:val="lv-LV" w:eastAsia="lv-LV"/>
              </w:rPr>
              <w:t>5.3. pašvaldību budžets</w:t>
            </w:r>
          </w:p>
        </w:tc>
        <w:tc>
          <w:tcPr>
            <w:tcW w:w="1074" w:type="dxa"/>
            <w:shd w:val="clear" w:color="auto" w:fill="auto"/>
            <w:vAlign w:val="center"/>
            <w:hideMark/>
          </w:tcPr>
          <w:p w14:paraId="3013838A" w14:textId="114E0FEB" w:rsidR="00825A26" w:rsidRPr="00295B18" w:rsidRDefault="00825A26" w:rsidP="00825A26">
            <w:pPr>
              <w:rPr>
                <w:lang w:val="lv-LV" w:eastAsia="lv-LV"/>
              </w:rPr>
            </w:pPr>
            <w:r w:rsidRPr="00295B18">
              <w:rPr>
                <w:lang w:val="lv-LV" w:eastAsia="lv-LV"/>
              </w:rPr>
              <w:t>0</w:t>
            </w:r>
          </w:p>
        </w:tc>
        <w:tc>
          <w:tcPr>
            <w:tcW w:w="1073" w:type="dxa"/>
            <w:shd w:val="clear" w:color="auto" w:fill="auto"/>
            <w:vAlign w:val="center"/>
            <w:hideMark/>
          </w:tcPr>
          <w:p w14:paraId="77AA0C50" w14:textId="77777777" w:rsidR="00825A26" w:rsidRPr="00295B18" w:rsidRDefault="00825A26" w:rsidP="00825A26">
            <w:pPr>
              <w:rPr>
                <w:lang w:val="lv-LV" w:eastAsia="lv-LV"/>
              </w:rPr>
            </w:pPr>
            <w:r w:rsidRPr="00295B18">
              <w:rPr>
                <w:lang w:val="lv-LV" w:eastAsia="lv-LV"/>
              </w:rPr>
              <w:t>0</w:t>
            </w:r>
          </w:p>
        </w:tc>
        <w:tc>
          <w:tcPr>
            <w:tcW w:w="941" w:type="dxa"/>
            <w:shd w:val="clear" w:color="auto" w:fill="auto"/>
            <w:vAlign w:val="center"/>
            <w:hideMark/>
          </w:tcPr>
          <w:p w14:paraId="51A74855" w14:textId="7F4EF342"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198EB4AE" w14:textId="77777777"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tcPr>
          <w:p w14:paraId="12B63BD9" w14:textId="1248E42B" w:rsidR="00825A26" w:rsidRPr="00295B18" w:rsidRDefault="00825A26" w:rsidP="00825A26">
            <w:pPr>
              <w:rPr>
                <w:lang w:val="lv-LV" w:eastAsia="lv-LV"/>
              </w:rPr>
            </w:pPr>
            <w:r w:rsidRPr="00295B18">
              <w:rPr>
                <w:lang w:val="lv-LV" w:eastAsia="lv-LV"/>
              </w:rPr>
              <w:t>0</w:t>
            </w:r>
          </w:p>
        </w:tc>
        <w:tc>
          <w:tcPr>
            <w:tcW w:w="940" w:type="dxa"/>
            <w:shd w:val="clear" w:color="auto" w:fill="auto"/>
            <w:vAlign w:val="center"/>
            <w:hideMark/>
          </w:tcPr>
          <w:p w14:paraId="7422B5FE" w14:textId="77777777" w:rsidR="00825A26" w:rsidRPr="00295B18" w:rsidRDefault="00825A26" w:rsidP="00825A26">
            <w:pPr>
              <w:rPr>
                <w:lang w:val="lv-LV" w:eastAsia="lv-LV"/>
              </w:rPr>
            </w:pPr>
            <w:r w:rsidRPr="00295B18">
              <w:rPr>
                <w:lang w:val="lv-LV" w:eastAsia="lv-LV"/>
              </w:rPr>
              <w:t>0</w:t>
            </w:r>
          </w:p>
        </w:tc>
        <w:tc>
          <w:tcPr>
            <w:tcW w:w="995" w:type="dxa"/>
            <w:shd w:val="clear" w:color="auto" w:fill="auto"/>
            <w:vAlign w:val="center"/>
            <w:hideMark/>
          </w:tcPr>
          <w:p w14:paraId="72ACBA05" w14:textId="77777777" w:rsidR="00825A26" w:rsidRPr="00295B18" w:rsidRDefault="00825A26" w:rsidP="00825A26">
            <w:pPr>
              <w:rPr>
                <w:lang w:val="lv-LV" w:eastAsia="lv-LV"/>
              </w:rPr>
            </w:pPr>
            <w:r w:rsidRPr="00295B18">
              <w:rPr>
                <w:lang w:val="lv-LV" w:eastAsia="lv-LV"/>
              </w:rPr>
              <w:t>0</w:t>
            </w:r>
          </w:p>
        </w:tc>
      </w:tr>
      <w:tr w:rsidR="00825A26" w:rsidRPr="00BB1513" w14:paraId="5C29E47B" w14:textId="77777777" w:rsidTr="00AD6683">
        <w:trPr>
          <w:cantSplit/>
        </w:trPr>
        <w:tc>
          <w:tcPr>
            <w:tcW w:w="2162" w:type="dxa"/>
            <w:shd w:val="clear" w:color="auto" w:fill="auto"/>
            <w:hideMark/>
          </w:tcPr>
          <w:p w14:paraId="4E205FB3" w14:textId="77777777" w:rsidR="00825A26" w:rsidRPr="00295B18" w:rsidRDefault="00825A26" w:rsidP="00825A26">
            <w:pPr>
              <w:rPr>
                <w:lang w:val="lv-LV" w:eastAsia="lv-LV"/>
              </w:rPr>
            </w:pPr>
            <w:r w:rsidRPr="00295B18">
              <w:rPr>
                <w:lang w:val="lv-LV" w:eastAsia="lv-LV"/>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33B0E544" w14:textId="77777777" w:rsidR="00AD6683" w:rsidRPr="00295B18" w:rsidRDefault="00AD6683" w:rsidP="00AD6683">
            <w:pPr>
              <w:jc w:val="both"/>
              <w:rPr>
                <w:lang w:val="lv-LV" w:eastAsia="lv-LV"/>
              </w:rPr>
            </w:pPr>
            <w:r w:rsidRPr="00295B18">
              <w:rPr>
                <w:lang w:val="lv-LV" w:eastAsia="lv-LV"/>
              </w:rPr>
              <w:t xml:space="preserve">Saskaņā ar Regulas Nr.1308/2013 55.panta 4.punktu Eiropas Savienība līdzfinansē šādus atbilstošos pasākumus: </w:t>
            </w:r>
          </w:p>
          <w:p w14:paraId="2458303B" w14:textId="77777777" w:rsidR="00AD6683" w:rsidRPr="00295B18" w:rsidRDefault="00AD6683" w:rsidP="00AD6683">
            <w:pPr>
              <w:pStyle w:val="Sarakstarindkopa"/>
              <w:numPr>
                <w:ilvl w:val="0"/>
                <w:numId w:val="16"/>
              </w:numPr>
              <w:jc w:val="both"/>
              <w:rPr>
                <w:lang w:val="lv-LV" w:eastAsia="lv-LV"/>
              </w:rPr>
            </w:pPr>
            <w:r w:rsidRPr="00295B18">
              <w:rPr>
                <w:lang w:val="lv-LV" w:eastAsia="lv-LV"/>
              </w:rPr>
              <w:t>tehnisko atbalstu biškopjiem un biškopju organizācijām;</w:t>
            </w:r>
          </w:p>
          <w:p w14:paraId="663F08B2" w14:textId="77777777" w:rsidR="00AD6683" w:rsidRPr="00295B18" w:rsidRDefault="00AD6683" w:rsidP="00AD6683">
            <w:pPr>
              <w:pStyle w:val="Sarakstarindkopa"/>
              <w:numPr>
                <w:ilvl w:val="0"/>
                <w:numId w:val="16"/>
              </w:numPr>
              <w:jc w:val="both"/>
              <w:rPr>
                <w:lang w:val="lv-LV" w:eastAsia="lv-LV"/>
              </w:rPr>
            </w:pPr>
            <w:r w:rsidRPr="00295B18">
              <w:rPr>
                <w:lang w:val="lv-LV" w:eastAsia="lv-LV"/>
              </w:rPr>
              <w:t xml:space="preserve">cīņu pret bišu parazītiem un slimībām, jo īpaši </w:t>
            </w:r>
            <w:proofErr w:type="spellStart"/>
            <w:r w:rsidRPr="00295B18">
              <w:rPr>
                <w:lang w:val="lv-LV" w:eastAsia="lv-LV"/>
              </w:rPr>
              <w:t>varroatozi</w:t>
            </w:r>
            <w:proofErr w:type="spellEnd"/>
            <w:r w:rsidRPr="00295B18">
              <w:rPr>
                <w:lang w:val="lv-LV" w:eastAsia="lv-LV"/>
              </w:rPr>
              <w:t>;</w:t>
            </w:r>
          </w:p>
          <w:p w14:paraId="1B3D7686" w14:textId="77777777" w:rsidR="00AD6683" w:rsidRPr="00295B18" w:rsidRDefault="00AD6683" w:rsidP="00AD6683">
            <w:pPr>
              <w:pStyle w:val="Sarakstarindkopa"/>
              <w:numPr>
                <w:ilvl w:val="0"/>
                <w:numId w:val="16"/>
              </w:numPr>
              <w:jc w:val="both"/>
              <w:rPr>
                <w:lang w:val="lv-LV" w:eastAsia="lv-LV"/>
              </w:rPr>
            </w:pPr>
            <w:r w:rsidRPr="00295B18">
              <w:rPr>
                <w:lang w:val="lv-LV" w:eastAsia="lv-LV"/>
              </w:rPr>
              <w:t>pasākumiem bišu skaita atjaunināšanai stropos Eiropas Savienībā;</w:t>
            </w:r>
          </w:p>
          <w:p w14:paraId="1FF8AEB3" w14:textId="77777777" w:rsidR="00AD6683" w:rsidRPr="00295B18" w:rsidRDefault="00AD6683" w:rsidP="00AD6683">
            <w:pPr>
              <w:pStyle w:val="Sarakstarindkopa"/>
              <w:numPr>
                <w:ilvl w:val="0"/>
                <w:numId w:val="16"/>
              </w:numPr>
              <w:jc w:val="both"/>
              <w:rPr>
                <w:lang w:val="lv-LV" w:eastAsia="lv-LV"/>
              </w:rPr>
            </w:pPr>
            <w:r w:rsidRPr="00295B18">
              <w:rPr>
                <w:lang w:val="lv-LV" w:eastAsia="lv-LV"/>
              </w:rPr>
              <w:t>sadarbību ar specializētām struktūrām, lai īstenotu lietišķās pētījumu programmas biškopības un biškopības produktu jomā;</w:t>
            </w:r>
          </w:p>
          <w:p w14:paraId="2252CF76" w14:textId="77777777" w:rsidR="00AD6683" w:rsidRDefault="00AD6683" w:rsidP="00AD6683">
            <w:pPr>
              <w:pStyle w:val="Sarakstarindkopa"/>
              <w:numPr>
                <w:ilvl w:val="0"/>
                <w:numId w:val="16"/>
              </w:numPr>
              <w:jc w:val="both"/>
              <w:rPr>
                <w:lang w:val="lv-LV" w:eastAsia="lv-LV"/>
              </w:rPr>
            </w:pPr>
            <w:r w:rsidRPr="00295B18">
              <w:rPr>
                <w:lang w:val="lv-LV" w:eastAsia="lv-LV"/>
              </w:rPr>
              <w:t>tirgus uzraudzību;</w:t>
            </w:r>
          </w:p>
          <w:p w14:paraId="2178CE12" w14:textId="5DEDB1D0" w:rsidR="00CD0CD0" w:rsidRPr="00CB51CD" w:rsidRDefault="00AD6683" w:rsidP="00AD6683">
            <w:pPr>
              <w:pStyle w:val="Sarakstarindkopa"/>
              <w:numPr>
                <w:ilvl w:val="0"/>
                <w:numId w:val="16"/>
              </w:numPr>
              <w:jc w:val="both"/>
              <w:rPr>
                <w:lang w:val="lv-LV" w:eastAsia="lv-LV"/>
              </w:rPr>
            </w:pPr>
            <w:r w:rsidRPr="00CB51CD">
              <w:rPr>
                <w:lang w:val="lv-LV" w:eastAsia="lv-LV"/>
              </w:rPr>
              <w:t>produktu kvalitātes uzlabošanu ar mērķi izmantot produktu iespējas tirgū.</w:t>
            </w:r>
          </w:p>
          <w:p w14:paraId="654CF35F" w14:textId="77777777" w:rsidR="00CB51CD" w:rsidRPr="00295B18" w:rsidRDefault="00CB51CD" w:rsidP="00AD6683">
            <w:pPr>
              <w:jc w:val="both"/>
              <w:rPr>
                <w:lang w:val="lv-LV" w:eastAsia="lv-LV"/>
              </w:rPr>
            </w:pPr>
          </w:p>
          <w:p w14:paraId="7B4790BC" w14:textId="69FAE967" w:rsidR="00825A26" w:rsidRPr="00295B18" w:rsidRDefault="00265807" w:rsidP="00825A26">
            <w:pPr>
              <w:jc w:val="both"/>
              <w:rPr>
                <w:lang w:val="lv-LV" w:eastAsia="lv-LV"/>
              </w:rPr>
            </w:pPr>
            <w:r w:rsidRPr="00295B18">
              <w:rPr>
                <w:lang w:val="lv-LV" w:eastAsia="lv-LV"/>
              </w:rPr>
              <w:lastRenderedPageBreak/>
              <w:t xml:space="preserve">Atbilstoši </w:t>
            </w:r>
            <w:r w:rsidR="00825A26" w:rsidRPr="00295B18">
              <w:rPr>
                <w:lang w:val="lv-LV" w:eastAsia="lv-LV"/>
              </w:rPr>
              <w:t>Regulas Nr.1308/2013</w:t>
            </w:r>
            <w:r w:rsidRPr="00295B18">
              <w:rPr>
                <w:lang w:val="lv-LV" w:eastAsia="lv-LV"/>
              </w:rPr>
              <w:t xml:space="preserve"> </w:t>
            </w:r>
            <w:r w:rsidR="00CB51CD">
              <w:rPr>
                <w:lang w:val="lv-LV" w:eastAsia="lv-LV"/>
              </w:rPr>
              <w:t>55.panta 4.punktam par</w:t>
            </w:r>
            <w:r w:rsidR="00825A26" w:rsidRPr="00295B18">
              <w:rPr>
                <w:lang w:val="lv-LV" w:eastAsia="lv-LV"/>
              </w:rPr>
              <w:t xml:space="preserve"> atbalsta pasākum</w:t>
            </w:r>
            <w:r w:rsidR="00CB51CD">
              <w:rPr>
                <w:lang w:val="lv-LV" w:eastAsia="lv-LV"/>
              </w:rPr>
              <w:t>iem</w:t>
            </w:r>
            <w:r w:rsidR="00825A26" w:rsidRPr="00295B18">
              <w:rPr>
                <w:lang w:val="lv-LV" w:eastAsia="lv-LV"/>
              </w:rPr>
              <w:t xml:space="preserve"> un 55.panta 2.punktā noteikt</w:t>
            </w:r>
            <w:r w:rsidR="00CB51CD">
              <w:rPr>
                <w:lang w:val="lv-LV" w:eastAsia="lv-LV"/>
              </w:rPr>
              <w:t>ajam</w:t>
            </w:r>
            <w:r w:rsidR="00825A26" w:rsidRPr="00295B18">
              <w:rPr>
                <w:lang w:val="lv-LV" w:eastAsia="lv-LV"/>
              </w:rPr>
              <w:t xml:space="preserve"> </w:t>
            </w:r>
            <w:r w:rsidRPr="00295B18">
              <w:rPr>
                <w:lang w:val="lv-LV" w:eastAsia="lv-LV"/>
              </w:rPr>
              <w:t xml:space="preserve">Eiropas Savienības ieguldījums un </w:t>
            </w:r>
            <w:r w:rsidR="00825A26" w:rsidRPr="00295B18">
              <w:rPr>
                <w:lang w:val="lv-LV" w:eastAsia="lv-LV"/>
              </w:rPr>
              <w:t>valsts ieguldījums ir vienāds ar 50 % no izdevumiem, ko dalībvalstis segušas minētajā biškopības programmā</w:t>
            </w:r>
            <w:r w:rsidRPr="00295B18">
              <w:rPr>
                <w:lang w:val="lv-LV" w:eastAsia="lv-LV"/>
              </w:rPr>
              <w:t>.</w:t>
            </w:r>
          </w:p>
          <w:p w14:paraId="5BC9F9FD" w14:textId="77777777" w:rsidR="00265807" w:rsidRPr="00295B18" w:rsidRDefault="00265807" w:rsidP="00825A26">
            <w:pPr>
              <w:jc w:val="both"/>
              <w:rPr>
                <w:lang w:val="lv-LV" w:eastAsia="lv-LV"/>
              </w:rPr>
            </w:pPr>
          </w:p>
          <w:p w14:paraId="320A0B58" w14:textId="73EE17FD" w:rsidR="00825A26" w:rsidRPr="00295B18" w:rsidRDefault="002D006C" w:rsidP="00825A26">
            <w:pPr>
              <w:jc w:val="both"/>
              <w:rPr>
                <w:lang w:val="lv-LV" w:eastAsia="lv-LV"/>
              </w:rPr>
            </w:pPr>
            <w:r w:rsidRPr="00295B18">
              <w:rPr>
                <w:lang w:val="lv-LV" w:eastAsia="lv-LV"/>
              </w:rPr>
              <w:t xml:space="preserve">Saskaņā ar </w:t>
            </w:r>
            <w:r w:rsidR="00656F31" w:rsidRPr="00295B18">
              <w:rPr>
                <w:lang w:val="lv-LV" w:eastAsia="lv-LV"/>
              </w:rPr>
              <w:t xml:space="preserve">Eiropas Komisijas </w:t>
            </w:r>
            <w:r w:rsidR="006347A9" w:rsidRPr="00295B18">
              <w:rPr>
                <w:lang w:val="lv-LV" w:eastAsia="lv-LV"/>
              </w:rPr>
              <w:t>2019.gada 12.jūnija Īstenošanas lēmumu</w:t>
            </w:r>
            <w:r w:rsidR="00656F31">
              <w:rPr>
                <w:lang w:val="lv-LV" w:eastAsia="lv-LV"/>
              </w:rPr>
              <w:t xml:space="preserve"> (ES) 2019/974</w:t>
            </w:r>
            <w:r w:rsidR="00CB51CD">
              <w:rPr>
                <w:lang w:val="lv-LV" w:eastAsia="lv-LV"/>
              </w:rPr>
              <w:t>,</w:t>
            </w:r>
            <w:r w:rsidR="006347A9" w:rsidRPr="00295B18">
              <w:rPr>
                <w:lang w:val="lv-LV" w:eastAsia="lv-LV"/>
              </w:rPr>
              <w:t xml:space="preserve"> ar kuru apstiprina biškopības produktu ražošanas un tirdzniecības uzlabošanai izstrādātās valstu programmas, ko dalībvalstis iesniegušas saskaņā ar Eiropas Parlamenta un Padomes Regulu (ES) Nr.1308/2013, </w:t>
            </w:r>
            <w:r w:rsidR="0068573D" w:rsidRPr="00295B18">
              <w:rPr>
                <w:lang w:val="lv-LV" w:eastAsia="lv-LV"/>
              </w:rPr>
              <w:t>k</w:t>
            </w:r>
            <w:r w:rsidR="00825A26" w:rsidRPr="00295B18">
              <w:rPr>
                <w:lang w:val="lv-LV" w:eastAsia="lv-LV"/>
              </w:rPr>
              <w:t xml:space="preserve">opējais finansējums </w:t>
            </w:r>
            <w:r w:rsidR="007E2995" w:rsidRPr="00295B18">
              <w:rPr>
                <w:lang w:val="lv-LV" w:eastAsia="lv-LV"/>
              </w:rPr>
              <w:t xml:space="preserve">biškopības </w:t>
            </w:r>
            <w:r w:rsidR="00825A26" w:rsidRPr="00295B18">
              <w:rPr>
                <w:lang w:val="lv-LV" w:eastAsia="lv-LV"/>
              </w:rPr>
              <w:t>programmas ieviešanai 20</w:t>
            </w:r>
            <w:r w:rsidR="007E2995" w:rsidRPr="00295B18">
              <w:rPr>
                <w:lang w:val="lv-LV" w:eastAsia="lv-LV"/>
              </w:rPr>
              <w:t>20</w:t>
            </w:r>
            <w:r w:rsidR="00825A26" w:rsidRPr="00295B18">
              <w:rPr>
                <w:lang w:val="lv-LV" w:eastAsia="lv-LV"/>
              </w:rPr>
              <w:t>.–20</w:t>
            </w:r>
            <w:r w:rsidR="007E2995" w:rsidRPr="00295B18">
              <w:rPr>
                <w:lang w:val="lv-LV" w:eastAsia="lv-LV"/>
              </w:rPr>
              <w:t>22</w:t>
            </w:r>
            <w:r w:rsidR="00825A26" w:rsidRPr="00295B18">
              <w:rPr>
                <w:lang w:val="lv-LV" w:eastAsia="lv-LV"/>
              </w:rPr>
              <w:t xml:space="preserve">.gadā </w:t>
            </w:r>
            <w:r w:rsidR="006347A9" w:rsidRPr="00295B18">
              <w:rPr>
                <w:lang w:val="lv-LV" w:eastAsia="lv-LV"/>
              </w:rPr>
              <w:t xml:space="preserve">ir </w:t>
            </w:r>
            <w:r w:rsidR="007E2995" w:rsidRPr="00295B18">
              <w:rPr>
                <w:lang w:val="lv-LV" w:eastAsia="lv-LV"/>
              </w:rPr>
              <w:t>1 326</w:t>
            </w:r>
            <w:r w:rsidR="000F3E60" w:rsidRPr="00295B18">
              <w:rPr>
                <w:lang w:val="lv-LV" w:eastAsia="lv-LV"/>
              </w:rPr>
              <w:t> </w:t>
            </w:r>
            <w:r w:rsidR="007E2995" w:rsidRPr="00295B18">
              <w:rPr>
                <w:lang w:val="lv-LV" w:eastAsia="lv-LV"/>
              </w:rPr>
              <w:t>796</w:t>
            </w:r>
            <w:r w:rsidR="000F3E60" w:rsidRPr="00295B18">
              <w:rPr>
                <w:lang w:val="lv-LV" w:eastAsia="lv-LV"/>
              </w:rPr>
              <w:t xml:space="preserve"> </w:t>
            </w:r>
            <w:proofErr w:type="spellStart"/>
            <w:r w:rsidR="000F3E60" w:rsidRPr="00295B18">
              <w:rPr>
                <w:i/>
                <w:lang w:val="lv-LV" w:eastAsia="lv-LV"/>
              </w:rPr>
              <w:t>euro</w:t>
            </w:r>
            <w:proofErr w:type="spellEnd"/>
            <w:r w:rsidR="00825A26" w:rsidRPr="00295B18">
              <w:rPr>
                <w:lang w:val="lv-LV" w:eastAsia="lv-LV"/>
              </w:rPr>
              <w:t xml:space="preserve">, </w:t>
            </w:r>
            <w:r w:rsidR="00904449" w:rsidRPr="00295B18">
              <w:rPr>
                <w:lang w:val="lv-LV" w:eastAsia="lv-LV"/>
              </w:rPr>
              <w:t xml:space="preserve">tai skaitā ES līdzfinansējums 663 398 </w:t>
            </w:r>
            <w:proofErr w:type="spellStart"/>
            <w:r w:rsidR="000F3E60" w:rsidRPr="00295B18">
              <w:rPr>
                <w:i/>
                <w:lang w:val="lv-LV" w:eastAsia="lv-LV"/>
              </w:rPr>
              <w:t>euro</w:t>
            </w:r>
            <w:proofErr w:type="spellEnd"/>
            <w:r w:rsidR="00904449" w:rsidRPr="00295B18">
              <w:rPr>
                <w:lang w:val="lv-LV" w:eastAsia="lv-LV"/>
              </w:rPr>
              <w:t xml:space="preserve"> apmērā un valsts budžeta līdzfinansējums 663 398 </w:t>
            </w:r>
            <w:proofErr w:type="spellStart"/>
            <w:r w:rsidR="000F3E60" w:rsidRPr="00295B18">
              <w:rPr>
                <w:i/>
                <w:lang w:val="lv-LV" w:eastAsia="lv-LV"/>
              </w:rPr>
              <w:t>euro</w:t>
            </w:r>
            <w:proofErr w:type="spellEnd"/>
            <w:r w:rsidR="00904449" w:rsidRPr="00295B18">
              <w:rPr>
                <w:lang w:val="lv-LV" w:eastAsia="lv-LV"/>
              </w:rPr>
              <w:t xml:space="preserve"> apmērā, </w:t>
            </w:r>
            <w:r w:rsidR="00CB51CD">
              <w:rPr>
                <w:lang w:val="lv-LV" w:eastAsia="lv-LV"/>
              </w:rPr>
              <w:t>un tā sadalījums ir šāds</w:t>
            </w:r>
            <w:r w:rsidR="00904449" w:rsidRPr="00295B18">
              <w:rPr>
                <w:lang w:val="lv-LV" w:eastAsia="lv-LV"/>
              </w:rPr>
              <w:t>:</w:t>
            </w:r>
          </w:p>
          <w:p w14:paraId="16E8FE7C" w14:textId="4C668B41" w:rsidR="00904449" w:rsidRPr="00295B18" w:rsidRDefault="00904449" w:rsidP="00904449">
            <w:pPr>
              <w:pStyle w:val="Sarakstarindkopa"/>
              <w:numPr>
                <w:ilvl w:val="0"/>
                <w:numId w:val="18"/>
              </w:numPr>
              <w:jc w:val="both"/>
              <w:rPr>
                <w:lang w:val="lv-LV" w:eastAsia="lv-LV"/>
              </w:rPr>
            </w:pPr>
            <w:r w:rsidRPr="00295B18">
              <w:rPr>
                <w:lang w:val="lv-LV" w:eastAsia="lv-LV"/>
              </w:rPr>
              <w:t xml:space="preserve">2020.gadā 415 000 </w:t>
            </w:r>
            <w:proofErr w:type="spellStart"/>
            <w:r w:rsidR="000F3E60" w:rsidRPr="00295B18">
              <w:rPr>
                <w:i/>
                <w:lang w:val="lv-LV" w:eastAsia="lv-LV"/>
              </w:rPr>
              <w:t>euro</w:t>
            </w:r>
            <w:proofErr w:type="spellEnd"/>
          </w:p>
          <w:p w14:paraId="3E206C69" w14:textId="14F92358" w:rsidR="00904449" w:rsidRPr="00295B18" w:rsidRDefault="00904449" w:rsidP="00904449">
            <w:pPr>
              <w:pStyle w:val="Sarakstarindkopa"/>
              <w:numPr>
                <w:ilvl w:val="0"/>
                <w:numId w:val="18"/>
              </w:numPr>
              <w:jc w:val="both"/>
              <w:rPr>
                <w:lang w:val="lv-LV" w:eastAsia="lv-LV"/>
              </w:rPr>
            </w:pPr>
            <w:r w:rsidRPr="00295B18">
              <w:rPr>
                <w:lang w:val="lv-LV" w:eastAsia="lv-LV"/>
              </w:rPr>
              <w:t xml:space="preserve">2021.gadā 415 000 </w:t>
            </w:r>
            <w:proofErr w:type="spellStart"/>
            <w:r w:rsidR="000F3E60" w:rsidRPr="00295B18">
              <w:rPr>
                <w:i/>
                <w:lang w:val="lv-LV" w:eastAsia="lv-LV"/>
              </w:rPr>
              <w:t>euro</w:t>
            </w:r>
            <w:proofErr w:type="spellEnd"/>
          </w:p>
          <w:p w14:paraId="2DE8EF1D" w14:textId="101B3814" w:rsidR="002D006C" w:rsidRPr="00CB51CD" w:rsidRDefault="00904449" w:rsidP="00D4175F">
            <w:pPr>
              <w:pStyle w:val="Sarakstarindkopa"/>
              <w:numPr>
                <w:ilvl w:val="0"/>
                <w:numId w:val="18"/>
              </w:numPr>
              <w:jc w:val="both"/>
              <w:rPr>
                <w:lang w:val="lv-LV" w:eastAsia="lv-LV"/>
              </w:rPr>
            </w:pPr>
            <w:r w:rsidRPr="00295B18">
              <w:rPr>
                <w:lang w:val="lv-LV" w:eastAsia="lv-LV"/>
              </w:rPr>
              <w:t xml:space="preserve">2022.gadā 496 796 </w:t>
            </w:r>
            <w:proofErr w:type="spellStart"/>
            <w:r w:rsidR="000F3E60" w:rsidRPr="00295B18">
              <w:rPr>
                <w:i/>
                <w:lang w:val="lv-LV" w:eastAsia="lv-LV"/>
              </w:rPr>
              <w:t>euro</w:t>
            </w:r>
            <w:proofErr w:type="spellEnd"/>
          </w:p>
        </w:tc>
      </w:tr>
      <w:tr w:rsidR="00825A26" w:rsidRPr="00BB1513" w14:paraId="3D74CD76" w14:textId="77777777" w:rsidTr="00AD6683">
        <w:trPr>
          <w:cantSplit/>
        </w:trPr>
        <w:tc>
          <w:tcPr>
            <w:tcW w:w="2162" w:type="dxa"/>
            <w:shd w:val="clear" w:color="auto" w:fill="auto"/>
            <w:hideMark/>
          </w:tcPr>
          <w:p w14:paraId="4E2F1E52" w14:textId="77777777" w:rsidR="00825A26" w:rsidRPr="00295B18" w:rsidRDefault="00825A26" w:rsidP="00825A26">
            <w:pPr>
              <w:rPr>
                <w:lang w:val="lv-LV" w:eastAsia="lv-LV"/>
              </w:rPr>
            </w:pPr>
            <w:r w:rsidRPr="00295B18">
              <w:rPr>
                <w:lang w:val="lv-LV" w:eastAsia="lv-LV"/>
              </w:rPr>
              <w:t>6.1. detalizēts ieņēmumu aprēķins</w:t>
            </w:r>
          </w:p>
        </w:tc>
        <w:tc>
          <w:tcPr>
            <w:tcW w:w="6903" w:type="dxa"/>
            <w:gridSpan w:val="7"/>
            <w:vMerge/>
            <w:shd w:val="clear" w:color="auto" w:fill="auto"/>
            <w:vAlign w:val="center"/>
            <w:hideMark/>
          </w:tcPr>
          <w:p w14:paraId="00AB0F40" w14:textId="77777777" w:rsidR="00825A26" w:rsidRPr="00295B18" w:rsidRDefault="00825A26" w:rsidP="00825A26">
            <w:pPr>
              <w:rPr>
                <w:lang w:val="lv-LV" w:eastAsia="lv-LV"/>
              </w:rPr>
            </w:pPr>
          </w:p>
        </w:tc>
      </w:tr>
      <w:tr w:rsidR="00825A26" w:rsidRPr="00BB1513" w14:paraId="0C4DD708" w14:textId="77777777" w:rsidTr="00AD6683">
        <w:trPr>
          <w:cantSplit/>
        </w:trPr>
        <w:tc>
          <w:tcPr>
            <w:tcW w:w="2162" w:type="dxa"/>
            <w:shd w:val="clear" w:color="auto" w:fill="auto"/>
            <w:hideMark/>
          </w:tcPr>
          <w:p w14:paraId="44FAFF16" w14:textId="77777777" w:rsidR="00825A26" w:rsidRPr="00295B18" w:rsidRDefault="00825A26" w:rsidP="00825A26">
            <w:pPr>
              <w:rPr>
                <w:lang w:val="lv-LV" w:eastAsia="lv-LV"/>
              </w:rPr>
            </w:pPr>
            <w:r w:rsidRPr="00295B18">
              <w:rPr>
                <w:lang w:val="lv-LV" w:eastAsia="lv-LV"/>
              </w:rPr>
              <w:lastRenderedPageBreak/>
              <w:t>6.2. detalizēts izdevumu aprēķins</w:t>
            </w:r>
          </w:p>
        </w:tc>
        <w:tc>
          <w:tcPr>
            <w:tcW w:w="6903" w:type="dxa"/>
            <w:gridSpan w:val="7"/>
            <w:vMerge/>
            <w:shd w:val="clear" w:color="auto" w:fill="auto"/>
            <w:vAlign w:val="center"/>
            <w:hideMark/>
          </w:tcPr>
          <w:p w14:paraId="6C18BE6A" w14:textId="77777777" w:rsidR="00825A26" w:rsidRPr="00295B18" w:rsidRDefault="00825A26" w:rsidP="00825A26">
            <w:pPr>
              <w:rPr>
                <w:lang w:val="lv-LV" w:eastAsia="lv-LV"/>
              </w:rPr>
            </w:pPr>
          </w:p>
        </w:tc>
      </w:tr>
      <w:tr w:rsidR="00825A26" w:rsidRPr="00BB1513" w14:paraId="2B6F7132" w14:textId="77777777" w:rsidTr="00AD6683">
        <w:trPr>
          <w:cantSplit/>
        </w:trPr>
        <w:tc>
          <w:tcPr>
            <w:tcW w:w="2162" w:type="dxa"/>
            <w:shd w:val="clear" w:color="auto" w:fill="auto"/>
            <w:hideMark/>
          </w:tcPr>
          <w:p w14:paraId="213EFE63" w14:textId="77777777" w:rsidR="00825A26" w:rsidRPr="00295B18" w:rsidRDefault="00825A26" w:rsidP="00825A26">
            <w:pPr>
              <w:rPr>
                <w:lang w:val="lv-LV" w:eastAsia="lv-LV"/>
              </w:rPr>
            </w:pPr>
            <w:r w:rsidRPr="00295B18">
              <w:rPr>
                <w:lang w:val="lv-LV" w:eastAsia="lv-LV"/>
              </w:rPr>
              <w:t>7. Amata vietu skaita izmaiņas</w:t>
            </w:r>
          </w:p>
        </w:tc>
        <w:tc>
          <w:tcPr>
            <w:tcW w:w="6903" w:type="dxa"/>
            <w:gridSpan w:val="7"/>
            <w:shd w:val="clear" w:color="auto" w:fill="auto"/>
            <w:hideMark/>
          </w:tcPr>
          <w:p w14:paraId="08B1E373" w14:textId="77777777" w:rsidR="00825A26" w:rsidRPr="00295B18" w:rsidRDefault="00825A26" w:rsidP="00825A26">
            <w:pPr>
              <w:rPr>
                <w:lang w:val="lv-LV" w:eastAsia="lv-LV"/>
              </w:rPr>
            </w:pPr>
            <w:r w:rsidRPr="00295B18">
              <w:rPr>
                <w:lang w:val="lv-LV" w:eastAsia="lv-LV"/>
              </w:rPr>
              <w:t>Nav.</w:t>
            </w:r>
          </w:p>
        </w:tc>
      </w:tr>
      <w:tr w:rsidR="00825A26" w:rsidRPr="00BB1513" w14:paraId="30C8A482" w14:textId="77777777" w:rsidTr="00AD6683">
        <w:trPr>
          <w:cantSplit/>
        </w:trPr>
        <w:tc>
          <w:tcPr>
            <w:tcW w:w="2162" w:type="dxa"/>
            <w:shd w:val="clear" w:color="auto" w:fill="auto"/>
            <w:hideMark/>
          </w:tcPr>
          <w:p w14:paraId="6D564A67" w14:textId="77777777" w:rsidR="00825A26" w:rsidRPr="00295B18" w:rsidRDefault="00825A26" w:rsidP="00825A26">
            <w:pPr>
              <w:rPr>
                <w:lang w:val="lv-LV" w:eastAsia="lv-LV"/>
              </w:rPr>
            </w:pPr>
            <w:r w:rsidRPr="00295B18">
              <w:rPr>
                <w:lang w:val="lv-LV" w:eastAsia="lv-LV"/>
              </w:rPr>
              <w:t>8. Cita informācija</w:t>
            </w:r>
          </w:p>
        </w:tc>
        <w:tc>
          <w:tcPr>
            <w:tcW w:w="6903" w:type="dxa"/>
            <w:gridSpan w:val="7"/>
            <w:shd w:val="clear" w:color="auto" w:fill="auto"/>
            <w:hideMark/>
          </w:tcPr>
          <w:p w14:paraId="6C55C08C" w14:textId="780323C6" w:rsidR="00A44716" w:rsidRPr="00295B18" w:rsidRDefault="00A44716">
            <w:pPr>
              <w:jc w:val="both"/>
              <w:rPr>
                <w:highlight w:val="green"/>
                <w:lang w:val="lv-LV" w:eastAsia="lv-LV"/>
              </w:rPr>
            </w:pPr>
            <w:proofErr w:type="spellStart"/>
            <w:r w:rsidRPr="00295B18">
              <w:t>Atbalstu</w:t>
            </w:r>
            <w:proofErr w:type="spellEnd"/>
            <w:r w:rsidRPr="00295B18">
              <w:t xml:space="preserve"> </w:t>
            </w:r>
            <w:proofErr w:type="spellStart"/>
            <w:r w:rsidR="006B0D05" w:rsidRPr="00295B18">
              <w:t>biškopības</w:t>
            </w:r>
            <w:proofErr w:type="spellEnd"/>
            <w:r w:rsidR="006B0D05" w:rsidRPr="00295B18">
              <w:t xml:space="preserve"> </w:t>
            </w:r>
            <w:proofErr w:type="spellStart"/>
            <w:r w:rsidR="006B0D05" w:rsidRPr="00295B18">
              <w:t>programmai</w:t>
            </w:r>
            <w:proofErr w:type="spellEnd"/>
            <w:r w:rsidR="006B0D05" w:rsidRPr="00295B18">
              <w:t xml:space="preserve"> </w:t>
            </w:r>
            <w:proofErr w:type="spellStart"/>
            <w:r w:rsidRPr="00295B18">
              <w:t>plānots</w:t>
            </w:r>
            <w:proofErr w:type="spellEnd"/>
            <w:r w:rsidRPr="00295B18">
              <w:t xml:space="preserve"> </w:t>
            </w:r>
            <w:proofErr w:type="spellStart"/>
            <w:r w:rsidRPr="00295B18">
              <w:t>izmaksāt</w:t>
            </w:r>
            <w:proofErr w:type="spellEnd"/>
            <w:r w:rsidRPr="00295B18">
              <w:t xml:space="preserve"> no </w:t>
            </w:r>
            <w:proofErr w:type="spellStart"/>
            <w:r w:rsidRPr="00295B18">
              <w:t>Zemkopības</w:t>
            </w:r>
            <w:proofErr w:type="spellEnd"/>
            <w:r w:rsidRPr="00295B18">
              <w:t xml:space="preserve"> </w:t>
            </w:r>
            <w:proofErr w:type="spellStart"/>
            <w:r w:rsidRPr="00295B18">
              <w:t>ministrijas</w:t>
            </w:r>
            <w:proofErr w:type="spellEnd"/>
            <w:r w:rsidRPr="00295B18">
              <w:t xml:space="preserve"> </w:t>
            </w:r>
            <w:proofErr w:type="spellStart"/>
            <w:r w:rsidRPr="00295B18">
              <w:t>budžeta</w:t>
            </w:r>
            <w:proofErr w:type="spellEnd"/>
            <w:r w:rsidRPr="00295B18">
              <w:t xml:space="preserve"> </w:t>
            </w:r>
            <w:proofErr w:type="spellStart"/>
            <w:r w:rsidRPr="00295B18">
              <w:t>programmas</w:t>
            </w:r>
            <w:proofErr w:type="spellEnd"/>
            <w:r w:rsidRPr="00295B18">
              <w:t xml:space="preserve"> 64.00.00. „</w:t>
            </w:r>
            <w:proofErr w:type="spellStart"/>
            <w:r w:rsidRPr="00295B18">
              <w:t>Eiropas</w:t>
            </w:r>
            <w:proofErr w:type="spellEnd"/>
            <w:r w:rsidRPr="00295B18">
              <w:t xml:space="preserve"> </w:t>
            </w:r>
            <w:proofErr w:type="spellStart"/>
            <w:r w:rsidRPr="00295B18">
              <w:t>Lauksaimniecības</w:t>
            </w:r>
            <w:proofErr w:type="spellEnd"/>
            <w:r w:rsidRPr="00295B18">
              <w:t xml:space="preserve"> </w:t>
            </w:r>
            <w:proofErr w:type="spellStart"/>
            <w:r w:rsidRPr="00295B18">
              <w:t>garantiju</w:t>
            </w:r>
            <w:proofErr w:type="spellEnd"/>
            <w:r w:rsidRPr="00295B18">
              <w:t xml:space="preserve"> </w:t>
            </w:r>
            <w:proofErr w:type="spellStart"/>
            <w:r w:rsidRPr="00295B18">
              <w:t>fonda</w:t>
            </w:r>
            <w:proofErr w:type="spellEnd"/>
            <w:r w:rsidRPr="00295B18">
              <w:t xml:space="preserve"> (ELGF) </w:t>
            </w:r>
            <w:proofErr w:type="spellStart"/>
            <w:r w:rsidRPr="00295B18">
              <w:t>projektu</w:t>
            </w:r>
            <w:proofErr w:type="spellEnd"/>
            <w:r w:rsidRPr="00295B18">
              <w:t xml:space="preserve"> un </w:t>
            </w:r>
            <w:proofErr w:type="spellStart"/>
            <w:r w:rsidRPr="00295B18">
              <w:t>pasākumu</w:t>
            </w:r>
            <w:proofErr w:type="spellEnd"/>
            <w:r w:rsidRPr="00295B18">
              <w:t xml:space="preserve"> </w:t>
            </w:r>
            <w:proofErr w:type="spellStart"/>
            <w:r w:rsidRPr="00295B18">
              <w:t>īstenošana</w:t>
            </w:r>
            <w:proofErr w:type="spellEnd"/>
            <w:r w:rsidRPr="00295B18">
              <w:t xml:space="preserve">” </w:t>
            </w:r>
            <w:proofErr w:type="spellStart"/>
            <w:r w:rsidRPr="00295B18">
              <w:t>apakšprogrammas</w:t>
            </w:r>
            <w:proofErr w:type="spellEnd"/>
            <w:r w:rsidRPr="00295B18">
              <w:t xml:space="preserve"> 64.08.00. „</w:t>
            </w:r>
            <w:proofErr w:type="spellStart"/>
            <w:r w:rsidRPr="00295B18">
              <w:t>Izdevumi</w:t>
            </w:r>
            <w:proofErr w:type="spellEnd"/>
            <w:r w:rsidRPr="00295B18">
              <w:t xml:space="preserve"> </w:t>
            </w:r>
            <w:proofErr w:type="spellStart"/>
            <w:r w:rsidRPr="00295B18">
              <w:t>Eiropas</w:t>
            </w:r>
            <w:proofErr w:type="spellEnd"/>
            <w:r w:rsidRPr="00295B18">
              <w:t xml:space="preserve"> </w:t>
            </w:r>
            <w:proofErr w:type="spellStart"/>
            <w:r w:rsidRPr="00295B18">
              <w:t>Lauksaimniecības</w:t>
            </w:r>
            <w:proofErr w:type="spellEnd"/>
            <w:r w:rsidRPr="00295B18">
              <w:t xml:space="preserve"> </w:t>
            </w:r>
            <w:proofErr w:type="spellStart"/>
            <w:r w:rsidRPr="00295B18">
              <w:t>garantiju</w:t>
            </w:r>
            <w:proofErr w:type="spellEnd"/>
            <w:r w:rsidRPr="00295B18">
              <w:t xml:space="preserve"> </w:t>
            </w:r>
            <w:proofErr w:type="spellStart"/>
            <w:r w:rsidRPr="00295B18">
              <w:t>fonda</w:t>
            </w:r>
            <w:proofErr w:type="spellEnd"/>
            <w:r w:rsidRPr="00295B18">
              <w:t xml:space="preserve"> (ELGF) </w:t>
            </w:r>
            <w:proofErr w:type="spellStart"/>
            <w:r w:rsidRPr="00295B18">
              <w:t>projektu</w:t>
            </w:r>
            <w:proofErr w:type="spellEnd"/>
            <w:r w:rsidRPr="00295B18">
              <w:t xml:space="preserve"> un </w:t>
            </w:r>
            <w:proofErr w:type="spellStart"/>
            <w:r w:rsidRPr="00295B18">
              <w:t>pasākumu</w:t>
            </w:r>
            <w:proofErr w:type="spellEnd"/>
            <w:r w:rsidRPr="00295B18">
              <w:t xml:space="preserve"> </w:t>
            </w:r>
            <w:proofErr w:type="spellStart"/>
            <w:r w:rsidRPr="00295B18">
              <w:t>īstenošanai</w:t>
            </w:r>
            <w:proofErr w:type="spellEnd"/>
            <w:r w:rsidRPr="00295B18">
              <w:t xml:space="preserve"> (2014–2020)”. </w:t>
            </w:r>
            <w:proofErr w:type="spellStart"/>
            <w:r w:rsidRPr="00295B18">
              <w:t>Nepieciešamo</w:t>
            </w:r>
            <w:proofErr w:type="spellEnd"/>
            <w:r w:rsidRPr="00295B18">
              <w:t xml:space="preserve"> </w:t>
            </w:r>
            <w:proofErr w:type="spellStart"/>
            <w:r w:rsidRPr="00295B18">
              <w:t>papildu</w:t>
            </w:r>
            <w:proofErr w:type="spellEnd"/>
            <w:r w:rsidRPr="00295B18">
              <w:t xml:space="preserve"> </w:t>
            </w:r>
            <w:proofErr w:type="spellStart"/>
            <w:r w:rsidRPr="00295B18">
              <w:t>finansējumu</w:t>
            </w:r>
            <w:proofErr w:type="spellEnd"/>
            <w:r w:rsidRPr="00295B18">
              <w:t xml:space="preserve"> </w:t>
            </w:r>
            <w:proofErr w:type="spellStart"/>
            <w:r w:rsidRPr="00295B18">
              <w:t>programmas</w:t>
            </w:r>
            <w:proofErr w:type="spellEnd"/>
            <w:r w:rsidRPr="00295B18">
              <w:t xml:space="preserve"> </w:t>
            </w:r>
            <w:proofErr w:type="spellStart"/>
            <w:r w:rsidRPr="00295B18">
              <w:t>īstenošanai</w:t>
            </w:r>
            <w:proofErr w:type="spellEnd"/>
            <w:r w:rsidRPr="00295B18">
              <w:t xml:space="preserve"> 2020. un </w:t>
            </w:r>
            <w:proofErr w:type="spellStart"/>
            <w:r w:rsidRPr="00295B18">
              <w:t>turpmākajos</w:t>
            </w:r>
            <w:proofErr w:type="spellEnd"/>
            <w:r w:rsidRPr="00295B18">
              <w:t xml:space="preserve"> </w:t>
            </w:r>
            <w:proofErr w:type="spellStart"/>
            <w:r w:rsidRPr="00295B18">
              <w:t>gados</w:t>
            </w:r>
            <w:proofErr w:type="spellEnd"/>
            <w:r w:rsidRPr="00295B18">
              <w:t xml:space="preserve"> </w:t>
            </w:r>
            <w:proofErr w:type="spellStart"/>
            <w:r w:rsidR="00B30C7E" w:rsidRPr="00295B18">
              <w:t>Zemkopības</w:t>
            </w:r>
            <w:proofErr w:type="spellEnd"/>
            <w:r w:rsidR="00B30C7E" w:rsidRPr="00295B18">
              <w:t xml:space="preserve"> </w:t>
            </w:r>
            <w:proofErr w:type="spellStart"/>
            <w:r w:rsidR="00B30C7E" w:rsidRPr="00295B18">
              <w:t>ministrija</w:t>
            </w:r>
            <w:proofErr w:type="spellEnd"/>
            <w:r w:rsidR="00B30C7E" w:rsidRPr="00295B18">
              <w:t xml:space="preserve"> </w:t>
            </w:r>
            <w:proofErr w:type="spellStart"/>
            <w:r w:rsidRPr="00295B18">
              <w:t>pieprasīs</w:t>
            </w:r>
            <w:proofErr w:type="spellEnd"/>
            <w:r w:rsidRPr="00295B18">
              <w:t xml:space="preserve"> </w:t>
            </w:r>
            <w:proofErr w:type="spellStart"/>
            <w:r w:rsidRPr="00295B18">
              <w:t>normatīvajos</w:t>
            </w:r>
            <w:proofErr w:type="spellEnd"/>
            <w:r w:rsidRPr="00295B18">
              <w:t xml:space="preserve"> </w:t>
            </w:r>
            <w:proofErr w:type="spellStart"/>
            <w:r w:rsidRPr="00295B18">
              <w:t>aktos</w:t>
            </w:r>
            <w:proofErr w:type="spellEnd"/>
            <w:r w:rsidRPr="00295B18">
              <w:t xml:space="preserve"> </w:t>
            </w:r>
            <w:proofErr w:type="spellStart"/>
            <w:r w:rsidRPr="00295B18">
              <w:t>noteiktajā</w:t>
            </w:r>
            <w:proofErr w:type="spellEnd"/>
            <w:r w:rsidRPr="00295B18">
              <w:t xml:space="preserve"> </w:t>
            </w:r>
            <w:proofErr w:type="spellStart"/>
            <w:r w:rsidRPr="00295B18">
              <w:t>kārtībā</w:t>
            </w:r>
            <w:proofErr w:type="spellEnd"/>
            <w:r w:rsidRPr="00295B18">
              <w:t>.</w:t>
            </w:r>
          </w:p>
        </w:tc>
      </w:tr>
    </w:tbl>
    <w:p w14:paraId="4535770F" w14:textId="77777777" w:rsidR="00A162FE" w:rsidRPr="000D2356" w:rsidRDefault="00A162FE" w:rsidP="00C21DCA">
      <w:pPr>
        <w:jc w:val="both"/>
        <w:rPr>
          <w:lang w:val="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5D73DE" w:rsidRPr="00195F05" w14:paraId="4797FB9D" w14:textId="77777777" w:rsidTr="002456F0">
        <w:tc>
          <w:tcPr>
            <w:tcW w:w="9061" w:type="dxa"/>
            <w:vAlign w:val="center"/>
          </w:tcPr>
          <w:p w14:paraId="2F255E1B" w14:textId="77777777" w:rsidR="00B02ED1" w:rsidRPr="00775D82" w:rsidRDefault="00B02ED1" w:rsidP="00FB0D2A">
            <w:pPr>
              <w:pStyle w:val="naisnod"/>
              <w:spacing w:before="0" w:after="0"/>
            </w:pPr>
            <w:r w:rsidRPr="00775D82">
              <w:rPr>
                <w:bCs w:val="0"/>
              </w:rPr>
              <w:t>IV. Tiesību akta projekta ietekme uz spēkā esošo tiesību normu sistēmu</w:t>
            </w:r>
          </w:p>
        </w:tc>
      </w:tr>
      <w:tr w:rsidR="0018070D" w:rsidRPr="008C49E0" w14:paraId="597DFDE3" w14:textId="77777777" w:rsidTr="002456F0">
        <w:tc>
          <w:tcPr>
            <w:tcW w:w="9061" w:type="dxa"/>
            <w:vAlign w:val="center"/>
          </w:tcPr>
          <w:p w14:paraId="49FBBC92" w14:textId="36B08DAA" w:rsidR="0018070D" w:rsidRPr="0018070D" w:rsidRDefault="0018070D" w:rsidP="00FB0D2A">
            <w:pPr>
              <w:pStyle w:val="naisnod"/>
              <w:spacing w:before="0" w:after="0"/>
              <w:rPr>
                <w:b w:val="0"/>
                <w:bCs w:val="0"/>
              </w:rPr>
            </w:pPr>
            <w:r w:rsidRPr="0018070D">
              <w:rPr>
                <w:b w:val="0"/>
                <w:iCs/>
              </w:rPr>
              <w:t>Projekts šo jomu neskar.</w:t>
            </w:r>
          </w:p>
        </w:tc>
      </w:tr>
    </w:tbl>
    <w:p w14:paraId="083CE23E" w14:textId="77777777" w:rsidR="00B02ED1" w:rsidRPr="000D2356"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968"/>
        <w:gridCol w:w="2231"/>
        <w:gridCol w:w="15"/>
      </w:tblGrid>
      <w:tr w:rsidR="005D73DE" w:rsidRPr="00B3239C" w14:paraId="3F0C422C" w14:textId="77777777" w:rsidTr="0071212C">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22C01C59" w14:textId="77777777" w:rsidR="009E04D3" w:rsidRPr="00B3239C" w:rsidRDefault="009E04D3" w:rsidP="00C21DCA">
            <w:pPr>
              <w:jc w:val="center"/>
              <w:rPr>
                <w:b/>
                <w:bCs/>
                <w:lang w:val="lv-LV"/>
              </w:rPr>
            </w:pPr>
            <w:r w:rsidRPr="00B3239C">
              <w:rPr>
                <w:b/>
                <w:bCs/>
                <w:lang w:val="lv-LV"/>
              </w:rPr>
              <w:t>V. Tiesību akta projekta atbilstība Latvijas Republikas starptautiskajām saistībām</w:t>
            </w:r>
          </w:p>
        </w:tc>
      </w:tr>
      <w:tr w:rsidR="00B3239C" w:rsidRPr="00195F05" w14:paraId="51FD5594" w14:textId="77777777" w:rsidTr="0071212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54536288" w14:textId="77777777" w:rsidR="00B3239C" w:rsidRPr="00673E0D" w:rsidRDefault="00B3239C" w:rsidP="00105B67">
            <w:pPr>
              <w:rPr>
                <w:lang w:val="lv-LV"/>
              </w:rPr>
            </w:pPr>
            <w:r w:rsidRPr="00673E0D">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1DF7DF5D" w14:textId="77777777" w:rsidR="00B3239C" w:rsidRPr="00673E0D" w:rsidRDefault="00B3239C" w:rsidP="00105B67">
            <w:pPr>
              <w:jc w:val="both"/>
              <w:rPr>
                <w:lang w:val="lv-LV"/>
              </w:rPr>
            </w:pPr>
            <w:r w:rsidRPr="00673E0D">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14:paraId="70D316D4" w14:textId="77777777" w:rsidR="005F4732" w:rsidRDefault="00E6147B" w:rsidP="00C031B6">
            <w:pPr>
              <w:jc w:val="both"/>
              <w:rPr>
                <w:rFonts w:eastAsia="Calibri"/>
                <w:lang w:val="lv-LV"/>
              </w:rPr>
            </w:pPr>
            <w:r w:rsidRPr="00E6147B">
              <w:rPr>
                <w:lang w:val="lv-LV" w:eastAsia="lv-LV"/>
              </w:rPr>
              <w:t>Eiropas Parlamenta un Padomes 2013. gada 17. decembra Regula (ES) Nr.1308/2013, ar ko izveido lauksaimniecības produktu tirgu kopīgu organizāciju un atceļ Padomes Regulas (EEK) Nr.922/72, (EEK) Nr.234/79, (EK) Nr.1037/2001 un (EK) Nr.1234/2007.</w:t>
            </w:r>
            <w:r w:rsidR="00C031B6" w:rsidRPr="002A735D">
              <w:rPr>
                <w:rFonts w:eastAsia="Calibri"/>
                <w:lang w:val="lv-LV"/>
              </w:rPr>
              <w:t xml:space="preserve"> </w:t>
            </w:r>
          </w:p>
          <w:p w14:paraId="6D1FB701" w14:textId="2B80545F" w:rsidR="003154D5" w:rsidRPr="003154D5" w:rsidRDefault="003154D5" w:rsidP="003154D5">
            <w:pPr>
              <w:jc w:val="both"/>
              <w:rPr>
                <w:lang w:val="lv-LV" w:eastAsia="lv-LV"/>
              </w:rPr>
            </w:pPr>
            <w:r w:rsidRPr="003154D5">
              <w:rPr>
                <w:lang w:val="lv-LV" w:eastAsia="lv-LV"/>
              </w:rPr>
              <w:t xml:space="preserve">Komisijas 2015. gada 11. maija Deleģētā </w:t>
            </w:r>
            <w:r w:rsidR="00CB51CD">
              <w:rPr>
                <w:lang w:val="lv-LV" w:eastAsia="lv-LV"/>
              </w:rPr>
              <w:t>r</w:t>
            </w:r>
            <w:r w:rsidRPr="003154D5">
              <w:rPr>
                <w:lang w:val="lv-LV" w:eastAsia="lv-LV"/>
              </w:rPr>
              <w:t>egula (ES) 2015/1366, ar ko Eiropas Parlamenta un Padomes Regulu (ES) Nr.1308/2013 papildina attiecībā uz biškopības nozari.</w:t>
            </w:r>
          </w:p>
          <w:p w14:paraId="4940B219" w14:textId="0B06BFDA" w:rsidR="003154D5" w:rsidRPr="00673E0D" w:rsidRDefault="003154D5" w:rsidP="003154D5">
            <w:pPr>
              <w:jc w:val="both"/>
              <w:rPr>
                <w:lang w:val="lv-LV"/>
              </w:rPr>
            </w:pPr>
            <w:r w:rsidRPr="003154D5">
              <w:rPr>
                <w:lang w:val="lv-LV" w:eastAsia="lv-LV"/>
              </w:rPr>
              <w:t xml:space="preserve">Komisijas 2015. gada 6. augusta Īstenošanas </w:t>
            </w:r>
            <w:r w:rsidR="00CB51CD">
              <w:rPr>
                <w:lang w:val="lv-LV" w:eastAsia="lv-LV"/>
              </w:rPr>
              <w:t>r</w:t>
            </w:r>
            <w:r w:rsidRPr="003154D5">
              <w:rPr>
                <w:lang w:val="lv-LV" w:eastAsia="lv-LV"/>
              </w:rPr>
              <w:t>egula (ES) 2015/1368, ar ko paredz noteikumus par to, kā Eiropas Parlamenta un Padomes Regulu (ES) Nr.1308/2013 piemēro attiecībā uz atbalstu biškopības nozarē</w:t>
            </w:r>
            <w:r>
              <w:rPr>
                <w:lang w:val="lv-LV" w:eastAsia="lv-LV"/>
              </w:rPr>
              <w:t>.</w:t>
            </w:r>
          </w:p>
        </w:tc>
      </w:tr>
      <w:tr w:rsidR="00B3239C" w:rsidRPr="00673E0D" w14:paraId="5BFC2011" w14:textId="77777777" w:rsidTr="0071212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EC8E933" w14:textId="77777777" w:rsidR="00B3239C" w:rsidRPr="00673E0D" w:rsidRDefault="00B3239C" w:rsidP="00105B67">
            <w:pPr>
              <w:rPr>
                <w:lang w:val="lv-LV"/>
              </w:rPr>
            </w:pPr>
            <w:r w:rsidRPr="00673E0D">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7CA752F1" w14:textId="77777777" w:rsidR="00B3239C" w:rsidRPr="00673E0D" w:rsidRDefault="00B3239C" w:rsidP="00105B67">
            <w:pPr>
              <w:jc w:val="both"/>
              <w:rPr>
                <w:lang w:val="lv-LV"/>
              </w:rPr>
            </w:pPr>
            <w:r w:rsidRPr="00673E0D">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14:paraId="3A25ECD9" w14:textId="77777777" w:rsidR="00B3239C" w:rsidRPr="00673E0D" w:rsidRDefault="009D5E94" w:rsidP="00105B67">
            <w:pPr>
              <w:rPr>
                <w:lang w:val="lv-LV"/>
              </w:rPr>
            </w:pPr>
            <w:r>
              <w:rPr>
                <w:lang w:val="lv-LV"/>
              </w:rPr>
              <w:t>Projekts šo jomu neskar.</w:t>
            </w:r>
          </w:p>
        </w:tc>
      </w:tr>
      <w:tr w:rsidR="00B3239C" w:rsidRPr="00673E0D" w14:paraId="50A0BBA2" w14:textId="77777777" w:rsidTr="0071212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26700D8" w14:textId="77777777" w:rsidR="00B3239C" w:rsidRPr="00673E0D" w:rsidRDefault="00B3239C" w:rsidP="00105B67">
            <w:pPr>
              <w:rPr>
                <w:lang w:val="lv-LV"/>
              </w:rPr>
            </w:pPr>
            <w:r w:rsidRPr="00673E0D">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7498420C" w14:textId="77777777" w:rsidR="00B3239C" w:rsidRPr="00673E0D" w:rsidRDefault="00B3239C" w:rsidP="00105B67">
            <w:pPr>
              <w:jc w:val="both"/>
              <w:rPr>
                <w:lang w:val="lv-LV"/>
              </w:rPr>
            </w:pPr>
            <w:r w:rsidRPr="00673E0D">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14:paraId="102AAFA3" w14:textId="77777777" w:rsidR="00B3239C" w:rsidRPr="00673E0D" w:rsidRDefault="009D5E94" w:rsidP="00105B67">
            <w:pPr>
              <w:rPr>
                <w:lang w:val="lv-LV"/>
              </w:rPr>
            </w:pPr>
            <w:r>
              <w:rPr>
                <w:lang w:val="lv-LV"/>
              </w:rPr>
              <w:t>Nav</w:t>
            </w:r>
            <w:r w:rsidR="00A741F4">
              <w:rPr>
                <w:lang w:val="lv-LV"/>
              </w:rPr>
              <w:t>.</w:t>
            </w:r>
          </w:p>
        </w:tc>
      </w:tr>
      <w:tr w:rsidR="00B3239C" w:rsidRPr="00673E0D" w14:paraId="3A2F3B8D"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14:paraId="414B1144" w14:textId="77777777" w:rsidR="00B3239C" w:rsidRPr="00673E0D" w:rsidRDefault="00B3239C" w:rsidP="00105B67">
            <w:pPr>
              <w:pStyle w:val="naisnod"/>
              <w:spacing w:before="0" w:after="0"/>
            </w:pPr>
            <w:r w:rsidRPr="00673E0D">
              <w:t>1.tabula</w:t>
            </w:r>
          </w:p>
          <w:p w14:paraId="77E22841" w14:textId="77777777" w:rsidR="00B3239C" w:rsidRPr="00673E0D" w:rsidRDefault="00B3239C" w:rsidP="00105B67">
            <w:pPr>
              <w:pStyle w:val="naisnod"/>
              <w:spacing w:before="0" w:after="0"/>
              <w:rPr>
                <w:i/>
              </w:rPr>
            </w:pPr>
            <w:r w:rsidRPr="00673E0D">
              <w:t>Tiesību akta projekta atbilstība ES tiesību aktiem</w:t>
            </w:r>
          </w:p>
        </w:tc>
      </w:tr>
      <w:tr w:rsidR="00B3239C" w:rsidRPr="00195F05" w14:paraId="579DC8AF"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14:paraId="410C6677" w14:textId="77777777" w:rsidR="00B3239C" w:rsidRPr="00673E0D" w:rsidRDefault="00B3239C" w:rsidP="00105B67">
            <w:pPr>
              <w:pStyle w:val="naiskr"/>
              <w:spacing w:before="0" w:beforeAutospacing="0" w:after="0" w:afterAutospacing="0"/>
              <w:ind w:hanging="10"/>
              <w:jc w:val="both"/>
            </w:pPr>
            <w:r w:rsidRPr="00673E0D">
              <w:lastRenderedPageBreak/>
              <w:t>Attiecīgā ES tiesību akta datums, numurs un nosaukums</w:t>
            </w:r>
          </w:p>
        </w:tc>
        <w:tc>
          <w:tcPr>
            <w:tcW w:w="3484" w:type="pct"/>
            <w:gridSpan w:val="5"/>
          </w:tcPr>
          <w:p w14:paraId="46686FCF" w14:textId="77777777" w:rsidR="00B3239C" w:rsidRDefault="00E6147B" w:rsidP="00E6147B">
            <w:pPr>
              <w:pStyle w:val="naiskr"/>
              <w:spacing w:before="0" w:beforeAutospacing="0" w:after="0" w:afterAutospacing="0"/>
              <w:jc w:val="both"/>
            </w:pPr>
            <w:r w:rsidRPr="00E6147B">
              <w:t>Eiropas Parlamenta un Padomes 2013. gada 17. decembra Regula (ES) Nr.1308/2013, ar ko izveido lauksaimniecības produktu tirgu kopīgu organizāciju un atceļ Padomes Regulas (EEK) Nr.922/72, (EEK) Nr.234/79, (EK) Nr.1037/2001 un (EK) Nr.1234/2007 (turpmāk – Regula Nr.1308/2013).</w:t>
            </w:r>
          </w:p>
          <w:p w14:paraId="2F962A9F" w14:textId="1CFAD741" w:rsidR="003154D5" w:rsidRPr="003154D5" w:rsidRDefault="003154D5" w:rsidP="003154D5">
            <w:pPr>
              <w:jc w:val="both"/>
              <w:rPr>
                <w:lang w:val="lv-LV" w:eastAsia="lv-LV"/>
              </w:rPr>
            </w:pPr>
            <w:r w:rsidRPr="003154D5">
              <w:rPr>
                <w:lang w:val="lv-LV" w:eastAsia="lv-LV"/>
              </w:rPr>
              <w:t xml:space="preserve">Komisijas 2015. gada 11. maija Deleģētā </w:t>
            </w:r>
            <w:r w:rsidR="00CB51CD">
              <w:rPr>
                <w:lang w:val="lv-LV" w:eastAsia="lv-LV"/>
              </w:rPr>
              <w:t>r</w:t>
            </w:r>
            <w:r w:rsidRPr="003154D5">
              <w:rPr>
                <w:lang w:val="lv-LV" w:eastAsia="lv-LV"/>
              </w:rPr>
              <w:t>egula (ES) 2015/1366, ar ko Eiropas Parlamenta un Padomes Regulu (ES) Nr.1308/2013 papildina attiecībā uz biškopības nozari (turpmāk – Regula 2015/1366);</w:t>
            </w:r>
          </w:p>
          <w:p w14:paraId="13C3BFB2" w14:textId="5E208FE9" w:rsidR="003154D5" w:rsidRPr="00673E0D" w:rsidRDefault="003154D5" w:rsidP="003154D5">
            <w:pPr>
              <w:pStyle w:val="naiskr"/>
              <w:spacing w:before="0" w:beforeAutospacing="0" w:after="0" w:afterAutospacing="0"/>
              <w:jc w:val="both"/>
            </w:pPr>
            <w:r w:rsidRPr="003154D5">
              <w:t xml:space="preserve">Komisijas 2015. gada 6. augusta Īstenošanas </w:t>
            </w:r>
            <w:r w:rsidR="00CB51CD">
              <w:t>r</w:t>
            </w:r>
            <w:r w:rsidRPr="003154D5">
              <w:t>egula (ES) 2015/1368, ar ko paredz noteikumus par to, kā Eiropas Parlamenta un Padomes Regulu (ES) Nr.1308/2013 piemēro attiecībā uz atbalstu biškopības nozarē (turpmāk – Regula 2015/1368).</w:t>
            </w:r>
          </w:p>
        </w:tc>
      </w:tr>
      <w:tr w:rsidR="00B3239C" w:rsidRPr="00673E0D" w14:paraId="09BF646A"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14:paraId="5B28C42E" w14:textId="77777777" w:rsidR="00B3239C" w:rsidRPr="00673E0D" w:rsidRDefault="00B3239C" w:rsidP="00105B67">
            <w:pPr>
              <w:pStyle w:val="naiskr"/>
              <w:spacing w:before="0" w:beforeAutospacing="0" w:after="0" w:afterAutospacing="0"/>
              <w:jc w:val="center"/>
            </w:pPr>
            <w:r w:rsidRPr="00673E0D">
              <w:t>A</w:t>
            </w:r>
          </w:p>
        </w:tc>
        <w:tc>
          <w:tcPr>
            <w:tcW w:w="1163" w:type="pct"/>
            <w:gridSpan w:val="2"/>
            <w:vAlign w:val="center"/>
          </w:tcPr>
          <w:p w14:paraId="45FAF40C" w14:textId="77777777" w:rsidR="00B3239C" w:rsidRPr="00673E0D" w:rsidRDefault="00B3239C" w:rsidP="00105B67">
            <w:pPr>
              <w:pStyle w:val="naiskr"/>
              <w:spacing w:before="0" w:beforeAutospacing="0" w:after="0" w:afterAutospacing="0"/>
              <w:jc w:val="center"/>
            </w:pPr>
            <w:r w:rsidRPr="00673E0D">
              <w:t>B</w:t>
            </w:r>
          </w:p>
        </w:tc>
        <w:tc>
          <w:tcPr>
            <w:tcW w:w="1084" w:type="pct"/>
            <w:vAlign w:val="center"/>
          </w:tcPr>
          <w:p w14:paraId="47715A4F" w14:textId="77777777" w:rsidR="00B3239C" w:rsidRPr="00673E0D" w:rsidRDefault="00B3239C" w:rsidP="00105B67">
            <w:pPr>
              <w:pStyle w:val="naiskr"/>
              <w:spacing w:before="0" w:beforeAutospacing="0" w:after="0" w:afterAutospacing="0"/>
              <w:jc w:val="center"/>
            </w:pPr>
            <w:r w:rsidRPr="00673E0D">
              <w:t>C</w:t>
            </w:r>
          </w:p>
        </w:tc>
        <w:tc>
          <w:tcPr>
            <w:tcW w:w="1237" w:type="pct"/>
            <w:gridSpan w:val="2"/>
            <w:vAlign w:val="center"/>
          </w:tcPr>
          <w:p w14:paraId="62A25C64" w14:textId="77777777" w:rsidR="00B3239C" w:rsidRPr="00673E0D" w:rsidRDefault="00B3239C" w:rsidP="00105B67">
            <w:pPr>
              <w:pStyle w:val="naiskr"/>
              <w:spacing w:before="0" w:beforeAutospacing="0" w:after="0" w:afterAutospacing="0"/>
              <w:jc w:val="center"/>
            </w:pPr>
            <w:r w:rsidRPr="00673E0D">
              <w:t>D</w:t>
            </w:r>
          </w:p>
        </w:tc>
      </w:tr>
      <w:tr w:rsidR="00B3239C" w:rsidRPr="00195F05" w14:paraId="6AD104B7"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14:paraId="0E7BE232" w14:textId="77777777" w:rsidR="00B3239C" w:rsidRPr="00673E0D" w:rsidRDefault="00B3239C" w:rsidP="00105B67">
            <w:pPr>
              <w:pStyle w:val="naiskr"/>
              <w:spacing w:before="0" w:beforeAutospacing="0" w:after="0" w:afterAutospacing="0"/>
              <w:jc w:val="both"/>
            </w:pPr>
            <w:r w:rsidRPr="00673E0D">
              <w:t>Attiecīgā ES tiesību akta panta numurs (uzskaitot katru tiesību akta vienību – pantu, daļu, punktu, apakšpunktu)</w:t>
            </w:r>
          </w:p>
        </w:tc>
        <w:tc>
          <w:tcPr>
            <w:tcW w:w="1163" w:type="pct"/>
            <w:gridSpan w:val="2"/>
          </w:tcPr>
          <w:p w14:paraId="41A147AB" w14:textId="77777777" w:rsidR="00B3239C" w:rsidRPr="00673E0D" w:rsidRDefault="00B3239C" w:rsidP="00105B67">
            <w:pPr>
              <w:pStyle w:val="naiskr"/>
              <w:spacing w:before="0" w:beforeAutospacing="0" w:after="0" w:afterAutospacing="0"/>
              <w:jc w:val="both"/>
            </w:pPr>
            <w:r w:rsidRPr="00673E0D">
              <w:t>Projekta vienība, kas pārņem vai ievieš katru šīs tabulas A ailē minēto ES tiesību akta vienību, vai tiesību akts, kur attiecīgā ES tiesību akta vienība pārņemta vai ieviesta</w:t>
            </w:r>
          </w:p>
        </w:tc>
        <w:tc>
          <w:tcPr>
            <w:tcW w:w="1084" w:type="pct"/>
          </w:tcPr>
          <w:p w14:paraId="63474B1A" w14:textId="77777777" w:rsidR="00B3239C" w:rsidRPr="00673E0D" w:rsidRDefault="00B3239C" w:rsidP="00105B67">
            <w:pPr>
              <w:pStyle w:val="naiskr"/>
              <w:spacing w:before="0" w:beforeAutospacing="0" w:after="0" w:afterAutospacing="0"/>
              <w:jc w:val="both"/>
            </w:pPr>
            <w:r w:rsidRPr="00673E0D">
              <w:t>Informācija par to, vai šīs tabulas A ailē minētās ES tiesību akta vienības tiek pārņemtas vai ieviestas pilnībā vai daļēji.</w:t>
            </w:r>
          </w:p>
          <w:p w14:paraId="4119186F" w14:textId="77777777" w:rsidR="00B3239C" w:rsidRPr="00673E0D" w:rsidRDefault="00B3239C" w:rsidP="00105B67">
            <w:pPr>
              <w:pStyle w:val="naiskr"/>
              <w:spacing w:before="0" w:beforeAutospacing="0" w:after="0" w:afterAutospacing="0"/>
              <w:jc w:val="both"/>
            </w:pPr>
            <w:r w:rsidRPr="00673E0D">
              <w:t>Ja attiecīgā ES tiesību akta vienība tiek pārņemta vai ieviesta daļēji,  sniedz attiecīgu skaidrojumu, kā arī precīzi norāda, kad un kādā veidā ES tiesību akta vienība tiks pārņemta vai ieviesta pilnībā.</w:t>
            </w:r>
          </w:p>
          <w:p w14:paraId="7ACB3B0E" w14:textId="77777777" w:rsidR="00B3239C" w:rsidRPr="00673E0D" w:rsidRDefault="00B3239C" w:rsidP="00105B67">
            <w:pPr>
              <w:pStyle w:val="naiskr"/>
              <w:spacing w:before="0" w:beforeAutospacing="0" w:after="0" w:afterAutospacing="0"/>
              <w:jc w:val="both"/>
            </w:pPr>
            <w:r w:rsidRPr="00673E0D">
              <w:t>Norāda institūciju, kas ir atbildīga par šo saistību izpildi pilnībā</w:t>
            </w:r>
          </w:p>
        </w:tc>
        <w:tc>
          <w:tcPr>
            <w:tcW w:w="1237" w:type="pct"/>
            <w:gridSpan w:val="2"/>
            <w:vAlign w:val="center"/>
          </w:tcPr>
          <w:p w14:paraId="61A57508" w14:textId="77777777" w:rsidR="00B3239C" w:rsidRPr="00673E0D" w:rsidRDefault="00B3239C" w:rsidP="00105B67">
            <w:pPr>
              <w:pStyle w:val="naiskr"/>
              <w:spacing w:before="0" w:beforeAutospacing="0" w:after="0" w:afterAutospacing="0"/>
              <w:jc w:val="both"/>
            </w:pPr>
            <w:r w:rsidRPr="00673E0D">
              <w:t>Informācija par to, vai šīs tabulas B ailē minētās projekta vienības paredz stingrākas prasības nekā šīs tabulas A ailē minētās ES tiesību akta vienības.</w:t>
            </w:r>
          </w:p>
          <w:p w14:paraId="238791F1" w14:textId="77777777" w:rsidR="00B3239C" w:rsidRPr="00673E0D" w:rsidRDefault="00B3239C" w:rsidP="00105B67">
            <w:pPr>
              <w:pStyle w:val="naiskr"/>
              <w:spacing w:before="0" w:beforeAutospacing="0" w:after="0" w:afterAutospacing="0"/>
              <w:jc w:val="both"/>
            </w:pPr>
            <w:r w:rsidRPr="00673E0D">
              <w:t>Ja projekts satur stingrākas prasības nekā attiecīgais ES tiesību akts, norāda pamatojumu un samērīgumu.</w:t>
            </w:r>
          </w:p>
          <w:p w14:paraId="22F6A2D2" w14:textId="77777777" w:rsidR="00B3239C" w:rsidRPr="00673E0D" w:rsidRDefault="00B3239C" w:rsidP="00105B67">
            <w:pPr>
              <w:pStyle w:val="naiskr"/>
              <w:spacing w:before="0" w:beforeAutospacing="0" w:after="0" w:afterAutospacing="0"/>
              <w:jc w:val="both"/>
            </w:pPr>
            <w:r w:rsidRPr="00673E0D">
              <w:t>Norāda iespējamās alternatīvas (t.sk. alternatīvas, kas neparedz tiesiskā regulējuma izstrādi) – kādos gadījumos būtu iespējams izvairīties no stingrāku prasību noteikšanas, nekā paredzēts attiecīgajos ES tiesību aktos</w:t>
            </w:r>
          </w:p>
        </w:tc>
      </w:tr>
      <w:tr w:rsidR="006D7047" w:rsidRPr="00FA1D94" w14:paraId="72FAEECB"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548FA244" w14:textId="0AF3280B" w:rsidR="006D7047" w:rsidRPr="00FA1D94" w:rsidRDefault="006D7047" w:rsidP="006D7047">
            <w:pPr>
              <w:jc w:val="both"/>
              <w:rPr>
                <w:lang w:val="lv-LV"/>
              </w:rPr>
            </w:pPr>
            <w:r w:rsidRPr="00FA1D94">
              <w:rPr>
                <w:lang w:val="lv-LV"/>
              </w:rPr>
              <w:t>Regulas 2015/1368 8.pants</w:t>
            </w:r>
          </w:p>
        </w:tc>
        <w:tc>
          <w:tcPr>
            <w:tcW w:w="1163" w:type="pct"/>
            <w:gridSpan w:val="2"/>
          </w:tcPr>
          <w:p w14:paraId="2550EC1D" w14:textId="438D01BD" w:rsidR="006D7047" w:rsidRPr="00FA1D94" w:rsidRDefault="006D7047" w:rsidP="006D7047">
            <w:pPr>
              <w:pStyle w:val="naiskr"/>
              <w:spacing w:before="0" w:beforeAutospacing="0" w:after="0" w:afterAutospacing="0"/>
              <w:jc w:val="both"/>
            </w:pPr>
            <w:r w:rsidRPr="00FA1D94">
              <w:t xml:space="preserve">Noteikumu projekta 2.punkts </w:t>
            </w:r>
          </w:p>
        </w:tc>
        <w:tc>
          <w:tcPr>
            <w:tcW w:w="1084" w:type="pct"/>
          </w:tcPr>
          <w:p w14:paraId="2C7ECD1C" w14:textId="13888AB3" w:rsidR="006D7047" w:rsidRDefault="006D7047" w:rsidP="006D7047">
            <w:pPr>
              <w:pStyle w:val="naiskr"/>
              <w:spacing w:before="0" w:beforeAutospacing="0" w:after="0" w:afterAutospacing="0"/>
            </w:pPr>
            <w:r>
              <w:t>Ieviests</w:t>
            </w:r>
            <w:r w:rsidRPr="00C00774">
              <w:t xml:space="preserve"> pilnībā.</w:t>
            </w:r>
          </w:p>
        </w:tc>
        <w:tc>
          <w:tcPr>
            <w:tcW w:w="1237" w:type="pct"/>
            <w:gridSpan w:val="2"/>
          </w:tcPr>
          <w:p w14:paraId="178F63F8" w14:textId="783DC319" w:rsidR="006D7047" w:rsidRDefault="006D7047" w:rsidP="006D7047">
            <w:pPr>
              <w:pStyle w:val="naiskr"/>
              <w:spacing w:before="0" w:beforeAutospacing="0" w:after="0" w:afterAutospacing="0"/>
            </w:pPr>
            <w:r>
              <w:t>Nav noteiktas stingrākas prasības.</w:t>
            </w:r>
          </w:p>
        </w:tc>
      </w:tr>
      <w:tr w:rsidR="006D7047" w:rsidRPr="00AB5B63" w14:paraId="7DBE3F52"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78030DA9" w14:textId="2D53DA81" w:rsidR="006D7047" w:rsidRPr="003376E2" w:rsidRDefault="006D7047" w:rsidP="006D7047">
            <w:pPr>
              <w:jc w:val="both"/>
              <w:rPr>
                <w:lang w:val="lv-LV"/>
              </w:rPr>
            </w:pPr>
            <w:r w:rsidRPr="00A075E4">
              <w:rPr>
                <w:lang w:val="lv-LV" w:eastAsia="lv-LV"/>
              </w:rPr>
              <w:t xml:space="preserve">Regulas 2015/1368 2.pants </w:t>
            </w:r>
            <w:r>
              <w:rPr>
                <w:lang w:val="lv-LV" w:eastAsia="lv-LV"/>
              </w:rPr>
              <w:t xml:space="preserve">un </w:t>
            </w:r>
            <w:r w:rsidRPr="003376E2">
              <w:rPr>
                <w:lang w:val="lv-LV"/>
              </w:rPr>
              <w:t>Regulas</w:t>
            </w:r>
            <w:r>
              <w:t xml:space="preserve"> Nr.1308/2013 55.panta 4.punkts.</w:t>
            </w:r>
          </w:p>
        </w:tc>
        <w:tc>
          <w:tcPr>
            <w:tcW w:w="1163" w:type="pct"/>
            <w:gridSpan w:val="2"/>
          </w:tcPr>
          <w:p w14:paraId="6E18DC69" w14:textId="77777777" w:rsidR="006D7047" w:rsidRPr="003376E2" w:rsidRDefault="006D7047" w:rsidP="006D7047">
            <w:pPr>
              <w:jc w:val="both"/>
              <w:rPr>
                <w:lang w:val="lv-LV"/>
              </w:rPr>
            </w:pPr>
            <w:r w:rsidRPr="003376E2">
              <w:rPr>
                <w:lang w:val="lv-LV"/>
              </w:rPr>
              <w:t xml:space="preserve">Noteikumu projekta </w:t>
            </w:r>
          </w:p>
          <w:p w14:paraId="2830057B" w14:textId="4ACC92B1" w:rsidR="006D7047" w:rsidRPr="003376E2" w:rsidRDefault="006D7047" w:rsidP="006D7047">
            <w:pPr>
              <w:jc w:val="both"/>
              <w:rPr>
                <w:lang w:val="lv-LV"/>
              </w:rPr>
            </w:pPr>
            <w:r>
              <w:t xml:space="preserve">3.punkts </w:t>
            </w:r>
          </w:p>
        </w:tc>
        <w:tc>
          <w:tcPr>
            <w:tcW w:w="1084" w:type="pct"/>
          </w:tcPr>
          <w:p w14:paraId="554F078A" w14:textId="25247588" w:rsidR="006D7047" w:rsidRDefault="006D7047" w:rsidP="006D7047">
            <w:pPr>
              <w:pStyle w:val="naiskr"/>
              <w:spacing w:before="0" w:beforeAutospacing="0" w:after="0" w:afterAutospacing="0"/>
            </w:pPr>
            <w:r>
              <w:t>Ieviests</w:t>
            </w:r>
            <w:r w:rsidRPr="00C00774">
              <w:t xml:space="preserve"> pilnībā.</w:t>
            </w:r>
          </w:p>
        </w:tc>
        <w:tc>
          <w:tcPr>
            <w:tcW w:w="1237" w:type="pct"/>
            <w:gridSpan w:val="2"/>
          </w:tcPr>
          <w:p w14:paraId="53E11A64" w14:textId="02BDA519" w:rsidR="006D7047" w:rsidRDefault="006D7047" w:rsidP="006D7047">
            <w:pPr>
              <w:pStyle w:val="naiskr"/>
              <w:spacing w:before="0" w:beforeAutospacing="0" w:after="0" w:afterAutospacing="0"/>
            </w:pPr>
            <w:r>
              <w:t>Nav noteiktas stingrākas prasības.</w:t>
            </w:r>
          </w:p>
        </w:tc>
      </w:tr>
      <w:tr w:rsidR="006D7047" w:rsidRPr="00AB5B63" w14:paraId="0100BCD8" w14:textId="77777777" w:rsidTr="00C25E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71CD6074" w14:textId="10F9081C" w:rsidR="006D7047" w:rsidRPr="003376E2" w:rsidRDefault="006D7047" w:rsidP="006D7047">
            <w:pPr>
              <w:jc w:val="both"/>
              <w:rPr>
                <w:lang w:val="lv-LV"/>
              </w:rPr>
            </w:pPr>
            <w:r w:rsidRPr="00FA1D94">
              <w:rPr>
                <w:lang w:val="lv-LV" w:eastAsia="lv-LV"/>
              </w:rPr>
              <w:t>Regulas 2015/1368 10. un 11.</w:t>
            </w:r>
            <w:r w:rsidR="00C8502A">
              <w:rPr>
                <w:lang w:val="lv-LV" w:eastAsia="lv-LV"/>
              </w:rPr>
              <w:t> </w:t>
            </w:r>
            <w:r w:rsidRPr="00FA1D94">
              <w:rPr>
                <w:lang w:val="lv-LV" w:eastAsia="lv-LV"/>
              </w:rPr>
              <w:t>pants</w:t>
            </w:r>
            <w:r>
              <w:rPr>
                <w:lang w:val="lv-LV" w:eastAsia="lv-LV"/>
              </w:rPr>
              <w:t xml:space="preserve"> un Regulas </w:t>
            </w:r>
            <w:r w:rsidRPr="005B6882">
              <w:rPr>
                <w:lang w:val="lv-LV" w:eastAsia="lv-LV"/>
              </w:rPr>
              <w:t>2015/1366</w:t>
            </w:r>
            <w:r>
              <w:rPr>
                <w:lang w:val="lv-LV" w:eastAsia="lv-LV"/>
              </w:rPr>
              <w:t xml:space="preserve"> 3.</w:t>
            </w:r>
            <w:r w:rsidR="00C34871">
              <w:rPr>
                <w:lang w:val="lv-LV" w:eastAsia="lv-LV"/>
              </w:rPr>
              <w:t xml:space="preserve"> </w:t>
            </w:r>
            <w:r>
              <w:rPr>
                <w:lang w:val="lv-LV" w:eastAsia="lv-LV"/>
              </w:rPr>
              <w:t>pants.</w:t>
            </w:r>
          </w:p>
        </w:tc>
        <w:tc>
          <w:tcPr>
            <w:tcW w:w="1163" w:type="pct"/>
            <w:gridSpan w:val="2"/>
          </w:tcPr>
          <w:p w14:paraId="6E00E20A" w14:textId="77777777" w:rsidR="006D7047" w:rsidRPr="003376E2" w:rsidRDefault="006D7047" w:rsidP="006D7047">
            <w:pPr>
              <w:jc w:val="both"/>
              <w:rPr>
                <w:lang w:val="lv-LV"/>
              </w:rPr>
            </w:pPr>
            <w:r w:rsidRPr="003376E2">
              <w:rPr>
                <w:lang w:val="lv-LV"/>
              </w:rPr>
              <w:t xml:space="preserve">Noteikumu projekta </w:t>
            </w:r>
          </w:p>
          <w:p w14:paraId="6EFA46B0" w14:textId="5EDE76B4" w:rsidR="006D7047" w:rsidRPr="003376E2" w:rsidRDefault="006D7047" w:rsidP="006D7047">
            <w:pPr>
              <w:jc w:val="both"/>
              <w:rPr>
                <w:lang w:val="lv-LV"/>
              </w:rPr>
            </w:pPr>
            <w:r>
              <w:t xml:space="preserve">6.punkts </w:t>
            </w:r>
          </w:p>
        </w:tc>
        <w:tc>
          <w:tcPr>
            <w:tcW w:w="1084" w:type="pct"/>
          </w:tcPr>
          <w:p w14:paraId="1276B438" w14:textId="359AC952" w:rsidR="006D7047" w:rsidRDefault="006D7047" w:rsidP="006D7047">
            <w:pPr>
              <w:pStyle w:val="naiskr"/>
              <w:spacing w:before="0" w:beforeAutospacing="0" w:after="0" w:afterAutospacing="0"/>
            </w:pPr>
            <w:r>
              <w:t>Ieviests</w:t>
            </w:r>
            <w:r w:rsidRPr="00C00774">
              <w:t xml:space="preserve"> pilnībā.</w:t>
            </w:r>
          </w:p>
        </w:tc>
        <w:tc>
          <w:tcPr>
            <w:tcW w:w="1237" w:type="pct"/>
            <w:gridSpan w:val="2"/>
          </w:tcPr>
          <w:p w14:paraId="6EEC7992" w14:textId="0E2A22DD" w:rsidR="006D7047" w:rsidRDefault="006D7047" w:rsidP="006D7047">
            <w:pPr>
              <w:pStyle w:val="naiskr"/>
              <w:spacing w:before="0" w:beforeAutospacing="0" w:after="0" w:afterAutospacing="0"/>
            </w:pPr>
            <w:r>
              <w:t>Nav noteiktas stingrākas prasības.</w:t>
            </w:r>
          </w:p>
        </w:tc>
      </w:tr>
      <w:tr w:rsidR="006D7047" w:rsidRPr="00195F05" w14:paraId="6ED26798"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14:paraId="75A3A139" w14:textId="77777777" w:rsidR="006D7047" w:rsidRPr="00673E0D" w:rsidRDefault="006D7047" w:rsidP="006D7047">
            <w:pPr>
              <w:pStyle w:val="naiskr"/>
              <w:spacing w:before="0" w:beforeAutospacing="0" w:after="0" w:afterAutospacing="0"/>
              <w:jc w:val="both"/>
            </w:pPr>
            <w:r w:rsidRPr="00673E0D">
              <w:t xml:space="preserve">Kā ir izmantota ES tiesību aktā paredzētā rīcības </w:t>
            </w:r>
            <w:r w:rsidRPr="00673E0D">
              <w:lastRenderedPageBreak/>
              <w:t>brīvība dalībvalstij pārņemt vai ieviest noteiktas ES tiesību akta normas. Kādēļ?</w:t>
            </w:r>
          </w:p>
        </w:tc>
        <w:tc>
          <w:tcPr>
            <w:tcW w:w="3484" w:type="pct"/>
            <w:gridSpan w:val="5"/>
          </w:tcPr>
          <w:p w14:paraId="2CD45BD3" w14:textId="467E3788" w:rsidR="006D7047" w:rsidRPr="00E6147B" w:rsidRDefault="006D7047" w:rsidP="006D7047">
            <w:pPr>
              <w:jc w:val="both"/>
              <w:rPr>
                <w:lang w:val="lv-LV" w:eastAsia="lv-LV"/>
              </w:rPr>
            </w:pPr>
            <w:r w:rsidRPr="00E6147B">
              <w:rPr>
                <w:lang w:val="lv-LV" w:eastAsia="lv-LV"/>
              </w:rPr>
              <w:lastRenderedPageBreak/>
              <w:t>Regulas Nr.1308/2013 55. panta 4.punktā ir paredzēt</w:t>
            </w:r>
            <w:r>
              <w:rPr>
                <w:lang w:val="lv-LV" w:eastAsia="lv-LV"/>
              </w:rPr>
              <w:t>a</w:t>
            </w:r>
            <w:r w:rsidRPr="00E6147B">
              <w:rPr>
                <w:lang w:val="lv-LV" w:eastAsia="lv-LV"/>
              </w:rPr>
              <w:t xml:space="preserve"> rīcības brīvība dalībvalstij </w:t>
            </w:r>
            <w:r w:rsidR="007B00FF" w:rsidRPr="00E6147B">
              <w:rPr>
                <w:lang w:val="lv-LV" w:eastAsia="lv-LV"/>
              </w:rPr>
              <w:t>biškopības programm</w:t>
            </w:r>
            <w:r w:rsidR="007B00FF">
              <w:rPr>
                <w:lang w:val="lv-LV" w:eastAsia="lv-LV"/>
              </w:rPr>
              <w:t>ā</w:t>
            </w:r>
            <w:r w:rsidR="007B00FF" w:rsidRPr="00E6147B">
              <w:rPr>
                <w:lang w:val="lv-LV" w:eastAsia="lv-LV"/>
              </w:rPr>
              <w:t xml:space="preserve"> izvēlē</w:t>
            </w:r>
            <w:r w:rsidR="007B00FF">
              <w:rPr>
                <w:lang w:val="lv-LV" w:eastAsia="lv-LV"/>
              </w:rPr>
              <w:t>t</w:t>
            </w:r>
            <w:r w:rsidR="007B00FF" w:rsidRPr="00E6147B">
              <w:rPr>
                <w:lang w:val="lv-LV" w:eastAsia="lv-LV"/>
              </w:rPr>
              <w:t>ies pasākum</w:t>
            </w:r>
            <w:r w:rsidR="007B00FF">
              <w:rPr>
                <w:lang w:val="lv-LV" w:eastAsia="lv-LV"/>
              </w:rPr>
              <w:t>us</w:t>
            </w:r>
            <w:r w:rsidR="00CB51CD">
              <w:rPr>
                <w:lang w:val="lv-LV" w:eastAsia="lv-LV"/>
              </w:rPr>
              <w:t>,</w:t>
            </w:r>
            <w:r w:rsidR="007B00FF">
              <w:rPr>
                <w:lang w:val="lv-LV" w:eastAsia="lv-LV"/>
              </w:rPr>
              <w:t xml:space="preserve"> </w:t>
            </w:r>
            <w:r w:rsidR="007B00FF" w:rsidRPr="00E6147B">
              <w:rPr>
                <w:lang w:val="lv-LV" w:eastAsia="lv-LV"/>
              </w:rPr>
              <w:lastRenderedPageBreak/>
              <w:t xml:space="preserve">kurus Latvija </w:t>
            </w:r>
            <w:r w:rsidR="007B00FF">
              <w:rPr>
                <w:lang w:val="lv-LV" w:eastAsia="lv-LV"/>
              </w:rPr>
              <w:t>vēlas</w:t>
            </w:r>
            <w:r w:rsidR="007B00FF" w:rsidRPr="00E6147B">
              <w:rPr>
                <w:lang w:val="lv-LV" w:eastAsia="lv-LV"/>
              </w:rPr>
              <w:t xml:space="preserve"> </w:t>
            </w:r>
            <w:r w:rsidR="007B00FF">
              <w:rPr>
                <w:lang w:val="lv-LV" w:eastAsia="lv-LV"/>
              </w:rPr>
              <w:t>īstenot</w:t>
            </w:r>
            <w:r w:rsidR="007B00FF" w:rsidRPr="00E6147B">
              <w:rPr>
                <w:lang w:val="lv-LV" w:eastAsia="lv-LV"/>
              </w:rPr>
              <w:t>,</w:t>
            </w:r>
            <w:r w:rsidR="007B00FF">
              <w:rPr>
                <w:lang w:val="lv-LV" w:eastAsia="lv-LV"/>
              </w:rPr>
              <w:t xml:space="preserve"> ievērojot </w:t>
            </w:r>
            <w:r w:rsidRPr="00E6147B">
              <w:rPr>
                <w:lang w:val="lv-LV" w:eastAsia="lv-LV"/>
              </w:rPr>
              <w:t>noteikumu projektā noteikt</w:t>
            </w:r>
            <w:r w:rsidR="007B00FF">
              <w:rPr>
                <w:lang w:val="lv-LV" w:eastAsia="lv-LV"/>
              </w:rPr>
              <w:t>ās pr</w:t>
            </w:r>
            <w:r w:rsidR="00B43CFE">
              <w:rPr>
                <w:lang w:val="lv-LV" w:eastAsia="lv-LV"/>
              </w:rPr>
              <w:t>a</w:t>
            </w:r>
            <w:r w:rsidR="007B00FF">
              <w:rPr>
                <w:lang w:val="lv-LV" w:eastAsia="lv-LV"/>
              </w:rPr>
              <w:t>sības</w:t>
            </w:r>
            <w:r w:rsidRPr="00E6147B">
              <w:rPr>
                <w:lang w:val="lv-LV" w:eastAsia="lv-LV"/>
              </w:rPr>
              <w:t>.</w:t>
            </w:r>
          </w:p>
          <w:p w14:paraId="216D07D6" w14:textId="219DB194" w:rsidR="006D7047" w:rsidRPr="00E6147B" w:rsidRDefault="006D7047" w:rsidP="006D7047">
            <w:pPr>
              <w:jc w:val="both"/>
              <w:rPr>
                <w:lang w:val="lv-LV" w:eastAsia="lv-LV"/>
              </w:rPr>
            </w:pPr>
            <w:r w:rsidRPr="00E6147B">
              <w:rPr>
                <w:lang w:val="lv-LV" w:eastAsia="lv-LV"/>
              </w:rPr>
              <w:t xml:space="preserve">Iepriekšminētā prasība ir saskaņota ar noteikumu projektā izstrādē iesaistītajām institūcijām un Latvijas </w:t>
            </w:r>
            <w:r>
              <w:rPr>
                <w:lang w:val="lv-LV" w:eastAsia="lv-LV"/>
              </w:rPr>
              <w:t>B</w:t>
            </w:r>
            <w:r w:rsidRPr="00E6147B">
              <w:rPr>
                <w:lang w:val="lv-LV" w:eastAsia="lv-LV"/>
              </w:rPr>
              <w:t xml:space="preserve">iškopības biedrību. </w:t>
            </w:r>
          </w:p>
        </w:tc>
      </w:tr>
      <w:tr w:rsidR="006D7047" w:rsidRPr="00673E0D" w14:paraId="12240BB4"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14:paraId="18DD1DAB" w14:textId="77777777" w:rsidR="006D7047" w:rsidRPr="00673E0D" w:rsidRDefault="006D7047" w:rsidP="006D7047">
            <w:pPr>
              <w:pStyle w:val="naiskr"/>
              <w:spacing w:before="0" w:beforeAutospacing="0" w:after="0" w:afterAutospacing="0"/>
              <w:jc w:val="both"/>
              <w:rPr>
                <w:i/>
              </w:rPr>
            </w:pPr>
            <w:r w:rsidRPr="00673E0D">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14:paraId="75C7EEE0" w14:textId="77777777" w:rsidR="006D7047" w:rsidRPr="00673E0D" w:rsidRDefault="006D7047" w:rsidP="006D7047">
            <w:pPr>
              <w:pStyle w:val="naiskr"/>
              <w:spacing w:before="0" w:beforeAutospacing="0" w:after="0" w:afterAutospacing="0"/>
            </w:pPr>
            <w:r>
              <w:t>Projekts šo jomu neskar.</w:t>
            </w:r>
          </w:p>
        </w:tc>
      </w:tr>
      <w:tr w:rsidR="006D7047" w:rsidRPr="00673E0D" w14:paraId="17BB106D"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14:paraId="0BE1A37A" w14:textId="77777777" w:rsidR="006D7047" w:rsidRPr="00673E0D" w:rsidRDefault="006D7047" w:rsidP="006D7047">
            <w:pPr>
              <w:pStyle w:val="naiskr"/>
              <w:spacing w:before="0" w:beforeAutospacing="0" w:after="0" w:afterAutospacing="0"/>
              <w:jc w:val="both"/>
            </w:pPr>
            <w:r w:rsidRPr="00673E0D">
              <w:t>Cita informācija</w:t>
            </w:r>
          </w:p>
        </w:tc>
        <w:tc>
          <w:tcPr>
            <w:tcW w:w="3484" w:type="pct"/>
            <w:gridSpan w:val="5"/>
          </w:tcPr>
          <w:p w14:paraId="6A4943CD" w14:textId="77777777" w:rsidR="006D7047" w:rsidRPr="00673E0D" w:rsidRDefault="006D7047" w:rsidP="006D7047">
            <w:pPr>
              <w:pStyle w:val="naiskr"/>
              <w:spacing w:before="0" w:beforeAutospacing="0" w:after="0" w:afterAutospacing="0"/>
            </w:pPr>
            <w:r>
              <w:t>Nav.</w:t>
            </w:r>
          </w:p>
        </w:tc>
      </w:tr>
      <w:tr w:rsidR="006D7047" w:rsidRPr="00673E0D" w14:paraId="7419B79C"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7E71F039" w14:textId="77777777" w:rsidR="006D7047" w:rsidRPr="00673E0D" w:rsidRDefault="006D7047" w:rsidP="006D7047">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6D7047" w:rsidRPr="00673E0D" w14:paraId="09C5FF93"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19A5D416" w14:textId="77777777" w:rsidR="006D7047" w:rsidRPr="00673E0D" w:rsidRDefault="006D7047" w:rsidP="006D7047">
            <w:pPr>
              <w:pStyle w:val="naiskr"/>
              <w:spacing w:before="0" w:beforeAutospacing="0" w:after="0" w:afterAutospacing="0"/>
              <w:jc w:val="center"/>
            </w:pPr>
            <w:r>
              <w:t>Projekts šo jomu neskar.</w:t>
            </w:r>
          </w:p>
        </w:tc>
      </w:tr>
    </w:tbl>
    <w:p w14:paraId="0BEA6AFE" w14:textId="77777777" w:rsidR="00B3239C" w:rsidRPr="000D2356" w:rsidRDefault="00B3239C"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195F05" w14:paraId="0A28C267"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B175BC7" w14:textId="77777777" w:rsidR="00E35982" w:rsidRPr="000D2356" w:rsidRDefault="00E35982" w:rsidP="005D73DE">
            <w:pPr>
              <w:jc w:val="center"/>
              <w:rPr>
                <w:b/>
                <w:bCs/>
                <w:lang w:val="lv-LV" w:eastAsia="lv-LV"/>
              </w:rPr>
            </w:pPr>
            <w:r w:rsidRPr="000D2356">
              <w:rPr>
                <w:b/>
                <w:bCs/>
                <w:lang w:val="lv-LV" w:eastAsia="lv-LV"/>
              </w:rPr>
              <w:t xml:space="preserve">VI. Sabiedrības līdzdalība </w:t>
            </w:r>
            <w:r w:rsidR="00AC0691" w:rsidRPr="000D2356">
              <w:rPr>
                <w:b/>
                <w:bCs/>
                <w:lang w:val="lv-LV"/>
              </w:rPr>
              <w:t>un komunikācijas aktivitātes</w:t>
            </w:r>
          </w:p>
        </w:tc>
      </w:tr>
      <w:tr w:rsidR="008E1597" w:rsidRPr="00195F05" w14:paraId="77115E52"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8B6AC7A" w14:textId="77777777" w:rsidR="008E1597" w:rsidRPr="000D2356" w:rsidRDefault="008E1597" w:rsidP="008E1597">
            <w:pPr>
              <w:pStyle w:val="naiskr"/>
              <w:spacing w:before="0" w:beforeAutospacing="0" w:after="0" w:afterAutospacing="0"/>
            </w:pPr>
            <w:r w:rsidRPr="000D2356">
              <w:t>1.</w:t>
            </w:r>
          </w:p>
        </w:tc>
        <w:tc>
          <w:tcPr>
            <w:tcW w:w="1406" w:type="pct"/>
          </w:tcPr>
          <w:p w14:paraId="7303B3F6" w14:textId="77777777" w:rsidR="008E1597" w:rsidRPr="000D2356" w:rsidRDefault="008E1597" w:rsidP="008E1597">
            <w:pPr>
              <w:pStyle w:val="naiskr"/>
              <w:spacing w:before="0" w:beforeAutospacing="0" w:after="0" w:afterAutospacing="0"/>
              <w:jc w:val="both"/>
            </w:pPr>
            <w:r w:rsidRPr="000D2356">
              <w:t>Plānotās sabiedrības līdzdalības un komunikācijas aktivitātes saistībā ar projektu</w:t>
            </w:r>
          </w:p>
        </w:tc>
        <w:tc>
          <w:tcPr>
            <w:tcW w:w="3286" w:type="pct"/>
          </w:tcPr>
          <w:p w14:paraId="485214DC" w14:textId="3F39E4FF" w:rsidR="004B2C0E" w:rsidRDefault="0028033B" w:rsidP="00952312">
            <w:pPr>
              <w:jc w:val="both"/>
              <w:rPr>
                <w:lang w:val="lv-LV"/>
              </w:rPr>
            </w:pPr>
            <w:r>
              <w:rPr>
                <w:iCs/>
                <w:lang w:val="lv-LV" w:eastAsia="lv-LV"/>
              </w:rPr>
              <w:t>Sabiedrības līdzdalība.</w:t>
            </w:r>
            <w:r w:rsidR="004B2C0E" w:rsidRPr="004B2C0E">
              <w:rPr>
                <w:lang w:val="lv-LV"/>
              </w:rPr>
              <w:t xml:space="preserve"> </w:t>
            </w:r>
          </w:p>
          <w:p w14:paraId="10F6156C" w14:textId="59A5F070" w:rsidR="006541E4" w:rsidRDefault="006541E4" w:rsidP="006541E4">
            <w:pPr>
              <w:ind w:right="57"/>
              <w:jc w:val="both"/>
              <w:rPr>
                <w:lang w:val="lv-LV" w:eastAsia="lv-LV"/>
              </w:rPr>
            </w:pPr>
            <w:r w:rsidRPr="001D533E">
              <w:rPr>
                <w:lang w:val="lv-LV" w:eastAsia="lv-LV"/>
              </w:rPr>
              <w:t>Saskaņā ar Ministru kabineta 2009. gada 25. augusta noteikumu Nr. 970 “Sabiedrības līdzdalības kārtība attīstības plānošanas procesā” (turpmāk – MK noteikumi Nr. 970) 7.4.</w:t>
            </w:r>
            <w:r w:rsidRPr="001D533E">
              <w:rPr>
                <w:vertAlign w:val="superscript"/>
                <w:lang w:val="lv-LV" w:eastAsia="lv-LV"/>
              </w:rPr>
              <w:t>1 </w:t>
            </w:r>
            <w:r w:rsidRPr="001D533E">
              <w:rPr>
                <w:lang w:val="lv-LV" w:eastAsia="lv-LV"/>
              </w:rPr>
              <w:t xml:space="preserve">apakšpunktu sabiedrības pārstāvji ir aicināti līdzdarboties, rakstiski sniedzot viedokli par noteikumu </w:t>
            </w:r>
            <w:r w:rsidR="00285444">
              <w:rPr>
                <w:lang w:val="lv-LV" w:eastAsia="lv-LV"/>
              </w:rPr>
              <w:t>projektu</w:t>
            </w:r>
            <w:r w:rsidR="00285444" w:rsidRPr="001D533E">
              <w:rPr>
                <w:lang w:val="lv-LV" w:eastAsia="lv-LV"/>
              </w:rPr>
              <w:t xml:space="preserve"> </w:t>
            </w:r>
            <w:r w:rsidRPr="001D533E">
              <w:rPr>
                <w:lang w:val="lv-LV" w:eastAsia="lv-LV"/>
              </w:rPr>
              <w:t xml:space="preserve">tā izstrādes stadijā. </w:t>
            </w:r>
          </w:p>
          <w:p w14:paraId="4BA099E3" w14:textId="77777777" w:rsidR="006541E4" w:rsidRPr="001D533E" w:rsidRDefault="006541E4" w:rsidP="006541E4">
            <w:pPr>
              <w:ind w:right="57"/>
              <w:jc w:val="both"/>
              <w:rPr>
                <w:lang w:val="lv-LV" w:eastAsia="lv-LV"/>
              </w:rPr>
            </w:pPr>
            <w:r w:rsidRPr="001D533E">
              <w:rPr>
                <w:lang w:val="lv-LV" w:eastAsia="lv-LV"/>
              </w:rPr>
              <w:t xml:space="preserve">Sabiedrības pārstāvji ir informēti par iespēju līdzdarboties, publicējot paziņojumu par līdzdalības procesu </w:t>
            </w:r>
            <w:r>
              <w:rPr>
                <w:lang w:val="lv-LV" w:eastAsia="lv-LV"/>
              </w:rPr>
              <w:t>Zemkopības</w:t>
            </w:r>
            <w:r w:rsidRPr="001D533E">
              <w:rPr>
                <w:lang w:val="lv-LV" w:eastAsia="lv-LV"/>
              </w:rPr>
              <w:t xml:space="preserve"> ministrijas tīmekļvietnē un Valsts kancelejas tīmekļvietnē.</w:t>
            </w:r>
          </w:p>
          <w:p w14:paraId="2B12F2B7" w14:textId="6B3C8882" w:rsidR="006541E4" w:rsidRDefault="006541E4" w:rsidP="006541E4">
            <w:pPr>
              <w:jc w:val="both"/>
              <w:rPr>
                <w:lang w:val="lv-LV"/>
              </w:rPr>
            </w:pPr>
            <w:r w:rsidRPr="001D533E">
              <w:rPr>
                <w:lang w:val="lv-LV" w:eastAsia="lv-LV"/>
              </w:rPr>
              <w:t>Atbilstoši MK noteikumu Nr. 970 14. punktam elektroniski sagatavots paziņojums par līdzdalības procesu iesniegts Valsts kancelejā publicēšanai tās tīmekļvietnē.</w:t>
            </w:r>
          </w:p>
          <w:p w14:paraId="701BD6EE" w14:textId="04B25420" w:rsidR="008E1597" w:rsidRPr="006E61C8" w:rsidRDefault="004B2C0E" w:rsidP="00952312">
            <w:pPr>
              <w:jc w:val="both"/>
              <w:rPr>
                <w:iCs/>
                <w:lang w:val="lv-LV" w:eastAsia="lv-LV"/>
              </w:rPr>
            </w:pPr>
            <w:r w:rsidRPr="004B2C0E">
              <w:rPr>
                <w:lang w:val="lv-LV"/>
              </w:rPr>
              <w:t>Noteikumu projekts elektroniski saskaņots ar Lauksaimnieku organizāciju sadarbības padomi, Zemnieku saeimu un Latvijas Biškopības biedrību.</w:t>
            </w:r>
          </w:p>
        </w:tc>
      </w:tr>
      <w:tr w:rsidR="008E1597" w:rsidRPr="00195F05" w14:paraId="0FC8A888"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705C6559" w14:textId="77777777" w:rsidR="008E1597" w:rsidRPr="000D2356" w:rsidRDefault="008E1597" w:rsidP="008E1597">
            <w:pPr>
              <w:pStyle w:val="naiskr"/>
              <w:spacing w:before="0" w:beforeAutospacing="0" w:after="0" w:afterAutospacing="0"/>
            </w:pPr>
            <w:r w:rsidRPr="000D2356">
              <w:t>2.</w:t>
            </w:r>
          </w:p>
        </w:tc>
        <w:tc>
          <w:tcPr>
            <w:tcW w:w="1406" w:type="pct"/>
          </w:tcPr>
          <w:p w14:paraId="23A90763" w14:textId="77777777" w:rsidR="008E1597" w:rsidRPr="000D2356" w:rsidRDefault="008E1597" w:rsidP="008E1597">
            <w:pPr>
              <w:pStyle w:val="naiskr"/>
              <w:spacing w:before="0" w:beforeAutospacing="0" w:after="0" w:afterAutospacing="0"/>
              <w:jc w:val="both"/>
            </w:pPr>
            <w:r w:rsidRPr="000D2356">
              <w:t>Sabiedrības līdzdalība projekta izstrādē</w:t>
            </w:r>
          </w:p>
        </w:tc>
        <w:tc>
          <w:tcPr>
            <w:tcW w:w="3286" w:type="pct"/>
          </w:tcPr>
          <w:p w14:paraId="268D24C7" w14:textId="223DB96F" w:rsidR="006541E4" w:rsidRPr="00367EA6" w:rsidRDefault="0028033B">
            <w:pPr>
              <w:pStyle w:val="naiskr"/>
              <w:spacing w:before="0" w:beforeAutospacing="0" w:after="0" w:afterAutospacing="0"/>
              <w:jc w:val="both"/>
              <w:rPr>
                <w:iCs/>
              </w:rPr>
            </w:pPr>
            <w:r w:rsidRPr="006E61C8">
              <w:rPr>
                <w:iCs/>
              </w:rPr>
              <w:t xml:space="preserve">No 2020. gada </w:t>
            </w:r>
            <w:r>
              <w:rPr>
                <w:iCs/>
              </w:rPr>
              <w:t>1</w:t>
            </w:r>
            <w:r w:rsidRPr="006E61C8">
              <w:rPr>
                <w:iCs/>
              </w:rPr>
              <w:t xml:space="preserve">3. līdz </w:t>
            </w:r>
            <w:r>
              <w:rPr>
                <w:iCs/>
              </w:rPr>
              <w:t>27</w:t>
            </w:r>
            <w:r w:rsidRPr="006E61C8">
              <w:rPr>
                <w:iCs/>
              </w:rPr>
              <w:t xml:space="preserve">. februārim </w:t>
            </w:r>
            <w:r>
              <w:rPr>
                <w:iCs/>
              </w:rPr>
              <w:t xml:space="preserve">noteikumu </w:t>
            </w:r>
            <w:r w:rsidRPr="006E61C8">
              <w:rPr>
                <w:iCs/>
              </w:rPr>
              <w:t xml:space="preserve">projekts ievietots Zemkopības ministrijas tīmekļvietnes </w:t>
            </w:r>
            <w:hyperlink r:id="rId8" w:history="1">
              <w:r w:rsidRPr="00687E2B">
                <w:rPr>
                  <w:rStyle w:val="Hipersaite"/>
                  <w:iCs/>
                </w:rPr>
                <w:t>www.zm.gov.lv</w:t>
              </w:r>
            </w:hyperlink>
            <w:r>
              <w:rPr>
                <w:iCs/>
              </w:rPr>
              <w:t xml:space="preserve"> </w:t>
            </w:r>
            <w:r w:rsidRPr="006E61C8">
              <w:rPr>
                <w:iCs/>
              </w:rPr>
              <w:t xml:space="preserve">sadaļā „Sabiedrības līdzdalība” un Ministru kabineta tīmekļvietnes sadaļā “Valsts kanceleja” – “Sabiedrības līdzdalība” </w:t>
            </w:r>
            <w:hyperlink r:id="rId9" w:history="1">
              <w:r w:rsidRPr="00687E2B">
                <w:rPr>
                  <w:rStyle w:val="Hipersaite"/>
                  <w:iCs/>
                </w:rPr>
                <w:t>https://www.mk.gov.lv/content/ministru-kabineta-diskusiju-dokumenti</w:t>
              </w:r>
            </w:hyperlink>
            <w:r w:rsidRPr="006E61C8">
              <w:rPr>
                <w:iCs/>
              </w:rPr>
              <w:t>, kur sabiedrības pārstāvji varēja sniegt viedokļus par projektu. Sabiedrības pārstāvji arī var sniegt viedokļus par projektu pēc tā izsludināšanas Valsts sekretāru sanāksmē.</w:t>
            </w:r>
          </w:p>
        </w:tc>
      </w:tr>
      <w:tr w:rsidR="00952312" w:rsidRPr="00195F05" w14:paraId="0A9678F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FF632C3" w14:textId="77777777" w:rsidR="00952312" w:rsidRPr="000D2356" w:rsidRDefault="00952312" w:rsidP="00952312">
            <w:pPr>
              <w:pStyle w:val="naiskr"/>
              <w:spacing w:before="0" w:beforeAutospacing="0" w:after="0" w:afterAutospacing="0"/>
            </w:pPr>
            <w:r w:rsidRPr="000D2356">
              <w:lastRenderedPageBreak/>
              <w:t>3.</w:t>
            </w:r>
          </w:p>
        </w:tc>
        <w:tc>
          <w:tcPr>
            <w:tcW w:w="1406" w:type="pct"/>
          </w:tcPr>
          <w:p w14:paraId="43063603" w14:textId="77777777" w:rsidR="00952312" w:rsidRPr="000D2356" w:rsidRDefault="00952312" w:rsidP="00952312">
            <w:pPr>
              <w:pStyle w:val="naiskr"/>
              <w:spacing w:before="0" w:beforeAutospacing="0" w:after="0" w:afterAutospacing="0"/>
              <w:jc w:val="both"/>
            </w:pPr>
            <w:r w:rsidRPr="000D2356">
              <w:t>Sabiedrības līdzdalības rezultāti</w:t>
            </w:r>
          </w:p>
        </w:tc>
        <w:tc>
          <w:tcPr>
            <w:tcW w:w="3286" w:type="pct"/>
          </w:tcPr>
          <w:p w14:paraId="76B120BC" w14:textId="6583E7A6" w:rsidR="00E73717" w:rsidRDefault="00E73717" w:rsidP="00E73717">
            <w:pPr>
              <w:pStyle w:val="naiskr"/>
              <w:spacing w:before="0" w:beforeAutospacing="0" w:after="0" w:afterAutospacing="0"/>
              <w:jc w:val="both"/>
            </w:pPr>
            <w:r>
              <w:t xml:space="preserve">Par tīmekļvietnē </w:t>
            </w:r>
            <w:hyperlink r:id="rId10" w:history="1">
              <w:r w:rsidR="0040676D" w:rsidRPr="00687E2B">
                <w:rPr>
                  <w:rStyle w:val="Hipersaite"/>
                </w:rPr>
                <w:t>www.zm.gov.lv</w:t>
              </w:r>
            </w:hyperlink>
            <w:r w:rsidR="0040676D">
              <w:t xml:space="preserve"> </w:t>
            </w:r>
            <w:r>
              <w:t>un Ministru kabineta tīmekļvietnes sadaļā “Valsts kanceleja” – “Sabiedrības līdzdalība” ievietoto noteikumu projektu iebildumi vai priekšlikumi netika saņemti.</w:t>
            </w:r>
          </w:p>
          <w:p w14:paraId="65DDD738" w14:textId="6E3FB80E" w:rsidR="00952312" w:rsidRPr="000D2356" w:rsidRDefault="00E73717" w:rsidP="00E73717">
            <w:pPr>
              <w:pStyle w:val="naiskr"/>
              <w:spacing w:before="0" w:beforeAutospacing="0" w:after="0" w:afterAutospacing="0"/>
              <w:jc w:val="both"/>
            </w:pPr>
            <w:r>
              <w:t>No Lauksaimnieku organizāciju sadarbības padomes</w:t>
            </w:r>
            <w:r w:rsidR="0075742C">
              <w:t xml:space="preserve">, </w:t>
            </w:r>
            <w:r>
              <w:t xml:space="preserve">Zemnieku saeimas </w:t>
            </w:r>
            <w:r w:rsidR="0075742C" w:rsidRPr="0075742C">
              <w:t>un Latvijas Biškopības biedrība</w:t>
            </w:r>
            <w:r w:rsidR="0075742C">
              <w:t>s</w:t>
            </w:r>
            <w:r w:rsidR="0075742C" w:rsidRPr="0075742C">
              <w:t xml:space="preserve"> </w:t>
            </w:r>
            <w:r>
              <w:t>par noteikumu projektu iebildumi vai priekšlikumi netika saņemti.</w:t>
            </w:r>
          </w:p>
        </w:tc>
      </w:tr>
      <w:tr w:rsidR="00952312" w:rsidRPr="001625FE" w14:paraId="62B9BB8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9AAFAE9" w14:textId="77777777" w:rsidR="00952312" w:rsidRPr="000D2356" w:rsidRDefault="00952312" w:rsidP="00952312">
            <w:pPr>
              <w:pStyle w:val="naiskr"/>
              <w:spacing w:before="0" w:beforeAutospacing="0" w:after="0" w:afterAutospacing="0"/>
            </w:pPr>
            <w:r w:rsidRPr="000D2356">
              <w:t>4.</w:t>
            </w:r>
          </w:p>
        </w:tc>
        <w:tc>
          <w:tcPr>
            <w:tcW w:w="1406" w:type="pct"/>
          </w:tcPr>
          <w:p w14:paraId="3F68A76B" w14:textId="77777777" w:rsidR="00952312" w:rsidRPr="000D2356" w:rsidRDefault="00952312" w:rsidP="00952312">
            <w:pPr>
              <w:pStyle w:val="naiskr"/>
              <w:spacing w:before="0" w:beforeAutospacing="0" w:after="0" w:afterAutospacing="0"/>
              <w:jc w:val="both"/>
            </w:pPr>
            <w:r w:rsidRPr="000D2356">
              <w:t>Cita informācija</w:t>
            </w:r>
          </w:p>
        </w:tc>
        <w:tc>
          <w:tcPr>
            <w:tcW w:w="3286" w:type="pct"/>
          </w:tcPr>
          <w:p w14:paraId="2CEB877E" w14:textId="77777777" w:rsidR="00952312" w:rsidRPr="000D2356" w:rsidRDefault="00952312" w:rsidP="00952312">
            <w:pPr>
              <w:pStyle w:val="naisc"/>
              <w:spacing w:before="0" w:beforeAutospacing="0" w:after="0" w:afterAutospacing="0"/>
              <w:jc w:val="left"/>
              <w:rPr>
                <w:sz w:val="24"/>
                <w:szCs w:val="24"/>
                <w:lang w:val="lv-LV"/>
              </w:rPr>
            </w:pPr>
            <w:r w:rsidRPr="000D2356">
              <w:rPr>
                <w:sz w:val="24"/>
                <w:szCs w:val="24"/>
                <w:lang w:val="lv-LV"/>
              </w:rPr>
              <w:t>Nav</w:t>
            </w:r>
            <w:r w:rsidR="00A741F4">
              <w:rPr>
                <w:sz w:val="24"/>
                <w:szCs w:val="24"/>
                <w:lang w:val="lv-LV"/>
              </w:rPr>
              <w:t>.</w:t>
            </w:r>
          </w:p>
        </w:tc>
      </w:tr>
      <w:tr w:rsidR="00952312" w:rsidRPr="000D2356" w14:paraId="00C12F54"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0A5BD9DA" w14:textId="77777777" w:rsidR="00952312" w:rsidRPr="000D2356" w:rsidRDefault="00952312" w:rsidP="00952312">
            <w:pPr>
              <w:jc w:val="center"/>
              <w:rPr>
                <w:b/>
                <w:bCs/>
                <w:lang w:val="lv-LV" w:eastAsia="lv-LV"/>
              </w:rPr>
            </w:pPr>
            <w:r w:rsidRPr="000D2356">
              <w:rPr>
                <w:b/>
                <w:bCs/>
                <w:lang w:val="lv-LV" w:eastAsia="lv-LV"/>
              </w:rPr>
              <w:t>VII. Tiesību akta projekta izpildes nodrošināšana un tās ietekme uz institūcijām</w:t>
            </w:r>
          </w:p>
        </w:tc>
      </w:tr>
      <w:tr w:rsidR="00952312" w:rsidRPr="002A735D" w14:paraId="66A222E7" w14:textId="77777777" w:rsidTr="009E2709">
        <w:tc>
          <w:tcPr>
            <w:tcW w:w="0" w:type="auto"/>
            <w:tcBorders>
              <w:top w:val="outset" w:sz="6" w:space="0" w:color="000000"/>
              <w:left w:val="outset" w:sz="6" w:space="0" w:color="000000"/>
              <w:bottom w:val="outset" w:sz="6" w:space="0" w:color="000000"/>
              <w:right w:val="outset" w:sz="6" w:space="0" w:color="000000"/>
            </w:tcBorders>
          </w:tcPr>
          <w:p w14:paraId="0E4166A9" w14:textId="77777777" w:rsidR="00952312" w:rsidRPr="000D2356" w:rsidRDefault="00952312" w:rsidP="00952312">
            <w:pPr>
              <w:rPr>
                <w:lang w:val="lv-LV" w:eastAsia="lv-LV"/>
              </w:rPr>
            </w:pPr>
            <w:r w:rsidRPr="000D2356">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7E0C1D43" w14:textId="77777777" w:rsidR="00952312" w:rsidRPr="000D2356" w:rsidRDefault="00952312" w:rsidP="00952312">
            <w:pPr>
              <w:jc w:val="both"/>
              <w:rPr>
                <w:lang w:val="lv-LV" w:eastAsia="lv-LV"/>
              </w:rPr>
            </w:pPr>
            <w:r w:rsidRPr="000D2356">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31CB7DB4" w14:textId="01B43C5B" w:rsidR="00952312" w:rsidRPr="000D2356" w:rsidRDefault="00F326ED" w:rsidP="00EF19EF">
            <w:pPr>
              <w:pStyle w:val="Kjene"/>
              <w:tabs>
                <w:tab w:val="clear" w:pos="4153"/>
                <w:tab w:val="clear" w:pos="8306"/>
              </w:tabs>
              <w:snapToGrid/>
              <w:jc w:val="both"/>
              <w:rPr>
                <w:rFonts w:ascii="Times New Roman" w:hAnsi="Times New Roman"/>
                <w:sz w:val="24"/>
                <w:szCs w:val="24"/>
              </w:rPr>
            </w:pPr>
            <w:r>
              <w:rPr>
                <w:rFonts w:ascii="Times New Roman" w:hAnsi="Times New Roman"/>
                <w:iCs/>
                <w:sz w:val="24"/>
                <w:szCs w:val="24"/>
                <w:lang w:eastAsia="lv-LV"/>
              </w:rPr>
              <w:t>Lauku atbalsta</w:t>
            </w:r>
            <w:r w:rsidR="00952312" w:rsidRPr="000D2356">
              <w:rPr>
                <w:rFonts w:ascii="Times New Roman" w:hAnsi="Times New Roman"/>
                <w:iCs/>
                <w:sz w:val="24"/>
                <w:szCs w:val="24"/>
                <w:lang w:eastAsia="lv-LV"/>
              </w:rPr>
              <w:t xml:space="preserve"> dienests</w:t>
            </w:r>
            <w:r w:rsidR="00EF19EF">
              <w:rPr>
                <w:rFonts w:ascii="Times New Roman" w:hAnsi="Times New Roman"/>
                <w:iCs/>
                <w:sz w:val="24"/>
                <w:szCs w:val="24"/>
                <w:lang w:eastAsia="lv-LV"/>
              </w:rPr>
              <w:t xml:space="preserve"> </w:t>
            </w:r>
          </w:p>
        </w:tc>
      </w:tr>
      <w:tr w:rsidR="00952312" w:rsidRPr="006C69A6" w14:paraId="48251F24" w14:textId="77777777" w:rsidTr="009E2709">
        <w:tc>
          <w:tcPr>
            <w:tcW w:w="0" w:type="auto"/>
            <w:tcBorders>
              <w:top w:val="outset" w:sz="6" w:space="0" w:color="000000"/>
              <w:left w:val="outset" w:sz="6" w:space="0" w:color="000000"/>
              <w:bottom w:val="outset" w:sz="6" w:space="0" w:color="000000"/>
              <w:right w:val="outset" w:sz="6" w:space="0" w:color="000000"/>
            </w:tcBorders>
          </w:tcPr>
          <w:p w14:paraId="7521E0D1" w14:textId="77777777" w:rsidR="00952312" w:rsidRPr="000D2356" w:rsidRDefault="00952312" w:rsidP="00952312">
            <w:pPr>
              <w:rPr>
                <w:lang w:val="lv-LV" w:eastAsia="lv-LV"/>
              </w:rPr>
            </w:pPr>
            <w:r w:rsidRPr="000D2356">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2FBA9728" w14:textId="77777777" w:rsidR="00952312" w:rsidRPr="000D2356" w:rsidRDefault="00952312" w:rsidP="00952312">
            <w:pPr>
              <w:jc w:val="both"/>
              <w:rPr>
                <w:lang w:val="lv-LV"/>
              </w:rPr>
            </w:pPr>
            <w:r w:rsidRPr="000D2356">
              <w:rPr>
                <w:lang w:val="lv-LV"/>
              </w:rPr>
              <w:t xml:space="preserve">Projekta izpildes ietekme uz pārvaldes funkcijām un institucionālo struktūru. </w:t>
            </w:r>
          </w:p>
          <w:p w14:paraId="24459C4B" w14:textId="77777777" w:rsidR="00952312" w:rsidRPr="000D2356" w:rsidRDefault="00952312" w:rsidP="00952312">
            <w:pPr>
              <w:jc w:val="both"/>
              <w:rPr>
                <w:lang w:val="lv-LV"/>
              </w:rPr>
            </w:pPr>
            <w:r w:rsidRPr="000D2356">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1D89BD05" w14:textId="3A0CC6DA" w:rsidR="00952312" w:rsidRPr="000D2356" w:rsidRDefault="00CB0E1A" w:rsidP="00952312">
            <w:pPr>
              <w:pStyle w:val="naiskr"/>
              <w:spacing w:before="0" w:beforeAutospacing="0" w:after="0" w:afterAutospacing="0"/>
              <w:jc w:val="both"/>
            </w:pPr>
            <w:r w:rsidRPr="00CB0E1A">
              <w:rPr>
                <w:iCs/>
              </w:rPr>
              <w:t>Saistībā ar noteikumu projekta izpildi nav nepieciešams veidot jaunas, ne arī likvidēt vai reorganizēt esošas institūcijas. Noteikumu projekta izpilde neietekmēs institūcijām pieejamos cilvēkresursus.</w:t>
            </w:r>
          </w:p>
        </w:tc>
      </w:tr>
      <w:tr w:rsidR="00952312" w:rsidRPr="000D2356" w14:paraId="27C28CF4" w14:textId="77777777" w:rsidTr="009E2709">
        <w:tc>
          <w:tcPr>
            <w:tcW w:w="0" w:type="auto"/>
            <w:tcBorders>
              <w:top w:val="outset" w:sz="6" w:space="0" w:color="000000"/>
              <w:left w:val="outset" w:sz="6" w:space="0" w:color="000000"/>
              <w:bottom w:val="outset" w:sz="6" w:space="0" w:color="000000"/>
              <w:right w:val="outset" w:sz="6" w:space="0" w:color="000000"/>
            </w:tcBorders>
          </w:tcPr>
          <w:p w14:paraId="53287601" w14:textId="77777777" w:rsidR="00952312" w:rsidRPr="000D2356" w:rsidRDefault="00952312" w:rsidP="00952312">
            <w:pPr>
              <w:rPr>
                <w:lang w:val="lv-LV" w:eastAsia="lv-LV"/>
              </w:rPr>
            </w:pPr>
            <w:r w:rsidRPr="000D2356">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5243DA9B" w14:textId="77777777" w:rsidR="00952312" w:rsidRPr="000D2356" w:rsidRDefault="00952312" w:rsidP="00952312">
            <w:pPr>
              <w:jc w:val="both"/>
              <w:rPr>
                <w:lang w:val="lv-LV" w:eastAsia="lv-LV"/>
              </w:rPr>
            </w:pPr>
            <w:r w:rsidRPr="000D2356">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102648C6" w14:textId="77777777" w:rsidR="00952312" w:rsidRPr="000D2356" w:rsidRDefault="00952312" w:rsidP="00952312">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Nav</w:t>
            </w:r>
            <w:r w:rsidR="00EF19EF">
              <w:rPr>
                <w:rFonts w:ascii="Times New Roman" w:hAnsi="Times New Roman"/>
                <w:iCs/>
                <w:sz w:val="24"/>
                <w:szCs w:val="24"/>
                <w:lang w:eastAsia="lv-LV"/>
              </w:rPr>
              <w:t>.</w:t>
            </w:r>
          </w:p>
        </w:tc>
      </w:tr>
    </w:tbl>
    <w:p w14:paraId="6CB1EBA2" w14:textId="5236A0C7" w:rsidR="00FF04BF" w:rsidRDefault="00FF04BF" w:rsidP="0020766E">
      <w:pPr>
        <w:jc w:val="both"/>
        <w:rPr>
          <w:sz w:val="28"/>
          <w:szCs w:val="28"/>
          <w:lang w:val="lv-LV"/>
        </w:rPr>
      </w:pPr>
    </w:p>
    <w:p w14:paraId="14C2C458" w14:textId="77777777" w:rsidR="00195F05" w:rsidRDefault="00195F05" w:rsidP="0020766E">
      <w:pPr>
        <w:jc w:val="both"/>
        <w:rPr>
          <w:sz w:val="28"/>
          <w:szCs w:val="28"/>
          <w:lang w:val="lv-LV"/>
        </w:rPr>
      </w:pPr>
    </w:p>
    <w:p w14:paraId="079935BC" w14:textId="77777777" w:rsidR="00FF04BF" w:rsidRDefault="00FF04BF" w:rsidP="00D64AFC">
      <w:pPr>
        <w:ind w:firstLine="720"/>
        <w:jc w:val="both"/>
        <w:rPr>
          <w:sz w:val="28"/>
          <w:szCs w:val="28"/>
          <w:lang w:val="lv-LV"/>
        </w:rPr>
      </w:pPr>
    </w:p>
    <w:p w14:paraId="2620D3C8" w14:textId="1E3EE8F1" w:rsidR="00D57BBF" w:rsidRPr="00FF04BF" w:rsidRDefault="00FF4CF3" w:rsidP="00D64AFC">
      <w:pPr>
        <w:ind w:firstLine="720"/>
        <w:jc w:val="both"/>
        <w:rPr>
          <w:sz w:val="28"/>
          <w:szCs w:val="28"/>
          <w:lang w:val="lv-LV"/>
        </w:rPr>
      </w:pPr>
      <w:r w:rsidRPr="00FF04BF">
        <w:rPr>
          <w:sz w:val="28"/>
          <w:szCs w:val="28"/>
          <w:lang w:val="lv-LV"/>
        </w:rPr>
        <w:t>Zemkopības</w:t>
      </w:r>
      <w:r w:rsidR="004C4108" w:rsidRPr="00FF04BF">
        <w:rPr>
          <w:sz w:val="28"/>
          <w:szCs w:val="28"/>
          <w:lang w:val="lv-LV"/>
        </w:rPr>
        <w:t xml:space="preserve"> ministr</w:t>
      </w:r>
      <w:r w:rsidR="000B6D9F" w:rsidRPr="00FF04BF">
        <w:rPr>
          <w:sz w:val="28"/>
          <w:szCs w:val="28"/>
          <w:lang w:val="lv-LV"/>
        </w:rPr>
        <w:t>s</w:t>
      </w:r>
      <w:r w:rsidR="00A22819" w:rsidRPr="00FF04BF">
        <w:rPr>
          <w:sz w:val="28"/>
          <w:szCs w:val="28"/>
          <w:lang w:val="lv-LV"/>
        </w:rPr>
        <w:tab/>
      </w:r>
      <w:r w:rsidR="00A22819" w:rsidRPr="00FF04BF">
        <w:rPr>
          <w:sz w:val="28"/>
          <w:szCs w:val="28"/>
          <w:lang w:val="lv-LV"/>
        </w:rPr>
        <w:tab/>
      </w:r>
      <w:r w:rsidR="00A22819" w:rsidRPr="00FF04BF">
        <w:rPr>
          <w:sz w:val="28"/>
          <w:szCs w:val="28"/>
          <w:lang w:val="lv-LV"/>
        </w:rPr>
        <w:tab/>
      </w:r>
      <w:r w:rsidR="00A22819" w:rsidRPr="00FF04BF">
        <w:rPr>
          <w:sz w:val="28"/>
          <w:szCs w:val="28"/>
          <w:lang w:val="lv-LV"/>
        </w:rPr>
        <w:tab/>
      </w:r>
      <w:r w:rsidR="005F4E6A" w:rsidRPr="00FF04BF">
        <w:rPr>
          <w:sz w:val="28"/>
          <w:szCs w:val="28"/>
          <w:lang w:val="lv-LV"/>
        </w:rPr>
        <w:tab/>
      </w:r>
      <w:r w:rsidR="00105AE2" w:rsidRPr="00FF04BF">
        <w:rPr>
          <w:sz w:val="28"/>
          <w:szCs w:val="28"/>
          <w:lang w:val="lv-LV"/>
        </w:rPr>
        <w:tab/>
      </w:r>
      <w:r w:rsidR="00842670" w:rsidRPr="00FF04BF">
        <w:rPr>
          <w:sz w:val="28"/>
          <w:szCs w:val="28"/>
          <w:lang w:val="lv-LV"/>
        </w:rPr>
        <w:t xml:space="preserve">K. </w:t>
      </w:r>
      <w:r w:rsidR="004C4108" w:rsidRPr="00FF04BF">
        <w:rPr>
          <w:sz w:val="28"/>
          <w:szCs w:val="28"/>
          <w:lang w:val="lv-LV"/>
        </w:rPr>
        <w:t>Gerhards</w:t>
      </w:r>
    </w:p>
    <w:p w14:paraId="20CEF0FE" w14:textId="77777777" w:rsidR="00FF04BF" w:rsidRDefault="00FF04BF" w:rsidP="00CD0CD4">
      <w:pPr>
        <w:tabs>
          <w:tab w:val="left" w:pos="7513"/>
        </w:tabs>
        <w:jc w:val="both"/>
        <w:rPr>
          <w:lang w:val="lv-LV" w:eastAsia="lv-LV"/>
        </w:rPr>
      </w:pPr>
    </w:p>
    <w:p w14:paraId="07D396C3" w14:textId="77777777" w:rsidR="00FF04BF" w:rsidRDefault="00FF04BF" w:rsidP="00CD0CD4">
      <w:pPr>
        <w:tabs>
          <w:tab w:val="left" w:pos="7513"/>
        </w:tabs>
        <w:jc w:val="both"/>
        <w:rPr>
          <w:lang w:val="lv-LV" w:eastAsia="lv-LV"/>
        </w:rPr>
      </w:pPr>
    </w:p>
    <w:p w14:paraId="74FB90F6" w14:textId="77777777" w:rsidR="00FF04BF" w:rsidRDefault="00FF04BF" w:rsidP="00CD0CD4">
      <w:pPr>
        <w:tabs>
          <w:tab w:val="left" w:pos="7513"/>
        </w:tabs>
        <w:jc w:val="both"/>
        <w:rPr>
          <w:lang w:val="lv-LV" w:eastAsia="lv-LV"/>
        </w:rPr>
      </w:pPr>
    </w:p>
    <w:p w14:paraId="62D9EEB4" w14:textId="3E7B7651" w:rsidR="00FF04BF" w:rsidRDefault="00FF04BF" w:rsidP="00CD0CD4">
      <w:pPr>
        <w:tabs>
          <w:tab w:val="left" w:pos="7513"/>
        </w:tabs>
        <w:jc w:val="both"/>
        <w:rPr>
          <w:lang w:val="lv-LV" w:eastAsia="lv-LV"/>
        </w:rPr>
      </w:pPr>
    </w:p>
    <w:p w14:paraId="2176DD97" w14:textId="77777777" w:rsidR="00E7361A" w:rsidRDefault="00E7361A" w:rsidP="00CD0CD4">
      <w:pPr>
        <w:tabs>
          <w:tab w:val="left" w:pos="7513"/>
        </w:tabs>
        <w:jc w:val="both"/>
        <w:rPr>
          <w:lang w:val="lv-LV" w:eastAsia="lv-LV"/>
        </w:rPr>
      </w:pPr>
    </w:p>
    <w:p w14:paraId="07672615" w14:textId="77777777" w:rsidR="00195F05" w:rsidRDefault="00195F05" w:rsidP="00CD0CD4">
      <w:pPr>
        <w:tabs>
          <w:tab w:val="left" w:pos="7513"/>
        </w:tabs>
        <w:jc w:val="both"/>
        <w:rPr>
          <w:lang w:val="lv-LV" w:eastAsia="lv-LV"/>
        </w:rPr>
      </w:pPr>
    </w:p>
    <w:p w14:paraId="1DF36760" w14:textId="77777777" w:rsidR="00195F05" w:rsidRDefault="00195F05" w:rsidP="00CD0CD4">
      <w:pPr>
        <w:tabs>
          <w:tab w:val="left" w:pos="7513"/>
        </w:tabs>
        <w:jc w:val="both"/>
        <w:rPr>
          <w:lang w:val="lv-LV" w:eastAsia="lv-LV"/>
        </w:rPr>
      </w:pPr>
    </w:p>
    <w:p w14:paraId="0C2ACB0A" w14:textId="77777777" w:rsidR="00195F05" w:rsidRDefault="00195F05" w:rsidP="00CD0CD4">
      <w:pPr>
        <w:tabs>
          <w:tab w:val="left" w:pos="7513"/>
        </w:tabs>
        <w:jc w:val="both"/>
        <w:rPr>
          <w:lang w:val="lv-LV" w:eastAsia="lv-LV"/>
        </w:rPr>
      </w:pPr>
    </w:p>
    <w:p w14:paraId="2607650D" w14:textId="77777777" w:rsidR="00195F05" w:rsidRDefault="00195F05" w:rsidP="00CD0CD4">
      <w:pPr>
        <w:tabs>
          <w:tab w:val="left" w:pos="7513"/>
        </w:tabs>
        <w:jc w:val="both"/>
        <w:rPr>
          <w:lang w:val="lv-LV" w:eastAsia="lv-LV"/>
        </w:rPr>
      </w:pPr>
    </w:p>
    <w:p w14:paraId="4C5823EF" w14:textId="77777777" w:rsidR="00195F05" w:rsidRDefault="00195F05" w:rsidP="00CD0CD4">
      <w:pPr>
        <w:tabs>
          <w:tab w:val="left" w:pos="7513"/>
        </w:tabs>
        <w:jc w:val="both"/>
        <w:rPr>
          <w:lang w:val="lv-LV" w:eastAsia="lv-LV"/>
        </w:rPr>
      </w:pPr>
    </w:p>
    <w:p w14:paraId="57596E90" w14:textId="77777777" w:rsidR="00195F05" w:rsidRDefault="00195F05" w:rsidP="00CD0CD4">
      <w:pPr>
        <w:tabs>
          <w:tab w:val="left" w:pos="7513"/>
        </w:tabs>
        <w:jc w:val="both"/>
        <w:rPr>
          <w:lang w:val="lv-LV" w:eastAsia="lv-LV"/>
        </w:rPr>
      </w:pPr>
    </w:p>
    <w:p w14:paraId="43415C37" w14:textId="77777777" w:rsidR="00195F05" w:rsidRDefault="00195F05" w:rsidP="00CD0CD4">
      <w:pPr>
        <w:tabs>
          <w:tab w:val="left" w:pos="7513"/>
        </w:tabs>
        <w:jc w:val="both"/>
        <w:rPr>
          <w:lang w:val="lv-LV" w:eastAsia="lv-LV"/>
        </w:rPr>
      </w:pPr>
    </w:p>
    <w:p w14:paraId="46D31D15" w14:textId="77777777" w:rsidR="00195F05" w:rsidRDefault="00195F05" w:rsidP="00CD0CD4">
      <w:pPr>
        <w:tabs>
          <w:tab w:val="left" w:pos="7513"/>
        </w:tabs>
        <w:jc w:val="both"/>
        <w:rPr>
          <w:lang w:val="lv-LV" w:eastAsia="lv-LV"/>
        </w:rPr>
      </w:pPr>
    </w:p>
    <w:p w14:paraId="699A44C8" w14:textId="77777777" w:rsidR="00195F05" w:rsidRDefault="00195F05" w:rsidP="00CD0CD4">
      <w:pPr>
        <w:tabs>
          <w:tab w:val="left" w:pos="7513"/>
        </w:tabs>
        <w:jc w:val="both"/>
        <w:rPr>
          <w:lang w:val="lv-LV" w:eastAsia="lv-LV"/>
        </w:rPr>
      </w:pPr>
    </w:p>
    <w:p w14:paraId="7D7B7551" w14:textId="2C0F7F7A" w:rsidR="00CD0CD4" w:rsidRPr="00FF04BF" w:rsidRDefault="00CD0CD4" w:rsidP="00CD0CD4">
      <w:pPr>
        <w:tabs>
          <w:tab w:val="left" w:pos="7513"/>
        </w:tabs>
        <w:jc w:val="both"/>
        <w:rPr>
          <w:lang w:val="lv-LV" w:eastAsia="lv-LV"/>
        </w:rPr>
      </w:pPr>
      <w:bookmarkStart w:id="4" w:name="_GoBack"/>
      <w:bookmarkEnd w:id="4"/>
      <w:r w:rsidRPr="00FF04BF">
        <w:rPr>
          <w:lang w:val="lv-LV" w:eastAsia="lv-LV"/>
        </w:rPr>
        <w:t>Lavrinovi</w:t>
      </w:r>
      <w:r w:rsidR="00D64AFC" w:rsidRPr="00FF04BF">
        <w:rPr>
          <w:lang w:val="lv-LV" w:eastAsia="lv-LV"/>
        </w:rPr>
        <w:t>č</w:t>
      </w:r>
      <w:r w:rsidRPr="00FF04BF">
        <w:rPr>
          <w:lang w:val="lv-LV" w:eastAsia="lv-LV"/>
        </w:rPr>
        <w:t>a</w:t>
      </w:r>
      <w:r w:rsidR="00FF04BF">
        <w:rPr>
          <w:lang w:val="lv-LV" w:eastAsia="lv-LV"/>
        </w:rPr>
        <w:t xml:space="preserve"> </w:t>
      </w:r>
      <w:r w:rsidRPr="00FF04BF">
        <w:rPr>
          <w:lang w:val="lv-LV" w:eastAsia="lv-LV"/>
        </w:rPr>
        <w:t>67027528</w:t>
      </w:r>
    </w:p>
    <w:p w14:paraId="6C2A9D08" w14:textId="410D4CC1" w:rsidR="00C20792" w:rsidRPr="00FF04BF" w:rsidRDefault="00195F05" w:rsidP="00392F6E">
      <w:pPr>
        <w:jc w:val="both"/>
        <w:rPr>
          <w:lang w:val="lv-LV" w:eastAsia="lv-LV"/>
        </w:rPr>
      </w:pPr>
      <w:hyperlink r:id="rId11" w:history="1">
        <w:r w:rsidR="00CD0CD4" w:rsidRPr="00FF04BF">
          <w:rPr>
            <w:color w:val="0000FF"/>
            <w:u w:val="single"/>
            <w:lang w:val="lv-LV" w:eastAsia="lv-LV"/>
          </w:rPr>
          <w:t>ineta.lavrinovica@zm.gov.lv</w:t>
        </w:r>
      </w:hyperlink>
    </w:p>
    <w:sectPr w:rsidR="00C20792" w:rsidRPr="00FF04BF" w:rsidSect="00195F05">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359D" w14:textId="77777777" w:rsidR="0058521C" w:rsidRDefault="0058521C">
      <w:r>
        <w:separator/>
      </w:r>
    </w:p>
  </w:endnote>
  <w:endnote w:type="continuationSeparator" w:id="0">
    <w:p w14:paraId="7EF67149" w14:textId="77777777" w:rsidR="0058521C" w:rsidRDefault="0058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Calibri"/>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F28C" w14:textId="347A485B" w:rsidR="00AD6683" w:rsidRPr="00195F05" w:rsidRDefault="00195F05" w:rsidP="00195F05">
    <w:pPr>
      <w:pStyle w:val="Kjene"/>
    </w:pPr>
    <w:r w:rsidRPr="00195F05">
      <w:rPr>
        <w:rFonts w:ascii="Times New Roman" w:hAnsi="Times New Roman"/>
        <w:sz w:val="20"/>
      </w:rPr>
      <w:t>ZManot_110620_atb_biskop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BA17" w14:textId="0D7CC8C6" w:rsidR="00AD6683" w:rsidRPr="00195F05" w:rsidRDefault="00195F05" w:rsidP="00195F05">
    <w:pPr>
      <w:pStyle w:val="Kjene"/>
    </w:pPr>
    <w:r w:rsidRPr="00195F05">
      <w:rPr>
        <w:rFonts w:ascii="Times New Roman" w:hAnsi="Times New Roman"/>
        <w:sz w:val="20"/>
      </w:rPr>
      <w:t>ZManot_110620_atb_biskop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61B3" w14:textId="77777777" w:rsidR="0058521C" w:rsidRDefault="0058521C">
      <w:r>
        <w:separator/>
      </w:r>
    </w:p>
  </w:footnote>
  <w:footnote w:type="continuationSeparator" w:id="0">
    <w:p w14:paraId="26AD2A32" w14:textId="77777777" w:rsidR="0058521C" w:rsidRDefault="0058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349E" w14:textId="77777777" w:rsidR="00AD6683" w:rsidRDefault="00AD668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0A5CDB" w14:textId="77777777" w:rsidR="00AD6683" w:rsidRDefault="00AD668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5DC3" w14:textId="77777777" w:rsidR="00AD6683" w:rsidRDefault="00AD668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F2A93">
      <w:rPr>
        <w:rStyle w:val="Lappusesnumurs"/>
        <w:noProof/>
      </w:rPr>
      <w:t>11</w:t>
    </w:r>
    <w:r>
      <w:rPr>
        <w:rStyle w:val="Lappusesnumurs"/>
      </w:rPr>
      <w:fldChar w:fldCharType="end"/>
    </w:r>
  </w:p>
  <w:p w14:paraId="1033D4F0" w14:textId="77777777" w:rsidR="00AD6683" w:rsidRDefault="00AD668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E35"/>
    <w:multiLevelType w:val="hybridMultilevel"/>
    <w:tmpl w:val="2AD0BA1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3952388"/>
    <w:multiLevelType w:val="hybridMultilevel"/>
    <w:tmpl w:val="B088F6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F7A3B"/>
    <w:multiLevelType w:val="hybridMultilevel"/>
    <w:tmpl w:val="FC36269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80ACA"/>
    <w:multiLevelType w:val="hybridMultilevel"/>
    <w:tmpl w:val="171AB16A"/>
    <w:lvl w:ilvl="0" w:tplc="4F1A25A2">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5947AA"/>
    <w:multiLevelType w:val="hybridMultilevel"/>
    <w:tmpl w:val="5F2468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9552D44"/>
    <w:multiLevelType w:val="hybridMultilevel"/>
    <w:tmpl w:val="DB44595A"/>
    <w:lvl w:ilvl="0" w:tplc="B7D4C84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3CE73B3C"/>
    <w:multiLevelType w:val="hybridMultilevel"/>
    <w:tmpl w:val="F3B4F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B53DC7"/>
    <w:multiLevelType w:val="hybridMultilevel"/>
    <w:tmpl w:val="CD5E1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C510DF"/>
    <w:multiLevelType w:val="hybridMultilevel"/>
    <w:tmpl w:val="69A67A7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563B655D"/>
    <w:multiLevelType w:val="hybridMultilevel"/>
    <w:tmpl w:val="5978ED3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5"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B853B0"/>
    <w:multiLevelType w:val="hybridMultilevel"/>
    <w:tmpl w:val="85D25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19"/>
  </w:num>
  <w:num w:numId="4">
    <w:abstractNumId w:val="15"/>
  </w:num>
  <w:num w:numId="5">
    <w:abstractNumId w:val="11"/>
  </w:num>
  <w:num w:numId="6">
    <w:abstractNumId w:val="6"/>
  </w:num>
  <w:num w:numId="7">
    <w:abstractNumId w:val="14"/>
  </w:num>
  <w:num w:numId="8">
    <w:abstractNumId w:val="12"/>
  </w:num>
  <w:num w:numId="9">
    <w:abstractNumId w:val="16"/>
  </w:num>
  <w:num w:numId="10">
    <w:abstractNumId w:val="8"/>
  </w:num>
  <w:num w:numId="11">
    <w:abstractNumId w:val="1"/>
  </w:num>
  <w:num w:numId="12">
    <w:abstractNumId w:val="18"/>
  </w:num>
  <w:num w:numId="13">
    <w:abstractNumId w:val="7"/>
  </w:num>
  <w:num w:numId="14">
    <w:abstractNumId w:val="5"/>
  </w:num>
  <w:num w:numId="15">
    <w:abstractNumId w:val="9"/>
  </w:num>
  <w:num w:numId="16">
    <w:abstractNumId w:val="10"/>
  </w:num>
  <w:num w:numId="17">
    <w:abstractNumId w:val="13"/>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8D"/>
    <w:rsid w:val="00001CFA"/>
    <w:rsid w:val="000030F6"/>
    <w:rsid w:val="00003470"/>
    <w:rsid w:val="0000457F"/>
    <w:rsid w:val="00004B99"/>
    <w:rsid w:val="00011500"/>
    <w:rsid w:val="0001274B"/>
    <w:rsid w:val="00012847"/>
    <w:rsid w:val="00013B79"/>
    <w:rsid w:val="00014782"/>
    <w:rsid w:val="00014A71"/>
    <w:rsid w:val="000168B7"/>
    <w:rsid w:val="0002330F"/>
    <w:rsid w:val="000238EF"/>
    <w:rsid w:val="0002456C"/>
    <w:rsid w:val="00024B2B"/>
    <w:rsid w:val="00026D31"/>
    <w:rsid w:val="0003130D"/>
    <w:rsid w:val="000323C9"/>
    <w:rsid w:val="00032DD1"/>
    <w:rsid w:val="00034F8D"/>
    <w:rsid w:val="00035AEC"/>
    <w:rsid w:val="00037C03"/>
    <w:rsid w:val="00040105"/>
    <w:rsid w:val="00040B9B"/>
    <w:rsid w:val="00042DEB"/>
    <w:rsid w:val="00043915"/>
    <w:rsid w:val="00045218"/>
    <w:rsid w:val="000463AC"/>
    <w:rsid w:val="000464F6"/>
    <w:rsid w:val="000476BD"/>
    <w:rsid w:val="00047A80"/>
    <w:rsid w:val="00050BDD"/>
    <w:rsid w:val="00050F7A"/>
    <w:rsid w:val="0005420C"/>
    <w:rsid w:val="00054536"/>
    <w:rsid w:val="000546D5"/>
    <w:rsid w:val="00056608"/>
    <w:rsid w:val="00056991"/>
    <w:rsid w:val="00057FBC"/>
    <w:rsid w:val="0006719B"/>
    <w:rsid w:val="00070BEE"/>
    <w:rsid w:val="00071B4F"/>
    <w:rsid w:val="0007255F"/>
    <w:rsid w:val="00072622"/>
    <w:rsid w:val="00074423"/>
    <w:rsid w:val="00074D2A"/>
    <w:rsid w:val="0007562F"/>
    <w:rsid w:val="00075C44"/>
    <w:rsid w:val="0007746D"/>
    <w:rsid w:val="00077EA4"/>
    <w:rsid w:val="00081283"/>
    <w:rsid w:val="000817A3"/>
    <w:rsid w:val="000822FF"/>
    <w:rsid w:val="000828B5"/>
    <w:rsid w:val="0008293B"/>
    <w:rsid w:val="00082B53"/>
    <w:rsid w:val="00083281"/>
    <w:rsid w:val="000837D7"/>
    <w:rsid w:val="00083CAC"/>
    <w:rsid w:val="0008664A"/>
    <w:rsid w:val="00086B19"/>
    <w:rsid w:val="00090B67"/>
    <w:rsid w:val="0009142B"/>
    <w:rsid w:val="000919A8"/>
    <w:rsid w:val="00093483"/>
    <w:rsid w:val="00093E3F"/>
    <w:rsid w:val="00095D8C"/>
    <w:rsid w:val="00096D79"/>
    <w:rsid w:val="000A19E2"/>
    <w:rsid w:val="000A1E21"/>
    <w:rsid w:val="000A2AA7"/>
    <w:rsid w:val="000A2CED"/>
    <w:rsid w:val="000A48F4"/>
    <w:rsid w:val="000A4ED3"/>
    <w:rsid w:val="000A5652"/>
    <w:rsid w:val="000A5C26"/>
    <w:rsid w:val="000A67CD"/>
    <w:rsid w:val="000A69A4"/>
    <w:rsid w:val="000A6DF3"/>
    <w:rsid w:val="000A6E94"/>
    <w:rsid w:val="000B076F"/>
    <w:rsid w:val="000B20FD"/>
    <w:rsid w:val="000B32EF"/>
    <w:rsid w:val="000B3D3E"/>
    <w:rsid w:val="000B57B4"/>
    <w:rsid w:val="000B5EAD"/>
    <w:rsid w:val="000B6D9F"/>
    <w:rsid w:val="000B6E96"/>
    <w:rsid w:val="000B77B7"/>
    <w:rsid w:val="000B7AB8"/>
    <w:rsid w:val="000C0846"/>
    <w:rsid w:val="000C0FA7"/>
    <w:rsid w:val="000C1E85"/>
    <w:rsid w:val="000C3C3C"/>
    <w:rsid w:val="000C5D0D"/>
    <w:rsid w:val="000D0329"/>
    <w:rsid w:val="000D0616"/>
    <w:rsid w:val="000D0D10"/>
    <w:rsid w:val="000D2356"/>
    <w:rsid w:val="000D3B4D"/>
    <w:rsid w:val="000D51C7"/>
    <w:rsid w:val="000D57DA"/>
    <w:rsid w:val="000E27A2"/>
    <w:rsid w:val="000E3DB2"/>
    <w:rsid w:val="000E4067"/>
    <w:rsid w:val="000E47D5"/>
    <w:rsid w:val="000E5F80"/>
    <w:rsid w:val="000E6933"/>
    <w:rsid w:val="000E75D1"/>
    <w:rsid w:val="000F01FC"/>
    <w:rsid w:val="000F0966"/>
    <w:rsid w:val="000F2EB4"/>
    <w:rsid w:val="000F32C8"/>
    <w:rsid w:val="000F3E60"/>
    <w:rsid w:val="000F42EA"/>
    <w:rsid w:val="000F5ACC"/>
    <w:rsid w:val="000F6EDE"/>
    <w:rsid w:val="000F736E"/>
    <w:rsid w:val="00100B1F"/>
    <w:rsid w:val="00100FE3"/>
    <w:rsid w:val="001017AD"/>
    <w:rsid w:val="00101DE0"/>
    <w:rsid w:val="00101E0B"/>
    <w:rsid w:val="00103AD7"/>
    <w:rsid w:val="00103D1B"/>
    <w:rsid w:val="00104349"/>
    <w:rsid w:val="00105AE2"/>
    <w:rsid w:val="00105B67"/>
    <w:rsid w:val="0010612F"/>
    <w:rsid w:val="00106E4A"/>
    <w:rsid w:val="00110558"/>
    <w:rsid w:val="0011310D"/>
    <w:rsid w:val="00113DD0"/>
    <w:rsid w:val="00115939"/>
    <w:rsid w:val="00116784"/>
    <w:rsid w:val="001177FE"/>
    <w:rsid w:val="001178E3"/>
    <w:rsid w:val="00120730"/>
    <w:rsid w:val="001223BD"/>
    <w:rsid w:val="00126042"/>
    <w:rsid w:val="001304F1"/>
    <w:rsid w:val="0013088C"/>
    <w:rsid w:val="00131D05"/>
    <w:rsid w:val="00132004"/>
    <w:rsid w:val="001324A4"/>
    <w:rsid w:val="0013396B"/>
    <w:rsid w:val="001345CB"/>
    <w:rsid w:val="001347E9"/>
    <w:rsid w:val="0013489D"/>
    <w:rsid w:val="00135A0F"/>
    <w:rsid w:val="00136C98"/>
    <w:rsid w:val="00137B2C"/>
    <w:rsid w:val="00137FFB"/>
    <w:rsid w:val="0014068F"/>
    <w:rsid w:val="00140B4C"/>
    <w:rsid w:val="0014129D"/>
    <w:rsid w:val="001424E9"/>
    <w:rsid w:val="0014319C"/>
    <w:rsid w:val="001446DC"/>
    <w:rsid w:val="001466B6"/>
    <w:rsid w:val="00150011"/>
    <w:rsid w:val="00152298"/>
    <w:rsid w:val="0015254E"/>
    <w:rsid w:val="001536C6"/>
    <w:rsid w:val="00153C68"/>
    <w:rsid w:val="0015551E"/>
    <w:rsid w:val="00155B89"/>
    <w:rsid w:val="00156F05"/>
    <w:rsid w:val="001606EF"/>
    <w:rsid w:val="001608F4"/>
    <w:rsid w:val="001625FE"/>
    <w:rsid w:val="0016266C"/>
    <w:rsid w:val="00162E14"/>
    <w:rsid w:val="00164B42"/>
    <w:rsid w:val="00164C6B"/>
    <w:rsid w:val="0016516A"/>
    <w:rsid w:val="0016573D"/>
    <w:rsid w:val="001663CF"/>
    <w:rsid w:val="001665DD"/>
    <w:rsid w:val="00170962"/>
    <w:rsid w:val="00170A03"/>
    <w:rsid w:val="00171315"/>
    <w:rsid w:val="0017182D"/>
    <w:rsid w:val="00171BA0"/>
    <w:rsid w:val="00172415"/>
    <w:rsid w:val="001726B6"/>
    <w:rsid w:val="001739AD"/>
    <w:rsid w:val="001751F5"/>
    <w:rsid w:val="001760D2"/>
    <w:rsid w:val="00176E50"/>
    <w:rsid w:val="0018070D"/>
    <w:rsid w:val="00182C1E"/>
    <w:rsid w:val="0018611E"/>
    <w:rsid w:val="001877C5"/>
    <w:rsid w:val="001919A5"/>
    <w:rsid w:val="001942B7"/>
    <w:rsid w:val="00195F05"/>
    <w:rsid w:val="0019798B"/>
    <w:rsid w:val="001A10EA"/>
    <w:rsid w:val="001A2276"/>
    <w:rsid w:val="001A3B92"/>
    <w:rsid w:val="001A3FFF"/>
    <w:rsid w:val="001A6148"/>
    <w:rsid w:val="001A7C43"/>
    <w:rsid w:val="001B080B"/>
    <w:rsid w:val="001B2F73"/>
    <w:rsid w:val="001B3B95"/>
    <w:rsid w:val="001B4882"/>
    <w:rsid w:val="001B4E01"/>
    <w:rsid w:val="001B520E"/>
    <w:rsid w:val="001B57CE"/>
    <w:rsid w:val="001B6C66"/>
    <w:rsid w:val="001B7B3A"/>
    <w:rsid w:val="001C0286"/>
    <w:rsid w:val="001C09FC"/>
    <w:rsid w:val="001C1511"/>
    <w:rsid w:val="001C2A17"/>
    <w:rsid w:val="001C4045"/>
    <w:rsid w:val="001C4904"/>
    <w:rsid w:val="001C5410"/>
    <w:rsid w:val="001C5F46"/>
    <w:rsid w:val="001C7CA2"/>
    <w:rsid w:val="001D06A3"/>
    <w:rsid w:val="001D180D"/>
    <w:rsid w:val="001D1DAE"/>
    <w:rsid w:val="001D5DAF"/>
    <w:rsid w:val="001D77D5"/>
    <w:rsid w:val="001E14E1"/>
    <w:rsid w:val="001E264B"/>
    <w:rsid w:val="001E40A1"/>
    <w:rsid w:val="001E7670"/>
    <w:rsid w:val="001F1642"/>
    <w:rsid w:val="001F373B"/>
    <w:rsid w:val="001F5256"/>
    <w:rsid w:val="001F5C16"/>
    <w:rsid w:val="001F6279"/>
    <w:rsid w:val="002026D3"/>
    <w:rsid w:val="002027AF"/>
    <w:rsid w:val="00203134"/>
    <w:rsid w:val="00203C0A"/>
    <w:rsid w:val="002043DB"/>
    <w:rsid w:val="00205759"/>
    <w:rsid w:val="00205C1E"/>
    <w:rsid w:val="0020639A"/>
    <w:rsid w:val="00206C78"/>
    <w:rsid w:val="0020766E"/>
    <w:rsid w:val="002106D2"/>
    <w:rsid w:val="00210E44"/>
    <w:rsid w:val="00212818"/>
    <w:rsid w:val="0021306B"/>
    <w:rsid w:val="0021364F"/>
    <w:rsid w:val="00213C99"/>
    <w:rsid w:val="00213D55"/>
    <w:rsid w:val="002143CE"/>
    <w:rsid w:val="00216E3C"/>
    <w:rsid w:val="002234A1"/>
    <w:rsid w:val="00224CE4"/>
    <w:rsid w:val="00224D11"/>
    <w:rsid w:val="00225AC4"/>
    <w:rsid w:val="00227FB7"/>
    <w:rsid w:val="00230D6B"/>
    <w:rsid w:val="00231888"/>
    <w:rsid w:val="00231E05"/>
    <w:rsid w:val="0023257C"/>
    <w:rsid w:val="0023303C"/>
    <w:rsid w:val="00233096"/>
    <w:rsid w:val="0023360A"/>
    <w:rsid w:val="00234F08"/>
    <w:rsid w:val="0023768F"/>
    <w:rsid w:val="00240940"/>
    <w:rsid w:val="00241A50"/>
    <w:rsid w:val="00243F66"/>
    <w:rsid w:val="00244904"/>
    <w:rsid w:val="0024492F"/>
    <w:rsid w:val="002456F0"/>
    <w:rsid w:val="002465D1"/>
    <w:rsid w:val="00247ADA"/>
    <w:rsid w:val="00247BF7"/>
    <w:rsid w:val="00247D93"/>
    <w:rsid w:val="002509B6"/>
    <w:rsid w:val="00251263"/>
    <w:rsid w:val="00252494"/>
    <w:rsid w:val="00252CBC"/>
    <w:rsid w:val="00257A3E"/>
    <w:rsid w:val="00260328"/>
    <w:rsid w:val="002606D3"/>
    <w:rsid w:val="002618A7"/>
    <w:rsid w:val="00262617"/>
    <w:rsid w:val="00265807"/>
    <w:rsid w:val="002669C3"/>
    <w:rsid w:val="00267242"/>
    <w:rsid w:val="00267A04"/>
    <w:rsid w:val="00270E29"/>
    <w:rsid w:val="002727DD"/>
    <w:rsid w:val="002740B7"/>
    <w:rsid w:val="00274350"/>
    <w:rsid w:val="00274907"/>
    <w:rsid w:val="00274CF0"/>
    <w:rsid w:val="00276098"/>
    <w:rsid w:val="002766EE"/>
    <w:rsid w:val="0028033B"/>
    <w:rsid w:val="00280565"/>
    <w:rsid w:val="00281011"/>
    <w:rsid w:val="00281AD8"/>
    <w:rsid w:val="00281E8A"/>
    <w:rsid w:val="00282F68"/>
    <w:rsid w:val="002849D1"/>
    <w:rsid w:val="00285444"/>
    <w:rsid w:val="00286469"/>
    <w:rsid w:val="00286907"/>
    <w:rsid w:val="002915A2"/>
    <w:rsid w:val="00291FB0"/>
    <w:rsid w:val="00292D18"/>
    <w:rsid w:val="00294063"/>
    <w:rsid w:val="0029410D"/>
    <w:rsid w:val="00294367"/>
    <w:rsid w:val="0029595D"/>
    <w:rsid w:val="00295B18"/>
    <w:rsid w:val="00296B9A"/>
    <w:rsid w:val="0029700C"/>
    <w:rsid w:val="00297244"/>
    <w:rsid w:val="002A096C"/>
    <w:rsid w:val="002A16EB"/>
    <w:rsid w:val="002A227F"/>
    <w:rsid w:val="002A2C88"/>
    <w:rsid w:val="002A2D0A"/>
    <w:rsid w:val="002A3835"/>
    <w:rsid w:val="002A46BA"/>
    <w:rsid w:val="002A5398"/>
    <w:rsid w:val="002A735D"/>
    <w:rsid w:val="002A7CB6"/>
    <w:rsid w:val="002B134E"/>
    <w:rsid w:val="002B1905"/>
    <w:rsid w:val="002B24A9"/>
    <w:rsid w:val="002B3D70"/>
    <w:rsid w:val="002B4F76"/>
    <w:rsid w:val="002B7F1D"/>
    <w:rsid w:val="002C0839"/>
    <w:rsid w:val="002C108A"/>
    <w:rsid w:val="002C11B3"/>
    <w:rsid w:val="002C2235"/>
    <w:rsid w:val="002C40DD"/>
    <w:rsid w:val="002C45E2"/>
    <w:rsid w:val="002C46AC"/>
    <w:rsid w:val="002C59C1"/>
    <w:rsid w:val="002C5DE2"/>
    <w:rsid w:val="002C72FB"/>
    <w:rsid w:val="002C7C4C"/>
    <w:rsid w:val="002D0031"/>
    <w:rsid w:val="002D006C"/>
    <w:rsid w:val="002D06D5"/>
    <w:rsid w:val="002D0EBB"/>
    <w:rsid w:val="002D1A3D"/>
    <w:rsid w:val="002D1D38"/>
    <w:rsid w:val="002D32A3"/>
    <w:rsid w:val="002D4981"/>
    <w:rsid w:val="002E1E2F"/>
    <w:rsid w:val="002E246A"/>
    <w:rsid w:val="002E284E"/>
    <w:rsid w:val="002E304D"/>
    <w:rsid w:val="002E3FFA"/>
    <w:rsid w:val="002E6D56"/>
    <w:rsid w:val="002F01BA"/>
    <w:rsid w:val="002F0C7E"/>
    <w:rsid w:val="002F10A4"/>
    <w:rsid w:val="002F10C7"/>
    <w:rsid w:val="002F19B5"/>
    <w:rsid w:val="002F1A96"/>
    <w:rsid w:val="002F2222"/>
    <w:rsid w:val="002F248E"/>
    <w:rsid w:val="002F3142"/>
    <w:rsid w:val="002F3170"/>
    <w:rsid w:val="002F35FD"/>
    <w:rsid w:val="002F4716"/>
    <w:rsid w:val="002F48D2"/>
    <w:rsid w:val="002F5119"/>
    <w:rsid w:val="002F77F1"/>
    <w:rsid w:val="003025C8"/>
    <w:rsid w:val="00302BED"/>
    <w:rsid w:val="00303999"/>
    <w:rsid w:val="003078B5"/>
    <w:rsid w:val="003078BF"/>
    <w:rsid w:val="00312474"/>
    <w:rsid w:val="003124EE"/>
    <w:rsid w:val="0031282B"/>
    <w:rsid w:val="003154D5"/>
    <w:rsid w:val="0031583F"/>
    <w:rsid w:val="00315C3F"/>
    <w:rsid w:val="0031720E"/>
    <w:rsid w:val="0032141D"/>
    <w:rsid w:val="00321E32"/>
    <w:rsid w:val="003221B3"/>
    <w:rsid w:val="0032235F"/>
    <w:rsid w:val="003239D6"/>
    <w:rsid w:val="00326D8C"/>
    <w:rsid w:val="003309B4"/>
    <w:rsid w:val="003321A6"/>
    <w:rsid w:val="0033350D"/>
    <w:rsid w:val="00333737"/>
    <w:rsid w:val="003353AA"/>
    <w:rsid w:val="003376E2"/>
    <w:rsid w:val="003420C9"/>
    <w:rsid w:val="00342541"/>
    <w:rsid w:val="003431FA"/>
    <w:rsid w:val="003436A4"/>
    <w:rsid w:val="00343E77"/>
    <w:rsid w:val="00344162"/>
    <w:rsid w:val="00345654"/>
    <w:rsid w:val="00346536"/>
    <w:rsid w:val="00347927"/>
    <w:rsid w:val="00347FD4"/>
    <w:rsid w:val="00350260"/>
    <w:rsid w:val="00351B2B"/>
    <w:rsid w:val="00351CDB"/>
    <w:rsid w:val="0035254F"/>
    <w:rsid w:val="00352A1C"/>
    <w:rsid w:val="00353D62"/>
    <w:rsid w:val="003541F7"/>
    <w:rsid w:val="00354783"/>
    <w:rsid w:val="003552B9"/>
    <w:rsid w:val="003559CE"/>
    <w:rsid w:val="00356DA0"/>
    <w:rsid w:val="00356E2C"/>
    <w:rsid w:val="0036054C"/>
    <w:rsid w:val="0036198C"/>
    <w:rsid w:val="00363ADB"/>
    <w:rsid w:val="00364433"/>
    <w:rsid w:val="00365EAD"/>
    <w:rsid w:val="0036662F"/>
    <w:rsid w:val="00366C0D"/>
    <w:rsid w:val="00366E84"/>
    <w:rsid w:val="00367EA6"/>
    <w:rsid w:val="0037053D"/>
    <w:rsid w:val="00370ED5"/>
    <w:rsid w:val="00370F96"/>
    <w:rsid w:val="00371C48"/>
    <w:rsid w:val="00372952"/>
    <w:rsid w:val="003749BD"/>
    <w:rsid w:val="00374F90"/>
    <w:rsid w:val="003750BF"/>
    <w:rsid w:val="003769E4"/>
    <w:rsid w:val="00376BBB"/>
    <w:rsid w:val="0038045D"/>
    <w:rsid w:val="0038049A"/>
    <w:rsid w:val="00381A6C"/>
    <w:rsid w:val="00382167"/>
    <w:rsid w:val="00383E5E"/>
    <w:rsid w:val="00384564"/>
    <w:rsid w:val="00386887"/>
    <w:rsid w:val="0038793B"/>
    <w:rsid w:val="00390386"/>
    <w:rsid w:val="00390C21"/>
    <w:rsid w:val="00391922"/>
    <w:rsid w:val="0039235B"/>
    <w:rsid w:val="00392F6E"/>
    <w:rsid w:val="00393B21"/>
    <w:rsid w:val="00394F91"/>
    <w:rsid w:val="003950D7"/>
    <w:rsid w:val="00396612"/>
    <w:rsid w:val="00396735"/>
    <w:rsid w:val="00397ADB"/>
    <w:rsid w:val="003A1253"/>
    <w:rsid w:val="003A2ED7"/>
    <w:rsid w:val="003A3860"/>
    <w:rsid w:val="003A4522"/>
    <w:rsid w:val="003A58B9"/>
    <w:rsid w:val="003A5A85"/>
    <w:rsid w:val="003A730D"/>
    <w:rsid w:val="003B4687"/>
    <w:rsid w:val="003B67C6"/>
    <w:rsid w:val="003B6C47"/>
    <w:rsid w:val="003B7C52"/>
    <w:rsid w:val="003C1704"/>
    <w:rsid w:val="003C200E"/>
    <w:rsid w:val="003C2517"/>
    <w:rsid w:val="003C2B26"/>
    <w:rsid w:val="003C2C1B"/>
    <w:rsid w:val="003C40EB"/>
    <w:rsid w:val="003C4AC2"/>
    <w:rsid w:val="003C4FAD"/>
    <w:rsid w:val="003C74F4"/>
    <w:rsid w:val="003C7F18"/>
    <w:rsid w:val="003D0D4F"/>
    <w:rsid w:val="003D1F11"/>
    <w:rsid w:val="003D284B"/>
    <w:rsid w:val="003D62B2"/>
    <w:rsid w:val="003D676D"/>
    <w:rsid w:val="003E1930"/>
    <w:rsid w:val="003E1A05"/>
    <w:rsid w:val="003E36E3"/>
    <w:rsid w:val="003E63FF"/>
    <w:rsid w:val="003E745F"/>
    <w:rsid w:val="003E7584"/>
    <w:rsid w:val="003F02D7"/>
    <w:rsid w:val="003F1B23"/>
    <w:rsid w:val="003F2531"/>
    <w:rsid w:val="003F29A1"/>
    <w:rsid w:val="003F2F3C"/>
    <w:rsid w:val="003F3FBE"/>
    <w:rsid w:val="003F4446"/>
    <w:rsid w:val="00400DFF"/>
    <w:rsid w:val="0040262E"/>
    <w:rsid w:val="00402AE9"/>
    <w:rsid w:val="0040578E"/>
    <w:rsid w:val="0040584B"/>
    <w:rsid w:val="0040663B"/>
    <w:rsid w:val="0040676D"/>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705"/>
    <w:rsid w:val="00437C04"/>
    <w:rsid w:val="004412D9"/>
    <w:rsid w:val="00443182"/>
    <w:rsid w:val="0044341E"/>
    <w:rsid w:val="0044545F"/>
    <w:rsid w:val="00447162"/>
    <w:rsid w:val="004477F4"/>
    <w:rsid w:val="0045011B"/>
    <w:rsid w:val="004519A7"/>
    <w:rsid w:val="00453031"/>
    <w:rsid w:val="00454958"/>
    <w:rsid w:val="00454E19"/>
    <w:rsid w:val="004570B3"/>
    <w:rsid w:val="00457F08"/>
    <w:rsid w:val="00457FF3"/>
    <w:rsid w:val="00460952"/>
    <w:rsid w:val="00460C27"/>
    <w:rsid w:val="00461987"/>
    <w:rsid w:val="0046268C"/>
    <w:rsid w:val="004628CA"/>
    <w:rsid w:val="0046446B"/>
    <w:rsid w:val="004645B8"/>
    <w:rsid w:val="00466693"/>
    <w:rsid w:val="00467697"/>
    <w:rsid w:val="00467FF3"/>
    <w:rsid w:val="004706C4"/>
    <w:rsid w:val="004727CF"/>
    <w:rsid w:val="00473AB2"/>
    <w:rsid w:val="00473C86"/>
    <w:rsid w:val="00473DBB"/>
    <w:rsid w:val="00474A28"/>
    <w:rsid w:val="004767C2"/>
    <w:rsid w:val="0047765A"/>
    <w:rsid w:val="00480136"/>
    <w:rsid w:val="0048030D"/>
    <w:rsid w:val="00480424"/>
    <w:rsid w:val="00480D9E"/>
    <w:rsid w:val="004813EF"/>
    <w:rsid w:val="00484E94"/>
    <w:rsid w:val="0048533B"/>
    <w:rsid w:val="004855D9"/>
    <w:rsid w:val="0048641E"/>
    <w:rsid w:val="00486F47"/>
    <w:rsid w:val="004878C7"/>
    <w:rsid w:val="00487CE5"/>
    <w:rsid w:val="00490A06"/>
    <w:rsid w:val="00491919"/>
    <w:rsid w:val="0049221B"/>
    <w:rsid w:val="0049485B"/>
    <w:rsid w:val="00494B01"/>
    <w:rsid w:val="004977F6"/>
    <w:rsid w:val="00497E35"/>
    <w:rsid w:val="004A19ED"/>
    <w:rsid w:val="004A2B86"/>
    <w:rsid w:val="004A336A"/>
    <w:rsid w:val="004A4977"/>
    <w:rsid w:val="004A4BC4"/>
    <w:rsid w:val="004A54FF"/>
    <w:rsid w:val="004A55BE"/>
    <w:rsid w:val="004A62E4"/>
    <w:rsid w:val="004A665C"/>
    <w:rsid w:val="004A7293"/>
    <w:rsid w:val="004A7ED2"/>
    <w:rsid w:val="004B0C51"/>
    <w:rsid w:val="004B2C0E"/>
    <w:rsid w:val="004B3171"/>
    <w:rsid w:val="004B3BBE"/>
    <w:rsid w:val="004B584C"/>
    <w:rsid w:val="004B6329"/>
    <w:rsid w:val="004B6F89"/>
    <w:rsid w:val="004B7338"/>
    <w:rsid w:val="004B7E8B"/>
    <w:rsid w:val="004C07F8"/>
    <w:rsid w:val="004C0DBD"/>
    <w:rsid w:val="004C1820"/>
    <w:rsid w:val="004C264B"/>
    <w:rsid w:val="004C277C"/>
    <w:rsid w:val="004C4108"/>
    <w:rsid w:val="004C4BAD"/>
    <w:rsid w:val="004C5097"/>
    <w:rsid w:val="004C5349"/>
    <w:rsid w:val="004C5C71"/>
    <w:rsid w:val="004D0202"/>
    <w:rsid w:val="004D120C"/>
    <w:rsid w:val="004D283F"/>
    <w:rsid w:val="004D29AD"/>
    <w:rsid w:val="004D2FD5"/>
    <w:rsid w:val="004D414B"/>
    <w:rsid w:val="004D52F6"/>
    <w:rsid w:val="004E0F9E"/>
    <w:rsid w:val="004E202E"/>
    <w:rsid w:val="004E28B5"/>
    <w:rsid w:val="004E306F"/>
    <w:rsid w:val="004E6571"/>
    <w:rsid w:val="004E6C8E"/>
    <w:rsid w:val="004E78C9"/>
    <w:rsid w:val="004F158A"/>
    <w:rsid w:val="004F1BDB"/>
    <w:rsid w:val="004F2EFC"/>
    <w:rsid w:val="004F3BD5"/>
    <w:rsid w:val="004F3F46"/>
    <w:rsid w:val="004F407F"/>
    <w:rsid w:val="004F5B3B"/>
    <w:rsid w:val="005038E6"/>
    <w:rsid w:val="0050391D"/>
    <w:rsid w:val="005048A0"/>
    <w:rsid w:val="00504D62"/>
    <w:rsid w:val="00504E6E"/>
    <w:rsid w:val="00505064"/>
    <w:rsid w:val="005050C1"/>
    <w:rsid w:val="00506458"/>
    <w:rsid w:val="0050680D"/>
    <w:rsid w:val="00507354"/>
    <w:rsid w:val="005077CF"/>
    <w:rsid w:val="00507A3B"/>
    <w:rsid w:val="00507E40"/>
    <w:rsid w:val="00510164"/>
    <w:rsid w:val="0051051E"/>
    <w:rsid w:val="00512A7E"/>
    <w:rsid w:val="0051661B"/>
    <w:rsid w:val="00517314"/>
    <w:rsid w:val="005206CF"/>
    <w:rsid w:val="00520ECE"/>
    <w:rsid w:val="0052128E"/>
    <w:rsid w:val="00521AF1"/>
    <w:rsid w:val="00521C50"/>
    <w:rsid w:val="00526F5F"/>
    <w:rsid w:val="005315D2"/>
    <w:rsid w:val="00535DF0"/>
    <w:rsid w:val="00535F82"/>
    <w:rsid w:val="0053651B"/>
    <w:rsid w:val="00537316"/>
    <w:rsid w:val="005402D9"/>
    <w:rsid w:val="005403CF"/>
    <w:rsid w:val="005415CE"/>
    <w:rsid w:val="00541ED4"/>
    <w:rsid w:val="005421C7"/>
    <w:rsid w:val="005433EB"/>
    <w:rsid w:val="005434A2"/>
    <w:rsid w:val="005448AB"/>
    <w:rsid w:val="00545367"/>
    <w:rsid w:val="00546E67"/>
    <w:rsid w:val="00550CD0"/>
    <w:rsid w:val="00550FA3"/>
    <w:rsid w:val="00551DD5"/>
    <w:rsid w:val="00552C28"/>
    <w:rsid w:val="0055342F"/>
    <w:rsid w:val="00556FB2"/>
    <w:rsid w:val="005601FE"/>
    <w:rsid w:val="005609F3"/>
    <w:rsid w:val="00563687"/>
    <w:rsid w:val="00565918"/>
    <w:rsid w:val="00567A9C"/>
    <w:rsid w:val="00567B70"/>
    <w:rsid w:val="00571274"/>
    <w:rsid w:val="005718B4"/>
    <w:rsid w:val="00571BE9"/>
    <w:rsid w:val="00571E48"/>
    <w:rsid w:val="00572BC9"/>
    <w:rsid w:val="0057449E"/>
    <w:rsid w:val="00575B15"/>
    <w:rsid w:val="00581A16"/>
    <w:rsid w:val="005820CE"/>
    <w:rsid w:val="00583862"/>
    <w:rsid w:val="00584411"/>
    <w:rsid w:val="00584C4B"/>
    <w:rsid w:val="0058521C"/>
    <w:rsid w:val="005858F2"/>
    <w:rsid w:val="00585BD7"/>
    <w:rsid w:val="00585EF5"/>
    <w:rsid w:val="00587081"/>
    <w:rsid w:val="00591B88"/>
    <w:rsid w:val="0059466B"/>
    <w:rsid w:val="005970B6"/>
    <w:rsid w:val="005A061F"/>
    <w:rsid w:val="005A0978"/>
    <w:rsid w:val="005A10F4"/>
    <w:rsid w:val="005A3B29"/>
    <w:rsid w:val="005A6822"/>
    <w:rsid w:val="005A6AF8"/>
    <w:rsid w:val="005A71C2"/>
    <w:rsid w:val="005A7D0E"/>
    <w:rsid w:val="005A7DE6"/>
    <w:rsid w:val="005B0543"/>
    <w:rsid w:val="005B0D83"/>
    <w:rsid w:val="005B1B7C"/>
    <w:rsid w:val="005B32C9"/>
    <w:rsid w:val="005B34A4"/>
    <w:rsid w:val="005B4287"/>
    <w:rsid w:val="005B6882"/>
    <w:rsid w:val="005B6F87"/>
    <w:rsid w:val="005B7245"/>
    <w:rsid w:val="005B7584"/>
    <w:rsid w:val="005B772E"/>
    <w:rsid w:val="005B7C96"/>
    <w:rsid w:val="005C0DCC"/>
    <w:rsid w:val="005C7AAB"/>
    <w:rsid w:val="005D2108"/>
    <w:rsid w:val="005D2663"/>
    <w:rsid w:val="005D29F6"/>
    <w:rsid w:val="005D5E14"/>
    <w:rsid w:val="005D619A"/>
    <w:rsid w:val="005D73DE"/>
    <w:rsid w:val="005D7E10"/>
    <w:rsid w:val="005E0B04"/>
    <w:rsid w:val="005E14A7"/>
    <w:rsid w:val="005E2038"/>
    <w:rsid w:val="005E3C44"/>
    <w:rsid w:val="005E5056"/>
    <w:rsid w:val="005E61B9"/>
    <w:rsid w:val="005F1986"/>
    <w:rsid w:val="005F2479"/>
    <w:rsid w:val="005F2F12"/>
    <w:rsid w:val="005F4732"/>
    <w:rsid w:val="005F4E6A"/>
    <w:rsid w:val="005F52A0"/>
    <w:rsid w:val="005F548A"/>
    <w:rsid w:val="005F6301"/>
    <w:rsid w:val="005F7018"/>
    <w:rsid w:val="00602628"/>
    <w:rsid w:val="00604252"/>
    <w:rsid w:val="00604DA3"/>
    <w:rsid w:val="00607C07"/>
    <w:rsid w:val="00610D85"/>
    <w:rsid w:val="00613168"/>
    <w:rsid w:val="006145A8"/>
    <w:rsid w:val="00615D92"/>
    <w:rsid w:val="00616FA0"/>
    <w:rsid w:val="00617977"/>
    <w:rsid w:val="00620830"/>
    <w:rsid w:val="006208EC"/>
    <w:rsid w:val="00620FF4"/>
    <w:rsid w:val="0062238B"/>
    <w:rsid w:val="006233D7"/>
    <w:rsid w:val="00624CFE"/>
    <w:rsid w:val="00624E81"/>
    <w:rsid w:val="00625976"/>
    <w:rsid w:val="00626904"/>
    <w:rsid w:val="006310BB"/>
    <w:rsid w:val="00631891"/>
    <w:rsid w:val="0063288F"/>
    <w:rsid w:val="00633C24"/>
    <w:rsid w:val="00634084"/>
    <w:rsid w:val="006342C4"/>
    <w:rsid w:val="00634701"/>
    <w:rsid w:val="006347A9"/>
    <w:rsid w:val="00637747"/>
    <w:rsid w:val="006409CE"/>
    <w:rsid w:val="0064304D"/>
    <w:rsid w:val="006447F7"/>
    <w:rsid w:val="006452FB"/>
    <w:rsid w:val="00645761"/>
    <w:rsid w:val="00645B0A"/>
    <w:rsid w:val="00651925"/>
    <w:rsid w:val="00653C1C"/>
    <w:rsid w:val="006541E4"/>
    <w:rsid w:val="00654FFD"/>
    <w:rsid w:val="00655ACE"/>
    <w:rsid w:val="00655EBB"/>
    <w:rsid w:val="00656C23"/>
    <w:rsid w:val="00656F31"/>
    <w:rsid w:val="0065746C"/>
    <w:rsid w:val="00657962"/>
    <w:rsid w:val="00660CB0"/>
    <w:rsid w:val="0066452D"/>
    <w:rsid w:val="00665C2F"/>
    <w:rsid w:val="006662B5"/>
    <w:rsid w:val="00667795"/>
    <w:rsid w:val="00672F09"/>
    <w:rsid w:val="0067321A"/>
    <w:rsid w:val="00673642"/>
    <w:rsid w:val="00673E1A"/>
    <w:rsid w:val="00674D5D"/>
    <w:rsid w:val="00675331"/>
    <w:rsid w:val="006761A0"/>
    <w:rsid w:val="00676E9C"/>
    <w:rsid w:val="00677712"/>
    <w:rsid w:val="00680B20"/>
    <w:rsid w:val="00680E5A"/>
    <w:rsid w:val="0068171E"/>
    <w:rsid w:val="00681AA8"/>
    <w:rsid w:val="00683A17"/>
    <w:rsid w:val="00684DF8"/>
    <w:rsid w:val="0068573D"/>
    <w:rsid w:val="0069043D"/>
    <w:rsid w:val="00691CB0"/>
    <w:rsid w:val="00691F5C"/>
    <w:rsid w:val="00692A63"/>
    <w:rsid w:val="0069612C"/>
    <w:rsid w:val="00696562"/>
    <w:rsid w:val="006A0595"/>
    <w:rsid w:val="006A073E"/>
    <w:rsid w:val="006A1F3F"/>
    <w:rsid w:val="006A3CD4"/>
    <w:rsid w:val="006A47C2"/>
    <w:rsid w:val="006A699B"/>
    <w:rsid w:val="006A729F"/>
    <w:rsid w:val="006B07C9"/>
    <w:rsid w:val="006B08AF"/>
    <w:rsid w:val="006B0A0D"/>
    <w:rsid w:val="006B0AC4"/>
    <w:rsid w:val="006B0D05"/>
    <w:rsid w:val="006B0D5C"/>
    <w:rsid w:val="006B1642"/>
    <w:rsid w:val="006B3F60"/>
    <w:rsid w:val="006B49F7"/>
    <w:rsid w:val="006B581B"/>
    <w:rsid w:val="006B6730"/>
    <w:rsid w:val="006B7B67"/>
    <w:rsid w:val="006B7C85"/>
    <w:rsid w:val="006B7EA9"/>
    <w:rsid w:val="006C0A3A"/>
    <w:rsid w:val="006C172A"/>
    <w:rsid w:val="006C21FF"/>
    <w:rsid w:val="006C4B79"/>
    <w:rsid w:val="006C4CE2"/>
    <w:rsid w:val="006C607D"/>
    <w:rsid w:val="006C6551"/>
    <w:rsid w:val="006C69A6"/>
    <w:rsid w:val="006D2A34"/>
    <w:rsid w:val="006D2C9C"/>
    <w:rsid w:val="006D42DC"/>
    <w:rsid w:val="006D468F"/>
    <w:rsid w:val="006D4AD9"/>
    <w:rsid w:val="006D5174"/>
    <w:rsid w:val="006D7047"/>
    <w:rsid w:val="006E0585"/>
    <w:rsid w:val="006E0C9D"/>
    <w:rsid w:val="006E33F7"/>
    <w:rsid w:val="006E3915"/>
    <w:rsid w:val="006E4A20"/>
    <w:rsid w:val="006E61C8"/>
    <w:rsid w:val="006E63AB"/>
    <w:rsid w:val="006E6F98"/>
    <w:rsid w:val="006F4812"/>
    <w:rsid w:val="006F62B4"/>
    <w:rsid w:val="006F630C"/>
    <w:rsid w:val="00701EAF"/>
    <w:rsid w:val="00702EE6"/>
    <w:rsid w:val="007039C9"/>
    <w:rsid w:val="00703C2C"/>
    <w:rsid w:val="00705B9B"/>
    <w:rsid w:val="00707F0C"/>
    <w:rsid w:val="00710403"/>
    <w:rsid w:val="00710984"/>
    <w:rsid w:val="0071112B"/>
    <w:rsid w:val="007119A1"/>
    <w:rsid w:val="00711B91"/>
    <w:rsid w:val="00711FA0"/>
    <w:rsid w:val="00712031"/>
    <w:rsid w:val="0071212C"/>
    <w:rsid w:val="00712168"/>
    <w:rsid w:val="00712B0E"/>
    <w:rsid w:val="007136BC"/>
    <w:rsid w:val="007136FA"/>
    <w:rsid w:val="00713C15"/>
    <w:rsid w:val="00713D3B"/>
    <w:rsid w:val="007144EE"/>
    <w:rsid w:val="00714A46"/>
    <w:rsid w:val="00715EBF"/>
    <w:rsid w:val="0071741C"/>
    <w:rsid w:val="007174A4"/>
    <w:rsid w:val="007231F3"/>
    <w:rsid w:val="00723EB9"/>
    <w:rsid w:val="007241CB"/>
    <w:rsid w:val="00724280"/>
    <w:rsid w:val="007247AE"/>
    <w:rsid w:val="00724B20"/>
    <w:rsid w:val="00724D06"/>
    <w:rsid w:val="00725700"/>
    <w:rsid w:val="00725D38"/>
    <w:rsid w:val="007264EF"/>
    <w:rsid w:val="00726C07"/>
    <w:rsid w:val="00727092"/>
    <w:rsid w:val="007270D1"/>
    <w:rsid w:val="00727135"/>
    <w:rsid w:val="00732120"/>
    <w:rsid w:val="00733FEB"/>
    <w:rsid w:val="00735914"/>
    <w:rsid w:val="00736301"/>
    <w:rsid w:val="00737C4C"/>
    <w:rsid w:val="00740AF9"/>
    <w:rsid w:val="007410CE"/>
    <w:rsid w:val="00741C8B"/>
    <w:rsid w:val="0074349B"/>
    <w:rsid w:val="007443E2"/>
    <w:rsid w:val="00744CBE"/>
    <w:rsid w:val="00744E91"/>
    <w:rsid w:val="007473F9"/>
    <w:rsid w:val="0074771C"/>
    <w:rsid w:val="00747EA9"/>
    <w:rsid w:val="0075052D"/>
    <w:rsid w:val="00750AF4"/>
    <w:rsid w:val="007517C5"/>
    <w:rsid w:val="00751995"/>
    <w:rsid w:val="00751C2C"/>
    <w:rsid w:val="00752674"/>
    <w:rsid w:val="007565EA"/>
    <w:rsid w:val="007568FB"/>
    <w:rsid w:val="0075742C"/>
    <w:rsid w:val="00757B05"/>
    <w:rsid w:val="00762CBF"/>
    <w:rsid w:val="00763457"/>
    <w:rsid w:val="00763FCB"/>
    <w:rsid w:val="00765D8B"/>
    <w:rsid w:val="00766002"/>
    <w:rsid w:val="007671F2"/>
    <w:rsid w:val="0076750E"/>
    <w:rsid w:val="007677EC"/>
    <w:rsid w:val="00767B6C"/>
    <w:rsid w:val="00767D77"/>
    <w:rsid w:val="007711F6"/>
    <w:rsid w:val="007732C4"/>
    <w:rsid w:val="00773A0C"/>
    <w:rsid w:val="00774566"/>
    <w:rsid w:val="00775801"/>
    <w:rsid w:val="00775D82"/>
    <w:rsid w:val="00775F62"/>
    <w:rsid w:val="007762A2"/>
    <w:rsid w:val="00780F76"/>
    <w:rsid w:val="0078183B"/>
    <w:rsid w:val="007823EB"/>
    <w:rsid w:val="00782AC1"/>
    <w:rsid w:val="00782D80"/>
    <w:rsid w:val="00784E48"/>
    <w:rsid w:val="00785231"/>
    <w:rsid w:val="00787A84"/>
    <w:rsid w:val="00793083"/>
    <w:rsid w:val="00793A84"/>
    <w:rsid w:val="0079658D"/>
    <w:rsid w:val="00797C6E"/>
    <w:rsid w:val="007A0796"/>
    <w:rsid w:val="007A1125"/>
    <w:rsid w:val="007A1776"/>
    <w:rsid w:val="007A2810"/>
    <w:rsid w:val="007A3791"/>
    <w:rsid w:val="007A3B9F"/>
    <w:rsid w:val="007A400A"/>
    <w:rsid w:val="007A4AC7"/>
    <w:rsid w:val="007A514C"/>
    <w:rsid w:val="007A556F"/>
    <w:rsid w:val="007A5683"/>
    <w:rsid w:val="007A5B59"/>
    <w:rsid w:val="007A6FA0"/>
    <w:rsid w:val="007A7FB6"/>
    <w:rsid w:val="007B00FF"/>
    <w:rsid w:val="007B2182"/>
    <w:rsid w:val="007B4D27"/>
    <w:rsid w:val="007B665B"/>
    <w:rsid w:val="007B72CF"/>
    <w:rsid w:val="007C1935"/>
    <w:rsid w:val="007C3E31"/>
    <w:rsid w:val="007C4B74"/>
    <w:rsid w:val="007C7051"/>
    <w:rsid w:val="007C77C6"/>
    <w:rsid w:val="007C79B0"/>
    <w:rsid w:val="007D0664"/>
    <w:rsid w:val="007D1501"/>
    <w:rsid w:val="007D4BDE"/>
    <w:rsid w:val="007D5774"/>
    <w:rsid w:val="007D62BD"/>
    <w:rsid w:val="007D677C"/>
    <w:rsid w:val="007D6FDC"/>
    <w:rsid w:val="007D7C06"/>
    <w:rsid w:val="007E234A"/>
    <w:rsid w:val="007E2995"/>
    <w:rsid w:val="007E2F36"/>
    <w:rsid w:val="007E515D"/>
    <w:rsid w:val="007E6108"/>
    <w:rsid w:val="007E6A41"/>
    <w:rsid w:val="007E6C81"/>
    <w:rsid w:val="007E6FC7"/>
    <w:rsid w:val="007E74F5"/>
    <w:rsid w:val="007F11E2"/>
    <w:rsid w:val="007F12F6"/>
    <w:rsid w:val="007F64B8"/>
    <w:rsid w:val="007F6A87"/>
    <w:rsid w:val="007F7D05"/>
    <w:rsid w:val="00801836"/>
    <w:rsid w:val="00803803"/>
    <w:rsid w:val="00805453"/>
    <w:rsid w:val="00806EC4"/>
    <w:rsid w:val="00807460"/>
    <w:rsid w:val="00810D6E"/>
    <w:rsid w:val="00811084"/>
    <w:rsid w:val="00811624"/>
    <w:rsid w:val="0081203D"/>
    <w:rsid w:val="00813764"/>
    <w:rsid w:val="00813C57"/>
    <w:rsid w:val="00814C6A"/>
    <w:rsid w:val="00814EB2"/>
    <w:rsid w:val="00816CEC"/>
    <w:rsid w:val="008173F0"/>
    <w:rsid w:val="00817C7A"/>
    <w:rsid w:val="008208D0"/>
    <w:rsid w:val="008220EA"/>
    <w:rsid w:val="0082265D"/>
    <w:rsid w:val="008227A7"/>
    <w:rsid w:val="00822F01"/>
    <w:rsid w:val="008231FE"/>
    <w:rsid w:val="00824953"/>
    <w:rsid w:val="00825A26"/>
    <w:rsid w:val="008260CB"/>
    <w:rsid w:val="0083242B"/>
    <w:rsid w:val="00833431"/>
    <w:rsid w:val="00835193"/>
    <w:rsid w:val="00836F29"/>
    <w:rsid w:val="00836F71"/>
    <w:rsid w:val="008410DF"/>
    <w:rsid w:val="008418C2"/>
    <w:rsid w:val="00842670"/>
    <w:rsid w:val="00843128"/>
    <w:rsid w:val="00843DF3"/>
    <w:rsid w:val="008455BB"/>
    <w:rsid w:val="0084563D"/>
    <w:rsid w:val="008462A6"/>
    <w:rsid w:val="00846711"/>
    <w:rsid w:val="00846F1D"/>
    <w:rsid w:val="008543D7"/>
    <w:rsid w:val="00854598"/>
    <w:rsid w:val="00856738"/>
    <w:rsid w:val="00856DA5"/>
    <w:rsid w:val="00857C33"/>
    <w:rsid w:val="0086001F"/>
    <w:rsid w:val="008603CF"/>
    <w:rsid w:val="008605C4"/>
    <w:rsid w:val="00860E22"/>
    <w:rsid w:val="00861077"/>
    <w:rsid w:val="00861EA3"/>
    <w:rsid w:val="00863961"/>
    <w:rsid w:val="00865448"/>
    <w:rsid w:val="0086556F"/>
    <w:rsid w:val="00865EAF"/>
    <w:rsid w:val="008665A4"/>
    <w:rsid w:val="0086732B"/>
    <w:rsid w:val="0087072E"/>
    <w:rsid w:val="00871D20"/>
    <w:rsid w:val="00872599"/>
    <w:rsid w:val="00872E8D"/>
    <w:rsid w:val="0087344D"/>
    <w:rsid w:val="00875A0F"/>
    <w:rsid w:val="00875E5C"/>
    <w:rsid w:val="008762A7"/>
    <w:rsid w:val="008778B5"/>
    <w:rsid w:val="00877AFB"/>
    <w:rsid w:val="00880407"/>
    <w:rsid w:val="008808AD"/>
    <w:rsid w:val="00881057"/>
    <w:rsid w:val="00881F41"/>
    <w:rsid w:val="00881F47"/>
    <w:rsid w:val="00881F55"/>
    <w:rsid w:val="008828B3"/>
    <w:rsid w:val="00883A11"/>
    <w:rsid w:val="00883BFB"/>
    <w:rsid w:val="008849BC"/>
    <w:rsid w:val="00886FB2"/>
    <w:rsid w:val="0088733F"/>
    <w:rsid w:val="00887C72"/>
    <w:rsid w:val="0089113B"/>
    <w:rsid w:val="00892DFD"/>
    <w:rsid w:val="00892F79"/>
    <w:rsid w:val="00894696"/>
    <w:rsid w:val="00895210"/>
    <w:rsid w:val="0089539C"/>
    <w:rsid w:val="0089724B"/>
    <w:rsid w:val="008A006E"/>
    <w:rsid w:val="008A07F3"/>
    <w:rsid w:val="008A1234"/>
    <w:rsid w:val="008A2463"/>
    <w:rsid w:val="008A4B6E"/>
    <w:rsid w:val="008A54A5"/>
    <w:rsid w:val="008B0F1E"/>
    <w:rsid w:val="008B248C"/>
    <w:rsid w:val="008B5A28"/>
    <w:rsid w:val="008C33A0"/>
    <w:rsid w:val="008C49E0"/>
    <w:rsid w:val="008C6F66"/>
    <w:rsid w:val="008D05D4"/>
    <w:rsid w:val="008D0669"/>
    <w:rsid w:val="008D28CB"/>
    <w:rsid w:val="008D2ECA"/>
    <w:rsid w:val="008D318E"/>
    <w:rsid w:val="008D336F"/>
    <w:rsid w:val="008D3438"/>
    <w:rsid w:val="008D3DAC"/>
    <w:rsid w:val="008D40A0"/>
    <w:rsid w:val="008D5DC0"/>
    <w:rsid w:val="008D7832"/>
    <w:rsid w:val="008D7C17"/>
    <w:rsid w:val="008D7CB8"/>
    <w:rsid w:val="008E0C51"/>
    <w:rsid w:val="008E1329"/>
    <w:rsid w:val="008E1597"/>
    <w:rsid w:val="008E28DC"/>
    <w:rsid w:val="008E2EA6"/>
    <w:rsid w:val="008E384F"/>
    <w:rsid w:val="008E4121"/>
    <w:rsid w:val="008E4991"/>
    <w:rsid w:val="008E4D21"/>
    <w:rsid w:val="008E76CE"/>
    <w:rsid w:val="008E7C29"/>
    <w:rsid w:val="008E7C94"/>
    <w:rsid w:val="008F0DDD"/>
    <w:rsid w:val="008F140D"/>
    <w:rsid w:val="008F239E"/>
    <w:rsid w:val="008F2C3C"/>
    <w:rsid w:val="008F3459"/>
    <w:rsid w:val="008F3942"/>
    <w:rsid w:val="008F3A8A"/>
    <w:rsid w:val="008F583F"/>
    <w:rsid w:val="008F7098"/>
    <w:rsid w:val="009003B8"/>
    <w:rsid w:val="00900680"/>
    <w:rsid w:val="009019D4"/>
    <w:rsid w:val="00901B29"/>
    <w:rsid w:val="00904449"/>
    <w:rsid w:val="0091356D"/>
    <w:rsid w:val="0091545F"/>
    <w:rsid w:val="00915777"/>
    <w:rsid w:val="00921378"/>
    <w:rsid w:val="00922501"/>
    <w:rsid w:val="00922CC9"/>
    <w:rsid w:val="0092335B"/>
    <w:rsid w:val="00925A47"/>
    <w:rsid w:val="009278E8"/>
    <w:rsid w:val="00930777"/>
    <w:rsid w:val="0093120B"/>
    <w:rsid w:val="00933742"/>
    <w:rsid w:val="009340A8"/>
    <w:rsid w:val="00935FE6"/>
    <w:rsid w:val="009402E4"/>
    <w:rsid w:val="00940D3E"/>
    <w:rsid w:val="00941887"/>
    <w:rsid w:val="00942028"/>
    <w:rsid w:val="009445F6"/>
    <w:rsid w:val="009456AA"/>
    <w:rsid w:val="0094583B"/>
    <w:rsid w:val="00945AD3"/>
    <w:rsid w:val="0095029E"/>
    <w:rsid w:val="00951A15"/>
    <w:rsid w:val="00952312"/>
    <w:rsid w:val="00952E78"/>
    <w:rsid w:val="00953D50"/>
    <w:rsid w:val="009547FF"/>
    <w:rsid w:val="00956DFC"/>
    <w:rsid w:val="0096030D"/>
    <w:rsid w:val="00962D0E"/>
    <w:rsid w:val="00962D51"/>
    <w:rsid w:val="00963352"/>
    <w:rsid w:val="00965105"/>
    <w:rsid w:val="00965F99"/>
    <w:rsid w:val="00967721"/>
    <w:rsid w:val="00967B46"/>
    <w:rsid w:val="00970789"/>
    <w:rsid w:val="0097195C"/>
    <w:rsid w:val="009729ED"/>
    <w:rsid w:val="00975D4C"/>
    <w:rsid w:val="00976BFA"/>
    <w:rsid w:val="009773FA"/>
    <w:rsid w:val="0097798F"/>
    <w:rsid w:val="009816F5"/>
    <w:rsid w:val="0098399E"/>
    <w:rsid w:val="0098765D"/>
    <w:rsid w:val="0099066A"/>
    <w:rsid w:val="0099390A"/>
    <w:rsid w:val="00996A3D"/>
    <w:rsid w:val="009A0CB1"/>
    <w:rsid w:val="009A0EF8"/>
    <w:rsid w:val="009A24CA"/>
    <w:rsid w:val="009A2B46"/>
    <w:rsid w:val="009A2E0A"/>
    <w:rsid w:val="009A30AF"/>
    <w:rsid w:val="009A47E1"/>
    <w:rsid w:val="009A49E1"/>
    <w:rsid w:val="009A678E"/>
    <w:rsid w:val="009A6843"/>
    <w:rsid w:val="009A7AFC"/>
    <w:rsid w:val="009B354F"/>
    <w:rsid w:val="009B3D43"/>
    <w:rsid w:val="009B444E"/>
    <w:rsid w:val="009B4ADE"/>
    <w:rsid w:val="009B4F7D"/>
    <w:rsid w:val="009B7FF9"/>
    <w:rsid w:val="009C2A21"/>
    <w:rsid w:val="009C3EA3"/>
    <w:rsid w:val="009C5414"/>
    <w:rsid w:val="009C5E55"/>
    <w:rsid w:val="009C6B02"/>
    <w:rsid w:val="009C6BB0"/>
    <w:rsid w:val="009C7611"/>
    <w:rsid w:val="009C7745"/>
    <w:rsid w:val="009D0D27"/>
    <w:rsid w:val="009D29FB"/>
    <w:rsid w:val="009D2A06"/>
    <w:rsid w:val="009D3550"/>
    <w:rsid w:val="009D379B"/>
    <w:rsid w:val="009D3A54"/>
    <w:rsid w:val="009D55DE"/>
    <w:rsid w:val="009D5E94"/>
    <w:rsid w:val="009D63EF"/>
    <w:rsid w:val="009D64D9"/>
    <w:rsid w:val="009D6967"/>
    <w:rsid w:val="009E04D3"/>
    <w:rsid w:val="009E1934"/>
    <w:rsid w:val="009E1AAD"/>
    <w:rsid w:val="009E2709"/>
    <w:rsid w:val="009E4294"/>
    <w:rsid w:val="009E76E9"/>
    <w:rsid w:val="009F0732"/>
    <w:rsid w:val="009F1015"/>
    <w:rsid w:val="009F1CDC"/>
    <w:rsid w:val="009F3D1F"/>
    <w:rsid w:val="009F4273"/>
    <w:rsid w:val="009F4C7E"/>
    <w:rsid w:val="009F5B68"/>
    <w:rsid w:val="009F75AF"/>
    <w:rsid w:val="00A01405"/>
    <w:rsid w:val="00A02244"/>
    <w:rsid w:val="00A02567"/>
    <w:rsid w:val="00A04E2E"/>
    <w:rsid w:val="00A05B33"/>
    <w:rsid w:val="00A06530"/>
    <w:rsid w:val="00A06C99"/>
    <w:rsid w:val="00A075E4"/>
    <w:rsid w:val="00A07DDC"/>
    <w:rsid w:val="00A113CA"/>
    <w:rsid w:val="00A122C9"/>
    <w:rsid w:val="00A14303"/>
    <w:rsid w:val="00A162FE"/>
    <w:rsid w:val="00A1776A"/>
    <w:rsid w:val="00A17941"/>
    <w:rsid w:val="00A17DD9"/>
    <w:rsid w:val="00A2013F"/>
    <w:rsid w:val="00A203E6"/>
    <w:rsid w:val="00A220DD"/>
    <w:rsid w:val="00A22819"/>
    <w:rsid w:val="00A24D96"/>
    <w:rsid w:val="00A262F2"/>
    <w:rsid w:val="00A26A95"/>
    <w:rsid w:val="00A26D42"/>
    <w:rsid w:val="00A31DC7"/>
    <w:rsid w:val="00A3317E"/>
    <w:rsid w:val="00A35793"/>
    <w:rsid w:val="00A37939"/>
    <w:rsid w:val="00A40717"/>
    <w:rsid w:val="00A44457"/>
    <w:rsid w:val="00A44716"/>
    <w:rsid w:val="00A44EA9"/>
    <w:rsid w:val="00A604F2"/>
    <w:rsid w:val="00A618F6"/>
    <w:rsid w:val="00A62735"/>
    <w:rsid w:val="00A6353D"/>
    <w:rsid w:val="00A644DF"/>
    <w:rsid w:val="00A64D8F"/>
    <w:rsid w:val="00A6511C"/>
    <w:rsid w:val="00A654B4"/>
    <w:rsid w:val="00A6764C"/>
    <w:rsid w:val="00A72185"/>
    <w:rsid w:val="00A72923"/>
    <w:rsid w:val="00A741F4"/>
    <w:rsid w:val="00A7445D"/>
    <w:rsid w:val="00A74DE3"/>
    <w:rsid w:val="00A7681E"/>
    <w:rsid w:val="00A8008A"/>
    <w:rsid w:val="00A8047E"/>
    <w:rsid w:val="00A82758"/>
    <w:rsid w:val="00A82960"/>
    <w:rsid w:val="00A83040"/>
    <w:rsid w:val="00A83A70"/>
    <w:rsid w:val="00A83F71"/>
    <w:rsid w:val="00A8466D"/>
    <w:rsid w:val="00A8493F"/>
    <w:rsid w:val="00A84A94"/>
    <w:rsid w:val="00A856EA"/>
    <w:rsid w:val="00A867C0"/>
    <w:rsid w:val="00A90B4D"/>
    <w:rsid w:val="00A91CE3"/>
    <w:rsid w:val="00A91D54"/>
    <w:rsid w:val="00A92A68"/>
    <w:rsid w:val="00A92FD6"/>
    <w:rsid w:val="00A95242"/>
    <w:rsid w:val="00A95A1F"/>
    <w:rsid w:val="00A95BDF"/>
    <w:rsid w:val="00A96BC5"/>
    <w:rsid w:val="00A97C2F"/>
    <w:rsid w:val="00AA0077"/>
    <w:rsid w:val="00AA1496"/>
    <w:rsid w:val="00AA4615"/>
    <w:rsid w:val="00AA50DE"/>
    <w:rsid w:val="00AA5686"/>
    <w:rsid w:val="00AA5FBC"/>
    <w:rsid w:val="00AB101E"/>
    <w:rsid w:val="00AB2DE4"/>
    <w:rsid w:val="00AB5A60"/>
    <w:rsid w:val="00AB5B63"/>
    <w:rsid w:val="00AB6EE7"/>
    <w:rsid w:val="00AC0691"/>
    <w:rsid w:val="00AC1CFA"/>
    <w:rsid w:val="00AC2439"/>
    <w:rsid w:val="00AC40B1"/>
    <w:rsid w:val="00AC58E5"/>
    <w:rsid w:val="00AC6BA6"/>
    <w:rsid w:val="00AC7264"/>
    <w:rsid w:val="00AC7566"/>
    <w:rsid w:val="00AC7E25"/>
    <w:rsid w:val="00AD05C8"/>
    <w:rsid w:val="00AD06B8"/>
    <w:rsid w:val="00AD3AF0"/>
    <w:rsid w:val="00AD3FDA"/>
    <w:rsid w:val="00AD517C"/>
    <w:rsid w:val="00AD646E"/>
    <w:rsid w:val="00AD6683"/>
    <w:rsid w:val="00AE02A3"/>
    <w:rsid w:val="00AE2738"/>
    <w:rsid w:val="00AE3ECB"/>
    <w:rsid w:val="00AE4520"/>
    <w:rsid w:val="00AE4C15"/>
    <w:rsid w:val="00AE500B"/>
    <w:rsid w:val="00AF1735"/>
    <w:rsid w:val="00AF66A5"/>
    <w:rsid w:val="00AF7587"/>
    <w:rsid w:val="00B0039C"/>
    <w:rsid w:val="00B00962"/>
    <w:rsid w:val="00B00ADB"/>
    <w:rsid w:val="00B01566"/>
    <w:rsid w:val="00B0189D"/>
    <w:rsid w:val="00B02223"/>
    <w:rsid w:val="00B02802"/>
    <w:rsid w:val="00B02D02"/>
    <w:rsid w:val="00B02ED1"/>
    <w:rsid w:val="00B03835"/>
    <w:rsid w:val="00B04412"/>
    <w:rsid w:val="00B05949"/>
    <w:rsid w:val="00B133F1"/>
    <w:rsid w:val="00B14026"/>
    <w:rsid w:val="00B14407"/>
    <w:rsid w:val="00B15005"/>
    <w:rsid w:val="00B158D4"/>
    <w:rsid w:val="00B226E6"/>
    <w:rsid w:val="00B24DCE"/>
    <w:rsid w:val="00B2516E"/>
    <w:rsid w:val="00B25876"/>
    <w:rsid w:val="00B25C20"/>
    <w:rsid w:val="00B26137"/>
    <w:rsid w:val="00B26D7F"/>
    <w:rsid w:val="00B30C7E"/>
    <w:rsid w:val="00B3133E"/>
    <w:rsid w:val="00B3192F"/>
    <w:rsid w:val="00B319E0"/>
    <w:rsid w:val="00B3239C"/>
    <w:rsid w:val="00B32884"/>
    <w:rsid w:val="00B3698C"/>
    <w:rsid w:val="00B36DAD"/>
    <w:rsid w:val="00B408B7"/>
    <w:rsid w:val="00B40B98"/>
    <w:rsid w:val="00B41AE3"/>
    <w:rsid w:val="00B42144"/>
    <w:rsid w:val="00B43CFE"/>
    <w:rsid w:val="00B47275"/>
    <w:rsid w:val="00B47B5C"/>
    <w:rsid w:val="00B50388"/>
    <w:rsid w:val="00B51624"/>
    <w:rsid w:val="00B51B77"/>
    <w:rsid w:val="00B5231F"/>
    <w:rsid w:val="00B54441"/>
    <w:rsid w:val="00B55EA8"/>
    <w:rsid w:val="00B6023B"/>
    <w:rsid w:val="00B607C0"/>
    <w:rsid w:val="00B62EF2"/>
    <w:rsid w:val="00B63B5F"/>
    <w:rsid w:val="00B64EEF"/>
    <w:rsid w:val="00B65FEE"/>
    <w:rsid w:val="00B6607A"/>
    <w:rsid w:val="00B66D04"/>
    <w:rsid w:val="00B67002"/>
    <w:rsid w:val="00B677B7"/>
    <w:rsid w:val="00B707F7"/>
    <w:rsid w:val="00B7085C"/>
    <w:rsid w:val="00B70D76"/>
    <w:rsid w:val="00B71D3C"/>
    <w:rsid w:val="00B71D8C"/>
    <w:rsid w:val="00B721DE"/>
    <w:rsid w:val="00B736F5"/>
    <w:rsid w:val="00B738E8"/>
    <w:rsid w:val="00B7446C"/>
    <w:rsid w:val="00B75F5C"/>
    <w:rsid w:val="00B77BE8"/>
    <w:rsid w:val="00B8031D"/>
    <w:rsid w:val="00B80A24"/>
    <w:rsid w:val="00B80EE7"/>
    <w:rsid w:val="00B82F71"/>
    <w:rsid w:val="00B8337A"/>
    <w:rsid w:val="00B84E28"/>
    <w:rsid w:val="00B85613"/>
    <w:rsid w:val="00B85F3C"/>
    <w:rsid w:val="00B866B6"/>
    <w:rsid w:val="00B87389"/>
    <w:rsid w:val="00B90FB8"/>
    <w:rsid w:val="00B9449B"/>
    <w:rsid w:val="00B94BEB"/>
    <w:rsid w:val="00BA03EE"/>
    <w:rsid w:val="00BA0D2F"/>
    <w:rsid w:val="00BA299F"/>
    <w:rsid w:val="00BA2FEA"/>
    <w:rsid w:val="00BA34E6"/>
    <w:rsid w:val="00BA3C5D"/>
    <w:rsid w:val="00BA3E1C"/>
    <w:rsid w:val="00BA41FC"/>
    <w:rsid w:val="00BA6631"/>
    <w:rsid w:val="00BA6B90"/>
    <w:rsid w:val="00BA7758"/>
    <w:rsid w:val="00BB0B76"/>
    <w:rsid w:val="00BB1513"/>
    <w:rsid w:val="00BB2CA5"/>
    <w:rsid w:val="00BB4D9B"/>
    <w:rsid w:val="00BB5197"/>
    <w:rsid w:val="00BC0D6B"/>
    <w:rsid w:val="00BC15F0"/>
    <w:rsid w:val="00BC1700"/>
    <w:rsid w:val="00BC33D0"/>
    <w:rsid w:val="00BC3B76"/>
    <w:rsid w:val="00BC4010"/>
    <w:rsid w:val="00BC51D3"/>
    <w:rsid w:val="00BC6216"/>
    <w:rsid w:val="00BC7BCD"/>
    <w:rsid w:val="00BD03CE"/>
    <w:rsid w:val="00BD0FAC"/>
    <w:rsid w:val="00BD44C9"/>
    <w:rsid w:val="00BD452D"/>
    <w:rsid w:val="00BD5018"/>
    <w:rsid w:val="00BD6039"/>
    <w:rsid w:val="00BD6E6E"/>
    <w:rsid w:val="00BD7395"/>
    <w:rsid w:val="00BE26B5"/>
    <w:rsid w:val="00BE2EDE"/>
    <w:rsid w:val="00BE4408"/>
    <w:rsid w:val="00BE594B"/>
    <w:rsid w:val="00BE7E71"/>
    <w:rsid w:val="00BF0AB8"/>
    <w:rsid w:val="00BF2339"/>
    <w:rsid w:val="00BF2ED4"/>
    <w:rsid w:val="00BF3AE6"/>
    <w:rsid w:val="00BF3E6E"/>
    <w:rsid w:val="00BF407A"/>
    <w:rsid w:val="00BF49C9"/>
    <w:rsid w:val="00BF7511"/>
    <w:rsid w:val="00C018B4"/>
    <w:rsid w:val="00C01D97"/>
    <w:rsid w:val="00C0292C"/>
    <w:rsid w:val="00C03198"/>
    <w:rsid w:val="00C031B6"/>
    <w:rsid w:val="00C05C05"/>
    <w:rsid w:val="00C11917"/>
    <w:rsid w:val="00C11C1B"/>
    <w:rsid w:val="00C11D1A"/>
    <w:rsid w:val="00C11E8B"/>
    <w:rsid w:val="00C124C7"/>
    <w:rsid w:val="00C135BF"/>
    <w:rsid w:val="00C146DA"/>
    <w:rsid w:val="00C14814"/>
    <w:rsid w:val="00C155EA"/>
    <w:rsid w:val="00C16179"/>
    <w:rsid w:val="00C20792"/>
    <w:rsid w:val="00C21DCA"/>
    <w:rsid w:val="00C22A36"/>
    <w:rsid w:val="00C22FAC"/>
    <w:rsid w:val="00C23008"/>
    <w:rsid w:val="00C23B27"/>
    <w:rsid w:val="00C24FF0"/>
    <w:rsid w:val="00C25B5A"/>
    <w:rsid w:val="00C25EEE"/>
    <w:rsid w:val="00C269D8"/>
    <w:rsid w:val="00C279AB"/>
    <w:rsid w:val="00C27D97"/>
    <w:rsid w:val="00C30D24"/>
    <w:rsid w:val="00C31253"/>
    <w:rsid w:val="00C313BE"/>
    <w:rsid w:val="00C32D09"/>
    <w:rsid w:val="00C33C92"/>
    <w:rsid w:val="00C345A1"/>
    <w:rsid w:val="00C34871"/>
    <w:rsid w:val="00C41D53"/>
    <w:rsid w:val="00C43690"/>
    <w:rsid w:val="00C445FD"/>
    <w:rsid w:val="00C44D1B"/>
    <w:rsid w:val="00C46F20"/>
    <w:rsid w:val="00C47F77"/>
    <w:rsid w:val="00C50930"/>
    <w:rsid w:val="00C50C7E"/>
    <w:rsid w:val="00C51D00"/>
    <w:rsid w:val="00C53289"/>
    <w:rsid w:val="00C5388E"/>
    <w:rsid w:val="00C544C2"/>
    <w:rsid w:val="00C55582"/>
    <w:rsid w:val="00C56138"/>
    <w:rsid w:val="00C57DFE"/>
    <w:rsid w:val="00C6013D"/>
    <w:rsid w:val="00C60365"/>
    <w:rsid w:val="00C60B01"/>
    <w:rsid w:val="00C61538"/>
    <w:rsid w:val="00C6166C"/>
    <w:rsid w:val="00C61A54"/>
    <w:rsid w:val="00C63213"/>
    <w:rsid w:val="00C63C55"/>
    <w:rsid w:val="00C64A71"/>
    <w:rsid w:val="00C700E9"/>
    <w:rsid w:val="00C71480"/>
    <w:rsid w:val="00C71547"/>
    <w:rsid w:val="00C715FC"/>
    <w:rsid w:val="00C7191B"/>
    <w:rsid w:val="00C727B6"/>
    <w:rsid w:val="00C73A3B"/>
    <w:rsid w:val="00C758DA"/>
    <w:rsid w:val="00C76CD0"/>
    <w:rsid w:val="00C774CA"/>
    <w:rsid w:val="00C820C4"/>
    <w:rsid w:val="00C841CC"/>
    <w:rsid w:val="00C84E8F"/>
    <w:rsid w:val="00C8502A"/>
    <w:rsid w:val="00C85610"/>
    <w:rsid w:val="00C85E51"/>
    <w:rsid w:val="00C86BD2"/>
    <w:rsid w:val="00C86D41"/>
    <w:rsid w:val="00C8717F"/>
    <w:rsid w:val="00C87AFB"/>
    <w:rsid w:val="00C87B21"/>
    <w:rsid w:val="00C90700"/>
    <w:rsid w:val="00C9138E"/>
    <w:rsid w:val="00C9293F"/>
    <w:rsid w:val="00C93498"/>
    <w:rsid w:val="00C9386D"/>
    <w:rsid w:val="00C93C7D"/>
    <w:rsid w:val="00C95D24"/>
    <w:rsid w:val="00C96A52"/>
    <w:rsid w:val="00C97195"/>
    <w:rsid w:val="00C97516"/>
    <w:rsid w:val="00CA0BBF"/>
    <w:rsid w:val="00CA1F22"/>
    <w:rsid w:val="00CA2BD8"/>
    <w:rsid w:val="00CA5E3D"/>
    <w:rsid w:val="00CA6F23"/>
    <w:rsid w:val="00CB0289"/>
    <w:rsid w:val="00CB0E1A"/>
    <w:rsid w:val="00CB1453"/>
    <w:rsid w:val="00CB2125"/>
    <w:rsid w:val="00CB2773"/>
    <w:rsid w:val="00CB2E57"/>
    <w:rsid w:val="00CB3495"/>
    <w:rsid w:val="00CB3C4A"/>
    <w:rsid w:val="00CB4237"/>
    <w:rsid w:val="00CB4AA6"/>
    <w:rsid w:val="00CB51CD"/>
    <w:rsid w:val="00CB526D"/>
    <w:rsid w:val="00CB575A"/>
    <w:rsid w:val="00CB64A1"/>
    <w:rsid w:val="00CB6F1D"/>
    <w:rsid w:val="00CC005F"/>
    <w:rsid w:val="00CC26BC"/>
    <w:rsid w:val="00CC3C1B"/>
    <w:rsid w:val="00CC55EC"/>
    <w:rsid w:val="00CC5A4B"/>
    <w:rsid w:val="00CC6D1C"/>
    <w:rsid w:val="00CC709B"/>
    <w:rsid w:val="00CC7E07"/>
    <w:rsid w:val="00CD01CF"/>
    <w:rsid w:val="00CD02E8"/>
    <w:rsid w:val="00CD0CD0"/>
    <w:rsid w:val="00CD0CD4"/>
    <w:rsid w:val="00CD3C3D"/>
    <w:rsid w:val="00CD4E19"/>
    <w:rsid w:val="00CD563F"/>
    <w:rsid w:val="00CD58C7"/>
    <w:rsid w:val="00CD5AA6"/>
    <w:rsid w:val="00CD5C37"/>
    <w:rsid w:val="00CE1C82"/>
    <w:rsid w:val="00CE2A89"/>
    <w:rsid w:val="00CE3027"/>
    <w:rsid w:val="00CE5559"/>
    <w:rsid w:val="00CE6072"/>
    <w:rsid w:val="00CE6F05"/>
    <w:rsid w:val="00CE7459"/>
    <w:rsid w:val="00CE788D"/>
    <w:rsid w:val="00CF11A5"/>
    <w:rsid w:val="00CF2337"/>
    <w:rsid w:val="00CF32C2"/>
    <w:rsid w:val="00CF6216"/>
    <w:rsid w:val="00D005C1"/>
    <w:rsid w:val="00D0116A"/>
    <w:rsid w:val="00D016CE"/>
    <w:rsid w:val="00D02594"/>
    <w:rsid w:val="00D03D95"/>
    <w:rsid w:val="00D042D0"/>
    <w:rsid w:val="00D04DAC"/>
    <w:rsid w:val="00D05B0E"/>
    <w:rsid w:val="00D0663C"/>
    <w:rsid w:val="00D069FC"/>
    <w:rsid w:val="00D071D1"/>
    <w:rsid w:val="00D1050C"/>
    <w:rsid w:val="00D1228E"/>
    <w:rsid w:val="00D12371"/>
    <w:rsid w:val="00D133F1"/>
    <w:rsid w:val="00D13F4C"/>
    <w:rsid w:val="00D17E16"/>
    <w:rsid w:val="00D17F4D"/>
    <w:rsid w:val="00D20510"/>
    <w:rsid w:val="00D21018"/>
    <w:rsid w:val="00D21A61"/>
    <w:rsid w:val="00D22748"/>
    <w:rsid w:val="00D253D3"/>
    <w:rsid w:val="00D2546F"/>
    <w:rsid w:val="00D25A3E"/>
    <w:rsid w:val="00D27983"/>
    <w:rsid w:val="00D27E52"/>
    <w:rsid w:val="00D30669"/>
    <w:rsid w:val="00D31091"/>
    <w:rsid w:val="00D31E5B"/>
    <w:rsid w:val="00D32ED9"/>
    <w:rsid w:val="00D34862"/>
    <w:rsid w:val="00D37CBD"/>
    <w:rsid w:val="00D4175F"/>
    <w:rsid w:val="00D45515"/>
    <w:rsid w:val="00D45792"/>
    <w:rsid w:val="00D46ED9"/>
    <w:rsid w:val="00D4728B"/>
    <w:rsid w:val="00D509B4"/>
    <w:rsid w:val="00D50E01"/>
    <w:rsid w:val="00D52BBF"/>
    <w:rsid w:val="00D533EA"/>
    <w:rsid w:val="00D54624"/>
    <w:rsid w:val="00D54AA4"/>
    <w:rsid w:val="00D55EB2"/>
    <w:rsid w:val="00D56E49"/>
    <w:rsid w:val="00D57217"/>
    <w:rsid w:val="00D57613"/>
    <w:rsid w:val="00D57BBF"/>
    <w:rsid w:val="00D6039A"/>
    <w:rsid w:val="00D60B64"/>
    <w:rsid w:val="00D62B78"/>
    <w:rsid w:val="00D63049"/>
    <w:rsid w:val="00D64775"/>
    <w:rsid w:val="00D6499C"/>
    <w:rsid w:val="00D64AFC"/>
    <w:rsid w:val="00D7001C"/>
    <w:rsid w:val="00D70937"/>
    <w:rsid w:val="00D70B5F"/>
    <w:rsid w:val="00D7203F"/>
    <w:rsid w:val="00D72263"/>
    <w:rsid w:val="00D730D2"/>
    <w:rsid w:val="00D749A7"/>
    <w:rsid w:val="00D74DA3"/>
    <w:rsid w:val="00D7509A"/>
    <w:rsid w:val="00D75468"/>
    <w:rsid w:val="00D76273"/>
    <w:rsid w:val="00D76EA5"/>
    <w:rsid w:val="00D778DF"/>
    <w:rsid w:val="00D8269D"/>
    <w:rsid w:val="00D832DE"/>
    <w:rsid w:val="00D843B7"/>
    <w:rsid w:val="00D850E8"/>
    <w:rsid w:val="00D85F84"/>
    <w:rsid w:val="00D861C7"/>
    <w:rsid w:val="00D86FF2"/>
    <w:rsid w:val="00D87C45"/>
    <w:rsid w:val="00D916C0"/>
    <w:rsid w:val="00D92523"/>
    <w:rsid w:val="00D92B52"/>
    <w:rsid w:val="00D94262"/>
    <w:rsid w:val="00D9475E"/>
    <w:rsid w:val="00D95F08"/>
    <w:rsid w:val="00D96580"/>
    <w:rsid w:val="00D97434"/>
    <w:rsid w:val="00DA138A"/>
    <w:rsid w:val="00DA1F7A"/>
    <w:rsid w:val="00DA25EC"/>
    <w:rsid w:val="00DA3054"/>
    <w:rsid w:val="00DA347D"/>
    <w:rsid w:val="00DA5340"/>
    <w:rsid w:val="00DA5344"/>
    <w:rsid w:val="00DA5836"/>
    <w:rsid w:val="00DB023D"/>
    <w:rsid w:val="00DB3038"/>
    <w:rsid w:val="00DB5766"/>
    <w:rsid w:val="00DB57D4"/>
    <w:rsid w:val="00DB5DDF"/>
    <w:rsid w:val="00DB6521"/>
    <w:rsid w:val="00DB6661"/>
    <w:rsid w:val="00DB6892"/>
    <w:rsid w:val="00DB6E53"/>
    <w:rsid w:val="00DC11FE"/>
    <w:rsid w:val="00DC18EF"/>
    <w:rsid w:val="00DC1ADC"/>
    <w:rsid w:val="00DC1E01"/>
    <w:rsid w:val="00DC35A0"/>
    <w:rsid w:val="00DC5DA0"/>
    <w:rsid w:val="00DC5E91"/>
    <w:rsid w:val="00DC707E"/>
    <w:rsid w:val="00DC712F"/>
    <w:rsid w:val="00DD1D3A"/>
    <w:rsid w:val="00DD36F9"/>
    <w:rsid w:val="00DD3D47"/>
    <w:rsid w:val="00DD4605"/>
    <w:rsid w:val="00DD4BEF"/>
    <w:rsid w:val="00DD4D60"/>
    <w:rsid w:val="00DD4DBC"/>
    <w:rsid w:val="00DD60C1"/>
    <w:rsid w:val="00DE180C"/>
    <w:rsid w:val="00DE295E"/>
    <w:rsid w:val="00DE36D3"/>
    <w:rsid w:val="00DE5976"/>
    <w:rsid w:val="00DE5FE6"/>
    <w:rsid w:val="00DE6046"/>
    <w:rsid w:val="00DE6417"/>
    <w:rsid w:val="00DE74D3"/>
    <w:rsid w:val="00DE7C46"/>
    <w:rsid w:val="00DF1481"/>
    <w:rsid w:val="00DF162F"/>
    <w:rsid w:val="00DF21D2"/>
    <w:rsid w:val="00DF2BD8"/>
    <w:rsid w:val="00DF2CB4"/>
    <w:rsid w:val="00DF330D"/>
    <w:rsid w:val="00DF34C1"/>
    <w:rsid w:val="00DF3C7F"/>
    <w:rsid w:val="00DF4D99"/>
    <w:rsid w:val="00DF7713"/>
    <w:rsid w:val="00DF7C16"/>
    <w:rsid w:val="00E01B29"/>
    <w:rsid w:val="00E0233D"/>
    <w:rsid w:val="00E02896"/>
    <w:rsid w:val="00E029E7"/>
    <w:rsid w:val="00E06F9B"/>
    <w:rsid w:val="00E07CA0"/>
    <w:rsid w:val="00E124C6"/>
    <w:rsid w:val="00E14CDF"/>
    <w:rsid w:val="00E2125C"/>
    <w:rsid w:val="00E22535"/>
    <w:rsid w:val="00E2273F"/>
    <w:rsid w:val="00E22EFF"/>
    <w:rsid w:val="00E25A12"/>
    <w:rsid w:val="00E27E06"/>
    <w:rsid w:val="00E32A71"/>
    <w:rsid w:val="00E34B30"/>
    <w:rsid w:val="00E34C56"/>
    <w:rsid w:val="00E34D2F"/>
    <w:rsid w:val="00E34F56"/>
    <w:rsid w:val="00E351EE"/>
    <w:rsid w:val="00E353A7"/>
    <w:rsid w:val="00E35982"/>
    <w:rsid w:val="00E36952"/>
    <w:rsid w:val="00E36B64"/>
    <w:rsid w:val="00E36E68"/>
    <w:rsid w:val="00E37BD4"/>
    <w:rsid w:val="00E37FE3"/>
    <w:rsid w:val="00E40674"/>
    <w:rsid w:val="00E40BD9"/>
    <w:rsid w:val="00E423C5"/>
    <w:rsid w:val="00E448EE"/>
    <w:rsid w:val="00E45240"/>
    <w:rsid w:val="00E46A87"/>
    <w:rsid w:val="00E46AB9"/>
    <w:rsid w:val="00E4715A"/>
    <w:rsid w:val="00E473FE"/>
    <w:rsid w:val="00E519B1"/>
    <w:rsid w:val="00E54231"/>
    <w:rsid w:val="00E56B01"/>
    <w:rsid w:val="00E57F7B"/>
    <w:rsid w:val="00E6147B"/>
    <w:rsid w:val="00E61540"/>
    <w:rsid w:val="00E61AD5"/>
    <w:rsid w:val="00E63114"/>
    <w:rsid w:val="00E65EFE"/>
    <w:rsid w:val="00E664C7"/>
    <w:rsid w:val="00E67908"/>
    <w:rsid w:val="00E703B6"/>
    <w:rsid w:val="00E72675"/>
    <w:rsid w:val="00E731C6"/>
    <w:rsid w:val="00E7361A"/>
    <w:rsid w:val="00E73717"/>
    <w:rsid w:val="00E73750"/>
    <w:rsid w:val="00E73FDF"/>
    <w:rsid w:val="00E74B8A"/>
    <w:rsid w:val="00E76A7B"/>
    <w:rsid w:val="00E77C3B"/>
    <w:rsid w:val="00E800E6"/>
    <w:rsid w:val="00E81221"/>
    <w:rsid w:val="00E82751"/>
    <w:rsid w:val="00E83FCF"/>
    <w:rsid w:val="00E850A5"/>
    <w:rsid w:val="00E85136"/>
    <w:rsid w:val="00E8584F"/>
    <w:rsid w:val="00E85EB5"/>
    <w:rsid w:val="00E86735"/>
    <w:rsid w:val="00E876AA"/>
    <w:rsid w:val="00E90845"/>
    <w:rsid w:val="00E9216E"/>
    <w:rsid w:val="00E92801"/>
    <w:rsid w:val="00E929AF"/>
    <w:rsid w:val="00E92EF4"/>
    <w:rsid w:val="00E94440"/>
    <w:rsid w:val="00E94E94"/>
    <w:rsid w:val="00E952E0"/>
    <w:rsid w:val="00E95A03"/>
    <w:rsid w:val="00E96623"/>
    <w:rsid w:val="00E96852"/>
    <w:rsid w:val="00E96929"/>
    <w:rsid w:val="00E975A7"/>
    <w:rsid w:val="00EA2490"/>
    <w:rsid w:val="00EA2C74"/>
    <w:rsid w:val="00EA4AD5"/>
    <w:rsid w:val="00EA573F"/>
    <w:rsid w:val="00EB078B"/>
    <w:rsid w:val="00EB346F"/>
    <w:rsid w:val="00EB395A"/>
    <w:rsid w:val="00EB3FDD"/>
    <w:rsid w:val="00EB4C55"/>
    <w:rsid w:val="00EB4DFC"/>
    <w:rsid w:val="00EB59AA"/>
    <w:rsid w:val="00EB5CE9"/>
    <w:rsid w:val="00EB64BA"/>
    <w:rsid w:val="00EB6920"/>
    <w:rsid w:val="00EB6A46"/>
    <w:rsid w:val="00EB722D"/>
    <w:rsid w:val="00EB73E8"/>
    <w:rsid w:val="00EC39D3"/>
    <w:rsid w:val="00EC60D4"/>
    <w:rsid w:val="00EC74AC"/>
    <w:rsid w:val="00EC7DF0"/>
    <w:rsid w:val="00ED056D"/>
    <w:rsid w:val="00ED253D"/>
    <w:rsid w:val="00ED72D4"/>
    <w:rsid w:val="00ED742A"/>
    <w:rsid w:val="00EE0E6E"/>
    <w:rsid w:val="00EE10C7"/>
    <w:rsid w:val="00EE34B2"/>
    <w:rsid w:val="00EE5A45"/>
    <w:rsid w:val="00EE5B1D"/>
    <w:rsid w:val="00EE6AA3"/>
    <w:rsid w:val="00EF0453"/>
    <w:rsid w:val="00EF19EF"/>
    <w:rsid w:val="00EF22FA"/>
    <w:rsid w:val="00EF3C41"/>
    <w:rsid w:val="00F01AFC"/>
    <w:rsid w:val="00F029E8"/>
    <w:rsid w:val="00F040F5"/>
    <w:rsid w:val="00F0454C"/>
    <w:rsid w:val="00F05C36"/>
    <w:rsid w:val="00F10386"/>
    <w:rsid w:val="00F10CA9"/>
    <w:rsid w:val="00F1166B"/>
    <w:rsid w:val="00F13546"/>
    <w:rsid w:val="00F15098"/>
    <w:rsid w:val="00F15953"/>
    <w:rsid w:val="00F15B4A"/>
    <w:rsid w:val="00F20FEC"/>
    <w:rsid w:val="00F21D44"/>
    <w:rsid w:val="00F238D5"/>
    <w:rsid w:val="00F25288"/>
    <w:rsid w:val="00F256FE"/>
    <w:rsid w:val="00F26D56"/>
    <w:rsid w:val="00F26DEA"/>
    <w:rsid w:val="00F27286"/>
    <w:rsid w:val="00F2763C"/>
    <w:rsid w:val="00F31BD0"/>
    <w:rsid w:val="00F326ED"/>
    <w:rsid w:val="00F32B1E"/>
    <w:rsid w:val="00F32D1A"/>
    <w:rsid w:val="00F33D70"/>
    <w:rsid w:val="00F34B64"/>
    <w:rsid w:val="00F34B80"/>
    <w:rsid w:val="00F363E9"/>
    <w:rsid w:val="00F3685F"/>
    <w:rsid w:val="00F37269"/>
    <w:rsid w:val="00F431E3"/>
    <w:rsid w:val="00F43267"/>
    <w:rsid w:val="00F43BB5"/>
    <w:rsid w:val="00F43C16"/>
    <w:rsid w:val="00F517A7"/>
    <w:rsid w:val="00F53357"/>
    <w:rsid w:val="00F53ADF"/>
    <w:rsid w:val="00F557B1"/>
    <w:rsid w:val="00F559F1"/>
    <w:rsid w:val="00F55CB6"/>
    <w:rsid w:val="00F57AC9"/>
    <w:rsid w:val="00F57B84"/>
    <w:rsid w:val="00F61D3C"/>
    <w:rsid w:val="00F62154"/>
    <w:rsid w:val="00F629B9"/>
    <w:rsid w:val="00F6312D"/>
    <w:rsid w:val="00F639A4"/>
    <w:rsid w:val="00F639BB"/>
    <w:rsid w:val="00F63F92"/>
    <w:rsid w:val="00F64F2F"/>
    <w:rsid w:val="00F650ED"/>
    <w:rsid w:val="00F65FA4"/>
    <w:rsid w:val="00F67876"/>
    <w:rsid w:val="00F67FA1"/>
    <w:rsid w:val="00F7073B"/>
    <w:rsid w:val="00F72274"/>
    <w:rsid w:val="00F72A34"/>
    <w:rsid w:val="00F72F25"/>
    <w:rsid w:val="00F74632"/>
    <w:rsid w:val="00F74F51"/>
    <w:rsid w:val="00F776DA"/>
    <w:rsid w:val="00F807EF"/>
    <w:rsid w:val="00F80D92"/>
    <w:rsid w:val="00F82B12"/>
    <w:rsid w:val="00F83BA3"/>
    <w:rsid w:val="00F8738D"/>
    <w:rsid w:val="00F902F6"/>
    <w:rsid w:val="00F905DF"/>
    <w:rsid w:val="00F9104E"/>
    <w:rsid w:val="00F9180B"/>
    <w:rsid w:val="00F924E2"/>
    <w:rsid w:val="00F92584"/>
    <w:rsid w:val="00F927F5"/>
    <w:rsid w:val="00F93E83"/>
    <w:rsid w:val="00F9556A"/>
    <w:rsid w:val="00F959A2"/>
    <w:rsid w:val="00F95C7C"/>
    <w:rsid w:val="00F973B4"/>
    <w:rsid w:val="00F974CA"/>
    <w:rsid w:val="00FA020C"/>
    <w:rsid w:val="00FA02B3"/>
    <w:rsid w:val="00FA0468"/>
    <w:rsid w:val="00FA0762"/>
    <w:rsid w:val="00FA08DA"/>
    <w:rsid w:val="00FA1D94"/>
    <w:rsid w:val="00FA28CA"/>
    <w:rsid w:val="00FA2FBB"/>
    <w:rsid w:val="00FA53DE"/>
    <w:rsid w:val="00FA6BDD"/>
    <w:rsid w:val="00FB0D2A"/>
    <w:rsid w:val="00FB0DFB"/>
    <w:rsid w:val="00FB12AC"/>
    <w:rsid w:val="00FB20CF"/>
    <w:rsid w:val="00FB448C"/>
    <w:rsid w:val="00FB4663"/>
    <w:rsid w:val="00FB4839"/>
    <w:rsid w:val="00FB5488"/>
    <w:rsid w:val="00FB6B3F"/>
    <w:rsid w:val="00FC1248"/>
    <w:rsid w:val="00FC13D5"/>
    <w:rsid w:val="00FC1915"/>
    <w:rsid w:val="00FC1AAF"/>
    <w:rsid w:val="00FC1C48"/>
    <w:rsid w:val="00FC25E0"/>
    <w:rsid w:val="00FC3F06"/>
    <w:rsid w:val="00FC4A7E"/>
    <w:rsid w:val="00FC58EA"/>
    <w:rsid w:val="00FC674E"/>
    <w:rsid w:val="00FC73F6"/>
    <w:rsid w:val="00FC7C44"/>
    <w:rsid w:val="00FD0941"/>
    <w:rsid w:val="00FD1137"/>
    <w:rsid w:val="00FD194D"/>
    <w:rsid w:val="00FD1AE2"/>
    <w:rsid w:val="00FD1D47"/>
    <w:rsid w:val="00FD247B"/>
    <w:rsid w:val="00FD27DC"/>
    <w:rsid w:val="00FD3CB9"/>
    <w:rsid w:val="00FD4CA8"/>
    <w:rsid w:val="00FD51CF"/>
    <w:rsid w:val="00FD60BE"/>
    <w:rsid w:val="00FD61A0"/>
    <w:rsid w:val="00FE0911"/>
    <w:rsid w:val="00FE13C3"/>
    <w:rsid w:val="00FE26D7"/>
    <w:rsid w:val="00FE3BBD"/>
    <w:rsid w:val="00FE4E40"/>
    <w:rsid w:val="00FE55EB"/>
    <w:rsid w:val="00FE6202"/>
    <w:rsid w:val="00FE72BC"/>
    <w:rsid w:val="00FF04BF"/>
    <w:rsid w:val="00FF2716"/>
    <w:rsid w:val="00FF2A93"/>
    <w:rsid w:val="00FF3355"/>
    <w:rsid w:val="00FF4CF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BEF2B7"/>
  <w15:docId w15:val="{F778FE89-2FD5-48F3-81AE-28DB5AD1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styleId="Vietturateksts">
    <w:name w:val="Placeholder Text"/>
    <w:basedOn w:val="Noklusjumarindkopasfonts"/>
    <w:uiPriority w:val="99"/>
    <w:semiHidden/>
    <w:rsid w:val="00F65FA4"/>
    <w:rPr>
      <w:color w:val="808080"/>
    </w:rPr>
  </w:style>
  <w:style w:type="paragraph" w:customStyle="1" w:styleId="CM4">
    <w:name w:val="CM4"/>
    <w:basedOn w:val="Parasts"/>
    <w:uiPriority w:val="99"/>
    <w:rsid w:val="009C5E55"/>
    <w:pPr>
      <w:autoSpaceDE w:val="0"/>
      <w:autoSpaceDN w:val="0"/>
    </w:pPr>
    <w:rPr>
      <w:rFonts w:eastAsiaTheme="minorHAnsi"/>
      <w:lang w:val="lv-LV" w:eastAsia="lv-LV"/>
    </w:rPr>
  </w:style>
  <w:style w:type="paragraph" w:customStyle="1" w:styleId="msolistparagraph0">
    <w:name w:val="msolistparagraph"/>
    <w:basedOn w:val="Parasts"/>
    <w:rsid w:val="00E32A71"/>
    <w:pPr>
      <w:ind w:left="720"/>
    </w:pPr>
    <w:rPr>
      <w:lang w:val="lv-LV" w:eastAsia="lv-LV"/>
    </w:rPr>
  </w:style>
  <w:style w:type="character" w:customStyle="1" w:styleId="italic">
    <w:name w:val="italic"/>
    <w:basedOn w:val="Noklusjumarindkopasfonts"/>
    <w:rsid w:val="001C5410"/>
  </w:style>
  <w:style w:type="paragraph" w:customStyle="1" w:styleId="title-doc-first2">
    <w:name w:val="title-doc-first2"/>
    <w:basedOn w:val="Parasts"/>
    <w:rsid w:val="00B866B6"/>
    <w:pPr>
      <w:spacing w:before="120" w:line="312" w:lineRule="atLeast"/>
      <w:jc w:val="center"/>
    </w:pPr>
    <w:rPr>
      <w:b/>
      <w:bCs/>
      <w:lang w:val="lv-LV" w:eastAsia="lv-LV"/>
    </w:rPr>
  </w:style>
  <w:style w:type="character" w:customStyle="1" w:styleId="UnresolvedMention1">
    <w:name w:val="Unresolved Mention1"/>
    <w:basedOn w:val="Noklusjumarindkopasfonts"/>
    <w:uiPriority w:val="99"/>
    <w:semiHidden/>
    <w:unhideWhenUsed/>
    <w:rsid w:val="00F3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7359">
      <w:bodyDiv w:val="1"/>
      <w:marLeft w:val="0"/>
      <w:marRight w:val="0"/>
      <w:marTop w:val="0"/>
      <w:marBottom w:val="0"/>
      <w:divBdr>
        <w:top w:val="none" w:sz="0" w:space="0" w:color="auto"/>
        <w:left w:val="none" w:sz="0" w:space="0" w:color="auto"/>
        <w:bottom w:val="none" w:sz="0" w:space="0" w:color="auto"/>
        <w:right w:val="none" w:sz="0" w:space="0" w:color="auto"/>
      </w:divBdr>
    </w:div>
    <w:div w:id="164782960">
      <w:bodyDiv w:val="1"/>
      <w:marLeft w:val="0"/>
      <w:marRight w:val="0"/>
      <w:marTop w:val="0"/>
      <w:marBottom w:val="0"/>
      <w:divBdr>
        <w:top w:val="none" w:sz="0" w:space="0" w:color="auto"/>
        <w:left w:val="none" w:sz="0" w:space="0" w:color="auto"/>
        <w:bottom w:val="none" w:sz="0" w:space="0" w:color="auto"/>
        <w:right w:val="none" w:sz="0" w:space="0" w:color="auto"/>
      </w:divBdr>
    </w:div>
    <w:div w:id="281764240">
      <w:bodyDiv w:val="1"/>
      <w:marLeft w:val="0"/>
      <w:marRight w:val="0"/>
      <w:marTop w:val="0"/>
      <w:marBottom w:val="0"/>
      <w:divBdr>
        <w:top w:val="none" w:sz="0" w:space="0" w:color="auto"/>
        <w:left w:val="none" w:sz="0" w:space="0" w:color="auto"/>
        <w:bottom w:val="none" w:sz="0" w:space="0" w:color="auto"/>
        <w:right w:val="none" w:sz="0" w:space="0" w:color="auto"/>
      </w:divBdr>
      <w:divsChild>
        <w:div w:id="1983389719">
          <w:marLeft w:val="0"/>
          <w:marRight w:val="0"/>
          <w:marTop w:val="0"/>
          <w:marBottom w:val="0"/>
          <w:divBdr>
            <w:top w:val="none" w:sz="0" w:space="0" w:color="auto"/>
            <w:left w:val="none" w:sz="0" w:space="0" w:color="auto"/>
            <w:bottom w:val="none" w:sz="0" w:space="0" w:color="auto"/>
            <w:right w:val="none" w:sz="0" w:space="0" w:color="auto"/>
          </w:divBdr>
        </w:div>
        <w:div w:id="755979384">
          <w:marLeft w:val="0"/>
          <w:marRight w:val="0"/>
          <w:marTop w:val="0"/>
          <w:marBottom w:val="0"/>
          <w:divBdr>
            <w:top w:val="none" w:sz="0" w:space="0" w:color="auto"/>
            <w:left w:val="none" w:sz="0" w:space="0" w:color="auto"/>
            <w:bottom w:val="none" w:sz="0" w:space="0" w:color="auto"/>
            <w:right w:val="none" w:sz="0" w:space="0" w:color="auto"/>
          </w:divBdr>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08603312">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21636108">
      <w:bodyDiv w:val="1"/>
      <w:marLeft w:val="0"/>
      <w:marRight w:val="0"/>
      <w:marTop w:val="0"/>
      <w:marBottom w:val="0"/>
      <w:divBdr>
        <w:top w:val="none" w:sz="0" w:space="0" w:color="auto"/>
        <w:left w:val="none" w:sz="0" w:space="0" w:color="auto"/>
        <w:bottom w:val="none" w:sz="0" w:space="0" w:color="auto"/>
        <w:right w:val="none" w:sz="0" w:space="0" w:color="auto"/>
      </w:divBdr>
      <w:divsChild>
        <w:div w:id="898514797">
          <w:marLeft w:val="0"/>
          <w:marRight w:val="0"/>
          <w:marTop w:val="0"/>
          <w:marBottom w:val="0"/>
          <w:divBdr>
            <w:top w:val="none" w:sz="0" w:space="0" w:color="auto"/>
            <w:left w:val="none" w:sz="0" w:space="0" w:color="auto"/>
            <w:bottom w:val="none" w:sz="0" w:space="0" w:color="auto"/>
            <w:right w:val="none" w:sz="0" w:space="0" w:color="auto"/>
          </w:divBdr>
        </w:div>
        <w:div w:id="1116213115">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844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ta.lavrinovica@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A664C-74C9-42B4-A072-8981CC64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3150</Words>
  <Characters>21492</Characters>
  <Application>Microsoft Office Word</Application>
  <DocSecurity>0</DocSecurity>
  <Lines>179</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Pārtikas aprites uzraudzības likumā”</vt:lpstr>
      <vt:lpstr>Likumprojekta “Grozījumi Pārtikas aprites uzraudzības likumā”</vt:lpstr>
    </vt:vector>
  </TitlesOfParts>
  <Company>Zemkopības ministrija</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Pārtikas aprites uzraudzības likumā”</dc:title>
  <dc:subject>Anotācija</dc:subject>
  <dc:creator>Ineta Lavrinoviča</dc:creator>
  <dc:description>Lavrinoviča 67027528_x000d_
ineta.lavrinovica@zm.gov.lv</dc:description>
  <cp:lastModifiedBy>Kristiāna Sebre</cp:lastModifiedBy>
  <cp:revision>4</cp:revision>
  <cp:lastPrinted>2020-05-19T07:30:00Z</cp:lastPrinted>
  <dcterms:created xsi:type="dcterms:W3CDTF">2020-06-11T06:05:00Z</dcterms:created>
  <dcterms:modified xsi:type="dcterms:W3CDTF">2020-06-11T06:30:00Z</dcterms:modified>
</cp:coreProperties>
</file>