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7E8E" w14:textId="036F6273" w:rsidR="00EA6CD3" w:rsidRPr="00C136CD" w:rsidRDefault="00EA6CD3" w:rsidP="006C5402">
      <w:pPr>
        <w:jc w:val="center"/>
        <w:rPr>
          <w:b/>
          <w:sz w:val="26"/>
          <w:szCs w:val="26"/>
          <w:lang w:val="lv-LV"/>
        </w:rPr>
      </w:pPr>
      <w:bookmarkStart w:id="0" w:name="OLE_LINK3"/>
      <w:bookmarkStart w:id="1" w:name="OLE_LINK1"/>
      <w:bookmarkStart w:id="2" w:name="OLE_LINK2"/>
      <w:r w:rsidRPr="00C136CD">
        <w:rPr>
          <w:b/>
          <w:sz w:val="26"/>
          <w:szCs w:val="26"/>
          <w:lang w:val="lv-LV"/>
        </w:rPr>
        <w:t>Ministru kabineta noteikumu projekta ,,</w:t>
      </w:r>
      <w:bookmarkStart w:id="3" w:name="OLE_LINK7"/>
      <w:bookmarkStart w:id="4" w:name="OLE_LINK8"/>
      <w:r w:rsidR="00FE76B5" w:rsidRPr="00C136CD">
        <w:rPr>
          <w:b/>
          <w:sz w:val="26"/>
          <w:szCs w:val="26"/>
          <w:lang w:val="lv-LV"/>
        </w:rPr>
        <w:t xml:space="preserve">Grozījumi Ministru kabineta 2016.gada 31.maija noteikumos Nr.328 „Noteikumi par </w:t>
      </w:r>
      <w:proofErr w:type="spellStart"/>
      <w:r w:rsidR="00FE76B5" w:rsidRPr="00C136CD">
        <w:rPr>
          <w:b/>
          <w:sz w:val="26"/>
          <w:szCs w:val="26"/>
          <w:lang w:val="lv-LV"/>
        </w:rPr>
        <w:t>mikroaizdevumiem</w:t>
      </w:r>
      <w:proofErr w:type="spellEnd"/>
      <w:r w:rsidR="00FE76B5" w:rsidRPr="00C136CD">
        <w:rPr>
          <w:b/>
          <w:sz w:val="26"/>
          <w:szCs w:val="26"/>
          <w:lang w:val="lv-LV"/>
        </w:rPr>
        <w:t xml:space="preserve"> un starta aizdevumiem”</w:t>
      </w:r>
      <w:r w:rsidRPr="00C136CD">
        <w:rPr>
          <w:b/>
          <w:sz w:val="26"/>
          <w:szCs w:val="26"/>
          <w:lang w:val="lv-LV"/>
        </w:rPr>
        <w:t>”</w:t>
      </w:r>
      <w:bookmarkEnd w:id="3"/>
      <w:bookmarkEnd w:id="4"/>
      <w:r w:rsidR="00844176" w:rsidRPr="00C136CD">
        <w:rPr>
          <w:b/>
          <w:sz w:val="26"/>
          <w:szCs w:val="26"/>
          <w:lang w:val="lv-LV"/>
        </w:rPr>
        <w:t xml:space="preserve"> </w:t>
      </w:r>
      <w:r w:rsidRPr="00C136CD">
        <w:rPr>
          <w:b/>
          <w:sz w:val="26"/>
          <w:szCs w:val="26"/>
          <w:lang w:val="lv-LV"/>
        </w:rPr>
        <w:t>sākotnējās ietekmes novērtējuma ziņojums (anotācija)</w:t>
      </w:r>
    </w:p>
    <w:p w14:paraId="4F03DE00" w14:textId="77777777" w:rsidR="00310924" w:rsidRPr="00C136CD" w:rsidRDefault="00310924" w:rsidP="006C5402">
      <w:pPr>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0924" w:rsidRPr="00C136CD" w14:paraId="06A3987D" w14:textId="77777777" w:rsidTr="0000307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DD696D" w:rsidRDefault="00310924" w:rsidP="006C5402">
            <w:pPr>
              <w:rPr>
                <w:rFonts w:eastAsia="Times New Roman"/>
                <w:b/>
                <w:bCs/>
                <w:iCs/>
                <w:sz w:val="26"/>
                <w:szCs w:val="26"/>
                <w:lang w:val="lv-LV" w:eastAsia="lv-LV"/>
              </w:rPr>
            </w:pPr>
            <w:r w:rsidRPr="00DD696D">
              <w:rPr>
                <w:rFonts w:eastAsia="Times New Roman"/>
                <w:b/>
                <w:bCs/>
                <w:iCs/>
                <w:sz w:val="26"/>
                <w:szCs w:val="26"/>
                <w:lang w:val="lv-LV" w:eastAsia="lv-LV"/>
              </w:rPr>
              <w:t>Tiesību akta projekta anotācijas kopsavilkums</w:t>
            </w:r>
          </w:p>
        </w:tc>
      </w:tr>
      <w:tr w:rsidR="00310924" w:rsidRPr="006F6FFA" w14:paraId="5F92C921" w14:textId="77777777" w:rsidTr="0000307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1DBABE" w14:textId="77777777" w:rsidR="00310924" w:rsidRPr="00DD696D" w:rsidRDefault="00310924" w:rsidP="006C5402">
            <w:pPr>
              <w:rPr>
                <w:rFonts w:eastAsia="Times New Roman"/>
                <w:iCs/>
                <w:sz w:val="26"/>
                <w:szCs w:val="26"/>
                <w:lang w:val="lv-LV" w:eastAsia="lv-LV"/>
              </w:rPr>
            </w:pPr>
            <w:r w:rsidRPr="00DD696D">
              <w:rPr>
                <w:rFonts w:eastAsia="Times New Roman"/>
                <w:iCs/>
                <w:sz w:val="26"/>
                <w:szCs w:val="26"/>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891E1DE" w14:textId="1B9CF539" w:rsidR="00DD696D" w:rsidRPr="00DD696D" w:rsidRDefault="00310924" w:rsidP="006C5402">
            <w:pPr>
              <w:jc w:val="both"/>
              <w:rPr>
                <w:rFonts w:eastAsia="Times New Roman"/>
                <w:iCs/>
                <w:sz w:val="26"/>
                <w:szCs w:val="26"/>
                <w:lang w:val="lv-LV" w:eastAsia="lv-LV"/>
              </w:rPr>
            </w:pPr>
            <w:r w:rsidRPr="00DD696D">
              <w:rPr>
                <w:rFonts w:eastAsia="Times New Roman"/>
                <w:iCs/>
                <w:sz w:val="26"/>
                <w:szCs w:val="26"/>
                <w:lang w:val="lv-LV" w:eastAsia="lv-LV"/>
              </w:rPr>
              <w:t xml:space="preserve">Tiesību akta projekts paredz </w:t>
            </w:r>
            <w:r w:rsidR="00D67CE9" w:rsidRPr="00DD696D">
              <w:rPr>
                <w:rFonts w:eastAsia="Times New Roman"/>
                <w:iCs/>
                <w:sz w:val="26"/>
                <w:szCs w:val="26"/>
                <w:lang w:val="lv-LV" w:eastAsia="lv-LV"/>
              </w:rPr>
              <w:t>precizēt</w:t>
            </w:r>
            <w:r w:rsidRPr="00DD696D">
              <w:rPr>
                <w:rFonts w:eastAsia="Times New Roman"/>
                <w:iCs/>
                <w:sz w:val="26"/>
                <w:szCs w:val="26"/>
                <w:lang w:val="lv-LV" w:eastAsia="lv-LV"/>
              </w:rPr>
              <w:t xml:space="preserve"> </w:t>
            </w:r>
            <w:r w:rsidR="00D67CE9" w:rsidRPr="00DD696D">
              <w:rPr>
                <w:rFonts w:eastAsia="Times New Roman"/>
                <w:iCs/>
                <w:sz w:val="26"/>
                <w:szCs w:val="26"/>
                <w:lang w:val="lv-LV" w:eastAsia="lv-LV"/>
              </w:rPr>
              <w:t xml:space="preserve">Ministru kabineta 2016.gada 31.maija noteikumos Nr.328 „Noteikumi par </w:t>
            </w:r>
            <w:proofErr w:type="spellStart"/>
            <w:r w:rsidR="00D67CE9" w:rsidRPr="00DD696D">
              <w:rPr>
                <w:rFonts w:eastAsia="Times New Roman"/>
                <w:iCs/>
                <w:sz w:val="26"/>
                <w:szCs w:val="26"/>
                <w:lang w:val="lv-LV" w:eastAsia="lv-LV"/>
              </w:rPr>
              <w:t>mikroaizdevumiem</w:t>
            </w:r>
            <w:proofErr w:type="spellEnd"/>
            <w:r w:rsidR="00D67CE9" w:rsidRPr="00DD696D">
              <w:rPr>
                <w:rFonts w:eastAsia="Times New Roman"/>
                <w:iCs/>
                <w:sz w:val="26"/>
                <w:szCs w:val="26"/>
                <w:lang w:val="lv-LV" w:eastAsia="lv-LV"/>
              </w:rPr>
              <w:t xml:space="preserve"> un starta aizdevumiem”</w:t>
            </w:r>
            <w:r w:rsidR="00DD696D">
              <w:rPr>
                <w:rFonts w:eastAsia="Times New Roman"/>
                <w:iCs/>
                <w:sz w:val="26"/>
                <w:szCs w:val="26"/>
                <w:lang w:val="lv-LV" w:eastAsia="lv-LV"/>
              </w:rPr>
              <w:t xml:space="preserve"> </w:t>
            </w:r>
            <w:r w:rsidR="00D67CE9" w:rsidRPr="00DD696D">
              <w:rPr>
                <w:rFonts w:eastAsia="Times New Roman"/>
                <w:iCs/>
                <w:sz w:val="26"/>
                <w:szCs w:val="26"/>
                <w:lang w:val="lv-LV" w:eastAsia="lv-LV"/>
              </w:rPr>
              <w:t>noteikt</w:t>
            </w:r>
            <w:r w:rsidR="00DD696D" w:rsidRPr="00DD696D">
              <w:rPr>
                <w:rFonts w:eastAsia="Times New Roman"/>
                <w:iCs/>
                <w:sz w:val="26"/>
                <w:szCs w:val="26"/>
                <w:lang w:val="lv-LV" w:eastAsia="lv-LV"/>
              </w:rPr>
              <w:t xml:space="preserve">o finansējumu, </w:t>
            </w:r>
            <w:r w:rsidR="00DD696D" w:rsidRPr="00DD696D">
              <w:rPr>
                <w:sz w:val="26"/>
                <w:szCs w:val="26"/>
                <w:lang w:val="lv-LV"/>
              </w:rPr>
              <w:t xml:space="preserve"> sasniedzamos rezultatīvos rādītājus</w:t>
            </w:r>
            <w:r w:rsidR="00567050">
              <w:rPr>
                <w:sz w:val="26"/>
                <w:szCs w:val="26"/>
                <w:lang w:val="lv-LV"/>
              </w:rPr>
              <w:t>, atbalstāmās darbības kā arī</w:t>
            </w:r>
            <w:r w:rsidR="00DD696D" w:rsidRPr="00DD696D">
              <w:rPr>
                <w:sz w:val="26"/>
                <w:szCs w:val="26"/>
                <w:lang w:val="lv-LV"/>
              </w:rPr>
              <w:t xml:space="preserve"> atbalsta izsniegšanas nosacījumus.</w:t>
            </w:r>
          </w:p>
        </w:tc>
      </w:tr>
    </w:tbl>
    <w:p w14:paraId="2DE059E4" w14:textId="6BA0F248" w:rsidR="003E171B" w:rsidRPr="00C136CD" w:rsidRDefault="003E171B" w:rsidP="006C5402">
      <w:pPr>
        <w:tabs>
          <w:tab w:val="right" w:pos="9072"/>
        </w:tabs>
        <w:rPr>
          <w:sz w:val="26"/>
          <w:szCs w:val="26"/>
          <w:lang w:val="lv-LV"/>
        </w:rPr>
      </w:pPr>
    </w:p>
    <w:p w14:paraId="6A8022D4" w14:textId="77777777" w:rsidR="00310924" w:rsidRPr="00C136CD" w:rsidRDefault="00310924" w:rsidP="006C5402">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1984"/>
        <w:gridCol w:w="6727"/>
      </w:tblGrid>
      <w:tr w:rsidR="00844176" w:rsidRPr="00C136CD" w14:paraId="02364BB3" w14:textId="77777777" w:rsidTr="00871E2F">
        <w:trPr>
          <w:trHeight w:val="405"/>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C136CD" w:rsidRDefault="00844176" w:rsidP="006C5402">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 Tiesību akta projekta izstrādes nepieciešamība</w:t>
            </w:r>
          </w:p>
        </w:tc>
      </w:tr>
      <w:tr w:rsidR="00844176" w:rsidRPr="006F6FFA" w14:paraId="7F385C9A" w14:textId="77777777" w:rsidTr="0089560D">
        <w:trPr>
          <w:trHeight w:val="405"/>
        </w:trPr>
        <w:tc>
          <w:tcPr>
            <w:tcW w:w="418"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1984"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Pamatojums</w:t>
            </w:r>
          </w:p>
        </w:tc>
        <w:tc>
          <w:tcPr>
            <w:tcW w:w="6727" w:type="dxa"/>
            <w:tcBorders>
              <w:top w:val="outset" w:sz="6" w:space="0" w:color="414142"/>
              <w:left w:val="outset" w:sz="6" w:space="0" w:color="414142"/>
              <w:bottom w:val="outset" w:sz="6" w:space="0" w:color="414142"/>
              <w:right w:val="outset" w:sz="6" w:space="0" w:color="414142"/>
            </w:tcBorders>
            <w:hideMark/>
          </w:tcPr>
          <w:p w14:paraId="79DF1BBF" w14:textId="455EAB16" w:rsidR="00844176" w:rsidRPr="00C136CD" w:rsidRDefault="001779A6" w:rsidP="006C5402">
            <w:pPr>
              <w:ind w:right="344"/>
              <w:jc w:val="both"/>
              <w:rPr>
                <w:sz w:val="26"/>
                <w:szCs w:val="26"/>
                <w:lang w:val="lv-LV"/>
              </w:rPr>
            </w:pPr>
            <w:r>
              <w:rPr>
                <w:rFonts w:eastAsia="Times New Roman"/>
                <w:sz w:val="28"/>
                <w:szCs w:val="28"/>
                <w:lang w:val="lv-LV"/>
              </w:rPr>
              <w:t>Noteikumu p</w:t>
            </w:r>
            <w:r w:rsidRPr="00C819D9">
              <w:rPr>
                <w:rFonts w:eastAsia="Times New Roman"/>
                <w:sz w:val="28"/>
                <w:szCs w:val="28"/>
                <w:lang w:val="lv-LV"/>
              </w:rPr>
              <w:t>rojekts sagatavots pēc Ekonomikas ministrijas iniciatīvas saskaņā ar Attīstības finanšu institūcijas likuma 12.</w:t>
            </w:r>
            <w:r>
              <w:rPr>
                <w:rFonts w:eastAsia="Times New Roman"/>
                <w:sz w:val="28"/>
                <w:szCs w:val="28"/>
                <w:lang w:val="lv-LV"/>
              </w:rPr>
              <w:t xml:space="preserve"> </w:t>
            </w:r>
            <w:r w:rsidRPr="00C819D9">
              <w:rPr>
                <w:rFonts w:eastAsia="Times New Roman"/>
                <w:sz w:val="28"/>
                <w:szCs w:val="28"/>
                <w:lang w:val="lv-LV"/>
              </w:rPr>
              <w:t xml:space="preserve">panta ceturto daļu un </w:t>
            </w:r>
            <w:hyperlink r:id="rId8" w:tgtFrame="_blank" w:history="1">
              <w:r w:rsidRPr="001779A6">
                <w:rPr>
                  <w:rFonts w:eastAsia="Times New Roman"/>
                  <w:sz w:val="28"/>
                  <w:szCs w:val="28"/>
                  <w:lang w:val="lv-LV"/>
                </w:rPr>
                <w:t>Eiropas Savienības struktūrfondu un Kohēzijas fonda 2014.–2020.gada plānošanas perioda vadības likuma</w:t>
              </w:r>
            </w:hyperlink>
            <w:r w:rsidRPr="007F08B1">
              <w:rPr>
                <w:rFonts w:eastAsia="Times New Roman"/>
                <w:sz w:val="28"/>
                <w:szCs w:val="28"/>
                <w:lang w:val="lv-LV"/>
              </w:rPr>
              <w:t xml:space="preserve"> </w:t>
            </w:r>
            <w:hyperlink r:id="rId9" w:anchor="p20" w:tgtFrame="_blank" w:history="1">
              <w:r w:rsidRPr="001779A6">
                <w:rPr>
                  <w:rFonts w:eastAsia="Times New Roman"/>
                  <w:sz w:val="28"/>
                  <w:szCs w:val="28"/>
                  <w:lang w:val="lv-LV"/>
                </w:rPr>
                <w:t>20. pant</w:t>
              </w:r>
            </w:hyperlink>
            <w:r w:rsidRPr="007F08B1">
              <w:rPr>
                <w:rFonts w:eastAsia="Times New Roman"/>
                <w:sz w:val="28"/>
                <w:szCs w:val="28"/>
                <w:lang w:val="lv-LV"/>
              </w:rPr>
              <w:t xml:space="preserve">a </w:t>
            </w:r>
            <w:r w:rsidRPr="00C819D9">
              <w:rPr>
                <w:rFonts w:eastAsia="Times New Roman"/>
                <w:sz w:val="28"/>
                <w:szCs w:val="28"/>
                <w:lang w:val="lv-LV"/>
              </w:rPr>
              <w:t>14.</w:t>
            </w:r>
            <w:r>
              <w:rPr>
                <w:rFonts w:eastAsia="Times New Roman"/>
                <w:sz w:val="28"/>
                <w:szCs w:val="28"/>
                <w:lang w:val="lv-LV"/>
              </w:rPr>
              <w:t xml:space="preserve"> </w:t>
            </w:r>
            <w:r w:rsidRPr="00C819D9">
              <w:rPr>
                <w:rFonts w:eastAsia="Times New Roman"/>
                <w:sz w:val="28"/>
                <w:szCs w:val="28"/>
                <w:lang w:val="lv-LV"/>
              </w:rPr>
              <w:t>punktu</w:t>
            </w:r>
            <w:r>
              <w:rPr>
                <w:rFonts w:eastAsia="Times New Roman"/>
                <w:sz w:val="28"/>
                <w:szCs w:val="28"/>
                <w:lang w:val="lv-LV"/>
              </w:rPr>
              <w:t>.</w:t>
            </w:r>
          </w:p>
        </w:tc>
      </w:tr>
      <w:tr w:rsidR="00844176" w:rsidRPr="006F6FFA" w14:paraId="62EDED08" w14:textId="77777777" w:rsidTr="0089560D">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1984" w:type="dxa"/>
            <w:tcBorders>
              <w:top w:val="outset" w:sz="6" w:space="0" w:color="414142"/>
              <w:left w:val="outset" w:sz="6" w:space="0" w:color="414142"/>
              <w:bottom w:val="outset" w:sz="6" w:space="0" w:color="414142"/>
              <w:right w:val="outset" w:sz="6" w:space="0" w:color="414142"/>
            </w:tcBorders>
            <w:hideMark/>
          </w:tcPr>
          <w:p w14:paraId="7671769E" w14:textId="1C92A414" w:rsidR="00ED0911"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Pašreizējā situācija un problēmas, kuru risināšanai tiesību akta projekts izstrādāts, tiesiskā regulējuma mērķis un būtība</w:t>
            </w:r>
          </w:p>
          <w:p w14:paraId="4FC3B67D" w14:textId="77777777" w:rsidR="00ED0911" w:rsidRPr="00C136CD" w:rsidRDefault="00ED0911" w:rsidP="006C5402">
            <w:pPr>
              <w:rPr>
                <w:rFonts w:eastAsia="Times New Roman"/>
                <w:sz w:val="26"/>
                <w:szCs w:val="26"/>
                <w:lang w:val="lv-LV" w:eastAsia="lv-LV"/>
              </w:rPr>
            </w:pPr>
          </w:p>
          <w:p w14:paraId="117E2458" w14:textId="77777777" w:rsidR="00ED0911" w:rsidRPr="00C136CD" w:rsidRDefault="00ED0911" w:rsidP="006C5402">
            <w:pPr>
              <w:rPr>
                <w:rFonts w:eastAsia="Times New Roman"/>
                <w:sz w:val="26"/>
                <w:szCs w:val="26"/>
                <w:lang w:val="lv-LV" w:eastAsia="lv-LV"/>
              </w:rPr>
            </w:pPr>
          </w:p>
          <w:p w14:paraId="029C5030" w14:textId="77777777" w:rsidR="00ED0911" w:rsidRPr="00C136CD" w:rsidRDefault="00ED0911" w:rsidP="006C5402">
            <w:pPr>
              <w:rPr>
                <w:rFonts w:eastAsia="Times New Roman"/>
                <w:sz w:val="26"/>
                <w:szCs w:val="26"/>
                <w:lang w:val="lv-LV" w:eastAsia="lv-LV"/>
              </w:rPr>
            </w:pPr>
          </w:p>
          <w:p w14:paraId="074EFABB" w14:textId="77777777" w:rsidR="00ED0911" w:rsidRPr="00C136CD" w:rsidRDefault="00ED0911" w:rsidP="006C5402">
            <w:pPr>
              <w:rPr>
                <w:rFonts w:eastAsia="Times New Roman"/>
                <w:sz w:val="26"/>
                <w:szCs w:val="26"/>
                <w:lang w:val="lv-LV" w:eastAsia="lv-LV"/>
              </w:rPr>
            </w:pPr>
          </w:p>
          <w:p w14:paraId="1750BD0B" w14:textId="77777777" w:rsidR="00ED0911" w:rsidRPr="00C136CD" w:rsidRDefault="00ED0911" w:rsidP="006C5402">
            <w:pPr>
              <w:rPr>
                <w:rFonts w:eastAsia="Times New Roman"/>
                <w:sz w:val="26"/>
                <w:szCs w:val="26"/>
                <w:lang w:val="lv-LV" w:eastAsia="lv-LV"/>
              </w:rPr>
            </w:pPr>
          </w:p>
          <w:p w14:paraId="7CCC3563" w14:textId="77777777" w:rsidR="00ED0911" w:rsidRPr="00C136CD" w:rsidRDefault="00ED0911" w:rsidP="006C5402">
            <w:pPr>
              <w:rPr>
                <w:rFonts w:eastAsia="Times New Roman"/>
                <w:sz w:val="26"/>
                <w:szCs w:val="26"/>
                <w:lang w:val="lv-LV" w:eastAsia="lv-LV"/>
              </w:rPr>
            </w:pPr>
          </w:p>
          <w:p w14:paraId="5D2903DF" w14:textId="77777777" w:rsidR="00ED0911" w:rsidRPr="00C136CD" w:rsidRDefault="00ED0911" w:rsidP="006C5402">
            <w:pPr>
              <w:rPr>
                <w:rFonts w:eastAsia="Times New Roman"/>
                <w:sz w:val="26"/>
                <w:szCs w:val="26"/>
                <w:lang w:val="lv-LV" w:eastAsia="lv-LV"/>
              </w:rPr>
            </w:pPr>
          </w:p>
          <w:p w14:paraId="0458D688" w14:textId="77777777" w:rsidR="00ED0911" w:rsidRPr="00C136CD" w:rsidRDefault="00ED0911" w:rsidP="006C5402">
            <w:pPr>
              <w:rPr>
                <w:rFonts w:eastAsia="Times New Roman"/>
                <w:sz w:val="26"/>
                <w:szCs w:val="26"/>
                <w:lang w:val="lv-LV" w:eastAsia="lv-LV"/>
              </w:rPr>
            </w:pPr>
          </w:p>
          <w:p w14:paraId="0A6D0851" w14:textId="77777777" w:rsidR="00ED0911" w:rsidRPr="00C136CD" w:rsidRDefault="00ED0911" w:rsidP="006C5402">
            <w:pPr>
              <w:rPr>
                <w:rFonts w:eastAsia="Times New Roman"/>
                <w:sz w:val="26"/>
                <w:szCs w:val="26"/>
                <w:lang w:val="lv-LV" w:eastAsia="lv-LV"/>
              </w:rPr>
            </w:pPr>
          </w:p>
          <w:p w14:paraId="4C483563" w14:textId="77777777" w:rsidR="00ED0911" w:rsidRPr="00C136CD" w:rsidRDefault="00ED0911" w:rsidP="006C5402">
            <w:pPr>
              <w:rPr>
                <w:rFonts w:eastAsia="Times New Roman"/>
                <w:sz w:val="26"/>
                <w:szCs w:val="26"/>
                <w:lang w:val="lv-LV" w:eastAsia="lv-LV"/>
              </w:rPr>
            </w:pPr>
          </w:p>
          <w:p w14:paraId="5068709A" w14:textId="77777777" w:rsidR="00ED0911" w:rsidRPr="00C136CD" w:rsidRDefault="00ED0911" w:rsidP="006C5402">
            <w:pPr>
              <w:rPr>
                <w:rFonts w:eastAsia="Times New Roman"/>
                <w:sz w:val="26"/>
                <w:szCs w:val="26"/>
                <w:lang w:val="lv-LV" w:eastAsia="lv-LV"/>
              </w:rPr>
            </w:pPr>
          </w:p>
          <w:p w14:paraId="17CB6891" w14:textId="77777777" w:rsidR="00ED0911" w:rsidRPr="00C136CD" w:rsidRDefault="00ED0911" w:rsidP="006C5402">
            <w:pPr>
              <w:rPr>
                <w:rFonts w:eastAsia="Times New Roman"/>
                <w:sz w:val="26"/>
                <w:szCs w:val="26"/>
                <w:lang w:val="lv-LV" w:eastAsia="lv-LV"/>
              </w:rPr>
            </w:pPr>
          </w:p>
          <w:p w14:paraId="075C5136" w14:textId="77777777" w:rsidR="00ED0911" w:rsidRPr="00C136CD" w:rsidRDefault="00ED0911" w:rsidP="006C5402">
            <w:pPr>
              <w:rPr>
                <w:rFonts w:eastAsia="Times New Roman"/>
                <w:sz w:val="26"/>
                <w:szCs w:val="26"/>
                <w:lang w:val="lv-LV" w:eastAsia="lv-LV"/>
              </w:rPr>
            </w:pPr>
          </w:p>
          <w:p w14:paraId="672275B7" w14:textId="77777777" w:rsidR="00ED0911" w:rsidRPr="00C136CD" w:rsidRDefault="00ED0911" w:rsidP="006C5402">
            <w:pPr>
              <w:rPr>
                <w:rFonts w:eastAsia="Times New Roman"/>
                <w:sz w:val="26"/>
                <w:szCs w:val="26"/>
                <w:lang w:val="lv-LV" w:eastAsia="lv-LV"/>
              </w:rPr>
            </w:pPr>
          </w:p>
          <w:p w14:paraId="2B33C7F1" w14:textId="77777777" w:rsidR="00ED0911" w:rsidRPr="00C136CD" w:rsidRDefault="00ED0911" w:rsidP="006C5402">
            <w:pPr>
              <w:rPr>
                <w:rFonts w:eastAsia="Times New Roman"/>
                <w:sz w:val="26"/>
                <w:szCs w:val="26"/>
                <w:lang w:val="lv-LV" w:eastAsia="lv-LV"/>
              </w:rPr>
            </w:pPr>
          </w:p>
          <w:p w14:paraId="5D0B200E" w14:textId="77777777" w:rsidR="00ED0911" w:rsidRPr="00C136CD" w:rsidRDefault="00ED0911" w:rsidP="006C5402">
            <w:pPr>
              <w:rPr>
                <w:rFonts w:eastAsia="Times New Roman"/>
                <w:sz w:val="26"/>
                <w:szCs w:val="26"/>
                <w:lang w:val="lv-LV" w:eastAsia="lv-LV"/>
              </w:rPr>
            </w:pPr>
          </w:p>
          <w:p w14:paraId="4BB861D7" w14:textId="77777777" w:rsidR="00ED0911" w:rsidRPr="00C136CD" w:rsidRDefault="00ED0911" w:rsidP="006C5402">
            <w:pPr>
              <w:rPr>
                <w:rFonts w:eastAsia="Times New Roman"/>
                <w:sz w:val="26"/>
                <w:szCs w:val="26"/>
                <w:lang w:val="lv-LV" w:eastAsia="lv-LV"/>
              </w:rPr>
            </w:pPr>
          </w:p>
          <w:p w14:paraId="1BC83EFD" w14:textId="77777777" w:rsidR="00ED0911" w:rsidRPr="00C136CD" w:rsidRDefault="00ED0911" w:rsidP="006C5402">
            <w:pPr>
              <w:rPr>
                <w:rFonts w:eastAsia="Times New Roman"/>
                <w:sz w:val="26"/>
                <w:szCs w:val="26"/>
                <w:lang w:val="lv-LV" w:eastAsia="lv-LV"/>
              </w:rPr>
            </w:pPr>
          </w:p>
          <w:p w14:paraId="6860D7E9" w14:textId="77777777" w:rsidR="00ED0911" w:rsidRPr="00C136CD" w:rsidRDefault="00ED0911" w:rsidP="006C5402">
            <w:pPr>
              <w:rPr>
                <w:rFonts w:eastAsia="Times New Roman"/>
                <w:sz w:val="26"/>
                <w:szCs w:val="26"/>
                <w:lang w:val="lv-LV" w:eastAsia="lv-LV"/>
              </w:rPr>
            </w:pPr>
          </w:p>
          <w:p w14:paraId="70AB4ED1" w14:textId="77777777" w:rsidR="00ED0911" w:rsidRPr="00C136CD" w:rsidRDefault="00ED0911" w:rsidP="006C5402">
            <w:pPr>
              <w:rPr>
                <w:rFonts w:eastAsia="Times New Roman"/>
                <w:sz w:val="26"/>
                <w:szCs w:val="26"/>
                <w:lang w:val="lv-LV" w:eastAsia="lv-LV"/>
              </w:rPr>
            </w:pPr>
          </w:p>
          <w:p w14:paraId="40AD4671" w14:textId="6647EF11" w:rsidR="00844176" w:rsidRPr="00C136CD" w:rsidRDefault="00844176" w:rsidP="006C5402">
            <w:pPr>
              <w:rPr>
                <w:rFonts w:eastAsia="Times New Roman"/>
                <w:sz w:val="26"/>
                <w:szCs w:val="26"/>
                <w:lang w:val="lv-LV" w:eastAsia="lv-LV"/>
              </w:rPr>
            </w:pPr>
          </w:p>
        </w:tc>
        <w:tc>
          <w:tcPr>
            <w:tcW w:w="6727" w:type="dxa"/>
            <w:tcBorders>
              <w:top w:val="outset" w:sz="6" w:space="0" w:color="414142"/>
              <w:left w:val="outset" w:sz="6" w:space="0" w:color="414142"/>
              <w:bottom w:val="outset" w:sz="6" w:space="0" w:color="414142"/>
              <w:right w:val="outset" w:sz="6" w:space="0" w:color="414142"/>
            </w:tcBorders>
          </w:tcPr>
          <w:p w14:paraId="79E075A5" w14:textId="36838365" w:rsidR="00844176" w:rsidRPr="005C23F6" w:rsidRDefault="00246849" w:rsidP="006C5402">
            <w:pPr>
              <w:jc w:val="both"/>
              <w:rPr>
                <w:sz w:val="26"/>
                <w:szCs w:val="26"/>
                <w:lang w:val="lv-LV"/>
              </w:rPr>
            </w:pPr>
            <w:r w:rsidRPr="005C23F6">
              <w:rPr>
                <w:sz w:val="26"/>
                <w:szCs w:val="26"/>
                <w:lang w:val="lv-LV"/>
              </w:rPr>
              <w:lastRenderedPageBreak/>
              <w:t xml:space="preserve">Ar šo </w:t>
            </w:r>
            <w:r w:rsidR="00E01566" w:rsidRPr="005C23F6">
              <w:rPr>
                <w:sz w:val="26"/>
                <w:szCs w:val="26"/>
                <w:lang w:val="lv-LV"/>
              </w:rPr>
              <w:t>Noteikumu</w:t>
            </w:r>
            <w:r w:rsidRPr="005C23F6">
              <w:rPr>
                <w:sz w:val="26"/>
                <w:szCs w:val="26"/>
                <w:lang w:val="lv-LV"/>
              </w:rPr>
              <w:t xml:space="preserve"> projektu tiek veikti tālāk minētie grozījumi </w:t>
            </w:r>
            <w:r w:rsidR="00FE76B5" w:rsidRPr="005C23F6">
              <w:rPr>
                <w:sz w:val="26"/>
                <w:szCs w:val="26"/>
                <w:lang w:val="lv-LV"/>
              </w:rPr>
              <w:t>2016.gada 31.maija noteikum</w:t>
            </w:r>
            <w:r w:rsidRPr="005C23F6">
              <w:rPr>
                <w:sz w:val="26"/>
                <w:szCs w:val="26"/>
                <w:lang w:val="lv-LV"/>
              </w:rPr>
              <w:t>os</w:t>
            </w:r>
            <w:r w:rsidR="00FE76B5" w:rsidRPr="005C23F6">
              <w:rPr>
                <w:sz w:val="26"/>
                <w:szCs w:val="26"/>
                <w:lang w:val="lv-LV"/>
              </w:rPr>
              <w:t xml:space="preserve"> Nr.328 „Noteikumi par </w:t>
            </w:r>
            <w:proofErr w:type="spellStart"/>
            <w:r w:rsidR="00FE76B5" w:rsidRPr="005C23F6">
              <w:rPr>
                <w:sz w:val="26"/>
                <w:szCs w:val="26"/>
                <w:lang w:val="lv-LV"/>
              </w:rPr>
              <w:t>mikroaizdevumiem</w:t>
            </w:r>
            <w:proofErr w:type="spellEnd"/>
            <w:r w:rsidR="00FE76B5" w:rsidRPr="005C23F6">
              <w:rPr>
                <w:sz w:val="26"/>
                <w:szCs w:val="26"/>
                <w:lang w:val="lv-LV"/>
              </w:rPr>
              <w:t xml:space="preserve"> un starta aizdevumiem”</w:t>
            </w:r>
            <w:r w:rsidR="007F6449" w:rsidRPr="005C23F6">
              <w:rPr>
                <w:sz w:val="26"/>
                <w:szCs w:val="26"/>
                <w:lang w:val="lv-LV"/>
              </w:rPr>
              <w:t xml:space="preserve"> (turpmāk – </w:t>
            </w:r>
            <w:r w:rsidR="00A25F14" w:rsidRPr="005C23F6">
              <w:rPr>
                <w:sz w:val="26"/>
                <w:szCs w:val="26"/>
                <w:lang w:val="lv-LV"/>
              </w:rPr>
              <w:t>N</w:t>
            </w:r>
            <w:r w:rsidR="007F6449" w:rsidRPr="005C23F6">
              <w:rPr>
                <w:sz w:val="26"/>
                <w:szCs w:val="26"/>
                <w:lang w:val="lv-LV"/>
              </w:rPr>
              <w:t>oteikumi)</w:t>
            </w:r>
            <w:r w:rsidRPr="005C23F6">
              <w:rPr>
                <w:sz w:val="26"/>
                <w:szCs w:val="26"/>
                <w:lang w:val="lv-LV"/>
              </w:rPr>
              <w:t>.</w:t>
            </w:r>
          </w:p>
          <w:p w14:paraId="2D787CFA" w14:textId="77777777" w:rsidR="00906ABE" w:rsidRPr="005C23F6" w:rsidRDefault="00906ABE" w:rsidP="006C5402">
            <w:pPr>
              <w:jc w:val="both"/>
              <w:rPr>
                <w:sz w:val="26"/>
                <w:szCs w:val="26"/>
                <w:lang w:val="lv-LV"/>
              </w:rPr>
            </w:pPr>
          </w:p>
          <w:p w14:paraId="2F8DD7EB" w14:textId="5FA4034E" w:rsidR="00246849" w:rsidRPr="005C23F6" w:rsidRDefault="00DD696D" w:rsidP="006C5402">
            <w:pPr>
              <w:pStyle w:val="ListParagraph"/>
              <w:numPr>
                <w:ilvl w:val="0"/>
                <w:numId w:val="25"/>
              </w:numPr>
              <w:jc w:val="both"/>
              <w:rPr>
                <w:b/>
                <w:sz w:val="26"/>
                <w:szCs w:val="26"/>
                <w:u w:val="single"/>
                <w:lang w:val="lv-LV"/>
              </w:rPr>
            </w:pPr>
            <w:r w:rsidRPr="005C23F6">
              <w:rPr>
                <w:b/>
                <w:sz w:val="26"/>
                <w:szCs w:val="26"/>
                <w:u w:val="single"/>
                <w:lang w:val="lv-LV"/>
              </w:rPr>
              <w:t>Pieejamā</w:t>
            </w:r>
            <w:r w:rsidR="00F06F21" w:rsidRPr="005C23F6">
              <w:rPr>
                <w:b/>
                <w:sz w:val="26"/>
                <w:szCs w:val="26"/>
                <w:u w:val="single"/>
                <w:lang w:val="lv-LV"/>
              </w:rPr>
              <w:t xml:space="preserve"> finansējuma </w:t>
            </w:r>
            <w:r w:rsidR="00AE64F9" w:rsidRPr="005C23F6">
              <w:rPr>
                <w:b/>
                <w:sz w:val="26"/>
                <w:szCs w:val="26"/>
                <w:u w:val="single"/>
                <w:lang w:val="lv-LV"/>
              </w:rPr>
              <w:t>izmaiņas</w:t>
            </w:r>
          </w:p>
          <w:p w14:paraId="6FA11641" w14:textId="77777777" w:rsidR="00246849" w:rsidRPr="005C23F6" w:rsidRDefault="00246849" w:rsidP="006C5402">
            <w:pPr>
              <w:rPr>
                <w:b/>
                <w:sz w:val="26"/>
                <w:szCs w:val="26"/>
                <w:lang w:val="lv-LV"/>
              </w:rPr>
            </w:pPr>
          </w:p>
          <w:p w14:paraId="697D10DB" w14:textId="5975E883" w:rsidR="00DD696D" w:rsidRPr="005C23F6" w:rsidRDefault="00F85A24" w:rsidP="006C5402">
            <w:pPr>
              <w:spacing w:after="120"/>
              <w:jc w:val="both"/>
              <w:rPr>
                <w:sz w:val="26"/>
                <w:szCs w:val="26"/>
                <w:lang w:val="lv-LV"/>
              </w:rPr>
            </w:pPr>
            <w:r w:rsidRPr="005C23F6">
              <w:rPr>
                <w:sz w:val="26"/>
                <w:szCs w:val="26"/>
                <w:lang w:val="lv-LV"/>
              </w:rPr>
              <w:t xml:space="preserve">Šobrīd </w:t>
            </w:r>
            <w:r w:rsidR="00A25F14" w:rsidRPr="005C23F6">
              <w:rPr>
                <w:sz w:val="26"/>
                <w:szCs w:val="26"/>
                <w:lang w:val="lv-LV"/>
              </w:rPr>
              <w:t>Noteikumos</w:t>
            </w:r>
            <w:r w:rsidR="00F06F21" w:rsidRPr="005C23F6">
              <w:rPr>
                <w:sz w:val="26"/>
                <w:szCs w:val="26"/>
                <w:lang w:val="lv-LV"/>
              </w:rPr>
              <w:t xml:space="preserve"> paredzamais</w:t>
            </w:r>
            <w:r w:rsidRPr="005C23F6">
              <w:rPr>
                <w:sz w:val="26"/>
                <w:szCs w:val="26"/>
                <w:lang w:val="lv-LV"/>
              </w:rPr>
              <w:t xml:space="preserve"> kopējais </w:t>
            </w:r>
            <w:r w:rsidR="00246849" w:rsidRPr="005C23F6">
              <w:rPr>
                <w:sz w:val="26"/>
                <w:szCs w:val="26"/>
                <w:lang w:val="lv-LV"/>
              </w:rPr>
              <w:t>3.1.1.4. pasākumam "</w:t>
            </w:r>
            <w:proofErr w:type="spellStart"/>
            <w:r w:rsidR="00246849" w:rsidRPr="005C23F6">
              <w:rPr>
                <w:sz w:val="26"/>
                <w:szCs w:val="26"/>
                <w:lang w:val="lv-LV"/>
              </w:rPr>
              <w:t>Mikrokreditēšana</w:t>
            </w:r>
            <w:proofErr w:type="spellEnd"/>
            <w:r w:rsidR="00246849" w:rsidRPr="005C23F6">
              <w:rPr>
                <w:sz w:val="26"/>
                <w:szCs w:val="26"/>
                <w:lang w:val="lv-LV"/>
              </w:rPr>
              <w:t xml:space="preserve"> un aizdevumi uzsācējiem"</w:t>
            </w:r>
            <w:r w:rsidR="00F64D33" w:rsidRPr="005C23F6">
              <w:rPr>
                <w:sz w:val="26"/>
                <w:szCs w:val="26"/>
                <w:lang w:val="lv-LV"/>
              </w:rPr>
              <w:t xml:space="preserve"> (turpmāk – 3.1.1.4.pasākums)</w:t>
            </w:r>
            <w:r w:rsidR="00246849" w:rsidRPr="005C23F6">
              <w:rPr>
                <w:sz w:val="26"/>
                <w:szCs w:val="26"/>
                <w:lang w:val="lv-LV"/>
              </w:rPr>
              <w:t xml:space="preserve"> pieejamais </w:t>
            </w:r>
            <w:r w:rsidR="00E01566" w:rsidRPr="005C23F6">
              <w:rPr>
                <w:sz w:val="26"/>
                <w:szCs w:val="26"/>
                <w:lang w:val="lv-LV"/>
              </w:rPr>
              <w:t xml:space="preserve">Eiropas Reģionālās attīstības fonda (turpmāk – </w:t>
            </w:r>
            <w:r w:rsidR="00246849" w:rsidRPr="005C23F6">
              <w:rPr>
                <w:sz w:val="26"/>
                <w:szCs w:val="26"/>
                <w:lang w:val="lv-LV"/>
              </w:rPr>
              <w:t>ERAF</w:t>
            </w:r>
            <w:r w:rsidR="00E01566" w:rsidRPr="005C23F6">
              <w:rPr>
                <w:sz w:val="26"/>
                <w:szCs w:val="26"/>
                <w:lang w:val="lv-LV"/>
              </w:rPr>
              <w:t>)</w:t>
            </w:r>
            <w:r w:rsidR="00246849" w:rsidRPr="005C23F6">
              <w:rPr>
                <w:sz w:val="26"/>
                <w:szCs w:val="26"/>
                <w:lang w:val="lv-LV"/>
              </w:rPr>
              <w:t xml:space="preserve"> finansējums ir 4 milj. </w:t>
            </w:r>
            <w:r w:rsidRPr="005C23F6">
              <w:rPr>
                <w:i/>
                <w:sz w:val="26"/>
                <w:szCs w:val="26"/>
                <w:lang w:val="lv-LV"/>
              </w:rPr>
              <w:t>euro</w:t>
            </w:r>
            <w:r w:rsidR="00DD696D" w:rsidRPr="005C23F6">
              <w:rPr>
                <w:sz w:val="26"/>
                <w:szCs w:val="26"/>
                <w:lang w:val="lv-LV"/>
              </w:rPr>
              <w:t>.</w:t>
            </w:r>
          </w:p>
          <w:p w14:paraId="5507B802" w14:textId="16572F55" w:rsidR="00DF2030" w:rsidRPr="005C23F6" w:rsidRDefault="00E01566" w:rsidP="006C5402">
            <w:pPr>
              <w:spacing w:after="120"/>
              <w:jc w:val="both"/>
              <w:rPr>
                <w:b/>
                <w:bCs/>
                <w:sz w:val="26"/>
                <w:szCs w:val="26"/>
                <w:lang w:val="lv-LV"/>
              </w:rPr>
            </w:pPr>
            <w:r w:rsidRPr="005C23F6">
              <w:rPr>
                <w:bCs/>
                <w:sz w:val="26"/>
                <w:szCs w:val="26"/>
                <w:lang w:val="lv-LV"/>
              </w:rPr>
              <w:t>Noteikumu</w:t>
            </w:r>
            <w:r w:rsidR="00F64D33" w:rsidRPr="005C23F6">
              <w:rPr>
                <w:bCs/>
                <w:sz w:val="26"/>
                <w:szCs w:val="26"/>
                <w:lang w:val="lv-LV"/>
              </w:rPr>
              <w:t xml:space="preserve"> projekts paredz</w:t>
            </w:r>
            <w:r w:rsidR="00F64D33" w:rsidRPr="005C23F6">
              <w:rPr>
                <w:b/>
                <w:sz w:val="26"/>
                <w:szCs w:val="26"/>
                <w:lang w:val="lv-LV"/>
              </w:rPr>
              <w:t xml:space="preserve"> palielināt 3.1.1.4.pasākumam pieejamo finansējumu par </w:t>
            </w:r>
            <w:r w:rsidR="009E1DDF" w:rsidRPr="005C23F6">
              <w:rPr>
                <w:b/>
                <w:sz w:val="26"/>
                <w:szCs w:val="26"/>
                <w:lang w:val="lv-LV"/>
              </w:rPr>
              <w:t>1 000 000</w:t>
            </w:r>
            <w:r w:rsidR="00AE64F9" w:rsidRPr="005C23F6">
              <w:rPr>
                <w:b/>
                <w:sz w:val="26"/>
                <w:szCs w:val="26"/>
                <w:lang w:val="lv-LV"/>
              </w:rPr>
              <w:t xml:space="preserve"> </w:t>
            </w:r>
            <w:r w:rsidR="00AE64F9" w:rsidRPr="005C23F6">
              <w:rPr>
                <w:b/>
                <w:i/>
                <w:iCs/>
                <w:sz w:val="26"/>
                <w:szCs w:val="26"/>
                <w:lang w:val="lv-LV"/>
              </w:rPr>
              <w:t>euro</w:t>
            </w:r>
            <w:r w:rsidR="00AE64F9" w:rsidRPr="005C23F6">
              <w:rPr>
                <w:b/>
                <w:sz w:val="26"/>
                <w:szCs w:val="26"/>
                <w:lang w:val="lv-LV"/>
              </w:rPr>
              <w:t xml:space="preserve"> </w:t>
            </w:r>
            <w:r w:rsidR="00AE64F9" w:rsidRPr="005C23F6">
              <w:rPr>
                <w:bCs/>
                <w:sz w:val="26"/>
                <w:szCs w:val="26"/>
                <w:lang w:val="lv-LV"/>
              </w:rPr>
              <w:t>ERAF finansējum</w:t>
            </w:r>
            <w:r w:rsidR="009E1DDF" w:rsidRPr="005C23F6">
              <w:rPr>
                <w:bCs/>
                <w:sz w:val="26"/>
                <w:szCs w:val="26"/>
                <w:lang w:val="lv-LV"/>
              </w:rPr>
              <w:t>a</w:t>
            </w:r>
            <w:r w:rsidR="009E1DDF" w:rsidRPr="005C23F6">
              <w:rPr>
                <w:sz w:val="26"/>
                <w:szCs w:val="26"/>
                <w:lang w:val="lv-LV"/>
              </w:rPr>
              <w:t>, l</w:t>
            </w:r>
            <w:r w:rsidR="007D516C" w:rsidRPr="005C23F6">
              <w:rPr>
                <w:sz w:val="26"/>
                <w:szCs w:val="26"/>
                <w:lang w:val="lv-LV"/>
              </w:rPr>
              <w:t>ai nodrošinātu efektīvu E</w:t>
            </w:r>
            <w:r w:rsidRPr="005C23F6">
              <w:rPr>
                <w:sz w:val="26"/>
                <w:szCs w:val="26"/>
                <w:lang w:val="lv-LV"/>
              </w:rPr>
              <w:t xml:space="preserve">iropas </w:t>
            </w:r>
            <w:r w:rsidR="007D516C" w:rsidRPr="005C23F6">
              <w:rPr>
                <w:sz w:val="26"/>
                <w:szCs w:val="26"/>
                <w:lang w:val="lv-LV"/>
              </w:rPr>
              <w:t>S</w:t>
            </w:r>
            <w:r w:rsidRPr="005C23F6">
              <w:rPr>
                <w:sz w:val="26"/>
                <w:szCs w:val="26"/>
                <w:lang w:val="lv-LV"/>
              </w:rPr>
              <w:t>avienības (turpmāk – ES)</w:t>
            </w:r>
            <w:r w:rsidR="007D516C" w:rsidRPr="005C23F6">
              <w:rPr>
                <w:sz w:val="26"/>
                <w:szCs w:val="26"/>
                <w:lang w:val="lv-LV"/>
              </w:rPr>
              <w:t xml:space="preserve"> fondu līdzekļu izmantošanu, piedāvājot tirgus attīstības tendencēm atbilstošu</w:t>
            </w:r>
            <w:r w:rsidR="009E1DDF" w:rsidRPr="005C23F6">
              <w:rPr>
                <w:sz w:val="26"/>
                <w:szCs w:val="26"/>
                <w:lang w:val="lv-LV"/>
              </w:rPr>
              <w:t>s produktus.</w:t>
            </w:r>
            <w:r w:rsidR="007D516C" w:rsidRPr="005C23F6">
              <w:rPr>
                <w:sz w:val="26"/>
                <w:szCs w:val="26"/>
                <w:lang w:val="lv-LV"/>
              </w:rPr>
              <w:t xml:space="preserve"> </w:t>
            </w:r>
            <w:r w:rsidR="009E1DDF" w:rsidRPr="005C23F6">
              <w:rPr>
                <w:sz w:val="26"/>
                <w:szCs w:val="26"/>
                <w:lang w:val="lv-LV"/>
              </w:rPr>
              <w:t>Finansējumu</w:t>
            </w:r>
            <w:r w:rsidR="007D516C" w:rsidRPr="005C23F6">
              <w:rPr>
                <w:sz w:val="26"/>
                <w:szCs w:val="26"/>
                <w:lang w:val="lv-LV"/>
              </w:rPr>
              <w:t xml:space="preserve"> </w:t>
            </w:r>
            <w:r w:rsidR="009E1DDF" w:rsidRPr="005C23F6">
              <w:rPr>
                <w:sz w:val="26"/>
                <w:szCs w:val="26"/>
                <w:lang w:val="lv-LV"/>
              </w:rPr>
              <w:t xml:space="preserve">plānots pārdalīt </w:t>
            </w:r>
            <w:r w:rsidR="007D516C" w:rsidRPr="005C23F6">
              <w:rPr>
                <w:sz w:val="26"/>
                <w:szCs w:val="26"/>
                <w:lang w:val="lv-LV"/>
              </w:rPr>
              <w:t xml:space="preserve">no </w:t>
            </w:r>
            <w:r w:rsidR="00AE64F9" w:rsidRPr="005C23F6">
              <w:rPr>
                <w:sz w:val="26"/>
                <w:szCs w:val="26"/>
                <w:lang w:val="lv-LV"/>
              </w:rPr>
              <w:t>darbības programmas "Izaugsme un nodarbinātība" 3.1.1. specifiskā atbalsta mērķa "Sekmēt MVK izveidi un attīstību, īpaši apstrādes rūpniecībā un RIS3 prioritārajās nozarēs" 3.1.1.1. pasākuma "Aizdevumu garantijas" (turpmāk – 3.1.1.1. pasākums)</w:t>
            </w:r>
            <w:r w:rsidR="007D516C" w:rsidRPr="005C23F6">
              <w:rPr>
                <w:sz w:val="26"/>
                <w:szCs w:val="26"/>
                <w:lang w:val="lv-LV"/>
              </w:rPr>
              <w:t xml:space="preserve"> finansējuma pieejamīb</w:t>
            </w:r>
            <w:r w:rsidR="00AE64F9" w:rsidRPr="005C23F6">
              <w:rPr>
                <w:sz w:val="26"/>
                <w:szCs w:val="26"/>
                <w:lang w:val="lv-LV"/>
              </w:rPr>
              <w:t>ai</w:t>
            </w:r>
            <w:r w:rsidR="007D516C" w:rsidRPr="005C23F6">
              <w:rPr>
                <w:sz w:val="26"/>
                <w:szCs w:val="26"/>
                <w:lang w:val="lv-LV"/>
              </w:rPr>
              <w:t xml:space="preserve"> </w:t>
            </w:r>
            <w:r w:rsidR="007D516C" w:rsidRPr="005C23F6">
              <w:rPr>
                <w:b/>
                <w:bCs/>
                <w:sz w:val="26"/>
                <w:szCs w:val="26"/>
                <w:lang w:val="lv-LV"/>
              </w:rPr>
              <w:t>inovatīviem komersantiem</w:t>
            </w:r>
            <w:r w:rsidR="009E1DDF" w:rsidRPr="005C23F6">
              <w:rPr>
                <w:b/>
                <w:bCs/>
                <w:sz w:val="26"/>
                <w:szCs w:val="26"/>
                <w:lang w:val="lv-LV"/>
              </w:rPr>
              <w:t xml:space="preserve"> </w:t>
            </w:r>
            <w:r w:rsidR="009E1DDF" w:rsidRPr="005C23F6">
              <w:rPr>
                <w:sz w:val="26"/>
                <w:szCs w:val="26"/>
                <w:lang w:val="lv-LV"/>
              </w:rPr>
              <w:t>(sīkāku aprakstu skatīt</w:t>
            </w:r>
            <w:r w:rsidR="00927893" w:rsidRPr="005C23F6">
              <w:rPr>
                <w:sz w:val="26"/>
                <w:szCs w:val="26"/>
                <w:lang w:val="lv-LV"/>
              </w:rPr>
              <w:t xml:space="preserve"> 6</w:t>
            </w:r>
            <w:r w:rsidR="009E1DDF" w:rsidRPr="005C23F6">
              <w:rPr>
                <w:sz w:val="26"/>
                <w:szCs w:val="26"/>
                <w:lang w:val="lv-LV"/>
              </w:rPr>
              <w:t>.punktā)</w:t>
            </w:r>
            <w:r w:rsidR="007D516C" w:rsidRPr="005C23F6">
              <w:rPr>
                <w:sz w:val="26"/>
                <w:szCs w:val="26"/>
                <w:lang w:val="lv-LV"/>
              </w:rPr>
              <w:t xml:space="preserve">. </w:t>
            </w:r>
          </w:p>
          <w:p w14:paraId="7167CC4E" w14:textId="3671E573" w:rsidR="00A25F14" w:rsidRPr="005C23F6" w:rsidRDefault="007D516C" w:rsidP="006C5402">
            <w:pPr>
              <w:spacing w:after="120"/>
              <w:jc w:val="both"/>
              <w:rPr>
                <w:sz w:val="26"/>
                <w:szCs w:val="26"/>
                <w:lang w:val="lv-LV"/>
              </w:rPr>
            </w:pPr>
            <w:r w:rsidRPr="005C23F6">
              <w:rPr>
                <w:sz w:val="26"/>
                <w:szCs w:val="26"/>
                <w:u w:val="single"/>
                <w:lang w:val="lv-LV"/>
              </w:rPr>
              <w:t xml:space="preserve">Uzņēmumiem, kuru pamatdarbība saistīta ar inovatīvu produktu vai pakalpojumu izstrādi viens no šķēršļiem papildus nepietiekama nodrošinājumam vai finanšu plūsmai, lai saņemtu </w:t>
            </w:r>
            <w:r w:rsidRPr="005C23F6">
              <w:rPr>
                <w:sz w:val="26"/>
                <w:szCs w:val="26"/>
                <w:u w:val="single"/>
                <w:lang w:val="lv-LV"/>
              </w:rPr>
              <w:lastRenderedPageBreak/>
              <w:t xml:space="preserve">komercbankas aizdevumu to agrīnās attīstības stadijās, ir paaugstinātais risks, kas saistīts ar inovatīva produkta izstrādi, taču ne visās stadijās iespējams piesaistīt finansējumu riska kapitāla veidā. Identificēts, ka šajā segmentā pastāv tirgus nepilnība un šobrīd </w:t>
            </w:r>
            <w:r w:rsidR="00E01566" w:rsidRPr="005C23F6">
              <w:rPr>
                <w:sz w:val="26"/>
                <w:szCs w:val="26"/>
                <w:u w:val="single"/>
                <w:lang w:val="lv-LV"/>
              </w:rPr>
              <w:t>akciju sabiedrība Attīstības finanšu institūcija “</w:t>
            </w:r>
            <w:proofErr w:type="spellStart"/>
            <w:r w:rsidR="00E01566" w:rsidRPr="005C23F6">
              <w:rPr>
                <w:sz w:val="26"/>
                <w:szCs w:val="26"/>
                <w:u w:val="single"/>
                <w:lang w:val="lv-LV"/>
              </w:rPr>
              <w:t>Altum</w:t>
            </w:r>
            <w:proofErr w:type="spellEnd"/>
            <w:r w:rsidR="00E01566" w:rsidRPr="005C23F6">
              <w:rPr>
                <w:sz w:val="26"/>
                <w:szCs w:val="26"/>
                <w:u w:val="single"/>
                <w:lang w:val="lv-LV"/>
              </w:rPr>
              <w:t xml:space="preserve">” (turpmāk - </w:t>
            </w:r>
            <w:r w:rsidR="002C2A54" w:rsidRPr="005C23F6">
              <w:rPr>
                <w:sz w:val="26"/>
                <w:szCs w:val="26"/>
                <w:u w:val="single"/>
                <w:lang w:val="lv-LV"/>
              </w:rPr>
              <w:t xml:space="preserve">sabiedrība </w:t>
            </w:r>
            <w:r w:rsidR="00E01566" w:rsidRPr="005C23F6">
              <w:rPr>
                <w:sz w:val="26"/>
                <w:szCs w:val="26"/>
                <w:u w:val="single"/>
                <w:lang w:val="lv-LV"/>
              </w:rPr>
              <w:t>“</w:t>
            </w:r>
            <w:proofErr w:type="spellStart"/>
            <w:r w:rsidR="00E01566" w:rsidRPr="005C23F6">
              <w:rPr>
                <w:sz w:val="26"/>
                <w:szCs w:val="26"/>
                <w:u w:val="single"/>
                <w:lang w:val="lv-LV"/>
              </w:rPr>
              <w:t>Altum</w:t>
            </w:r>
            <w:proofErr w:type="spellEnd"/>
            <w:r w:rsidR="00E01566" w:rsidRPr="005C23F6">
              <w:rPr>
                <w:sz w:val="26"/>
                <w:szCs w:val="26"/>
                <w:u w:val="single"/>
                <w:lang w:val="lv-LV"/>
              </w:rPr>
              <w:t>”)</w:t>
            </w:r>
            <w:r w:rsidRPr="005C23F6">
              <w:rPr>
                <w:sz w:val="26"/>
                <w:szCs w:val="26"/>
                <w:u w:val="single"/>
                <w:lang w:val="lv-LV"/>
              </w:rPr>
              <w:t xml:space="preserve"> šāda veida aizdevumu esoš</w:t>
            </w:r>
            <w:r w:rsidR="00882ECF">
              <w:rPr>
                <w:sz w:val="26"/>
                <w:szCs w:val="26"/>
                <w:u w:val="single"/>
                <w:lang w:val="lv-LV"/>
              </w:rPr>
              <w:t>ās</w:t>
            </w:r>
            <w:r w:rsidRPr="005C23F6">
              <w:rPr>
                <w:sz w:val="26"/>
                <w:szCs w:val="26"/>
                <w:u w:val="single"/>
                <w:lang w:val="lv-LV"/>
              </w:rPr>
              <w:t xml:space="preserve"> programm</w:t>
            </w:r>
            <w:r w:rsidR="00882ECF">
              <w:rPr>
                <w:sz w:val="26"/>
                <w:szCs w:val="26"/>
                <w:u w:val="single"/>
                <w:lang w:val="lv-LV"/>
              </w:rPr>
              <w:t>as</w:t>
            </w:r>
            <w:r w:rsidRPr="005C23F6">
              <w:rPr>
                <w:sz w:val="26"/>
                <w:szCs w:val="26"/>
                <w:u w:val="single"/>
                <w:lang w:val="lv-LV"/>
              </w:rPr>
              <w:t xml:space="preserve"> ietvaros nepiedāvā, taču uzņēmumiem produktu izstrādei un attīstībai šāda veida aizdevumi būtu nepieciešami</w:t>
            </w:r>
            <w:r w:rsidR="00A25F14" w:rsidRPr="005C23F6">
              <w:rPr>
                <w:sz w:val="26"/>
                <w:szCs w:val="26"/>
                <w:u w:val="single"/>
                <w:lang w:val="lv-LV"/>
              </w:rPr>
              <w:t xml:space="preserve">, līdz ar to Ekonomikas ministrija </w:t>
            </w:r>
            <w:r w:rsidR="00A25F14" w:rsidRPr="005C23F6">
              <w:rPr>
                <w:sz w:val="26"/>
                <w:szCs w:val="26"/>
                <w:lang w:val="lv-LV"/>
              </w:rPr>
              <w:t xml:space="preserve">starta programmas ietvaros vēlas veicināt aizdevumu izsniegšanu augstāka riska inovatīviem uzņēmumiem pilotprojekta veidā un, izstrādājot ES fondu 2021.-2027.gada plānošanas perioda programmas, ņemtu vēra pilotprojekta rezultātus (vairāk informāciju skatīt </w:t>
            </w:r>
            <w:r w:rsidR="00A91E07" w:rsidRPr="005C23F6">
              <w:rPr>
                <w:sz w:val="26"/>
                <w:szCs w:val="26"/>
                <w:lang w:val="lv-LV"/>
              </w:rPr>
              <w:t>5</w:t>
            </w:r>
            <w:r w:rsidR="00A25F14" w:rsidRPr="005C23F6">
              <w:rPr>
                <w:sz w:val="26"/>
                <w:szCs w:val="26"/>
                <w:lang w:val="lv-LV"/>
              </w:rPr>
              <w:t>.punktā).</w:t>
            </w:r>
          </w:p>
          <w:p w14:paraId="6AD5BD83" w14:textId="47A6BA5E" w:rsidR="005D6B98" w:rsidRPr="005C23F6" w:rsidRDefault="00071BC9" w:rsidP="006C5402">
            <w:pPr>
              <w:pStyle w:val="ListParagraph"/>
              <w:numPr>
                <w:ilvl w:val="0"/>
                <w:numId w:val="25"/>
              </w:numPr>
              <w:jc w:val="both"/>
              <w:rPr>
                <w:rFonts w:eastAsia="Times New Roman"/>
                <w:b/>
                <w:bCs/>
                <w:sz w:val="26"/>
                <w:szCs w:val="26"/>
                <w:lang w:val="lv-LV"/>
              </w:rPr>
            </w:pPr>
            <w:r w:rsidRPr="005C23F6">
              <w:rPr>
                <w:rFonts w:eastAsia="Times New Roman"/>
                <w:b/>
                <w:bCs/>
                <w:sz w:val="26"/>
                <w:szCs w:val="26"/>
                <w:u w:val="single"/>
                <w:lang w:val="lv-LV"/>
              </w:rPr>
              <w:t xml:space="preserve">Snieguma rezultātu </w:t>
            </w:r>
            <w:r w:rsidR="009A6766" w:rsidRPr="005C23F6">
              <w:rPr>
                <w:rFonts w:eastAsia="Times New Roman"/>
                <w:b/>
                <w:bCs/>
                <w:sz w:val="26"/>
                <w:szCs w:val="26"/>
                <w:u w:val="single"/>
                <w:lang w:val="lv-LV"/>
              </w:rPr>
              <w:t>precizēšana</w:t>
            </w:r>
          </w:p>
          <w:p w14:paraId="62489218" w14:textId="77777777" w:rsidR="00F522D4" w:rsidRPr="005C23F6" w:rsidRDefault="00F522D4" w:rsidP="006C5402">
            <w:pPr>
              <w:pStyle w:val="ListParagraph"/>
              <w:jc w:val="both"/>
              <w:rPr>
                <w:rFonts w:eastAsia="Times New Roman"/>
                <w:b/>
                <w:bCs/>
                <w:sz w:val="26"/>
                <w:szCs w:val="26"/>
                <w:lang w:val="lv-LV"/>
              </w:rPr>
            </w:pPr>
          </w:p>
          <w:p w14:paraId="3322F144" w14:textId="73966489" w:rsidR="00E86211" w:rsidRPr="005C23F6" w:rsidRDefault="008E1D74" w:rsidP="006C5402">
            <w:pPr>
              <w:jc w:val="both"/>
              <w:rPr>
                <w:sz w:val="26"/>
                <w:szCs w:val="26"/>
                <w:lang w:val="lv-LV"/>
              </w:rPr>
            </w:pPr>
            <w:r w:rsidRPr="005C23F6">
              <w:rPr>
                <w:sz w:val="26"/>
                <w:szCs w:val="26"/>
                <w:lang w:val="lv-LV"/>
              </w:rPr>
              <w:t>N</w:t>
            </w:r>
            <w:r w:rsidR="009A6766" w:rsidRPr="005C23F6">
              <w:rPr>
                <w:sz w:val="26"/>
                <w:szCs w:val="26"/>
                <w:lang w:val="lv-LV"/>
              </w:rPr>
              <w:t>oteikumu 8.punktā ir noteikti snieguma rezultāti, kas jāsasniedz 3.1.1.4.pasākuma ietvaros līdz 2023. gada 31. decembrim.</w:t>
            </w:r>
          </w:p>
          <w:p w14:paraId="5285443B" w14:textId="3CC7FF6F" w:rsidR="009A6766" w:rsidRPr="005C23F6" w:rsidRDefault="00D324CC" w:rsidP="006C5402">
            <w:pPr>
              <w:jc w:val="both"/>
              <w:rPr>
                <w:sz w:val="26"/>
                <w:szCs w:val="26"/>
                <w:lang w:val="lv-LV"/>
              </w:rPr>
            </w:pPr>
            <w:r w:rsidRPr="005C23F6">
              <w:rPr>
                <w:sz w:val="26"/>
                <w:szCs w:val="26"/>
                <w:lang w:val="lv-LV"/>
              </w:rPr>
              <w:t>Noteikumu</w:t>
            </w:r>
            <w:r w:rsidR="009A6766" w:rsidRPr="005C23F6">
              <w:rPr>
                <w:sz w:val="26"/>
                <w:szCs w:val="26"/>
                <w:lang w:val="lv-LV"/>
              </w:rPr>
              <w:t xml:space="preserve"> projekt</w:t>
            </w:r>
            <w:r w:rsidRPr="005C23F6">
              <w:rPr>
                <w:sz w:val="26"/>
                <w:szCs w:val="26"/>
                <w:lang w:val="lv-LV"/>
              </w:rPr>
              <w:t>s</w:t>
            </w:r>
            <w:r w:rsidR="009A6766" w:rsidRPr="005C23F6">
              <w:rPr>
                <w:sz w:val="26"/>
                <w:szCs w:val="26"/>
                <w:lang w:val="lv-LV"/>
              </w:rPr>
              <w:t xml:space="preserve"> paredz precizēt rādītāju “atbalstīto saimnieciskās darbības veicēju skaits”, pamatojoties uz </w:t>
            </w:r>
            <w:r w:rsidR="00071BC9" w:rsidRPr="005C23F6">
              <w:rPr>
                <w:sz w:val="26"/>
                <w:szCs w:val="26"/>
                <w:lang w:val="lv-LV"/>
              </w:rPr>
              <w:t>faktiski sasniegto rādītāja vērtību uz 30.09.2019., jo</w:t>
            </w:r>
            <w:r w:rsidR="009A6766" w:rsidRPr="005C23F6">
              <w:rPr>
                <w:sz w:val="26"/>
                <w:szCs w:val="26"/>
                <w:lang w:val="lv-LV"/>
              </w:rPr>
              <w:t>:</w:t>
            </w:r>
          </w:p>
          <w:p w14:paraId="56D5C653" w14:textId="355AB939" w:rsidR="009A6766" w:rsidRPr="005C23F6" w:rsidRDefault="009A6766" w:rsidP="006C5402">
            <w:pPr>
              <w:pStyle w:val="ListParagraph"/>
              <w:numPr>
                <w:ilvl w:val="0"/>
                <w:numId w:val="29"/>
              </w:numPr>
              <w:jc w:val="both"/>
              <w:rPr>
                <w:sz w:val="26"/>
                <w:szCs w:val="26"/>
                <w:lang w:val="lv-LV"/>
              </w:rPr>
            </w:pPr>
            <w:r w:rsidRPr="005C23F6">
              <w:rPr>
                <w:sz w:val="26"/>
                <w:szCs w:val="26"/>
                <w:lang w:val="lv-LV"/>
              </w:rPr>
              <w:t xml:space="preserve">3.1.1.4.pasākuma īstenošana ir praktiski noslēgusies, </w:t>
            </w:r>
          </w:p>
          <w:p w14:paraId="20C20623" w14:textId="11DD70ED" w:rsidR="00071BC9" w:rsidRPr="005C23F6" w:rsidRDefault="00071BC9" w:rsidP="006C5402">
            <w:pPr>
              <w:pStyle w:val="ListParagraph"/>
              <w:numPr>
                <w:ilvl w:val="0"/>
                <w:numId w:val="29"/>
              </w:numPr>
              <w:jc w:val="both"/>
              <w:rPr>
                <w:sz w:val="26"/>
                <w:szCs w:val="26"/>
                <w:lang w:val="lv-LV"/>
              </w:rPr>
            </w:pPr>
            <w:bookmarkStart w:id="5" w:name="_GoBack"/>
            <w:bookmarkEnd w:id="5"/>
            <w:r w:rsidRPr="005C23F6">
              <w:rPr>
                <w:sz w:val="26"/>
                <w:szCs w:val="26"/>
                <w:lang w:val="lv-LV"/>
              </w:rPr>
              <w:t xml:space="preserve">pieejamā finansējuma palielinājumam par 1 milj. </w:t>
            </w:r>
            <w:r w:rsidRPr="005C23F6">
              <w:rPr>
                <w:i/>
                <w:iCs/>
                <w:sz w:val="26"/>
                <w:szCs w:val="26"/>
                <w:lang w:val="lv-LV"/>
              </w:rPr>
              <w:t xml:space="preserve">euro </w:t>
            </w:r>
            <w:r w:rsidRPr="005C23F6">
              <w:rPr>
                <w:sz w:val="26"/>
                <w:szCs w:val="26"/>
                <w:lang w:val="lv-LV"/>
              </w:rPr>
              <w:t xml:space="preserve">inovatīvajiem komersantiem </w:t>
            </w:r>
            <w:r w:rsidR="008520B9" w:rsidRPr="005C23F6">
              <w:rPr>
                <w:sz w:val="26"/>
                <w:szCs w:val="26"/>
                <w:lang w:val="lv-LV"/>
              </w:rPr>
              <w:t xml:space="preserve">nav </w:t>
            </w:r>
            <w:r w:rsidRPr="005C23F6">
              <w:rPr>
                <w:sz w:val="26"/>
                <w:szCs w:val="26"/>
                <w:lang w:val="lv-LV"/>
              </w:rPr>
              <w:t>būtisk</w:t>
            </w:r>
            <w:r w:rsidR="00C46737" w:rsidRPr="005C23F6">
              <w:rPr>
                <w:sz w:val="26"/>
                <w:szCs w:val="26"/>
                <w:lang w:val="lv-LV"/>
              </w:rPr>
              <w:t xml:space="preserve">a ietekme uz </w:t>
            </w:r>
            <w:r w:rsidRPr="005C23F6">
              <w:rPr>
                <w:sz w:val="26"/>
                <w:szCs w:val="26"/>
                <w:lang w:val="lv-LV"/>
              </w:rPr>
              <w:t>rādītāja vērtību.</w:t>
            </w:r>
          </w:p>
          <w:p w14:paraId="1BAE3B06" w14:textId="625DCC18" w:rsidR="00071BC9" w:rsidRPr="005C23F6" w:rsidRDefault="00071BC9" w:rsidP="006C5402">
            <w:pPr>
              <w:jc w:val="both"/>
              <w:rPr>
                <w:sz w:val="26"/>
                <w:szCs w:val="26"/>
                <w:lang w:val="lv-LV"/>
              </w:rPr>
            </w:pPr>
          </w:p>
          <w:p w14:paraId="05337270" w14:textId="15199CC8" w:rsidR="00071BC9" w:rsidRPr="005C23F6" w:rsidRDefault="00071BC9" w:rsidP="006C5402">
            <w:pPr>
              <w:pStyle w:val="ListParagraph"/>
              <w:numPr>
                <w:ilvl w:val="0"/>
                <w:numId w:val="25"/>
              </w:numPr>
              <w:jc w:val="both"/>
              <w:rPr>
                <w:rFonts w:eastAsia="Times New Roman"/>
                <w:b/>
                <w:bCs/>
                <w:sz w:val="26"/>
                <w:szCs w:val="26"/>
                <w:lang w:val="lv-LV"/>
              </w:rPr>
            </w:pPr>
            <w:r w:rsidRPr="005C23F6">
              <w:rPr>
                <w:rFonts w:eastAsia="Times New Roman"/>
                <w:b/>
                <w:bCs/>
                <w:sz w:val="26"/>
                <w:szCs w:val="26"/>
                <w:u w:val="single"/>
                <w:lang w:val="lv-LV"/>
              </w:rPr>
              <w:t>Atbalstāmo darbību precizēšana</w:t>
            </w:r>
          </w:p>
          <w:p w14:paraId="12A05404" w14:textId="77777777" w:rsidR="00F522D4" w:rsidRPr="005C23F6" w:rsidRDefault="00F522D4" w:rsidP="006C5402">
            <w:pPr>
              <w:pStyle w:val="ListParagraph"/>
              <w:jc w:val="both"/>
              <w:rPr>
                <w:rFonts w:eastAsia="Times New Roman"/>
                <w:b/>
                <w:bCs/>
                <w:sz w:val="26"/>
                <w:szCs w:val="26"/>
                <w:lang w:val="lv-LV"/>
              </w:rPr>
            </w:pPr>
          </w:p>
          <w:p w14:paraId="6908A024" w14:textId="131599EA" w:rsidR="00071BC9" w:rsidRPr="005C23F6" w:rsidRDefault="00071BC9" w:rsidP="006C5402">
            <w:pPr>
              <w:ind w:right="40"/>
              <w:jc w:val="both"/>
              <w:rPr>
                <w:rFonts w:eastAsia="Times New Roman"/>
                <w:sz w:val="26"/>
                <w:szCs w:val="26"/>
                <w:lang w:val="lv-LV"/>
              </w:rPr>
            </w:pPr>
            <w:bookmarkStart w:id="6" w:name="_Hlk31101480"/>
            <w:r w:rsidRPr="005C23F6">
              <w:rPr>
                <w:rFonts w:eastAsia="Times New Roman"/>
                <w:sz w:val="26"/>
                <w:szCs w:val="26"/>
                <w:lang w:val="lv-LV"/>
              </w:rPr>
              <w:t>Noteikumu 11.punktā ir noteiktas darbības un nozares, kur</w:t>
            </w:r>
            <w:r w:rsidR="002E7635" w:rsidRPr="005C23F6">
              <w:rPr>
                <w:rFonts w:eastAsia="Times New Roman"/>
                <w:sz w:val="26"/>
                <w:szCs w:val="26"/>
                <w:lang w:val="lv-LV"/>
              </w:rPr>
              <w:t>ā</w:t>
            </w:r>
            <w:r w:rsidRPr="005C23F6">
              <w:rPr>
                <w:rFonts w:eastAsia="Times New Roman"/>
                <w:sz w:val="26"/>
                <w:szCs w:val="26"/>
                <w:lang w:val="lv-LV"/>
              </w:rPr>
              <w:t>m nepiešķir atbalstu 3.1.1.4.pasākuma ietvaros.</w:t>
            </w:r>
          </w:p>
          <w:p w14:paraId="6E583C18" w14:textId="1070C8B8" w:rsidR="00AD2587" w:rsidRPr="005C23F6" w:rsidRDefault="002C2A54" w:rsidP="006C5402">
            <w:pPr>
              <w:jc w:val="both"/>
              <w:rPr>
                <w:rFonts w:eastAsia="Times New Roman"/>
                <w:sz w:val="26"/>
                <w:szCs w:val="26"/>
                <w:lang w:val="lv-LV"/>
              </w:rPr>
            </w:pPr>
            <w:r w:rsidRPr="005C23F6">
              <w:rPr>
                <w:rFonts w:eastAsia="Times New Roman"/>
                <w:sz w:val="26"/>
                <w:szCs w:val="26"/>
                <w:lang w:val="lv-LV"/>
              </w:rPr>
              <w:t>N</w:t>
            </w:r>
            <w:r w:rsidR="00C64DE5" w:rsidRPr="005C23F6">
              <w:rPr>
                <w:rFonts w:eastAsia="Times New Roman"/>
                <w:sz w:val="26"/>
                <w:szCs w:val="26"/>
                <w:lang w:val="lv-LV"/>
              </w:rPr>
              <w:t>oteikumu 11.8.</w:t>
            </w:r>
            <w:r w:rsidR="004D7FE7" w:rsidRPr="005C23F6">
              <w:rPr>
                <w:rFonts w:eastAsia="Times New Roman"/>
                <w:sz w:val="26"/>
                <w:szCs w:val="26"/>
                <w:lang w:val="lv-LV"/>
              </w:rPr>
              <w:t xml:space="preserve"> </w:t>
            </w:r>
            <w:r w:rsidR="00BB3495" w:rsidRPr="005C23F6">
              <w:rPr>
                <w:rFonts w:eastAsia="Times New Roman"/>
                <w:sz w:val="26"/>
                <w:szCs w:val="26"/>
                <w:lang w:val="lv-LV"/>
              </w:rPr>
              <w:t>un 11.11.apakšpunktos</w:t>
            </w:r>
            <w:r w:rsidR="00C64DE5" w:rsidRPr="005C23F6">
              <w:rPr>
                <w:rFonts w:eastAsia="Times New Roman"/>
                <w:sz w:val="26"/>
                <w:szCs w:val="26"/>
                <w:lang w:val="lv-LV"/>
              </w:rPr>
              <w:t xml:space="preserve"> noteikt</w:t>
            </w:r>
            <w:r w:rsidR="00BB3495" w:rsidRPr="005C23F6">
              <w:rPr>
                <w:rFonts w:eastAsia="Times New Roman"/>
                <w:sz w:val="26"/>
                <w:szCs w:val="26"/>
                <w:lang w:val="lv-LV"/>
              </w:rPr>
              <w:t>o</w:t>
            </w:r>
            <w:r w:rsidR="00C64DE5" w:rsidRPr="005C23F6">
              <w:rPr>
                <w:rFonts w:eastAsia="Times New Roman"/>
                <w:sz w:val="26"/>
                <w:szCs w:val="26"/>
                <w:lang w:val="lv-LV"/>
              </w:rPr>
              <w:t xml:space="preserve"> ierobežojum</w:t>
            </w:r>
            <w:r w:rsidR="00BB3495" w:rsidRPr="005C23F6">
              <w:rPr>
                <w:rFonts w:eastAsia="Times New Roman"/>
                <w:sz w:val="26"/>
                <w:szCs w:val="26"/>
                <w:lang w:val="lv-LV"/>
              </w:rPr>
              <w:t>u</w:t>
            </w:r>
            <w:r w:rsidR="00C64DE5" w:rsidRPr="005C23F6">
              <w:rPr>
                <w:rFonts w:eastAsia="Times New Roman"/>
                <w:sz w:val="26"/>
                <w:szCs w:val="26"/>
                <w:lang w:val="lv-LV"/>
              </w:rPr>
              <w:t xml:space="preserve"> mērķis </w:t>
            </w:r>
            <w:r w:rsidR="0093507D" w:rsidRPr="005C23F6">
              <w:rPr>
                <w:rFonts w:eastAsia="Times New Roman"/>
                <w:sz w:val="26"/>
                <w:szCs w:val="26"/>
                <w:lang w:val="lv-LV"/>
              </w:rPr>
              <w:t>ir</w:t>
            </w:r>
            <w:r w:rsidR="00C64DE5" w:rsidRPr="005C23F6">
              <w:rPr>
                <w:rFonts w:eastAsia="Times New Roman"/>
                <w:sz w:val="26"/>
                <w:szCs w:val="26"/>
                <w:lang w:val="lv-LV"/>
              </w:rPr>
              <w:t xml:space="preserve"> nepieļaut atbalsta sniegšanu darījumiem, kas saistīti ar nekustamā īpašuma pārdošanu un pirkšanu,</w:t>
            </w:r>
            <w:r w:rsidR="004D7FE7" w:rsidRPr="005C23F6">
              <w:rPr>
                <w:rFonts w:eastAsia="Times New Roman"/>
                <w:sz w:val="26"/>
                <w:szCs w:val="26"/>
                <w:lang w:val="lv-LV"/>
              </w:rPr>
              <w:t xml:space="preserve"> dzīvojamo ēku, </w:t>
            </w:r>
            <w:r w:rsidR="00C64DE5" w:rsidRPr="005C23F6">
              <w:rPr>
                <w:rFonts w:eastAsia="Times New Roman"/>
                <w:sz w:val="26"/>
                <w:szCs w:val="26"/>
                <w:lang w:val="lv-LV"/>
              </w:rPr>
              <w:t xml:space="preserve"> </w:t>
            </w:r>
            <w:r w:rsidR="0093507D" w:rsidRPr="005C23F6">
              <w:rPr>
                <w:rFonts w:eastAsia="Times New Roman"/>
                <w:sz w:val="26"/>
                <w:szCs w:val="26"/>
                <w:lang w:val="lv-LV"/>
              </w:rPr>
              <w:t>tirdzniecības centru vai mazumtirdzniecībai pielāgotu nekustamā īpašuma izveidi, pielāgošanu u.c. attīstības darbībām, bet to neierobežot attiecībā uz atbalsta sniegšanu darījumiem, lai finansētu nekustamā īpašuma attīstīšanas projektus, kuru ietvaros tiek atbalstīta modernu, drošu, energoefektīvu un atbilstošas telpu izveide gan ražošanas uzņēmumiem, gan pakalpojumu sniedzējiem</w:t>
            </w:r>
            <w:r w:rsidR="004D7FE7" w:rsidRPr="005C23F6">
              <w:rPr>
                <w:rFonts w:eastAsia="Times New Roman"/>
                <w:sz w:val="26"/>
                <w:szCs w:val="26"/>
                <w:lang w:val="lv-LV"/>
              </w:rPr>
              <w:t>, kas ir ļoti būtisks faktors šo nozaru saimnieciskās darbības veicēju attīstībai</w:t>
            </w:r>
            <w:r w:rsidR="000A68A7" w:rsidRPr="005C23F6">
              <w:rPr>
                <w:rFonts w:eastAsia="Times New Roman"/>
                <w:sz w:val="26"/>
                <w:szCs w:val="26"/>
                <w:lang w:val="lv-LV"/>
              </w:rPr>
              <w:t>. Turklāt,</w:t>
            </w:r>
            <w:r w:rsidR="004D7FE7" w:rsidRPr="005C23F6">
              <w:rPr>
                <w:rFonts w:eastAsia="Times New Roman"/>
                <w:sz w:val="26"/>
                <w:szCs w:val="26"/>
                <w:lang w:val="lv-LV"/>
              </w:rPr>
              <w:t xml:space="preserve"> ņemot vērā, ka pašreizējā banku kreditēšanas politika ir nogaidoša lieliem ieguldījumiem ražošanas un pakalpojumu sniegšanas telpu renovācijā un jaunbūvē.</w:t>
            </w:r>
          </w:p>
          <w:p w14:paraId="69592379" w14:textId="2826CB21" w:rsidR="00C64DE5" w:rsidRPr="005C23F6" w:rsidRDefault="004D7FE7" w:rsidP="006C5402">
            <w:pPr>
              <w:jc w:val="both"/>
              <w:rPr>
                <w:rFonts w:eastAsia="Times New Roman"/>
                <w:sz w:val="26"/>
                <w:szCs w:val="26"/>
                <w:lang w:val="lv-LV"/>
              </w:rPr>
            </w:pPr>
            <w:r w:rsidRPr="005C23F6">
              <w:rPr>
                <w:rFonts w:eastAsia="Times New Roman"/>
                <w:sz w:val="26"/>
                <w:szCs w:val="26"/>
                <w:lang w:val="lv-LV"/>
              </w:rPr>
              <w:t>Ņ</w:t>
            </w:r>
            <w:r w:rsidR="00C64DE5" w:rsidRPr="005C23F6">
              <w:rPr>
                <w:rFonts w:eastAsia="Times New Roman"/>
                <w:sz w:val="26"/>
                <w:szCs w:val="26"/>
                <w:lang w:val="lv-LV"/>
              </w:rPr>
              <w:t xml:space="preserve">emot vērā, ka  NACE 2. </w:t>
            </w:r>
            <w:proofErr w:type="spellStart"/>
            <w:r w:rsidR="00C64DE5" w:rsidRPr="005C23F6">
              <w:rPr>
                <w:rFonts w:eastAsia="Times New Roman"/>
                <w:sz w:val="26"/>
                <w:szCs w:val="26"/>
                <w:lang w:val="lv-LV"/>
              </w:rPr>
              <w:t>red</w:t>
            </w:r>
            <w:proofErr w:type="spellEnd"/>
            <w:r w:rsidR="00C64DE5" w:rsidRPr="005C23F6">
              <w:rPr>
                <w:rFonts w:eastAsia="Times New Roman"/>
                <w:sz w:val="26"/>
                <w:szCs w:val="26"/>
                <w:lang w:val="lv-LV"/>
              </w:rPr>
              <w:t xml:space="preserve">. L sadaļā "Operācijas ar nekustamo īpašumu" (turpmāk – L sadaļa) ir </w:t>
            </w:r>
            <w:r w:rsidR="0004380E" w:rsidRPr="005C23F6">
              <w:rPr>
                <w:rFonts w:eastAsia="Times New Roman"/>
                <w:sz w:val="26"/>
                <w:szCs w:val="26"/>
                <w:lang w:val="lv-LV"/>
              </w:rPr>
              <w:t>grupas</w:t>
            </w:r>
            <w:r w:rsidR="00C64DE5" w:rsidRPr="005C23F6">
              <w:rPr>
                <w:rFonts w:eastAsia="Times New Roman"/>
                <w:sz w:val="26"/>
                <w:szCs w:val="26"/>
                <w:lang w:val="lv-LV"/>
              </w:rPr>
              <w:t xml:space="preserve">, kuru </w:t>
            </w:r>
            <w:r w:rsidR="00C64DE5" w:rsidRPr="005C23F6">
              <w:rPr>
                <w:rFonts w:eastAsia="Times New Roman"/>
                <w:sz w:val="26"/>
                <w:szCs w:val="26"/>
                <w:lang w:val="lv-LV"/>
              </w:rPr>
              <w:lastRenderedPageBreak/>
              <w:t>ietvaros</w:t>
            </w:r>
            <w:r w:rsidR="00927893" w:rsidRPr="005C23F6">
              <w:rPr>
                <w:rFonts w:eastAsia="Times New Roman"/>
                <w:sz w:val="26"/>
                <w:szCs w:val="26"/>
                <w:lang w:val="lv-LV"/>
              </w:rPr>
              <w:t>,</w:t>
            </w:r>
            <w:r w:rsidR="00C64DE5" w:rsidRPr="005C23F6">
              <w:rPr>
                <w:rFonts w:eastAsia="Times New Roman"/>
                <w:sz w:val="26"/>
                <w:szCs w:val="26"/>
                <w:lang w:val="lv-LV"/>
              </w:rPr>
              <w:t xml:space="preserve"> veicot darbības</w:t>
            </w:r>
            <w:r w:rsidR="0004380E" w:rsidRPr="005C23F6">
              <w:rPr>
                <w:rFonts w:eastAsia="Times New Roman"/>
                <w:sz w:val="26"/>
                <w:szCs w:val="26"/>
                <w:lang w:val="lv-LV"/>
              </w:rPr>
              <w:t>,</w:t>
            </w:r>
            <w:r w:rsidR="00C64DE5" w:rsidRPr="005C23F6">
              <w:rPr>
                <w:rFonts w:eastAsia="Times New Roman"/>
                <w:sz w:val="26"/>
                <w:szCs w:val="26"/>
                <w:lang w:val="lv-LV"/>
              </w:rPr>
              <w:t xml:space="preserve"> nekustamais īpašums paliek saimnieciskās darbības veicēja īpašumā un tas tajā veic ar savu saimniecisko darbību saistītas darbības, Ekonomikas ministrijas ieskatā</w:t>
            </w:r>
            <w:r w:rsidR="0004380E" w:rsidRPr="005C23F6">
              <w:rPr>
                <w:rFonts w:eastAsia="Times New Roman"/>
                <w:sz w:val="26"/>
                <w:szCs w:val="26"/>
                <w:lang w:val="lv-LV"/>
              </w:rPr>
              <w:t xml:space="preserve"> šobrīd noteiktajiem ierobežojumiem ir jānosaka izņēmumi</w:t>
            </w:r>
            <w:r w:rsidR="00AD2587" w:rsidRPr="005C23F6">
              <w:rPr>
                <w:rFonts w:eastAsia="Times New Roman"/>
                <w:sz w:val="26"/>
                <w:szCs w:val="26"/>
                <w:lang w:val="lv-LV"/>
              </w:rPr>
              <w:t xml:space="preserve">, </w:t>
            </w:r>
            <w:r w:rsidR="0004380E" w:rsidRPr="005C23F6">
              <w:rPr>
                <w:rFonts w:eastAsia="Times New Roman"/>
                <w:sz w:val="26"/>
                <w:szCs w:val="26"/>
                <w:lang w:val="lv-LV"/>
              </w:rPr>
              <w:t xml:space="preserve">salāgojot </w:t>
            </w:r>
            <w:r w:rsidR="00927893" w:rsidRPr="005C23F6">
              <w:rPr>
                <w:rFonts w:eastAsia="Times New Roman"/>
                <w:sz w:val="26"/>
                <w:szCs w:val="26"/>
                <w:lang w:val="lv-LV"/>
              </w:rPr>
              <w:t xml:space="preserve">tos </w:t>
            </w:r>
            <w:r w:rsidR="0004380E" w:rsidRPr="005C23F6">
              <w:rPr>
                <w:rFonts w:eastAsia="Times New Roman"/>
                <w:sz w:val="26"/>
                <w:szCs w:val="26"/>
                <w:lang w:val="lv-LV"/>
              </w:rPr>
              <w:t>ar citām atbalsta programmām, lai nodrošinātu vienādu pieeju finanšu instrumentu programmās.</w:t>
            </w:r>
          </w:p>
          <w:p w14:paraId="12E47199" w14:textId="52F828CA" w:rsidR="00A06120" w:rsidRPr="005C23F6" w:rsidRDefault="009C0D4C" w:rsidP="006C5402">
            <w:pPr>
              <w:contextualSpacing/>
              <w:jc w:val="both"/>
              <w:rPr>
                <w:rFonts w:eastAsia="Times New Roman"/>
                <w:b/>
                <w:bCs/>
                <w:sz w:val="26"/>
                <w:szCs w:val="26"/>
                <w:lang w:val="lv-LV"/>
              </w:rPr>
            </w:pPr>
            <w:r w:rsidRPr="005C23F6">
              <w:rPr>
                <w:rFonts w:eastAsia="Times New Roman"/>
                <w:sz w:val="26"/>
                <w:szCs w:val="26"/>
                <w:lang w:val="lv-LV"/>
              </w:rPr>
              <w:t>Noteikumu projekts paredz atspoguļot skaidrāk šo no</w:t>
            </w:r>
            <w:r w:rsidR="00927893" w:rsidRPr="005C23F6">
              <w:rPr>
                <w:rFonts w:eastAsia="Times New Roman"/>
                <w:sz w:val="26"/>
                <w:szCs w:val="26"/>
                <w:lang w:val="lv-LV"/>
              </w:rPr>
              <w:t>rmu</w:t>
            </w:r>
            <w:r w:rsidRPr="005C23F6">
              <w:rPr>
                <w:rFonts w:eastAsia="Times New Roman"/>
                <w:sz w:val="26"/>
                <w:szCs w:val="26"/>
                <w:lang w:val="lv-LV"/>
              </w:rPr>
              <w:t xml:space="preserve">, lai izvairītos no interpretācijas pārpratumiem. </w:t>
            </w:r>
            <w:r w:rsidRPr="005C23F6">
              <w:rPr>
                <w:rFonts w:eastAsia="Times New Roman"/>
                <w:b/>
                <w:bCs/>
                <w:sz w:val="26"/>
                <w:szCs w:val="26"/>
                <w:lang w:val="lv-LV"/>
              </w:rPr>
              <w:t xml:space="preserve">Ekonomikas ministrijas ieskatā joprojām ir jāatbalsta telpu un būvju attīstība un pieejamība komersantiem, izslēdzot dzīvojamo ēku, tirdzniecības centru un mazumtirdzniecības vajadzībām pielāgotu telpu (būvju) būvi un attīstību.  </w:t>
            </w:r>
            <w:bookmarkEnd w:id="6"/>
          </w:p>
          <w:p w14:paraId="30EF396D" w14:textId="74E282DF" w:rsidR="004D7FE7" w:rsidRPr="005C23F6" w:rsidRDefault="004D7FE7" w:rsidP="006C5402">
            <w:pPr>
              <w:contextualSpacing/>
              <w:jc w:val="both"/>
              <w:rPr>
                <w:rFonts w:eastAsia="Times New Roman"/>
                <w:sz w:val="26"/>
                <w:szCs w:val="26"/>
                <w:lang w:val="lv-LV"/>
              </w:rPr>
            </w:pPr>
            <w:r w:rsidRPr="005C23F6">
              <w:rPr>
                <w:rFonts w:eastAsia="Times New Roman"/>
                <w:sz w:val="26"/>
                <w:szCs w:val="26"/>
                <w:lang w:val="lv-LV"/>
              </w:rPr>
              <w:t xml:space="preserve">Būvju un telpu klasifikācija ir atbilstoša Ministru kabineta 2018. gada 12. jūnija noteikumos Nr. 326 "Būvju klasifikācijas noteikumi" pielikumā "Būvju klasifikācijai noteiktajai klasifikācijai, izņemot 11. kodu "Dzīvojamās mājas". Attiecīgi, ir atļauts atbalstīt tādu būvju un telpu finansēšanu, piemēram, kā biroja telpas, sporta, ēdināšanas, izklaides, ražošanas u.c. telpas. </w:t>
            </w:r>
          </w:p>
          <w:p w14:paraId="31FB8551" w14:textId="77777777" w:rsidR="004D7FE7" w:rsidRPr="005C23F6" w:rsidRDefault="004D7FE7" w:rsidP="006C5402">
            <w:pPr>
              <w:contextualSpacing/>
              <w:jc w:val="both"/>
              <w:rPr>
                <w:rFonts w:eastAsia="Times New Roman"/>
                <w:sz w:val="26"/>
                <w:szCs w:val="26"/>
                <w:lang w:val="lv-LV"/>
              </w:rPr>
            </w:pPr>
          </w:p>
          <w:p w14:paraId="60E6A344" w14:textId="57AA24A0" w:rsidR="00A06120" w:rsidRPr="005C23F6" w:rsidRDefault="00A06120" w:rsidP="006C5402">
            <w:pPr>
              <w:pStyle w:val="ListParagraph"/>
              <w:numPr>
                <w:ilvl w:val="0"/>
                <w:numId w:val="25"/>
              </w:numPr>
              <w:jc w:val="both"/>
              <w:rPr>
                <w:rFonts w:eastAsia="Times New Roman"/>
                <w:b/>
                <w:bCs/>
                <w:sz w:val="26"/>
                <w:szCs w:val="26"/>
                <w:u w:val="single"/>
                <w:lang w:val="lv-LV"/>
              </w:rPr>
            </w:pPr>
            <w:r w:rsidRPr="005C23F6">
              <w:rPr>
                <w:rFonts w:eastAsia="Times New Roman"/>
                <w:b/>
                <w:bCs/>
                <w:sz w:val="26"/>
                <w:szCs w:val="26"/>
                <w:u w:val="single"/>
                <w:lang w:val="lv-LV"/>
              </w:rPr>
              <w:t>Ierobežojumi starta aizdevuma pretendentiem</w:t>
            </w:r>
          </w:p>
          <w:p w14:paraId="354BFB12" w14:textId="77777777" w:rsidR="00F522D4" w:rsidRPr="005C23F6" w:rsidRDefault="00F522D4" w:rsidP="006C5402">
            <w:pPr>
              <w:pStyle w:val="ListParagraph"/>
              <w:jc w:val="both"/>
              <w:rPr>
                <w:rFonts w:eastAsia="Times New Roman"/>
                <w:b/>
                <w:bCs/>
                <w:sz w:val="26"/>
                <w:szCs w:val="26"/>
                <w:u w:val="single"/>
                <w:lang w:val="lv-LV"/>
              </w:rPr>
            </w:pPr>
          </w:p>
          <w:p w14:paraId="578BAC86" w14:textId="77777777" w:rsidR="00F522D4" w:rsidRPr="005C23F6" w:rsidRDefault="00A06120" w:rsidP="006C5402">
            <w:pPr>
              <w:jc w:val="both"/>
              <w:rPr>
                <w:rFonts w:eastAsia="Times New Roman"/>
                <w:sz w:val="26"/>
                <w:szCs w:val="26"/>
                <w:lang w:val="lv-LV"/>
              </w:rPr>
            </w:pPr>
            <w:bookmarkStart w:id="7" w:name="_Hlk31636001"/>
            <w:r w:rsidRPr="005C23F6">
              <w:rPr>
                <w:rFonts w:eastAsia="Times New Roman"/>
                <w:sz w:val="26"/>
                <w:szCs w:val="26"/>
                <w:lang w:val="lv-LV"/>
              </w:rPr>
              <w:t>Noteikumu 27., 28. un 30.punkts ierobežo aizdevumiem pieteikties  saimnieciskās darbības veicējus, kuru īpašniekiem ir dalība citos uzņēmumos, kā arī, ja aizdevuma pretendentiem īpašnieki vairāk kā 25% ir saimnieciskās darbības veicēji. Šādi ir ierobežota aizdevumu izsniegšana uzņēmumiem, kuros ir veiktas riska kapitāla investīcijas, kā arī ir īpaši vērtējami gadījumi, kad esoša uzņēmuma īpašnieks veido jaunu uzņēmumu.</w:t>
            </w:r>
          </w:p>
          <w:p w14:paraId="2C2E52BC" w14:textId="5572283E" w:rsidR="00356AEA" w:rsidRPr="005C23F6" w:rsidRDefault="00F522D4" w:rsidP="006C5402">
            <w:pPr>
              <w:jc w:val="both"/>
              <w:rPr>
                <w:rFonts w:eastAsia="Times New Roman"/>
                <w:sz w:val="26"/>
                <w:szCs w:val="26"/>
                <w:lang w:val="lv-LV"/>
              </w:rPr>
            </w:pPr>
            <w:r w:rsidRPr="005C23F6">
              <w:rPr>
                <w:rFonts w:eastAsia="Times New Roman"/>
                <w:sz w:val="26"/>
                <w:szCs w:val="26"/>
                <w:lang w:val="lv-LV"/>
              </w:rPr>
              <w:t xml:space="preserve">Sākotnēji, izstrādājot valsts atbalsta nosacījumus mikro un starta aizdevumiem, ierosinājums iekļaut šos ierobežojumus bija, jo noteikumu izstrādes laikā bija iebildumi no iesaistītajām personām, ka pēc mikro un starta aizdevumiem būs liels pieprasījums un īpaši no esošiem uzņēmumiem, kuri dibinās meitas uzņēmumus un pretendēs uz atbalstu, tādējādi samazinot iespējas finansējumu saņemt mērķa grupai </w:t>
            </w:r>
            <w:r w:rsidR="00356AEA" w:rsidRPr="005C23F6">
              <w:rPr>
                <w:rFonts w:eastAsia="Times New Roman"/>
                <w:sz w:val="26"/>
                <w:szCs w:val="26"/>
                <w:lang w:val="lv-LV"/>
              </w:rPr>
              <w:t xml:space="preserve">pēc būtības </w:t>
            </w:r>
            <w:r w:rsidRPr="005C23F6">
              <w:rPr>
                <w:rFonts w:eastAsia="Times New Roman"/>
                <w:sz w:val="26"/>
                <w:szCs w:val="26"/>
                <w:lang w:val="lv-LV"/>
              </w:rPr>
              <w:t xml:space="preserve">– saimnieciskās darbības uzsācējiem. </w:t>
            </w:r>
          </w:p>
          <w:p w14:paraId="1391CF2C" w14:textId="25DBA836" w:rsidR="00F522D4" w:rsidRPr="005C23F6" w:rsidRDefault="00356AEA" w:rsidP="006C5402">
            <w:pPr>
              <w:jc w:val="both"/>
              <w:rPr>
                <w:rFonts w:eastAsia="Times New Roman"/>
                <w:sz w:val="26"/>
                <w:szCs w:val="26"/>
                <w:lang w:val="lv-LV"/>
              </w:rPr>
            </w:pPr>
            <w:r w:rsidRPr="005C23F6">
              <w:rPr>
                <w:rFonts w:eastAsia="Times New Roman"/>
                <w:sz w:val="26"/>
                <w:szCs w:val="26"/>
                <w:lang w:val="lv-LV"/>
              </w:rPr>
              <w:t xml:space="preserve">Minētais ierobežojums noteikumos tika iekļauts kā nacionāls ierobežojums, uzskatot, ka pastāv iepriekš minētie riski. Šādi ierobežojumi neizriet no regulu vai citu normatīvo aktu prasībām. Papildus </w:t>
            </w:r>
            <w:r w:rsidR="00F522D4" w:rsidRPr="005C23F6">
              <w:rPr>
                <w:rFonts w:eastAsia="Times New Roman"/>
                <w:sz w:val="26"/>
                <w:szCs w:val="26"/>
                <w:lang w:val="lv-LV"/>
              </w:rPr>
              <w:t xml:space="preserve">2015.gadā, kad tika izstrādāti </w:t>
            </w:r>
            <w:r w:rsidR="00A25F14" w:rsidRPr="005C23F6">
              <w:rPr>
                <w:rFonts w:eastAsia="Times New Roman"/>
                <w:sz w:val="26"/>
                <w:szCs w:val="26"/>
                <w:lang w:val="lv-LV"/>
              </w:rPr>
              <w:t>N</w:t>
            </w:r>
            <w:r w:rsidR="00F522D4" w:rsidRPr="005C23F6">
              <w:rPr>
                <w:rFonts w:eastAsia="Times New Roman"/>
                <w:sz w:val="26"/>
                <w:szCs w:val="26"/>
                <w:lang w:val="lv-LV"/>
              </w:rPr>
              <w:t>oteikumi, Latvijā nebija akcelerācijas fondi, tikai daži uzņēmumi bija saņēmuši akcelerācijas un riska kapitāla finansējumu ārvalstīs, biznesu eņģeļu kustība veidojās</w:t>
            </w:r>
            <w:r w:rsidRPr="005C23F6">
              <w:rPr>
                <w:rFonts w:eastAsia="Times New Roman"/>
                <w:sz w:val="26"/>
                <w:szCs w:val="26"/>
                <w:lang w:val="lv-LV"/>
              </w:rPr>
              <w:t>, līdz ar to nebija aptverts</w:t>
            </w:r>
            <w:r w:rsidR="00F86B44" w:rsidRPr="005C23F6">
              <w:rPr>
                <w:rFonts w:eastAsia="Times New Roman"/>
                <w:sz w:val="26"/>
                <w:szCs w:val="26"/>
                <w:lang w:val="lv-LV"/>
              </w:rPr>
              <w:t xml:space="preserve"> un novērtēts,</w:t>
            </w:r>
            <w:r w:rsidRPr="005C23F6">
              <w:rPr>
                <w:rFonts w:eastAsia="Times New Roman"/>
                <w:sz w:val="26"/>
                <w:szCs w:val="26"/>
                <w:lang w:val="lv-LV"/>
              </w:rPr>
              <w:t xml:space="preserve"> kā šis ierobežojums varētu ietekmēt uzņēmumus, kuriem ir kapitāla investīcijas.</w:t>
            </w:r>
            <w:r w:rsidR="00F522D4" w:rsidRPr="005C23F6">
              <w:rPr>
                <w:rFonts w:eastAsia="Times New Roman"/>
                <w:sz w:val="26"/>
                <w:szCs w:val="26"/>
                <w:lang w:val="lv-LV"/>
              </w:rPr>
              <w:t xml:space="preserve"> </w:t>
            </w:r>
          </w:p>
          <w:p w14:paraId="177EC82A" w14:textId="3C34C9D4" w:rsidR="00356AEA" w:rsidRPr="005C23F6" w:rsidRDefault="00356AEA" w:rsidP="006C5402">
            <w:pPr>
              <w:jc w:val="both"/>
              <w:rPr>
                <w:rFonts w:eastAsia="Times New Roman"/>
                <w:sz w:val="26"/>
                <w:szCs w:val="26"/>
                <w:lang w:val="lv-LV"/>
              </w:rPr>
            </w:pPr>
            <w:r w:rsidRPr="005C23F6">
              <w:rPr>
                <w:rFonts w:eastAsia="Times New Roman"/>
                <w:sz w:val="26"/>
                <w:szCs w:val="26"/>
                <w:lang w:val="lv-LV"/>
              </w:rPr>
              <w:lastRenderedPageBreak/>
              <w:t xml:space="preserve">Īstenojot atbalsta programmu, četru gadu laikā sabiedrības </w:t>
            </w:r>
            <w:r w:rsidR="00D324CC" w:rsidRPr="005C23F6">
              <w:rPr>
                <w:rFonts w:eastAsia="Times New Roman"/>
                <w:sz w:val="26"/>
                <w:szCs w:val="26"/>
                <w:lang w:val="lv-LV"/>
              </w:rPr>
              <w:t>“</w:t>
            </w:r>
            <w:proofErr w:type="spellStart"/>
            <w:r w:rsidR="00D324CC" w:rsidRPr="005C23F6">
              <w:rPr>
                <w:rFonts w:eastAsia="Times New Roman"/>
                <w:sz w:val="26"/>
                <w:szCs w:val="26"/>
                <w:lang w:val="lv-LV"/>
              </w:rPr>
              <w:t>Altum</w:t>
            </w:r>
            <w:proofErr w:type="spellEnd"/>
            <w:r w:rsidR="00D324CC" w:rsidRPr="005C23F6">
              <w:rPr>
                <w:rFonts w:eastAsia="Times New Roman"/>
                <w:sz w:val="26"/>
                <w:szCs w:val="26"/>
                <w:lang w:val="lv-LV"/>
              </w:rPr>
              <w:t xml:space="preserve">” </w:t>
            </w:r>
            <w:r w:rsidRPr="005C23F6">
              <w:rPr>
                <w:rFonts w:eastAsia="Times New Roman"/>
                <w:sz w:val="26"/>
                <w:szCs w:val="26"/>
                <w:lang w:val="lv-LV"/>
              </w:rPr>
              <w:t xml:space="preserve">praksē redzams, ka esošie uzņēmumi kā </w:t>
            </w:r>
            <w:proofErr w:type="spellStart"/>
            <w:r w:rsidRPr="005C23F6">
              <w:rPr>
                <w:rFonts w:eastAsia="Times New Roman"/>
                <w:i/>
                <w:iCs/>
                <w:sz w:val="26"/>
                <w:szCs w:val="26"/>
                <w:lang w:val="lv-LV"/>
              </w:rPr>
              <w:t>spin-off</w:t>
            </w:r>
            <w:proofErr w:type="spellEnd"/>
            <w:r w:rsidRPr="005C23F6">
              <w:rPr>
                <w:rFonts w:eastAsia="Times New Roman"/>
                <w:sz w:val="26"/>
                <w:szCs w:val="26"/>
                <w:lang w:val="lv-LV"/>
              </w:rPr>
              <w:t xml:space="preserve"> uzņēmumi atbilstoši </w:t>
            </w:r>
            <w:r w:rsidR="00F86B44" w:rsidRPr="005C23F6">
              <w:rPr>
                <w:rFonts w:eastAsia="Times New Roman"/>
                <w:sz w:val="26"/>
                <w:szCs w:val="26"/>
                <w:lang w:val="lv-LV"/>
              </w:rPr>
              <w:t>N</w:t>
            </w:r>
            <w:r w:rsidRPr="005C23F6">
              <w:rPr>
                <w:rFonts w:eastAsia="Times New Roman"/>
                <w:sz w:val="26"/>
                <w:szCs w:val="26"/>
                <w:lang w:val="lv-LV"/>
              </w:rPr>
              <w:t>oteikumu 28.3.punktam citā nozarē piesakās reti (daži gadījumā gadā).</w:t>
            </w:r>
          </w:p>
          <w:bookmarkEnd w:id="7"/>
          <w:p w14:paraId="7002A49D" w14:textId="1D7ACE11" w:rsidR="002B1DA2" w:rsidRPr="005C23F6" w:rsidRDefault="00356AEA" w:rsidP="006C5402">
            <w:pPr>
              <w:jc w:val="both"/>
              <w:rPr>
                <w:rFonts w:eastAsia="Times New Roman"/>
                <w:sz w:val="26"/>
                <w:szCs w:val="26"/>
                <w:lang w:val="lv-LV"/>
              </w:rPr>
            </w:pPr>
            <w:r w:rsidRPr="005C23F6">
              <w:rPr>
                <w:rFonts w:eastAsia="Times New Roman"/>
                <w:sz w:val="26"/>
                <w:szCs w:val="26"/>
                <w:lang w:val="lv-LV"/>
              </w:rPr>
              <w:t>Tāpat arī četru gadu laikā ir mainījusies starta uzņēmumu vide Latvijā un Eiropā. Arvien vairāk ir biznesa uzsācēji, kuru kapitāldaļas pieder citiem uzņēmumiem</w:t>
            </w:r>
            <w:r w:rsidR="00F86B44" w:rsidRPr="005C23F6">
              <w:rPr>
                <w:rFonts w:eastAsia="Times New Roman"/>
                <w:sz w:val="26"/>
                <w:szCs w:val="26"/>
                <w:lang w:val="lv-LV"/>
              </w:rPr>
              <w:t xml:space="preserve"> vai </w:t>
            </w:r>
            <w:r w:rsidRPr="005C23F6">
              <w:rPr>
                <w:rFonts w:eastAsia="Times New Roman"/>
                <w:sz w:val="26"/>
                <w:szCs w:val="26"/>
                <w:lang w:val="lv-LV"/>
              </w:rPr>
              <w:t xml:space="preserve">fondiem. Tas raksturīgs  īpaši tehnoloģiju uzņēmumiem, kuriem darbības uzsākšanai nepieciešamas lielākas kapitāla investīcijas. </w:t>
            </w:r>
          </w:p>
          <w:p w14:paraId="7DEE02F6" w14:textId="53314D1F" w:rsidR="001C563A" w:rsidRPr="005C23F6" w:rsidRDefault="00356AEA" w:rsidP="006C5402">
            <w:pPr>
              <w:jc w:val="both"/>
              <w:rPr>
                <w:rFonts w:eastAsia="Times New Roman"/>
                <w:sz w:val="26"/>
                <w:szCs w:val="26"/>
                <w:lang w:val="lv-LV"/>
              </w:rPr>
            </w:pPr>
            <w:r w:rsidRPr="005C23F6">
              <w:rPr>
                <w:rFonts w:eastAsia="Times New Roman"/>
                <w:sz w:val="26"/>
                <w:szCs w:val="26"/>
                <w:lang w:val="lv-LV"/>
              </w:rPr>
              <w:t>E</w:t>
            </w:r>
            <w:r w:rsidR="002B1DA2" w:rsidRPr="005C23F6">
              <w:rPr>
                <w:rFonts w:eastAsia="Times New Roman"/>
                <w:sz w:val="26"/>
                <w:szCs w:val="26"/>
                <w:lang w:val="lv-LV"/>
              </w:rPr>
              <w:t>konomikas ministrija</w:t>
            </w:r>
            <w:r w:rsidRPr="005C23F6">
              <w:rPr>
                <w:rFonts w:eastAsia="Times New Roman"/>
                <w:sz w:val="26"/>
                <w:szCs w:val="26"/>
                <w:lang w:val="lv-LV"/>
              </w:rPr>
              <w:t xml:space="preserve"> šād</w:t>
            </w:r>
            <w:r w:rsidR="002B1DA2" w:rsidRPr="005C23F6">
              <w:rPr>
                <w:rFonts w:eastAsia="Times New Roman"/>
                <w:sz w:val="26"/>
                <w:szCs w:val="26"/>
                <w:lang w:val="lv-LV"/>
              </w:rPr>
              <w:t xml:space="preserve">u </w:t>
            </w:r>
            <w:r w:rsidRPr="005C23F6">
              <w:rPr>
                <w:rFonts w:eastAsia="Times New Roman"/>
                <w:sz w:val="26"/>
                <w:szCs w:val="26"/>
                <w:lang w:val="lv-LV"/>
              </w:rPr>
              <w:t>uzņēmum</w:t>
            </w:r>
            <w:r w:rsidR="002B1DA2" w:rsidRPr="005C23F6">
              <w:rPr>
                <w:rFonts w:eastAsia="Times New Roman"/>
                <w:sz w:val="26"/>
                <w:szCs w:val="26"/>
                <w:lang w:val="lv-LV"/>
              </w:rPr>
              <w:t>u attīstībai nodrošina</w:t>
            </w:r>
            <w:r w:rsidRPr="005C23F6">
              <w:rPr>
                <w:rFonts w:eastAsia="Times New Roman"/>
                <w:sz w:val="26"/>
                <w:szCs w:val="26"/>
                <w:lang w:val="lv-LV"/>
              </w:rPr>
              <w:t xml:space="preserve"> no ES </w:t>
            </w:r>
            <w:r w:rsidR="002B1DA2" w:rsidRPr="005C23F6">
              <w:rPr>
                <w:rFonts w:eastAsia="Times New Roman"/>
                <w:sz w:val="26"/>
                <w:szCs w:val="26"/>
                <w:lang w:val="lv-LV"/>
              </w:rPr>
              <w:t>struktūr</w:t>
            </w:r>
            <w:r w:rsidRPr="005C23F6">
              <w:rPr>
                <w:rFonts w:eastAsia="Times New Roman"/>
                <w:sz w:val="26"/>
                <w:szCs w:val="26"/>
                <w:lang w:val="lv-LV"/>
              </w:rPr>
              <w:t xml:space="preserve">fondiem </w:t>
            </w:r>
            <w:r w:rsidR="002B1DA2" w:rsidRPr="005C23F6">
              <w:rPr>
                <w:rFonts w:eastAsia="Times New Roman"/>
                <w:sz w:val="26"/>
                <w:szCs w:val="26"/>
                <w:lang w:val="lv-LV"/>
              </w:rPr>
              <w:t>finansētas programmas</w:t>
            </w:r>
            <w:r w:rsidRPr="005C23F6">
              <w:rPr>
                <w:rFonts w:eastAsia="Times New Roman"/>
                <w:sz w:val="26"/>
                <w:szCs w:val="26"/>
                <w:lang w:val="lv-LV"/>
              </w:rPr>
              <w:t xml:space="preserve"> akcelerācijas</w:t>
            </w:r>
            <w:r w:rsidR="002B1DA2" w:rsidRPr="005C23F6">
              <w:rPr>
                <w:rFonts w:eastAsia="Times New Roman"/>
                <w:sz w:val="26"/>
                <w:szCs w:val="26"/>
                <w:lang w:val="lv-LV"/>
              </w:rPr>
              <w:t xml:space="preserve"> un</w:t>
            </w:r>
            <w:r w:rsidRPr="005C23F6">
              <w:rPr>
                <w:rFonts w:eastAsia="Times New Roman"/>
                <w:sz w:val="26"/>
                <w:szCs w:val="26"/>
                <w:lang w:val="lv-LV"/>
              </w:rPr>
              <w:t xml:space="preserve"> riska kapitāla </w:t>
            </w:r>
            <w:r w:rsidR="002B1DA2" w:rsidRPr="005C23F6">
              <w:rPr>
                <w:rFonts w:eastAsia="Times New Roman"/>
                <w:sz w:val="26"/>
                <w:szCs w:val="26"/>
                <w:lang w:val="lv-LV"/>
              </w:rPr>
              <w:t>ieguldījumiem</w:t>
            </w:r>
            <w:r w:rsidRPr="005C23F6">
              <w:rPr>
                <w:rFonts w:eastAsia="Times New Roman"/>
                <w:sz w:val="26"/>
                <w:szCs w:val="26"/>
                <w:lang w:val="lv-LV"/>
              </w:rPr>
              <w:t xml:space="preserve">. </w:t>
            </w:r>
            <w:r w:rsidR="001C563A" w:rsidRPr="005C23F6">
              <w:rPr>
                <w:rFonts w:eastAsia="Times New Roman"/>
                <w:sz w:val="26"/>
                <w:szCs w:val="26"/>
                <w:lang w:val="lv-LV"/>
              </w:rPr>
              <w:t>Investoru finansējums, lielākoties, tiek izmantots uzņēmuma darbības sākotnējā fāzē, kad tiek izstrādāts produkts un uzņēmumam vēl nav stabila naudas plūsma, attiecīgi nav iespējams saņemt aizdevumu un maksāt pamatsummas un procentu maksājumus. Par kapitāla investīcijām investori saņem līdz pat 49% no kapitāla daļām.</w:t>
            </w:r>
          </w:p>
          <w:p w14:paraId="6AD9F398" w14:textId="066BD43B" w:rsidR="001C563A" w:rsidRPr="005C23F6" w:rsidRDefault="00356AEA" w:rsidP="006C5402">
            <w:pPr>
              <w:jc w:val="both"/>
              <w:rPr>
                <w:rFonts w:eastAsia="Times New Roman"/>
                <w:sz w:val="26"/>
                <w:szCs w:val="26"/>
                <w:lang w:val="lv-LV"/>
              </w:rPr>
            </w:pPr>
            <w:r w:rsidRPr="005C23F6">
              <w:rPr>
                <w:rFonts w:eastAsia="Times New Roman"/>
                <w:sz w:val="26"/>
                <w:szCs w:val="26"/>
                <w:lang w:val="lv-LV"/>
              </w:rPr>
              <w:t>Situācijā, kad uzņēmum</w:t>
            </w:r>
            <w:r w:rsidR="001C563A" w:rsidRPr="005C23F6">
              <w:rPr>
                <w:rFonts w:eastAsia="Times New Roman"/>
                <w:sz w:val="26"/>
                <w:szCs w:val="26"/>
                <w:lang w:val="lv-LV"/>
              </w:rPr>
              <w:t>ā</w:t>
            </w:r>
            <w:r w:rsidRPr="005C23F6">
              <w:rPr>
                <w:rFonts w:eastAsia="Times New Roman"/>
                <w:sz w:val="26"/>
                <w:szCs w:val="26"/>
                <w:lang w:val="lv-LV"/>
              </w:rPr>
              <w:t xml:space="preserve"> ir ieguldī</w:t>
            </w:r>
            <w:r w:rsidR="001C563A" w:rsidRPr="005C23F6">
              <w:rPr>
                <w:rFonts w:eastAsia="Times New Roman"/>
                <w:sz w:val="26"/>
                <w:szCs w:val="26"/>
                <w:lang w:val="lv-LV"/>
              </w:rPr>
              <w:t>ts</w:t>
            </w:r>
            <w:r w:rsidRPr="005C23F6">
              <w:rPr>
                <w:rFonts w:eastAsia="Times New Roman"/>
                <w:sz w:val="26"/>
                <w:szCs w:val="26"/>
                <w:lang w:val="lv-LV"/>
              </w:rPr>
              <w:t xml:space="preserve"> kapitāla finansējum</w:t>
            </w:r>
            <w:r w:rsidR="001C563A" w:rsidRPr="005C23F6">
              <w:rPr>
                <w:rFonts w:eastAsia="Times New Roman"/>
                <w:sz w:val="26"/>
                <w:szCs w:val="26"/>
                <w:lang w:val="lv-LV"/>
              </w:rPr>
              <w:t>s</w:t>
            </w:r>
            <w:r w:rsidRPr="005C23F6">
              <w:rPr>
                <w:rFonts w:eastAsia="Times New Roman"/>
                <w:sz w:val="26"/>
                <w:szCs w:val="26"/>
                <w:lang w:val="lv-LV"/>
              </w:rPr>
              <w:t xml:space="preserve"> un tālākai attīstībai nepieciešams aizņemtais finansējums, </w:t>
            </w:r>
            <w:r w:rsidR="001C563A" w:rsidRPr="005C23F6">
              <w:rPr>
                <w:rFonts w:eastAsia="Times New Roman"/>
                <w:sz w:val="26"/>
                <w:szCs w:val="26"/>
                <w:lang w:val="lv-LV"/>
              </w:rPr>
              <w:t xml:space="preserve">atbilstoši pašreizējai </w:t>
            </w:r>
            <w:r w:rsidR="00F86B44" w:rsidRPr="005C23F6">
              <w:rPr>
                <w:rFonts w:eastAsia="Times New Roman"/>
                <w:sz w:val="26"/>
                <w:szCs w:val="26"/>
                <w:lang w:val="lv-LV"/>
              </w:rPr>
              <w:t>N</w:t>
            </w:r>
            <w:r w:rsidR="001C563A" w:rsidRPr="005C23F6">
              <w:rPr>
                <w:rFonts w:eastAsia="Times New Roman"/>
                <w:sz w:val="26"/>
                <w:szCs w:val="26"/>
                <w:lang w:val="lv-LV"/>
              </w:rPr>
              <w:t xml:space="preserve">oteikumu redakcijai </w:t>
            </w:r>
            <w:r w:rsidRPr="005C23F6">
              <w:rPr>
                <w:rFonts w:eastAsia="Times New Roman"/>
                <w:sz w:val="26"/>
                <w:szCs w:val="26"/>
                <w:lang w:val="lv-LV"/>
              </w:rPr>
              <w:t>šādi uzņēmumi tiek nepamatoti ierobežoti</w:t>
            </w:r>
            <w:r w:rsidR="00F86B44" w:rsidRPr="005C23F6">
              <w:rPr>
                <w:rFonts w:eastAsia="Times New Roman"/>
                <w:sz w:val="26"/>
                <w:szCs w:val="26"/>
                <w:lang w:val="lv-LV"/>
              </w:rPr>
              <w:t>.</w:t>
            </w:r>
            <w:r w:rsidRPr="005C23F6">
              <w:rPr>
                <w:rFonts w:eastAsia="Times New Roman"/>
                <w:sz w:val="26"/>
                <w:szCs w:val="26"/>
                <w:lang w:val="lv-LV"/>
              </w:rPr>
              <w:t xml:space="preserve"> </w:t>
            </w:r>
            <w:r w:rsidR="00F86B44" w:rsidRPr="005C23F6">
              <w:rPr>
                <w:rFonts w:eastAsia="Times New Roman"/>
                <w:sz w:val="26"/>
                <w:szCs w:val="26"/>
                <w:lang w:val="lv-LV"/>
              </w:rPr>
              <w:t>Tie</w:t>
            </w:r>
            <w:r w:rsidRPr="005C23F6">
              <w:rPr>
                <w:rFonts w:eastAsia="Times New Roman"/>
                <w:sz w:val="26"/>
                <w:szCs w:val="26"/>
                <w:lang w:val="lv-LV"/>
              </w:rPr>
              <w:t xml:space="preserve"> nevar pieteikties starta aizdevumiem, bet citu finansējumu vēl nevar saņemt zemā nodrošinājuma, </w:t>
            </w:r>
            <w:proofErr w:type="spellStart"/>
            <w:r w:rsidRPr="005C23F6">
              <w:rPr>
                <w:rFonts w:eastAsia="Times New Roman"/>
                <w:sz w:val="26"/>
                <w:szCs w:val="26"/>
                <w:lang w:val="lv-LV"/>
              </w:rPr>
              <w:t>kredītvēstures</w:t>
            </w:r>
            <w:proofErr w:type="spellEnd"/>
            <w:r w:rsidRPr="005C23F6">
              <w:rPr>
                <w:rFonts w:eastAsia="Times New Roman"/>
                <w:sz w:val="26"/>
                <w:szCs w:val="26"/>
                <w:lang w:val="lv-LV"/>
              </w:rPr>
              <w:t xml:space="preserve"> dēļ. </w:t>
            </w:r>
          </w:p>
          <w:p w14:paraId="77A946EF" w14:textId="421728B0" w:rsidR="00F86B44" w:rsidRPr="005C23F6" w:rsidRDefault="00F86B44" w:rsidP="006C5402">
            <w:pPr>
              <w:jc w:val="both"/>
              <w:rPr>
                <w:rFonts w:eastAsia="Times New Roman"/>
                <w:sz w:val="26"/>
                <w:szCs w:val="26"/>
                <w:lang w:val="lv-LV"/>
              </w:rPr>
            </w:pPr>
            <w:r w:rsidRPr="005C23F6">
              <w:rPr>
                <w:rFonts w:eastAsia="Times New Roman"/>
                <w:sz w:val="26"/>
                <w:szCs w:val="26"/>
                <w:lang w:val="lv-LV"/>
              </w:rPr>
              <w:t>P</w:t>
            </w:r>
            <w:r w:rsidR="001C563A" w:rsidRPr="005C23F6">
              <w:rPr>
                <w:rFonts w:eastAsia="Times New Roman"/>
                <w:sz w:val="26"/>
                <w:szCs w:val="26"/>
                <w:lang w:val="lv-LV"/>
              </w:rPr>
              <w:t xml:space="preserve">ašreizējā </w:t>
            </w:r>
            <w:r w:rsidRPr="005C23F6">
              <w:rPr>
                <w:rFonts w:eastAsia="Times New Roman"/>
                <w:sz w:val="26"/>
                <w:szCs w:val="26"/>
                <w:lang w:val="lv-LV"/>
              </w:rPr>
              <w:t xml:space="preserve">Noteikumu </w:t>
            </w:r>
            <w:r w:rsidR="001C563A" w:rsidRPr="005C23F6">
              <w:rPr>
                <w:rFonts w:eastAsia="Times New Roman"/>
                <w:sz w:val="26"/>
                <w:szCs w:val="26"/>
                <w:lang w:val="lv-LV"/>
              </w:rPr>
              <w:t xml:space="preserve">norma ierobežo saņemt aizdevumus saimnieciskās darbības veicējus, kas saņēmuši atbalstu saskaņā ar </w:t>
            </w:r>
            <w:proofErr w:type="spellStart"/>
            <w:r w:rsidR="001C563A" w:rsidRPr="005C23F6">
              <w:rPr>
                <w:rFonts w:eastAsia="Times New Roman"/>
                <w:i/>
                <w:iCs/>
                <w:sz w:val="26"/>
                <w:szCs w:val="26"/>
                <w:lang w:val="lv-LV"/>
              </w:rPr>
              <w:t>Jaunuzņēmumu</w:t>
            </w:r>
            <w:proofErr w:type="spellEnd"/>
            <w:r w:rsidR="001C563A" w:rsidRPr="005C23F6">
              <w:rPr>
                <w:rFonts w:eastAsia="Times New Roman"/>
                <w:i/>
                <w:iCs/>
                <w:sz w:val="26"/>
                <w:szCs w:val="26"/>
                <w:lang w:val="lv-LV"/>
              </w:rPr>
              <w:t xml:space="preserve"> darbības atbalsta likumu</w:t>
            </w:r>
            <w:r w:rsidR="001C563A" w:rsidRPr="005C23F6">
              <w:rPr>
                <w:rFonts w:eastAsia="Times New Roman"/>
                <w:sz w:val="26"/>
                <w:szCs w:val="26"/>
                <w:lang w:val="lv-LV"/>
              </w:rPr>
              <w:t xml:space="preserve">, akcelerācijas, riska kapitāla investīcijas citās Ekonomikas ministrijas administrētajās aktivitātēs. </w:t>
            </w:r>
          </w:p>
          <w:p w14:paraId="00A388BC" w14:textId="2BDEDFEB" w:rsidR="001C563A" w:rsidRPr="005C23F6" w:rsidRDefault="00F86B44" w:rsidP="006C5402">
            <w:pPr>
              <w:jc w:val="both"/>
              <w:rPr>
                <w:rFonts w:eastAsia="Times New Roman"/>
                <w:sz w:val="26"/>
                <w:szCs w:val="26"/>
                <w:lang w:val="lv-LV"/>
              </w:rPr>
            </w:pPr>
            <w:r w:rsidRPr="005C23F6">
              <w:rPr>
                <w:rFonts w:eastAsia="Times New Roman"/>
                <w:sz w:val="26"/>
                <w:szCs w:val="26"/>
                <w:lang w:val="lv-LV"/>
              </w:rPr>
              <w:t>Ņemot vēra minētos argumentus un to, ka šādus ierobežojumus nenosaka ne valsts atbalsta regulējums, ne ES fondu</w:t>
            </w:r>
            <w:r w:rsidR="00891085" w:rsidRPr="005C23F6">
              <w:rPr>
                <w:rFonts w:eastAsia="Times New Roman"/>
                <w:sz w:val="26"/>
                <w:szCs w:val="26"/>
                <w:lang w:val="lv-LV"/>
              </w:rPr>
              <w:t xml:space="preserve"> regulējums</w:t>
            </w:r>
            <w:r w:rsidRPr="005C23F6">
              <w:rPr>
                <w:rFonts w:eastAsia="Times New Roman"/>
                <w:sz w:val="26"/>
                <w:szCs w:val="26"/>
                <w:lang w:val="lv-LV"/>
              </w:rPr>
              <w:t xml:space="preserve">, </w:t>
            </w:r>
            <w:r w:rsidR="00080880" w:rsidRPr="005C23F6">
              <w:rPr>
                <w:rFonts w:eastAsia="Times New Roman"/>
                <w:sz w:val="26"/>
                <w:szCs w:val="26"/>
                <w:lang w:val="lv-LV"/>
              </w:rPr>
              <w:t xml:space="preserve">Ekonomikas ministrijas ieskatā </w:t>
            </w:r>
            <w:r w:rsidRPr="005C23F6">
              <w:rPr>
                <w:rFonts w:eastAsia="Times New Roman"/>
                <w:sz w:val="26"/>
                <w:szCs w:val="26"/>
                <w:lang w:val="lv-LV"/>
              </w:rPr>
              <w:t>Noteikumu norma</w:t>
            </w:r>
            <w:r w:rsidR="001C563A" w:rsidRPr="005C23F6">
              <w:rPr>
                <w:rFonts w:eastAsia="Times New Roman"/>
                <w:sz w:val="26"/>
                <w:szCs w:val="26"/>
                <w:lang w:val="lv-LV"/>
              </w:rPr>
              <w:t xml:space="preserve"> nepamatot</w:t>
            </w:r>
            <w:r w:rsidRPr="005C23F6">
              <w:rPr>
                <w:rFonts w:eastAsia="Times New Roman"/>
                <w:sz w:val="26"/>
                <w:szCs w:val="26"/>
                <w:lang w:val="lv-LV"/>
              </w:rPr>
              <w:t xml:space="preserve">i ierobežo atbalsta saņemšanu </w:t>
            </w:r>
            <w:r w:rsidR="00080880" w:rsidRPr="005C23F6">
              <w:rPr>
                <w:rFonts w:eastAsia="Times New Roman"/>
                <w:sz w:val="26"/>
                <w:szCs w:val="26"/>
                <w:lang w:val="lv-LV"/>
              </w:rPr>
              <w:t>esošajā tirgus situācijā un kavē jaunu uzņēmumu attīstību</w:t>
            </w:r>
            <w:r w:rsidRPr="005C23F6">
              <w:rPr>
                <w:rFonts w:eastAsia="Times New Roman"/>
                <w:sz w:val="26"/>
                <w:szCs w:val="26"/>
                <w:lang w:val="lv-LV"/>
              </w:rPr>
              <w:t xml:space="preserve">. </w:t>
            </w:r>
            <w:r w:rsidR="00080880" w:rsidRPr="005C23F6">
              <w:rPr>
                <w:rFonts w:eastAsia="Times New Roman"/>
                <w:sz w:val="26"/>
                <w:szCs w:val="26"/>
                <w:lang w:val="lv-LV"/>
              </w:rPr>
              <w:t>Turklāt</w:t>
            </w:r>
            <w:r w:rsidRPr="005C23F6">
              <w:rPr>
                <w:rFonts w:eastAsia="Times New Roman"/>
                <w:sz w:val="26"/>
                <w:szCs w:val="26"/>
                <w:lang w:val="lv-LV"/>
              </w:rPr>
              <w:t>,</w:t>
            </w:r>
            <w:r w:rsidR="00080880" w:rsidRPr="005C23F6">
              <w:rPr>
                <w:rFonts w:eastAsia="Times New Roman"/>
                <w:sz w:val="26"/>
                <w:szCs w:val="26"/>
                <w:lang w:val="lv-LV"/>
              </w:rPr>
              <w:t xml:space="preserve"> jāņem vērā, ka mikro un starta aizdevumi ir atmaksājams atbalsts nevis grants un pirms aizdevuma izsniegšanas sabiedrība </w:t>
            </w:r>
            <w:r w:rsidR="00891085" w:rsidRPr="005C23F6">
              <w:rPr>
                <w:rFonts w:eastAsia="Times New Roman"/>
                <w:sz w:val="26"/>
                <w:szCs w:val="26"/>
                <w:lang w:val="lv-LV"/>
              </w:rPr>
              <w:t>“</w:t>
            </w:r>
            <w:proofErr w:type="spellStart"/>
            <w:r w:rsidR="002C2A54" w:rsidRPr="005C23F6">
              <w:rPr>
                <w:rFonts w:eastAsia="Times New Roman"/>
                <w:sz w:val="26"/>
                <w:szCs w:val="26"/>
                <w:lang w:val="lv-LV"/>
              </w:rPr>
              <w:t>A</w:t>
            </w:r>
            <w:r w:rsidR="00891085" w:rsidRPr="005C23F6">
              <w:rPr>
                <w:rFonts w:eastAsia="Times New Roman"/>
                <w:sz w:val="26"/>
                <w:szCs w:val="26"/>
                <w:lang w:val="lv-LV"/>
              </w:rPr>
              <w:t>ltum</w:t>
            </w:r>
            <w:proofErr w:type="spellEnd"/>
            <w:r w:rsidR="00891085" w:rsidRPr="005C23F6">
              <w:rPr>
                <w:rFonts w:eastAsia="Times New Roman"/>
                <w:sz w:val="26"/>
                <w:szCs w:val="26"/>
                <w:lang w:val="lv-LV"/>
              </w:rPr>
              <w:t>”</w:t>
            </w:r>
            <w:r w:rsidR="00080880" w:rsidRPr="005C23F6">
              <w:rPr>
                <w:rFonts w:eastAsia="Times New Roman"/>
                <w:sz w:val="26"/>
                <w:szCs w:val="26"/>
                <w:lang w:val="lv-LV"/>
              </w:rPr>
              <w:t xml:space="preserve"> izvērtē atbalsta pretendenta dzīvotspēju un attiecīgi piesaista nodrošinājumu.</w:t>
            </w:r>
          </w:p>
          <w:p w14:paraId="5D8F9BCE" w14:textId="16A31243" w:rsidR="00C64DE5" w:rsidRPr="005C23F6" w:rsidRDefault="00A25F14" w:rsidP="006C5402">
            <w:pPr>
              <w:ind w:right="40"/>
              <w:jc w:val="both"/>
              <w:rPr>
                <w:rFonts w:eastAsia="Times New Roman"/>
                <w:sz w:val="26"/>
                <w:szCs w:val="26"/>
                <w:lang w:val="lv-LV"/>
              </w:rPr>
            </w:pPr>
            <w:r w:rsidRPr="005C23F6">
              <w:rPr>
                <w:rFonts w:eastAsia="Times New Roman"/>
                <w:sz w:val="26"/>
                <w:szCs w:val="26"/>
                <w:lang w:val="lv-LV"/>
              </w:rPr>
              <w:t xml:space="preserve">Ar </w:t>
            </w:r>
            <w:r w:rsidR="00891085" w:rsidRPr="005C23F6">
              <w:rPr>
                <w:rFonts w:eastAsia="Times New Roman"/>
                <w:sz w:val="26"/>
                <w:szCs w:val="26"/>
                <w:lang w:val="lv-LV"/>
              </w:rPr>
              <w:t>Noteikumu projektu</w:t>
            </w:r>
            <w:r w:rsidRPr="005C23F6">
              <w:rPr>
                <w:rFonts w:eastAsia="Times New Roman"/>
                <w:sz w:val="26"/>
                <w:szCs w:val="26"/>
                <w:lang w:val="lv-LV"/>
              </w:rPr>
              <w:t xml:space="preserve"> tie</w:t>
            </w:r>
            <w:r w:rsidR="00891085" w:rsidRPr="005C23F6">
              <w:rPr>
                <w:rFonts w:eastAsia="Times New Roman"/>
                <w:sz w:val="26"/>
                <w:szCs w:val="26"/>
                <w:lang w:val="lv-LV"/>
              </w:rPr>
              <w:t>k</w:t>
            </w:r>
            <w:r w:rsidRPr="005C23F6">
              <w:rPr>
                <w:rFonts w:eastAsia="Times New Roman"/>
                <w:sz w:val="26"/>
                <w:szCs w:val="26"/>
                <w:lang w:val="lv-LV"/>
              </w:rPr>
              <w:t xml:space="preserve"> samazināts administratīvs šķērslis, kas daļai no Latvijas biznesa uzsācējiem, ierobežoja iespēju saņemt aizņēmumu.</w:t>
            </w:r>
            <w:r w:rsidR="00F86B44" w:rsidRPr="005C23F6">
              <w:rPr>
                <w:rFonts w:eastAsia="Times New Roman"/>
                <w:sz w:val="26"/>
                <w:szCs w:val="26"/>
                <w:lang w:val="lv-LV"/>
              </w:rPr>
              <w:t xml:space="preserve"> </w:t>
            </w:r>
            <w:r w:rsidR="00A06120" w:rsidRPr="005C23F6">
              <w:rPr>
                <w:rFonts w:eastAsia="Times New Roman"/>
                <w:sz w:val="26"/>
                <w:szCs w:val="26"/>
                <w:lang w:val="lv-LV"/>
              </w:rPr>
              <w:t xml:space="preserve">Minēto nosacījumu atcelšana minimāli ietekmēs jaunu aizdevumu izsniegšanas apjomus, taču veicinās aizdevumu plašāku pieejamību. </w:t>
            </w:r>
          </w:p>
          <w:p w14:paraId="61AE1570" w14:textId="77777777" w:rsidR="00531C6F" w:rsidRPr="005C23F6" w:rsidRDefault="00531C6F" w:rsidP="006C5402">
            <w:pPr>
              <w:ind w:right="40"/>
              <w:jc w:val="both"/>
              <w:rPr>
                <w:sz w:val="24"/>
                <w:szCs w:val="24"/>
                <w:lang w:val="lv-LV"/>
              </w:rPr>
            </w:pPr>
          </w:p>
          <w:p w14:paraId="67EFDAF0" w14:textId="638822FC" w:rsidR="00E81F3E" w:rsidRPr="005C23F6" w:rsidRDefault="006A4944" w:rsidP="006C5402">
            <w:pPr>
              <w:pStyle w:val="ListParagraph"/>
              <w:numPr>
                <w:ilvl w:val="0"/>
                <w:numId w:val="25"/>
              </w:numPr>
              <w:jc w:val="both"/>
              <w:rPr>
                <w:rFonts w:eastAsia="Times New Roman"/>
                <w:b/>
                <w:bCs/>
                <w:sz w:val="26"/>
                <w:szCs w:val="26"/>
                <w:u w:val="single"/>
                <w:lang w:val="lv-LV"/>
              </w:rPr>
            </w:pPr>
            <w:r w:rsidRPr="005C23F6">
              <w:rPr>
                <w:rFonts w:eastAsia="Times New Roman"/>
                <w:b/>
                <w:bCs/>
                <w:sz w:val="26"/>
                <w:szCs w:val="26"/>
                <w:u w:val="single"/>
                <w:lang w:val="lv-LV"/>
              </w:rPr>
              <w:t>Starta a</w:t>
            </w:r>
            <w:r w:rsidR="006F4B13" w:rsidRPr="005C23F6">
              <w:rPr>
                <w:rFonts w:eastAsia="Times New Roman"/>
                <w:b/>
                <w:bCs/>
                <w:sz w:val="26"/>
                <w:szCs w:val="26"/>
                <w:u w:val="single"/>
                <w:lang w:val="lv-LV"/>
              </w:rPr>
              <w:t xml:space="preserve">izdevumi </w:t>
            </w:r>
            <w:r w:rsidRPr="005C23F6">
              <w:rPr>
                <w:rFonts w:eastAsia="Times New Roman"/>
                <w:b/>
                <w:bCs/>
                <w:sz w:val="26"/>
                <w:szCs w:val="26"/>
                <w:u w:val="single"/>
                <w:lang w:val="lv-LV"/>
              </w:rPr>
              <w:t xml:space="preserve">augstāka riska </w:t>
            </w:r>
            <w:r w:rsidR="00CB2BB3" w:rsidRPr="005C23F6">
              <w:rPr>
                <w:rFonts w:eastAsia="Times New Roman"/>
                <w:b/>
                <w:bCs/>
                <w:sz w:val="26"/>
                <w:szCs w:val="26"/>
                <w:u w:val="single"/>
                <w:lang w:val="lv-LV"/>
              </w:rPr>
              <w:t>projektiem</w:t>
            </w:r>
          </w:p>
          <w:p w14:paraId="751B82EC" w14:textId="77777777" w:rsidR="00F522D4" w:rsidRPr="005C23F6" w:rsidRDefault="00F522D4" w:rsidP="006C5402">
            <w:pPr>
              <w:pStyle w:val="ListParagraph"/>
              <w:jc w:val="both"/>
              <w:rPr>
                <w:rFonts w:eastAsia="Times New Roman"/>
                <w:b/>
                <w:bCs/>
                <w:sz w:val="26"/>
                <w:szCs w:val="26"/>
                <w:u w:val="single"/>
                <w:lang w:val="lv-LV"/>
              </w:rPr>
            </w:pPr>
          </w:p>
          <w:p w14:paraId="18D012CA" w14:textId="4E0A6541" w:rsidR="006A4944" w:rsidRPr="00FF759A" w:rsidRDefault="00A06120" w:rsidP="006C5402">
            <w:pPr>
              <w:jc w:val="both"/>
              <w:rPr>
                <w:b/>
                <w:bCs/>
                <w:sz w:val="26"/>
                <w:szCs w:val="26"/>
                <w:lang w:val="lv-LV"/>
              </w:rPr>
            </w:pPr>
            <w:r w:rsidRPr="00FF759A">
              <w:rPr>
                <w:sz w:val="26"/>
                <w:szCs w:val="26"/>
                <w:lang w:val="lv-LV"/>
              </w:rPr>
              <w:t xml:space="preserve">Ekonomikas ministrija starta </w:t>
            </w:r>
            <w:r w:rsidR="006A4944" w:rsidRPr="00FF759A">
              <w:rPr>
                <w:sz w:val="26"/>
                <w:szCs w:val="26"/>
                <w:lang w:val="lv-LV"/>
              </w:rPr>
              <w:t xml:space="preserve">aizdevumu </w:t>
            </w:r>
            <w:r w:rsidRPr="00FF759A">
              <w:rPr>
                <w:sz w:val="26"/>
                <w:szCs w:val="26"/>
                <w:lang w:val="lv-LV"/>
              </w:rPr>
              <w:t xml:space="preserve">programmas ietvaros </w:t>
            </w:r>
            <w:r w:rsidR="006A4944" w:rsidRPr="00FF759A">
              <w:rPr>
                <w:sz w:val="26"/>
                <w:szCs w:val="26"/>
                <w:lang w:val="lv-LV"/>
              </w:rPr>
              <w:t xml:space="preserve">(MK noteikumu nr.328 </w:t>
            </w:r>
            <w:proofErr w:type="spellStart"/>
            <w:r w:rsidR="006A4944" w:rsidRPr="00FF759A">
              <w:rPr>
                <w:sz w:val="26"/>
                <w:szCs w:val="26"/>
                <w:lang w:val="lv-LV"/>
              </w:rPr>
              <w:t>III.nodaļa</w:t>
            </w:r>
            <w:proofErr w:type="spellEnd"/>
            <w:r w:rsidR="006A4944" w:rsidRPr="00FF759A">
              <w:rPr>
                <w:sz w:val="26"/>
                <w:szCs w:val="26"/>
                <w:lang w:val="lv-LV"/>
              </w:rPr>
              <w:t>)</w:t>
            </w:r>
            <w:r w:rsidR="00CB2BB3" w:rsidRPr="00FF759A">
              <w:rPr>
                <w:sz w:val="26"/>
                <w:szCs w:val="26"/>
                <w:lang w:val="lv-LV"/>
              </w:rPr>
              <w:t xml:space="preserve"> (turpmāk – starta programma)</w:t>
            </w:r>
            <w:r w:rsidR="006A4944" w:rsidRPr="00FF759A">
              <w:rPr>
                <w:sz w:val="26"/>
                <w:szCs w:val="26"/>
                <w:lang w:val="lv-LV"/>
              </w:rPr>
              <w:t xml:space="preserve"> </w:t>
            </w:r>
            <w:r w:rsidRPr="00FF759A">
              <w:rPr>
                <w:sz w:val="26"/>
                <w:szCs w:val="26"/>
                <w:lang w:val="lv-LV"/>
              </w:rPr>
              <w:t xml:space="preserve">vēlas veicināt aizdevumu izsniegšanu augstāka riska inovatīviem </w:t>
            </w:r>
            <w:r w:rsidRPr="00FF759A">
              <w:rPr>
                <w:sz w:val="26"/>
                <w:szCs w:val="26"/>
                <w:lang w:val="lv-LV"/>
              </w:rPr>
              <w:lastRenderedPageBreak/>
              <w:t>uzņēmumiem</w:t>
            </w:r>
            <w:r w:rsidR="006A4944" w:rsidRPr="00FF759A">
              <w:rPr>
                <w:sz w:val="26"/>
                <w:szCs w:val="26"/>
                <w:lang w:val="lv-LV"/>
              </w:rPr>
              <w:t xml:space="preserve"> un projektiem</w:t>
            </w:r>
            <w:r w:rsidRPr="00FF759A">
              <w:rPr>
                <w:sz w:val="26"/>
                <w:szCs w:val="26"/>
                <w:lang w:val="lv-LV"/>
              </w:rPr>
              <w:t>,</w:t>
            </w:r>
            <w:r w:rsidR="006A4944" w:rsidRPr="00FF759A">
              <w:rPr>
                <w:sz w:val="26"/>
                <w:szCs w:val="26"/>
                <w:lang w:val="lv-LV"/>
              </w:rPr>
              <w:t xml:space="preserve"> kuriem pašreiz </w:t>
            </w:r>
            <w:r w:rsidR="00CB2BB3" w:rsidRPr="00FF759A">
              <w:rPr>
                <w:sz w:val="26"/>
                <w:szCs w:val="26"/>
                <w:lang w:val="lv-LV"/>
              </w:rPr>
              <w:t>sabiedrībai “</w:t>
            </w:r>
            <w:proofErr w:type="spellStart"/>
            <w:r w:rsidR="00CB2BB3" w:rsidRPr="00FF759A">
              <w:rPr>
                <w:sz w:val="26"/>
                <w:szCs w:val="26"/>
                <w:lang w:val="lv-LV"/>
              </w:rPr>
              <w:t>Altum</w:t>
            </w:r>
            <w:proofErr w:type="spellEnd"/>
            <w:r w:rsidR="00CB2BB3" w:rsidRPr="00FF759A">
              <w:rPr>
                <w:sz w:val="26"/>
                <w:szCs w:val="26"/>
                <w:lang w:val="lv-LV"/>
              </w:rPr>
              <w:t xml:space="preserve">” nodrošinātā riska seguma ietvaros </w:t>
            </w:r>
            <w:r w:rsidR="006A4944" w:rsidRPr="00FF759A">
              <w:rPr>
                <w:sz w:val="26"/>
                <w:szCs w:val="26"/>
                <w:lang w:val="lv-LV"/>
              </w:rPr>
              <w:t>aizdevumus nevar izsniegt nepietiekamas pašu dalības vai īpaši nodrošinājuma dēļ</w:t>
            </w:r>
            <w:r w:rsidR="00CB2BB3" w:rsidRPr="00FF759A">
              <w:rPr>
                <w:sz w:val="26"/>
                <w:szCs w:val="26"/>
                <w:lang w:val="lv-LV"/>
              </w:rPr>
              <w:t>. Minētā problēma ir īpaši aktuāla</w:t>
            </w:r>
            <w:r w:rsidR="006A4944" w:rsidRPr="00FF759A">
              <w:rPr>
                <w:sz w:val="26"/>
                <w:szCs w:val="26"/>
                <w:lang w:val="lv-LV"/>
              </w:rPr>
              <w:t xml:space="preserve"> mazajiem</w:t>
            </w:r>
            <w:r w:rsidR="00CB2BB3" w:rsidRPr="00FF759A">
              <w:rPr>
                <w:sz w:val="26"/>
                <w:szCs w:val="26"/>
                <w:lang w:val="lv-LV"/>
              </w:rPr>
              <w:t xml:space="preserve"> IKT nozares saimnieciskās darbības veicējiem </w:t>
            </w:r>
            <w:r w:rsidR="006A4944" w:rsidRPr="00FF759A">
              <w:rPr>
                <w:sz w:val="26"/>
                <w:szCs w:val="26"/>
                <w:lang w:val="lv-LV"/>
              </w:rPr>
              <w:t>aizdevum</w:t>
            </w:r>
            <w:r w:rsidR="00CB2BB3" w:rsidRPr="00FF759A">
              <w:rPr>
                <w:sz w:val="26"/>
                <w:szCs w:val="26"/>
                <w:lang w:val="lv-LV"/>
              </w:rPr>
              <w:t>iem</w:t>
            </w:r>
            <w:r w:rsidR="006A4944" w:rsidRPr="00FF759A">
              <w:rPr>
                <w:sz w:val="26"/>
                <w:szCs w:val="26"/>
                <w:lang w:val="lv-LV"/>
              </w:rPr>
              <w:t xml:space="preserve"> virs 25 000 EUR, jo aizdevumus virs 25 000 EUR izsniedz ar nodrošinājumu vai retos gadījumos ar </w:t>
            </w:r>
            <w:r w:rsidR="00CB2BB3" w:rsidRPr="00FF759A">
              <w:rPr>
                <w:sz w:val="26"/>
                <w:szCs w:val="26"/>
                <w:lang w:val="lv-LV"/>
              </w:rPr>
              <w:t xml:space="preserve">Eiropas Investīciju fonda (turpmāk – </w:t>
            </w:r>
            <w:r w:rsidR="006A4944" w:rsidRPr="00FF759A">
              <w:rPr>
                <w:sz w:val="26"/>
                <w:szCs w:val="26"/>
                <w:lang w:val="lv-LV"/>
              </w:rPr>
              <w:t>EIF</w:t>
            </w:r>
            <w:r w:rsidR="00CB2BB3" w:rsidRPr="00FF759A">
              <w:rPr>
                <w:sz w:val="26"/>
                <w:szCs w:val="26"/>
                <w:lang w:val="lv-LV"/>
              </w:rPr>
              <w:t>)</w:t>
            </w:r>
            <w:r w:rsidR="006A4944" w:rsidRPr="00FF759A">
              <w:rPr>
                <w:sz w:val="26"/>
                <w:szCs w:val="26"/>
                <w:lang w:val="lv-LV"/>
              </w:rPr>
              <w:t xml:space="preserve"> COSME garantiju. T</w:t>
            </w:r>
            <w:r w:rsidRPr="00FF759A">
              <w:rPr>
                <w:sz w:val="26"/>
                <w:szCs w:val="26"/>
                <w:lang w:val="lv-LV"/>
              </w:rPr>
              <w:t xml:space="preserve">ādēļ starta </w:t>
            </w:r>
            <w:r w:rsidR="006A4944" w:rsidRPr="00FF759A">
              <w:rPr>
                <w:sz w:val="26"/>
                <w:szCs w:val="26"/>
                <w:lang w:val="lv-LV"/>
              </w:rPr>
              <w:t xml:space="preserve">aizdevumu </w:t>
            </w:r>
            <w:r w:rsidRPr="00FF759A">
              <w:rPr>
                <w:sz w:val="26"/>
                <w:szCs w:val="26"/>
                <w:lang w:val="lv-LV"/>
              </w:rPr>
              <w:t xml:space="preserve">programmai novirzīts papildus finansējums </w:t>
            </w:r>
            <w:r w:rsidR="006A4944" w:rsidRPr="00FF759A">
              <w:rPr>
                <w:sz w:val="26"/>
                <w:szCs w:val="26"/>
                <w:lang w:val="lv-LV"/>
              </w:rPr>
              <w:t xml:space="preserve">augstāka riska starta aizdevuma </w:t>
            </w:r>
            <w:r w:rsidRPr="00FF759A">
              <w:rPr>
                <w:sz w:val="26"/>
                <w:szCs w:val="26"/>
                <w:lang w:val="lv-LV"/>
              </w:rPr>
              <w:t>pilotprojekt</w:t>
            </w:r>
            <w:r w:rsidR="009E1DDF" w:rsidRPr="00FF759A">
              <w:rPr>
                <w:sz w:val="26"/>
                <w:szCs w:val="26"/>
                <w:lang w:val="lv-LV"/>
              </w:rPr>
              <w:t>a</w:t>
            </w:r>
            <w:r w:rsidRPr="00FF759A">
              <w:rPr>
                <w:sz w:val="26"/>
                <w:szCs w:val="26"/>
                <w:lang w:val="lv-LV"/>
              </w:rPr>
              <w:t xml:space="preserve"> ieviešanai</w:t>
            </w:r>
            <w:r w:rsidR="006A4944" w:rsidRPr="00FF759A">
              <w:rPr>
                <w:sz w:val="26"/>
                <w:szCs w:val="26"/>
                <w:lang w:val="lv-LV"/>
              </w:rPr>
              <w:t xml:space="preserve"> (turpmāk – pilotprojekts)</w:t>
            </w:r>
            <w:r w:rsidRPr="00FF759A">
              <w:rPr>
                <w:sz w:val="26"/>
                <w:szCs w:val="26"/>
                <w:lang w:val="lv-LV"/>
              </w:rPr>
              <w:t>.</w:t>
            </w:r>
            <w:r w:rsidR="006A4944" w:rsidRPr="00FF759A">
              <w:rPr>
                <w:sz w:val="26"/>
                <w:szCs w:val="26"/>
                <w:lang w:val="lv-LV"/>
              </w:rPr>
              <w:t xml:space="preserve"> Pilotprojekts MK noteikumu nr.328 izpratnē nav jauns aizdevumu veids</w:t>
            </w:r>
            <w:r w:rsidR="00CB2BB3" w:rsidRPr="00FF759A">
              <w:rPr>
                <w:sz w:val="26"/>
                <w:szCs w:val="26"/>
                <w:lang w:val="lv-LV"/>
              </w:rPr>
              <w:t xml:space="preserve"> vai atbalsta nosacījumi</w:t>
            </w:r>
            <w:r w:rsidR="006A4944" w:rsidRPr="00FF759A">
              <w:rPr>
                <w:sz w:val="26"/>
                <w:szCs w:val="26"/>
                <w:lang w:val="lv-LV"/>
              </w:rPr>
              <w:t xml:space="preserve">, bet atsevišķs finansējuma avots un uzskaite  </w:t>
            </w:r>
            <w:r w:rsidR="00CB2BB3" w:rsidRPr="00FF759A">
              <w:rPr>
                <w:sz w:val="26"/>
                <w:szCs w:val="26"/>
                <w:lang w:val="lv-LV"/>
              </w:rPr>
              <w:t xml:space="preserve">minētajiem </w:t>
            </w:r>
            <w:r w:rsidR="006A4944" w:rsidRPr="00FF759A">
              <w:rPr>
                <w:sz w:val="26"/>
                <w:szCs w:val="26"/>
                <w:lang w:val="lv-LV"/>
              </w:rPr>
              <w:t>projektiem.</w:t>
            </w:r>
            <w:r w:rsidR="00CB2BB3" w:rsidRPr="00FF759A">
              <w:rPr>
                <w:sz w:val="26"/>
                <w:szCs w:val="26"/>
                <w:lang w:val="lv-LV"/>
              </w:rPr>
              <w:t xml:space="preserve"> Atbilstoši programmas rādītāju novērtējumam šādiem visu publisko finansējumu sabiedrība “</w:t>
            </w:r>
            <w:proofErr w:type="spellStart"/>
            <w:r w:rsidR="00CB2BB3" w:rsidRPr="00FF759A">
              <w:rPr>
                <w:sz w:val="26"/>
                <w:szCs w:val="26"/>
                <w:lang w:val="lv-LV"/>
              </w:rPr>
              <w:t>Altum</w:t>
            </w:r>
            <w:proofErr w:type="spellEnd"/>
            <w:r w:rsidR="00CB2BB3" w:rsidRPr="00FF759A">
              <w:rPr>
                <w:sz w:val="26"/>
                <w:szCs w:val="26"/>
                <w:lang w:val="lv-LV"/>
              </w:rPr>
              <w:t>” izmantos aizdevumu izsniegšanai un nepiesaistīts papildus likviditātes finansējumu.</w:t>
            </w:r>
          </w:p>
          <w:p w14:paraId="293642C0" w14:textId="53AF0A1C" w:rsidR="00BB1F36" w:rsidRPr="00FF759A" w:rsidRDefault="006A4944" w:rsidP="006C5402">
            <w:pPr>
              <w:jc w:val="both"/>
              <w:rPr>
                <w:sz w:val="26"/>
                <w:szCs w:val="26"/>
                <w:lang w:val="lv-LV"/>
              </w:rPr>
            </w:pPr>
            <w:r w:rsidRPr="00FF759A">
              <w:rPr>
                <w:sz w:val="26"/>
                <w:szCs w:val="26"/>
                <w:lang w:val="lv-LV"/>
              </w:rPr>
              <w:t>Šādi a</w:t>
            </w:r>
            <w:r w:rsidR="00A06120" w:rsidRPr="00FF759A">
              <w:rPr>
                <w:sz w:val="26"/>
                <w:szCs w:val="26"/>
                <w:lang w:val="lv-LV"/>
              </w:rPr>
              <w:t>izdevum</w:t>
            </w:r>
            <w:r w:rsidRPr="00FF759A">
              <w:rPr>
                <w:sz w:val="26"/>
                <w:szCs w:val="26"/>
                <w:lang w:val="lv-LV"/>
              </w:rPr>
              <w:t>i</w:t>
            </w:r>
            <w:r w:rsidR="00A06120" w:rsidRPr="00FF759A">
              <w:rPr>
                <w:sz w:val="26"/>
                <w:szCs w:val="26"/>
                <w:lang w:val="lv-LV"/>
              </w:rPr>
              <w:t xml:space="preserve"> atbilst </w:t>
            </w:r>
            <w:r w:rsidRPr="00FF759A">
              <w:rPr>
                <w:sz w:val="26"/>
                <w:szCs w:val="26"/>
                <w:lang w:val="lv-LV"/>
              </w:rPr>
              <w:t xml:space="preserve">MK noteikumu nr.328 III. Nodaļas “Starta aizdevumi” </w:t>
            </w:r>
            <w:r w:rsidR="00A06120" w:rsidRPr="00FF759A">
              <w:rPr>
                <w:sz w:val="26"/>
                <w:szCs w:val="26"/>
                <w:lang w:val="lv-LV"/>
              </w:rPr>
              <w:t xml:space="preserve">nosacījumiem, tādēļ nav nepieciešams veikt </w:t>
            </w:r>
            <w:r w:rsidR="002C2A54" w:rsidRPr="00FF759A">
              <w:rPr>
                <w:sz w:val="26"/>
                <w:szCs w:val="26"/>
                <w:lang w:val="lv-LV"/>
              </w:rPr>
              <w:t xml:space="preserve">grozījumus atbalsta </w:t>
            </w:r>
            <w:r w:rsidRPr="00FF759A">
              <w:rPr>
                <w:sz w:val="26"/>
                <w:szCs w:val="26"/>
                <w:lang w:val="lv-LV"/>
              </w:rPr>
              <w:t xml:space="preserve">piešķiršanas </w:t>
            </w:r>
            <w:r w:rsidR="002C2A54" w:rsidRPr="00FF759A">
              <w:rPr>
                <w:sz w:val="26"/>
                <w:szCs w:val="26"/>
                <w:lang w:val="lv-LV"/>
              </w:rPr>
              <w:t>nosacījumos</w:t>
            </w:r>
            <w:r w:rsidR="00882ECF" w:rsidRPr="00FF759A">
              <w:rPr>
                <w:sz w:val="26"/>
                <w:szCs w:val="26"/>
                <w:lang w:val="lv-LV"/>
              </w:rPr>
              <w:t xml:space="preserve">, taču, lai atbalsta noteikumos būtu skaidri </w:t>
            </w:r>
            <w:proofErr w:type="spellStart"/>
            <w:r w:rsidR="00882ECF" w:rsidRPr="00FF759A">
              <w:rPr>
                <w:sz w:val="26"/>
                <w:szCs w:val="26"/>
                <w:lang w:val="lv-LV"/>
              </w:rPr>
              <w:t>redams</w:t>
            </w:r>
            <w:proofErr w:type="spellEnd"/>
            <w:r w:rsidR="00882ECF" w:rsidRPr="00FF759A">
              <w:rPr>
                <w:sz w:val="26"/>
                <w:szCs w:val="26"/>
                <w:lang w:val="lv-LV"/>
              </w:rPr>
              <w:t>, ka atbalsts ir pieejams tostarp augsta riska inovatīviem komersantiem ar augstu izaugsmes potenciālu, Noteikumu projekts paredz precizēt 26.punkta redakciju.</w:t>
            </w:r>
            <w:r w:rsidR="00A06120" w:rsidRPr="00FF759A">
              <w:rPr>
                <w:sz w:val="26"/>
                <w:szCs w:val="26"/>
                <w:lang w:val="lv-LV"/>
              </w:rPr>
              <w:t xml:space="preserve">. Precīzi </w:t>
            </w:r>
            <w:proofErr w:type="spellStart"/>
            <w:r w:rsidR="00A06120" w:rsidRPr="00FF759A">
              <w:rPr>
                <w:sz w:val="26"/>
                <w:szCs w:val="26"/>
                <w:lang w:val="lv-LV"/>
              </w:rPr>
              <w:t>apakšprodukta</w:t>
            </w:r>
            <w:proofErr w:type="spellEnd"/>
            <w:r w:rsidR="00A06120" w:rsidRPr="00FF759A">
              <w:rPr>
                <w:sz w:val="26"/>
                <w:szCs w:val="26"/>
                <w:lang w:val="lv-LV"/>
              </w:rPr>
              <w:t xml:space="preserve"> nosacījumi </w:t>
            </w:r>
            <w:r w:rsidRPr="00FF759A">
              <w:rPr>
                <w:sz w:val="26"/>
                <w:szCs w:val="26"/>
                <w:lang w:val="lv-LV"/>
              </w:rPr>
              <w:t xml:space="preserve">atbilstoši </w:t>
            </w:r>
            <w:r w:rsidR="004A026D" w:rsidRPr="00FF759A">
              <w:rPr>
                <w:sz w:val="26"/>
                <w:szCs w:val="26"/>
                <w:lang w:val="lv-LV"/>
              </w:rPr>
              <w:t xml:space="preserve">programmas rādītāju novērtējumam </w:t>
            </w:r>
            <w:r w:rsidR="00A06120" w:rsidRPr="00FF759A">
              <w:rPr>
                <w:sz w:val="26"/>
                <w:szCs w:val="26"/>
                <w:lang w:val="lv-LV"/>
              </w:rPr>
              <w:t>tiks noteikti starta programmas biznesa plānā, kuru</w:t>
            </w:r>
            <w:r w:rsidR="002C2A54" w:rsidRPr="00FF759A">
              <w:rPr>
                <w:sz w:val="26"/>
                <w:szCs w:val="26"/>
                <w:lang w:val="lv-LV"/>
              </w:rPr>
              <w:t xml:space="preserve"> sabiedrība</w:t>
            </w:r>
            <w:r w:rsidR="00A06120" w:rsidRPr="00FF759A">
              <w:rPr>
                <w:sz w:val="26"/>
                <w:szCs w:val="26"/>
                <w:lang w:val="lv-LV"/>
              </w:rPr>
              <w:t xml:space="preserve"> </w:t>
            </w:r>
            <w:r w:rsidR="00891085" w:rsidRPr="00FF759A">
              <w:rPr>
                <w:sz w:val="26"/>
                <w:szCs w:val="26"/>
                <w:lang w:val="lv-LV"/>
              </w:rPr>
              <w:t>“</w:t>
            </w:r>
            <w:proofErr w:type="spellStart"/>
            <w:r w:rsidR="007F6EA8" w:rsidRPr="00FF759A">
              <w:rPr>
                <w:sz w:val="26"/>
                <w:szCs w:val="26"/>
                <w:lang w:val="lv-LV"/>
              </w:rPr>
              <w:t>A</w:t>
            </w:r>
            <w:r w:rsidR="00891085" w:rsidRPr="00FF759A">
              <w:rPr>
                <w:sz w:val="26"/>
                <w:szCs w:val="26"/>
                <w:lang w:val="lv-LV"/>
              </w:rPr>
              <w:t>ltum</w:t>
            </w:r>
            <w:proofErr w:type="spellEnd"/>
            <w:r w:rsidR="00891085" w:rsidRPr="00FF759A">
              <w:rPr>
                <w:sz w:val="26"/>
                <w:szCs w:val="26"/>
                <w:lang w:val="lv-LV"/>
              </w:rPr>
              <w:t>”</w:t>
            </w:r>
            <w:r w:rsidR="007F6EA8" w:rsidRPr="00FF759A">
              <w:rPr>
                <w:sz w:val="26"/>
                <w:szCs w:val="26"/>
                <w:lang w:val="lv-LV"/>
              </w:rPr>
              <w:t xml:space="preserve"> </w:t>
            </w:r>
            <w:r w:rsidR="00A06120" w:rsidRPr="00FF759A">
              <w:rPr>
                <w:sz w:val="26"/>
                <w:szCs w:val="26"/>
                <w:lang w:val="lv-LV"/>
              </w:rPr>
              <w:t xml:space="preserve">saskaņo </w:t>
            </w:r>
            <w:r w:rsidR="007F6EA8" w:rsidRPr="00FF759A">
              <w:rPr>
                <w:sz w:val="26"/>
                <w:szCs w:val="26"/>
                <w:lang w:val="lv-LV"/>
              </w:rPr>
              <w:t xml:space="preserve">ar </w:t>
            </w:r>
            <w:r w:rsidR="00A06120" w:rsidRPr="00FF759A">
              <w:rPr>
                <w:sz w:val="26"/>
                <w:szCs w:val="26"/>
                <w:lang w:val="lv-LV"/>
              </w:rPr>
              <w:t>Ekonomikas ministrij</w:t>
            </w:r>
            <w:r w:rsidR="007F6EA8" w:rsidRPr="00FF759A">
              <w:rPr>
                <w:sz w:val="26"/>
                <w:szCs w:val="26"/>
                <w:lang w:val="lv-LV"/>
              </w:rPr>
              <w:t>u</w:t>
            </w:r>
            <w:r w:rsidR="00A06120" w:rsidRPr="00FF759A">
              <w:rPr>
                <w:sz w:val="26"/>
                <w:szCs w:val="26"/>
                <w:lang w:val="lv-LV"/>
              </w:rPr>
              <w:t xml:space="preserve"> un Centrālā finanšu līgumu aģentūru. </w:t>
            </w:r>
          </w:p>
          <w:p w14:paraId="2D1328DC" w14:textId="5DE88E79" w:rsidR="00A06120" w:rsidRPr="005C23F6" w:rsidRDefault="00A06120" w:rsidP="006C5402">
            <w:pPr>
              <w:jc w:val="both"/>
              <w:rPr>
                <w:sz w:val="26"/>
                <w:szCs w:val="26"/>
                <w:lang w:val="lv-LV"/>
              </w:rPr>
            </w:pPr>
            <w:r w:rsidRPr="00FF759A">
              <w:rPr>
                <w:sz w:val="26"/>
                <w:szCs w:val="26"/>
                <w:lang w:val="lv-LV"/>
              </w:rPr>
              <w:t>Ja būs zemāks pieprasījums</w:t>
            </w:r>
            <w:r w:rsidR="00BB1F36" w:rsidRPr="00FF759A">
              <w:rPr>
                <w:sz w:val="26"/>
                <w:szCs w:val="26"/>
                <w:lang w:val="lv-LV"/>
              </w:rPr>
              <w:t xml:space="preserve"> pēc šāda veida aizdevumiem</w:t>
            </w:r>
            <w:r w:rsidRPr="00FF759A">
              <w:rPr>
                <w:sz w:val="26"/>
                <w:szCs w:val="26"/>
                <w:lang w:val="lv-LV"/>
              </w:rPr>
              <w:t xml:space="preserve"> kā prognozēts, </w:t>
            </w:r>
            <w:r w:rsidR="006A4944" w:rsidRPr="00FF759A">
              <w:rPr>
                <w:sz w:val="26"/>
                <w:szCs w:val="26"/>
                <w:lang w:val="lv-LV"/>
              </w:rPr>
              <w:t>sabiedrība “</w:t>
            </w:r>
            <w:proofErr w:type="spellStart"/>
            <w:r w:rsidR="006A4944" w:rsidRPr="00FF759A">
              <w:rPr>
                <w:sz w:val="26"/>
                <w:szCs w:val="26"/>
                <w:lang w:val="lv-LV"/>
              </w:rPr>
              <w:t>Altum</w:t>
            </w:r>
            <w:proofErr w:type="spellEnd"/>
            <w:r w:rsidR="006A4944" w:rsidRPr="00FF759A">
              <w:rPr>
                <w:sz w:val="26"/>
                <w:szCs w:val="26"/>
                <w:lang w:val="lv-LV"/>
              </w:rPr>
              <w:t xml:space="preserve">” </w:t>
            </w:r>
            <w:r w:rsidR="00BB1F36" w:rsidRPr="00FF759A">
              <w:rPr>
                <w:sz w:val="26"/>
                <w:szCs w:val="26"/>
                <w:lang w:val="lv-LV"/>
              </w:rPr>
              <w:t xml:space="preserve">novirzīto </w:t>
            </w:r>
            <w:r w:rsidRPr="00FF759A">
              <w:rPr>
                <w:sz w:val="26"/>
                <w:szCs w:val="26"/>
                <w:lang w:val="lv-LV"/>
              </w:rPr>
              <w:t xml:space="preserve">finansējumu </w:t>
            </w:r>
            <w:r w:rsidR="006A4944" w:rsidRPr="00FF759A">
              <w:rPr>
                <w:sz w:val="26"/>
                <w:szCs w:val="26"/>
                <w:lang w:val="lv-LV"/>
              </w:rPr>
              <w:t xml:space="preserve">izmantos </w:t>
            </w:r>
            <w:r w:rsidRPr="00FF759A">
              <w:rPr>
                <w:sz w:val="26"/>
                <w:szCs w:val="26"/>
                <w:lang w:val="lv-LV"/>
              </w:rPr>
              <w:t>starta aizdevumu izsniegšanai</w:t>
            </w:r>
            <w:r w:rsidR="006A4944" w:rsidRPr="00FF759A">
              <w:rPr>
                <w:sz w:val="26"/>
                <w:szCs w:val="26"/>
                <w:lang w:val="lv-LV"/>
              </w:rPr>
              <w:t xml:space="preserve"> atbilstoši pašreizējiem </w:t>
            </w:r>
            <w:r w:rsidR="00CB2BB3" w:rsidRPr="00FF759A">
              <w:rPr>
                <w:sz w:val="26"/>
                <w:szCs w:val="26"/>
                <w:lang w:val="lv-LV"/>
              </w:rPr>
              <w:t xml:space="preserve">programmas rādītāju novērtējumam kredītriska aprēķiniem </w:t>
            </w:r>
            <w:r w:rsidR="006A4944" w:rsidRPr="00FF759A">
              <w:rPr>
                <w:sz w:val="26"/>
                <w:szCs w:val="26"/>
                <w:lang w:val="lv-LV"/>
              </w:rPr>
              <w:t>(aizdevums bez nodrošinājuma līdz 25 000 EUR)</w:t>
            </w:r>
            <w:r w:rsidRPr="00FF759A">
              <w:rPr>
                <w:sz w:val="26"/>
                <w:szCs w:val="26"/>
                <w:lang w:val="lv-LV"/>
              </w:rPr>
              <w:t>, neveicot</w:t>
            </w:r>
            <w:r w:rsidR="007F6EA8" w:rsidRPr="00FF759A">
              <w:rPr>
                <w:sz w:val="26"/>
                <w:szCs w:val="26"/>
                <w:lang w:val="lv-LV"/>
              </w:rPr>
              <w:t xml:space="preserve"> atkārtotus</w:t>
            </w:r>
            <w:r w:rsidRPr="00FF759A">
              <w:rPr>
                <w:sz w:val="26"/>
                <w:szCs w:val="26"/>
                <w:lang w:val="lv-LV"/>
              </w:rPr>
              <w:t xml:space="preserve"> grozījumus </w:t>
            </w:r>
            <w:r w:rsidR="002C2A54" w:rsidRPr="00FF759A">
              <w:rPr>
                <w:sz w:val="26"/>
                <w:szCs w:val="26"/>
                <w:lang w:val="lv-LV"/>
              </w:rPr>
              <w:t>Noteikumos</w:t>
            </w:r>
            <w:r w:rsidRPr="00FF759A">
              <w:rPr>
                <w:sz w:val="26"/>
                <w:szCs w:val="26"/>
                <w:lang w:val="lv-LV"/>
              </w:rPr>
              <w:t>.</w:t>
            </w:r>
          </w:p>
          <w:p w14:paraId="2BAC9105" w14:textId="719F9CCA" w:rsidR="00A06120" w:rsidRPr="005C23F6" w:rsidRDefault="00CB2BB3" w:rsidP="006C5402">
            <w:pPr>
              <w:jc w:val="both"/>
              <w:rPr>
                <w:sz w:val="26"/>
                <w:szCs w:val="26"/>
                <w:lang w:val="lv-LV"/>
              </w:rPr>
            </w:pPr>
            <w:r w:rsidRPr="005C23F6">
              <w:rPr>
                <w:sz w:val="26"/>
                <w:szCs w:val="26"/>
                <w:lang w:val="lv-LV"/>
              </w:rPr>
              <w:t>P</w:t>
            </w:r>
            <w:r w:rsidR="00A06120" w:rsidRPr="005C23F6">
              <w:rPr>
                <w:sz w:val="26"/>
                <w:szCs w:val="26"/>
                <w:lang w:val="lv-LV"/>
              </w:rPr>
              <w:t>ilotprojekta ietvaros plānot</w:t>
            </w:r>
            <w:r w:rsidR="007F6EA8" w:rsidRPr="005C23F6">
              <w:rPr>
                <w:sz w:val="26"/>
                <w:szCs w:val="26"/>
                <w:lang w:val="lv-LV"/>
              </w:rPr>
              <w:t>s</w:t>
            </w:r>
            <w:r w:rsidR="00A06120" w:rsidRPr="005C23F6">
              <w:rPr>
                <w:sz w:val="26"/>
                <w:szCs w:val="26"/>
                <w:lang w:val="lv-LV"/>
              </w:rPr>
              <w:t xml:space="preserve"> finansēt aizdevumus augsta riska, agrīnās stadijas uzņēmumiem ar augstas izaugsmes potenciālu izstrādātu </w:t>
            </w:r>
            <w:r w:rsidR="00A06120" w:rsidRPr="005C23F6">
              <w:rPr>
                <w:i/>
                <w:iCs/>
                <w:sz w:val="26"/>
                <w:szCs w:val="26"/>
                <w:lang w:val="lv-LV"/>
              </w:rPr>
              <w:t>(</w:t>
            </w:r>
            <w:proofErr w:type="spellStart"/>
            <w:r w:rsidR="00A06120" w:rsidRPr="005C23F6">
              <w:rPr>
                <w:i/>
                <w:iCs/>
                <w:sz w:val="26"/>
                <w:szCs w:val="26"/>
                <w:lang w:val="lv-LV"/>
              </w:rPr>
              <w:t>pre-validated</w:t>
            </w:r>
            <w:proofErr w:type="spellEnd"/>
            <w:r w:rsidR="00A06120" w:rsidRPr="005C23F6">
              <w:rPr>
                <w:i/>
                <w:iCs/>
                <w:sz w:val="26"/>
                <w:szCs w:val="26"/>
                <w:lang w:val="lv-LV"/>
              </w:rPr>
              <w:t>)</w:t>
            </w:r>
            <w:r w:rsidR="00A06120" w:rsidRPr="005C23F6">
              <w:rPr>
                <w:sz w:val="26"/>
                <w:szCs w:val="26"/>
                <w:lang w:val="lv-LV"/>
              </w:rPr>
              <w:t xml:space="preserve"> produktu ieviešanai tirgū, kad uzņēmumam nav nodrošinājums un nav pieejams investoru finansējums. Tipiskākie finansēšanas piemēri būs t.s. </w:t>
            </w:r>
            <w:proofErr w:type="spellStart"/>
            <w:r w:rsidR="00A06120" w:rsidRPr="005C23F6">
              <w:rPr>
                <w:i/>
                <w:iCs/>
                <w:sz w:val="26"/>
                <w:szCs w:val="26"/>
                <w:lang w:val="lv-LV"/>
              </w:rPr>
              <w:t>bridge</w:t>
            </w:r>
            <w:proofErr w:type="spellEnd"/>
            <w:r w:rsidR="00A06120" w:rsidRPr="005C23F6">
              <w:rPr>
                <w:i/>
                <w:iCs/>
                <w:sz w:val="26"/>
                <w:szCs w:val="26"/>
                <w:lang w:val="lv-LV"/>
              </w:rPr>
              <w:t xml:space="preserve"> </w:t>
            </w:r>
            <w:proofErr w:type="spellStart"/>
            <w:r w:rsidR="00A06120" w:rsidRPr="005C23F6">
              <w:rPr>
                <w:i/>
                <w:iCs/>
                <w:sz w:val="26"/>
                <w:szCs w:val="26"/>
                <w:lang w:val="lv-LV"/>
              </w:rPr>
              <w:t>financing</w:t>
            </w:r>
            <w:proofErr w:type="spellEnd"/>
            <w:r w:rsidR="00A06120" w:rsidRPr="005C23F6">
              <w:rPr>
                <w:sz w:val="26"/>
                <w:szCs w:val="26"/>
                <w:lang w:val="lv-LV"/>
              </w:rPr>
              <w:t xml:space="preserve"> pirms vai starp dažādām investīciju fāzēm vai līdzfinansējums investoru (biznesu eņģeļi u.c.) finansējumiem, ES  </w:t>
            </w:r>
            <w:r w:rsidR="00F859FA" w:rsidRPr="005C23F6">
              <w:rPr>
                <w:sz w:val="26"/>
                <w:szCs w:val="26"/>
                <w:lang w:val="lv-LV"/>
              </w:rPr>
              <w:t xml:space="preserve">finansētiem </w:t>
            </w:r>
            <w:r w:rsidR="00A06120" w:rsidRPr="005C23F6">
              <w:rPr>
                <w:sz w:val="26"/>
                <w:szCs w:val="26"/>
                <w:lang w:val="lv-LV"/>
              </w:rPr>
              <w:t>projektiem (piemēram, Horizon2020)</w:t>
            </w:r>
            <w:r w:rsidRPr="005C23F6">
              <w:rPr>
                <w:sz w:val="26"/>
                <w:szCs w:val="26"/>
                <w:lang w:val="lv-LV"/>
              </w:rPr>
              <w:t>, kuriem pašreiz sabiedrība “</w:t>
            </w:r>
            <w:proofErr w:type="spellStart"/>
            <w:r w:rsidRPr="005C23F6">
              <w:rPr>
                <w:sz w:val="26"/>
                <w:szCs w:val="26"/>
                <w:lang w:val="lv-LV"/>
              </w:rPr>
              <w:t>Altum</w:t>
            </w:r>
            <w:proofErr w:type="spellEnd"/>
            <w:r w:rsidRPr="005C23F6">
              <w:rPr>
                <w:sz w:val="26"/>
                <w:szCs w:val="26"/>
                <w:lang w:val="lv-LV"/>
              </w:rPr>
              <w:t>” atsaka starta aizdevuma piešķiršanu nepietiekama nodrošinājuma dēļ</w:t>
            </w:r>
            <w:r w:rsidR="00A06120" w:rsidRPr="005C23F6">
              <w:rPr>
                <w:sz w:val="26"/>
                <w:szCs w:val="26"/>
                <w:lang w:val="lv-LV"/>
              </w:rPr>
              <w:t xml:space="preserve">. Pilotprojekta mērķis ir attīstīt inovatīvus uzņēmumus ar augstas izaugsmes potenciālu, ieviest pilotprojektu šādu uzņēmumu finansēšanai, ieviest </w:t>
            </w:r>
            <w:r w:rsidR="00A06120" w:rsidRPr="005C23F6">
              <w:rPr>
                <w:i/>
                <w:iCs/>
                <w:sz w:val="26"/>
                <w:szCs w:val="26"/>
                <w:lang w:val="lv-LV"/>
              </w:rPr>
              <w:t>start-</w:t>
            </w:r>
            <w:proofErr w:type="spellStart"/>
            <w:r w:rsidR="00A06120" w:rsidRPr="005C23F6">
              <w:rPr>
                <w:i/>
                <w:iCs/>
                <w:sz w:val="26"/>
                <w:szCs w:val="26"/>
                <w:lang w:val="lv-LV"/>
              </w:rPr>
              <w:t>up</w:t>
            </w:r>
            <w:proofErr w:type="spellEnd"/>
            <w:r w:rsidR="00A06120" w:rsidRPr="005C23F6">
              <w:rPr>
                <w:sz w:val="26"/>
                <w:szCs w:val="26"/>
                <w:lang w:val="lv-LV"/>
              </w:rPr>
              <w:t xml:space="preserve"> uzņēmumu finansēšanas metodes</w:t>
            </w:r>
            <w:r w:rsidR="007F6EA8" w:rsidRPr="005C23F6">
              <w:rPr>
                <w:sz w:val="26"/>
                <w:szCs w:val="26"/>
                <w:lang w:val="lv-LV"/>
              </w:rPr>
              <w:t xml:space="preserve"> un</w:t>
            </w:r>
            <w:r w:rsidR="00A06120" w:rsidRPr="005C23F6">
              <w:rPr>
                <w:sz w:val="26"/>
                <w:szCs w:val="26"/>
                <w:lang w:val="lv-LV"/>
              </w:rPr>
              <w:t xml:space="preserve"> gatavoties ES fondu 2021.-2027.gada periodam inovatīvo uzņēmumu atbalsta sniegšanai finanšu instrumentu veidā.</w:t>
            </w:r>
          </w:p>
          <w:p w14:paraId="16442EFB" w14:textId="17FD3D85" w:rsidR="00A06120" w:rsidRPr="005C23F6" w:rsidRDefault="00A06120" w:rsidP="006C5402">
            <w:pPr>
              <w:jc w:val="both"/>
              <w:rPr>
                <w:sz w:val="26"/>
                <w:szCs w:val="26"/>
                <w:lang w:val="lv-LV"/>
              </w:rPr>
            </w:pPr>
            <w:r w:rsidRPr="005C23F6">
              <w:rPr>
                <w:sz w:val="26"/>
                <w:szCs w:val="26"/>
                <w:lang w:val="lv-LV"/>
              </w:rPr>
              <w:lastRenderedPageBreak/>
              <w:t xml:space="preserve">Pilotprojekta ietvaros plānots finansēt uzņēmumus, kuriem jau ir izstrādāts produkts un ir apgrozījums vai ir noslēgti līgumi par produkta pārdošanu, galvenokārt, ārvalstīs. Tipisks aizdevuma pretendents iepriekš minēto darbību veikšanai pirms </w:t>
            </w:r>
            <w:r w:rsidR="002C2A54" w:rsidRPr="005C23F6">
              <w:rPr>
                <w:sz w:val="26"/>
                <w:szCs w:val="26"/>
                <w:lang w:val="lv-LV"/>
              </w:rPr>
              <w:t xml:space="preserve">sabiedrības </w:t>
            </w:r>
            <w:r w:rsidR="00891085" w:rsidRPr="005C23F6">
              <w:rPr>
                <w:sz w:val="26"/>
                <w:szCs w:val="26"/>
                <w:lang w:val="lv-LV"/>
              </w:rPr>
              <w:t>“</w:t>
            </w:r>
            <w:proofErr w:type="spellStart"/>
            <w:r w:rsidR="002C2A54" w:rsidRPr="005C23F6">
              <w:rPr>
                <w:sz w:val="26"/>
                <w:szCs w:val="26"/>
                <w:lang w:val="lv-LV"/>
              </w:rPr>
              <w:t>A</w:t>
            </w:r>
            <w:r w:rsidR="00891085" w:rsidRPr="005C23F6">
              <w:rPr>
                <w:sz w:val="26"/>
                <w:szCs w:val="26"/>
                <w:lang w:val="lv-LV"/>
              </w:rPr>
              <w:t>ltum</w:t>
            </w:r>
            <w:proofErr w:type="spellEnd"/>
            <w:r w:rsidR="00891085" w:rsidRPr="005C23F6">
              <w:rPr>
                <w:sz w:val="26"/>
                <w:szCs w:val="26"/>
                <w:lang w:val="lv-LV"/>
              </w:rPr>
              <w:t xml:space="preserve">” </w:t>
            </w:r>
            <w:r w:rsidRPr="005C23F6">
              <w:rPr>
                <w:sz w:val="26"/>
                <w:szCs w:val="26"/>
                <w:lang w:val="lv-LV"/>
              </w:rPr>
              <w:t>aizdevuma būs saņēmis akcelerācijas, riska kapitāla, investora finansējumu vai citu ieguldījumu, būs veiktas prezentācijas investoriem, finansētājiem, kā arī uzņēmumam būs izstrādāta attīstības stratēģija produkta ieviešanai un darbības paplašināšanai ārvalstu tirgū/eksportam 2-4 gadu laikā vai investoru piesaistei. Būtisks nosacījums šādu projektu finansēšanai ir izstrādāti pārdošanas rīki un īpašnieka reputācija.</w:t>
            </w:r>
          </w:p>
          <w:p w14:paraId="7A06EB41" w14:textId="77777777" w:rsidR="00341BEB" w:rsidRPr="005C23F6" w:rsidRDefault="00341BEB" w:rsidP="006C5402">
            <w:pPr>
              <w:jc w:val="both"/>
              <w:rPr>
                <w:sz w:val="26"/>
                <w:szCs w:val="26"/>
                <w:lang w:val="lv-LV"/>
              </w:rPr>
            </w:pPr>
            <w:r w:rsidRPr="005C23F6">
              <w:rPr>
                <w:sz w:val="26"/>
                <w:szCs w:val="26"/>
                <w:lang w:val="lv-LV"/>
              </w:rPr>
              <w:t xml:space="preserve">Lai ieviestu </w:t>
            </w:r>
            <w:proofErr w:type="spellStart"/>
            <w:r w:rsidRPr="005C23F6">
              <w:rPr>
                <w:sz w:val="26"/>
                <w:szCs w:val="26"/>
                <w:lang w:val="lv-LV"/>
              </w:rPr>
              <w:t>apakšproduktu</w:t>
            </w:r>
            <w:proofErr w:type="spellEnd"/>
            <w:r w:rsidRPr="005C23F6">
              <w:rPr>
                <w:sz w:val="26"/>
                <w:szCs w:val="26"/>
                <w:lang w:val="lv-LV"/>
              </w:rPr>
              <w:t xml:space="preserve">, nepieciešamas izmaiņas aizdevumu pieteikumos norādāmajai informācijai, jo bieži uzņēmuma produkts tirgū vēl neeksistē, bet finanšu aprēķini balstīti un pieņēmumiem, prezentācijām investoriem, potenciālo klientu produkcijas testiem, nevis uz vēsturiskiem datiem balstītām prognozēm. Līdz ar to ERAF administratīvās izmaksas plānots novirzīt arī inovatīvo aizdevumu metodikas izstrādei </w:t>
            </w:r>
            <w:r w:rsidRPr="005C23F6">
              <w:rPr>
                <w:i/>
                <w:iCs/>
                <w:sz w:val="26"/>
                <w:szCs w:val="26"/>
                <w:lang w:val="lv-LV"/>
              </w:rPr>
              <w:t>(</w:t>
            </w:r>
            <w:proofErr w:type="spellStart"/>
            <w:r w:rsidRPr="005C23F6">
              <w:rPr>
                <w:i/>
                <w:iCs/>
                <w:sz w:val="26"/>
                <w:szCs w:val="26"/>
                <w:lang w:val="lv-LV"/>
              </w:rPr>
              <w:t>innovation</w:t>
            </w:r>
            <w:proofErr w:type="spellEnd"/>
            <w:r w:rsidRPr="005C23F6">
              <w:rPr>
                <w:i/>
                <w:iCs/>
                <w:sz w:val="26"/>
                <w:szCs w:val="26"/>
                <w:lang w:val="lv-LV"/>
              </w:rPr>
              <w:t xml:space="preserve"> </w:t>
            </w:r>
            <w:proofErr w:type="spellStart"/>
            <w:r w:rsidRPr="005C23F6">
              <w:rPr>
                <w:i/>
                <w:iCs/>
                <w:sz w:val="26"/>
                <w:szCs w:val="26"/>
                <w:lang w:val="lv-LV"/>
              </w:rPr>
              <w:t>accounting</w:t>
            </w:r>
            <w:proofErr w:type="spellEnd"/>
            <w:r w:rsidRPr="005C23F6">
              <w:rPr>
                <w:i/>
                <w:iCs/>
                <w:sz w:val="26"/>
                <w:szCs w:val="26"/>
                <w:lang w:val="lv-LV"/>
              </w:rPr>
              <w:t xml:space="preserve">, </w:t>
            </w:r>
            <w:proofErr w:type="spellStart"/>
            <w:r w:rsidRPr="005C23F6">
              <w:rPr>
                <w:i/>
                <w:iCs/>
                <w:sz w:val="26"/>
                <w:szCs w:val="26"/>
                <w:lang w:val="lv-LV"/>
              </w:rPr>
              <w:t>innovation</w:t>
            </w:r>
            <w:proofErr w:type="spellEnd"/>
            <w:r w:rsidRPr="005C23F6">
              <w:rPr>
                <w:i/>
                <w:iCs/>
                <w:sz w:val="26"/>
                <w:szCs w:val="26"/>
                <w:lang w:val="lv-LV"/>
              </w:rPr>
              <w:t xml:space="preserve"> </w:t>
            </w:r>
            <w:proofErr w:type="spellStart"/>
            <w:r w:rsidRPr="005C23F6">
              <w:rPr>
                <w:i/>
                <w:iCs/>
                <w:sz w:val="26"/>
                <w:szCs w:val="26"/>
                <w:lang w:val="lv-LV"/>
              </w:rPr>
              <w:t>management</w:t>
            </w:r>
            <w:proofErr w:type="spellEnd"/>
            <w:r w:rsidRPr="005C23F6">
              <w:rPr>
                <w:i/>
                <w:iCs/>
                <w:sz w:val="26"/>
                <w:szCs w:val="26"/>
                <w:lang w:val="lv-LV"/>
              </w:rPr>
              <w:t>)</w:t>
            </w:r>
            <w:r w:rsidRPr="005C23F6">
              <w:rPr>
                <w:sz w:val="26"/>
                <w:szCs w:val="26"/>
                <w:lang w:val="lv-LV"/>
              </w:rPr>
              <w:t xml:space="preserve"> un ieviešanai, izmantojot citu finanšu institūciju līdzīgu finansēšanas pieredzi.</w:t>
            </w:r>
          </w:p>
          <w:p w14:paraId="74B323E8" w14:textId="134EEA18" w:rsidR="00BE277E" w:rsidRPr="005C23F6" w:rsidRDefault="00A06120" w:rsidP="006C5402">
            <w:pPr>
              <w:jc w:val="both"/>
              <w:rPr>
                <w:sz w:val="26"/>
                <w:szCs w:val="26"/>
                <w:lang w:val="lv-LV"/>
              </w:rPr>
            </w:pPr>
            <w:r w:rsidRPr="005C23F6">
              <w:rPr>
                <w:sz w:val="26"/>
                <w:szCs w:val="26"/>
                <w:lang w:val="lv-LV"/>
              </w:rPr>
              <w:t>Atšķirībā no pašreizējiem starta aizdevum</w:t>
            </w:r>
            <w:r w:rsidR="00DE02C9" w:rsidRPr="005C23F6">
              <w:rPr>
                <w:sz w:val="26"/>
                <w:szCs w:val="26"/>
                <w:lang w:val="lv-LV"/>
              </w:rPr>
              <w:t>u piešķiršanas nosacījumiem</w:t>
            </w:r>
            <w:r w:rsidRPr="005C23F6">
              <w:rPr>
                <w:sz w:val="26"/>
                <w:szCs w:val="26"/>
                <w:lang w:val="lv-LV"/>
              </w:rPr>
              <w:t>, pilotprojektā būs</w:t>
            </w:r>
            <w:r w:rsidR="00BE277E" w:rsidRPr="005C23F6">
              <w:rPr>
                <w:sz w:val="26"/>
                <w:szCs w:val="26"/>
                <w:lang w:val="lv-LV"/>
              </w:rPr>
              <w:t>:</w:t>
            </w:r>
            <w:r w:rsidRPr="005C23F6">
              <w:rPr>
                <w:sz w:val="26"/>
                <w:szCs w:val="26"/>
                <w:lang w:val="lv-LV"/>
              </w:rPr>
              <w:t xml:space="preserve"> </w:t>
            </w:r>
          </w:p>
          <w:p w14:paraId="570B1AC0" w14:textId="5577662C" w:rsidR="00BE277E" w:rsidRPr="00FF759A" w:rsidRDefault="00A06120" w:rsidP="006C5402">
            <w:pPr>
              <w:pStyle w:val="ListParagraph"/>
              <w:numPr>
                <w:ilvl w:val="0"/>
                <w:numId w:val="29"/>
              </w:numPr>
              <w:jc w:val="both"/>
              <w:rPr>
                <w:sz w:val="26"/>
                <w:szCs w:val="26"/>
                <w:lang w:val="lv-LV"/>
              </w:rPr>
            </w:pPr>
            <w:r w:rsidRPr="00FF759A">
              <w:rPr>
                <w:sz w:val="26"/>
                <w:szCs w:val="26"/>
                <w:lang w:val="lv-LV"/>
              </w:rPr>
              <w:t>samazinātas nodrošinājuma prasības</w:t>
            </w:r>
            <w:r w:rsidR="00BE277E" w:rsidRPr="00FF759A">
              <w:rPr>
                <w:sz w:val="26"/>
                <w:szCs w:val="26"/>
                <w:lang w:val="lv-LV"/>
              </w:rPr>
              <w:t>. Pašreiz sabiedrība “</w:t>
            </w:r>
            <w:proofErr w:type="spellStart"/>
            <w:r w:rsidR="00BE277E" w:rsidRPr="00FF759A">
              <w:rPr>
                <w:sz w:val="26"/>
                <w:szCs w:val="26"/>
                <w:lang w:val="lv-LV"/>
              </w:rPr>
              <w:t>Altum</w:t>
            </w:r>
            <w:proofErr w:type="spellEnd"/>
            <w:r w:rsidR="00BE277E" w:rsidRPr="00FF759A">
              <w:rPr>
                <w:sz w:val="26"/>
                <w:szCs w:val="26"/>
                <w:lang w:val="lv-LV"/>
              </w:rPr>
              <w:t>” mikro saimnieciskās darbības veicējiem aizdevumus līdz 25 000 EUR var izsniegt bez nodrošinājuma, izmantojot Eiropas Investīciju fonda</w:t>
            </w:r>
            <w:r w:rsidR="006B4CD6" w:rsidRPr="00FF759A">
              <w:rPr>
                <w:sz w:val="26"/>
                <w:szCs w:val="26"/>
                <w:lang w:val="lv-LV"/>
              </w:rPr>
              <w:t xml:space="preserve"> (turpmāk - EIF)</w:t>
            </w:r>
            <w:r w:rsidR="00BE277E" w:rsidRPr="00FF759A">
              <w:rPr>
                <w:sz w:val="26"/>
                <w:szCs w:val="26"/>
                <w:lang w:val="lv-LV"/>
              </w:rPr>
              <w:t xml:space="preserve"> </w:t>
            </w:r>
            <w:proofErr w:type="spellStart"/>
            <w:r w:rsidR="00BE277E" w:rsidRPr="00FF759A">
              <w:rPr>
                <w:i/>
                <w:iCs/>
                <w:sz w:val="26"/>
                <w:szCs w:val="26"/>
                <w:lang w:val="lv-LV"/>
              </w:rPr>
              <w:t>EaSI</w:t>
            </w:r>
            <w:proofErr w:type="spellEnd"/>
            <w:r w:rsidR="00BE277E" w:rsidRPr="00FF759A">
              <w:rPr>
                <w:sz w:val="26"/>
                <w:szCs w:val="26"/>
                <w:lang w:val="lv-LV"/>
              </w:rPr>
              <w:t xml:space="preserve"> garantij</w:t>
            </w:r>
            <w:r w:rsidR="00541359" w:rsidRPr="00FF759A">
              <w:rPr>
                <w:sz w:val="26"/>
                <w:szCs w:val="26"/>
                <w:lang w:val="lv-LV"/>
              </w:rPr>
              <w:t>u</w:t>
            </w:r>
            <w:r w:rsidR="00BE277E" w:rsidRPr="00FF759A">
              <w:rPr>
                <w:sz w:val="26"/>
                <w:szCs w:val="26"/>
                <w:lang w:val="lv-LV"/>
              </w:rPr>
              <w:t xml:space="preserve"> (</w:t>
            </w:r>
            <w:hyperlink r:id="rId10" w:history="1">
              <w:r w:rsidR="00BE277E" w:rsidRPr="00FF759A">
                <w:rPr>
                  <w:rStyle w:val="Hyperlink"/>
                  <w:sz w:val="26"/>
                  <w:szCs w:val="26"/>
                  <w:lang w:val="lv-LV"/>
                </w:rPr>
                <w:t>https://www.altum.lv/lv/pakalpojumi/es-investiciju-plans/easi-garantijas-mikro-uznemumiem/</w:t>
              </w:r>
            </w:hyperlink>
            <w:r w:rsidR="00BE277E" w:rsidRPr="00FF759A">
              <w:rPr>
                <w:sz w:val="26"/>
                <w:szCs w:val="26"/>
                <w:lang w:val="lv-LV"/>
              </w:rPr>
              <w:t xml:space="preserve">). </w:t>
            </w:r>
            <w:r w:rsidR="00541359" w:rsidRPr="00FF759A">
              <w:rPr>
                <w:sz w:val="26"/>
                <w:szCs w:val="26"/>
                <w:lang w:val="lv-LV"/>
              </w:rPr>
              <w:t xml:space="preserve">Aizdevumi bez nodrošinājuma ir </w:t>
            </w:r>
            <w:r w:rsidR="00BE277E" w:rsidRPr="00FF759A">
              <w:rPr>
                <w:sz w:val="26"/>
                <w:szCs w:val="26"/>
                <w:lang w:val="lv-LV"/>
              </w:rPr>
              <w:t xml:space="preserve">nepieciešami arī mazajiem uzņēmumiem, kā arī </w:t>
            </w:r>
            <w:r w:rsidR="00541359" w:rsidRPr="00FF759A">
              <w:rPr>
                <w:sz w:val="26"/>
                <w:szCs w:val="26"/>
                <w:lang w:val="lv-LV"/>
              </w:rPr>
              <w:t xml:space="preserve">īpaši </w:t>
            </w:r>
            <w:r w:rsidR="00BE277E" w:rsidRPr="00FF759A">
              <w:rPr>
                <w:sz w:val="26"/>
                <w:szCs w:val="26"/>
                <w:lang w:val="lv-LV"/>
              </w:rPr>
              <w:t>IKT nozares aizņēm</w:t>
            </w:r>
            <w:r w:rsidR="00541359" w:rsidRPr="00FF759A">
              <w:rPr>
                <w:sz w:val="26"/>
                <w:szCs w:val="26"/>
                <w:lang w:val="lv-LV"/>
              </w:rPr>
              <w:t>ējiem</w:t>
            </w:r>
            <w:r w:rsidR="00BE277E" w:rsidRPr="00FF759A">
              <w:rPr>
                <w:sz w:val="26"/>
                <w:szCs w:val="26"/>
                <w:lang w:val="lv-LV"/>
              </w:rPr>
              <w:t xml:space="preserve"> virs 25 000 EUR, j</w:t>
            </w:r>
            <w:r w:rsidR="00DE02C9" w:rsidRPr="00FF759A">
              <w:rPr>
                <w:sz w:val="26"/>
                <w:szCs w:val="26"/>
                <w:lang w:val="lv-LV"/>
              </w:rPr>
              <w:t>a</w:t>
            </w:r>
            <w:r w:rsidR="00BE277E" w:rsidRPr="00FF759A">
              <w:rPr>
                <w:sz w:val="26"/>
                <w:szCs w:val="26"/>
                <w:lang w:val="lv-LV"/>
              </w:rPr>
              <w:t xml:space="preserve"> ar aizdevuma līdzekļiem netiek iegādāti pamatlīdzekļi. </w:t>
            </w:r>
            <w:r w:rsidR="00541359" w:rsidRPr="00FF759A">
              <w:rPr>
                <w:sz w:val="26"/>
                <w:szCs w:val="26"/>
                <w:lang w:val="lv-LV"/>
              </w:rPr>
              <w:t>Aizdevum</w:t>
            </w:r>
            <w:r w:rsidR="00DE02C9" w:rsidRPr="00FF759A">
              <w:rPr>
                <w:sz w:val="26"/>
                <w:szCs w:val="26"/>
                <w:lang w:val="lv-LV"/>
              </w:rPr>
              <w:t xml:space="preserve">u izsniegšanai bez nodrošinājuma </w:t>
            </w:r>
            <w:r w:rsidR="00541359" w:rsidRPr="00FF759A">
              <w:rPr>
                <w:sz w:val="26"/>
                <w:szCs w:val="26"/>
                <w:lang w:val="lv-LV"/>
              </w:rPr>
              <w:t xml:space="preserve">virs 25 000 </w:t>
            </w:r>
            <w:proofErr w:type="spellStart"/>
            <w:r w:rsidR="00541359" w:rsidRPr="00FF759A">
              <w:rPr>
                <w:sz w:val="26"/>
                <w:szCs w:val="26"/>
                <w:lang w:val="lv-LV"/>
              </w:rPr>
              <w:t>eur</w:t>
            </w:r>
            <w:proofErr w:type="spellEnd"/>
            <w:r w:rsidR="00541359" w:rsidRPr="00FF759A">
              <w:rPr>
                <w:sz w:val="26"/>
                <w:szCs w:val="26"/>
                <w:lang w:val="lv-LV"/>
              </w:rPr>
              <w:t xml:space="preserve"> </w:t>
            </w:r>
            <w:r w:rsidR="00BE277E" w:rsidRPr="00FF759A">
              <w:rPr>
                <w:sz w:val="26"/>
                <w:szCs w:val="26"/>
                <w:lang w:val="lv-LV"/>
              </w:rPr>
              <w:t>sabiedrība “</w:t>
            </w:r>
            <w:proofErr w:type="spellStart"/>
            <w:r w:rsidR="00BE277E" w:rsidRPr="00FF759A">
              <w:rPr>
                <w:sz w:val="26"/>
                <w:szCs w:val="26"/>
                <w:lang w:val="lv-LV"/>
              </w:rPr>
              <w:t>Altum</w:t>
            </w:r>
            <w:proofErr w:type="spellEnd"/>
            <w:r w:rsidR="00BE277E" w:rsidRPr="00FF759A">
              <w:rPr>
                <w:sz w:val="26"/>
                <w:szCs w:val="26"/>
                <w:lang w:val="lv-LV"/>
              </w:rPr>
              <w:t xml:space="preserve">” ir noslēgusi līgumu ar </w:t>
            </w:r>
            <w:r w:rsidR="006B4CD6" w:rsidRPr="00FF759A">
              <w:rPr>
                <w:sz w:val="26"/>
                <w:szCs w:val="26"/>
                <w:lang w:val="lv-LV"/>
              </w:rPr>
              <w:t>EIF par COSME garantiju (</w:t>
            </w:r>
            <w:hyperlink r:id="rId11" w:history="1">
              <w:r w:rsidR="006B4CD6" w:rsidRPr="00FF759A">
                <w:rPr>
                  <w:rStyle w:val="Hyperlink"/>
                  <w:sz w:val="26"/>
                  <w:szCs w:val="26"/>
                  <w:lang w:val="lv-LV"/>
                </w:rPr>
                <w:t>https://www.altum.lv/lv/pakalpojumi/es-investiciju-plans/cosme-garantija-maziem-un-videjiem-uznemumiem/</w:t>
              </w:r>
            </w:hyperlink>
            <w:r w:rsidR="006B4CD6" w:rsidRPr="00FF759A">
              <w:rPr>
                <w:sz w:val="26"/>
                <w:szCs w:val="26"/>
                <w:lang w:val="lv-LV"/>
              </w:rPr>
              <w:t xml:space="preserve">), taču ar </w:t>
            </w:r>
            <w:r w:rsidR="00DE02C9" w:rsidRPr="00FF759A">
              <w:rPr>
                <w:sz w:val="26"/>
                <w:szCs w:val="26"/>
                <w:lang w:val="lv-LV"/>
              </w:rPr>
              <w:t xml:space="preserve">COSME </w:t>
            </w:r>
            <w:r w:rsidR="006B4CD6" w:rsidRPr="00FF759A">
              <w:rPr>
                <w:sz w:val="26"/>
                <w:szCs w:val="26"/>
                <w:lang w:val="lv-LV"/>
              </w:rPr>
              <w:t>garantij</w:t>
            </w:r>
            <w:r w:rsidR="00DE02C9" w:rsidRPr="00FF759A">
              <w:rPr>
                <w:sz w:val="26"/>
                <w:szCs w:val="26"/>
                <w:lang w:val="lv-LV"/>
              </w:rPr>
              <w:t xml:space="preserve">a </w:t>
            </w:r>
            <w:r w:rsidR="006B4CD6" w:rsidRPr="00FF759A">
              <w:rPr>
                <w:sz w:val="26"/>
                <w:szCs w:val="26"/>
                <w:lang w:val="lv-LV"/>
              </w:rPr>
              <w:t xml:space="preserve">50% un ierobežotās garantijas likmi aizdevumu bez nodrošinājuma virs 25 000 EUR iespējams izsniegt tikai atsevišķos gadījumos </w:t>
            </w:r>
            <w:r w:rsidR="003E241E" w:rsidRPr="00FF759A">
              <w:rPr>
                <w:sz w:val="26"/>
                <w:szCs w:val="26"/>
                <w:lang w:val="lv-LV"/>
              </w:rPr>
              <w:t xml:space="preserve">(esoša naudas plūsma, darbojas 4-5 gadus, aktīvu vērtējums utt.) vai atsevišķos gadījumos, kad garantēti piegāžu līgumi vai citi riskus mazinoši faktori. </w:t>
            </w:r>
            <w:proofErr w:type="spellStart"/>
            <w:r w:rsidR="003E241E" w:rsidRPr="00FF759A">
              <w:rPr>
                <w:sz w:val="26"/>
                <w:szCs w:val="26"/>
                <w:lang w:val="lv-LV"/>
              </w:rPr>
              <w:t>Apakšprodukta</w:t>
            </w:r>
            <w:proofErr w:type="spellEnd"/>
            <w:r w:rsidR="003E241E" w:rsidRPr="00FF759A">
              <w:rPr>
                <w:sz w:val="26"/>
                <w:szCs w:val="26"/>
                <w:lang w:val="lv-LV"/>
              </w:rPr>
              <w:t xml:space="preserve"> </w:t>
            </w:r>
            <w:r w:rsidR="00DE02C9" w:rsidRPr="00FF759A">
              <w:rPr>
                <w:sz w:val="26"/>
                <w:szCs w:val="26"/>
                <w:lang w:val="lv-LV"/>
              </w:rPr>
              <w:t xml:space="preserve">programmas rādītāju novērtējumam </w:t>
            </w:r>
            <w:r w:rsidR="003E241E" w:rsidRPr="00FF759A">
              <w:rPr>
                <w:sz w:val="26"/>
                <w:szCs w:val="26"/>
                <w:lang w:val="lv-LV"/>
              </w:rPr>
              <w:t xml:space="preserve">paredzēts, ka aizdevumus arī virs 25 000 </w:t>
            </w:r>
            <w:proofErr w:type="spellStart"/>
            <w:r w:rsidR="003E241E" w:rsidRPr="00FF759A">
              <w:rPr>
                <w:sz w:val="26"/>
                <w:szCs w:val="26"/>
                <w:lang w:val="lv-LV"/>
              </w:rPr>
              <w:t>Eur</w:t>
            </w:r>
            <w:proofErr w:type="spellEnd"/>
            <w:r w:rsidR="003E241E" w:rsidRPr="00FF759A">
              <w:rPr>
                <w:sz w:val="26"/>
                <w:szCs w:val="26"/>
                <w:lang w:val="lv-LV"/>
              </w:rPr>
              <w:t xml:space="preserve"> varēs izsniegt bez nodrošinājuma</w:t>
            </w:r>
            <w:r w:rsidR="00BE277E" w:rsidRPr="00FF759A">
              <w:rPr>
                <w:sz w:val="26"/>
                <w:szCs w:val="26"/>
                <w:lang w:val="lv-LV"/>
              </w:rPr>
              <w:t>;</w:t>
            </w:r>
          </w:p>
          <w:p w14:paraId="58216543" w14:textId="21331377" w:rsidR="00E34B78" w:rsidRPr="00FF759A" w:rsidRDefault="00A06120" w:rsidP="006C5402">
            <w:pPr>
              <w:pStyle w:val="ListParagraph"/>
              <w:numPr>
                <w:ilvl w:val="0"/>
                <w:numId w:val="29"/>
              </w:numPr>
              <w:jc w:val="both"/>
              <w:rPr>
                <w:sz w:val="26"/>
                <w:szCs w:val="26"/>
                <w:lang w:val="lv-LV"/>
              </w:rPr>
            </w:pPr>
            <w:r w:rsidRPr="00FF759A">
              <w:rPr>
                <w:sz w:val="26"/>
                <w:szCs w:val="26"/>
                <w:lang w:val="lv-LV"/>
              </w:rPr>
              <w:lastRenderedPageBreak/>
              <w:t>pamatsummas atmaks</w:t>
            </w:r>
            <w:r w:rsidR="00E34B78" w:rsidRPr="00FF759A">
              <w:rPr>
                <w:sz w:val="26"/>
                <w:szCs w:val="26"/>
                <w:lang w:val="lv-LV"/>
              </w:rPr>
              <w:t>as</w:t>
            </w:r>
            <w:r w:rsidRPr="00FF759A">
              <w:rPr>
                <w:sz w:val="26"/>
                <w:szCs w:val="26"/>
                <w:lang w:val="lv-LV"/>
              </w:rPr>
              <w:t xml:space="preserve"> </w:t>
            </w:r>
            <w:r w:rsidR="00E34B78" w:rsidRPr="00FF759A">
              <w:rPr>
                <w:sz w:val="26"/>
                <w:szCs w:val="26"/>
                <w:lang w:val="lv-LV"/>
              </w:rPr>
              <w:t xml:space="preserve">uzsākšanu </w:t>
            </w:r>
            <w:r w:rsidRPr="00FF759A">
              <w:rPr>
                <w:sz w:val="26"/>
                <w:szCs w:val="26"/>
                <w:lang w:val="lv-LV"/>
              </w:rPr>
              <w:t>būs iespējams atlikt uz garāku termiņu</w:t>
            </w:r>
            <w:r w:rsidR="00E34B78" w:rsidRPr="00FF759A">
              <w:rPr>
                <w:sz w:val="26"/>
                <w:szCs w:val="26"/>
                <w:lang w:val="lv-LV"/>
              </w:rPr>
              <w:t xml:space="preserve">. Standarta prakse aizdevuma atmaksu ir atlikt projekta īstenošanas laikā. </w:t>
            </w:r>
            <w:proofErr w:type="spellStart"/>
            <w:r w:rsidR="00E34B78" w:rsidRPr="00FF759A">
              <w:rPr>
                <w:sz w:val="26"/>
                <w:szCs w:val="26"/>
                <w:lang w:val="lv-LV"/>
              </w:rPr>
              <w:t>Apakšproduktam</w:t>
            </w:r>
            <w:proofErr w:type="spellEnd"/>
            <w:r w:rsidR="00E34B78" w:rsidRPr="00FF759A">
              <w:rPr>
                <w:sz w:val="26"/>
                <w:szCs w:val="26"/>
                <w:lang w:val="lv-LV"/>
              </w:rPr>
              <w:t xml:space="preserve"> paredzētais finansējums ļaus aizdevuma pamatsumma</w:t>
            </w:r>
            <w:r w:rsidR="00DE02C9" w:rsidRPr="00FF759A">
              <w:rPr>
                <w:sz w:val="26"/>
                <w:szCs w:val="26"/>
                <w:lang w:val="lv-LV"/>
              </w:rPr>
              <w:t>s</w:t>
            </w:r>
            <w:r w:rsidR="00E34B78" w:rsidRPr="00FF759A">
              <w:rPr>
                <w:sz w:val="26"/>
                <w:szCs w:val="26"/>
                <w:lang w:val="lv-LV"/>
              </w:rPr>
              <w:t xml:space="preserve"> atmaksas uzsākšanu </w:t>
            </w:r>
            <w:r w:rsidR="00DE02C9" w:rsidRPr="00FF759A">
              <w:rPr>
                <w:sz w:val="26"/>
                <w:szCs w:val="26"/>
                <w:lang w:val="lv-LV"/>
              </w:rPr>
              <w:t xml:space="preserve">atsevišķos gadījumos </w:t>
            </w:r>
            <w:r w:rsidR="00E34B78" w:rsidRPr="00FF759A">
              <w:rPr>
                <w:sz w:val="26"/>
                <w:szCs w:val="26"/>
                <w:lang w:val="lv-LV"/>
              </w:rPr>
              <w:t xml:space="preserve">atlikt </w:t>
            </w:r>
            <w:r w:rsidR="00DE02C9" w:rsidRPr="00FF759A">
              <w:rPr>
                <w:sz w:val="26"/>
                <w:szCs w:val="26"/>
                <w:lang w:val="lv-LV"/>
              </w:rPr>
              <w:t xml:space="preserve">uz </w:t>
            </w:r>
            <w:r w:rsidR="00E34B78" w:rsidRPr="00FF759A">
              <w:rPr>
                <w:sz w:val="26"/>
                <w:szCs w:val="26"/>
                <w:lang w:val="lv-LV"/>
              </w:rPr>
              <w:t>garāk</w:t>
            </w:r>
            <w:r w:rsidR="00DE02C9" w:rsidRPr="00FF759A">
              <w:rPr>
                <w:sz w:val="26"/>
                <w:szCs w:val="26"/>
                <w:lang w:val="lv-LV"/>
              </w:rPr>
              <w:t>u</w:t>
            </w:r>
            <w:r w:rsidR="00E34B78" w:rsidRPr="00FF759A">
              <w:rPr>
                <w:sz w:val="26"/>
                <w:szCs w:val="26"/>
                <w:lang w:val="lv-LV"/>
              </w:rPr>
              <w:t xml:space="preserve"> termiņ</w:t>
            </w:r>
            <w:r w:rsidR="00DE02C9" w:rsidRPr="00FF759A">
              <w:rPr>
                <w:sz w:val="26"/>
                <w:szCs w:val="26"/>
                <w:lang w:val="lv-LV"/>
              </w:rPr>
              <w:t>u</w:t>
            </w:r>
            <w:r w:rsidR="00E34B78" w:rsidRPr="00FF759A">
              <w:rPr>
                <w:sz w:val="26"/>
                <w:szCs w:val="26"/>
                <w:lang w:val="lv-LV"/>
              </w:rPr>
              <w:t>, piemēram,  līdz pasūtījuma realizācijai vai piegādes līguma noslēgšanai;</w:t>
            </w:r>
          </w:p>
          <w:p w14:paraId="7814C123" w14:textId="3F7E7999" w:rsidR="00E34B78" w:rsidRPr="00FF759A" w:rsidRDefault="00E34B78" w:rsidP="006C5402">
            <w:pPr>
              <w:pStyle w:val="ListParagraph"/>
              <w:numPr>
                <w:ilvl w:val="0"/>
                <w:numId w:val="29"/>
              </w:numPr>
              <w:jc w:val="both"/>
              <w:rPr>
                <w:sz w:val="26"/>
                <w:szCs w:val="26"/>
                <w:lang w:val="lv-LV"/>
              </w:rPr>
            </w:pPr>
            <w:r w:rsidRPr="00FF759A">
              <w:rPr>
                <w:sz w:val="26"/>
                <w:szCs w:val="26"/>
                <w:lang w:val="lv-LV"/>
              </w:rPr>
              <w:t xml:space="preserve">samazinātas pašu dalības prasības. Saskaņā ar MK noteikumu 34.punktu: </w:t>
            </w:r>
            <w:r w:rsidRPr="00FF759A">
              <w:rPr>
                <w:i/>
                <w:iCs/>
                <w:sz w:val="26"/>
                <w:szCs w:val="26"/>
                <w:lang w:val="lv-LV"/>
              </w:rPr>
              <w:t>Ja starta aizdevuma summa (atkārtota aizdevuma gadījumā – starta aizdevumu kopsumma) ir lielāka par 7000 euro, saimnieciskās darbības veicējs nodrošina līdzfinansējumu sava biznesa projekta īstenošanai vismaz 10 % apmērā no pieteikumā paredzētās projekta summas</w:t>
            </w:r>
            <w:r w:rsidRPr="00FF759A">
              <w:rPr>
                <w:sz w:val="26"/>
                <w:szCs w:val="26"/>
                <w:lang w:val="lv-LV"/>
              </w:rPr>
              <w:t xml:space="preserve">. Minētā ir minimālā līdzfinansējuma summa, taču atkarībā no aizdevuma nozares un projekta riska tā var sasniegt līdz 30%, īpaši IKT nozarēs, kur bieži aizņēmējiem ir salīdzinoši maz pamatlīdzekļi. Minēto nodrošinājuma apmēru nav iespējams nodrošināt </w:t>
            </w:r>
            <w:r w:rsidR="00541359" w:rsidRPr="00FF759A">
              <w:rPr>
                <w:sz w:val="26"/>
                <w:szCs w:val="26"/>
                <w:lang w:val="lv-LV"/>
              </w:rPr>
              <w:t>saimnieciskās darbības uzsācējiem, tādēļ publiskais finansējums ļaus samazināt nepieciešamā līdzfinansējuma apmēru līdz MK noteikumos noteiktajam minimālajam apmēram.</w:t>
            </w:r>
          </w:p>
          <w:p w14:paraId="4E0E72A0" w14:textId="45EC7C8E" w:rsidR="00BE277E" w:rsidRPr="005C23F6" w:rsidRDefault="00541359" w:rsidP="006C5402">
            <w:pPr>
              <w:jc w:val="both"/>
              <w:rPr>
                <w:sz w:val="26"/>
                <w:szCs w:val="26"/>
                <w:lang w:val="lv-LV"/>
              </w:rPr>
            </w:pPr>
            <w:r w:rsidRPr="005C23F6">
              <w:rPr>
                <w:sz w:val="26"/>
                <w:szCs w:val="26"/>
                <w:lang w:val="lv-LV"/>
              </w:rPr>
              <w:t xml:space="preserve">Šādiem </w:t>
            </w:r>
            <w:r w:rsidR="00E34B78" w:rsidRPr="005C23F6">
              <w:rPr>
                <w:sz w:val="26"/>
                <w:szCs w:val="26"/>
                <w:lang w:val="lv-LV"/>
              </w:rPr>
              <w:t xml:space="preserve">aizdevumiem arī </w:t>
            </w:r>
            <w:r w:rsidR="00A06120" w:rsidRPr="005C23F6">
              <w:rPr>
                <w:sz w:val="26"/>
                <w:szCs w:val="26"/>
                <w:lang w:val="lv-LV"/>
              </w:rPr>
              <w:t>augstāk</w:t>
            </w:r>
            <w:r w:rsidR="00E34B78" w:rsidRPr="005C23F6">
              <w:rPr>
                <w:sz w:val="26"/>
                <w:szCs w:val="26"/>
                <w:lang w:val="lv-LV"/>
              </w:rPr>
              <w:t>a</w:t>
            </w:r>
            <w:r w:rsidR="00A06120" w:rsidRPr="005C23F6">
              <w:rPr>
                <w:sz w:val="26"/>
                <w:szCs w:val="26"/>
                <w:lang w:val="lv-LV"/>
              </w:rPr>
              <w:t xml:space="preserve"> būs aizdevuma procentu likme, kas </w:t>
            </w:r>
            <w:r w:rsidR="00E34B78" w:rsidRPr="005C23F6">
              <w:rPr>
                <w:sz w:val="26"/>
                <w:szCs w:val="26"/>
                <w:lang w:val="lv-LV"/>
              </w:rPr>
              <w:t xml:space="preserve">atsevišķos gadījumos </w:t>
            </w:r>
            <w:r w:rsidR="00A06120" w:rsidRPr="005C23F6">
              <w:rPr>
                <w:sz w:val="26"/>
                <w:szCs w:val="26"/>
                <w:lang w:val="lv-LV"/>
              </w:rPr>
              <w:t xml:space="preserve">pārsniegs </w:t>
            </w:r>
            <w:r w:rsidR="00E34B78" w:rsidRPr="005C23F6">
              <w:rPr>
                <w:sz w:val="26"/>
                <w:szCs w:val="26"/>
                <w:lang w:val="lv-LV"/>
              </w:rPr>
              <w:t xml:space="preserve">arī </w:t>
            </w:r>
            <w:r w:rsidR="00A06120" w:rsidRPr="005C23F6">
              <w:rPr>
                <w:sz w:val="26"/>
                <w:szCs w:val="26"/>
                <w:lang w:val="lv-LV"/>
              </w:rPr>
              <w:t xml:space="preserve">10%. </w:t>
            </w:r>
            <w:r w:rsidR="002C2A54" w:rsidRPr="005C23F6">
              <w:rPr>
                <w:sz w:val="26"/>
                <w:szCs w:val="26"/>
                <w:lang w:val="lv-LV"/>
              </w:rPr>
              <w:t xml:space="preserve">Sabiedrība </w:t>
            </w:r>
            <w:r w:rsidR="00891085" w:rsidRPr="005C23F6">
              <w:rPr>
                <w:sz w:val="26"/>
                <w:szCs w:val="26"/>
                <w:lang w:val="lv-LV"/>
              </w:rPr>
              <w:t>“</w:t>
            </w:r>
            <w:proofErr w:type="spellStart"/>
            <w:r w:rsidR="00A06120" w:rsidRPr="005C23F6">
              <w:rPr>
                <w:sz w:val="26"/>
                <w:szCs w:val="26"/>
                <w:lang w:val="lv-LV"/>
              </w:rPr>
              <w:t>A</w:t>
            </w:r>
            <w:r w:rsidR="00891085" w:rsidRPr="005C23F6">
              <w:rPr>
                <w:sz w:val="26"/>
                <w:szCs w:val="26"/>
                <w:lang w:val="lv-LV"/>
              </w:rPr>
              <w:t>ltum</w:t>
            </w:r>
            <w:proofErr w:type="spellEnd"/>
            <w:r w:rsidR="00891085" w:rsidRPr="005C23F6">
              <w:rPr>
                <w:sz w:val="26"/>
                <w:szCs w:val="26"/>
                <w:lang w:val="lv-LV"/>
              </w:rPr>
              <w:t>”</w:t>
            </w:r>
            <w:r w:rsidR="00A06120" w:rsidRPr="005C23F6">
              <w:rPr>
                <w:sz w:val="26"/>
                <w:szCs w:val="26"/>
                <w:lang w:val="lv-LV"/>
              </w:rPr>
              <w:t xml:space="preserve"> varēs finansēt arī ārvalstu uzņēmumu filiāles </w:t>
            </w:r>
            <w:r w:rsidR="00F859FA" w:rsidRPr="005C23F6">
              <w:rPr>
                <w:sz w:val="26"/>
                <w:szCs w:val="26"/>
                <w:lang w:val="lv-LV"/>
              </w:rPr>
              <w:t xml:space="preserve">Latvijā. </w:t>
            </w:r>
          </w:p>
          <w:p w14:paraId="1A075955" w14:textId="40D532E6" w:rsidR="00A06120" w:rsidRPr="005C23F6" w:rsidRDefault="00A06120" w:rsidP="006C5402">
            <w:pPr>
              <w:jc w:val="both"/>
              <w:rPr>
                <w:sz w:val="26"/>
                <w:szCs w:val="26"/>
                <w:lang w:val="lv-LV"/>
              </w:rPr>
            </w:pPr>
            <w:r w:rsidRPr="005C23F6">
              <w:rPr>
                <w:sz w:val="26"/>
                <w:szCs w:val="26"/>
                <w:lang w:val="lv-LV"/>
              </w:rPr>
              <w:t xml:space="preserve">Pilotprojektā plānots finansēt līdz 10 projektiem gadā. Augstā riska dēļ vairāk kā 50% aizdevumu pieteikumu tiks noraidīti, bet sagaidāmie zaudējumi var sasniegt sēklas, akcelerācijas investīciju līmeni (zaudējumus segs publiskais finansējums). Lai </w:t>
            </w:r>
            <w:r w:rsidR="008520B9" w:rsidRPr="005C23F6">
              <w:rPr>
                <w:sz w:val="26"/>
                <w:szCs w:val="26"/>
                <w:lang w:val="lv-LV"/>
              </w:rPr>
              <w:t xml:space="preserve">dalītu </w:t>
            </w:r>
            <w:r w:rsidRPr="005C23F6">
              <w:rPr>
                <w:sz w:val="26"/>
                <w:szCs w:val="26"/>
                <w:lang w:val="lv-LV"/>
              </w:rPr>
              <w:t xml:space="preserve">riskus, </w:t>
            </w:r>
            <w:r w:rsidR="002C2A54" w:rsidRPr="005C23F6">
              <w:rPr>
                <w:sz w:val="26"/>
                <w:szCs w:val="26"/>
                <w:lang w:val="lv-LV"/>
              </w:rPr>
              <w:t xml:space="preserve">sabiedrība </w:t>
            </w:r>
            <w:r w:rsidR="00891085" w:rsidRPr="005C23F6">
              <w:rPr>
                <w:sz w:val="26"/>
                <w:szCs w:val="26"/>
                <w:lang w:val="lv-LV"/>
              </w:rPr>
              <w:t>“</w:t>
            </w:r>
            <w:proofErr w:type="spellStart"/>
            <w:r w:rsidR="002C2A54" w:rsidRPr="005C23F6">
              <w:rPr>
                <w:sz w:val="26"/>
                <w:szCs w:val="26"/>
                <w:lang w:val="lv-LV"/>
              </w:rPr>
              <w:t>A</w:t>
            </w:r>
            <w:r w:rsidR="00891085" w:rsidRPr="005C23F6">
              <w:rPr>
                <w:sz w:val="26"/>
                <w:szCs w:val="26"/>
                <w:lang w:val="lv-LV"/>
              </w:rPr>
              <w:t>ltum</w:t>
            </w:r>
            <w:proofErr w:type="spellEnd"/>
            <w:r w:rsidR="00891085" w:rsidRPr="005C23F6">
              <w:rPr>
                <w:sz w:val="26"/>
                <w:szCs w:val="26"/>
                <w:lang w:val="lv-LV"/>
              </w:rPr>
              <w:t>”</w:t>
            </w:r>
            <w:r w:rsidR="002C2A54" w:rsidRPr="005C23F6">
              <w:rPr>
                <w:sz w:val="26"/>
                <w:szCs w:val="26"/>
                <w:lang w:val="lv-LV"/>
              </w:rPr>
              <w:t xml:space="preserve"> </w:t>
            </w:r>
            <w:r w:rsidRPr="005C23F6">
              <w:rPr>
                <w:sz w:val="26"/>
                <w:szCs w:val="26"/>
                <w:lang w:val="lv-LV"/>
              </w:rPr>
              <w:t xml:space="preserve">izvērtēs iespēju piesaistīt Eiropas Investīciju fonda </w:t>
            </w:r>
            <w:r w:rsidRPr="005C23F6">
              <w:rPr>
                <w:i/>
                <w:iCs/>
                <w:sz w:val="26"/>
                <w:szCs w:val="26"/>
                <w:lang w:val="lv-LV"/>
              </w:rPr>
              <w:t xml:space="preserve">COSME LGF </w:t>
            </w:r>
            <w:proofErr w:type="spellStart"/>
            <w:r w:rsidRPr="005C23F6">
              <w:rPr>
                <w:i/>
                <w:iCs/>
                <w:sz w:val="26"/>
                <w:szCs w:val="26"/>
                <w:lang w:val="lv-LV"/>
              </w:rPr>
              <w:t>Digitalisation</w:t>
            </w:r>
            <w:proofErr w:type="spellEnd"/>
            <w:r w:rsidRPr="005C23F6">
              <w:rPr>
                <w:i/>
                <w:iCs/>
                <w:sz w:val="26"/>
                <w:szCs w:val="26"/>
                <w:lang w:val="lv-LV"/>
              </w:rPr>
              <w:t xml:space="preserve"> Pilot </w:t>
            </w:r>
            <w:proofErr w:type="spellStart"/>
            <w:r w:rsidRPr="005C23F6">
              <w:rPr>
                <w:i/>
                <w:iCs/>
                <w:sz w:val="26"/>
                <w:szCs w:val="26"/>
                <w:lang w:val="lv-LV"/>
              </w:rPr>
              <w:t>pretgarantiju</w:t>
            </w:r>
            <w:proofErr w:type="spellEnd"/>
            <w:r w:rsidRPr="005C23F6">
              <w:rPr>
                <w:sz w:val="26"/>
                <w:szCs w:val="26"/>
                <w:lang w:val="lv-LV"/>
              </w:rPr>
              <w:t xml:space="preserve">. </w:t>
            </w:r>
          </w:p>
          <w:p w14:paraId="26FADCCF" w14:textId="22252AAE" w:rsidR="00A06120" w:rsidRPr="005C23F6" w:rsidRDefault="00A06120" w:rsidP="006C5402">
            <w:pPr>
              <w:jc w:val="both"/>
              <w:rPr>
                <w:sz w:val="26"/>
                <w:szCs w:val="26"/>
                <w:lang w:val="lv-LV"/>
              </w:rPr>
            </w:pPr>
            <w:r w:rsidRPr="005C23F6">
              <w:rPr>
                <w:sz w:val="26"/>
                <w:szCs w:val="26"/>
                <w:lang w:val="lv-LV"/>
              </w:rPr>
              <w:t xml:space="preserve">Pilotprojekts plānots tirgus nepilnībai, kurā bankas, t.sk. </w:t>
            </w:r>
            <w:r w:rsidR="002C2A54" w:rsidRPr="005C23F6">
              <w:rPr>
                <w:sz w:val="26"/>
                <w:szCs w:val="26"/>
                <w:lang w:val="lv-LV"/>
              </w:rPr>
              <w:t xml:space="preserve">sabiedrība </w:t>
            </w:r>
            <w:r w:rsidR="00891085" w:rsidRPr="005C23F6">
              <w:rPr>
                <w:sz w:val="26"/>
                <w:szCs w:val="26"/>
                <w:lang w:val="lv-LV"/>
              </w:rPr>
              <w:t>“</w:t>
            </w:r>
            <w:proofErr w:type="spellStart"/>
            <w:r w:rsidR="00891085" w:rsidRPr="005C23F6">
              <w:rPr>
                <w:sz w:val="26"/>
                <w:szCs w:val="26"/>
                <w:lang w:val="lv-LV"/>
              </w:rPr>
              <w:t>Altum</w:t>
            </w:r>
            <w:proofErr w:type="spellEnd"/>
            <w:r w:rsidR="00891085" w:rsidRPr="005C23F6">
              <w:rPr>
                <w:sz w:val="26"/>
                <w:szCs w:val="26"/>
                <w:lang w:val="lv-LV"/>
              </w:rPr>
              <w:t>”</w:t>
            </w:r>
            <w:r w:rsidRPr="005C23F6">
              <w:rPr>
                <w:sz w:val="26"/>
                <w:szCs w:val="26"/>
                <w:lang w:val="lv-LV"/>
              </w:rPr>
              <w:t xml:space="preserve"> nav gatavas finansēt projektu zemā nodrošinājuma un nepietiekamas </w:t>
            </w:r>
            <w:proofErr w:type="spellStart"/>
            <w:r w:rsidRPr="005C23F6">
              <w:rPr>
                <w:sz w:val="26"/>
                <w:szCs w:val="26"/>
                <w:lang w:val="lv-LV"/>
              </w:rPr>
              <w:t>kredītvēstures</w:t>
            </w:r>
            <w:proofErr w:type="spellEnd"/>
            <w:r w:rsidRPr="005C23F6">
              <w:rPr>
                <w:sz w:val="26"/>
                <w:szCs w:val="26"/>
                <w:lang w:val="lv-LV"/>
              </w:rPr>
              <w:t xml:space="preserve"> dēļ, bet riska kapitāla investīcijas vēl nav lietderīgi veikt zemās uzņēmuma vērtības dēļ vai arī uzņēmums attīstās starp dažādām investīciju fāzēm, savukārt, biznesa eņģeļu investīcijas Latvijā šādiem uzņēmumiem pieejamas mazākā apjomā.</w:t>
            </w:r>
          </w:p>
          <w:p w14:paraId="0ECFB64E" w14:textId="77777777" w:rsidR="00DF0BB3" w:rsidRPr="005C23F6" w:rsidRDefault="00A06120" w:rsidP="006C5402">
            <w:pPr>
              <w:jc w:val="both"/>
              <w:rPr>
                <w:sz w:val="26"/>
                <w:szCs w:val="26"/>
                <w:lang w:val="lv-LV"/>
              </w:rPr>
            </w:pPr>
            <w:r w:rsidRPr="005C23F6">
              <w:rPr>
                <w:sz w:val="26"/>
                <w:szCs w:val="26"/>
                <w:lang w:val="lv-LV"/>
              </w:rPr>
              <w:t>Pilotprojekta rezultātus Ekonomikas ministrija izmantos 2021.-2027.gada ES fondu plānošanas perioda programmu izstrādei, kad plānots būtiski palielināt atbalstu inovatīviem uzņēmumiem finanšu instrumentu veidā.</w:t>
            </w:r>
            <w:r w:rsidR="00534D4D" w:rsidRPr="005C23F6">
              <w:rPr>
                <w:sz w:val="26"/>
                <w:szCs w:val="26"/>
                <w:lang w:val="lv-LV"/>
              </w:rPr>
              <w:t xml:space="preserve"> </w:t>
            </w:r>
          </w:p>
          <w:p w14:paraId="55660AE7" w14:textId="2927ADA6" w:rsidR="00A91E07" w:rsidRPr="005C23F6" w:rsidRDefault="00EC3D51" w:rsidP="006C5402">
            <w:pPr>
              <w:jc w:val="both"/>
              <w:rPr>
                <w:sz w:val="26"/>
                <w:szCs w:val="26"/>
                <w:lang w:val="lv-LV"/>
              </w:rPr>
            </w:pPr>
            <w:r w:rsidRPr="005C23F6">
              <w:rPr>
                <w:sz w:val="26"/>
                <w:szCs w:val="26"/>
                <w:lang w:val="lv-LV"/>
              </w:rPr>
              <w:t>Plānotie grozījumi neietekmēs personas, kuras jau ir saņēmušas atbalstu</w:t>
            </w:r>
            <w:r w:rsidR="00D8180A" w:rsidRPr="005C23F6">
              <w:rPr>
                <w:sz w:val="26"/>
                <w:szCs w:val="26"/>
                <w:lang w:val="lv-LV"/>
              </w:rPr>
              <w:t>, līdz ar to grozījumi ir saskaņā ar tiesiskās paļāvības principu.</w:t>
            </w:r>
            <w:r w:rsidRPr="005C23F6">
              <w:rPr>
                <w:sz w:val="26"/>
                <w:szCs w:val="26"/>
                <w:lang w:val="lv-LV"/>
              </w:rPr>
              <w:t xml:space="preserve"> </w:t>
            </w:r>
            <w:r w:rsidR="00D8180A" w:rsidRPr="005C23F6">
              <w:rPr>
                <w:sz w:val="26"/>
                <w:szCs w:val="26"/>
                <w:lang w:val="lv-LV"/>
              </w:rPr>
              <w:t>Turklāt</w:t>
            </w:r>
            <w:r w:rsidRPr="005C23F6">
              <w:rPr>
                <w:sz w:val="26"/>
                <w:szCs w:val="26"/>
                <w:lang w:val="lv-LV"/>
              </w:rPr>
              <w:t xml:space="preserve"> plānotie grozījumi ir labvēlīgi potenciālajiem atbalsta saņēmējiem un tie paredz atvieglot atbalsta saņemšanas </w:t>
            </w:r>
            <w:r w:rsidRPr="005C23F6">
              <w:rPr>
                <w:sz w:val="26"/>
                <w:szCs w:val="26"/>
                <w:lang w:val="lv-LV"/>
              </w:rPr>
              <w:lastRenderedPageBreak/>
              <w:t>nosacījumus kā arī paredz, ka atbalstu varēs saņemt plašāks atbalsta saņēmēju loks</w:t>
            </w:r>
            <w:r w:rsidR="00A91E07" w:rsidRPr="005C23F6">
              <w:rPr>
                <w:sz w:val="26"/>
                <w:szCs w:val="26"/>
                <w:lang w:val="lv-LV"/>
              </w:rPr>
              <w:t>.</w:t>
            </w:r>
          </w:p>
          <w:p w14:paraId="7D8186D4" w14:textId="557A5330" w:rsidR="002C7C30" w:rsidRPr="005C23F6" w:rsidRDefault="00367A53" w:rsidP="006C5402">
            <w:pPr>
              <w:pStyle w:val="tv213"/>
              <w:spacing w:before="0" w:beforeAutospacing="0" w:after="0" w:afterAutospacing="0" w:line="293" w:lineRule="atLeast"/>
              <w:jc w:val="both"/>
              <w:rPr>
                <w:sz w:val="26"/>
                <w:szCs w:val="26"/>
              </w:rPr>
            </w:pPr>
            <w:bookmarkStart w:id="8" w:name="_Hlk43452466"/>
            <w:bookmarkStart w:id="9" w:name="_Hlk43454764"/>
            <w:r w:rsidRPr="005C23F6">
              <w:rPr>
                <w:sz w:val="26"/>
                <w:szCs w:val="26"/>
              </w:rPr>
              <w:t>Noteikumu 7.1.punkts nosaka, ka atbilstības periodā vadības izmaksas tiek segtas no programmas ietvaros paredzēt</w:t>
            </w:r>
            <w:r w:rsidR="007C62B1" w:rsidRPr="005C23F6">
              <w:rPr>
                <w:sz w:val="26"/>
                <w:szCs w:val="26"/>
              </w:rPr>
              <w:t>ā</w:t>
            </w:r>
            <w:r w:rsidRPr="005C23F6">
              <w:rPr>
                <w:sz w:val="26"/>
                <w:szCs w:val="26"/>
              </w:rPr>
              <w:t xml:space="preserve"> finansējuma. Lai nodrošinātu, ka inovatīv</w:t>
            </w:r>
            <w:r w:rsidR="00EA158B" w:rsidRPr="005C23F6">
              <w:rPr>
                <w:sz w:val="26"/>
                <w:szCs w:val="26"/>
              </w:rPr>
              <w:t>ajiem aizdevumiem</w:t>
            </w:r>
            <w:r w:rsidRPr="005C23F6">
              <w:rPr>
                <w:sz w:val="26"/>
                <w:szCs w:val="26"/>
              </w:rPr>
              <w:t xml:space="preserve"> pieejamais </w:t>
            </w:r>
            <w:r w:rsidR="00EA158B" w:rsidRPr="005C23F6">
              <w:rPr>
                <w:sz w:val="26"/>
                <w:szCs w:val="26"/>
              </w:rPr>
              <w:t xml:space="preserve">ERAF </w:t>
            </w:r>
            <w:r w:rsidRPr="005C23F6">
              <w:rPr>
                <w:sz w:val="26"/>
                <w:szCs w:val="26"/>
              </w:rPr>
              <w:t xml:space="preserve">finansējums 1 milj. </w:t>
            </w:r>
            <w:r w:rsidR="00EA158B" w:rsidRPr="005C23F6">
              <w:rPr>
                <w:sz w:val="26"/>
                <w:szCs w:val="26"/>
              </w:rPr>
              <w:t xml:space="preserve">EUR </w:t>
            </w:r>
            <w:r w:rsidRPr="005C23F6">
              <w:rPr>
                <w:sz w:val="26"/>
                <w:szCs w:val="26"/>
              </w:rPr>
              <w:t>varētu tikt izmantots pilnā apmērā</w:t>
            </w:r>
            <w:r w:rsidR="002C7C30" w:rsidRPr="005C23F6">
              <w:rPr>
                <w:sz w:val="26"/>
                <w:szCs w:val="26"/>
              </w:rPr>
              <w:t xml:space="preserve"> aizdevumu izsniegšanai</w:t>
            </w:r>
            <w:r w:rsidRPr="005C23F6">
              <w:rPr>
                <w:sz w:val="26"/>
                <w:szCs w:val="26"/>
              </w:rPr>
              <w:t>, noteikumu projekts paredz papildināt noteikumus ar 7.3.punktu, nosakot, ka</w:t>
            </w:r>
            <w:r w:rsidR="00EA158B" w:rsidRPr="005C23F6">
              <w:rPr>
                <w:sz w:val="26"/>
                <w:szCs w:val="26"/>
              </w:rPr>
              <w:t>,</w:t>
            </w:r>
            <w:r w:rsidRPr="005C23F6">
              <w:rPr>
                <w:sz w:val="26"/>
                <w:szCs w:val="26"/>
              </w:rPr>
              <w:t xml:space="preserve"> </w:t>
            </w:r>
            <w:r w:rsidR="00EA158B" w:rsidRPr="005C23F6">
              <w:rPr>
                <w:sz w:val="26"/>
                <w:szCs w:val="26"/>
              </w:rPr>
              <w:t xml:space="preserve">sākot no 2020.gada 1.jūlija </w:t>
            </w:r>
            <w:proofErr w:type="spellStart"/>
            <w:r w:rsidR="00EA158B" w:rsidRPr="005C23F6">
              <w:rPr>
                <w:sz w:val="26"/>
                <w:szCs w:val="26"/>
              </w:rPr>
              <w:t>Altum</w:t>
            </w:r>
            <w:proofErr w:type="spellEnd"/>
            <w:r w:rsidR="00EA158B" w:rsidRPr="005C23F6">
              <w:rPr>
                <w:sz w:val="26"/>
                <w:szCs w:val="26"/>
              </w:rPr>
              <w:t xml:space="preserve"> pārvaldības izmaksu segšanai tiek izmantots šā pasākuma ietvaros atmaksātais publiskais finansējums – klientu maksājumi no aizdevumiem, kuri piešķirti sākot no 2020.gada 1.jūlija.</w:t>
            </w:r>
            <w:bookmarkEnd w:id="8"/>
            <w:r w:rsidR="002C7C30" w:rsidRPr="005C23F6">
              <w:rPr>
                <w:sz w:val="26"/>
                <w:szCs w:val="26"/>
              </w:rPr>
              <w:t xml:space="preserve"> </w:t>
            </w:r>
          </w:p>
          <w:p w14:paraId="3A747B77" w14:textId="77777777" w:rsidR="00367A53" w:rsidRPr="005C23F6" w:rsidRDefault="002C7C30" w:rsidP="006C5402">
            <w:pPr>
              <w:pStyle w:val="tv213"/>
              <w:spacing w:before="0" w:beforeAutospacing="0" w:after="0" w:afterAutospacing="0" w:line="293" w:lineRule="atLeast"/>
              <w:jc w:val="both"/>
              <w:rPr>
                <w:sz w:val="26"/>
                <w:szCs w:val="26"/>
              </w:rPr>
            </w:pPr>
            <w:r w:rsidRPr="005C23F6">
              <w:rPr>
                <w:sz w:val="26"/>
                <w:szCs w:val="26"/>
              </w:rPr>
              <w:t>Aizdevumu izsniegšana no Noteikumu 5.1. punktā paredzētā ERAF finansējuma (Noteikumu 5.1.punkta finansējums) ir noslēgusies, no 2020.gada 1.jūlija no ERAF finansējuma tiks īstenots tikai minētais pilotprojekts.</w:t>
            </w:r>
            <w:bookmarkEnd w:id="9"/>
          </w:p>
          <w:p w14:paraId="06344105" w14:textId="276BDFD6" w:rsidR="00A91E07" w:rsidRPr="005C23F6" w:rsidRDefault="00A91E07" w:rsidP="006C5402">
            <w:pPr>
              <w:pStyle w:val="tv213"/>
              <w:spacing w:before="0" w:beforeAutospacing="0" w:after="0" w:afterAutospacing="0" w:line="293" w:lineRule="atLeast"/>
              <w:jc w:val="both"/>
              <w:rPr>
                <w:sz w:val="26"/>
                <w:szCs w:val="26"/>
              </w:rPr>
            </w:pPr>
            <w:r w:rsidRPr="005C23F6">
              <w:rPr>
                <w:sz w:val="26"/>
                <w:szCs w:val="26"/>
              </w:rPr>
              <w:t>Lai skaidrāk noteiktu atbalsta saņemšanas kritērijus programmas ietvaros, Noteikumu projekts paredz papildināt Noteikumu 16.punktu.</w:t>
            </w:r>
          </w:p>
          <w:p w14:paraId="7076EAE8" w14:textId="1D1EC224" w:rsidR="00213EBB" w:rsidRPr="005C23F6" w:rsidRDefault="00213EBB" w:rsidP="006C5402">
            <w:pPr>
              <w:pStyle w:val="tv213"/>
              <w:spacing w:before="0" w:beforeAutospacing="0" w:after="0" w:afterAutospacing="0" w:line="293" w:lineRule="atLeast"/>
              <w:jc w:val="both"/>
              <w:rPr>
                <w:sz w:val="26"/>
                <w:szCs w:val="26"/>
              </w:rPr>
            </w:pPr>
          </w:p>
          <w:p w14:paraId="400A9C4B" w14:textId="47F93D24" w:rsidR="00213EBB" w:rsidRPr="005C23F6" w:rsidRDefault="00213EBB" w:rsidP="006C5402">
            <w:pPr>
              <w:pStyle w:val="ListParagraph"/>
              <w:numPr>
                <w:ilvl w:val="0"/>
                <w:numId w:val="25"/>
              </w:numPr>
              <w:jc w:val="both"/>
              <w:rPr>
                <w:rFonts w:eastAsia="Times New Roman"/>
                <w:b/>
                <w:bCs/>
                <w:sz w:val="26"/>
                <w:szCs w:val="26"/>
                <w:u w:val="single"/>
                <w:lang w:val="lv-LV"/>
              </w:rPr>
            </w:pPr>
            <w:r w:rsidRPr="005C23F6">
              <w:rPr>
                <w:rFonts w:eastAsia="Times New Roman"/>
                <w:b/>
                <w:bCs/>
                <w:sz w:val="26"/>
                <w:szCs w:val="26"/>
                <w:u w:val="single"/>
                <w:lang w:val="lv-LV"/>
              </w:rPr>
              <w:t>Atbalsta apvienošanas nosacījumu precizēšana</w:t>
            </w:r>
          </w:p>
          <w:p w14:paraId="3FAB7BD9" w14:textId="35C48383" w:rsidR="00213EBB" w:rsidRPr="005C23F6" w:rsidRDefault="00213EBB" w:rsidP="006C5402">
            <w:pPr>
              <w:jc w:val="both"/>
              <w:rPr>
                <w:rFonts w:eastAsia="Times New Roman"/>
                <w:b/>
                <w:bCs/>
                <w:sz w:val="26"/>
                <w:szCs w:val="26"/>
                <w:u w:val="single"/>
                <w:lang w:val="lv-LV"/>
              </w:rPr>
            </w:pPr>
          </w:p>
          <w:p w14:paraId="4EF606BD" w14:textId="7EC30429" w:rsidR="00213EBB" w:rsidRPr="005C23F6" w:rsidRDefault="00213EBB" w:rsidP="006C5402">
            <w:pPr>
              <w:jc w:val="both"/>
              <w:rPr>
                <w:rFonts w:eastAsia="Times New Roman"/>
                <w:sz w:val="26"/>
                <w:szCs w:val="26"/>
                <w:lang w:val="lv-LV" w:eastAsia="lv-LV"/>
              </w:rPr>
            </w:pPr>
            <w:r w:rsidRPr="005C23F6">
              <w:rPr>
                <w:rFonts w:eastAsia="Times New Roman"/>
                <w:sz w:val="26"/>
                <w:szCs w:val="26"/>
                <w:lang w:val="lv-LV" w:eastAsia="lv-LV"/>
              </w:rPr>
              <w:t xml:space="preserve">Šobrīd Noteikumu 41.punkts nosaka, ka </w:t>
            </w:r>
            <w:r w:rsidR="00306246" w:rsidRPr="005C23F6">
              <w:rPr>
                <w:rFonts w:eastAsia="Times New Roman"/>
                <w:sz w:val="26"/>
                <w:szCs w:val="26"/>
                <w:lang w:val="lv-LV" w:eastAsia="lv-LV"/>
              </w:rPr>
              <w:t>atbalstu, ko sniedz Noteikumu ietvaros drīkst apvienot ar citu valsts atbalstu attiecībā uz vienām un tām pašām attiecināmajām izmaksām vai citu valsts atbalstu tam pašam riska finansējuma pasākumam, ja šīs apvienošanas rezultātā netiek pārsniegta attiecīgā maksimālā atbalsta intensitāte vai atbalsta summa, kāda noteikta valsts atbalsta programmā, atbalsta projektā vai Eiropas Komisijas lēmumā.</w:t>
            </w:r>
          </w:p>
          <w:p w14:paraId="1208F32B" w14:textId="77777777" w:rsidR="00306246" w:rsidRPr="005C23F6" w:rsidRDefault="00306246" w:rsidP="006C5402">
            <w:pPr>
              <w:jc w:val="both"/>
              <w:rPr>
                <w:rFonts w:eastAsia="Times New Roman"/>
                <w:sz w:val="26"/>
                <w:szCs w:val="26"/>
                <w:lang w:val="lv-LV" w:eastAsia="lv-LV"/>
              </w:rPr>
            </w:pPr>
            <w:r w:rsidRPr="005C23F6">
              <w:rPr>
                <w:rFonts w:eastAsia="Times New Roman"/>
                <w:sz w:val="26"/>
                <w:szCs w:val="26"/>
                <w:lang w:val="lv-LV" w:eastAsia="lv-LV"/>
              </w:rPr>
              <w:t xml:space="preserve">Lai nodrošinātos, ka atbalsta apvienošanas gadījumā sabiedrības </w:t>
            </w:r>
            <w:proofErr w:type="spellStart"/>
            <w:r w:rsidRPr="005C23F6">
              <w:rPr>
                <w:rFonts w:eastAsia="Times New Roman"/>
                <w:sz w:val="26"/>
                <w:szCs w:val="26"/>
                <w:lang w:val="lv-LV" w:eastAsia="lv-LV"/>
              </w:rPr>
              <w:t>Altum</w:t>
            </w:r>
            <w:proofErr w:type="spellEnd"/>
            <w:r w:rsidRPr="005C23F6">
              <w:rPr>
                <w:rFonts w:eastAsia="Times New Roman"/>
                <w:sz w:val="26"/>
                <w:szCs w:val="26"/>
                <w:lang w:val="lv-LV" w:eastAsia="lv-LV"/>
              </w:rPr>
              <w:t xml:space="preserve"> ir pārliecinājusies par kumulācijas normu korektu izpildi, Noteikumu projekts paredz papildināt minēto Noteikuma normu, nosakot, ka saimnieciskās darbības veicējs līdz ar pieteikumu atbalsta saņemšanai sniedz sabiedrībai </w:t>
            </w:r>
            <w:proofErr w:type="spellStart"/>
            <w:r w:rsidRPr="005C23F6">
              <w:rPr>
                <w:rFonts w:eastAsia="Times New Roman"/>
                <w:sz w:val="26"/>
                <w:szCs w:val="26"/>
                <w:lang w:val="lv-LV" w:eastAsia="lv-LV"/>
              </w:rPr>
              <w:t>Altum</w:t>
            </w:r>
            <w:proofErr w:type="spellEnd"/>
            <w:r w:rsidRPr="005C23F6">
              <w:rPr>
                <w:rFonts w:eastAsia="Times New Roman"/>
                <w:sz w:val="26"/>
                <w:szCs w:val="26"/>
                <w:lang w:val="lv-LV" w:eastAsia="lv-LV"/>
              </w:rPr>
              <w:t xml:space="preserve"> visu informāciju par plānoto un piešķirto atbalstu par tām pašām attiecināmajām izmaksām, norādot atbalsta piešķiršanas datumu, atbalsta sniedzēju, atbalsta pasākumu un plānoto/piešķirto atbalsta summu. </w:t>
            </w:r>
          </w:p>
          <w:p w14:paraId="13A0AA4E" w14:textId="0C970844" w:rsidR="00213EBB" w:rsidRPr="005C23F6" w:rsidRDefault="00306246" w:rsidP="006C5402">
            <w:pPr>
              <w:jc w:val="both"/>
              <w:rPr>
                <w:rFonts w:eastAsia="Times New Roman"/>
                <w:sz w:val="26"/>
                <w:szCs w:val="26"/>
                <w:lang w:val="lv-LV" w:eastAsia="lv-LV"/>
              </w:rPr>
            </w:pPr>
            <w:r w:rsidRPr="005C23F6">
              <w:rPr>
                <w:rFonts w:eastAsia="Times New Roman"/>
                <w:sz w:val="26"/>
                <w:szCs w:val="26"/>
                <w:lang w:val="lv-LV" w:eastAsia="lv-LV"/>
              </w:rPr>
              <w:t xml:space="preserve">Pamatojoties uz sniegto informāciju, sabiedrība </w:t>
            </w:r>
            <w:proofErr w:type="spellStart"/>
            <w:r w:rsidRPr="005C23F6">
              <w:rPr>
                <w:rFonts w:eastAsia="Times New Roman"/>
                <w:sz w:val="26"/>
                <w:szCs w:val="26"/>
                <w:lang w:val="lv-LV" w:eastAsia="lv-LV"/>
              </w:rPr>
              <w:t>Altum</w:t>
            </w:r>
            <w:proofErr w:type="spellEnd"/>
            <w:r w:rsidRPr="005C23F6">
              <w:rPr>
                <w:rFonts w:eastAsia="Times New Roman"/>
                <w:sz w:val="26"/>
                <w:szCs w:val="26"/>
                <w:lang w:val="lv-LV" w:eastAsia="lv-LV"/>
              </w:rPr>
              <w:t xml:space="preserve"> būs iespēja izvērtēt, vai tiek korekti izpildīti visi piemērojamie komercdarbības atbalsta regulējuma nosacījumi.</w:t>
            </w:r>
          </w:p>
          <w:p w14:paraId="09F04E06" w14:textId="2D7F4BC5" w:rsidR="00A91E07" w:rsidRPr="005C23F6" w:rsidRDefault="00A91E07" w:rsidP="006C5402">
            <w:pPr>
              <w:pStyle w:val="tv213"/>
              <w:spacing w:before="0" w:beforeAutospacing="0" w:after="0" w:afterAutospacing="0" w:line="293" w:lineRule="atLeast"/>
              <w:jc w:val="both"/>
              <w:rPr>
                <w:sz w:val="26"/>
                <w:szCs w:val="26"/>
              </w:rPr>
            </w:pPr>
          </w:p>
        </w:tc>
      </w:tr>
      <w:tr w:rsidR="00844176" w:rsidRPr="00C136CD" w14:paraId="41041CF1" w14:textId="77777777" w:rsidTr="0089560D">
        <w:trPr>
          <w:trHeight w:val="465"/>
        </w:trPr>
        <w:tc>
          <w:tcPr>
            <w:tcW w:w="418"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lastRenderedPageBreak/>
              <w:t>3.</w:t>
            </w:r>
          </w:p>
        </w:tc>
        <w:tc>
          <w:tcPr>
            <w:tcW w:w="1984" w:type="dxa"/>
            <w:tcBorders>
              <w:top w:val="outset" w:sz="6" w:space="0" w:color="414142"/>
              <w:left w:val="outset" w:sz="6" w:space="0" w:color="414142"/>
              <w:bottom w:val="outset" w:sz="6" w:space="0" w:color="414142"/>
              <w:right w:val="outset" w:sz="6" w:space="0" w:color="414142"/>
            </w:tcBorders>
            <w:hideMark/>
          </w:tcPr>
          <w:p w14:paraId="2F4C459C"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Projekta izstrādē iesaistītās institūcijas</w:t>
            </w:r>
          </w:p>
        </w:tc>
        <w:tc>
          <w:tcPr>
            <w:tcW w:w="6727" w:type="dxa"/>
            <w:tcBorders>
              <w:top w:val="outset" w:sz="6" w:space="0" w:color="414142"/>
              <w:left w:val="outset" w:sz="6" w:space="0" w:color="414142"/>
              <w:bottom w:val="outset" w:sz="6" w:space="0" w:color="414142"/>
              <w:right w:val="outset" w:sz="6" w:space="0" w:color="414142"/>
            </w:tcBorders>
            <w:hideMark/>
          </w:tcPr>
          <w:p w14:paraId="1C1732C9" w14:textId="0E527D80" w:rsidR="00844176" w:rsidRPr="00C136CD" w:rsidRDefault="00CE0AC5" w:rsidP="006C5402">
            <w:pPr>
              <w:spacing w:before="100" w:beforeAutospacing="1" w:after="100" w:afterAutospacing="1"/>
              <w:ind w:left="60"/>
              <w:rPr>
                <w:rFonts w:eastAsia="Times New Roman"/>
                <w:sz w:val="26"/>
                <w:szCs w:val="26"/>
                <w:lang w:val="lv-LV" w:eastAsia="lv-LV"/>
              </w:rPr>
            </w:pPr>
            <w:r w:rsidRPr="00C136CD">
              <w:rPr>
                <w:sz w:val="26"/>
                <w:szCs w:val="26"/>
                <w:lang w:val="lv-LV"/>
              </w:rPr>
              <w:t>E</w:t>
            </w:r>
            <w:r w:rsidR="00547ACF" w:rsidRPr="00C136CD">
              <w:rPr>
                <w:sz w:val="26"/>
                <w:szCs w:val="26"/>
                <w:lang w:val="lv-LV"/>
              </w:rPr>
              <w:t>konomikas ministrija</w:t>
            </w:r>
            <w:r w:rsidR="00911915">
              <w:rPr>
                <w:sz w:val="26"/>
                <w:szCs w:val="26"/>
                <w:lang w:val="lv-LV"/>
              </w:rPr>
              <w:t xml:space="preserve"> un</w:t>
            </w:r>
            <w:r w:rsidRPr="00C136CD">
              <w:rPr>
                <w:sz w:val="26"/>
                <w:szCs w:val="26"/>
                <w:lang w:val="lv-LV"/>
              </w:rPr>
              <w:t xml:space="preserve"> </w:t>
            </w:r>
            <w:r w:rsidR="00547ACF" w:rsidRPr="00C136CD">
              <w:rPr>
                <w:sz w:val="26"/>
                <w:szCs w:val="26"/>
                <w:lang w:val="lv-LV"/>
              </w:rPr>
              <w:t xml:space="preserve">akciju sabiedrība “Attīstības finanšu institūcija </w:t>
            </w:r>
            <w:proofErr w:type="spellStart"/>
            <w:r w:rsidR="00547ACF" w:rsidRPr="00C136CD">
              <w:rPr>
                <w:sz w:val="26"/>
                <w:szCs w:val="26"/>
                <w:lang w:val="lv-LV"/>
              </w:rPr>
              <w:t>Altum</w:t>
            </w:r>
            <w:proofErr w:type="spellEnd"/>
            <w:r w:rsidR="00547ACF" w:rsidRPr="00C136CD">
              <w:rPr>
                <w:sz w:val="26"/>
                <w:szCs w:val="26"/>
                <w:lang w:val="lv-LV"/>
              </w:rPr>
              <w:t>”</w:t>
            </w:r>
          </w:p>
        </w:tc>
      </w:tr>
      <w:tr w:rsidR="00844176" w:rsidRPr="00310924" w14:paraId="3C98D228" w14:textId="77777777" w:rsidTr="0089560D">
        <w:tc>
          <w:tcPr>
            <w:tcW w:w="418"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1984"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7"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Nav </w:t>
            </w:r>
          </w:p>
        </w:tc>
      </w:tr>
      <w:tr w:rsidR="00844176" w:rsidRPr="00310924" w14:paraId="5271E387" w14:textId="77777777" w:rsidTr="00871E2F">
        <w:trPr>
          <w:trHeight w:val="128"/>
        </w:trPr>
        <w:tc>
          <w:tcPr>
            <w:tcW w:w="9129" w:type="dxa"/>
            <w:gridSpan w:val="3"/>
            <w:tcBorders>
              <w:top w:val="outset" w:sz="6" w:space="0" w:color="414142"/>
              <w:left w:val="nil"/>
              <w:bottom w:val="outset" w:sz="6" w:space="0" w:color="414142"/>
              <w:right w:val="nil"/>
            </w:tcBorders>
            <w:hideMark/>
          </w:tcPr>
          <w:p w14:paraId="4DC32511" w14:textId="77777777" w:rsidR="00844176" w:rsidRPr="00C136CD" w:rsidRDefault="00844176" w:rsidP="006C5402">
            <w:pPr>
              <w:tabs>
                <w:tab w:val="left" w:pos="990"/>
              </w:tabs>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lastRenderedPageBreak/>
              <w:tab/>
            </w:r>
          </w:p>
        </w:tc>
      </w:tr>
    </w:tbl>
    <w:p w14:paraId="76329086" w14:textId="77777777" w:rsidR="00844176" w:rsidRPr="00C136CD" w:rsidRDefault="00844176" w:rsidP="006C5402">
      <w:pPr>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134"/>
        <w:gridCol w:w="6725"/>
      </w:tblGrid>
      <w:tr w:rsidR="00844176" w:rsidRPr="006F6FFA" w14:paraId="7175E08A" w14:textId="77777777" w:rsidTr="00871E2F">
        <w:trPr>
          <w:trHeight w:val="555"/>
        </w:trPr>
        <w:tc>
          <w:tcPr>
            <w:tcW w:w="9129" w:type="dxa"/>
            <w:gridSpan w:val="3"/>
            <w:tcBorders>
              <w:top w:val="nil"/>
              <w:left w:val="outset" w:sz="6" w:space="0" w:color="414142"/>
              <w:bottom w:val="outset" w:sz="6" w:space="0" w:color="414142"/>
              <w:right w:val="outset" w:sz="6" w:space="0" w:color="414142"/>
            </w:tcBorders>
            <w:hideMark/>
          </w:tcPr>
          <w:p w14:paraId="0CDF66C2" w14:textId="77777777" w:rsidR="00844176" w:rsidRPr="00C136CD" w:rsidRDefault="00844176" w:rsidP="006C5402">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II. Tiesību akta projekta ietekme uz sabiedrību, tautsaimniecības attīstību un administratīvo slogu</w:t>
            </w:r>
          </w:p>
        </w:tc>
      </w:tr>
      <w:tr w:rsidR="00844176" w:rsidRPr="006F6FFA"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134" w:type="dxa"/>
            <w:tcBorders>
              <w:top w:val="outset" w:sz="6" w:space="0" w:color="414142"/>
              <w:left w:val="outset" w:sz="6" w:space="0" w:color="414142"/>
              <w:bottom w:val="outset" w:sz="6" w:space="0" w:color="414142"/>
              <w:right w:val="outset" w:sz="6" w:space="0" w:color="414142"/>
            </w:tcBorders>
            <w:hideMark/>
          </w:tcPr>
          <w:p w14:paraId="2E14993C"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 xml:space="preserve">Sabiedrības </w:t>
            </w:r>
            <w:proofErr w:type="spellStart"/>
            <w:r w:rsidRPr="00C136CD">
              <w:rPr>
                <w:rFonts w:eastAsia="Times New Roman"/>
                <w:color w:val="000000"/>
                <w:sz w:val="26"/>
                <w:szCs w:val="26"/>
                <w:lang w:val="lv-LV" w:eastAsia="lv-LV"/>
              </w:rPr>
              <w:t>mērķgrupas</w:t>
            </w:r>
            <w:proofErr w:type="spellEnd"/>
            <w:r w:rsidRPr="00C136CD">
              <w:rPr>
                <w:rFonts w:eastAsia="Times New Roman"/>
                <w:color w:val="000000"/>
                <w:sz w:val="26"/>
                <w:szCs w:val="26"/>
                <w:lang w:val="lv-LV" w:eastAsia="lv-LV"/>
              </w:rPr>
              <w:t>,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4F4F7A72" w:rsidR="00844176" w:rsidRPr="00C136CD" w:rsidRDefault="00844176" w:rsidP="006C5402">
            <w:pPr>
              <w:pStyle w:val="BodyText"/>
              <w:ind w:left="60" w:right="201"/>
              <w:rPr>
                <w:sz w:val="26"/>
                <w:szCs w:val="26"/>
              </w:rPr>
            </w:pPr>
            <w:r w:rsidRPr="00265C6D">
              <w:rPr>
                <w:rFonts w:eastAsia="Calibri"/>
                <w:sz w:val="26"/>
                <w:szCs w:val="26"/>
                <w:lang w:eastAsia="en-US"/>
              </w:rPr>
              <w:t>Latvijā reģistrēti saimnieciskās darbības veicēji</w:t>
            </w:r>
          </w:p>
        </w:tc>
      </w:tr>
      <w:tr w:rsidR="00844176" w:rsidRPr="00C136CD"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13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265C6D" w:rsidRDefault="00844176" w:rsidP="006C5402">
            <w:pPr>
              <w:spacing w:before="100" w:beforeAutospacing="1" w:after="100" w:afterAutospacing="1"/>
              <w:ind w:left="60"/>
              <w:rPr>
                <w:sz w:val="26"/>
                <w:szCs w:val="26"/>
                <w:lang w:val="lv-LV"/>
              </w:rPr>
            </w:pPr>
            <w:r w:rsidRPr="00265C6D">
              <w:rPr>
                <w:sz w:val="26"/>
                <w:szCs w:val="26"/>
                <w:lang w:val="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6618DD63" w14:textId="77777777" w:rsidR="00844176" w:rsidRPr="00C136CD" w:rsidRDefault="00844176" w:rsidP="006C5402">
            <w:pPr>
              <w:pStyle w:val="BodyText"/>
              <w:ind w:left="60" w:right="201"/>
              <w:rPr>
                <w:rFonts w:eastAsia="Calibri"/>
                <w:sz w:val="26"/>
                <w:szCs w:val="26"/>
                <w:lang w:eastAsia="en-US"/>
              </w:rPr>
            </w:pPr>
            <w:r w:rsidRPr="00C136CD">
              <w:rPr>
                <w:rFonts w:eastAsia="Calibri"/>
                <w:sz w:val="26"/>
                <w:szCs w:val="26"/>
                <w:lang w:eastAsia="en-US"/>
              </w:rPr>
              <w:t>Noteikumu projekts neparedz ietekmi uz administratīvo slogu.</w:t>
            </w:r>
          </w:p>
          <w:p w14:paraId="62F21F17" w14:textId="714AA087" w:rsidR="00844176" w:rsidRPr="00C136CD" w:rsidRDefault="00844176" w:rsidP="006C5402">
            <w:pPr>
              <w:pStyle w:val="BodyText"/>
              <w:ind w:left="60" w:right="201"/>
              <w:rPr>
                <w:rFonts w:eastAsia="Calibri"/>
                <w:sz w:val="26"/>
                <w:szCs w:val="26"/>
                <w:lang w:eastAsia="en-US"/>
              </w:rPr>
            </w:pPr>
          </w:p>
        </w:tc>
      </w:tr>
      <w:tr w:rsidR="00844176" w:rsidRPr="00310924"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13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37194CA5" w:rsidR="00844176" w:rsidRPr="00C136CD" w:rsidRDefault="00911915" w:rsidP="006C5402">
            <w:pPr>
              <w:pStyle w:val="BodyText"/>
              <w:ind w:left="60" w:right="201"/>
              <w:rPr>
                <w:rFonts w:eastAsia="Calibri"/>
                <w:sz w:val="26"/>
                <w:szCs w:val="26"/>
                <w:lang w:eastAsia="en-US"/>
              </w:rPr>
            </w:pPr>
            <w:r>
              <w:rPr>
                <w:rFonts w:eastAsia="Calibri"/>
                <w:sz w:val="26"/>
                <w:szCs w:val="26"/>
                <w:lang w:eastAsia="en-US"/>
              </w:rPr>
              <w:t>Noteikumu p</w:t>
            </w:r>
            <w:r w:rsidR="00844176" w:rsidRPr="00C136CD">
              <w:rPr>
                <w:rFonts w:eastAsia="Calibri"/>
                <w:sz w:val="26"/>
                <w:szCs w:val="26"/>
                <w:lang w:eastAsia="en-US"/>
              </w:rPr>
              <w:t>rojekts šo jomu neskar.</w:t>
            </w:r>
          </w:p>
        </w:tc>
      </w:tr>
      <w:tr w:rsidR="00844176" w:rsidRPr="00310924"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4.</w:t>
            </w:r>
          </w:p>
        </w:tc>
        <w:tc>
          <w:tcPr>
            <w:tcW w:w="213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265C6D" w:rsidRDefault="00844176" w:rsidP="006C5402">
            <w:pPr>
              <w:pStyle w:val="BodyText"/>
              <w:ind w:left="60" w:right="201"/>
              <w:rPr>
                <w:rFonts w:eastAsia="Calibri"/>
                <w:sz w:val="26"/>
                <w:szCs w:val="26"/>
                <w:lang w:eastAsia="en-US"/>
              </w:rPr>
            </w:pPr>
            <w:r w:rsidRPr="00265C6D">
              <w:rPr>
                <w:rFonts w:eastAsia="Calibri"/>
                <w:sz w:val="26"/>
                <w:szCs w:val="26"/>
                <w:lang w:eastAsia="en-US"/>
              </w:rPr>
              <w:t>Nav</w:t>
            </w:r>
          </w:p>
        </w:tc>
      </w:tr>
    </w:tbl>
    <w:p w14:paraId="57D2014F" w14:textId="77777777" w:rsidR="00E0333C" w:rsidRPr="00C136CD" w:rsidRDefault="00E0333C" w:rsidP="006C5402">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6F6FFA"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C136CD" w:rsidRDefault="00E0333C" w:rsidP="006C5402">
            <w:pPr>
              <w:jc w:val="center"/>
              <w:rPr>
                <w:rFonts w:eastAsia="Times New Roman"/>
                <w:b/>
                <w:sz w:val="26"/>
                <w:szCs w:val="26"/>
                <w:lang w:val="lv-LV" w:eastAsia="lv-LV"/>
              </w:rPr>
            </w:pPr>
            <w:r w:rsidRPr="00C136CD">
              <w:rPr>
                <w:rFonts w:eastAsia="Times New Roman"/>
                <w:b/>
                <w:bCs/>
                <w:sz w:val="26"/>
                <w:szCs w:val="26"/>
                <w:lang w:val="lv-LV" w:eastAsia="lv-LV"/>
              </w:rPr>
              <w:t>III. Tiesību akta projekta ietekme uz valsts budžetu un pašvaldību budžetiem</w:t>
            </w:r>
          </w:p>
        </w:tc>
      </w:tr>
      <w:tr w:rsidR="00E0333C" w:rsidRPr="00871922"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6E88E8B0" w:rsidR="00E0333C" w:rsidRPr="00C136CD" w:rsidRDefault="00911915" w:rsidP="006C5402">
            <w:pPr>
              <w:jc w:val="center"/>
              <w:rPr>
                <w:rFonts w:eastAsia="Times New Roman"/>
                <w:bCs/>
                <w:sz w:val="26"/>
                <w:szCs w:val="26"/>
                <w:lang w:val="lv-LV" w:eastAsia="lv-LV"/>
              </w:rPr>
            </w:pPr>
            <w:r>
              <w:rPr>
                <w:rFonts w:eastAsia="Times New Roman"/>
                <w:bCs/>
                <w:sz w:val="26"/>
                <w:szCs w:val="26"/>
                <w:lang w:val="lv-LV" w:eastAsia="lv-LV"/>
              </w:rPr>
              <w:t>Noteikumu</w:t>
            </w:r>
            <w:r w:rsidR="00E0333C" w:rsidRPr="00C136CD">
              <w:rPr>
                <w:rFonts w:eastAsia="Times New Roman"/>
                <w:bCs/>
                <w:sz w:val="26"/>
                <w:szCs w:val="26"/>
                <w:lang w:val="lv-LV" w:eastAsia="lv-LV"/>
              </w:rPr>
              <w:t xml:space="preserve"> projekts šo jomu neskar.</w:t>
            </w:r>
          </w:p>
        </w:tc>
      </w:tr>
    </w:tbl>
    <w:p w14:paraId="57F14BC5" w14:textId="512F1E09" w:rsidR="00844176" w:rsidRPr="00C136CD" w:rsidRDefault="00844176" w:rsidP="006C5402">
      <w:pPr>
        <w:rPr>
          <w:rFonts w:eastAsia="Times New Roman"/>
          <w:sz w:val="26"/>
          <w:szCs w:val="26"/>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861"/>
        <w:gridCol w:w="6714"/>
      </w:tblGrid>
      <w:tr w:rsidR="00844176" w:rsidRPr="006F6FFA" w14:paraId="6C33CD82" w14:textId="77777777" w:rsidTr="002D7D0E">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C136CD" w:rsidRDefault="00844176" w:rsidP="006C5402">
            <w:pPr>
              <w:ind w:firstLine="300"/>
              <w:jc w:val="center"/>
              <w:rPr>
                <w:rFonts w:eastAsia="Times New Roman"/>
                <w:b/>
                <w:bCs/>
                <w:sz w:val="26"/>
                <w:szCs w:val="26"/>
                <w:lang w:val="lv-LV" w:eastAsia="lv-LV"/>
              </w:rPr>
            </w:pPr>
            <w:r w:rsidRPr="00C136CD">
              <w:rPr>
                <w:rFonts w:eastAsia="Times New Roman"/>
                <w:b/>
                <w:bCs/>
                <w:sz w:val="26"/>
                <w:szCs w:val="26"/>
                <w:lang w:val="lv-LV" w:eastAsia="lv-LV"/>
              </w:rPr>
              <w:t>IV. Tiesību akta projekta ietekme uz spēkā esošo tiesību normu sistēmu</w:t>
            </w:r>
          </w:p>
        </w:tc>
      </w:tr>
      <w:tr w:rsidR="00844176" w:rsidRPr="006F6FFA" w14:paraId="57818953"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C136CD" w:rsidRDefault="00844176" w:rsidP="006C5402">
            <w:pPr>
              <w:rPr>
                <w:rFonts w:eastAsia="Times New Roman"/>
                <w:sz w:val="26"/>
                <w:szCs w:val="26"/>
                <w:lang w:val="lv-LV" w:eastAsia="lv-LV"/>
              </w:rPr>
            </w:pPr>
            <w:r w:rsidRPr="00C136CD">
              <w:rPr>
                <w:rFonts w:eastAsia="Times New Roman"/>
                <w:sz w:val="26"/>
                <w:szCs w:val="26"/>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C136CD" w:rsidRDefault="00844176" w:rsidP="006C5402">
            <w:pPr>
              <w:rPr>
                <w:rFonts w:eastAsia="Times New Roman"/>
                <w:sz w:val="26"/>
                <w:szCs w:val="26"/>
                <w:lang w:val="lv-LV" w:eastAsia="lv-LV"/>
              </w:rPr>
            </w:pPr>
            <w:r w:rsidRPr="00C136CD">
              <w:rPr>
                <w:rFonts w:eastAsia="Times New Roman"/>
                <w:sz w:val="26"/>
                <w:szCs w:val="26"/>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14:paraId="34FF46C2" w14:textId="6D72664F" w:rsidR="006F4B13" w:rsidRPr="00871922" w:rsidRDefault="006F4B13" w:rsidP="006C5402">
            <w:pPr>
              <w:jc w:val="both"/>
              <w:rPr>
                <w:bCs/>
                <w:iCs/>
                <w:sz w:val="26"/>
                <w:szCs w:val="26"/>
                <w:lang w:val="lv-LV"/>
              </w:rPr>
            </w:pPr>
            <w:r w:rsidRPr="00871922">
              <w:rPr>
                <w:rFonts w:eastAsia="Times New Roman"/>
                <w:bCs/>
                <w:iCs/>
                <w:sz w:val="26"/>
                <w:szCs w:val="26"/>
                <w:lang w:val="lv-LV"/>
              </w:rPr>
              <w:t>Līdz ar š</w:t>
            </w:r>
            <w:r w:rsidR="00530DE5" w:rsidRPr="00871922">
              <w:rPr>
                <w:rFonts w:eastAsia="Times New Roman"/>
                <w:bCs/>
                <w:iCs/>
                <w:sz w:val="26"/>
                <w:szCs w:val="26"/>
                <w:lang w:val="lv-LV"/>
              </w:rPr>
              <w:t>ī</w:t>
            </w:r>
            <w:r w:rsidRPr="00871922">
              <w:rPr>
                <w:rFonts w:eastAsia="Times New Roman"/>
                <w:bCs/>
                <w:iCs/>
                <w:sz w:val="26"/>
                <w:szCs w:val="26"/>
                <w:lang w:val="lv-LV"/>
              </w:rPr>
              <w:t xml:space="preserve"> </w:t>
            </w:r>
            <w:r w:rsidR="00530DE5" w:rsidRPr="00871922">
              <w:rPr>
                <w:rFonts w:eastAsia="Times New Roman"/>
                <w:bCs/>
                <w:iCs/>
                <w:sz w:val="26"/>
                <w:szCs w:val="26"/>
                <w:lang w:val="lv-LV"/>
              </w:rPr>
              <w:t>N</w:t>
            </w:r>
            <w:r w:rsidRPr="00871922">
              <w:rPr>
                <w:rFonts w:eastAsia="Times New Roman"/>
                <w:bCs/>
                <w:iCs/>
                <w:sz w:val="26"/>
                <w:szCs w:val="26"/>
                <w:lang w:val="lv-LV"/>
              </w:rPr>
              <w:t>oteikumu</w:t>
            </w:r>
            <w:r w:rsidR="00530DE5" w:rsidRPr="00871922">
              <w:rPr>
                <w:rFonts w:eastAsia="Times New Roman"/>
                <w:bCs/>
                <w:iCs/>
                <w:sz w:val="26"/>
                <w:szCs w:val="26"/>
                <w:lang w:val="lv-LV"/>
              </w:rPr>
              <w:t xml:space="preserve"> projekta</w:t>
            </w:r>
            <w:r w:rsidRPr="00871922">
              <w:rPr>
                <w:rFonts w:eastAsia="Times New Roman"/>
                <w:bCs/>
                <w:iCs/>
                <w:sz w:val="26"/>
                <w:szCs w:val="26"/>
                <w:lang w:val="lv-LV"/>
              </w:rPr>
              <w:t xml:space="preserve"> virzību, būs nepieciešami grozījumi</w:t>
            </w:r>
            <w:r w:rsidR="00911915" w:rsidRPr="00871922">
              <w:rPr>
                <w:rFonts w:eastAsia="Times New Roman"/>
                <w:bCs/>
                <w:iCs/>
                <w:sz w:val="26"/>
                <w:szCs w:val="26"/>
                <w:lang w:val="lv-LV"/>
              </w:rPr>
              <w:t xml:space="preserve"> </w:t>
            </w:r>
            <w:r w:rsidRPr="00871922">
              <w:rPr>
                <w:bCs/>
                <w:iCs/>
                <w:sz w:val="26"/>
                <w:szCs w:val="26"/>
                <w:lang w:val="lv-LV"/>
              </w:rPr>
              <w:t>2010.gada 26.oktobra MK noteikumos Nr. 997 “Noteikumi par garantijām komersantu un atbilstošu lauksaimniecības pakalpojumu kooperatīvo sabiedrību konkurētspējas uzlabošanai”</w:t>
            </w:r>
            <w:r w:rsidR="00530DE5" w:rsidRPr="00871922">
              <w:rPr>
                <w:bCs/>
                <w:iCs/>
                <w:sz w:val="26"/>
                <w:szCs w:val="26"/>
                <w:lang w:val="lv-LV"/>
              </w:rPr>
              <w:t xml:space="preserve"> – grozījumu attiecībā uz pieejamo finansējumu</w:t>
            </w:r>
            <w:r w:rsidRPr="00871922">
              <w:rPr>
                <w:bCs/>
                <w:iCs/>
                <w:sz w:val="26"/>
                <w:szCs w:val="26"/>
                <w:lang w:val="lv-LV"/>
              </w:rPr>
              <w:t>;</w:t>
            </w:r>
          </w:p>
          <w:p w14:paraId="37F545BF" w14:textId="6BC2A3C2" w:rsidR="00844176" w:rsidRPr="00B0569D" w:rsidRDefault="00844176" w:rsidP="006C5402">
            <w:pPr>
              <w:pStyle w:val="ListParagraph"/>
              <w:ind w:left="577"/>
              <w:jc w:val="both"/>
              <w:rPr>
                <w:sz w:val="26"/>
                <w:szCs w:val="26"/>
                <w:lang w:val="lv-LV"/>
              </w:rPr>
            </w:pPr>
          </w:p>
        </w:tc>
      </w:tr>
      <w:tr w:rsidR="00844176" w:rsidRPr="00310924" w14:paraId="3469659F"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C136CD" w:rsidRDefault="00844176" w:rsidP="006C5402">
            <w:pPr>
              <w:rPr>
                <w:rFonts w:eastAsia="Times New Roman"/>
                <w:sz w:val="26"/>
                <w:szCs w:val="26"/>
                <w:lang w:val="lv-LV" w:eastAsia="lv-LV"/>
              </w:rPr>
            </w:pPr>
            <w:r w:rsidRPr="00C136CD">
              <w:rPr>
                <w:rFonts w:eastAsia="Times New Roman"/>
                <w:sz w:val="26"/>
                <w:szCs w:val="26"/>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C136CD" w:rsidRDefault="00844176" w:rsidP="006C5402">
            <w:pPr>
              <w:rPr>
                <w:rFonts w:eastAsia="Times New Roman"/>
                <w:sz w:val="26"/>
                <w:szCs w:val="26"/>
                <w:lang w:val="lv-LV" w:eastAsia="lv-LV"/>
              </w:rPr>
            </w:pPr>
            <w:r w:rsidRPr="00C136CD">
              <w:rPr>
                <w:rFonts w:eastAsia="Times New Roman"/>
                <w:sz w:val="26"/>
                <w:szCs w:val="26"/>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C136CD" w:rsidRDefault="007F6449" w:rsidP="006C5402">
            <w:pPr>
              <w:pStyle w:val="BodyText"/>
              <w:ind w:right="142"/>
              <w:rPr>
                <w:rFonts w:eastAsia="Calibri"/>
                <w:sz w:val="26"/>
                <w:szCs w:val="26"/>
                <w:lang w:eastAsia="en-US"/>
              </w:rPr>
            </w:pPr>
            <w:r w:rsidRPr="00C136CD">
              <w:rPr>
                <w:rFonts w:eastAsia="Calibri"/>
                <w:sz w:val="26"/>
                <w:szCs w:val="26"/>
                <w:lang w:eastAsia="en-US"/>
              </w:rPr>
              <w:t>Ekonomikas ministrija</w:t>
            </w:r>
          </w:p>
        </w:tc>
      </w:tr>
      <w:tr w:rsidR="00844176" w:rsidRPr="006F6FFA" w14:paraId="32F2DD54"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C136CD" w:rsidRDefault="00844176" w:rsidP="006C5402">
            <w:pPr>
              <w:rPr>
                <w:rFonts w:eastAsia="Times New Roman"/>
                <w:sz w:val="26"/>
                <w:szCs w:val="26"/>
                <w:lang w:val="lv-LV" w:eastAsia="lv-LV"/>
              </w:rPr>
            </w:pPr>
            <w:r w:rsidRPr="00C136CD">
              <w:rPr>
                <w:rFonts w:eastAsia="Times New Roman"/>
                <w:sz w:val="26"/>
                <w:szCs w:val="26"/>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C136CD" w:rsidRDefault="00844176" w:rsidP="006C5402">
            <w:pPr>
              <w:rPr>
                <w:rFonts w:eastAsia="Times New Roman"/>
                <w:sz w:val="26"/>
                <w:szCs w:val="26"/>
                <w:lang w:val="lv-LV" w:eastAsia="lv-LV"/>
              </w:rPr>
            </w:pPr>
            <w:r w:rsidRPr="00C136CD">
              <w:rPr>
                <w:rFonts w:eastAsia="Times New Roman"/>
                <w:sz w:val="26"/>
                <w:szCs w:val="26"/>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14:paraId="637C4F16" w14:textId="376D6306" w:rsidR="00844176" w:rsidRPr="00357B61" w:rsidRDefault="00911915" w:rsidP="006C5402">
            <w:pPr>
              <w:jc w:val="both"/>
              <w:rPr>
                <w:bCs/>
                <w:iCs/>
                <w:sz w:val="26"/>
                <w:szCs w:val="26"/>
                <w:lang w:val="lv-LV"/>
              </w:rPr>
            </w:pPr>
            <w:r w:rsidRPr="00357B61">
              <w:rPr>
                <w:bCs/>
                <w:iCs/>
                <w:sz w:val="26"/>
                <w:szCs w:val="26"/>
                <w:lang w:val="lv-LV"/>
              </w:rPr>
              <w:t>Noteikumu projekts ti</w:t>
            </w:r>
            <w:r w:rsidR="00357B61" w:rsidRPr="00357B61">
              <w:rPr>
                <w:bCs/>
                <w:iCs/>
                <w:sz w:val="26"/>
                <w:szCs w:val="26"/>
                <w:lang w:val="lv-LV"/>
              </w:rPr>
              <w:t>ek</w:t>
            </w:r>
            <w:r w:rsidRPr="00357B61">
              <w:rPr>
                <w:bCs/>
                <w:iCs/>
                <w:sz w:val="26"/>
                <w:szCs w:val="26"/>
                <w:lang w:val="lv-LV"/>
              </w:rPr>
              <w:t xml:space="preserve"> virzīts apstiprināšanai Ministru kabinetā </w:t>
            </w:r>
            <w:r w:rsidR="00357B61" w:rsidRPr="00DC2A7C">
              <w:rPr>
                <w:bCs/>
                <w:iCs/>
                <w:sz w:val="26"/>
                <w:szCs w:val="26"/>
                <w:lang w:val="lv-LV"/>
              </w:rPr>
              <w:t>pēc 2020.gada 16.jūnija MK noteikumu Nr. 383 “</w:t>
            </w:r>
            <w:r w:rsidR="00357B61" w:rsidRPr="00357B61">
              <w:rPr>
                <w:bCs/>
                <w:iCs/>
                <w:sz w:val="26"/>
                <w:szCs w:val="26"/>
                <w:lang w:val="lv-LV"/>
              </w:rPr>
              <w:t>Noteikumi par garantijām saimnieciskās darbības veicējiem konkurētspējas uzlabošanai”</w:t>
            </w:r>
            <w:r w:rsidR="00357B61">
              <w:rPr>
                <w:bCs/>
                <w:iCs/>
                <w:sz w:val="26"/>
                <w:szCs w:val="26"/>
                <w:lang w:val="lv-LV"/>
              </w:rPr>
              <w:t xml:space="preserve"> apstiprināšanas, kuri paredz izteikt jaunā redakcijā </w:t>
            </w:r>
            <w:r w:rsidRPr="00FA0F56">
              <w:rPr>
                <w:bCs/>
                <w:iCs/>
                <w:sz w:val="26"/>
                <w:szCs w:val="26"/>
                <w:lang w:val="lv-LV"/>
              </w:rPr>
              <w:t>2010.gada 26.oktobra MK noteikum</w:t>
            </w:r>
            <w:r w:rsidR="00357B61">
              <w:rPr>
                <w:bCs/>
                <w:iCs/>
                <w:sz w:val="26"/>
                <w:szCs w:val="26"/>
                <w:lang w:val="lv-LV"/>
              </w:rPr>
              <w:t>u</w:t>
            </w:r>
            <w:r w:rsidRPr="00FA0F56">
              <w:rPr>
                <w:bCs/>
                <w:iCs/>
                <w:sz w:val="26"/>
                <w:szCs w:val="26"/>
                <w:lang w:val="lv-LV"/>
              </w:rPr>
              <w:t>s Nr. 997 “Noteikumi par garantijām komersantu un atbilstošu lauksaimniecības pakalpojumu kooperatīvo sabiedrību konkurētspējas uzlabošanai”</w:t>
            </w:r>
          </w:p>
        </w:tc>
      </w:tr>
    </w:tbl>
    <w:p w14:paraId="2A21AD4B" w14:textId="77777777" w:rsidR="00844176" w:rsidRPr="00C136CD" w:rsidRDefault="00844176" w:rsidP="006C5402">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699"/>
        <w:gridCol w:w="6088"/>
      </w:tblGrid>
      <w:tr w:rsidR="00844176" w:rsidRPr="00C136CD"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C136CD" w:rsidRDefault="00844176" w:rsidP="006C5402">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 Tiesību akta projekta atbilstība Latvijas Republikas starptautiskajām saistībām</w:t>
            </w:r>
          </w:p>
        </w:tc>
      </w:tr>
      <w:tr w:rsidR="006F4B13" w:rsidRPr="005F1D39" w14:paraId="17F7F902"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C136CD" w:rsidRDefault="006F4B13" w:rsidP="006C5402">
            <w:pPr>
              <w:rPr>
                <w:rFonts w:eastAsia="Times New Roman"/>
                <w:sz w:val="26"/>
                <w:szCs w:val="26"/>
                <w:lang w:val="lv-LV" w:eastAsia="lv-LV"/>
              </w:rPr>
            </w:pPr>
            <w:r w:rsidRPr="00C136CD">
              <w:rPr>
                <w:rFonts w:eastAsia="Times New Roman"/>
                <w:sz w:val="26"/>
                <w:szCs w:val="26"/>
                <w:lang w:val="lv-LV" w:eastAsia="lv-LV"/>
              </w:rPr>
              <w:t>1.</w:t>
            </w:r>
          </w:p>
        </w:tc>
        <w:tc>
          <w:tcPr>
            <w:tcW w:w="146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C136CD" w:rsidRDefault="006F4B13" w:rsidP="006C5402">
            <w:pPr>
              <w:jc w:val="both"/>
              <w:rPr>
                <w:rFonts w:eastAsia="Times New Roman"/>
                <w:sz w:val="26"/>
                <w:szCs w:val="26"/>
                <w:lang w:val="lv-LV" w:eastAsia="lv-LV"/>
              </w:rPr>
            </w:pPr>
            <w:r w:rsidRPr="00C136CD">
              <w:rPr>
                <w:rFonts w:eastAsia="Times New Roman"/>
                <w:sz w:val="26"/>
                <w:szCs w:val="26"/>
                <w:lang w:val="lv-LV" w:eastAsia="lv-LV"/>
              </w:rPr>
              <w:t>Saistības pret Eiropas Savienību</w:t>
            </w:r>
          </w:p>
        </w:tc>
        <w:tc>
          <w:tcPr>
            <w:tcW w:w="3307" w:type="pct"/>
            <w:tcBorders>
              <w:top w:val="outset" w:sz="6" w:space="0" w:color="414142"/>
              <w:left w:val="outset" w:sz="6" w:space="0" w:color="414142"/>
              <w:bottom w:val="outset" w:sz="6" w:space="0" w:color="414142"/>
              <w:right w:val="outset" w:sz="6" w:space="0" w:color="414142"/>
            </w:tcBorders>
            <w:hideMark/>
          </w:tcPr>
          <w:p w14:paraId="313D4E77" w14:textId="71C0EEBC" w:rsidR="006F4B13" w:rsidRPr="004C5C40" w:rsidRDefault="004C5C40" w:rsidP="006C5402">
            <w:pPr>
              <w:jc w:val="both"/>
              <w:rPr>
                <w:rFonts w:eastAsia="Times New Roman"/>
                <w:sz w:val="26"/>
                <w:szCs w:val="26"/>
                <w:lang w:val="lv-LV" w:eastAsia="lv-LV"/>
              </w:rPr>
            </w:pPr>
            <w:r w:rsidRPr="004C5C40">
              <w:rPr>
                <w:color w:val="000000"/>
                <w:sz w:val="26"/>
                <w:szCs w:val="26"/>
                <w:lang w:val="lv-LV"/>
              </w:rPr>
              <w:t xml:space="preserve">Eiropas Komisijas 2013.gada 18.decembra Komisijas regulas (ES) Nr.1407/2013 par Līguma par Eiropas </w:t>
            </w:r>
            <w:r w:rsidRPr="004C5C40">
              <w:rPr>
                <w:color w:val="000000"/>
                <w:sz w:val="26"/>
                <w:szCs w:val="26"/>
                <w:lang w:val="lv-LV"/>
              </w:rPr>
              <w:lastRenderedPageBreak/>
              <w:t xml:space="preserve">Savienības darbību 107. un 108.panta piemērošanu </w:t>
            </w:r>
            <w:proofErr w:type="spellStart"/>
            <w:r w:rsidRPr="004C5C40">
              <w:rPr>
                <w:i/>
                <w:color w:val="000000"/>
                <w:sz w:val="26"/>
                <w:szCs w:val="26"/>
                <w:lang w:val="lv-LV"/>
              </w:rPr>
              <w:t>de</w:t>
            </w:r>
            <w:proofErr w:type="spellEnd"/>
            <w:r w:rsidRPr="004C5C40">
              <w:rPr>
                <w:i/>
                <w:color w:val="000000"/>
                <w:sz w:val="26"/>
                <w:szCs w:val="26"/>
                <w:lang w:val="lv-LV"/>
              </w:rPr>
              <w:t xml:space="preserve"> </w:t>
            </w:r>
            <w:proofErr w:type="spellStart"/>
            <w:r w:rsidRPr="004C5C40">
              <w:rPr>
                <w:i/>
                <w:color w:val="000000"/>
                <w:sz w:val="26"/>
                <w:szCs w:val="26"/>
                <w:lang w:val="lv-LV"/>
              </w:rPr>
              <w:t>minimis</w:t>
            </w:r>
            <w:proofErr w:type="spellEnd"/>
            <w:r w:rsidRPr="004C5C40">
              <w:rPr>
                <w:color w:val="000000"/>
                <w:sz w:val="26"/>
                <w:szCs w:val="26"/>
                <w:lang w:val="lv-LV"/>
              </w:rPr>
              <w:t xml:space="preserve"> atbalstam prasības</w:t>
            </w:r>
          </w:p>
        </w:tc>
      </w:tr>
      <w:tr w:rsidR="006F4B13" w:rsidRPr="00DD696D" w14:paraId="2BF33DFD"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C136CD" w:rsidRDefault="006F4B13" w:rsidP="006C5402">
            <w:pPr>
              <w:rPr>
                <w:rFonts w:eastAsia="Times New Roman"/>
                <w:sz w:val="26"/>
                <w:szCs w:val="26"/>
                <w:lang w:val="lv-LV" w:eastAsia="lv-LV"/>
              </w:rPr>
            </w:pPr>
            <w:r w:rsidRPr="00C136CD">
              <w:rPr>
                <w:rFonts w:eastAsia="Times New Roman"/>
                <w:sz w:val="26"/>
                <w:szCs w:val="26"/>
                <w:lang w:val="lv-LV" w:eastAsia="lv-LV"/>
              </w:rPr>
              <w:lastRenderedPageBreak/>
              <w:t>2.</w:t>
            </w:r>
          </w:p>
        </w:tc>
        <w:tc>
          <w:tcPr>
            <w:tcW w:w="146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C136CD" w:rsidRDefault="006F4B13" w:rsidP="006C5402">
            <w:pPr>
              <w:jc w:val="both"/>
              <w:rPr>
                <w:rFonts w:eastAsia="Times New Roman"/>
                <w:sz w:val="26"/>
                <w:szCs w:val="26"/>
                <w:lang w:val="lv-LV" w:eastAsia="lv-LV"/>
              </w:rPr>
            </w:pPr>
            <w:r w:rsidRPr="00C136CD">
              <w:rPr>
                <w:rFonts w:eastAsia="Times New Roman"/>
                <w:sz w:val="26"/>
                <w:szCs w:val="26"/>
                <w:lang w:val="lv-LV" w:eastAsia="lv-LV"/>
              </w:rPr>
              <w:t>Citas starptautiskās saistības</w:t>
            </w:r>
          </w:p>
        </w:tc>
        <w:tc>
          <w:tcPr>
            <w:tcW w:w="3307" w:type="pct"/>
            <w:tcBorders>
              <w:top w:val="outset" w:sz="6" w:space="0" w:color="414142"/>
              <w:left w:val="outset" w:sz="6" w:space="0" w:color="414142"/>
              <w:bottom w:val="outset" w:sz="6" w:space="0" w:color="414142"/>
              <w:right w:val="outset" w:sz="6" w:space="0" w:color="414142"/>
            </w:tcBorders>
            <w:hideMark/>
          </w:tcPr>
          <w:p w14:paraId="04D2F44F" w14:textId="438ED409" w:rsidR="006F4B13" w:rsidRPr="00C136CD" w:rsidRDefault="009D32A1" w:rsidP="006C5402">
            <w:pPr>
              <w:jc w:val="both"/>
              <w:rPr>
                <w:rFonts w:eastAsia="Times New Roman"/>
                <w:sz w:val="26"/>
                <w:szCs w:val="26"/>
                <w:lang w:val="lv-LV" w:eastAsia="lv-LV"/>
              </w:rPr>
            </w:pPr>
            <w:r>
              <w:rPr>
                <w:rFonts w:eastAsia="Times New Roman"/>
                <w:sz w:val="26"/>
                <w:szCs w:val="26"/>
                <w:lang w:val="lv-LV" w:eastAsia="lv-LV"/>
              </w:rPr>
              <w:t xml:space="preserve"> Noteikumu p</w:t>
            </w:r>
            <w:r w:rsidR="006F4B13" w:rsidRPr="006F4B13">
              <w:rPr>
                <w:rFonts w:eastAsia="Times New Roman"/>
                <w:sz w:val="26"/>
                <w:szCs w:val="26"/>
                <w:lang w:val="lv-LV" w:eastAsia="lv-LV"/>
              </w:rPr>
              <w:t>rojekts šo jomu neskar.</w:t>
            </w:r>
          </w:p>
        </w:tc>
      </w:tr>
      <w:tr w:rsidR="006F4B13" w:rsidRPr="00310924" w14:paraId="64229F4B" w14:textId="77777777" w:rsidTr="00871E2F">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C136CD" w:rsidRDefault="006F4B13" w:rsidP="006C5402">
            <w:pPr>
              <w:rPr>
                <w:rFonts w:eastAsia="Times New Roman"/>
                <w:sz w:val="26"/>
                <w:szCs w:val="26"/>
                <w:lang w:val="lv-LV" w:eastAsia="lv-LV"/>
              </w:rPr>
            </w:pPr>
            <w:r w:rsidRPr="00C136CD">
              <w:rPr>
                <w:rFonts w:eastAsia="Times New Roman"/>
                <w:sz w:val="26"/>
                <w:szCs w:val="26"/>
                <w:lang w:val="lv-LV" w:eastAsia="lv-LV"/>
              </w:rPr>
              <w:t>3.</w:t>
            </w:r>
          </w:p>
        </w:tc>
        <w:tc>
          <w:tcPr>
            <w:tcW w:w="146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C136CD" w:rsidRDefault="006F4B13" w:rsidP="006C5402">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3307" w:type="pct"/>
            <w:tcBorders>
              <w:top w:val="outset" w:sz="6" w:space="0" w:color="414142"/>
              <w:left w:val="outset" w:sz="6" w:space="0" w:color="414142"/>
              <w:bottom w:val="outset" w:sz="6" w:space="0" w:color="414142"/>
              <w:right w:val="outset" w:sz="6" w:space="0" w:color="414142"/>
            </w:tcBorders>
            <w:hideMark/>
          </w:tcPr>
          <w:p w14:paraId="10FD6544" w14:textId="28CC7361" w:rsidR="006F4B13" w:rsidRPr="00C136CD" w:rsidRDefault="006F4B13" w:rsidP="006C5402">
            <w:pPr>
              <w:jc w:val="both"/>
              <w:rPr>
                <w:rFonts w:eastAsia="Times New Roman"/>
                <w:sz w:val="26"/>
                <w:szCs w:val="26"/>
                <w:lang w:val="lv-LV" w:eastAsia="lv-LV"/>
              </w:rPr>
            </w:pPr>
            <w:r w:rsidRPr="006F4B13">
              <w:rPr>
                <w:rFonts w:eastAsia="Times New Roman"/>
                <w:sz w:val="26"/>
                <w:szCs w:val="26"/>
                <w:lang w:val="lv-LV" w:eastAsia="lv-LV"/>
              </w:rPr>
              <w:t>Nav.</w:t>
            </w:r>
          </w:p>
        </w:tc>
      </w:tr>
    </w:tbl>
    <w:p w14:paraId="1F45E5ED" w14:textId="5D648345" w:rsidR="00844176" w:rsidRDefault="00844176" w:rsidP="006C5402">
      <w:pPr>
        <w:rPr>
          <w:rFonts w:eastAsia="Times New Roman"/>
          <w:color w:val="000000"/>
          <w:sz w:val="26"/>
          <w:szCs w:val="26"/>
          <w:lang w:val="lv-LV" w:eastAsia="lv-LV"/>
        </w:rPr>
      </w:pPr>
      <w:r w:rsidRPr="00C136CD">
        <w:rPr>
          <w:rFonts w:eastAsia="Times New Roman"/>
          <w:color w:val="000000"/>
          <w:sz w:val="26"/>
          <w:szCs w:val="26"/>
          <w:lang w:val="lv-LV" w:eastAsia="lv-LV"/>
        </w:rPr>
        <w:t> </w:t>
      </w:r>
    </w:p>
    <w:p w14:paraId="740CDF5B" w14:textId="77777777" w:rsidR="005B4B5F" w:rsidRPr="00C136CD" w:rsidRDefault="005B4B5F" w:rsidP="006C5402">
      <w:pPr>
        <w:rPr>
          <w:rFonts w:eastAsia="Times New Roman"/>
          <w:color w:val="000000"/>
          <w:sz w:val="26"/>
          <w:szCs w:val="26"/>
          <w:lang w:val="lv-LV" w:eastAsia="lv-LV"/>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2664"/>
        <w:gridCol w:w="6105"/>
      </w:tblGrid>
      <w:tr w:rsidR="006F4B13" w:rsidRPr="006F6FFA" w14:paraId="7EEC0F00" w14:textId="77777777" w:rsidTr="00871922">
        <w:trPr>
          <w:trHeight w:val="421"/>
        </w:trPr>
        <w:tc>
          <w:tcPr>
            <w:tcW w:w="9082" w:type="dxa"/>
            <w:gridSpan w:val="3"/>
            <w:tcBorders>
              <w:top w:val="single" w:sz="2" w:space="0" w:color="auto"/>
            </w:tcBorders>
            <w:vAlign w:val="center"/>
          </w:tcPr>
          <w:p w14:paraId="7BCCE7F8" w14:textId="77777777" w:rsidR="006F4B13" w:rsidRPr="006F4B13" w:rsidRDefault="006F4B13" w:rsidP="006C5402">
            <w:pPr>
              <w:ind w:left="57" w:right="57"/>
              <w:jc w:val="center"/>
              <w:rPr>
                <w:rFonts w:eastAsia="Times New Roman"/>
                <w:sz w:val="25"/>
                <w:szCs w:val="25"/>
                <w:lang w:val="lv-LV"/>
              </w:rPr>
            </w:pPr>
            <w:r w:rsidRPr="006F4B13">
              <w:rPr>
                <w:rFonts w:eastAsia="Times New Roman"/>
                <w:b/>
                <w:sz w:val="25"/>
                <w:szCs w:val="25"/>
                <w:lang w:val="lv-LV"/>
              </w:rPr>
              <w:t>VI. Sabiedrības līdzdalība un komunikācijas aktivitātes</w:t>
            </w:r>
          </w:p>
        </w:tc>
      </w:tr>
      <w:tr w:rsidR="006F4B13" w:rsidRPr="006F6FFA" w14:paraId="6FEF54FD" w14:textId="77777777" w:rsidTr="00871922">
        <w:trPr>
          <w:trHeight w:val="553"/>
        </w:trPr>
        <w:tc>
          <w:tcPr>
            <w:tcW w:w="313" w:type="dxa"/>
          </w:tcPr>
          <w:p w14:paraId="41086138" w14:textId="77777777" w:rsidR="006F4B13" w:rsidRPr="00E6084B" w:rsidRDefault="006F4B13" w:rsidP="006C5402">
            <w:pPr>
              <w:ind w:left="57" w:right="57"/>
              <w:jc w:val="both"/>
              <w:rPr>
                <w:rFonts w:eastAsia="PMingLiU"/>
                <w:bCs/>
                <w:sz w:val="25"/>
                <w:szCs w:val="25"/>
                <w:lang w:eastAsia="ja-JP"/>
              </w:rPr>
            </w:pPr>
            <w:r w:rsidRPr="00E6084B">
              <w:rPr>
                <w:rFonts w:eastAsia="PMingLiU"/>
                <w:bCs/>
                <w:sz w:val="25"/>
                <w:szCs w:val="25"/>
                <w:lang w:eastAsia="ja-JP"/>
              </w:rPr>
              <w:t>1.</w:t>
            </w:r>
          </w:p>
        </w:tc>
        <w:tc>
          <w:tcPr>
            <w:tcW w:w="2664" w:type="dxa"/>
          </w:tcPr>
          <w:p w14:paraId="798682AC" w14:textId="77777777" w:rsidR="006F4B13" w:rsidRPr="006F4B13" w:rsidRDefault="006F4B13" w:rsidP="006C5402">
            <w:pPr>
              <w:tabs>
                <w:tab w:val="left" w:pos="170"/>
              </w:tabs>
              <w:ind w:left="57" w:right="57"/>
              <w:rPr>
                <w:rFonts w:eastAsia="PMingLiU"/>
                <w:sz w:val="26"/>
                <w:szCs w:val="26"/>
                <w:lang w:val="lv-LV" w:eastAsia="ja-JP"/>
              </w:rPr>
            </w:pPr>
            <w:r w:rsidRPr="006F4B13">
              <w:rPr>
                <w:rFonts w:eastAsia="PMingLiU"/>
                <w:sz w:val="26"/>
                <w:szCs w:val="26"/>
                <w:lang w:val="lv-LV" w:eastAsia="ja-JP"/>
              </w:rPr>
              <w:t>Plānotās sabiedrības līdzdalības un komunikācijas aktivitātes saistībā ar projektu</w:t>
            </w:r>
          </w:p>
        </w:tc>
        <w:tc>
          <w:tcPr>
            <w:tcW w:w="6105" w:type="dxa"/>
          </w:tcPr>
          <w:p w14:paraId="4FEDB16A" w14:textId="77777777" w:rsidR="009D32A1" w:rsidRDefault="009D32A1" w:rsidP="006C5402">
            <w:pPr>
              <w:ind w:right="113"/>
              <w:contextualSpacing/>
              <w:jc w:val="both"/>
              <w:rPr>
                <w:rFonts w:eastAsia="PMingLiU"/>
                <w:sz w:val="26"/>
                <w:szCs w:val="26"/>
                <w:lang w:val="lv-LV" w:eastAsia="ja-JP"/>
              </w:rPr>
            </w:pPr>
            <w:r>
              <w:rPr>
                <w:rFonts w:eastAsia="PMingLiU"/>
                <w:sz w:val="26"/>
                <w:szCs w:val="26"/>
                <w:lang w:val="lv-LV" w:eastAsia="ja-JP"/>
              </w:rPr>
              <w:t xml:space="preserve">Sabiedrības līdzdalība tiek nodrošināta, ievietojot projektu Ekonomikas ministrijas </w:t>
            </w:r>
            <w:r>
              <w:rPr>
                <w:rFonts w:eastAsia="Times New Roman"/>
                <w:iCs/>
                <w:sz w:val="26"/>
                <w:szCs w:val="26"/>
                <w:lang w:val="lv-LV"/>
              </w:rPr>
              <w:t xml:space="preserve">un Ministru kabineta </w:t>
            </w:r>
            <w:r>
              <w:rPr>
                <w:rFonts w:eastAsia="PMingLiU"/>
                <w:sz w:val="26"/>
                <w:szCs w:val="26"/>
                <w:lang w:val="lv-LV" w:eastAsia="ja-JP"/>
              </w:rPr>
              <w:t>mājas lapā sabiedriskajai apspriešanai.</w:t>
            </w:r>
          </w:p>
          <w:p w14:paraId="384FFED0" w14:textId="33F6C476" w:rsidR="006F4B13" w:rsidRPr="00D0506F" w:rsidRDefault="006F4B13" w:rsidP="006C5402">
            <w:pPr>
              <w:ind w:left="57" w:right="113"/>
              <w:jc w:val="both"/>
              <w:rPr>
                <w:rFonts w:eastAsia="PMingLiU"/>
                <w:sz w:val="26"/>
                <w:szCs w:val="26"/>
                <w:lang w:val="lv-LV" w:eastAsia="ja-JP"/>
              </w:rPr>
            </w:pPr>
          </w:p>
        </w:tc>
      </w:tr>
      <w:tr w:rsidR="006F4B13" w:rsidRPr="006F6FFA" w14:paraId="3F5FD1CD" w14:textId="77777777" w:rsidTr="00871922">
        <w:trPr>
          <w:trHeight w:val="339"/>
        </w:trPr>
        <w:tc>
          <w:tcPr>
            <w:tcW w:w="313" w:type="dxa"/>
          </w:tcPr>
          <w:p w14:paraId="4B9C6F89" w14:textId="77777777" w:rsidR="006F4B13" w:rsidRPr="00E6084B" w:rsidRDefault="006F4B13" w:rsidP="006C5402">
            <w:pPr>
              <w:ind w:left="57" w:right="57"/>
              <w:jc w:val="both"/>
              <w:rPr>
                <w:rFonts w:eastAsia="PMingLiU"/>
                <w:bCs/>
                <w:sz w:val="25"/>
                <w:szCs w:val="25"/>
                <w:lang w:eastAsia="ja-JP"/>
              </w:rPr>
            </w:pPr>
            <w:r w:rsidRPr="00E6084B">
              <w:rPr>
                <w:rFonts w:eastAsia="PMingLiU"/>
                <w:bCs/>
                <w:sz w:val="25"/>
                <w:szCs w:val="25"/>
                <w:lang w:eastAsia="ja-JP"/>
              </w:rPr>
              <w:t>2.</w:t>
            </w:r>
          </w:p>
        </w:tc>
        <w:tc>
          <w:tcPr>
            <w:tcW w:w="2664" w:type="dxa"/>
          </w:tcPr>
          <w:p w14:paraId="4B6FBDE6" w14:textId="77777777" w:rsidR="006F4B13" w:rsidRPr="006F4B13" w:rsidRDefault="006F4B13" w:rsidP="006C5402">
            <w:pPr>
              <w:ind w:left="57" w:right="57"/>
              <w:rPr>
                <w:rFonts w:eastAsia="PMingLiU"/>
                <w:sz w:val="26"/>
                <w:szCs w:val="26"/>
                <w:lang w:val="lv-LV" w:eastAsia="ja-JP"/>
              </w:rPr>
            </w:pPr>
            <w:r w:rsidRPr="006F4B13">
              <w:rPr>
                <w:rFonts w:eastAsia="PMingLiU"/>
                <w:sz w:val="26"/>
                <w:szCs w:val="26"/>
                <w:lang w:val="lv-LV" w:eastAsia="ja-JP"/>
              </w:rPr>
              <w:t>Sabiedrības līdzdalība projekta izstrādē</w:t>
            </w:r>
          </w:p>
        </w:tc>
        <w:tc>
          <w:tcPr>
            <w:tcW w:w="6105" w:type="dxa"/>
          </w:tcPr>
          <w:p w14:paraId="69F7E272" w14:textId="77777777" w:rsidR="006F4B13" w:rsidRPr="009D32A1" w:rsidRDefault="009D32A1" w:rsidP="006C5402">
            <w:pPr>
              <w:pStyle w:val="ListParagraph"/>
              <w:numPr>
                <w:ilvl w:val="0"/>
                <w:numId w:val="38"/>
              </w:numPr>
              <w:ind w:right="113"/>
              <w:jc w:val="both"/>
              <w:rPr>
                <w:rFonts w:eastAsia="PMingLiU"/>
                <w:sz w:val="26"/>
                <w:szCs w:val="26"/>
                <w:shd w:val="clear" w:color="auto" w:fill="FFFFFF"/>
                <w:lang w:val="lv-LV" w:eastAsia="ja-JP"/>
              </w:rPr>
            </w:pPr>
            <w:r w:rsidRPr="009D32A1">
              <w:rPr>
                <w:rFonts w:eastAsia="Times New Roman"/>
                <w:iCs/>
                <w:sz w:val="26"/>
                <w:szCs w:val="26"/>
                <w:lang w:val="lv-LV"/>
              </w:rPr>
              <w:t>Noteikumu projekts 2020.gada 13.janvārī tika elektroniski nosūtīts saskaņošanai Latvijas Finanšu nozares asociācijai</w:t>
            </w:r>
          </w:p>
          <w:p w14:paraId="18D5064F" w14:textId="5F489C0E" w:rsidR="00871922" w:rsidRPr="00871922" w:rsidRDefault="00871922" w:rsidP="006C5402">
            <w:pPr>
              <w:pStyle w:val="ListParagraph"/>
              <w:numPr>
                <w:ilvl w:val="0"/>
                <w:numId w:val="38"/>
              </w:numPr>
              <w:ind w:right="404"/>
              <w:jc w:val="both"/>
              <w:rPr>
                <w:rFonts w:eastAsia="Times New Roman"/>
                <w:lang w:val="lv-LV" w:eastAsia="lv-LV"/>
              </w:rPr>
            </w:pPr>
            <w:r w:rsidRPr="00871922">
              <w:rPr>
                <w:rFonts w:eastAsia="Times New Roman"/>
                <w:iCs/>
                <w:sz w:val="26"/>
                <w:szCs w:val="26"/>
                <w:lang w:val="lv-LV"/>
              </w:rPr>
              <w:t xml:space="preserve">2019.gada 18.decembrī Noteikumu projekts tika ievietots Ekonomikas ministrijas mājas lapā sabiedriskajai apspriešanai: un Ministru kabineta mājas lapā: </w:t>
            </w:r>
            <w:hyperlink r:id="rId12" w:history="1">
              <w:r w:rsidRPr="00871922">
                <w:rPr>
                  <w:rStyle w:val="Hyperlink"/>
                  <w:rFonts w:eastAsia="Times New Roman"/>
                  <w:iCs/>
                  <w:lang w:val="lv-LV"/>
                </w:rPr>
                <w:t>https://www.mk.gov.lv/content/ministru-kabineta-diskusiju-dokumenti</w:t>
              </w:r>
            </w:hyperlink>
          </w:p>
        </w:tc>
      </w:tr>
      <w:tr w:rsidR="006F4B13" w:rsidRPr="00E6084B" w14:paraId="0F937EA3" w14:textId="77777777" w:rsidTr="00871922">
        <w:trPr>
          <w:trHeight w:val="476"/>
        </w:trPr>
        <w:tc>
          <w:tcPr>
            <w:tcW w:w="313" w:type="dxa"/>
          </w:tcPr>
          <w:p w14:paraId="5A007BCA" w14:textId="77777777" w:rsidR="006F4B13" w:rsidRPr="00E6084B" w:rsidRDefault="006F4B13" w:rsidP="006C5402">
            <w:pPr>
              <w:ind w:left="57" w:right="57"/>
              <w:jc w:val="both"/>
              <w:rPr>
                <w:rFonts w:eastAsia="PMingLiU"/>
                <w:bCs/>
                <w:sz w:val="25"/>
                <w:szCs w:val="25"/>
                <w:lang w:eastAsia="ja-JP"/>
              </w:rPr>
            </w:pPr>
            <w:r w:rsidRPr="00E6084B">
              <w:rPr>
                <w:rFonts w:eastAsia="PMingLiU"/>
                <w:bCs/>
                <w:sz w:val="25"/>
                <w:szCs w:val="25"/>
                <w:lang w:eastAsia="ja-JP"/>
              </w:rPr>
              <w:t>3.</w:t>
            </w:r>
          </w:p>
        </w:tc>
        <w:tc>
          <w:tcPr>
            <w:tcW w:w="2664" w:type="dxa"/>
          </w:tcPr>
          <w:p w14:paraId="5F99D7D0" w14:textId="77777777" w:rsidR="006F4B13" w:rsidRPr="006F4B13" w:rsidRDefault="006F4B13" w:rsidP="006C5402">
            <w:pPr>
              <w:ind w:left="57" w:right="57"/>
              <w:rPr>
                <w:rFonts w:eastAsia="PMingLiU"/>
                <w:sz w:val="26"/>
                <w:szCs w:val="26"/>
                <w:lang w:val="lv-LV" w:eastAsia="ja-JP"/>
              </w:rPr>
            </w:pPr>
            <w:r w:rsidRPr="006F4B13">
              <w:rPr>
                <w:rFonts w:eastAsia="PMingLiU"/>
                <w:sz w:val="26"/>
                <w:szCs w:val="26"/>
                <w:lang w:val="lv-LV" w:eastAsia="ja-JP"/>
              </w:rPr>
              <w:t>Sabiedrības līdzdalības rezultāti</w:t>
            </w:r>
          </w:p>
        </w:tc>
        <w:tc>
          <w:tcPr>
            <w:tcW w:w="6105" w:type="dxa"/>
          </w:tcPr>
          <w:p w14:paraId="2BF921D4" w14:textId="56D2B375" w:rsidR="006F4B13" w:rsidRPr="006F4B13" w:rsidRDefault="00F54ABB" w:rsidP="006C5402">
            <w:pPr>
              <w:ind w:left="57" w:right="113"/>
              <w:jc w:val="both"/>
              <w:rPr>
                <w:rFonts w:eastAsia="PMingLiU"/>
                <w:sz w:val="26"/>
                <w:szCs w:val="26"/>
                <w:shd w:val="clear" w:color="auto" w:fill="FFFFFF"/>
                <w:lang w:val="lv-LV" w:eastAsia="ja-JP"/>
              </w:rPr>
            </w:pPr>
            <w:r>
              <w:rPr>
                <w:rFonts w:eastAsia="PMingLiU"/>
                <w:sz w:val="26"/>
                <w:szCs w:val="26"/>
                <w:shd w:val="clear" w:color="auto" w:fill="FFFFFF"/>
                <w:lang w:val="lv-LV" w:eastAsia="ja-JP"/>
              </w:rPr>
              <w:t>Saņemts atzinums bez iebildumiem no Latvijas Finanšu nozares asociācijas.</w:t>
            </w:r>
          </w:p>
        </w:tc>
      </w:tr>
      <w:tr w:rsidR="006F4B13" w:rsidRPr="00E6084B" w14:paraId="13638F96" w14:textId="77777777" w:rsidTr="00871922">
        <w:trPr>
          <w:trHeight w:val="205"/>
        </w:trPr>
        <w:tc>
          <w:tcPr>
            <w:tcW w:w="313" w:type="dxa"/>
          </w:tcPr>
          <w:p w14:paraId="286DE4AB" w14:textId="77777777" w:rsidR="006F4B13" w:rsidRPr="00E6084B" w:rsidRDefault="006F4B13" w:rsidP="006C5402">
            <w:pPr>
              <w:ind w:left="57" w:right="57"/>
              <w:jc w:val="both"/>
              <w:rPr>
                <w:rFonts w:eastAsia="PMingLiU"/>
                <w:bCs/>
                <w:sz w:val="25"/>
                <w:szCs w:val="25"/>
                <w:lang w:eastAsia="ja-JP"/>
              </w:rPr>
            </w:pPr>
            <w:r w:rsidRPr="00E6084B">
              <w:rPr>
                <w:rFonts w:eastAsia="PMingLiU"/>
                <w:bCs/>
                <w:sz w:val="25"/>
                <w:szCs w:val="25"/>
                <w:lang w:eastAsia="ja-JP"/>
              </w:rPr>
              <w:t>4.</w:t>
            </w:r>
          </w:p>
        </w:tc>
        <w:tc>
          <w:tcPr>
            <w:tcW w:w="2664" w:type="dxa"/>
          </w:tcPr>
          <w:p w14:paraId="1AEA4978" w14:textId="77777777" w:rsidR="006F4B13" w:rsidRPr="006F4B13" w:rsidRDefault="006F4B13" w:rsidP="006C5402">
            <w:pPr>
              <w:ind w:left="57" w:right="57"/>
              <w:rPr>
                <w:rFonts w:eastAsia="PMingLiU"/>
                <w:sz w:val="26"/>
                <w:szCs w:val="26"/>
                <w:lang w:val="lv-LV" w:eastAsia="ja-JP"/>
              </w:rPr>
            </w:pPr>
            <w:r w:rsidRPr="006F4B13">
              <w:rPr>
                <w:rFonts w:eastAsia="PMingLiU"/>
                <w:sz w:val="26"/>
                <w:szCs w:val="26"/>
                <w:lang w:val="lv-LV" w:eastAsia="ja-JP"/>
              </w:rPr>
              <w:t>Cita informācija</w:t>
            </w:r>
          </w:p>
        </w:tc>
        <w:tc>
          <w:tcPr>
            <w:tcW w:w="6105" w:type="dxa"/>
          </w:tcPr>
          <w:p w14:paraId="29112FCD" w14:textId="77777777" w:rsidR="006F4B13" w:rsidRPr="006F4B13" w:rsidRDefault="006F4B13" w:rsidP="006C5402">
            <w:pPr>
              <w:ind w:left="57" w:right="113"/>
              <w:jc w:val="both"/>
              <w:rPr>
                <w:rFonts w:eastAsia="PMingLiU"/>
                <w:sz w:val="26"/>
                <w:szCs w:val="26"/>
                <w:lang w:val="lv-LV" w:eastAsia="ja-JP"/>
              </w:rPr>
            </w:pPr>
            <w:r w:rsidRPr="006F4B13">
              <w:rPr>
                <w:rFonts w:eastAsia="PMingLiU"/>
                <w:sz w:val="26"/>
                <w:szCs w:val="26"/>
                <w:lang w:val="lv-LV" w:eastAsia="ja-JP"/>
              </w:rPr>
              <w:t>Nav.</w:t>
            </w:r>
          </w:p>
        </w:tc>
      </w:tr>
    </w:tbl>
    <w:p w14:paraId="07B85D36" w14:textId="06820CDE" w:rsidR="00844176" w:rsidRDefault="00844176" w:rsidP="006C5402">
      <w:pPr>
        <w:rPr>
          <w:rFonts w:eastAsia="Times New Roman"/>
          <w:sz w:val="26"/>
          <w:szCs w:val="26"/>
          <w:lang w:val="lv-LV" w:eastAsia="lv-LV"/>
        </w:rPr>
      </w:pPr>
    </w:p>
    <w:p w14:paraId="65018470" w14:textId="77777777" w:rsidR="00871922" w:rsidRPr="00C136CD" w:rsidRDefault="00871922" w:rsidP="006C5402">
      <w:pPr>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39"/>
        <w:gridCol w:w="6122"/>
      </w:tblGrid>
      <w:tr w:rsidR="00844176" w:rsidRPr="006F6FFA" w14:paraId="72278BCA" w14:textId="77777777" w:rsidTr="00871E2F">
        <w:trPr>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C136CD" w:rsidRDefault="00844176" w:rsidP="006C5402">
            <w:pPr>
              <w:spacing w:before="100" w:beforeAutospacing="1" w:after="100" w:afterAutospacing="1"/>
              <w:ind w:firstLine="300"/>
              <w:jc w:val="center"/>
              <w:rPr>
                <w:rFonts w:eastAsia="Times New Roman"/>
                <w:sz w:val="26"/>
                <w:szCs w:val="26"/>
                <w:lang w:val="lv-LV" w:eastAsia="lv-LV"/>
              </w:rPr>
            </w:pPr>
            <w:r w:rsidRPr="00C136CD">
              <w:rPr>
                <w:rFonts w:eastAsia="Times New Roman"/>
                <w:b/>
                <w:bCs/>
                <w:color w:val="000000"/>
                <w:sz w:val="26"/>
                <w:szCs w:val="26"/>
                <w:lang w:val="lv-LV" w:eastAsia="lv-LV"/>
              </w:rPr>
              <w:t>VII. Tiesību akta projekta izpildes nodrošināšana un tās ietekme uz institūcijām</w:t>
            </w:r>
          </w:p>
        </w:tc>
      </w:tr>
      <w:tr w:rsidR="00844176" w:rsidRPr="00C136CD" w14:paraId="3BE578E7" w14:textId="77777777" w:rsidTr="00D37973">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C136CD" w:rsidRDefault="00844176" w:rsidP="006C5402">
            <w:pPr>
              <w:ind w:right="112"/>
              <w:jc w:val="both"/>
              <w:rPr>
                <w:sz w:val="26"/>
                <w:szCs w:val="26"/>
                <w:lang w:val="lv-LV"/>
              </w:rPr>
            </w:pPr>
            <w:r w:rsidRPr="00C136CD">
              <w:rPr>
                <w:sz w:val="26"/>
                <w:szCs w:val="26"/>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14:paraId="4C10CF17" w14:textId="60787093" w:rsidR="00844176" w:rsidRPr="00C136CD" w:rsidRDefault="00844176" w:rsidP="006C5402">
            <w:pPr>
              <w:ind w:left="82" w:right="161"/>
              <w:jc w:val="both"/>
              <w:rPr>
                <w:sz w:val="26"/>
                <w:szCs w:val="26"/>
                <w:lang w:val="lv-LV"/>
              </w:rPr>
            </w:pPr>
            <w:r w:rsidRPr="00C136CD">
              <w:rPr>
                <w:sz w:val="26"/>
                <w:szCs w:val="26"/>
                <w:lang w:val="lv-LV"/>
              </w:rPr>
              <w:t>E</w:t>
            </w:r>
            <w:r w:rsidR="00733C32" w:rsidRPr="00C136CD">
              <w:rPr>
                <w:sz w:val="26"/>
                <w:szCs w:val="26"/>
                <w:lang w:val="lv-LV"/>
              </w:rPr>
              <w:t>konomikas ministrija</w:t>
            </w:r>
            <w:r w:rsidR="0036009D">
              <w:rPr>
                <w:sz w:val="26"/>
                <w:szCs w:val="26"/>
                <w:lang w:val="lv-LV"/>
              </w:rPr>
              <w:t xml:space="preserve"> un</w:t>
            </w:r>
            <w:r w:rsidR="0074545C" w:rsidRPr="00C136CD">
              <w:rPr>
                <w:sz w:val="26"/>
                <w:szCs w:val="26"/>
                <w:lang w:val="lv-LV"/>
              </w:rPr>
              <w:t xml:space="preserve"> akciju sabiedrība</w:t>
            </w:r>
            <w:r w:rsidR="00733C32" w:rsidRPr="00C136CD">
              <w:rPr>
                <w:sz w:val="26"/>
                <w:szCs w:val="26"/>
                <w:lang w:val="lv-LV"/>
              </w:rPr>
              <w:t xml:space="preserve"> “Attīstības finanšu institūcija </w:t>
            </w:r>
            <w:proofErr w:type="spellStart"/>
            <w:r w:rsidR="00733C32" w:rsidRPr="00C136CD">
              <w:rPr>
                <w:sz w:val="26"/>
                <w:szCs w:val="26"/>
                <w:lang w:val="lv-LV"/>
              </w:rPr>
              <w:t>Altum</w:t>
            </w:r>
            <w:proofErr w:type="spellEnd"/>
            <w:r w:rsidR="00733C32" w:rsidRPr="00C136CD">
              <w:rPr>
                <w:sz w:val="26"/>
                <w:szCs w:val="26"/>
                <w:lang w:val="lv-LV"/>
              </w:rPr>
              <w:t>”</w:t>
            </w:r>
            <w:r w:rsidRPr="00C136CD">
              <w:rPr>
                <w:sz w:val="26"/>
                <w:szCs w:val="26"/>
                <w:lang w:val="lv-LV"/>
              </w:rPr>
              <w:t>.</w:t>
            </w:r>
          </w:p>
        </w:tc>
      </w:tr>
      <w:tr w:rsidR="00844176" w:rsidRPr="006F6FFA" w14:paraId="2CF2C3EA" w14:textId="77777777" w:rsidTr="00D37973">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C136CD" w:rsidRDefault="00844176" w:rsidP="006C5402">
            <w:pPr>
              <w:ind w:right="112"/>
              <w:jc w:val="both"/>
              <w:rPr>
                <w:sz w:val="26"/>
                <w:szCs w:val="26"/>
                <w:lang w:val="lv-LV"/>
              </w:rPr>
            </w:pPr>
            <w:r w:rsidRPr="00C136CD">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14:paraId="6633769E" w14:textId="0AD83940" w:rsidR="00844176" w:rsidRPr="00C136CD" w:rsidRDefault="0036009D" w:rsidP="006C5402">
            <w:pPr>
              <w:ind w:left="82" w:right="161"/>
              <w:jc w:val="both"/>
              <w:rPr>
                <w:sz w:val="26"/>
                <w:szCs w:val="26"/>
                <w:lang w:val="lv-LV"/>
              </w:rPr>
            </w:pPr>
            <w:r>
              <w:rPr>
                <w:sz w:val="26"/>
                <w:szCs w:val="26"/>
                <w:lang w:val="lv-LV"/>
              </w:rPr>
              <w:t>Noteikumu</w:t>
            </w:r>
            <w:r w:rsidR="00844176" w:rsidRPr="00C136CD">
              <w:rPr>
                <w:sz w:val="26"/>
                <w:szCs w:val="26"/>
                <w:lang w:val="lv-LV"/>
              </w:rPr>
              <w:t xml:space="preserve"> proj</w:t>
            </w:r>
            <w:r w:rsidR="00733C32" w:rsidRPr="00C136CD">
              <w:rPr>
                <w:sz w:val="26"/>
                <w:szCs w:val="26"/>
                <w:lang w:val="lv-LV"/>
              </w:rPr>
              <w:t>ekta izpilde tiks nodrošināta Ekonomikas ministrijas</w:t>
            </w:r>
            <w:r w:rsidR="00844176" w:rsidRPr="00C136CD">
              <w:rPr>
                <w:sz w:val="26"/>
                <w:szCs w:val="26"/>
                <w:lang w:val="lv-LV"/>
              </w:rPr>
              <w:t xml:space="preserve"> un </w:t>
            </w:r>
            <w:r w:rsidR="0074545C" w:rsidRPr="00C136CD">
              <w:rPr>
                <w:sz w:val="26"/>
                <w:szCs w:val="26"/>
                <w:lang w:val="lv-LV"/>
              </w:rPr>
              <w:t>akciju sabiedrības</w:t>
            </w:r>
            <w:r w:rsidR="00733C32" w:rsidRPr="00C136CD">
              <w:rPr>
                <w:sz w:val="26"/>
                <w:szCs w:val="26"/>
                <w:lang w:val="lv-LV"/>
              </w:rPr>
              <w:t xml:space="preserve"> “Attīstības finanšu institūcija </w:t>
            </w:r>
            <w:proofErr w:type="spellStart"/>
            <w:r w:rsidR="00733C32" w:rsidRPr="00C136CD">
              <w:rPr>
                <w:sz w:val="26"/>
                <w:szCs w:val="26"/>
                <w:lang w:val="lv-LV"/>
              </w:rPr>
              <w:t>Altum</w:t>
            </w:r>
            <w:proofErr w:type="spellEnd"/>
            <w:r w:rsidR="00733C32" w:rsidRPr="00C136CD">
              <w:rPr>
                <w:sz w:val="26"/>
                <w:szCs w:val="26"/>
                <w:lang w:val="lv-LV"/>
              </w:rPr>
              <w:t xml:space="preserve">” </w:t>
            </w:r>
            <w:r w:rsidR="00844176" w:rsidRPr="00C136CD">
              <w:rPr>
                <w:sz w:val="26"/>
                <w:szCs w:val="26"/>
                <w:lang w:val="lv-LV"/>
              </w:rPr>
              <w:t>esošo funkciju ietvaros.</w:t>
            </w:r>
          </w:p>
          <w:p w14:paraId="5F5A7977" w14:textId="77777777" w:rsidR="00844176" w:rsidRPr="00C136CD" w:rsidRDefault="00844176" w:rsidP="006C5402">
            <w:pPr>
              <w:ind w:left="82" w:right="161" w:firstLine="720"/>
              <w:jc w:val="both"/>
              <w:rPr>
                <w:sz w:val="26"/>
                <w:szCs w:val="26"/>
                <w:lang w:val="lv-LV"/>
              </w:rPr>
            </w:pPr>
          </w:p>
        </w:tc>
      </w:tr>
      <w:tr w:rsidR="00844176" w:rsidRPr="00310924" w14:paraId="2EBACAF6" w14:textId="77777777" w:rsidTr="00D37973">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C136CD" w:rsidRDefault="00844176" w:rsidP="006C5402">
            <w:pPr>
              <w:spacing w:before="100" w:beforeAutospacing="1" w:after="100" w:afterAutospacing="1"/>
              <w:rPr>
                <w:rFonts w:eastAsia="Times New Roman"/>
                <w:sz w:val="26"/>
                <w:szCs w:val="26"/>
                <w:lang w:val="lv-LV" w:eastAsia="lv-LV"/>
              </w:rPr>
            </w:pPr>
            <w:r w:rsidRPr="00C136CD">
              <w:rPr>
                <w:rFonts w:eastAsia="Times New Roman"/>
                <w:color w:val="000000"/>
                <w:sz w:val="26"/>
                <w:szCs w:val="26"/>
                <w:lang w:val="lv-LV" w:eastAsia="lv-LV"/>
              </w:rPr>
              <w:t>3.</w:t>
            </w:r>
          </w:p>
        </w:tc>
        <w:tc>
          <w:tcPr>
            <w:tcW w:w="2739"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C136CD" w:rsidRDefault="00844176" w:rsidP="006C5402">
            <w:pPr>
              <w:jc w:val="both"/>
              <w:rPr>
                <w:rFonts w:eastAsia="Times New Roman"/>
                <w:sz w:val="26"/>
                <w:szCs w:val="26"/>
                <w:lang w:val="lv-LV" w:eastAsia="lv-LV"/>
              </w:rPr>
            </w:pPr>
            <w:r w:rsidRPr="00C136CD">
              <w:rPr>
                <w:rFonts w:eastAsia="Times New Roman"/>
                <w:sz w:val="26"/>
                <w:szCs w:val="26"/>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C136CD" w:rsidRDefault="00844176" w:rsidP="006C5402">
            <w:pPr>
              <w:jc w:val="both"/>
              <w:rPr>
                <w:rFonts w:eastAsia="Times New Roman"/>
                <w:sz w:val="26"/>
                <w:szCs w:val="26"/>
                <w:lang w:val="lv-LV" w:eastAsia="lv-LV"/>
              </w:rPr>
            </w:pPr>
            <w:r w:rsidRPr="00C136CD">
              <w:rPr>
                <w:rFonts w:eastAsia="Times New Roman"/>
                <w:sz w:val="26"/>
                <w:szCs w:val="26"/>
                <w:lang w:val="lv-LV" w:eastAsia="lv-LV"/>
              </w:rPr>
              <w:t>Nav</w:t>
            </w:r>
          </w:p>
        </w:tc>
      </w:tr>
    </w:tbl>
    <w:p w14:paraId="7FC0F3F0" w14:textId="1E3ACBC7" w:rsidR="000A0059" w:rsidRPr="00C136CD" w:rsidRDefault="000A0059" w:rsidP="006C5402">
      <w:pPr>
        <w:tabs>
          <w:tab w:val="right" w:pos="9072"/>
        </w:tabs>
        <w:rPr>
          <w:sz w:val="26"/>
          <w:szCs w:val="26"/>
          <w:lang w:val="lv-LV"/>
        </w:rPr>
      </w:pPr>
    </w:p>
    <w:p w14:paraId="03EE94B5" w14:textId="77777777" w:rsidR="00862580" w:rsidRPr="00DD120E" w:rsidRDefault="00862580" w:rsidP="006C5402">
      <w:pPr>
        <w:jc w:val="both"/>
        <w:rPr>
          <w:sz w:val="26"/>
          <w:szCs w:val="26"/>
        </w:rPr>
      </w:pPr>
    </w:p>
    <w:p w14:paraId="74489F47" w14:textId="77777777" w:rsidR="002D6680" w:rsidRPr="00E96D7E" w:rsidRDefault="002D6680" w:rsidP="006C5402">
      <w:pPr>
        <w:tabs>
          <w:tab w:val="left" w:pos="6237"/>
        </w:tabs>
        <w:ind w:firstLine="720"/>
        <w:contextualSpacing/>
        <w:rPr>
          <w:sz w:val="26"/>
          <w:szCs w:val="26"/>
          <w:lang w:val="lv-LV"/>
        </w:rPr>
      </w:pPr>
      <w:r w:rsidRPr="00E96D7E">
        <w:rPr>
          <w:sz w:val="26"/>
          <w:szCs w:val="26"/>
          <w:lang w:val="lv-LV"/>
        </w:rPr>
        <w:t>Ekonomikas ministrs</w:t>
      </w:r>
      <w:r w:rsidRPr="00E96D7E">
        <w:rPr>
          <w:sz w:val="26"/>
          <w:szCs w:val="26"/>
          <w:lang w:val="lv-LV"/>
        </w:rPr>
        <w:tab/>
      </w:r>
      <w:proofErr w:type="spellStart"/>
      <w:r w:rsidRPr="00E96D7E">
        <w:rPr>
          <w:sz w:val="26"/>
          <w:szCs w:val="26"/>
          <w:lang w:val="lv-LV"/>
        </w:rPr>
        <w:t>J.Vitenbergs</w:t>
      </w:r>
      <w:proofErr w:type="spellEnd"/>
    </w:p>
    <w:p w14:paraId="7EFEA66B" w14:textId="77777777" w:rsidR="002D6680" w:rsidRPr="00E96D7E" w:rsidRDefault="002D6680" w:rsidP="006C5402">
      <w:pPr>
        <w:tabs>
          <w:tab w:val="left" w:pos="6237"/>
        </w:tabs>
        <w:contextualSpacing/>
        <w:rPr>
          <w:sz w:val="26"/>
          <w:szCs w:val="26"/>
          <w:lang w:val="lv-LV"/>
        </w:rPr>
      </w:pPr>
    </w:p>
    <w:p w14:paraId="0A434385" w14:textId="77777777" w:rsidR="002D6680" w:rsidRPr="00E96D7E" w:rsidRDefault="002D6680" w:rsidP="006C5402">
      <w:pPr>
        <w:tabs>
          <w:tab w:val="left" w:pos="6237"/>
        </w:tabs>
        <w:ind w:firstLine="720"/>
        <w:contextualSpacing/>
        <w:rPr>
          <w:sz w:val="26"/>
          <w:szCs w:val="26"/>
          <w:lang w:val="lv-LV"/>
        </w:rPr>
      </w:pPr>
      <w:r w:rsidRPr="00E96D7E">
        <w:rPr>
          <w:sz w:val="26"/>
          <w:szCs w:val="26"/>
          <w:lang w:val="lv-LV"/>
        </w:rPr>
        <w:lastRenderedPageBreak/>
        <w:t>Vīza:</w:t>
      </w:r>
    </w:p>
    <w:p w14:paraId="5182077A" w14:textId="77777777" w:rsidR="002D6680" w:rsidRPr="00E96D7E" w:rsidRDefault="002D6680" w:rsidP="006C5402">
      <w:pPr>
        <w:tabs>
          <w:tab w:val="left" w:pos="6237"/>
        </w:tabs>
        <w:ind w:firstLine="720"/>
        <w:contextualSpacing/>
        <w:rPr>
          <w:sz w:val="26"/>
          <w:szCs w:val="26"/>
          <w:lang w:val="lv-LV"/>
        </w:rPr>
      </w:pPr>
    </w:p>
    <w:p w14:paraId="2B15B8D0" w14:textId="77777777" w:rsidR="001779A6" w:rsidRPr="001779A6" w:rsidRDefault="001779A6" w:rsidP="006C5402">
      <w:pPr>
        <w:tabs>
          <w:tab w:val="left" w:pos="6237"/>
        </w:tabs>
        <w:ind w:firstLine="720"/>
        <w:contextualSpacing/>
        <w:rPr>
          <w:sz w:val="26"/>
          <w:szCs w:val="26"/>
          <w:lang w:val="lv-LV"/>
        </w:rPr>
      </w:pPr>
      <w:r w:rsidRPr="001779A6">
        <w:rPr>
          <w:sz w:val="26"/>
          <w:szCs w:val="26"/>
          <w:lang w:val="lv-LV"/>
        </w:rPr>
        <w:t>Valsts sekretārs</w:t>
      </w:r>
      <w:r w:rsidRPr="001779A6">
        <w:rPr>
          <w:sz w:val="26"/>
          <w:szCs w:val="26"/>
          <w:lang w:val="lv-LV"/>
        </w:rPr>
        <w:tab/>
      </w:r>
      <w:proofErr w:type="spellStart"/>
      <w:r w:rsidRPr="001779A6">
        <w:rPr>
          <w:sz w:val="26"/>
          <w:szCs w:val="26"/>
          <w:lang w:val="lv-LV"/>
        </w:rPr>
        <w:t>E.Valantis</w:t>
      </w:r>
      <w:proofErr w:type="spellEnd"/>
    </w:p>
    <w:p w14:paraId="2A024035" w14:textId="77777777" w:rsidR="00862580" w:rsidRDefault="00862580" w:rsidP="006C5402">
      <w:pPr>
        <w:tabs>
          <w:tab w:val="left" w:pos="6237"/>
        </w:tabs>
        <w:ind w:firstLine="720"/>
      </w:pPr>
    </w:p>
    <w:p w14:paraId="3365EE2C" w14:textId="77777777" w:rsidR="00862580" w:rsidRPr="008A104F" w:rsidRDefault="00862580" w:rsidP="006C5402">
      <w:pPr>
        <w:tabs>
          <w:tab w:val="left" w:pos="6237"/>
        </w:tabs>
        <w:ind w:firstLine="720"/>
      </w:pPr>
    </w:p>
    <w:p w14:paraId="686EDB4F" w14:textId="77777777" w:rsidR="00862580" w:rsidRPr="008A104F" w:rsidRDefault="00862580" w:rsidP="006C5402">
      <w:pPr>
        <w:tabs>
          <w:tab w:val="left" w:pos="6237"/>
        </w:tabs>
      </w:pPr>
    </w:p>
    <w:p w14:paraId="7FE050EB" w14:textId="77777777" w:rsidR="00862580" w:rsidRPr="00871792" w:rsidRDefault="00862580" w:rsidP="006C5402">
      <w:pPr>
        <w:tabs>
          <w:tab w:val="left" w:pos="6840"/>
        </w:tabs>
        <w:jc w:val="both"/>
      </w:pPr>
      <w:r w:rsidRPr="00871792">
        <w:t>Tetere, 67013044</w:t>
      </w:r>
    </w:p>
    <w:p w14:paraId="5B8D44CD" w14:textId="77777777" w:rsidR="00862580" w:rsidRPr="00871792" w:rsidRDefault="006F6FFA" w:rsidP="006C5402">
      <w:pPr>
        <w:pStyle w:val="Header"/>
        <w:tabs>
          <w:tab w:val="clear" w:pos="4153"/>
          <w:tab w:val="clear" w:pos="8306"/>
        </w:tabs>
      </w:pPr>
      <w:hyperlink r:id="rId13" w:history="1">
        <w:r w:rsidR="00862580" w:rsidRPr="00871792">
          <w:rPr>
            <w:rStyle w:val="Hyperlink"/>
          </w:rPr>
          <w:t>Dita.Tetere@em.gov.lv</w:t>
        </w:r>
      </w:hyperlink>
      <w:r w:rsidR="00862580" w:rsidRPr="008A104F">
        <w:t xml:space="preserve">  </w:t>
      </w:r>
    </w:p>
    <w:p w14:paraId="15AA3A25" w14:textId="77777777" w:rsidR="00733C32" w:rsidRPr="00C136CD" w:rsidRDefault="00733C32" w:rsidP="006C5402">
      <w:pPr>
        <w:rPr>
          <w:sz w:val="26"/>
          <w:szCs w:val="26"/>
        </w:rPr>
      </w:pPr>
    </w:p>
    <w:sectPr w:rsidR="00733C32" w:rsidRPr="00C136CD" w:rsidSect="006938D7">
      <w:headerReference w:type="default" r:id="rId14"/>
      <w:footerReference w:type="default" r:id="rId15"/>
      <w:footerReference w:type="first" r:id="rId16"/>
      <w:endnotePr>
        <w:numFmt w:val="decimal"/>
      </w:endnotePr>
      <w:type w:val="continuous"/>
      <w:pgSz w:w="11906" w:h="16838"/>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D2C0" w14:textId="77777777" w:rsidR="000A3897" w:rsidRDefault="000A3897" w:rsidP="006B2FEF">
      <w:r>
        <w:separator/>
      </w:r>
    </w:p>
  </w:endnote>
  <w:endnote w:type="continuationSeparator" w:id="0">
    <w:p w14:paraId="2D960F15" w14:textId="77777777" w:rsidR="000A3897" w:rsidRDefault="000A3897"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D52F" w14:textId="11393B3F"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552AF1">
      <w:rPr>
        <w:noProof/>
      </w:rPr>
      <w:t>EMAnot_Groz328_</w:t>
    </w:r>
    <w:r w:rsidR="006D77B1">
      <w:rPr>
        <w:noProof/>
      </w:rPr>
      <w:t>0807</w:t>
    </w:r>
    <w:r w:rsidR="00F61989">
      <w:rPr>
        <w:noProof/>
      </w:rPr>
      <w:t>20</w:t>
    </w:r>
    <w:r w:rsidR="00552AF1">
      <w:rPr>
        <w:noProof/>
      </w:rPr>
      <w:t>.docx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F2A6" w14:textId="2C423459"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552AF1">
      <w:rPr>
        <w:noProof/>
      </w:rPr>
      <w:t>EMAnot</w:t>
    </w:r>
    <w:r w:rsidR="00AD1D82">
      <w:rPr>
        <w:noProof/>
      </w:rPr>
      <w:t xml:space="preserve"> _Groz328</w:t>
    </w:r>
    <w:r w:rsidR="005F1D39">
      <w:rPr>
        <w:noProof/>
      </w:rPr>
      <w:t>_</w:t>
    </w:r>
    <w:r w:rsidR="00F665B5">
      <w:rPr>
        <w:noProof/>
      </w:rPr>
      <w:t>2904</w:t>
    </w:r>
    <w:r w:rsidR="005F1D39">
      <w:rPr>
        <w:noProof/>
      </w:rPr>
      <w:t>20</w:t>
    </w:r>
    <w:r w:rsidR="00552AF1">
      <w:rPr>
        <w:noProof/>
      </w:rPr>
      <w:t>.docx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A1296" w14:textId="77777777" w:rsidR="000A3897" w:rsidRDefault="000A3897" w:rsidP="006B2FEF">
      <w:r>
        <w:separator/>
      </w:r>
    </w:p>
  </w:footnote>
  <w:footnote w:type="continuationSeparator" w:id="0">
    <w:p w14:paraId="728422D9" w14:textId="77777777" w:rsidR="000A3897" w:rsidRDefault="000A3897"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06079B9A" w14:textId="2A33C95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p w14:paraId="6CE91A04" w14:textId="77777777" w:rsidR="0007156D" w:rsidRDefault="0007156D">
    <w:pPr>
      <w:pStyle w:val="Header"/>
    </w:pPr>
  </w:p>
  <w:p w14:paraId="4597F8B3" w14:textId="77777777" w:rsidR="0007156D" w:rsidRDefault="00071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3975E69"/>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2EF10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EE420C"/>
    <w:multiLevelType w:val="hybridMultilevel"/>
    <w:tmpl w:val="4BF8C57E"/>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4"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CE6625"/>
    <w:multiLevelType w:val="hybridMultilevel"/>
    <w:tmpl w:val="CE320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39702E8E"/>
    <w:multiLevelType w:val="multilevel"/>
    <w:tmpl w:val="9D88E39C"/>
    <w:lvl w:ilvl="0">
      <w:start w:val="1"/>
      <w:numFmt w:val="decimal"/>
      <w:pStyle w:val="Hipo-Heading1"/>
      <w:suff w:val="space"/>
      <w:lvlText w:val="%1."/>
      <w:lvlJc w:val="left"/>
      <w:pPr>
        <w:ind w:left="0" w:firstLine="0"/>
      </w:pPr>
    </w:lvl>
    <w:lvl w:ilvl="1">
      <w:start w:val="1"/>
      <w:numFmt w:val="decimal"/>
      <w:pStyle w:val="Hipo-Heading2"/>
      <w:suff w:val="space"/>
      <w:lvlText w:val="%1.%2."/>
      <w:lvlJc w:val="left"/>
      <w:pPr>
        <w:ind w:left="284" w:firstLine="0"/>
      </w:pPr>
      <w:rPr>
        <w:b w:val="0"/>
        <w:i w:val="0"/>
      </w:rPr>
    </w:lvl>
    <w:lvl w:ilvl="2">
      <w:start w:val="1"/>
      <w:numFmt w:val="decimal"/>
      <w:pStyle w:val="Hipo-Text1"/>
      <w:suff w:val="space"/>
      <w:lvlText w:val="%1.%2.%3."/>
      <w:lvlJc w:val="left"/>
      <w:pPr>
        <w:ind w:left="1315" w:hanging="595"/>
      </w:pPr>
      <w:rPr>
        <w:b w:val="0"/>
      </w:rPr>
    </w:lvl>
    <w:lvl w:ilvl="3">
      <w:start w:val="1"/>
      <w:numFmt w:val="decimal"/>
      <w:pStyle w:val="Hipo-Text2"/>
      <w:suff w:val="space"/>
      <w:lvlText w:val="%1.%2.%3.%4."/>
      <w:lvlJc w:val="left"/>
      <w:pPr>
        <w:ind w:left="1872" w:hanging="595"/>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5E7610"/>
    <w:multiLevelType w:val="hybridMultilevel"/>
    <w:tmpl w:val="B9C8CEEC"/>
    <w:lvl w:ilvl="0" w:tplc="92868DCE">
      <w:start w:val="1"/>
      <w:numFmt w:val="decimal"/>
      <w:lvlText w:val="%1."/>
      <w:lvlJc w:val="left"/>
      <w:pPr>
        <w:ind w:left="417" w:hanging="360"/>
      </w:pPr>
      <w:rPr>
        <w:rFonts w:eastAsia="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4D9171A8"/>
    <w:multiLevelType w:val="hybridMultilevel"/>
    <w:tmpl w:val="CCE6514C"/>
    <w:lvl w:ilvl="0" w:tplc="62BE90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166FC1"/>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3"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5"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37"/>
  </w:num>
  <w:num w:numId="3">
    <w:abstractNumId w:val="26"/>
  </w:num>
  <w:num w:numId="4">
    <w:abstractNumId w:val="9"/>
  </w:num>
  <w:num w:numId="5">
    <w:abstractNumId w:val="13"/>
  </w:num>
  <w:num w:numId="6">
    <w:abstractNumId w:val="4"/>
  </w:num>
  <w:num w:numId="7">
    <w:abstractNumId w:val="21"/>
  </w:num>
  <w:num w:numId="8">
    <w:abstractNumId w:val="38"/>
  </w:num>
  <w:num w:numId="9">
    <w:abstractNumId w:val="27"/>
  </w:num>
  <w:num w:numId="10">
    <w:abstractNumId w:val="0"/>
  </w:num>
  <w:num w:numId="11">
    <w:abstractNumId w:val="2"/>
  </w:num>
  <w:num w:numId="12">
    <w:abstractNumId w:val="14"/>
  </w:num>
  <w:num w:numId="13">
    <w:abstractNumId w:val="31"/>
  </w:num>
  <w:num w:numId="14">
    <w:abstractNumId w:val="33"/>
  </w:num>
  <w:num w:numId="15">
    <w:abstractNumId w:val="12"/>
  </w:num>
  <w:num w:numId="16">
    <w:abstractNumId w:val="34"/>
  </w:num>
  <w:num w:numId="17">
    <w:abstractNumId w:val="28"/>
  </w:num>
  <w:num w:numId="18">
    <w:abstractNumId w:val="32"/>
  </w:num>
  <w:num w:numId="19">
    <w:abstractNumId w:val="19"/>
  </w:num>
  <w:num w:numId="20">
    <w:abstractNumId w:val="6"/>
  </w:num>
  <w:num w:numId="21">
    <w:abstractNumId w:val="8"/>
  </w:num>
  <w:num w:numId="22">
    <w:abstractNumId w:val="7"/>
  </w:num>
  <w:num w:numId="23">
    <w:abstractNumId w:val="18"/>
  </w:num>
  <w:num w:numId="24">
    <w:abstractNumId w:val="10"/>
  </w:num>
  <w:num w:numId="25">
    <w:abstractNumId w:val="15"/>
  </w:num>
  <w:num w:numId="26">
    <w:abstractNumId w:val="16"/>
  </w:num>
  <w:num w:numId="27">
    <w:abstractNumId w:val="23"/>
  </w:num>
  <w:num w:numId="28">
    <w:abstractNumId w:val="29"/>
  </w:num>
  <w:num w:numId="29">
    <w:abstractNumId w:val="11"/>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2"/>
  </w:num>
  <w:num w:numId="33">
    <w:abstractNumId w:val="5"/>
  </w:num>
  <w:num w:numId="34">
    <w:abstractNumId w:val="30"/>
  </w:num>
  <w:num w:numId="35">
    <w:abstractNumId w:val="1"/>
  </w:num>
  <w:num w:numId="36">
    <w:abstractNumId w:val="17"/>
  </w:num>
  <w:num w:numId="37">
    <w:abstractNumId w:val="25"/>
  </w:num>
  <w:num w:numId="38">
    <w:abstractNumId w:val="2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3B61"/>
    <w:rsid w:val="00014B9F"/>
    <w:rsid w:val="00016159"/>
    <w:rsid w:val="00017A7C"/>
    <w:rsid w:val="0002003C"/>
    <w:rsid w:val="0002596F"/>
    <w:rsid w:val="00026F18"/>
    <w:rsid w:val="0003012D"/>
    <w:rsid w:val="00030B7E"/>
    <w:rsid w:val="0003245D"/>
    <w:rsid w:val="0003265E"/>
    <w:rsid w:val="000430AC"/>
    <w:rsid w:val="0004380E"/>
    <w:rsid w:val="00044743"/>
    <w:rsid w:val="00045463"/>
    <w:rsid w:val="00047095"/>
    <w:rsid w:val="000527A4"/>
    <w:rsid w:val="000678CD"/>
    <w:rsid w:val="00070F56"/>
    <w:rsid w:val="00071082"/>
    <w:rsid w:val="0007156D"/>
    <w:rsid w:val="00071BC9"/>
    <w:rsid w:val="00072B02"/>
    <w:rsid w:val="0007330D"/>
    <w:rsid w:val="00074090"/>
    <w:rsid w:val="000773A5"/>
    <w:rsid w:val="00077C9F"/>
    <w:rsid w:val="00077D13"/>
    <w:rsid w:val="0008002B"/>
    <w:rsid w:val="00080352"/>
    <w:rsid w:val="00080880"/>
    <w:rsid w:val="00081EC5"/>
    <w:rsid w:val="0008515E"/>
    <w:rsid w:val="00085640"/>
    <w:rsid w:val="0009324B"/>
    <w:rsid w:val="00094B1E"/>
    <w:rsid w:val="00095280"/>
    <w:rsid w:val="00096060"/>
    <w:rsid w:val="000964C6"/>
    <w:rsid w:val="000A0059"/>
    <w:rsid w:val="000A14E3"/>
    <w:rsid w:val="000A3897"/>
    <w:rsid w:val="000A68A7"/>
    <w:rsid w:val="000B0748"/>
    <w:rsid w:val="000B1926"/>
    <w:rsid w:val="000B1B64"/>
    <w:rsid w:val="000B2C54"/>
    <w:rsid w:val="000B3449"/>
    <w:rsid w:val="000B3FAB"/>
    <w:rsid w:val="000B492B"/>
    <w:rsid w:val="000C33C1"/>
    <w:rsid w:val="000C4418"/>
    <w:rsid w:val="000D2474"/>
    <w:rsid w:val="000D3D56"/>
    <w:rsid w:val="000D43D9"/>
    <w:rsid w:val="000D74B9"/>
    <w:rsid w:val="000E257B"/>
    <w:rsid w:val="000E53C3"/>
    <w:rsid w:val="000E56F8"/>
    <w:rsid w:val="000E5DD2"/>
    <w:rsid w:val="000F0A62"/>
    <w:rsid w:val="000F4230"/>
    <w:rsid w:val="00102922"/>
    <w:rsid w:val="00102B1D"/>
    <w:rsid w:val="00106E43"/>
    <w:rsid w:val="00107B57"/>
    <w:rsid w:val="00110128"/>
    <w:rsid w:val="0011606F"/>
    <w:rsid w:val="001256C6"/>
    <w:rsid w:val="0012624C"/>
    <w:rsid w:val="00137388"/>
    <w:rsid w:val="00137F96"/>
    <w:rsid w:val="00143BB6"/>
    <w:rsid w:val="00145366"/>
    <w:rsid w:val="00146697"/>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9A6"/>
    <w:rsid w:val="00177C69"/>
    <w:rsid w:val="00180E2B"/>
    <w:rsid w:val="00183B65"/>
    <w:rsid w:val="00186A4D"/>
    <w:rsid w:val="00187140"/>
    <w:rsid w:val="00190B3D"/>
    <w:rsid w:val="001935C8"/>
    <w:rsid w:val="001946C8"/>
    <w:rsid w:val="00195D43"/>
    <w:rsid w:val="001A1368"/>
    <w:rsid w:val="001A1439"/>
    <w:rsid w:val="001A38EA"/>
    <w:rsid w:val="001A3ED2"/>
    <w:rsid w:val="001A7C3A"/>
    <w:rsid w:val="001A7E1D"/>
    <w:rsid w:val="001B03B8"/>
    <w:rsid w:val="001B7454"/>
    <w:rsid w:val="001C0801"/>
    <w:rsid w:val="001C143C"/>
    <w:rsid w:val="001C1B72"/>
    <w:rsid w:val="001C2832"/>
    <w:rsid w:val="001C362D"/>
    <w:rsid w:val="001C563A"/>
    <w:rsid w:val="001C5ED6"/>
    <w:rsid w:val="001C6208"/>
    <w:rsid w:val="001C68A2"/>
    <w:rsid w:val="001D0561"/>
    <w:rsid w:val="001D0800"/>
    <w:rsid w:val="001D3167"/>
    <w:rsid w:val="001D43CE"/>
    <w:rsid w:val="001D7397"/>
    <w:rsid w:val="001D7DC1"/>
    <w:rsid w:val="001E1B0F"/>
    <w:rsid w:val="001E3588"/>
    <w:rsid w:val="001E4C2F"/>
    <w:rsid w:val="001E5FBC"/>
    <w:rsid w:val="001E76BE"/>
    <w:rsid w:val="001F2BA2"/>
    <w:rsid w:val="001F6DBE"/>
    <w:rsid w:val="001F7086"/>
    <w:rsid w:val="001F7AAD"/>
    <w:rsid w:val="00200E7D"/>
    <w:rsid w:val="0020468C"/>
    <w:rsid w:val="00205F08"/>
    <w:rsid w:val="002107BF"/>
    <w:rsid w:val="00211315"/>
    <w:rsid w:val="00213EBB"/>
    <w:rsid w:val="00215C6A"/>
    <w:rsid w:val="002177B0"/>
    <w:rsid w:val="00217F5B"/>
    <w:rsid w:val="00224E84"/>
    <w:rsid w:val="002267E7"/>
    <w:rsid w:val="0023582E"/>
    <w:rsid w:val="00237878"/>
    <w:rsid w:val="002438ED"/>
    <w:rsid w:val="00244A9E"/>
    <w:rsid w:val="00246849"/>
    <w:rsid w:val="00250127"/>
    <w:rsid w:val="0025023B"/>
    <w:rsid w:val="00252EEF"/>
    <w:rsid w:val="00253B6C"/>
    <w:rsid w:val="00254651"/>
    <w:rsid w:val="00254901"/>
    <w:rsid w:val="00255BAC"/>
    <w:rsid w:val="002601C7"/>
    <w:rsid w:val="00261B97"/>
    <w:rsid w:val="002651EA"/>
    <w:rsid w:val="00265C6D"/>
    <w:rsid w:val="0027369F"/>
    <w:rsid w:val="00273700"/>
    <w:rsid w:val="00273B21"/>
    <w:rsid w:val="00277D9D"/>
    <w:rsid w:val="00281C0B"/>
    <w:rsid w:val="00290EE2"/>
    <w:rsid w:val="00292062"/>
    <w:rsid w:val="002932D2"/>
    <w:rsid w:val="002957B7"/>
    <w:rsid w:val="002A0435"/>
    <w:rsid w:val="002A0BC1"/>
    <w:rsid w:val="002A166A"/>
    <w:rsid w:val="002A3EC2"/>
    <w:rsid w:val="002A6400"/>
    <w:rsid w:val="002B1DA2"/>
    <w:rsid w:val="002B3EAE"/>
    <w:rsid w:val="002B4900"/>
    <w:rsid w:val="002B6364"/>
    <w:rsid w:val="002B7F82"/>
    <w:rsid w:val="002C15A0"/>
    <w:rsid w:val="002C22CF"/>
    <w:rsid w:val="002C2A54"/>
    <w:rsid w:val="002C3E23"/>
    <w:rsid w:val="002C3E51"/>
    <w:rsid w:val="002C504B"/>
    <w:rsid w:val="002C7C30"/>
    <w:rsid w:val="002D6680"/>
    <w:rsid w:val="002D6A10"/>
    <w:rsid w:val="002D6BDB"/>
    <w:rsid w:val="002D744A"/>
    <w:rsid w:val="002D7D0E"/>
    <w:rsid w:val="002E024D"/>
    <w:rsid w:val="002E1075"/>
    <w:rsid w:val="002E5252"/>
    <w:rsid w:val="002E5643"/>
    <w:rsid w:val="002E678E"/>
    <w:rsid w:val="002E708A"/>
    <w:rsid w:val="002E7635"/>
    <w:rsid w:val="002F06CE"/>
    <w:rsid w:val="002F06E1"/>
    <w:rsid w:val="002F5587"/>
    <w:rsid w:val="002F741D"/>
    <w:rsid w:val="00300B84"/>
    <w:rsid w:val="00301A6D"/>
    <w:rsid w:val="0030247A"/>
    <w:rsid w:val="00303955"/>
    <w:rsid w:val="00304810"/>
    <w:rsid w:val="003061FB"/>
    <w:rsid w:val="00306246"/>
    <w:rsid w:val="00306270"/>
    <w:rsid w:val="0031008A"/>
    <w:rsid w:val="00310924"/>
    <w:rsid w:val="0031259B"/>
    <w:rsid w:val="00314298"/>
    <w:rsid w:val="00314D9C"/>
    <w:rsid w:val="003176D3"/>
    <w:rsid w:val="003228DE"/>
    <w:rsid w:val="00323C8A"/>
    <w:rsid w:val="00326096"/>
    <w:rsid w:val="003334FB"/>
    <w:rsid w:val="0033779C"/>
    <w:rsid w:val="00337AC6"/>
    <w:rsid w:val="00341BEB"/>
    <w:rsid w:val="00343A18"/>
    <w:rsid w:val="0034476B"/>
    <w:rsid w:val="003469B5"/>
    <w:rsid w:val="00346CE0"/>
    <w:rsid w:val="00354ABE"/>
    <w:rsid w:val="00356AEA"/>
    <w:rsid w:val="00357B61"/>
    <w:rsid w:val="0036009D"/>
    <w:rsid w:val="00360657"/>
    <w:rsid w:val="00364B19"/>
    <w:rsid w:val="00366AFE"/>
    <w:rsid w:val="00367A53"/>
    <w:rsid w:val="00367B98"/>
    <w:rsid w:val="00374F73"/>
    <w:rsid w:val="00375F30"/>
    <w:rsid w:val="00376F09"/>
    <w:rsid w:val="00380AC5"/>
    <w:rsid w:val="00381382"/>
    <w:rsid w:val="003814A5"/>
    <w:rsid w:val="00381B26"/>
    <w:rsid w:val="00382FEC"/>
    <w:rsid w:val="00385772"/>
    <w:rsid w:val="00387734"/>
    <w:rsid w:val="0039139B"/>
    <w:rsid w:val="003913FB"/>
    <w:rsid w:val="00392998"/>
    <w:rsid w:val="0039316A"/>
    <w:rsid w:val="00395460"/>
    <w:rsid w:val="00396152"/>
    <w:rsid w:val="00397D0E"/>
    <w:rsid w:val="003A1D77"/>
    <w:rsid w:val="003A24AD"/>
    <w:rsid w:val="003A40AD"/>
    <w:rsid w:val="003A6A32"/>
    <w:rsid w:val="003B1693"/>
    <w:rsid w:val="003B32EC"/>
    <w:rsid w:val="003B3488"/>
    <w:rsid w:val="003B412A"/>
    <w:rsid w:val="003B5E55"/>
    <w:rsid w:val="003B5F6A"/>
    <w:rsid w:val="003B63BE"/>
    <w:rsid w:val="003B7B62"/>
    <w:rsid w:val="003C072B"/>
    <w:rsid w:val="003C3D3D"/>
    <w:rsid w:val="003C7796"/>
    <w:rsid w:val="003D0448"/>
    <w:rsid w:val="003D1A86"/>
    <w:rsid w:val="003D1F27"/>
    <w:rsid w:val="003D3E7E"/>
    <w:rsid w:val="003D7F0B"/>
    <w:rsid w:val="003E145E"/>
    <w:rsid w:val="003E171B"/>
    <w:rsid w:val="003E241E"/>
    <w:rsid w:val="003E33F9"/>
    <w:rsid w:val="003E3959"/>
    <w:rsid w:val="003E4132"/>
    <w:rsid w:val="003E58C7"/>
    <w:rsid w:val="003E5A6D"/>
    <w:rsid w:val="003E5D7B"/>
    <w:rsid w:val="003E637A"/>
    <w:rsid w:val="003F0341"/>
    <w:rsid w:val="003F288B"/>
    <w:rsid w:val="003F2B20"/>
    <w:rsid w:val="003F2C34"/>
    <w:rsid w:val="003F30FC"/>
    <w:rsid w:val="003F45CD"/>
    <w:rsid w:val="003F4CC7"/>
    <w:rsid w:val="003F7C94"/>
    <w:rsid w:val="00401192"/>
    <w:rsid w:val="00401397"/>
    <w:rsid w:val="004038BC"/>
    <w:rsid w:val="00406AE2"/>
    <w:rsid w:val="0041036A"/>
    <w:rsid w:val="0041202B"/>
    <w:rsid w:val="0041316A"/>
    <w:rsid w:val="004158F6"/>
    <w:rsid w:val="00415A66"/>
    <w:rsid w:val="00416A31"/>
    <w:rsid w:val="00417136"/>
    <w:rsid w:val="00420760"/>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50691"/>
    <w:rsid w:val="00450D9C"/>
    <w:rsid w:val="00452140"/>
    <w:rsid w:val="00452889"/>
    <w:rsid w:val="00453BB3"/>
    <w:rsid w:val="004619FE"/>
    <w:rsid w:val="00463574"/>
    <w:rsid w:val="004666F3"/>
    <w:rsid w:val="00467343"/>
    <w:rsid w:val="0047031A"/>
    <w:rsid w:val="00472A74"/>
    <w:rsid w:val="004741BD"/>
    <w:rsid w:val="00481C20"/>
    <w:rsid w:val="00483B86"/>
    <w:rsid w:val="00485293"/>
    <w:rsid w:val="004853B1"/>
    <w:rsid w:val="00485E47"/>
    <w:rsid w:val="00490499"/>
    <w:rsid w:val="00497AB8"/>
    <w:rsid w:val="004A026D"/>
    <w:rsid w:val="004A2EE3"/>
    <w:rsid w:val="004A4356"/>
    <w:rsid w:val="004A5EEF"/>
    <w:rsid w:val="004B0B1D"/>
    <w:rsid w:val="004B1EB2"/>
    <w:rsid w:val="004C0738"/>
    <w:rsid w:val="004C0C33"/>
    <w:rsid w:val="004C0FE6"/>
    <w:rsid w:val="004C20F1"/>
    <w:rsid w:val="004C253C"/>
    <w:rsid w:val="004C2FC4"/>
    <w:rsid w:val="004C311F"/>
    <w:rsid w:val="004C5C40"/>
    <w:rsid w:val="004D0B68"/>
    <w:rsid w:val="004D0F95"/>
    <w:rsid w:val="004D232B"/>
    <w:rsid w:val="004D3010"/>
    <w:rsid w:val="004D3ABB"/>
    <w:rsid w:val="004D7FE7"/>
    <w:rsid w:val="004E4946"/>
    <w:rsid w:val="004E5D38"/>
    <w:rsid w:val="004E603B"/>
    <w:rsid w:val="004E626B"/>
    <w:rsid w:val="004E6C7D"/>
    <w:rsid w:val="004F13BD"/>
    <w:rsid w:val="004F1FF6"/>
    <w:rsid w:val="004F27D9"/>
    <w:rsid w:val="004F478F"/>
    <w:rsid w:val="0050230D"/>
    <w:rsid w:val="0050364D"/>
    <w:rsid w:val="00503D17"/>
    <w:rsid w:val="00504D6E"/>
    <w:rsid w:val="005116FB"/>
    <w:rsid w:val="00514B75"/>
    <w:rsid w:val="00515D44"/>
    <w:rsid w:val="00530DE5"/>
    <w:rsid w:val="00531AFF"/>
    <w:rsid w:val="00531C6F"/>
    <w:rsid w:val="00532875"/>
    <w:rsid w:val="00534305"/>
    <w:rsid w:val="00534D4D"/>
    <w:rsid w:val="00537F6A"/>
    <w:rsid w:val="00537FF8"/>
    <w:rsid w:val="00541359"/>
    <w:rsid w:val="005464E6"/>
    <w:rsid w:val="00546938"/>
    <w:rsid w:val="00547ACF"/>
    <w:rsid w:val="00552639"/>
    <w:rsid w:val="00552AF1"/>
    <w:rsid w:val="00555557"/>
    <w:rsid w:val="00557AA8"/>
    <w:rsid w:val="00563D39"/>
    <w:rsid w:val="00566916"/>
    <w:rsid w:val="00566F71"/>
    <w:rsid w:val="00567050"/>
    <w:rsid w:val="00567FC5"/>
    <w:rsid w:val="00571CCF"/>
    <w:rsid w:val="00572180"/>
    <w:rsid w:val="00572337"/>
    <w:rsid w:val="00573FFE"/>
    <w:rsid w:val="00575FC3"/>
    <w:rsid w:val="0057625C"/>
    <w:rsid w:val="00576743"/>
    <w:rsid w:val="005771D5"/>
    <w:rsid w:val="00581784"/>
    <w:rsid w:val="00584453"/>
    <w:rsid w:val="00591838"/>
    <w:rsid w:val="00592809"/>
    <w:rsid w:val="00593343"/>
    <w:rsid w:val="00594A83"/>
    <w:rsid w:val="005A0C78"/>
    <w:rsid w:val="005A4807"/>
    <w:rsid w:val="005A5A80"/>
    <w:rsid w:val="005B297A"/>
    <w:rsid w:val="005B29EF"/>
    <w:rsid w:val="005B2DA5"/>
    <w:rsid w:val="005B357B"/>
    <w:rsid w:val="005B476F"/>
    <w:rsid w:val="005B4B5F"/>
    <w:rsid w:val="005B5F05"/>
    <w:rsid w:val="005B6095"/>
    <w:rsid w:val="005B65B8"/>
    <w:rsid w:val="005B6A0D"/>
    <w:rsid w:val="005B6D1C"/>
    <w:rsid w:val="005C04E5"/>
    <w:rsid w:val="005C1764"/>
    <w:rsid w:val="005C23F6"/>
    <w:rsid w:val="005C3B2C"/>
    <w:rsid w:val="005C3D03"/>
    <w:rsid w:val="005C51FA"/>
    <w:rsid w:val="005C5413"/>
    <w:rsid w:val="005C63C7"/>
    <w:rsid w:val="005C6628"/>
    <w:rsid w:val="005C6B2C"/>
    <w:rsid w:val="005C73E4"/>
    <w:rsid w:val="005C7B1F"/>
    <w:rsid w:val="005D06E8"/>
    <w:rsid w:val="005D1195"/>
    <w:rsid w:val="005D2167"/>
    <w:rsid w:val="005D2D68"/>
    <w:rsid w:val="005D688E"/>
    <w:rsid w:val="005D6B98"/>
    <w:rsid w:val="005D794E"/>
    <w:rsid w:val="005E30B2"/>
    <w:rsid w:val="005E39B3"/>
    <w:rsid w:val="005E4164"/>
    <w:rsid w:val="005F1D39"/>
    <w:rsid w:val="005F3FC6"/>
    <w:rsid w:val="005F75C4"/>
    <w:rsid w:val="006002BF"/>
    <w:rsid w:val="00600301"/>
    <w:rsid w:val="006008D1"/>
    <w:rsid w:val="00611ADA"/>
    <w:rsid w:val="00611E0A"/>
    <w:rsid w:val="00611E18"/>
    <w:rsid w:val="00611FC0"/>
    <w:rsid w:val="00613A4A"/>
    <w:rsid w:val="00614157"/>
    <w:rsid w:val="00614A2A"/>
    <w:rsid w:val="00614ECD"/>
    <w:rsid w:val="00617208"/>
    <w:rsid w:val="006226BA"/>
    <w:rsid w:val="006231D7"/>
    <w:rsid w:val="00626031"/>
    <w:rsid w:val="00630C6C"/>
    <w:rsid w:val="00630ED2"/>
    <w:rsid w:val="00631935"/>
    <w:rsid w:val="00636B91"/>
    <w:rsid w:val="006373FF"/>
    <w:rsid w:val="00646A6F"/>
    <w:rsid w:val="00653397"/>
    <w:rsid w:val="006535C3"/>
    <w:rsid w:val="006553CD"/>
    <w:rsid w:val="006559F5"/>
    <w:rsid w:val="0065752A"/>
    <w:rsid w:val="00661782"/>
    <w:rsid w:val="00662C11"/>
    <w:rsid w:val="00672822"/>
    <w:rsid w:val="006729D2"/>
    <w:rsid w:val="00673B07"/>
    <w:rsid w:val="00673BC6"/>
    <w:rsid w:val="006775B3"/>
    <w:rsid w:val="00684808"/>
    <w:rsid w:val="0068608E"/>
    <w:rsid w:val="00690F72"/>
    <w:rsid w:val="00692AB0"/>
    <w:rsid w:val="006938D7"/>
    <w:rsid w:val="006A4944"/>
    <w:rsid w:val="006A4B2B"/>
    <w:rsid w:val="006B0197"/>
    <w:rsid w:val="006B2D92"/>
    <w:rsid w:val="006B2FEF"/>
    <w:rsid w:val="006B4B31"/>
    <w:rsid w:val="006B4CD6"/>
    <w:rsid w:val="006B6581"/>
    <w:rsid w:val="006B6D6C"/>
    <w:rsid w:val="006C20C5"/>
    <w:rsid w:val="006C5402"/>
    <w:rsid w:val="006C5ECD"/>
    <w:rsid w:val="006D1520"/>
    <w:rsid w:val="006D2482"/>
    <w:rsid w:val="006D2F0C"/>
    <w:rsid w:val="006D3604"/>
    <w:rsid w:val="006D536E"/>
    <w:rsid w:val="006D5EB4"/>
    <w:rsid w:val="006D77B1"/>
    <w:rsid w:val="006E2082"/>
    <w:rsid w:val="006E3BE5"/>
    <w:rsid w:val="006E5D5B"/>
    <w:rsid w:val="006E67BA"/>
    <w:rsid w:val="006E6E53"/>
    <w:rsid w:val="006F2362"/>
    <w:rsid w:val="006F47EB"/>
    <w:rsid w:val="006F4B13"/>
    <w:rsid w:val="006F4DE9"/>
    <w:rsid w:val="006F5AAD"/>
    <w:rsid w:val="006F61B5"/>
    <w:rsid w:val="006F6FFA"/>
    <w:rsid w:val="006F71C2"/>
    <w:rsid w:val="007008B0"/>
    <w:rsid w:val="00700AC3"/>
    <w:rsid w:val="00700AD6"/>
    <w:rsid w:val="00700E68"/>
    <w:rsid w:val="00701065"/>
    <w:rsid w:val="0070175E"/>
    <w:rsid w:val="007026AB"/>
    <w:rsid w:val="00703DC5"/>
    <w:rsid w:val="007040F2"/>
    <w:rsid w:val="007049DF"/>
    <w:rsid w:val="007120EE"/>
    <w:rsid w:val="0071279F"/>
    <w:rsid w:val="007153C5"/>
    <w:rsid w:val="007161D3"/>
    <w:rsid w:val="00720C35"/>
    <w:rsid w:val="00720E7B"/>
    <w:rsid w:val="00722964"/>
    <w:rsid w:val="007262F0"/>
    <w:rsid w:val="007314F1"/>
    <w:rsid w:val="00731BE9"/>
    <w:rsid w:val="00731E2B"/>
    <w:rsid w:val="00733C32"/>
    <w:rsid w:val="007420D7"/>
    <w:rsid w:val="0074545C"/>
    <w:rsid w:val="00752DBC"/>
    <w:rsid w:val="00753FF4"/>
    <w:rsid w:val="0075411D"/>
    <w:rsid w:val="00756F8A"/>
    <w:rsid w:val="00757367"/>
    <w:rsid w:val="00760295"/>
    <w:rsid w:val="00760B97"/>
    <w:rsid w:val="00762675"/>
    <w:rsid w:val="00762FC8"/>
    <w:rsid w:val="00765825"/>
    <w:rsid w:val="007700D3"/>
    <w:rsid w:val="00770970"/>
    <w:rsid w:val="0077131C"/>
    <w:rsid w:val="0077138B"/>
    <w:rsid w:val="0077534E"/>
    <w:rsid w:val="0078045E"/>
    <w:rsid w:val="00780B70"/>
    <w:rsid w:val="00782847"/>
    <w:rsid w:val="00783777"/>
    <w:rsid w:val="00783D20"/>
    <w:rsid w:val="00785232"/>
    <w:rsid w:val="007862D0"/>
    <w:rsid w:val="0079247D"/>
    <w:rsid w:val="00794F2D"/>
    <w:rsid w:val="007954D3"/>
    <w:rsid w:val="00796159"/>
    <w:rsid w:val="00797AAD"/>
    <w:rsid w:val="007A2F02"/>
    <w:rsid w:val="007A5127"/>
    <w:rsid w:val="007A5C51"/>
    <w:rsid w:val="007B41D7"/>
    <w:rsid w:val="007C1A7D"/>
    <w:rsid w:val="007C4094"/>
    <w:rsid w:val="007C45C5"/>
    <w:rsid w:val="007C608D"/>
    <w:rsid w:val="007C62B1"/>
    <w:rsid w:val="007D50AE"/>
    <w:rsid w:val="007D516C"/>
    <w:rsid w:val="007E1BAC"/>
    <w:rsid w:val="007E1EA6"/>
    <w:rsid w:val="007E2FDE"/>
    <w:rsid w:val="007E4C1F"/>
    <w:rsid w:val="007E6943"/>
    <w:rsid w:val="007F0204"/>
    <w:rsid w:val="007F5C3C"/>
    <w:rsid w:val="007F5C58"/>
    <w:rsid w:val="007F6449"/>
    <w:rsid w:val="007F6674"/>
    <w:rsid w:val="007F6EA8"/>
    <w:rsid w:val="0080630B"/>
    <w:rsid w:val="00806AB5"/>
    <w:rsid w:val="00807142"/>
    <w:rsid w:val="008074E3"/>
    <w:rsid w:val="00807802"/>
    <w:rsid w:val="0080799C"/>
    <w:rsid w:val="00810C18"/>
    <w:rsid w:val="0081407D"/>
    <w:rsid w:val="00814421"/>
    <w:rsid w:val="00814AFC"/>
    <w:rsid w:val="00814B22"/>
    <w:rsid w:val="00822862"/>
    <w:rsid w:val="0082350A"/>
    <w:rsid w:val="0082597B"/>
    <w:rsid w:val="00830B1B"/>
    <w:rsid w:val="00831A5D"/>
    <w:rsid w:val="00831DB4"/>
    <w:rsid w:val="008365EC"/>
    <w:rsid w:val="00837390"/>
    <w:rsid w:val="00844176"/>
    <w:rsid w:val="008503CA"/>
    <w:rsid w:val="008520B9"/>
    <w:rsid w:val="0085318D"/>
    <w:rsid w:val="008565FB"/>
    <w:rsid w:val="00862580"/>
    <w:rsid w:val="00862834"/>
    <w:rsid w:val="00871516"/>
    <w:rsid w:val="00871922"/>
    <w:rsid w:val="00871E2F"/>
    <w:rsid w:val="008764DD"/>
    <w:rsid w:val="00877499"/>
    <w:rsid w:val="00882ECF"/>
    <w:rsid w:val="008841EB"/>
    <w:rsid w:val="00885759"/>
    <w:rsid w:val="0088688D"/>
    <w:rsid w:val="00891085"/>
    <w:rsid w:val="00891622"/>
    <w:rsid w:val="00891C00"/>
    <w:rsid w:val="0089560D"/>
    <w:rsid w:val="00895E41"/>
    <w:rsid w:val="0089734D"/>
    <w:rsid w:val="008A0A32"/>
    <w:rsid w:val="008A1056"/>
    <w:rsid w:val="008A7CC5"/>
    <w:rsid w:val="008B1CC3"/>
    <w:rsid w:val="008B206C"/>
    <w:rsid w:val="008B4335"/>
    <w:rsid w:val="008B56DF"/>
    <w:rsid w:val="008B5B2C"/>
    <w:rsid w:val="008B5EFB"/>
    <w:rsid w:val="008C4728"/>
    <w:rsid w:val="008C7959"/>
    <w:rsid w:val="008D4F09"/>
    <w:rsid w:val="008D539E"/>
    <w:rsid w:val="008D65D5"/>
    <w:rsid w:val="008D75EB"/>
    <w:rsid w:val="008D7F23"/>
    <w:rsid w:val="008E1D74"/>
    <w:rsid w:val="008E1F57"/>
    <w:rsid w:val="008E5D85"/>
    <w:rsid w:val="008E751B"/>
    <w:rsid w:val="00900C33"/>
    <w:rsid w:val="0090193D"/>
    <w:rsid w:val="009034C7"/>
    <w:rsid w:val="0090549B"/>
    <w:rsid w:val="00906ABE"/>
    <w:rsid w:val="00907DD7"/>
    <w:rsid w:val="00910BBC"/>
    <w:rsid w:val="00911915"/>
    <w:rsid w:val="009165D6"/>
    <w:rsid w:val="00917D6F"/>
    <w:rsid w:val="00921504"/>
    <w:rsid w:val="00922352"/>
    <w:rsid w:val="0092710C"/>
    <w:rsid w:val="00927893"/>
    <w:rsid w:val="0093112B"/>
    <w:rsid w:val="0093298F"/>
    <w:rsid w:val="0093507D"/>
    <w:rsid w:val="00937BB0"/>
    <w:rsid w:val="0094022B"/>
    <w:rsid w:val="00942D63"/>
    <w:rsid w:val="0094437B"/>
    <w:rsid w:val="009455DB"/>
    <w:rsid w:val="00951ED7"/>
    <w:rsid w:val="00954428"/>
    <w:rsid w:val="00954541"/>
    <w:rsid w:val="00954C0F"/>
    <w:rsid w:val="00956218"/>
    <w:rsid w:val="00956C4B"/>
    <w:rsid w:val="00957E64"/>
    <w:rsid w:val="00961605"/>
    <w:rsid w:val="00963C88"/>
    <w:rsid w:val="00965995"/>
    <w:rsid w:val="00966814"/>
    <w:rsid w:val="00970D58"/>
    <w:rsid w:val="00971529"/>
    <w:rsid w:val="00973167"/>
    <w:rsid w:val="00993596"/>
    <w:rsid w:val="00995A83"/>
    <w:rsid w:val="009A6766"/>
    <w:rsid w:val="009A692C"/>
    <w:rsid w:val="009A7E10"/>
    <w:rsid w:val="009B1CEB"/>
    <w:rsid w:val="009B2576"/>
    <w:rsid w:val="009B3508"/>
    <w:rsid w:val="009B3AE3"/>
    <w:rsid w:val="009B43EB"/>
    <w:rsid w:val="009B584C"/>
    <w:rsid w:val="009B6613"/>
    <w:rsid w:val="009B7000"/>
    <w:rsid w:val="009B75D4"/>
    <w:rsid w:val="009C061A"/>
    <w:rsid w:val="009C0D4C"/>
    <w:rsid w:val="009C108E"/>
    <w:rsid w:val="009C1FE8"/>
    <w:rsid w:val="009C228A"/>
    <w:rsid w:val="009C282F"/>
    <w:rsid w:val="009C2E2D"/>
    <w:rsid w:val="009C3257"/>
    <w:rsid w:val="009C7F6E"/>
    <w:rsid w:val="009D0A96"/>
    <w:rsid w:val="009D1051"/>
    <w:rsid w:val="009D32A1"/>
    <w:rsid w:val="009D43B2"/>
    <w:rsid w:val="009E1DDF"/>
    <w:rsid w:val="009E5C84"/>
    <w:rsid w:val="009F0FC9"/>
    <w:rsid w:val="009F1A7E"/>
    <w:rsid w:val="00A02CAC"/>
    <w:rsid w:val="00A03E32"/>
    <w:rsid w:val="00A06120"/>
    <w:rsid w:val="00A13FC8"/>
    <w:rsid w:val="00A14369"/>
    <w:rsid w:val="00A154D5"/>
    <w:rsid w:val="00A2067E"/>
    <w:rsid w:val="00A21F19"/>
    <w:rsid w:val="00A229AC"/>
    <w:rsid w:val="00A23E8B"/>
    <w:rsid w:val="00A2453E"/>
    <w:rsid w:val="00A25225"/>
    <w:rsid w:val="00A25F14"/>
    <w:rsid w:val="00A26676"/>
    <w:rsid w:val="00A267B2"/>
    <w:rsid w:val="00A27A02"/>
    <w:rsid w:val="00A30DAB"/>
    <w:rsid w:val="00A32A3F"/>
    <w:rsid w:val="00A337C5"/>
    <w:rsid w:val="00A33B10"/>
    <w:rsid w:val="00A34EAB"/>
    <w:rsid w:val="00A37CD5"/>
    <w:rsid w:val="00A41FB2"/>
    <w:rsid w:val="00A468F1"/>
    <w:rsid w:val="00A541ED"/>
    <w:rsid w:val="00A562DC"/>
    <w:rsid w:val="00A56E9B"/>
    <w:rsid w:val="00A66F1F"/>
    <w:rsid w:val="00A72442"/>
    <w:rsid w:val="00A73448"/>
    <w:rsid w:val="00A86F1C"/>
    <w:rsid w:val="00A9174A"/>
    <w:rsid w:val="00A91E07"/>
    <w:rsid w:val="00A92A07"/>
    <w:rsid w:val="00A93054"/>
    <w:rsid w:val="00A9484E"/>
    <w:rsid w:val="00A94B68"/>
    <w:rsid w:val="00A969CC"/>
    <w:rsid w:val="00A96C8D"/>
    <w:rsid w:val="00A9708B"/>
    <w:rsid w:val="00AA1BFB"/>
    <w:rsid w:val="00AA3A72"/>
    <w:rsid w:val="00AB3EB4"/>
    <w:rsid w:val="00AB6AE8"/>
    <w:rsid w:val="00AC24BD"/>
    <w:rsid w:val="00AD1D82"/>
    <w:rsid w:val="00AD2587"/>
    <w:rsid w:val="00AD3D79"/>
    <w:rsid w:val="00AD5B91"/>
    <w:rsid w:val="00AD5C75"/>
    <w:rsid w:val="00AD6AEF"/>
    <w:rsid w:val="00AE0055"/>
    <w:rsid w:val="00AE091D"/>
    <w:rsid w:val="00AE4AB1"/>
    <w:rsid w:val="00AE5675"/>
    <w:rsid w:val="00AE57EC"/>
    <w:rsid w:val="00AE64F9"/>
    <w:rsid w:val="00AF1C04"/>
    <w:rsid w:val="00AF254A"/>
    <w:rsid w:val="00AF36C9"/>
    <w:rsid w:val="00AF5DF5"/>
    <w:rsid w:val="00AF755E"/>
    <w:rsid w:val="00B02EDD"/>
    <w:rsid w:val="00B0569D"/>
    <w:rsid w:val="00B10B94"/>
    <w:rsid w:val="00B111A5"/>
    <w:rsid w:val="00B117F2"/>
    <w:rsid w:val="00B13379"/>
    <w:rsid w:val="00B13C6F"/>
    <w:rsid w:val="00B14D75"/>
    <w:rsid w:val="00B15DBA"/>
    <w:rsid w:val="00B2297A"/>
    <w:rsid w:val="00B230F6"/>
    <w:rsid w:val="00B26202"/>
    <w:rsid w:val="00B300C7"/>
    <w:rsid w:val="00B32793"/>
    <w:rsid w:val="00B36699"/>
    <w:rsid w:val="00B404B6"/>
    <w:rsid w:val="00B414FF"/>
    <w:rsid w:val="00B4164D"/>
    <w:rsid w:val="00B4246F"/>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4B38"/>
    <w:rsid w:val="00B762A0"/>
    <w:rsid w:val="00B77466"/>
    <w:rsid w:val="00B77E56"/>
    <w:rsid w:val="00B80371"/>
    <w:rsid w:val="00B8269F"/>
    <w:rsid w:val="00B837AE"/>
    <w:rsid w:val="00B83EED"/>
    <w:rsid w:val="00B85A89"/>
    <w:rsid w:val="00B868AD"/>
    <w:rsid w:val="00B9742D"/>
    <w:rsid w:val="00BA2274"/>
    <w:rsid w:val="00BB0BAA"/>
    <w:rsid w:val="00BB1EA2"/>
    <w:rsid w:val="00BB1F36"/>
    <w:rsid w:val="00BB3495"/>
    <w:rsid w:val="00BB480B"/>
    <w:rsid w:val="00BB4E62"/>
    <w:rsid w:val="00BB55EA"/>
    <w:rsid w:val="00BC608E"/>
    <w:rsid w:val="00BC69DC"/>
    <w:rsid w:val="00BC7045"/>
    <w:rsid w:val="00BD20AE"/>
    <w:rsid w:val="00BD7AE1"/>
    <w:rsid w:val="00BE15E4"/>
    <w:rsid w:val="00BE277E"/>
    <w:rsid w:val="00BE57D2"/>
    <w:rsid w:val="00BE6127"/>
    <w:rsid w:val="00BF13E6"/>
    <w:rsid w:val="00BF15B9"/>
    <w:rsid w:val="00BF7BD9"/>
    <w:rsid w:val="00BF7D60"/>
    <w:rsid w:val="00C017FE"/>
    <w:rsid w:val="00C0447C"/>
    <w:rsid w:val="00C04CAF"/>
    <w:rsid w:val="00C050AF"/>
    <w:rsid w:val="00C05EF2"/>
    <w:rsid w:val="00C12263"/>
    <w:rsid w:val="00C12CF8"/>
    <w:rsid w:val="00C136CD"/>
    <w:rsid w:val="00C14D1E"/>
    <w:rsid w:val="00C15EB7"/>
    <w:rsid w:val="00C212B4"/>
    <w:rsid w:val="00C21746"/>
    <w:rsid w:val="00C220E6"/>
    <w:rsid w:val="00C23427"/>
    <w:rsid w:val="00C23F73"/>
    <w:rsid w:val="00C25016"/>
    <w:rsid w:val="00C2517F"/>
    <w:rsid w:val="00C26333"/>
    <w:rsid w:val="00C264E6"/>
    <w:rsid w:val="00C26E37"/>
    <w:rsid w:val="00C271E6"/>
    <w:rsid w:val="00C32742"/>
    <w:rsid w:val="00C32C97"/>
    <w:rsid w:val="00C353F8"/>
    <w:rsid w:val="00C35A54"/>
    <w:rsid w:val="00C416DB"/>
    <w:rsid w:val="00C423B7"/>
    <w:rsid w:val="00C42887"/>
    <w:rsid w:val="00C42ACD"/>
    <w:rsid w:val="00C446A5"/>
    <w:rsid w:val="00C45150"/>
    <w:rsid w:val="00C46737"/>
    <w:rsid w:val="00C52004"/>
    <w:rsid w:val="00C6333E"/>
    <w:rsid w:val="00C633A8"/>
    <w:rsid w:val="00C64DE5"/>
    <w:rsid w:val="00C65AAE"/>
    <w:rsid w:val="00C66A4D"/>
    <w:rsid w:val="00C7141D"/>
    <w:rsid w:val="00C72945"/>
    <w:rsid w:val="00C77C68"/>
    <w:rsid w:val="00C85115"/>
    <w:rsid w:val="00C86896"/>
    <w:rsid w:val="00C86AE5"/>
    <w:rsid w:val="00C933DE"/>
    <w:rsid w:val="00CA082C"/>
    <w:rsid w:val="00CA0BCB"/>
    <w:rsid w:val="00CA373F"/>
    <w:rsid w:val="00CB2A80"/>
    <w:rsid w:val="00CB2BB3"/>
    <w:rsid w:val="00CB5A26"/>
    <w:rsid w:val="00CB6AC4"/>
    <w:rsid w:val="00CD1C12"/>
    <w:rsid w:val="00CD1F7F"/>
    <w:rsid w:val="00CE0AC5"/>
    <w:rsid w:val="00CE1DD6"/>
    <w:rsid w:val="00CE35E1"/>
    <w:rsid w:val="00CE5541"/>
    <w:rsid w:val="00CF24F0"/>
    <w:rsid w:val="00CF4607"/>
    <w:rsid w:val="00CF6767"/>
    <w:rsid w:val="00CF747C"/>
    <w:rsid w:val="00D00576"/>
    <w:rsid w:val="00D0207F"/>
    <w:rsid w:val="00D04299"/>
    <w:rsid w:val="00D0506F"/>
    <w:rsid w:val="00D05A7A"/>
    <w:rsid w:val="00D07B78"/>
    <w:rsid w:val="00D12B80"/>
    <w:rsid w:val="00D13BD0"/>
    <w:rsid w:val="00D13D6F"/>
    <w:rsid w:val="00D165F4"/>
    <w:rsid w:val="00D16C33"/>
    <w:rsid w:val="00D20CC5"/>
    <w:rsid w:val="00D217AC"/>
    <w:rsid w:val="00D31BE1"/>
    <w:rsid w:val="00D324CC"/>
    <w:rsid w:val="00D328FA"/>
    <w:rsid w:val="00D33EC0"/>
    <w:rsid w:val="00D37973"/>
    <w:rsid w:val="00D41F46"/>
    <w:rsid w:val="00D42754"/>
    <w:rsid w:val="00D455A4"/>
    <w:rsid w:val="00D5265D"/>
    <w:rsid w:val="00D62E09"/>
    <w:rsid w:val="00D64101"/>
    <w:rsid w:val="00D64FFD"/>
    <w:rsid w:val="00D67CE9"/>
    <w:rsid w:val="00D70AAA"/>
    <w:rsid w:val="00D71684"/>
    <w:rsid w:val="00D767E6"/>
    <w:rsid w:val="00D76D7C"/>
    <w:rsid w:val="00D77A0C"/>
    <w:rsid w:val="00D8131B"/>
    <w:rsid w:val="00D8180A"/>
    <w:rsid w:val="00D81D94"/>
    <w:rsid w:val="00D82820"/>
    <w:rsid w:val="00D8420C"/>
    <w:rsid w:val="00D84DE0"/>
    <w:rsid w:val="00D96FBA"/>
    <w:rsid w:val="00D97622"/>
    <w:rsid w:val="00DA1FCE"/>
    <w:rsid w:val="00DA239C"/>
    <w:rsid w:val="00DA5909"/>
    <w:rsid w:val="00DB3228"/>
    <w:rsid w:val="00DB3721"/>
    <w:rsid w:val="00DB3D04"/>
    <w:rsid w:val="00DC2A7C"/>
    <w:rsid w:val="00DC64F8"/>
    <w:rsid w:val="00DC72F1"/>
    <w:rsid w:val="00DD00BE"/>
    <w:rsid w:val="00DD02D4"/>
    <w:rsid w:val="00DD0953"/>
    <w:rsid w:val="00DD1CB9"/>
    <w:rsid w:val="00DD1F77"/>
    <w:rsid w:val="00DD2637"/>
    <w:rsid w:val="00DD2F35"/>
    <w:rsid w:val="00DD696D"/>
    <w:rsid w:val="00DE02C9"/>
    <w:rsid w:val="00DF0BB3"/>
    <w:rsid w:val="00DF2030"/>
    <w:rsid w:val="00DF3993"/>
    <w:rsid w:val="00DF6E16"/>
    <w:rsid w:val="00E00218"/>
    <w:rsid w:val="00E0029E"/>
    <w:rsid w:val="00E01566"/>
    <w:rsid w:val="00E018E1"/>
    <w:rsid w:val="00E0333C"/>
    <w:rsid w:val="00E0484E"/>
    <w:rsid w:val="00E07AC4"/>
    <w:rsid w:val="00E10305"/>
    <w:rsid w:val="00E1062C"/>
    <w:rsid w:val="00E1136D"/>
    <w:rsid w:val="00E116BA"/>
    <w:rsid w:val="00E11D29"/>
    <w:rsid w:val="00E140A6"/>
    <w:rsid w:val="00E15447"/>
    <w:rsid w:val="00E15B7B"/>
    <w:rsid w:val="00E20773"/>
    <w:rsid w:val="00E2107F"/>
    <w:rsid w:val="00E23059"/>
    <w:rsid w:val="00E231E0"/>
    <w:rsid w:val="00E30352"/>
    <w:rsid w:val="00E33146"/>
    <w:rsid w:val="00E34B78"/>
    <w:rsid w:val="00E37F50"/>
    <w:rsid w:val="00E40942"/>
    <w:rsid w:val="00E50E6F"/>
    <w:rsid w:val="00E539B3"/>
    <w:rsid w:val="00E55EC8"/>
    <w:rsid w:val="00E56469"/>
    <w:rsid w:val="00E56D02"/>
    <w:rsid w:val="00E57209"/>
    <w:rsid w:val="00E5727D"/>
    <w:rsid w:val="00E57FAB"/>
    <w:rsid w:val="00E713A7"/>
    <w:rsid w:val="00E72404"/>
    <w:rsid w:val="00E74A15"/>
    <w:rsid w:val="00E7567F"/>
    <w:rsid w:val="00E81F3E"/>
    <w:rsid w:val="00E834B0"/>
    <w:rsid w:val="00E85807"/>
    <w:rsid w:val="00E86211"/>
    <w:rsid w:val="00E86ACB"/>
    <w:rsid w:val="00E900E0"/>
    <w:rsid w:val="00E9122B"/>
    <w:rsid w:val="00E93CFE"/>
    <w:rsid w:val="00E94399"/>
    <w:rsid w:val="00E953B9"/>
    <w:rsid w:val="00E95546"/>
    <w:rsid w:val="00EA0EBB"/>
    <w:rsid w:val="00EA158B"/>
    <w:rsid w:val="00EA1619"/>
    <w:rsid w:val="00EA49CE"/>
    <w:rsid w:val="00EA4CBA"/>
    <w:rsid w:val="00EA5986"/>
    <w:rsid w:val="00EA6CD3"/>
    <w:rsid w:val="00EA7EDF"/>
    <w:rsid w:val="00EB184B"/>
    <w:rsid w:val="00EC03E6"/>
    <w:rsid w:val="00EC218F"/>
    <w:rsid w:val="00EC3D51"/>
    <w:rsid w:val="00ED053C"/>
    <w:rsid w:val="00ED0911"/>
    <w:rsid w:val="00ED0A46"/>
    <w:rsid w:val="00ED18C9"/>
    <w:rsid w:val="00ED2979"/>
    <w:rsid w:val="00ED377A"/>
    <w:rsid w:val="00ED4255"/>
    <w:rsid w:val="00ED5CF7"/>
    <w:rsid w:val="00ED603E"/>
    <w:rsid w:val="00EE0244"/>
    <w:rsid w:val="00EE44FE"/>
    <w:rsid w:val="00EE47C9"/>
    <w:rsid w:val="00EE4A54"/>
    <w:rsid w:val="00EE4C51"/>
    <w:rsid w:val="00EE61BD"/>
    <w:rsid w:val="00EE7BA0"/>
    <w:rsid w:val="00EF2696"/>
    <w:rsid w:val="00EF55B6"/>
    <w:rsid w:val="00F00E88"/>
    <w:rsid w:val="00F019FA"/>
    <w:rsid w:val="00F02EB7"/>
    <w:rsid w:val="00F0662E"/>
    <w:rsid w:val="00F066C5"/>
    <w:rsid w:val="00F06F21"/>
    <w:rsid w:val="00F15773"/>
    <w:rsid w:val="00F30608"/>
    <w:rsid w:val="00F30A0A"/>
    <w:rsid w:val="00F32822"/>
    <w:rsid w:val="00F352DD"/>
    <w:rsid w:val="00F40762"/>
    <w:rsid w:val="00F40F20"/>
    <w:rsid w:val="00F418C2"/>
    <w:rsid w:val="00F42208"/>
    <w:rsid w:val="00F449A8"/>
    <w:rsid w:val="00F44B3E"/>
    <w:rsid w:val="00F51164"/>
    <w:rsid w:val="00F522D4"/>
    <w:rsid w:val="00F53217"/>
    <w:rsid w:val="00F542FA"/>
    <w:rsid w:val="00F54ABB"/>
    <w:rsid w:val="00F61989"/>
    <w:rsid w:val="00F64D33"/>
    <w:rsid w:val="00F652EB"/>
    <w:rsid w:val="00F65551"/>
    <w:rsid w:val="00F665B5"/>
    <w:rsid w:val="00F70443"/>
    <w:rsid w:val="00F7097D"/>
    <w:rsid w:val="00F716EF"/>
    <w:rsid w:val="00F77D50"/>
    <w:rsid w:val="00F81A0A"/>
    <w:rsid w:val="00F838F0"/>
    <w:rsid w:val="00F858D1"/>
    <w:rsid w:val="00F859FA"/>
    <w:rsid w:val="00F85A24"/>
    <w:rsid w:val="00F86B44"/>
    <w:rsid w:val="00F9016C"/>
    <w:rsid w:val="00F929ED"/>
    <w:rsid w:val="00F9305D"/>
    <w:rsid w:val="00F94D89"/>
    <w:rsid w:val="00F9522F"/>
    <w:rsid w:val="00FA2346"/>
    <w:rsid w:val="00FA3AB1"/>
    <w:rsid w:val="00FA4EC5"/>
    <w:rsid w:val="00FA5EE1"/>
    <w:rsid w:val="00FB1472"/>
    <w:rsid w:val="00FC3C7A"/>
    <w:rsid w:val="00FC6839"/>
    <w:rsid w:val="00FD01FC"/>
    <w:rsid w:val="00FD061B"/>
    <w:rsid w:val="00FD5F34"/>
    <w:rsid w:val="00FD5FEF"/>
    <w:rsid w:val="00FE2D33"/>
    <w:rsid w:val="00FE6FC3"/>
    <w:rsid w:val="00FE76B5"/>
    <w:rsid w:val="00FE76D2"/>
    <w:rsid w:val="00FF22AC"/>
    <w:rsid w:val="00FF3664"/>
    <w:rsid w:val="00FF42CE"/>
    <w:rsid w:val="00FF5967"/>
    <w:rsid w:val="00FF6BE9"/>
    <w:rsid w:val="00FF7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5">
    <w:name w:val="heading 5"/>
    <w:basedOn w:val="Normal"/>
    <w:next w:val="Normal"/>
    <w:link w:val="Heading5Char"/>
    <w:uiPriority w:val="9"/>
    <w:semiHidden/>
    <w:unhideWhenUsed/>
    <w:qFormat/>
    <w:rsid w:val="004D7FE7"/>
    <w:pPr>
      <w:numPr>
        <w:ilvl w:val="4"/>
        <w:numId w:val="39"/>
      </w:numPr>
      <w:spacing w:before="240" w:after="60"/>
      <w:outlineLvl w:val="4"/>
    </w:pPr>
    <w:rPr>
      <w:rFonts w:eastAsia="Times New Roman"/>
      <w:b/>
      <w:bCs/>
      <w:i/>
      <w:iCs/>
      <w:sz w:val="26"/>
      <w:szCs w:val="26"/>
      <w:lang w:val="en-GB" w:eastAsia="lv-LV"/>
    </w:rPr>
  </w:style>
  <w:style w:type="paragraph" w:styleId="Heading6">
    <w:name w:val="heading 6"/>
    <w:basedOn w:val="Normal"/>
    <w:next w:val="Normal"/>
    <w:link w:val="Heading6Char"/>
    <w:uiPriority w:val="9"/>
    <w:semiHidden/>
    <w:unhideWhenUsed/>
    <w:qFormat/>
    <w:rsid w:val="004D7FE7"/>
    <w:pPr>
      <w:numPr>
        <w:ilvl w:val="5"/>
        <w:numId w:val="39"/>
      </w:numPr>
      <w:spacing w:before="240" w:after="60"/>
      <w:outlineLvl w:val="5"/>
    </w:pPr>
    <w:rPr>
      <w:rFonts w:eastAsia="Times New Roman"/>
      <w:b/>
      <w:bCs/>
      <w:sz w:val="22"/>
      <w:szCs w:val="22"/>
      <w:lang w:val="en-GB" w:eastAsia="lv-LV"/>
    </w:rPr>
  </w:style>
  <w:style w:type="paragraph" w:styleId="Heading7">
    <w:name w:val="heading 7"/>
    <w:basedOn w:val="Normal"/>
    <w:next w:val="Normal"/>
    <w:link w:val="Heading7Char"/>
    <w:uiPriority w:val="9"/>
    <w:semiHidden/>
    <w:unhideWhenUsed/>
    <w:qFormat/>
    <w:rsid w:val="004D7FE7"/>
    <w:pPr>
      <w:numPr>
        <w:ilvl w:val="6"/>
        <w:numId w:val="39"/>
      </w:numPr>
      <w:spacing w:before="240" w:after="60"/>
      <w:outlineLvl w:val="6"/>
    </w:pPr>
    <w:rPr>
      <w:rFonts w:eastAsia="Times New Roman"/>
      <w:sz w:val="24"/>
      <w:szCs w:val="24"/>
      <w:lang w:val="en-GB" w:eastAsia="lv-LV"/>
    </w:rPr>
  </w:style>
  <w:style w:type="paragraph" w:styleId="Heading8">
    <w:name w:val="heading 8"/>
    <w:basedOn w:val="Normal"/>
    <w:next w:val="Normal"/>
    <w:link w:val="Heading8Char"/>
    <w:uiPriority w:val="9"/>
    <w:semiHidden/>
    <w:unhideWhenUsed/>
    <w:qFormat/>
    <w:rsid w:val="004D7FE7"/>
    <w:pPr>
      <w:numPr>
        <w:ilvl w:val="7"/>
        <w:numId w:val="39"/>
      </w:numPr>
      <w:spacing w:before="240" w:after="60"/>
      <w:outlineLvl w:val="7"/>
    </w:pPr>
    <w:rPr>
      <w:rFonts w:eastAsia="Times New Roman"/>
      <w:i/>
      <w:iCs/>
      <w:sz w:val="24"/>
      <w:szCs w:val="24"/>
      <w:lang w:val="en-GB" w:eastAsia="lv-LV"/>
    </w:rPr>
  </w:style>
  <w:style w:type="paragraph" w:styleId="Heading9">
    <w:name w:val="heading 9"/>
    <w:basedOn w:val="Normal"/>
    <w:next w:val="Normal"/>
    <w:link w:val="Heading9Char"/>
    <w:uiPriority w:val="9"/>
    <w:semiHidden/>
    <w:unhideWhenUsed/>
    <w:qFormat/>
    <w:rsid w:val="004D7FE7"/>
    <w:pPr>
      <w:numPr>
        <w:ilvl w:val="8"/>
        <w:numId w:val="39"/>
      </w:numPr>
      <w:spacing w:before="240" w:after="60"/>
      <w:outlineLvl w:val="8"/>
    </w:pPr>
    <w:rPr>
      <w:rFonts w:ascii="Arial" w:eastAsia="Times New Roman" w:hAnsi="Arial" w:cs="Arial"/>
      <w:sz w:val="22"/>
      <w:szCs w:val="22"/>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paragraph" w:customStyle="1" w:styleId="tvhtml">
    <w:name w:val="tv_html"/>
    <w:basedOn w:val="Normal"/>
    <w:rsid w:val="005B4B5F"/>
    <w:pPr>
      <w:spacing w:before="100" w:beforeAutospacing="1" w:after="100" w:afterAutospacing="1"/>
    </w:pPr>
    <w:rPr>
      <w:rFonts w:eastAsia="Times New Roman"/>
      <w:sz w:val="24"/>
      <w:szCs w:val="24"/>
      <w:lang w:val="lv-LV" w:eastAsia="lv-LV"/>
    </w:rPr>
  </w:style>
  <w:style w:type="character" w:customStyle="1" w:styleId="Heading5Char">
    <w:name w:val="Heading 5 Char"/>
    <w:basedOn w:val="DefaultParagraphFont"/>
    <w:link w:val="Heading5"/>
    <w:uiPriority w:val="9"/>
    <w:semiHidden/>
    <w:rsid w:val="004D7FE7"/>
    <w:rPr>
      <w:rFonts w:ascii="Times New Roman" w:eastAsia="Times New Roman" w:hAnsi="Times New Roman" w:cs="Times New Roman"/>
      <w:b/>
      <w:bCs/>
      <w:i/>
      <w:iCs/>
      <w:sz w:val="26"/>
      <w:szCs w:val="26"/>
      <w:lang w:val="en-GB" w:eastAsia="lv-LV"/>
    </w:rPr>
  </w:style>
  <w:style w:type="character" w:customStyle="1" w:styleId="Heading6Char">
    <w:name w:val="Heading 6 Char"/>
    <w:basedOn w:val="DefaultParagraphFont"/>
    <w:link w:val="Heading6"/>
    <w:uiPriority w:val="9"/>
    <w:semiHidden/>
    <w:rsid w:val="004D7FE7"/>
    <w:rPr>
      <w:rFonts w:ascii="Times New Roman" w:eastAsia="Times New Roman" w:hAnsi="Times New Roman" w:cs="Times New Roman"/>
      <w:b/>
      <w:bCs/>
      <w:lang w:val="en-GB" w:eastAsia="lv-LV"/>
    </w:rPr>
  </w:style>
  <w:style w:type="character" w:customStyle="1" w:styleId="Heading7Char">
    <w:name w:val="Heading 7 Char"/>
    <w:basedOn w:val="DefaultParagraphFont"/>
    <w:link w:val="Heading7"/>
    <w:uiPriority w:val="9"/>
    <w:semiHidden/>
    <w:rsid w:val="004D7FE7"/>
    <w:rPr>
      <w:rFonts w:ascii="Times New Roman" w:eastAsia="Times New Roman" w:hAnsi="Times New Roman" w:cs="Times New Roman"/>
      <w:sz w:val="24"/>
      <w:szCs w:val="24"/>
      <w:lang w:val="en-GB" w:eastAsia="lv-LV"/>
    </w:rPr>
  </w:style>
  <w:style w:type="character" w:customStyle="1" w:styleId="Heading8Char">
    <w:name w:val="Heading 8 Char"/>
    <w:basedOn w:val="DefaultParagraphFont"/>
    <w:link w:val="Heading8"/>
    <w:uiPriority w:val="9"/>
    <w:semiHidden/>
    <w:rsid w:val="004D7FE7"/>
    <w:rPr>
      <w:rFonts w:ascii="Times New Roman" w:eastAsia="Times New Roman" w:hAnsi="Times New Roman" w:cs="Times New Roman"/>
      <w:i/>
      <w:iCs/>
      <w:sz w:val="24"/>
      <w:szCs w:val="24"/>
      <w:lang w:val="en-GB" w:eastAsia="lv-LV"/>
    </w:rPr>
  </w:style>
  <w:style w:type="character" w:customStyle="1" w:styleId="Heading9Char">
    <w:name w:val="Heading 9 Char"/>
    <w:basedOn w:val="DefaultParagraphFont"/>
    <w:link w:val="Heading9"/>
    <w:uiPriority w:val="9"/>
    <w:semiHidden/>
    <w:rsid w:val="004D7FE7"/>
    <w:rPr>
      <w:rFonts w:ascii="Arial" w:eastAsia="Times New Roman" w:hAnsi="Arial" w:cs="Arial"/>
      <w:lang w:val="en-GB" w:eastAsia="lv-LV"/>
    </w:rPr>
  </w:style>
  <w:style w:type="paragraph" w:customStyle="1" w:styleId="Hipo-Heading2">
    <w:name w:val="Hipo-Heading2"/>
    <w:next w:val="Normal"/>
    <w:rsid w:val="004D7FE7"/>
    <w:pPr>
      <w:keepNext/>
      <w:numPr>
        <w:ilvl w:val="1"/>
        <w:numId w:val="39"/>
      </w:numPr>
      <w:suppressAutoHyphens/>
      <w:spacing w:before="240" w:after="240" w:line="240" w:lineRule="auto"/>
    </w:pPr>
    <w:rPr>
      <w:rFonts w:ascii="Times New Roman" w:eastAsia="Times New Roman" w:hAnsi="Times New Roman" w:cs="Times New Roman"/>
      <w:b/>
      <w:sz w:val="24"/>
      <w:szCs w:val="20"/>
      <w:lang w:eastAsia="lv-LV"/>
    </w:rPr>
  </w:style>
  <w:style w:type="paragraph" w:customStyle="1" w:styleId="Hipo-Text1">
    <w:name w:val="Hipo-Text1"/>
    <w:rsid w:val="004D7FE7"/>
    <w:pPr>
      <w:numPr>
        <w:ilvl w:val="2"/>
        <w:numId w:val="39"/>
      </w:numPr>
      <w:suppressAutoHyphens/>
      <w:spacing w:after="240" w:line="240" w:lineRule="auto"/>
      <w:jc w:val="both"/>
    </w:pPr>
    <w:rPr>
      <w:rFonts w:ascii="Times New Roman" w:eastAsia="Times New Roman" w:hAnsi="Times New Roman" w:cs="Times New Roman"/>
      <w:sz w:val="24"/>
      <w:szCs w:val="20"/>
      <w:lang w:eastAsia="lv-LV"/>
    </w:rPr>
  </w:style>
  <w:style w:type="paragraph" w:customStyle="1" w:styleId="Hipo-Text2">
    <w:name w:val="Hipo-Text2"/>
    <w:rsid w:val="004D7FE7"/>
    <w:pPr>
      <w:numPr>
        <w:ilvl w:val="3"/>
        <w:numId w:val="39"/>
      </w:numPr>
      <w:suppressAutoHyphens/>
      <w:spacing w:after="0" w:line="240" w:lineRule="auto"/>
      <w:jc w:val="both"/>
    </w:pPr>
    <w:rPr>
      <w:rFonts w:ascii="Times New Roman" w:eastAsia="Times New Roman" w:hAnsi="Times New Roman" w:cs="Times New Roman"/>
      <w:sz w:val="24"/>
      <w:szCs w:val="20"/>
      <w:lang w:eastAsia="lv-LV"/>
    </w:rPr>
  </w:style>
  <w:style w:type="paragraph" w:customStyle="1" w:styleId="Hipo-Heading1">
    <w:name w:val="Hipo-Heading1"/>
    <w:rsid w:val="004D7FE7"/>
    <w:pPr>
      <w:numPr>
        <w:numId w:val="39"/>
      </w:numPr>
      <w:spacing w:before="360" w:after="240" w:line="240" w:lineRule="auto"/>
    </w:pPr>
    <w:rPr>
      <w:rFonts w:ascii="Times New Roman" w:eastAsia="Times New Roman" w:hAnsi="Times New Roman" w:cs="Times New Roman"/>
      <w:b/>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5903">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09450830">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999629">
      <w:bodyDiv w:val="1"/>
      <w:marLeft w:val="0"/>
      <w:marRight w:val="0"/>
      <w:marTop w:val="0"/>
      <w:marBottom w:val="0"/>
      <w:divBdr>
        <w:top w:val="none" w:sz="0" w:space="0" w:color="auto"/>
        <w:left w:val="none" w:sz="0" w:space="0" w:color="auto"/>
        <w:bottom w:val="none" w:sz="0" w:space="0" w:color="auto"/>
        <w:right w:val="none" w:sz="0" w:space="0" w:color="auto"/>
      </w:divBdr>
    </w:div>
    <w:div w:id="922841649">
      <w:bodyDiv w:val="1"/>
      <w:marLeft w:val="0"/>
      <w:marRight w:val="0"/>
      <w:marTop w:val="0"/>
      <w:marBottom w:val="0"/>
      <w:divBdr>
        <w:top w:val="none" w:sz="0" w:space="0" w:color="auto"/>
        <w:left w:val="none" w:sz="0" w:space="0" w:color="auto"/>
        <w:bottom w:val="none" w:sz="0" w:space="0" w:color="auto"/>
        <w:right w:val="none" w:sz="0" w:space="0" w:color="auto"/>
      </w:divBdr>
    </w:div>
    <w:div w:id="10774416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6765705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728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hyperlink" Target="mailto:Dita.Tetere@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um.lv/lv/pakalpojumi/es-investiciju-plans/cosme-garantija-maziem-un-videjiem-uznemumi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tum.lv/lv/pakalpojumi/es-investiciju-plans/easi-garantijas-mikro-uznemumiem/"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3C81-81D7-4ADD-A3C1-ECA39CD4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15056</Words>
  <Characters>8583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14</cp:revision>
  <cp:lastPrinted>2019-12-03T13:26:00Z</cp:lastPrinted>
  <dcterms:created xsi:type="dcterms:W3CDTF">2020-07-06T11:55:00Z</dcterms:created>
  <dcterms:modified xsi:type="dcterms:W3CDTF">2020-07-13T07:27:00Z</dcterms:modified>
</cp:coreProperties>
</file>