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8CC25" w14:textId="77777777" w:rsidR="009D7A0C" w:rsidRPr="009D7A0C" w:rsidRDefault="009D7A0C" w:rsidP="009D7A0C">
      <w:pPr>
        <w:spacing w:after="0" w:line="240" w:lineRule="auto"/>
        <w:ind w:right="140" w:firstLine="142"/>
        <w:jc w:val="center"/>
        <w:rPr>
          <w:rFonts w:ascii="Times New Roman" w:eastAsia="Times New Roman" w:hAnsi="Times New Roman" w:cs="Times New Roman"/>
          <w:b/>
          <w:sz w:val="24"/>
          <w:szCs w:val="24"/>
          <w:lang w:eastAsia="lv-LV"/>
        </w:rPr>
      </w:pPr>
      <w:r w:rsidRPr="009D7A0C">
        <w:rPr>
          <w:rFonts w:ascii="Times New Roman" w:eastAsia="Times New Roman" w:hAnsi="Times New Roman" w:cs="Times New Roman"/>
          <w:b/>
          <w:bCs/>
          <w:sz w:val="24"/>
          <w:szCs w:val="24"/>
          <w:lang w:eastAsia="lv-LV"/>
        </w:rPr>
        <w:t xml:space="preserve">Ministru kabineta noteikumu projekta </w:t>
      </w:r>
      <w:r w:rsidRPr="009D7A0C">
        <w:rPr>
          <w:rFonts w:ascii="Times New Roman" w:eastAsia="Times New Roman" w:hAnsi="Times New Roman" w:cs="Times New Roman"/>
          <w:b/>
          <w:sz w:val="24"/>
          <w:szCs w:val="24"/>
          <w:lang w:eastAsia="lv-LV"/>
        </w:rPr>
        <w:t xml:space="preserve">“Grozījumi Ministru kabineta </w:t>
      </w:r>
      <w:bookmarkStart w:id="0" w:name="_Hlk11633236"/>
      <w:r w:rsidRPr="009D7A0C">
        <w:rPr>
          <w:rFonts w:ascii="Times New Roman" w:eastAsia="Times New Roman" w:hAnsi="Times New Roman" w:cs="Times New Roman"/>
          <w:b/>
          <w:sz w:val="24"/>
          <w:szCs w:val="24"/>
          <w:lang w:eastAsia="lv-LV"/>
        </w:rPr>
        <w:t>2005. gada 8. novembra noteikumos Nr. 837 “Noteikumi par mobilizācijas gatavības pārbaudēm un mobilizācijas mācībām”</w:t>
      </w:r>
      <w:bookmarkEnd w:id="0"/>
      <w:r w:rsidRPr="009D7A0C">
        <w:rPr>
          <w:rFonts w:ascii="Times New Roman" w:eastAsia="Times New Roman" w:hAnsi="Times New Roman" w:cs="Times New Roman"/>
          <w:b/>
          <w:sz w:val="24"/>
          <w:szCs w:val="24"/>
          <w:lang w:eastAsia="lv-LV"/>
        </w:rPr>
        <w:t xml:space="preserve">” </w:t>
      </w:r>
      <w:r w:rsidRPr="009D7A0C">
        <w:rPr>
          <w:rFonts w:ascii="Times New Roman" w:eastAsia="Times New Roman" w:hAnsi="Times New Roman" w:cs="Times New Roman"/>
          <w:b/>
          <w:bCs/>
          <w:sz w:val="24"/>
          <w:szCs w:val="24"/>
          <w:lang w:eastAsia="lv-LV"/>
        </w:rPr>
        <w:t>sākotnējās ietekmes novērtējuma ziņojums (anotācija)</w:t>
      </w:r>
    </w:p>
    <w:p w14:paraId="532C9C8E" w14:textId="77777777" w:rsidR="009D7A0C" w:rsidRPr="009D7A0C" w:rsidRDefault="009D7A0C" w:rsidP="009D7A0C">
      <w:pPr>
        <w:spacing w:after="0" w:line="240" w:lineRule="auto"/>
        <w:rPr>
          <w:rFonts w:ascii="Times New Roman" w:eastAsia="Times New Roman" w:hAnsi="Times New Roman" w:cs="Times New Roman"/>
          <w:b/>
          <w:bCs/>
          <w:sz w:val="24"/>
          <w:szCs w:val="24"/>
          <w:lang w:eastAsia="lv-LV"/>
        </w:rPr>
      </w:pPr>
    </w:p>
    <w:tbl>
      <w:tblPr>
        <w:tblStyle w:val="TableGrid"/>
        <w:tblW w:w="5000" w:type="pct"/>
        <w:tblInd w:w="-5" w:type="dxa"/>
        <w:tblLook w:val="04A0" w:firstRow="1" w:lastRow="0" w:firstColumn="1" w:lastColumn="0" w:noHBand="0" w:noVBand="1"/>
      </w:tblPr>
      <w:tblGrid>
        <w:gridCol w:w="2697"/>
        <w:gridCol w:w="6364"/>
      </w:tblGrid>
      <w:tr w:rsidR="009D7A0C" w:rsidRPr="009D7A0C" w14:paraId="280EC69C" w14:textId="77777777" w:rsidTr="009D7A0C">
        <w:tc>
          <w:tcPr>
            <w:tcW w:w="5000" w:type="pct"/>
            <w:gridSpan w:val="2"/>
            <w:hideMark/>
          </w:tcPr>
          <w:p w14:paraId="717EC9C0" w14:textId="77777777" w:rsidR="009D7A0C" w:rsidRPr="009D7A0C" w:rsidRDefault="009D7A0C" w:rsidP="009D7A0C">
            <w:pPr>
              <w:spacing w:before="100" w:beforeAutospacing="1" w:after="100" w:afterAutospacing="1"/>
              <w:ind w:firstLine="300"/>
              <w:jc w:val="center"/>
              <w:rPr>
                <w:b/>
                <w:bCs/>
                <w:sz w:val="24"/>
                <w:szCs w:val="24"/>
              </w:rPr>
            </w:pPr>
            <w:r w:rsidRPr="009D7A0C">
              <w:rPr>
                <w:b/>
                <w:bCs/>
                <w:sz w:val="24"/>
                <w:szCs w:val="24"/>
              </w:rPr>
              <w:t>Tiesību akta projekta anotācijas kopsavilkums</w:t>
            </w:r>
          </w:p>
        </w:tc>
      </w:tr>
      <w:tr w:rsidR="009D7A0C" w:rsidRPr="009D7A0C" w14:paraId="131E1080" w14:textId="77777777" w:rsidTr="009D7A0C">
        <w:tc>
          <w:tcPr>
            <w:tcW w:w="1488" w:type="pct"/>
            <w:hideMark/>
          </w:tcPr>
          <w:p w14:paraId="59E60BE3" w14:textId="77777777" w:rsidR="009D7A0C" w:rsidRPr="009D7A0C" w:rsidRDefault="009D7A0C" w:rsidP="009D7A0C">
            <w:pPr>
              <w:rPr>
                <w:sz w:val="24"/>
                <w:szCs w:val="24"/>
              </w:rPr>
            </w:pPr>
            <w:r w:rsidRPr="009D7A0C">
              <w:rPr>
                <w:sz w:val="24"/>
                <w:szCs w:val="24"/>
              </w:rPr>
              <w:t>Mērķis, risinājums un projekta spēkā stāšanās laiks</w:t>
            </w:r>
          </w:p>
        </w:tc>
        <w:tc>
          <w:tcPr>
            <w:tcW w:w="3512" w:type="pct"/>
            <w:hideMark/>
          </w:tcPr>
          <w:p w14:paraId="6962ECA9" w14:textId="77777777" w:rsidR="009D7A0C" w:rsidRPr="009D7A0C" w:rsidRDefault="009D7A0C" w:rsidP="009D7A0C">
            <w:pPr>
              <w:jc w:val="both"/>
              <w:rPr>
                <w:sz w:val="24"/>
                <w:szCs w:val="24"/>
              </w:rPr>
            </w:pPr>
            <w:r w:rsidRPr="009D7A0C">
              <w:rPr>
                <w:iCs/>
                <w:sz w:val="24"/>
                <w:szCs w:val="24"/>
              </w:rPr>
              <w:t>Netiek aizpildīts saskaņā ar Ministru kabineta 2009. gada 15. decembra instrukcijas Nr. 19 “Tiesību akta projekta sākotnējās ietekmes izvērtēšanas kārtība” 5.1. apakšpunktu.</w:t>
            </w:r>
          </w:p>
        </w:tc>
      </w:tr>
    </w:tbl>
    <w:p w14:paraId="036BB0B5" w14:textId="77777777" w:rsidR="009D7A0C" w:rsidRPr="009D7A0C" w:rsidRDefault="009D7A0C" w:rsidP="009D7A0C">
      <w:pPr>
        <w:spacing w:after="0" w:line="240" w:lineRule="auto"/>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9D7A0C" w:rsidRPr="009D7A0C" w14:paraId="60A1D405" w14:textId="77777777" w:rsidTr="00AE1DBB">
        <w:trPr>
          <w:trHeight w:val="1"/>
        </w:trPr>
        <w:tc>
          <w:tcPr>
            <w:tcW w:w="9077" w:type="dxa"/>
            <w:gridSpan w:val="3"/>
            <w:vAlign w:val="center"/>
          </w:tcPr>
          <w:p w14:paraId="5566B7B1" w14:textId="77777777" w:rsidR="009D7A0C" w:rsidRPr="009D7A0C" w:rsidRDefault="009D7A0C" w:rsidP="009D7A0C">
            <w:pPr>
              <w:spacing w:after="0" w:line="240" w:lineRule="auto"/>
              <w:ind w:left="1800"/>
              <w:rPr>
                <w:rFonts w:ascii="Times New Roman" w:eastAsia="Times New Roman" w:hAnsi="Times New Roman" w:cs="Times New Roman"/>
                <w:b/>
                <w:bCs/>
                <w:sz w:val="24"/>
                <w:szCs w:val="24"/>
                <w:lang w:eastAsia="lv-LV"/>
              </w:rPr>
            </w:pPr>
            <w:r w:rsidRPr="009D7A0C">
              <w:rPr>
                <w:rFonts w:ascii="Times New Roman" w:eastAsia="Times New Roman" w:hAnsi="Times New Roman" w:cs="Times New Roman"/>
                <w:b/>
                <w:bCs/>
                <w:sz w:val="24"/>
                <w:szCs w:val="24"/>
                <w:lang w:eastAsia="lv-LV"/>
              </w:rPr>
              <w:t>I. Tiesību akta projekta izstrādes nepieciešamība</w:t>
            </w:r>
          </w:p>
        </w:tc>
      </w:tr>
      <w:tr w:rsidR="009D7A0C" w:rsidRPr="009D7A0C" w14:paraId="4C6786A4" w14:textId="77777777" w:rsidTr="00AE1DBB">
        <w:trPr>
          <w:trHeight w:val="9"/>
        </w:trPr>
        <w:tc>
          <w:tcPr>
            <w:tcW w:w="425" w:type="dxa"/>
          </w:tcPr>
          <w:p w14:paraId="3B4FB209"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1.</w:t>
            </w:r>
          </w:p>
        </w:tc>
        <w:tc>
          <w:tcPr>
            <w:tcW w:w="2263" w:type="dxa"/>
          </w:tcPr>
          <w:p w14:paraId="7B6DE486" w14:textId="77777777" w:rsidR="009D7A0C" w:rsidRPr="009D7A0C" w:rsidRDefault="009D7A0C" w:rsidP="009D7A0C">
            <w:pPr>
              <w:spacing w:after="0" w:line="240" w:lineRule="auto"/>
              <w:ind w:hanging="10"/>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Pamatojums</w:t>
            </w:r>
          </w:p>
        </w:tc>
        <w:tc>
          <w:tcPr>
            <w:tcW w:w="6389" w:type="dxa"/>
          </w:tcPr>
          <w:p w14:paraId="41E4E00A" w14:textId="77777777" w:rsidR="009D7A0C" w:rsidRPr="009D7A0C" w:rsidRDefault="009D7A0C" w:rsidP="006C4C81">
            <w:pPr>
              <w:spacing w:after="0" w:line="240" w:lineRule="auto"/>
              <w:ind w:right="145" w:firstLine="558"/>
              <w:jc w:val="both"/>
              <w:rPr>
                <w:rFonts w:ascii="Times New Roman" w:eastAsia="Times New Roman" w:hAnsi="Times New Roman" w:cs="Times New Roman"/>
                <w:sz w:val="24"/>
                <w:szCs w:val="24"/>
                <w:lang w:eastAsia="x-none"/>
              </w:rPr>
            </w:pPr>
            <w:r w:rsidRPr="009D7A0C">
              <w:rPr>
                <w:rFonts w:ascii="Times New Roman" w:eastAsia="Times New Roman" w:hAnsi="Times New Roman" w:cs="Times New Roman"/>
                <w:sz w:val="24"/>
                <w:szCs w:val="24"/>
                <w:lang w:eastAsia="x-none"/>
              </w:rPr>
              <w:t>Ministru kabineta noteikumu projekts “Gr</w:t>
            </w:r>
            <w:r w:rsidR="00D11A66">
              <w:rPr>
                <w:rFonts w:ascii="Times New Roman" w:eastAsia="Times New Roman" w:hAnsi="Times New Roman" w:cs="Times New Roman"/>
                <w:sz w:val="24"/>
                <w:szCs w:val="24"/>
                <w:lang w:eastAsia="x-none"/>
              </w:rPr>
              <w:t>ozījumi Ministru kabineta 2005. gada 8. </w:t>
            </w:r>
            <w:r w:rsidRPr="009D7A0C">
              <w:rPr>
                <w:rFonts w:ascii="Times New Roman" w:eastAsia="Times New Roman" w:hAnsi="Times New Roman" w:cs="Times New Roman"/>
                <w:sz w:val="24"/>
                <w:szCs w:val="24"/>
                <w:lang w:eastAsia="x-none"/>
              </w:rPr>
              <w:t xml:space="preserve">novembra noteikumos Nr. 837 “Noteikumi par mobilizācijas gatavības pārbaudēm un mobilizācijas mācībām”” (turpmāk – projekts) izstrādāts pēc Aizsardzības ministrijas iniciatīvas, lai papildinātu, uzlabotu, vienkāršotu un efektivizētu esošo tiesisko regulējumu par mobilizācijas gatavības pārbaužu un mobilizācijas mācību rezultātā </w:t>
            </w:r>
            <w:r w:rsidR="00D11A66" w:rsidRPr="009D7A0C">
              <w:rPr>
                <w:rFonts w:ascii="Times New Roman" w:eastAsia="Times New Roman" w:hAnsi="Times New Roman" w:cs="Times New Roman"/>
                <w:sz w:val="24"/>
                <w:szCs w:val="24"/>
                <w:lang w:eastAsia="x-none"/>
              </w:rPr>
              <w:t xml:space="preserve"> valsts un pašvaldību iestādēm, juridiskajām personām un iedzīvotājiem </w:t>
            </w:r>
            <w:r w:rsidRPr="009D7A0C">
              <w:rPr>
                <w:rFonts w:ascii="Times New Roman" w:eastAsia="Times New Roman" w:hAnsi="Times New Roman" w:cs="Times New Roman"/>
                <w:sz w:val="24"/>
                <w:szCs w:val="24"/>
                <w:lang w:eastAsia="x-none"/>
              </w:rPr>
              <w:t>nodarīto zaudējumu</w:t>
            </w:r>
            <w:r w:rsidR="00D11A66">
              <w:rPr>
                <w:rFonts w:ascii="Times New Roman" w:eastAsia="Times New Roman" w:hAnsi="Times New Roman" w:cs="Times New Roman"/>
                <w:sz w:val="24"/>
                <w:szCs w:val="24"/>
                <w:lang w:eastAsia="x-none"/>
              </w:rPr>
              <w:t xml:space="preserve"> </w:t>
            </w:r>
            <w:r w:rsidRPr="009D7A0C">
              <w:rPr>
                <w:rFonts w:ascii="Times New Roman" w:eastAsia="Times New Roman" w:hAnsi="Times New Roman" w:cs="Times New Roman"/>
                <w:sz w:val="24"/>
                <w:szCs w:val="24"/>
                <w:lang w:eastAsia="x-none"/>
              </w:rPr>
              <w:t>atlīdzināšanas procesu.</w:t>
            </w:r>
          </w:p>
          <w:p w14:paraId="0473C71D" w14:textId="77777777" w:rsidR="009D7A0C" w:rsidRPr="009D7A0C" w:rsidRDefault="009D7A0C" w:rsidP="006C4C81">
            <w:pPr>
              <w:spacing w:after="0" w:line="240" w:lineRule="auto"/>
              <w:ind w:right="145" w:firstLine="558"/>
              <w:jc w:val="both"/>
              <w:rPr>
                <w:rFonts w:ascii="Times New Roman" w:eastAsia="Times New Roman" w:hAnsi="Times New Roman" w:cs="Times New Roman"/>
                <w:sz w:val="24"/>
                <w:szCs w:val="24"/>
                <w:lang w:eastAsia="x-none"/>
              </w:rPr>
            </w:pPr>
            <w:r w:rsidRPr="009D7A0C">
              <w:rPr>
                <w:rFonts w:ascii="Times New Roman" w:eastAsia="Times New Roman" w:hAnsi="Times New Roman" w:cs="Times New Roman"/>
                <w:sz w:val="24"/>
                <w:szCs w:val="24"/>
                <w:lang w:eastAsia="x-none"/>
              </w:rPr>
              <w:t xml:space="preserve">Projekta izstrāde nepieciešama, lai papildinātu atlīdzināmo zaudējumu un kaitējumu veidu uzskaitījumu, tādējādi aptverot visus iespējamos zaudējumu un kaitējuma gadījumus, par kuriem iestāde, kas organizējusi mobilizācijas gatavības pārbaudes vai mobilizācijas mācības nes atbildību un uzņemas to atlīdzināšanas pienākumu. </w:t>
            </w:r>
          </w:p>
          <w:p w14:paraId="68AA5117" w14:textId="77777777" w:rsidR="009D7A0C" w:rsidRPr="009D7A0C" w:rsidRDefault="009D7A0C" w:rsidP="006C4C81">
            <w:pPr>
              <w:spacing w:after="0" w:line="240" w:lineRule="auto"/>
              <w:ind w:right="145" w:firstLine="558"/>
              <w:jc w:val="both"/>
              <w:rPr>
                <w:rFonts w:ascii="Times New Roman" w:eastAsia="Times New Roman" w:hAnsi="Times New Roman" w:cs="Times New Roman"/>
                <w:sz w:val="24"/>
                <w:szCs w:val="24"/>
                <w:lang w:eastAsia="x-none"/>
              </w:rPr>
            </w:pPr>
            <w:r w:rsidRPr="009D7A0C">
              <w:rPr>
                <w:rFonts w:ascii="Times New Roman" w:eastAsia="Times New Roman" w:hAnsi="Times New Roman" w:cs="Times New Roman"/>
                <w:sz w:val="24"/>
                <w:szCs w:val="24"/>
                <w:lang w:eastAsia="x-none"/>
              </w:rPr>
              <w:t>Tāpat ar projektu paredzēts precizēt un vienkāršot zaudējumu atlīdzināšanas procesu, sinhronizējot to ar Administratīvā procesa likumā noteikto administratīvā akta izdošanas procedūru, izslēdzot starplēmuma stadiju (eksperti vai izvērtēšanas komisija) pirms administratīvā akta izdošanas.</w:t>
            </w:r>
          </w:p>
          <w:p w14:paraId="68F5C9FA" w14:textId="77777777" w:rsidR="009D7A0C" w:rsidRPr="009D7A0C" w:rsidRDefault="009D7A0C" w:rsidP="006C4C81">
            <w:pPr>
              <w:spacing w:after="0" w:line="240" w:lineRule="auto"/>
              <w:ind w:right="145" w:firstLine="558"/>
              <w:jc w:val="both"/>
              <w:rPr>
                <w:rFonts w:ascii="Times New Roman" w:eastAsia="Times New Roman" w:hAnsi="Times New Roman" w:cs="Times New Roman"/>
                <w:sz w:val="24"/>
                <w:szCs w:val="24"/>
                <w:lang w:eastAsia="x-none"/>
              </w:rPr>
            </w:pPr>
            <w:r w:rsidRPr="009D7A0C">
              <w:rPr>
                <w:rFonts w:ascii="Times New Roman" w:eastAsia="Times New Roman" w:hAnsi="Times New Roman" w:cs="Times New Roman"/>
                <w:sz w:val="24"/>
                <w:szCs w:val="24"/>
                <w:lang w:eastAsia="x-none"/>
              </w:rPr>
              <w:t xml:space="preserve">Vienlaikus ar projektu veikti redakcionāla rakstura precizējumi un novērsta tiesību normu dublēšana.  </w:t>
            </w:r>
          </w:p>
          <w:p w14:paraId="385267DE" w14:textId="77777777" w:rsidR="009D7A0C" w:rsidRPr="009D7A0C" w:rsidRDefault="009D7A0C" w:rsidP="006C4C81">
            <w:pPr>
              <w:spacing w:after="0" w:line="240" w:lineRule="auto"/>
              <w:ind w:right="145" w:firstLine="558"/>
              <w:jc w:val="both"/>
              <w:rPr>
                <w:rFonts w:ascii="Times New Roman" w:eastAsia="Times New Roman" w:hAnsi="Times New Roman" w:cs="Times New Roman"/>
                <w:sz w:val="24"/>
                <w:szCs w:val="24"/>
                <w:lang w:eastAsia="x-none"/>
              </w:rPr>
            </w:pPr>
            <w:r w:rsidRPr="009D7A0C">
              <w:rPr>
                <w:rFonts w:ascii="Times New Roman" w:eastAsia="Times New Roman" w:hAnsi="Times New Roman" w:cs="Times New Roman"/>
                <w:sz w:val="24"/>
                <w:szCs w:val="24"/>
                <w:lang w:eastAsia="x-none"/>
              </w:rPr>
              <w:t xml:space="preserve"> Projekta spēkā stāšanās paredzēta normatīvajos aktos noteiktajā vispārējā kārtībā.</w:t>
            </w:r>
          </w:p>
        </w:tc>
      </w:tr>
      <w:tr w:rsidR="009D7A0C" w:rsidRPr="009D7A0C" w14:paraId="5048185E" w14:textId="77777777" w:rsidTr="00AE1DBB">
        <w:trPr>
          <w:trHeight w:val="5"/>
        </w:trPr>
        <w:tc>
          <w:tcPr>
            <w:tcW w:w="425" w:type="dxa"/>
          </w:tcPr>
          <w:p w14:paraId="3AA516FF"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2.</w:t>
            </w:r>
          </w:p>
        </w:tc>
        <w:tc>
          <w:tcPr>
            <w:tcW w:w="2263" w:type="dxa"/>
          </w:tcPr>
          <w:p w14:paraId="6A70112C" w14:textId="77777777" w:rsidR="009D7A0C" w:rsidRPr="009D7A0C" w:rsidRDefault="009D7A0C" w:rsidP="009D7A0C">
            <w:pPr>
              <w:tabs>
                <w:tab w:val="left" w:pos="170"/>
              </w:tabs>
              <w:spacing w:after="0" w:line="240" w:lineRule="auto"/>
              <w:rPr>
                <w:rFonts w:ascii="Times New Roman" w:eastAsia="Times New Roman" w:hAnsi="Times New Roman" w:cs="Times New Roman"/>
                <w:color w:val="000000"/>
                <w:sz w:val="24"/>
                <w:szCs w:val="24"/>
                <w:lang w:eastAsia="lv-LV"/>
              </w:rPr>
            </w:pPr>
            <w:r w:rsidRPr="009D7A0C">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684FAB56" w14:textId="77777777" w:rsidR="009D7A0C" w:rsidRPr="009D7A0C" w:rsidRDefault="009D7A0C" w:rsidP="009D7A0C">
            <w:pPr>
              <w:spacing w:after="0" w:line="240" w:lineRule="auto"/>
              <w:ind w:firstLine="720"/>
              <w:rPr>
                <w:rFonts w:ascii="Times New Roman" w:eastAsia="Times New Roman" w:hAnsi="Times New Roman" w:cs="Times New Roman"/>
                <w:color w:val="000000"/>
                <w:sz w:val="24"/>
                <w:szCs w:val="24"/>
                <w:lang w:eastAsia="lv-LV"/>
              </w:rPr>
            </w:pPr>
          </w:p>
        </w:tc>
        <w:tc>
          <w:tcPr>
            <w:tcW w:w="6389" w:type="dxa"/>
          </w:tcPr>
          <w:p w14:paraId="536CE0BA" w14:textId="77777777" w:rsidR="009D7A0C" w:rsidRPr="009D7A0C" w:rsidRDefault="009D7A0C" w:rsidP="006C4C81">
            <w:pPr>
              <w:spacing w:after="0" w:line="240" w:lineRule="auto"/>
              <w:ind w:right="145" w:firstLine="422"/>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 xml:space="preserve">Ministru kabineta 2005. gada 8. novembra noteikumi Nr. 837 “Noteikumi par mobilizācijas gatavības pārbaudēm un mobilizācijas mācībām” (turpmāk – MK noteikumi) precīzi nosaka, par kādiem zaudējumu veidiem iestāde to faktiskajā zaudējumu apmērā atlīdzina izdevumus, proti, tie ir ārstniecības pakalpojumi un transporta pakalpojumi, mācībās izmantoto materiāltehniskajiem līdzekļiem nodarītie bojājumi vai zudusī vērtība, kā arī trešās personas mantai nodarītie bojājumi vai zudusī vērtība. No minētā uzskaitījuma ir redzams, ka atlīdzināmo zaudējumu veidi ir ierobežoti, kam nav rodams tiesisks pamatojums un ko apliecina mobilizācijas gatavības pārbaudēs un mobilizācijas mācībās gūtā pieredze, ka šis atlīdzināmo zaudējumu uzskaitījums ir nepietiekošs jeb pārāk šaurs. Šādu iemeslu dēļ ar projektu tiek neierobežoti paplašināts pakalpojumu veidu uzskaitījums, kas varētu tikt izmantots mobilizācijas gatavības pārbaudēs vai mobilizācijas mācībās un par kuriem aprēķinātu un atlīdzinātu radītos zaudējumus. Tāpat </w:t>
            </w:r>
            <w:r w:rsidRPr="009D7A0C">
              <w:rPr>
                <w:rFonts w:ascii="Times New Roman" w:eastAsia="Times New Roman" w:hAnsi="Times New Roman" w:cs="Times New Roman"/>
                <w:sz w:val="24"/>
                <w:szCs w:val="24"/>
                <w:lang w:eastAsia="lv-LV"/>
              </w:rPr>
              <w:lastRenderedPageBreak/>
              <w:t xml:space="preserve">projektā kā pilnīgi jauna kategorija tiek iekļauta veselībai nodarītā kaitējuma kategorija, kas nodarīta mobilizācijas pieprasījuma izpildē iesaistītās personas vai trešās personas veselībai. </w:t>
            </w:r>
          </w:p>
          <w:p w14:paraId="12F61B49" w14:textId="77777777" w:rsidR="009D7A0C" w:rsidRPr="009D7A0C" w:rsidRDefault="009D7A0C" w:rsidP="006C4C81">
            <w:pPr>
              <w:spacing w:after="0" w:line="240" w:lineRule="auto"/>
              <w:ind w:right="145" w:firstLine="422"/>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 xml:space="preserve">Šobrīd MK noteikumi nosaka komplicētu divpakāpju kārtību, kādā persona piesaka zaudējumu atlīdzināšanas pieteikumu un iestāde to izskata. Šāda kārtība ir pārmērīgi birokratizēta un  laikietilpīga, kas nav attaisnojams ar sasniedzamajiem mērķiem – faktiski esošu zaudējumu ātru atlīdzināšanu personai. </w:t>
            </w:r>
          </w:p>
          <w:p w14:paraId="06817F96" w14:textId="77777777" w:rsidR="009D7A0C" w:rsidRPr="009D7A0C" w:rsidRDefault="009D7A0C" w:rsidP="006C4C81">
            <w:pPr>
              <w:spacing w:after="0" w:line="240" w:lineRule="auto"/>
              <w:ind w:right="145" w:firstLine="422"/>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 xml:space="preserve">Lai nodrošinātu visaptverošu, efektīvāku un ātrāku pieteikumu par mobilizācijas gatavības pārbaudēs un mobilizācijas mācībās radušos zaudējumu atlīdzināšanu </w:t>
            </w:r>
            <w:r w:rsidR="00E95FF7">
              <w:rPr>
                <w:rFonts w:ascii="Times New Roman" w:eastAsia="Times New Roman" w:hAnsi="Times New Roman" w:cs="Times New Roman"/>
                <w:sz w:val="24"/>
                <w:szCs w:val="24"/>
                <w:lang w:eastAsia="lv-LV"/>
              </w:rPr>
              <w:t>izskatīšanu</w:t>
            </w:r>
            <w:r w:rsidRPr="009D7A0C">
              <w:rPr>
                <w:rFonts w:ascii="Times New Roman" w:eastAsia="Times New Roman" w:hAnsi="Times New Roman" w:cs="Times New Roman"/>
                <w:sz w:val="24"/>
                <w:szCs w:val="24"/>
                <w:lang w:eastAsia="lv-LV"/>
              </w:rPr>
              <w:t>, nepieciešams veikt grozījumus MK noteikumos, nosakot vienkāršotāku pieteikumu iesniegšanas un izskatīšanas kārtību, uzsverot personas pienākumu iesniegt pierādījumus, kas apliecina zaudējumu esamību un to apmēru, proti, pierādījumu, kas apliecina zaudējuma vai kaitējuma faktisko esamību un apmēru.</w:t>
            </w:r>
          </w:p>
          <w:p w14:paraId="31085C95" w14:textId="77777777" w:rsidR="009D7A0C" w:rsidRPr="00E95FF7" w:rsidRDefault="009D7A0C" w:rsidP="006C4C81">
            <w:pPr>
              <w:spacing w:after="0" w:line="240" w:lineRule="auto"/>
              <w:ind w:right="145" w:firstLine="422"/>
              <w:jc w:val="both"/>
              <w:rPr>
                <w:rFonts w:ascii="Times New Roman" w:eastAsia="Times New Roman" w:hAnsi="Times New Roman" w:cs="Times New Roman"/>
                <w:sz w:val="24"/>
                <w:szCs w:val="24"/>
                <w:lang w:eastAsia="lv-LV"/>
              </w:rPr>
            </w:pPr>
            <w:r w:rsidRPr="00E95FF7">
              <w:rPr>
                <w:rFonts w:ascii="Times New Roman" w:eastAsia="Times New Roman" w:hAnsi="Times New Roman" w:cs="Times New Roman"/>
                <w:sz w:val="24"/>
                <w:szCs w:val="24"/>
                <w:lang w:eastAsia="lv-LV"/>
              </w:rPr>
              <w:t>Projekts paredz šādas izmaiņas pašreizējā regulējumā:</w:t>
            </w:r>
          </w:p>
          <w:p w14:paraId="28D497B9" w14:textId="77777777" w:rsidR="009D7A0C" w:rsidRPr="009D7A0C" w:rsidRDefault="009D7A0C" w:rsidP="006C4C81">
            <w:pPr>
              <w:spacing w:after="0" w:line="240" w:lineRule="auto"/>
              <w:ind w:right="145" w:firstLine="422"/>
              <w:jc w:val="both"/>
              <w:rPr>
                <w:rFonts w:ascii="Times New Roman" w:eastAsia="Times New Roman" w:hAnsi="Times New Roman" w:cs="Times New Roman"/>
                <w:color w:val="000000"/>
                <w:sz w:val="24"/>
                <w:szCs w:val="24"/>
                <w:lang w:eastAsia="lv-LV"/>
              </w:rPr>
            </w:pPr>
            <w:r w:rsidRPr="009D7A0C">
              <w:rPr>
                <w:rFonts w:ascii="Times New Roman" w:eastAsia="Times New Roman" w:hAnsi="Times New Roman" w:cs="Times New Roman"/>
                <w:color w:val="000000"/>
                <w:sz w:val="24"/>
                <w:szCs w:val="24"/>
                <w:lang w:eastAsia="lv-LV"/>
              </w:rPr>
              <w:t xml:space="preserve">1. Iestāde, kas organizējusi mobilizācijas gatavības pārbaudes vai mobilizācijas mācības un uz mobilizācijas pieprasījuma pamata iesaistījusi šo mācību un pārbaužu izpildē privātpersonas īpašumu un tās valdījumā esošos materiālos resursus, kā arī izmantojusi privātpersonas sniegtos pakalpojumus, atlīdzina minētajai privātpersonai faktiskos zaudējumus ļoti plašā spektrā – par visiem iespējamiem pakalpojuma veidiem, izlietotiem, bojātiem vai iznīcinātiem materiāliem resursiem, īpašuma bojāšanu vai iznīcināšanu, kā arī mobilizācijas pieprasījuma izpildē iesaistītās personas veselībai nodarīto kaitējumu. </w:t>
            </w:r>
          </w:p>
          <w:p w14:paraId="7ECD54A4" w14:textId="77777777" w:rsidR="009D7A0C" w:rsidRPr="009D7A0C" w:rsidRDefault="009D7A0C" w:rsidP="006C4C81">
            <w:pPr>
              <w:spacing w:after="0" w:line="240" w:lineRule="auto"/>
              <w:ind w:right="145" w:firstLine="422"/>
              <w:contextualSpacing/>
              <w:jc w:val="both"/>
              <w:rPr>
                <w:rFonts w:ascii="Times New Roman" w:eastAsia="Calibri" w:hAnsi="Times New Roman" w:cs="Times New Roman"/>
                <w:color w:val="000000"/>
                <w:sz w:val="24"/>
                <w:szCs w:val="24"/>
              </w:rPr>
            </w:pPr>
            <w:r w:rsidRPr="009D7A0C">
              <w:rPr>
                <w:rFonts w:ascii="Times New Roman" w:eastAsia="Calibri" w:hAnsi="Times New Roman" w:cs="Times New Roman"/>
                <w:color w:val="000000"/>
                <w:sz w:val="24"/>
                <w:szCs w:val="24"/>
              </w:rPr>
              <w:t xml:space="preserve">Tāpat grozījumi paredz, ka iestāde, kas organizējusi mobilizācijas gatavības pārbaudes vai mobilizācijas mācības, atlīdzina trešajai personai, kas tieši nav iesaistīta mobilizācijas pieprasījuma izpildē, </w:t>
            </w:r>
            <w:r w:rsidRPr="009D7A0C">
              <w:rPr>
                <w:rFonts w:ascii="Times New Roman" w:eastAsia="Times New Roman" w:hAnsi="Times New Roman" w:cs="Times New Roman"/>
                <w:sz w:val="24"/>
                <w:szCs w:val="24"/>
                <w:lang w:eastAsia="lv-LV"/>
              </w:rPr>
              <w:t>zaudējumus, kas radušies tās īpašumam vai mantai nodarīto bojājumu vai iznīcināšanas rezultātā, kā arī tās veselībai nodarītā kaitējuma ietekmē.</w:t>
            </w:r>
            <w:r w:rsidRPr="009D7A0C">
              <w:rPr>
                <w:rFonts w:ascii="Times New Roman" w:eastAsia="Calibri" w:hAnsi="Times New Roman" w:cs="Times New Roman"/>
                <w:color w:val="000000"/>
                <w:sz w:val="24"/>
                <w:szCs w:val="24"/>
              </w:rPr>
              <w:t xml:space="preserve"> Trešā persona projekta izpratnē ir persona,  kura nav sniegusi mobilizācijas pieprasījumā noteiktos pakalpojumus, un kuras īpašums vai </w:t>
            </w:r>
            <w:r w:rsidRPr="009D7A0C">
              <w:rPr>
                <w:rFonts w:ascii="Times New Roman" w:eastAsia="Calibri" w:hAnsi="Times New Roman" w:cs="Times New Roman"/>
                <w:sz w:val="24"/>
                <w:szCs w:val="24"/>
              </w:rPr>
              <w:t xml:space="preserve"> </w:t>
            </w:r>
            <w:r w:rsidRPr="009D7A0C">
              <w:rPr>
                <w:rFonts w:ascii="Times New Roman" w:eastAsia="Calibri" w:hAnsi="Times New Roman" w:cs="Times New Roman"/>
                <w:color w:val="000000"/>
                <w:sz w:val="24"/>
                <w:szCs w:val="24"/>
              </w:rPr>
              <w:t>valdījumā esošie materiāli resursi nebija iesaistīti mobilizācijas pieprasījuma izpildē.</w:t>
            </w:r>
          </w:p>
          <w:p w14:paraId="26351FE0" w14:textId="77777777" w:rsidR="009D7A0C" w:rsidRPr="009D7A0C" w:rsidRDefault="009D7A0C" w:rsidP="006C4C81">
            <w:pPr>
              <w:spacing w:after="0" w:line="240" w:lineRule="auto"/>
              <w:ind w:right="145" w:firstLine="422"/>
              <w:contextualSpacing/>
              <w:jc w:val="both"/>
              <w:rPr>
                <w:rFonts w:ascii="Times New Roman" w:eastAsia="Calibri" w:hAnsi="Times New Roman" w:cs="Times New Roman"/>
                <w:color w:val="000000"/>
                <w:sz w:val="24"/>
                <w:szCs w:val="24"/>
              </w:rPr>
            </w:pPr>
            <w:r w:rsidRPr="009D7A0C">
              <w:rPr>
                <w:rFonts w:ascii="Times New Roman" w:eastAsia="Calibri" w:hAnsi="Times New Roman" w:cs="Times New Roman"/>
                <w:color w:val="000000"/>
                <w:sz w:val="24"/>
                <w:szCs w:val="24"/>
              </w:rPr>
              <w:t xml:space="preserve">Jāpiebilst, ka projekts neatrunā zaudējumu un veselībai nodarītā kaitējuma atlīdzināšanu mobilizācijas gatavības pārbaudēs vai mobilizācijas mācībās iesaistītajiem karavīriem un zemessargiem, jo to regulē Valsts un </w:t>
            </w:r>
            <w:r w:rsidRPr="009D7A0C">
              <w:rPr>
                <w:rFonts w:ascii="Times New Roman" w:eastAsia="Calibri" w:hAnsi="Times New Roman" w:cs="Times New Roman"/>
                <w:sz w:val="24"/>
                <w:szCs w:val="24"/>
              </w:rPr>
              <w:t xml:space="preserve"> </w:t>
            </w:r>
            <w:r w:rsidRPr="009D7A0C">
              <w:rPr>
                <w:rFonts w:ascii="Times New Roman" w:eastAsia="Calibri" w:hAnsi="Times New Roman" w:cs="Times New Roman"/>
                <w:color w:val="000000"/>
                <w:sz w:val="24"/>
                <w:szCs w:val="24"/>
              </w:rPr>
              <w:t xml:space="preserve">pašvaldību institūciju amatpersonu un darbinieku atlīdzības likuma 21. un 33. pants, Latvijas Republikas Zemessardzes likuma 34. panta devītā daļa un uz šo normu pamata izdotie Ministru kabineta noteikumi.  </w:t>
            </w:r>
          </w:p>
          <w:p w14:paraId="5F14976F" w14:textId="77777777" w:rsidR="009D7A0C" w:rsidRPr="009D7A0C" w:rsidRDefault="009D7A0C" w:rsidP="006C4C81">
            <w:pPr>
              <w:spacing w:after="0" w:line="240" w:lineRule="auto"/>
              <w:ind w:right="145" w:firstLine="422"/>
              <w:jc w:val="both"/>
              <w:rPr>
                <w:rFonts w:ascii="Times New Roman" w:eastAsia="Times New Roman" w:hAnsi="Times New Roman" w:cs="Times New Roman"/>
                <w:color w:val="000000"/>
                <w:sz w:val="24"/>
                <w:szCs w:val="24"/>
                <w:lang w:eastAsia="lv-LV"/>
              </w:rPr>
            </w:pPr>
            <w:r w:rsidRPr="009D7A0C">
              <w:rPr>
                <w:rFonts w:ascii="Times New Roman" w:eastAsia="Times New Roman" w:hAnsi="Times New Roman" w:cs="Times New Roman"/>
                <w:color w:val="000000"/>
                <w:sz w:val="24"/>
                <w:szCs w:val="24"/>
                <w:lang w:eastAsia="lv-LV"/>
              </w:rPr>
              <w:t xml:space="preserve">2. Pieteikumu par mobilizācijas gatavības pārbaudēs vai mobilizācijas mācībās nodarīto zaudējumu atlīdzināšanu (turpmāk – pieteikums) izskata iestāde, kas organizējusi minētās </w:t>
            </w:r>
            <w:r w:rsidRPr="009D7A0C">
              <w:rPr>
                <w:rFonts w:ascii="Times New Roman" w:eastAsia="Times New Roman" w:hAnsi="Times New Roman" w:cs="Times New Roman"/>
                <w:color w:val="000000"/>
                <w:sz w:val="24"/>
                <w:szCs w:val="24"/>
                <w:lang w:eastAsia="lv-LV"/>
              </w:rPr>
              <w:lastRenderedPageBreak/>
              <w:t>pārbaudes vai mācības, vai tās izveidota izvērtēšanas komisija, atstājot iestādes vadītājam brīvu izvēli, kādā veidā šos pieteikumus skatīt. Šādā konstrukcijā tiek saglabāta iespēja piesaistīt ekspertus lēmuma pieņemšanas procesā, bet ne kā obligāta prasība, ņemot vērā to, ka vienkāršu un tipveida zaudējumu izskatīšanas gadījumā nav nepieciešamas speciālas zināšanas, kuras būtu noteiktas jomas speciālistam vai ekspertam.</w:t>
            </w:r>
          </w:p>
          <w:p w14:paraId="34026CF8" w14:textId="77777777" w:rsidR="009D7A0C" w:rsidRPr="009D7A0C" w:rsidRDefault="009D7A0C" w:rsidP="006C4C81">
            <w:pPr>
              <w:numPr>
                <w:ilvl w:val="0"/>
                <w:numId w:val="1"/>
              </w:numPr>
              <w:spacing w:after="0" w:line="240" w:lineRule="auto"/>
              <w:ind w:left="0" w:right="145" w:firstLine="422"/>
              <w:contextualSpacing/>
              <w:jc w:val="both"/>
              <w:rPr>
                <w:rFonts w:ascii="Times New Roman" w:eastAsia="Calibri" w:hAnsi="Times New Roman" w:cs="Times New Roman"/>
                <w:color w:val="000000"/>
                <w:sz w:val="24"/>
                <w:szCs w:val="24"/>
              </w:rPr>
            </w:pPr>
            <w:r w:rsidRPr="009D7A0C">
              <w:rPr>
                <w:rFonts w:ascii="Times New Roman" w:eastAsia="Calibri" w:hAnsi="Times New Roman" w:cs="Times New Roman"/>
                <w:color w:val="000000"/>
                <w:sz w:val="24"/>
                <w:szCs w:val="24"/>
              </w:rPr>
              <w:t xml:space="preserve">Pieteikuma iesniedzējs brīvā formā projekta piedāvātā 13. un 13.¹ pielikuma ietvaros apraksta tam radītos zaudējumus vai veselībai nodarīto kaitējumu, norāda uz cēloņsakarību ar </w:t>
            </w:r>
            <w:r w:rsidRPr="009D7A0C">
              <w:rPr>
                <w:rFonts w:ascii="Times New Roman" w:eastAsia="Calibri" w:hAnsi="Times New Roman" w:cs="Times New Roman"/>
                <w:sz w:val="24"/>
                <w:szCs w:val="24"/>
              </w:rPr>
              <w:t xml:space="preserve"> </w:t>
            </w:r>
            <w:r w:rsidRPr="009D7A0C">
              <w:rPr>
                <w:rFonts w:ascii="Times New Roman" w:eastAsia="Calibri" w:hAnsi="Times New Roman" w:cs="Times New Roman"/>
                <w:color w:val="000000"/>
                <w:sz w:val="24"/>
                <w:szCs w:val="24"/>
              </w:rPr>
              <w:t>mobilizācijas gatavības pārbaudēm vai mobilizācijas mācībām, kā arī sniedz zaudējumu aprēķinu. Pieteikumam pievieno dokumentus, kas apliecina zaudējumu aprēķinu.</w:t>
            </w:r>
          </w:p>
          <w:p w14:paraId="5C1B324B" w14:textId="77777777" w:rsidR="009D7A0C" w:rsidRPr="009D7A0C" w:rsidRDefault="009D7A0C" w:rsidP="006C4C81">
            <w:pPr>
              <w:spacing w:after="0" w:line="240" w:lineRule="auto"/>
              <w:ind w:right="145" w:firstLine="422"/>
              <w:jc w:val="both"/>
              <w:rPr>
                <w:rFonts w:ascii="Times New Roman" w:eastAsia="Times New Roman" w:hAnsi="Times New Roman" w:cs="Times New Roman"/>
                <w:color w:val="000000"/>
                <w:sz w:val="24"/>
                <w:szCs w:val="24"/>
                <w:lang w:eastAsia="lv-LV"/>
              </w:rPr>
            </w:pPr>
            <w:r w:rsidRPr="009D7A0C">
              <w:rPr>
                <w:rFonts w:ascii="Times New Roman" w:eastAsia="Times New Roman" w:hAnsi="Times New Roman" w:cs="Times New Roman"/>
                <w:color w:val="000000"/>
                <w:sz w:val="24"/>
                <w:szCs w:val="24"/>
                <w:lang w:eastAsia="lv-LV"/>
              </w:rPr>
              <w:t xml:space="preserve">Zaudējumu un kaitējuma </w:t>
            </w:r>
            <w:r w:rsidRPr="009D7A0C">
              <w:rPr>
                <w:rFonts w:ascii="Times New Roman" w:eastAsia="Times New Roman" w:hAnsi="Times New Roman" w:cs="Times New Roman"/>
                <w:sz w:val="24"/>
                <w:szCs w:val="24"/>
                <w:lang w:eastAsia="lv-LV"/>
              </w:rPr>
              <w:t xml:space="preserve"> tiesisko pamatu un apmēru </w:t>
            </w:r>
            <w:r w:rsidRPr="009D7A0C">
              <w:rPr>
                <w:rFonts w:ascii="Times New Roman" w:eastAsia="Times New Roman" w:hAnsi="Times New Roman" w:cs="Times New Roman"/>
                <w:color w:val="000000"/>
                <w:sz w:val="24"/>
                <w:szCs w:val="24"/>
                <w:lang w:eastAsia="lv-LV"/>
              </w:rPr>
              <w:t xml:space="preserve"> pierāda ar </w:t>
            </w:r>
            <w:hyperlink r:id="rId8" w:tgtFrame="_blank" w:history="1">
              <w:r w:rsidRPr="009D7A0C">
                <w:rPr>
                  <w:rFonts w:ascii="Times New Roman" w:eastAsia="Times New Roman" w:hAnsi="Times New Roman" w:cs="Times New Roman"/>
                  <w:sz w:val="24"/>
                  <w:szCs w:val="24"/>
                  <w:lang w:eastAsia="lv-LV"/>
                </w:rPr>
                <w:t>Administratīvā procesa likumā</w:t>
              </w:r>
            </w:hyperlink>
            <w:r w:rsidRPr="009D7A0C">
              <w:rPr>
                <w:rFonts w:ascii="Times New Roman" w:eastAsia="Times New Roman" w:hAnsi="Times New Roman" w:cs="Times New Roman"/>
                <w:sz w:val="24"/>
                <w:szCs w:val="24"/>
                <w:lang w:eastAsia="lv-LV"/>
              </w:rPr>
              <w:t xml:space="preserve"> noteiktajiem pierādīšanas līdzekļiem.</w:t>
            </w:r>
            <w:r w:rsidRPr="009D7A0C">
              <w:rPr>
                <w:rFonts w:ascii="Times New Roman" w:eastAsia="Times New Roman" w:hAnsi="Times New Roman" w:cs="Times New Roman"/>
                <w:color w:val="000000"/>
                <w:sz w:val="24"/>
                <w:szCs w:val="24"/>
                <w:lang w:eastAsia="lv-LV"/>
              </w:rPr>
              <w:t xml:space="preserve"> Personai ir pienākums iesniegt pārliecinošus, atbilstošus un pietiekamus pierādījumus, kas apstiprina pieteikumā norādīto cēloņsakarību un konkrēto zaudējumu vai kaitējuma esamību, kā arī to novērtējumu materiālā izteiksmē. Pierādījumi iesniedzami atbilstoši nodarīto zaudējumu vai kaitējuma specifikai, raksturojot konkrētās zaudējumu pozīcijas un to izmaksas, kas loģiski noved pie pieprasītā zaudējuma kopējā apmēra. </w:t>
            </w:r>
          </w:p>
          <w:p w14:paraId="1A655D09" w14:textId="77777777" w:rsidR="009D7A0C" w:rsidRPr="009D7A0C" w:rsidRDefault="009D7A0C" w:rsidP="006C4C81">
            <w:pPr>
              <w:spacing w:after="0" w:line="240" w:lineRule="auto"/>
              <w:ind w:right="145" w:firstLine="422"/>
              <w:jc w:val="both"/>
              <w:rPr>
                <w:rFonts w:ascii="Times New Roman" w:eastAsia="Times New Roman" w:hAnsi="Times New Roman" w:cs="Times New Roman"/>
                <w:color w:val="000000"/>
                <w:sz w:val="24"/>
                <w:szCs w:val="24"/>
                <w:lang w:eastAsia="lv-LV"/>
              </w:rPr>
            </w:pPr>
            <w:r w:rsidRPr="009D7A0C">
              <w:rPr>
                <w:rFonts w:ascii="Times New Roman" w:eastAsia="Times New Roman" w:hAnsi="Times New Roman" w:cs="Times New Roman"/>
                <w:color w:val="000000"/>
                <w:sz w:val="24"/>
                <w:szCs w:val="24"/>
                <w:lang w:eastAsia="lv-LV"/>
              </w:rPr>
              <w:t>Piemēram, ja  mobilizācijas gatavības pārbaudes vai mobilizācijas mācību laikā nodarīts kaitējums personas veselībai, pieteikumam būtu jāpievieno:</w:t>
            </w:r>
          </w:p>
          <w:p w14:paraId="3DAEEA6D" w14:textId="1AE7A343" w:rsidR="009D7A0C" w:rsidRPr="009D7A0C" w:rsidRDefault="009D7A0C" w:rsidP="006C4C81">
            <w:pPr>
              <w:spacing w:after="0" w:line="240" w:lineRule="auto"/>
              <w:ind w:right="145" w:firstLine="422"/>
              <w:jc w:val="both"/>
              <w:rPr>
                <w:rFonts w:ascii="Times New Roman" w:eastAsia="Times New Roman" w:hAnsi="Times New Roman" w:cs="Times New Roman"/>
                <w:color w:val="000000"/>
                <w:sz w:val="24"/>
                <w:szCs w:val="24"/>
                <w:lang w:eastAsia="lv-LV"/>
              </w:rPr>
            </w:pPr>
            <w:r w:rsidRPr="009D7A0C">
              <w:rPr>
                <w:rFonts w:ascii="Times New Roman" w:eastAsia="Times New Roman" w:hAnsi="Times New Roman" w:cs="Times New Roman"/>
                <w:color w:val="000000"/>
                <w:sz w:val="24"/>
                <w:szCs w:val="24"/>
                <w:lang w:eastAsia="lv-LV"/>
              </w:rPr>
              <w:t xml:space="preserve">- </w:t>
            </w:r>
            <w:r w:rsidRPr="009D7A0C">
              <w:rPr>
                <w:rFonts w:ascii="Times New Roman" w:eastAsia="Times New Roman" w:hAnsi="Times New Roman" w:cs="Times New Roman"/>
                <w:sz w:val="24"/>
                <w:szCs w:val="24"/>
                <w:lang w:eastAsia="lv-LV"/>
              </w:rPr>
              <w:t xml:space="preserve">dokumenti, kas apstiprina veselībai nodarītā kaitējuma esamību, smagumu un saistību ar mobilizācijas gatavības pārbaudi vai mobilizācijas mācībām (t. sk. </w:t>
            </w:r>
            <w:r w:rsidRPr="006C4C81">
              <w:rPr>
                <w:rFonts w:ascii="Times New Roman" w:eastAsia="Times New Roman" w:hAnsi="Times New Roman" w:cs="Times New Roman"/>
                <w:sz w:val="24"/>
                <w:szCs w:val="24"/>
                <w:lang w:eastAsia="lv-LV"/>
              </w:rPr>
              <w:t>ārstniecības i</w:t>
            </w:r>
            <w:r w:rsidRPr="009D7A0C">
              <w:rPr>
                <w:rFonts w:ascii="Times New Roman" w:eastAsia="Times New Roman" w:hAnsi="Times New Roman" w:cs="Times New Roman"/>
                <w:sz w:val="24"/>
                <w:szCs w:val="24"/>
                <w:lang w:eastAsia="lv-LV"/>
              </w:rPr>
              <w:t>estādes izraksts/epikrīze, ārsta speciālista (konsultanta) atzinum</w:t>
            </w:r>
            <w:r w:rsidR="006C4C81">
              <w:rPr>
                <w:rFonts w:ascii="Times New Roman" w:eastAsia="Times New Roman" w:hAnsi="Times New Roman" w:cs="Times New Roman"/>
                <w:sz w:val="24"/>
                <w:szCs w:val="24"/>
                <w:lang w:eastAsia="lv-LV"/>
              </w:rPr>
              <w:t>s, ārstniecības iestādes izziņa</w:t>
            </w:r>
            <w:r w:rsidRPr="009D7A0C">
              <w:rPr>
                <w:rFonts w:ascii="Times New Roman" w:eastAsia="Times New Roman" w:hAnsi="Times New Roman" w:cs="Times New Roman"/>
                <w:sz w:val="24"/>
                <w:szCs w:val="24"/>
                <w:lang w:eastAsia="lv-LV"/>
              </w:rPr>
              <w:t xml:space="preserve"> vai Valsts tiesu medicīnas ekspertīžu centra slēdziens par veselības bojājuma smaguma pakāpi, Veselības un darbspēju ekspertīzes ārstu valsts komisijas izziņa par invaliditāti (ja veselības bojājuma rezultātā noteikta invaliditāte), </w:t>
            </w:r>
          </w:p>
          <w:p w14:paraId="7A642E5D" w14:textId="77777777" w:rsidR="009D7A0C" w:rsidRPr="009D7A0C" w:rsidRDefault="009D7A0C" w:rsidP="006C4C81">
            <w:pPr>
              <w:spacing w:after="200" w:line="240" w:lineRule="auto"/>
              <w:ind w:right="145" w:firstLine="422"/>
              <w:contextualSpacing/>
              <w:jc w:val="both"/>
              <w:rPr>
                <w:rFonts w:ascii="Times New Roman" w:eastAsia="Calibri" w:hAnsi="Times New Roman" w:cs="Times New Roman"/>
                <w:color w:val="000000"/>
                <w:sz w:val="24"/>
                <w:szCs w:val="24"/>
              </w:rPr>
            </w:pPr>
            <w:r w:rsidRPr="009D7A0C">
              <w:rPr>
                <w:rFonts w:ascii="Times New Roman" w:eastAsia="Calibri" w:hAnsi="Times New Roman" w:cs="Times New Roman"/>
                <w:sz w:val="24"/>
                <w:szCs w:val="24"/>
              </w:rPr>
              <w:t xml:space="preserve">- </w:t>
            </w:r>
            <w:r w:rsidRPr="009D7A0C">
              <w:rPr>
                <w:rFonts w:ascii="Times New Roman" w:eastAsia="Calibri" w:hAnsi="Times New Roman" w:cs="Times New Roman"/>
                <w:color w:val="000000"/>
                <w:sz w:val="24"/>
                <w:szCs w:val="24"/>
              </w:rPr>
              <w:t>ārstniecības izdevumus apliecinoši personificēti attaisnojuma dokumenti, kas apliecina izmaksas par ārstniecības personu sniegtajām konsultācijām, medicīniskajām manipulācijām, izmeklējumiem, zāļu un medicīnisko ierīču iegādi un medicīnisko rehabilitāciju (čeki, kvītis), kā arī medicīnas dokumenti, kas pamato saņemtos veselības aprūpes pakalpojumus, zāļu vai medicīnas ierīču iegādi (ārstniecības iestādes izraksts/epikrīze, ārsta speciālista (konsultanta) atzinums, recepte).</w:t>
            </w:r>
          </w:p>
          <w:p w14:paraId="70538CA9" w14:textId="19EDA978" w:rsidR="009D7A0C" w:rsidRPr="009D7A0C" w:rsidRDefault="009D7A0C" w:rsidP="006C4C81">
            <w:pPr>
              <w:spacing w:after="200" w:line="240" w:lineRule="auto"/>
              <w:ind w:right="145" w:firstLine="422"/>
              <w:contextualSpacing/>
              <w:jc w:val="both"/>
              <w:rPr>
                <w:rFonts w:ascii="Times New Roman" w:eastAsia="Calibri" w:hAnsi="Times New Roman" w:cs="Times New Roman"/>
                <w:color w:val="000000"/>
                <w:sz w:val="24"/>
                <w:szCs w:val="24"/>
              </w:rPr>
            </w:pPr>
            <w:r w:rsidRPr="009D7A0C">
              <w:rPr>
                <w:rFonts w:ascii="Times New Roman" w:eastAsia="Calibri" w:hAnsi="Times New Roman" w:cs="Times New Roman"/>
                <w:color w:val="000000"/>
                <w:sz w:val="24"/>
                <w:szCs w:val="24"/>
              </w:rPr>
              <w:t>Lēmums par atlīdzinājuma piešķiršanu tiks pieņemts, ievērojot</w:t>
            </w:r>
            <w:r w:rsidRPr="009D7A0C">
              <w:rPr>
                <w:rFonts w:ascii="Times New Roman" w:eastAsia="Calibri" w:hAnsi="Times New Roman" w:cs="Times New Roman"/>
                <w:sz w:val="24"/>
                <w:szCs w:val="24"/>
              </w:rPr>
              <w:t xml:space="preserve"> </w:t>
            </w:r>
            <w:r w:rsidRPr="009D7A0C">
              <w:rPr>
                <w:rFonts w:ascii="Times New Roman" w:eastAsia="Calibri" w:hAnsi="Times New Roman" w:cs="Times New Roman"/>
                <w:color w:val="000000"/>
                <w:sz w:val="24"/>
                <w:szCs w:val="24"/>
              </w:rPr>
              <w:t xml:space="preserve">Valsts pārvaldes iestāžu nodarīto zaudējumu atlīdzināšanas likumā noteiktos </w:t>
            </w:r>
            <w:r w:rsidRPr="009D7A0C">
              <w:rPr>
                <w:rFonts w:ascii="Times New Roman" w:eastAsia="Calibri" w:hAnsi="Times New Roman" w:cs="Times New Roman"/>
                <w:sz w:val="24"/>
                <w:szCs w:val="24"/>
              </w:rPr>
              <w:t xml:space="preserve">zaudējumu un </w:t>
            </w:r>
            <w:r w:rsidRPr="009D7A0C">
              <w:rPr>
                <w:rFonts w:ascii="Times New Roman" w:eastAsia="Calibri" w:hAnsi="Times New Roman" w:cs="Times New Roman"/>
                <w:color w:val="000000"/>
                <w:sz w:val="24"/>
                <w:szCs w:val="24"/>
              </w:rPr>
              <w:t>kaitējuma apmēra noteikšanas principus un kritērijus.  Atlīdzinājuma piešķiršanai nepieciešams konstatēt tiešu c</w:t>
            </w:r>
            <w:r w:rsidR="006C4C81">
              <w:rPr>
                <w:rFonts w:ascii="Times New Roman" w:eastAsia="Calibri" w:hAnsi="Times New Roman" w:cs="Times New Roman"/>
                <w:color w:val="000000"/>
                <w:sz w:val="24"/>
                <w:szCs w:val="24"/>
              </w:rPr>
              <w:t>ēloņsakarību starp personai no</w:t>
            </w:r>
            <w:r w:rsidRPr="009D7A0C">
              <w:rPr>
                <w:rFonts w:ascii="Times New Roman" w:eastAsia="Calibri" w:hAnsi="Times New Roman" w:cs="Times New Roman"/>
                <w:color w:val="000000"/>
                <w:sz w:val="24"/>
                <w:szCs w:val="24"/>
              </w:rPr>
              <w:t>d</w:t>
            </w:r>
            <w:r w:rsidR="006C4C81">
              <w:rPr>
                <w:rFonts w:ascii="Times New Roman" w:eastAsia="Calibri" w:hAnsi="Times New Roman" w:cs="Times New Roman"/>
                <w:color w:val="000000"/>
                <w:sz w:val="24"/>
                <w:szCs w:val="24"/>
              </w:rPr>
              <w:t>ar</w:t>
            </w:r>
            <w:r w:rsidRPr="009D7A0C">
              <w:rPr>
                <w:rFonts w:ascii="Times New Roman" w:eastAsia="Calibri" w:hAnsi="Times New Roman" w:cs="Times New Roman"/>
                <w:color w:val="000000"/>
                <w:sz w:val="24"/>
                <w:szCs w:val="24"/>
              </w:rPr>
              <w:t xml:space="preserve">ītajiem zaudējumiem vai kaitējumu un mobilizācijas gatavības pārbaudi vai mobilizācijas mācībām, kā arī no personas </w:t>
            </w:r>
            <w:r w:rsidRPr="009D7A0C">
              <w:rPr>
                <w:rFonts w:ascii="Times New Roman" w:eastAsia="Calibri" w:hAnsi="Times New Roman" w:cs="Times New Roman"/>
                <w:color w:val="000000"/>
                <w:sz w:val="24"/>
                <w:szCs w:val="24"/>
              </w:rPr>
              <w:lastRenderedPageBreak/>
              <w:t>iesniegtajiem dokumentiem konstatēt zaudējumu vai kaitējuma faktisko esamību un apmēru. Tāpat tiks vērtēta arī cietušās personas iespējamā līdzatbildība.</w:t>
            </w:r>
          </w:p>
        </w:tc>
      </w:tr>
      <w:tr w:rsidR="009D7A0C" w:rsidRPr="009D7A0C" w14:paraId="4A913D6C" w14:textId="77777777" w:rsidTr="00AE1DBB">
        <w:trPr>
          <w:trHeight w:val="8"/>
        </w:trPr>
        <w:tc>
          <w:tcPr>
            <w:tcW w:w="425" w:type="dxa"/>
          </w:tcPr>
          <w:p w14:paraId="78DBBA6B"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lastRenderedPageBreak/>
              <w:t>3.</w:t>
            </w:r>
          </w:p>
        </w:tc>
        <w:tc>
          <w:tcPr>
            <w:tcW w:w="2263" w:type="dxa"/>
          </w:tcPr>
          <w:p w14:paraId="208B86C5"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Projekta izstrādē iesaistītās institūcijas un publiskas personas kapitālsabiedrības</w:t>
            </w:r>
          </w:p>
        </w:tc>
        <w:tc>
          <w:tcPr>
            <w:tcW w:w="6389" w:type="dxa"/>
          </w:tcPr>
          <w:p w14:paraId="23BDFCA0"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Nacionālie bruņotie spēki.</w:t>
            </w:r>
          </w:p>
        </w:tc>
      </w:tr>
      <w:tr w:rsidR="009D7A0C" w:rsidRPr="009D7A0C" w14:paraId="315C333F" w14:textId="77777777" w:rsidTr="00AE1DBB">
        <w:trPr>
          <w:trHeight w:val="246"/>
        </w:trPr>
        <w:tc>
          <w:tcPr>
            <w:tcW w:w="425" w:type="dxa"/>
          </w:tcPr>
          <w:p w14:paraId="40EE3406"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4.</w:t>
            </w:r>
          </w:p>
        </w:tc>
        <w:tc>
          <w:tcPr>
            <w:tcW w:w="2263" w:type="dxa"/>
          </w:tcPr>
          <w:p w14:paraId="0D4E9137"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Cita informācija</w:t>
            </w:r>
          </w:p>
        </w:tc>
        <w:tc>
          <w:tcPr>
            <w:tcW w:w="6389" w:type="dxa"/>
          </w:tcPr>
          <w:p w14:paraId="1A25A5F4"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ru-RU"/>
              </w:rPr>
            </w:pPr>
            <w:r w:rsidRPr="009D7A0C">
              <w:rPr>
                <w:rFonts w:ascii="Times New Roman" w:eastAsia="Times New Roman" w:hAnsi="Times New Roman" w:cs="Times New Roman"/>
                <w:sz w:val="24"/>
                <w:szCs w:val="24"/>
                <w:lang w:eastAsia="ru-RU"/>
              </w:rPr>
              <w:t>Nav.</w:t>
            </w:r>
          </w:p>
        </w:tc>
      </w:tr>
    </w:tbl>
    <w:p w14:paraId="3926B4CE"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658"/>
        <w:gridCol w:w="4933"/>
      </w:tblGrid>
      <w:tr w:rsidR="009D7A0C" w:rsidRPr="009D7A0C" w14:paraId="33BFE01E" w14:textId="77777777" w:rsidTr="009D7A0C">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F3102A" w14:textId="77777777" w:rsidR="009D7A0C" w:rsidRPr="009D7A0C" w:rsidRDefault="009D7A0C" w:rsidP="009D7A0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D7A0C">
              <w:rPr>
                <w:rFonts w:ascii="Times New Roman" w:eastAsia="Times New Roman" w:hAnsi="Times New Roman" w:cs="Times New Roman"/>
                <w:sz w:val="24"/>
                <w:szCs w:val="24"/>
                <w:lang w:eastAsia="lv-LV"/>
              </w:rPr>
              <w:t> </w:t>
            </w:r>
            <w:r w:rsidRPr="009D7A0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7A0C" w:rsidRPr="009D7A0C" w14:paraId="635CE7CA" w14:textId="77777777" w:rsidTr="009D7A0C">
        <w:trPr>
          <w:trHeight w:val="465"/>
        </w:trPr>
        <w:tc>
          <w:tcPr>
            <w:tcW w:w="256" w:type="pct"/>
            <w:tcBorders>
              <w:top w:val="outset" w:sz="6" w:space="0" w:color="414142"/>
              <w:left w:val="outset" w:sz="6" w:space="0" w:color="414142"/>
              <w:bottom w:val="outset" w:sz="6" w:space="0" w:color="414142"/>
              <w:right w:val="outset" w:sz="6" w:space="0" w:color="414142"/>
            </w:tcBorders>
            <w:hideMark/>
          </w:tcPr>
          <w:p w14:paraId="6305B5F7"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1.</w:t>
            </w:r>
          </w:p>
        </w:tc>
        <w:tc>
          <w:tcPr>
            <w:tcW w:w="2020" w:type="pct"/>
            <w:tcBorders>
              <w:top w:val="outset" w:sz="6" w:space="0" w:color="414142"/>
              <w:left w:val="outset" w:sz="6" w:space="0" w:color="414142"/>
              <w:bottom w:val="outset" w:sz="6" w:space="0" w:color="414142"/>
              <w:right w:val="outset" w:sz="6" w:space="0" w:color="414142"/>
            </w:tcBorders>
            <w:hideMark/>
          </w:tcPr>
          <w:p w14:paraId="6D22A11D"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Sabiedrības mērķgrupas, kuras tiesiskais regulējums ietekmē vai varētu ietekmēt</w:t>
            </w:r>
          </w:p>
        </w:tc>
        <w:tc>
          <w:tcPr>
            <w:tcW w:w="2724" w:type="pct"/>
            <w:tcBorders>
              <w:top w:val="outset" w:sz="6" w:space="0" w:color="414142"/>
              <w:left w:val="outset" w:sz="6" w:space="0" w:color="414142"/>
              <w:bottom w:val="outset" w:sz="6" w:space="0" w:color="414142"/>
              <w:right w:val="outset" w:sz="6" w:space="0" w:color="414142"/>
            </w:tcBorders>
          </w:tcPr>
          <w:p w14:paraId="648BD450" w14:textId="77777777" w:rsidR="009D7A0C" w:rsidRPr="009D7A0C" w:rsidRDefault="009D7A0C" w:rsidP="006C4C81">
            <w:pPr>
              <w:spacing w:after="0" w:line="240" w:lineRule="auto"/>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 xml:space="preserve">Projekts attiecas uz </w:t>
            </w:r>
            <w:r w:rsidRPr="009D7A0C">
              <w:rPr>
                <w:rFonts w:ascii="Times New Roman" w:eastAsia="Times New Roman" w:hAnsi="Times New Roman" w:cs="Times New Roman"/>
                <w:color w:val="000000"/>
                <w:sz w:val="24"/>
                <w:szCs w:val="24"/>
                <w:lang w:eastAsia="lv-LV"/>
              </w:rPr>
              <w:t>iestādēm, kas organizē mobilizācijas gatavības pārbaudes vai mobilizācijas mācības</w:t>
            </w:r>
            <w:r w:rsidRPr="009D7A0C">
              <w:rPr>
                <w:rFonts w:ascii="Times New Roman" w:eastAsia="Times New Roman" w:hAnsi="Times New Roman" w:cs="Times New Roman"/>
                <w:sz w:val="24"/>
                <w:szCs w:val="24"/>
                <w:lang w:eastAsia="lv-LV"/>
              </w:rPr>
              <w:t>, kā arī uz privātpersonām, kas tiešā veidā caur mobilizācijas pieprasījumiem un netiešā veidā ir pakļautas zaudējumu rašanās riskam šo pārbaužu vai mācību rezultātā.</w:t>
            </w:r>
          </w:p>
        </w:tc>
      </w:tr>
      <w:tr w:rsidR="009D7A0C" w:rsidRPr="009D7A0C" w14:paraId="07A989A1" w14:textId="77777777" w:rsidTr="009D7A0C">
        <w:trPr>
          <w:trHeight w:val="510"/>
        </w:trPr>
        <w:tc>
          <w:tcPr>
            <w:tcW w:w="256" w:type="pct"/>
            <w:tcBorders>
              <w:top w:val="outset" w:sz="6" w:space="0" w:color="414142"/>
              <w:left w:val="outset" w:sz="6" w:space="0" w:color="414142"/>
              <w:bottom w:val="outset" w:sz="6" w:space="0" w:color="414142"/>
              <w:right w:val="outset" w:sz="6" w:space="0" w:color="414142"/>
            </w:tcBorders>
            <w:hideMark/>
          </w:tcPr>
          <w:p w14:paraId="7E350B58"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2.</w:t>
            </w:r>
          </w:p>
        </w:tc>
        <w:tc>
          <w:tcPr>
            <w:tcW w:w="2020" w:type="pct"/>
            <w:tcBorders>
              <w:top w:val="outset" w:sz="6" w:space="0" w:color="414142"/>
              <w:left w:val="outset" w:sz="6" w:space="0" w:color="414142"/>
              <w:bottom w:val="outset" w:sz="6" w:space="0" w:color="414142"/>
              <w:right w:val="outset" w:sz="6" w:space="0" w:color="414142"/>
            </w:tcBorders>
            <w:hideMark/>
          </w:tcPr>
          <w:p w14:paraId="54011C70"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Tiesiskā regulējuma ietekme uz tautsaimniecību un administratīvo slogu</w:t>
            </w:r>
          </w:p>
        </w:tc>
        <w:tc>
          <w:tcPr>
            <w:tcW w:w="2724" w:type="pct"/>
            <w:tcBorders>
              <w:top w:val="outset" w:sz="6" w:space="0" w:color="414142"/>
              <w:left w:val="outset" w:sz="6" w:space="0" w:color="414142"/>
              <w:bottom w:val="outset" w:sz="6" w:space="0" w:color="414142"/>
              <w:right w:val="outset" w:sz="6" w:space="0" w:color="414142"/>
            </w:tcBorders>
          </w:tcPr>
          <w:p w14:paraId="49ACDD10" w14:textId="77777777" w:rsidR="009D7A0C" w:rsidRPr="009D7A0C" w:rsidRDefault="009D7A0C" w:rsidP="006C4C81">
            <w:pPr>
              <w:spacing w:after="0" w:line="240" w:lineRule="auto"/>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iCs/>
                <w:sz w:val="24"/>
                <w:szCs w:val="24"/>
                <w:lang w:eastAsia="lv-LV"/>
              </w:rPr>
              <w:t xml:space="preserve">Projekts samazinās administratīvo slogu </w:t>
            </w:r>
            <w:r w:rsidRPr="009D7A0C">
              <w:rPr>
                <w:rFonts w:ascii="Times New Roman" w:eastAsia="Times New Roman" w:hAnsi="Times New Roman" w:cs="Times New Roman"/>
                <w:color w:val="000000"/>
                <w:sz w:val="24"/>
                <w:szCs w:val="24"/>
                <w:lang w:eastAsia="lv-LV"/>
              </w:rPr>
              <w:t>iestādēm, kas organizē mobilizācijas gatavības pārbaudes vai mobilizācijas mācības, jo ar projektā iekļauto regulējumu ir vienkāršota zaudējumu atlīdzināšanas kārtība, proti, zaudējumu atlīdzināšanas pieprasījumu izskatīšana notiks tikai vienā līmenī iestādē, kas organizējusi mobilizācijas gatavības pārbaudes vai mobilizācijas mācības</w:t>
            </w:r>
            <w:r w:rsidRPr="009D7A0C">
              <w:rPr>
                <w:rFonts w:ascii="Times New Roman" w:eastAsia="Times New Roman" w:hAnsi="Times New Roman" w:cs="Times New Roman"/>
                <w:iCs/>
                <w:sz w:val="24"/>
                <w:szCs w:val="24"/>
                <w:lang w:eastAsia="lv-LV"/>
              </w:rPr>
              <w:t>.</w:t>
            </w:r>
          </w:p>
        </w:tc>
      </w:tr>
      <w:tr w:rsidR="009D7A0C" w:rsidRPr="009D7A0C" w14:paraId="7E42FFD5" w14:textId="77777777" w:rsidTr="009D7A0C">
        <w:trPr>
          <w:trHeight w:val="510"/>
        </w:trPr>
        <w:tc>
          <w:tcPr>
            <w:tcW w:w="256" w:type="pct"/>
            <w:tcBorders>
              <w:top w:val="outset" w:sz="6" w:space="0" w:color="414142"/>
              <w:left w:val="outset" w:sz="6" w:space="0" w:color="414142"/>
              <w:bottom w:val="outset" w:sz="6" w:space="0" w:color="414142"/>
              <w:right w:val="outset" w:sz="6" w:space="0" w:color="414142"/>
            </w:tcBorders>
            <w:hideMark/>
          </w:tcPr>
          <w:p w14:paraId="0E119EA9"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3.</w:t>
            </w:r>
          </w:p>
        </w:tc>
        <w:tc>
          <w:tcPr>
            <w:tcW w:w="2020" w:type="pct"/>
            <w:tcBorders>
              <w:top w:val="outset" w:sz="6" w:space="0" w:color="414142"/>
              <w:left w:val="outset" w:sz="6" w:space="0" w:color="414142"/>
              <w:bottom w:val="outset" w:sz="6" w:space="0" w:color="414142"/>
              <w:right w:val="outset" w:sz="6" w:space="0" w:color="414142"/>
            </w:tcBorders>
            <w:hideMark/>
          </w:tcPr>
          <w:p w14:paraId="55008393"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Administratīvo izmaksu monetārs novērtējums</w:t>
            </w:r>
          </w:p>
        </w:tc>
        <w:tc>
          <w:tcPr>
            <w:tcW w:w="2724" w:type="pct"/>
            <w:tcBorders>
              <w:top w:val="outset" w:sz="6" w:space="0" w:color="414142"/>
              <w:left w:val="outset" w:sz="6" w:space="0" w:color="414142"/>
              <w:bottom w:val="outset" w:sz="6" w:space="0" w:color="414142"/>
              <w:right w:val="outset" w:sz="6" w:space="0" w:color="414142"/>
            </w:tcBorders>
            <w:hideMark/>
          </w:tcPr>
          <w:p w14:paraId="0FC47180"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Projekts šo jomu neskar.</w:t>
            </w:r>
          </w:p>
        </w:tc>
      </w:tr>
      <w:tr w:rsidR="009D7A0C" w:rsidRPr="009D7A0C" w14:paraId="310692A9" w14:textId="77777777" w:rsidTr="009D7A0C">
        <w:trPr>
          <w:trHeight w:val="345"/>
        </w:trPr>
        <w:tc>
          <w:tcPr>
            <w:tcW w:w="256" w:type="pct"/>
            <w:tcBorders>
              <w:top w:val="outset" w:sz="6" w:space="0" w:color="414142"/>
              <w:left w:val="outset" w:sz="6" w:space="0" w:color="414142"/>
              <w:bottom w:val="outset" w:sz="6" w:space="0" w:color="414142"/>
              <w:right w:val="outset" w:sz="6" w:space="0" w:color="414142"/>
            </w:tcBorders>
            <w:hideMark/>
          </w:tcPr>
          <w:p w14:paraId="6B5D8164"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4.</w:t>
            </w:r>
          </w:p>
        </w:tc>
        <w:tc>
          <w:tcPr>
            <w:tcW w:w="2020" w:type="pct"/>
            <w:tcBorders>
              <w:top w:val="outset" w:sz="6" w:space="0" w:color="414142"/>
              <w:left w:val="outset" w:sz="6" w:space="0" w:color="414142"/>
              <w:bottom w:val="outset" w:sz="6" w:space="0" w:color="414142"/>
              <w:right w:val="outset" w:sz="6" w:space="0" w:color="414142"/>
            </w:tcBorders>
            <w:hideMark/>
          </w:tcPr>
          <w:p w14:paraId="7D39D2A2"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Cita informācija</w:t>
            </w:r>
          </w:p>
        </w:tc>
        <w:tc>
          <w:tcPr>
            <w:tcW w:w="2724" w:type="pct"/>
            <w:tcBorders>
              <w:top w:val="outset" w:sz="6" w:space="0" w:color="414142"/>
              <w:left w:val="outset" w:sz="6" w:space="0" w:color="414142"/>
              <w:bottom w:val="outset" w:sz="6" w:space="0" w:color="414142"/>
              <w:right w:val="outset" w:sz="6" w:space="0" w:color="414142"/>
            </w:tcBorders>
            <w:hideMark/>
          </w:tcPr>
          <w:p w14:paraId="2E52940D" w14:textId="77777777" w:rsidR="009D7A0C" w:rsidRPr="009D7A0C" w:rsidRDefault="009D7A0C" w:rsidP="009D7A0C">
            <w:pPr>
              <w:spacing w:before="100" w:beforeAutospacing="1" w:after="100" w:afterAutospacing="1"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Nav</w:t>
            </w:r>
          </w:p>
        </w:tc>
      </w:tr>
    </w:tbl>
    <w:p w14:paraId="6435325D"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9D7A0C" w:rsidRPr="009D7A0C" w14:paraId="2F475417" w14:textId="77777777" w:rsidTr="00AE1DBB">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67D9F2DF" w14:textId="77777777" w:rsidR="009D7A0C" w:rsidRPr="009D7A0C" w:rsidRDefault="009D7A0C" w:rsidP="009D7A0C">
            <w:pPr>
              <w:spacing w:after="0" w:line="240" w:lineRule="auto"/>
              <w:ind w:left="57" w:right="57"/>
              <w:jc w:val="center"/>
              <w:rPr>
                <w:rFonts w:ascii="Times New Roman" w:eastAsia="Times New Roman" w:hAnsi="Times New Roman" w:cs="Times New Roman"/>
                <w:b/>
                <w:sz w:val="24"/>
                <w:szCs w:val="24"/>
                <w:lang w:eastAsia="lv-LV"/>
              </w:rPr>
            </w:pPr>
            <w:r w:rsidRPr="009D7A0C">
              <w:rPr>
                <w:rFonts w:ascii="Times New Roman" w:eastAsia="Times New Roman" w:hAnsi="Times New Roman" w:cs="Times New Roman"/>
                <w:b/>
                <w:bCs/>
                <w:sz w:val="24"/>
                <w:szCs w:val="24"/>
                <w:lang w:eastAsia="lv-LV"/>
              </w:rPr>
              <w:t xml:space="preserve">III. </w:t>
            </w:r>
            <w:r w:rsidRPr="009D7A0C">
              <w:rPr>
                <w:rFonts w:ascii="Times New Roman" w:eastAsia="Times New Roman" w:hAnsi="Times New Roman" w:cs="Times New Roman"/>
                <w:b/>
                <w:sz w:val="24"/>
                <w:szCs w:val="24"/>
                <w:lang w:eastAsia="lv-LV"/>
              </w:rPr>
              <w:t>Tiesību akta projekta ietekme uz valsts budžetu un pašvaldību budžetiem</w:t>
            </w:r>
          </w:p>
        </w:tc>
      </w:tr>
      <w:tr w:rsidR="009D7A0C" w:rsidRPr="009D7A0C" w14:paraId="4FA8DBB2" w14:textId="77777777" w:rsidTr="00AE1DBB">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E71D297" w14:textId="77777777" w:rsidR="009D7A0C" w:rsidRPr="009D7A0C" w:rsidRDefault="009D7A0C" w:rsidP="009D7A0C">
            <w:pPr>
              <w:spacing w:after="0" w:line="240" w:lineRule="auto"/>
              <w:ind w:left="57" w:right="57"/>
              <w:jc w:val="center"/>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sz w:val="24"/>
                <w:szCs w:val="24"/>
                <w:lang w:eastAsia="lv-LV"/>
              </w:rPr>
              <w:t>Projekts šo jomu neskar.</w:t>
            </w:r>
          </w:p>
        </w:tc>
      </w:tr>
    </w:tbl>
    <w:p w14:paraId="1C012AA3"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D7A0C" w:rsidRPr="009D7A0C" w14:paraId="295E5154" w14:textId="77777777" w:rsidTr="009D7A0C">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CD6310" w14:textId="77777777" w:rsidR="009D7A0C" w:rsidRPr="009D7A0C" w:rsidRDefault="009D7A0C" w:rsidP="009D7A0C">
            <w:pPr>
              <w:spacing w:after="0" w:line="240" w:lineRule="auto"/>
              <w:ind w:firstLine="300"/>
              <w:jc w:val="center"/>
              <w:rPr>
                <w:rFonts w:ascii="Times New Roman" w:eastAsia="Times New Roman" w:hAnsi="Times New Roman" w:cs="Times New Roman"/>
                <w:b/>
                <w:bCs/>
                <w:sz w:val="24"/>
                <w:szCs w:val="24"/>
                <w:lang w:eastAsia="lv-LV"/>
              </w:rPr>
            </w:pPr>
            <w:r w:rsidRPr="009D7A0C">
              <w:rPr>
                <w:rFonts w:ascii="Times New Roman" w:eastAsia="Times New Roman" w:hAnsi="Times New Roman" w:cs="Times New Roman"/>
                <w:b/>
                <w:bCs/>
                <w:sz w:val="24"/>
                <w:szCs w:val="24"/>
                <w:lang w:eastAsia="lv-LV"/>
              </w:rPr>
              <w:t>IV. Tiesību akta projekta ietekme uz spēkā esošo tiesību normu sistēmu</w:t>
            </w:r>
          </w:p>
        </w:tc>
      </w:tr>
      <w:tr w:rsidR="009D7A0C" w:rsidRPr="009D7A0C" w14:paraId="42ADE1F1" w14:textId="77777777" w:rsidTr="009D7A0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2262C860" w14:textId="77777777" w:rsidR="009D7A0C" w:rsidRPr="009D7A0C" w:rsidRDefault="009D7A0C" w:rsidP="009D7A0C">
            <w:pPr>
              <w:spacing w:after="0" w:line="240" w:lineRule="auto"/>
              <w:ind w:firstLine="300"/>
              <w:jc w:val="center"/>
              <w:rPr>
                <w:rFonts w:ascii="Times New Roman" w:eastAsia="Times New Roman" w:hAnsi="Times New Roman" w:cs="Times New Roman"/>
                <w:b/>
                <w:bCs/>
                <w:sz w:val="24"/>
                <w:szCs w:val="24"/>
                <w:lang w:eastAsia="lv-LV"/>
              </w:rPr>
            </w:pPr>
            <w:r w:rsidRPr="009D7A0C">
              <w:rPr>
                <w:rFonts w:ascii="Times New Roman" w:eastAsia="Times New Roman" w:hAnsi="Times New Roman" w:cs="Times New Roman"/>
                <w:sz w:val="24"/>
                <w:szCs w:val="24"/>
                <w:lang w:eastAsia="lv-LV"/>
              </w:rPr>
              <w:t>Projekts šo jomu neskar.</w:t>
            </w:r>
          </w:p>
        </w:tc>
      </w:tr>
    </w:tbl>
    <w:p w14:paraId="23C1B6F0"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D7A0C" w:rsidRPr="009D7A0C" w14:paraId="1B0F13AD" w14:textId="77777777" w:rsidTr="009D7A0C">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14:paraId="5993ED9A" w14:textId="77777777" w:rsidR="009D7A0C" w:rsidRPr="009D7A0C" w:rsidRDefault="009D7A0C" w:rsidP="009D7A0C">
            <w:pPr>
              <w:spacing w:after="0" w:line="240" w:lineRule="auto"/>
              <w:ind w:firstLine="300"/>
              <w:jc w:val="center"/>
              <w:rPr>
                <w:rFonts w:ascii="Times New Roman" w:eastAsia="Times New Roman" w:hAnsi="Times New Roman" w:cs="Times New Roman"/>
                <w:b/>
                <w:bCs/>
                <w:sz w:val="24"/>
                <w:szCs w:val="24"/>
                <w:lang w:eastAsia="lv-LV"/>
              </w:rPr>
            </w:pPr>
            <w:r w:rsidRPr="009D7A0C">
              <w:rPr>
                <w:rFonts w:ascii="Times New Roman" w:eastAsia="Times New Roman" w:hAnsi="Times New Roman" w:cs="Times New Roman"/>
                <w:b/>
                <w:bCs/>
                <w:sz w:val="24"/>
                <w:szCs w:val="24"/>
                <w:lang w:eastAsia="lv-LV"/>
              </w:rPr>
              <w:t>V. Tiesību akta projekta atbilstība Latvijas Republikas starptautiskajām saistībām</w:t>
            </w:r>
          </w:p>
        </w:tc>
      </w:tr>
      <w:tr w:rsidR="009D7A0C" w:rsidRPr="009D7A0C" w14:paraId="40E96AE2" w14:textId="77777777" w:rsidTr="009D7A0C">
        <w:trPr>
          <w:trHeight w:val="328"/>
        </w:trPr>
        <w:tc>
          <w:tcPr>
            <w:tcW w:w="5000" w:type="pct"/>
            <w:tcBorders>
              <w:top w:val="outset" w:sz="6" w:space="0" w:color="414142"/>
              <w:left w:val="outset" w:sz="6" w:space="0" w:color="414142"/>
              <w:bottom w:val="outset" w:sz="6" w:space="0" w:color="414142"/>
              <w:right w:val="outset" w:sz="6" w:space="0" w:color="414142"/>
            </w:tcBorders>
          </w:tcPr>
          <w:p w14:paraId="2C728873" w14:textId="77777777" w:rsidR="009D7A0C" w:rsidRPr="009D7A0C" w:rsidRDefault="009D7A0C" w:rsidP="009D7A0C">
            <w:pPr>
              <w:spacing w:after="0" w:line="240" w:lineRule="auto"/>
              <w:jc w:val="center"/>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Projekts šo jomu neskar.</w:t>
            </w:r>
          </w:p>
        </w:tc>
      </w:tr>
    </w:tbl>
    <w:p w14:paraId="55B64867"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3549"/>
        <w:gridCol w:w="5088"/>
      </w:tblGrid>
      <w:tr w:rsidR="009D7A0C" w:rsidRPr="009D7A0C" w14:paraId="3D93CCFF" w14:textId="77777777" w:rsidTr="00AE1DBB">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D046B43" w14:textId="77777777" w:rsidR="009D7A0C" w:rsidRPr="009D7A0C" w:rsidRDefault="009D7A0C" w:rsidP="009D7A0C">
            <w:pPr>
              <w:spacing w:after="0" w:line="240" w:lineRule="auto"/>
              <w:ind w:left="57" w:right="57"/>
              <w:jc w:val="center"/>
              <w:rPr>
                <w:rFonts w:ascii="Times New Roman" w:eastAsia="Times New Roman" w:hAnsi="Times New Roman" w:cs="Times New Roman"/>
                <w:b/>
                <w:bCs/>
                <w:sz w:val="24"/>
                <w:szCs w:val="24"/>
                <w:lang w:eastAsia="lv-LV"/>
              </w:rPr>
            </w:pPr>
            <w:r w:rsidRPr="009D7A0C">
              <w:rPr>
                <w:rFonts w:ascii="Times New Roman" w:eastAsia="Times New Roman" w:hAnsi="Times New Roman" w:cs="Times New Roman"/>
                <w:b/>
                <w:bCs/>
                <w:sz w:val="24"/>
                <w:szCs w:val="24"/>
                <w:lang w:eastAsia="lv-LV"/>
              </w:rPr>
              <w:t>VI. Sabiedrības līdzdalība un komunikācijas aktivitātes</w:t>
            </w:r>
          </w:p>
        </w:tc>
      </w:tr>
      <w:tr w:rsidR="009D7A0C" w:rsidRPr="009D7A0C" w14:paraId="4615AB56" w14:textId="77777777" w:rsidTr="00AE1DBB">
        <w:trPr>
          <w:trHeight w:val="553"/>
          <w:jc w:val="center"/>
        </w:trPr>
        <w:tc>
          <w:tcPr>
            <w:tcW w:w="430" w:type="dxa"/>
            <w:tcBorders>
              <w:top w:val="single" w:sz="4" w:space="0" w:color="auto"/>
              <w:left w:val="single" w:sz="4" w:space="0" w:color="auto"/>
              <w:bottom w:val="single" w:sz="4" w:space="0" w:color="auto"/>
              <w:right w:val="single" w:sz="4" w:space="0" w:color="auto"/>
            </w:tcBorders>
            <w:hideMark/>
          </w:tcPr>
          <w:p w14:paraId="6A2C1C70" w14:textId="77777777" w:rsidR="009D7A0C" w:rsidRPr="009D7A0C" w:rsidRDefault="009D7A0C" w:rsidP="009D7A0C">
            <w:pPr>
              <w:spacing w:after="0" w:line="240" w:lineRule="auto"/>
              <w:ind w:left="57" w:right="57"/>
              <w:jc w:val="both"/>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bCs/>
                <w:sz w:val="24"/>
                <w:szCs w:val="24"/>
                <w:lang w:eastAsia="lv-LV"/>
              </w:rPr>
              <w:t>1.</w:t>
            </w:r>
          </w:p>
        </w:tc>
        <w:tc>
          <w:tcPr>
            <w:tcW w:w="3549" w:type="dxa"/>
            <w:tcBorders>
              <w:top w:val="single" w:sz="4" w:space="0" w:color="auto"/>
              <w:left w:val="single" w:sz="4" w:space="0" w:color="auto"/>
              <w:bottom w:val="single" w:sz="4" w:space="0" w:color="auto"/>
              <w:right w:val="single" w:sz="4" w:space="0" w:color="auto"/>
            </w:tcBorders>
            <w:hideMark/>
          </w:tcPr>
          <w:p w14:paraId="394BF1AB" w14:textId="77777777" w:rsidR="009D7A0C" w:rsidRPr="009D7A0C" w:rsidRDefault="009D7A0C" w:rsidP="009D7A0C">
            <w:pPr>
              <w:tabs>
                <w:tab w:val="left" w:pos="170"/>
              </w:tabs>
              <w:spacing w:after="0" w:line="240" w:lineRule="auto"/>
              <w:ind w:left="57" w:right="57"/>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Plānotās sabiedrības līdzdalības un komunikācijas aktivitātes saistībā ar projektu</w:t>
            </w:r>
          </w:p>
        </w:tc>
        <w:tc>
          <w:tcPr>
            <w:tcW w:w="5088" w:type="dxa"/>
            <w:tcBorders>
              <w:top w:val="single" w:sz="4" w:space="0" w:color="auto"/>
              <w:left w:val="single" w:sz="4" w:space="0" w:color="auto"/>
              <w:bottom w:val="single" w:sz="4" w:space="0" w:color="auto"/>
              <w:right w:val="single" w:sz="4" w:space="0" w:color="auto"/>
            </w:tcBorders>
          </w:tcPr>
          <w:p w14:paraId="31830610" w14:textId="2DE45695" w:rsidR="009D7A0C" w:rsidRPr="009D7A0C" w:rsidRDefault="006C4C81" w:rsidP="006C4C81">
            <w:pPr>
              <w:tabs>
                <w:tab w:val="left" w:pos="4942"/>
              </w:tabs>
              <w:spacing w:after="0" w:line="240" w:lineRule="auto"/>
              <w:ind w:right="102"/>
              <w:jc w:val="both"/>
              <w:rPr>
                <w:rFonts w:ascii="Times New Roman" w:eastAsia="Times New Roman" w:hAnsi="Times New Roman" w:cs="Times New Roman"/>
                <w:sz w:val="24"/>
                <w:szCs w:val="24"/>
                <w:lang w:eastAsia="lv-LV"/>
              </w:rPr>
            </w:pPr>
            <w:bookmarkStart w:id="1" w:name="p61"/>
            <w:bookmarkEnd w:id="1"/>
            <w:r>
              <w:rPr>
                <w:rFonts w:ascii="Times New Roman" w:eastAsia="Times New Roman" w:hAnsi="Times New Roman" w:cs="Times New Roman"/>
                <w:sz w:val="24"/>
                <w:szCs w:val="24"/>
                <w:lang w:eastAsia="lv-LV"/>
              </w:rPr>
              <w:t>Par Noteikumu projektu tika</w:t>
            </w:r>
            <w:r w:rsidR="009D7A0C" w:rsidRPr="009D7A0C">
              <w:rPr>
                <w:rFonts w:ascii="Times New Roman" w:eastAsia="Times New Roman" w:hAnsi="Times New Roman" w:cs="Times New Roman"/>
                <w:sz w:val="24"/>
                <w:szCs w:val="24"/>
                <w:lang w:eastAsia="lv-LV"/>
              </w:rPr>
              <w:t xml:space="preserve"> informēta sabiedrība, informāciju publicējot Aizsardzības  ministrijas tīmekļa vietnē, adrese: </w:t>
            </w:r>
            <w:hyperlink r:id="rId9" w:history="1">
              <w:r w:rsidR="009D7A0C" w:rsidRPr="009D7A0C">
                <w:rPr>
                  <w:rFonts w:ascii="Times New Roman" w:eastAsia="Times New Roman" w:hAnsi="Times New Roman" w:cs="Times New Roman"/>
                  <w:color w:val="0000FF"/>
                  <w:sz w:val="24"/>
                  <w:szCs w:val="24"/>
                  <w:u w:val="single"/>
                  <w:lang w:eastAsia="lv-LV"/>
                </w:rPr>
                <w:t>www.mod.gov.lv</w:t>
              </w:r>
            </w:hyperlink>
            <w:r w:rsidR="009D7A0C" w:rsidRPr="009D7A0C">
              <w:rPr>
                <w:rFonts w:ascii="Times New Roman" w:eastAsia="Times New Roman" w:hAnsi="Times New Roman" w:cs="Times New Roman"/>
                <w:sz w:val="24"/>
                <w:szCs w:val="24"/>
                <w:lang w:eastAsia="lv-LV"/>
              </w:rPr>
              <w:t>.</w:t>
            </w:r>
          </w:p>
          <w:p w14:paraId="0A8C5E98" w14:textId="04B0C3AA" w:rsidR="009D7A0C" w:rsidRPr="009D7A0C" w:rsidRDefault="009D7A0C" w:rsidP="006C4C81">
            <w:pPr>
              <w:tabs>
                <w:tab w:val="left" w:pos="4942"/>
              </w:tabs>
              <w:spacing w:after="0" w:line="240" w:lineRule="auto"/>
              <w:ind w:right="102"/>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lastRenderedPageBreak/>
              <w:t xml:space="preserve">Pēc Noteikumu projekta izsludināšanas Valsts sekretāru sanāksmē tas </w:t>
            </w:r>
            <w:r w:rsidR="006C4C81">
              <w:rPr>
                <w:rFonts w:ascii="Times New Roman" w:eastAsia="Times New Roman" w:hAnsi="Times New Roman" w:cs="Times New Roman"/>
                <w:sz w:val="24"/>
                <w:szCs w:val="24"/>
                <w:lang w:eastAsia="lv-LV"/>
              </w:rPr>
              <w:t xml:space="preserve">ir </w:t>
            </w:r>
            <w:r w:rsidRPr="009D7A0C">
              <w:rPr>
                <w:rFonts w:ascii="Times New Roman" w:eastAsia="Times New Roman" w:hAnsi="Times New Roman" w:cs="Times New Roman"/>
                <w:sz w:val="24"/>
                <w:szCs w:val="24"/>
                <w:lang w:eastAsia="lv-LV"/>
              </w:rPr>
              <w:t xml:space="preserve">pieejams Ministru kabineta tīmekļa vietnē, adrese: </w:t>
            </w:r>
            <w:hyperlink r:id="rId10" w:history="1">
              <w:r w:rsidRPr="009D7A0C">
                <w:rPr>
                  <w:rFonts w:ascii="Times New Roman" w:eastAsia="Times New Roman" w:hAnsi="Times New Roman" w:cs="Times New Roman"/>
                  <w:color w:val="0000FF"/>
                  <w:sz w:val="24"/>
                  <w:szCs w:val="24"/>
                  <w:u w:val="single"/>
                  <w:lang w:eastAsia="lv-LV"/>
                </w:rPr>
                <w:t>www.mk.gov.lv</w:t>
              </w:r>
            </w:hyperlink>
            <w:r w:rsidRPr="009D7A0C">
              <w:rPr>
                <w:rFonts w:ascii="Times New Roman" w:eastAsia="Times New Roman" w:hAnsi="Times New Roman" w:cs="Times New Roman"/>
                <w:sz w:val="24"/>
                <w:szCs w:val="24"/>
                <w:lang w:eastAsia="lv-LV"/>
              </w:rPr>
              <w:t>.</w:t>
            </w:r>
          </w:p>
        </w:tc>
      </w:tr>
      <w:tr w:rsidR="009D7A0C" w:rsidRPr="009D7A0C" w14:paraId="581B946A" w14:textId="77777777" w:rsidTr="00AE1DBB">
        <w:trPr>
          <w:trHeight w:val="339"/>
          <w:jc w:val="center"/>
        </w:trPr>
        <w:tc>
          <w:tcPr>
            <w:tcW w:w="430" w:type="dxa"/>
            <w:tcBorders>
              <w:top w:val="single" w:sz="4" w:space="0" w:color="auto"/>
              <w:left w:val="single" w:sz="4" w:space="0" w:color="auto"/>
              <w:bottom w:val="single" w:sz="4" w:space="0" w:color="auto"/>
              <w:right w:val="single" w:sz="4" w:space="0" w:color="auto"/>
            </w:tcBorders>
            <w:hideMark/>
          </w:tcPr>
          <w:p w14:paraId="485ACBF9" w14:textId="77777777" w:rsidR="009D7A0C" w:rsidRPr="009D7A0C" w:rsidRDefault="009D7A0C" w:rsidP="009D7A0C">
            <w:pPr>
              <w:spacing w:after="0" w:line="240" w:lineRule="auto"/>
              <w:ind w:left="57" w:right="57"/>
              <w:jc w:val="both"/>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bCs/>
                <w:sz w:val="24"/>
                <w:szCs w:val="24"/>
                <w:lang w:eastAsia="lv-LV"/>
              </w:rPr>
              <w:lastRenderedPageBreak/>
              <w:t>2.</w:t>
            </w:r>
          </w:p>
        </w:tc>
        <w:tc>
          <w:tcPr>
            <w:tcW w:w="3549" w:type="dxa"/>
            <w:tcBorders>
              <w:top w:val="single" w:sz="4" w:space="0" w:color="auto"/>
              <w:left w:val="single" w:sz="4" w:space="0" w:color="auto"/>
              <w:bottom w:val="single" w:sz="4" w:space="0" w:color="auto"/>
              <w:right w:val="single" w:sz="4" w:space="0" w:color="auto"/>
            </w:tcBorders>
            <w:hideMark/>
          </w:tcPr>
          <w:p w14:paraId="5E4FDF1B" w14:textId="77777777" w:rsidR="009D7A0C" w:rsidRPr="009D7A0C" w:rsidRDefault="009D7A0C" w:rsidP="009D7A0C">
            <w:pPr>
              <w:spacing w:after="0" w:line="240" w:lineRule="auto"/>
              <w:ind w:left="57" w:right="57"/>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Sabiedrības līdzdalība projekta izstrādē</w:t>
            </w:r>
          </w:p>
        </w:tc>
        <w:tc>
          <w:tcPr>
            <w:tcW w:w="5088" w:type="dxa"/>
            <w:tcBorders>
              <w:top w:val="single" w:sz="4" w:space="0" w:color="auto"/>
              <w:left w:val="single" w:sz="4" w:space="0" w:color="auto"/>
              <w:bottom w:val="single" w:sz="4" w:space="0" w:color="auto"/>
              <w:right w:val="single" w:sz="4" w:space="0" w:color="auto"/>
            </w:tcBorders>
            <w:hideMark/>
          </w:tcPr>
          <w:p w14:paraId="392EEBDF" w14:textId="77777777" w:rsidR="009D7A0C" w:rsidRPr="009D7A0C" w:rsidRDefault="009D7A0C" w:rsidP="006C4C81">
            <w:pPr>
              <w:tabs>
                <w:tab w:val="left" w:pos="4942"/>
              </w:tabs>
              <w:spacing w:after="0" w:line="240" w:lineRule="auto"/>
              <w:ind w:right="102"/>
              <w:jc w:val="both"/>
              <w:rPr>
                <w:rFonts w:ascii="Times New Roman" w:eastAsia="Times New Roman" w:hAnsi="Times New Roman" w:cs="Times New Roman"/>
                <w:sz w:val="24"/>
                <w:szCs w:val="24"/>
                <w:lang w:eastAsia="lv-LV"/>
              </w:rPr>
            </w:pPr>
            <w:bookmarkStart w:id="2" w:name="p62"/>
            <w:bookmarkEnd w:id="2"/>
            <w:r w:rsidRPr="009D7A0C">
              <w:rPr>
                <w:rFonts w:ascii="Times New Roman" w:eastAsia="Times New Roman" w:hAnsi="Times New Roman" w:cs="Times New Roman"/>
                <w:sz w:val="24"/>
                <w:szCs w:val="24"/>
                <w:lang w:eastAsia="lv-LV"/>
              </w:rPr>
              <w:t xml:space="preserve">Noteikumu projekts 2019. gada 15. jūlijā tika publicēts Aizsardzības ministrijas tīmekļvietnē, adrese: </w:t>
            </w:r>
            <w:hyperlink r:id="rId11" w:history="1">
              <w:r w:rsidRPr="009D7A0C">
                <w:rPr>
                  <w:rFonts w:ascii="Times New Roman" w:eastAsia="Times New Roman" w:hAnsi="Times New Roman" w:cs="Times New Roman"/>
                  <w:color w:val="0000FF"/>
                  <w:sz w:val="24"/>
                  <w:szCs w:val="24"/>
                  <w:u w:val="single"/>
                  <w:lang w:eastAsia="lv-LV"/>
                </w:rPr>
                <w:t>www.mod.gov.lv</w:t>
              </w:r>
            </w:hyperlink>
            <w:r w:rsidRPr="009D7A0C">
              <w:rPr>
                <w:rFonts w:ascii="Times New Roman" w:eastAsia="Times New Roman" w:hAnsi="Times New Roman" w:cs="Times New Roman"/>
                <w:color w:val="000000"/>
                <w:sz w:val="24"/>
                <w:szCs w:val="24"/>
                <w:lang w:eastAsia="lv-LV"/>
              </w:rPr>
              <w:t xml:space="preserve">, </w:t>
            </w:r>
            <w:r w:rsidRPr="009D7A0C">
              <w:rPr>
                <w:rFonts w:ascii="Times New Roman" w:eastAsia="Times New Roman" w:hAnsi="Times New Roman" w:cs="Times New Roman"/>
                <w:sz w:val="24"/>
                <w:szCs w:val="24"/>
                <w:lang w:eastAsia="lv-LV"/>
              </w:rPr>
              <w:t>sadaļā “Sabiedrības līdzdalība”, lūdzot sniegt priekšlikumus par Noteikumu projektu līdz 2019. gada 30. jūlijam.</w:t>
            </w:r>
          </w:p>
        </w:tc>
      </w:tr>
      <w:tr w:rsidR="009D7A0C" w:rsidRPr="009D7A0C" w14:paraId="30A47BAA" w14:textId="77777777" w:rsidTr="00AE1DBB">
        <w:trPr>
          <w:trHeight w:val="476"/>
          <w:jc w:val="center"/>
        </w:trPr>
        <w:tc>
          <w:tcPr>
            <w:tcW w:w="430" w:type="dxa"/>
            <w:tcBorders>
              <w:top w:val="single" w:sz="4" w:space="0" w:color="auto"/>
              <w:left w:val="single" w:sz="4" w:space="0" w:color="auto"/>
              <w:bottom w:val="single" w:sz="4" w:space="0" w:color="auto"/>
              <w:right w:val="single" w:sz="4" w:space="0" w:color="auto"/>
            </w:tcBorders>
            <w:hideMark/>
          </w:tcPr>
          <w:p w14:paraId="35198E82" w14:textId="77777777" w:rsidR="009D7A0C" w:rsidRPr="009D7A0C" w:rsidRDefault="009D7A0C" w:rsidP="009D7A0C">
            <w:pPr>
              <w:spacing w:after="0" w:line="240" w:lineRule="auto"/>
              <w:ind w:left="57" w:right="57"/>
              <w:jc w:val="both"/>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bCs/>
                <w:sz w:val="24"/>
                <w:szCs w:val="24"/>
                <w:lang w:eastAsia="lv-LV"/>
              </w:rPr>
              <w:t>3.</w:t>
            </w:r>
          </w:p>
        </w:tc>
        <w:tc>
          <w:tcPr>
            <w:tcW w:w="3549" w:type="dxa"/>
            <w:tcBorders>
              <w:top w:val="single" w:sz="4" w:space="0" w:color="auto"/>
              <w:left w:val="single" w:sz="4" w:space="0" w:color="auto"/>
              <w:bottom w:val="single" w:sz="4" w:space="0" w:color="auto"/>
              <w:right w:val="single" w:sz="4" w:space="0" w:color="auto"/>
            </w:tcBorders>
            <w:hideMark/>
          </w:tcPr>
          <w:p w14:paraId="307CEF90" w14:textId="77777777" w:rsidR="009D7A0C" w:rsidRPr="009D7A0C" w:rsidRDefault="009D7A0C" w:rsidP="009D7A0C">
            <w:pPr>
              <w:spacing w:after="0" w:line="240" w:lineRule="auto"/>
              <w:ind w:left="57" w:right="57"/>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Sabiedrības līdzdalības rezultāti</w:t>
            </w:r>
          </w:p>
        </w:tc>
        <w:tc>
          <w:tcPr>
            <w:tcW w:w="5088" w:type="dxa"/>
            <w:tcBorders>
              <w:top w:val="single" w:sz="4" w:space="0" w:color="auto"/>
              <w:left w:val="single" w:sz="4" w:space="0" w:color="auto"/>
              <w:bottom w:val="single" w:sz="4" w:space="0" w:color="auto"/>
              <w:right w:val="single" w:sz="4" w:space="0" w:color="auto"/>
            </w:tcBorders>
            <w:hideMark/>
          </w:tcPr>
          <w:p w14:paraId="43FF3517" w14:textId="77777777" w:rsidR="009D7A0C" w:rsidRPr="009D7A0C" w:rsidRDefault="009D7A0C" w:rsidP="009D7A0C">
            <w:pPr>
              <w:shd w:val="clear" w:color="auto" w:fill="FFFFFF"/>
              <w:spacing w:after="0" w:line="240" w:lineRule="auto"/>
              <w:ind w:right="57"/>
              <w:jc w:val="both"/>
              <w:rPr>
                <w:rFonts w:ascii="Times New Roman" w:eastAsia="Times New Roman" w:hAnsi="Times New Roman" w:cs="Times New Roman"/>
                <w:i/>
                <w:sz w:val="24"/>
                <w:szCs w:val="24"/>
                <w:lang w:eastAsia="lv-LV"/>
              </w:rPr>
            </w:pPr>
            <w:r w:rsidRPr="009D7A0C">
              <w:rPr>
                <w:rFonts w:ascii="Times New Roman" w:eastAsia="Times New Roman" w:hAnsi="Times New Roman" w:cs="Times New Roman"/>
                <w:bCs/>
                <w:iCs/>
                <w:sz w:val="24"/>
                <w:szCs w:val="24"/>
                <w:lang w:eastAsia="lv-LV"/>
              </w:rPr>
              <w:t>Nav</w:t>
            </w:r>
          </w:p>
        </w:tc>
      </w:tr>
      <w:tr w:rsidR="009D7A0C" w:rsidRPr="009D7A0C" w14:paraId="6BB5D62C" w14:textId="77777777" w:rsidTr="00AE1DBB">
        <w:trPr>
          <w:trHeight w:val="476"/>
          <w:jc w:val="center"/>
        </w:trPr>
        <w:tc>
          <w:tcPr>
            <w:tcW w:w="430" w:type="dxa"/>
            <w:tcBorders>
              <w:top w:val="single" w:sz="4" w:space="0" w:color="auto"/>
              <w:left w:val="single" w:sz="4" w:space="0" w:color="auto"/>
              <w:bottom w:val="single" w:sz="4" w:space="0" w:color="auto"/>
              <w:right w:val="single" w:sz="4" w:space="0" w:color="auto"/>
            </w:tcBorders>
            <w:hideMark/>
          </w:tcPr>
          <w:p w14:paraId="3128E719" w14:textId="77777777" w:rsidR="009D7A0C" w:rsidRPr="009D7A0C" w:rsidRDefault="009D7A0C" w:rsidP="009D7A0C">
            <w:pPr>
              <w:spacing w:after="0" w:line="240" w:lineRule="auto"/>
              <w:ind w:left="57" w:right="57"/>
              <w:jc w:val="both"/>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bCs/>
                <w:sz w:val="24"/>
                <w:szCs w:val="24"/>
                <w:lang w:eastAsia="lv-LV"/>
              </w:rPr>
              <w:t>4.</w:t>
            </w:r>
          </w:p>
        </w:tc>
        <w:tc>
          <w:tcPr>
            <w:tcW w:w="3549" w:type="dxa"/>
            <w:tcBorders>
              <w:top w:val="single" w:sz="4" w:space="0" w:color="auto"/>
              <w:left w:val="single" w:sz="4" w:space="0" w:color="auto"/>
              <w:bottom w:val="single" w:sz="4" w:space="0" w:color="auto"/>
              <w:right w:val="single" w:sz="4" w:space="0" w:color="auto"/>
            </w:tcBorders>
            <w:hideMark/>
          </w:tcPr>
          <w:p w14:paraId="093688B8" w14:textId="77777777" w:rsidR="009D7A0C" w:rsidRPr="009D7A0C" w:rsidRDefault="009D7A0C" w:rsidP="009D7A0C">
            <w:pPr>
              <w:spacing w:after="0" w:line="240" w:lineRule="auto"/>
              <w:ind w:left="57" w:right="57"/>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Cita informācija</w:t>
            </w:r>
          </w:p>
        </w:tc>
        <w:tc>
          <w:tcPr>
            <w:tcW w:w="5088" w:type="dxa"/>
            <w:tcBorders>
              <w:top w:val="single" w:sz="4" w:space="0" w:color="auto"/>
              <w:left w:val="single" w:sz="4" w:space="0" w:color="auto"/>
              <w:bottom w:val="single" w:sz="4" w:space="0" w:color="auto"/>
              <w:right w:val="single" w:sz="4" w:space="0" w:color="auto"/>
            </w:tcBorders>
            <w:hideMark/>
          </w:tcPr>
          <w:p w14:paraId="0C27BE22" w14:textId="77777777" w:rsidR="009D7A0C" w:rsidRPr="009D7A0C" w:rsidRDefault="009D7A0C" w:rsidP="009D7A0C">
            <w:pPr>
              <w:spacing w:after="0" w:line="240" w:lineRule="auto"/>
              <w:ind w:right="57"/>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Nav</w:t>
            </w:r>
          </w:p>
        </w:tc>
      </w:tr>
    </w:tbl>
    <w:p w14:paraId="39E63C30"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5"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2"/>
        <w:gridCol w:w="3501"/>
        <w:gridCol w:w="5058"/>
      </w:tblGrid>
      <w:tr w:rsidR="009D7A0C" w:rsidRPr="009D7A0C" w14:paraId="1DAE2081" w14:textId="77777777" w:rsidTr="009D7A0C">
        <w:trPr>
          <w:trHeight w:val="231"/>
        </w:trPr>
        <w:tc>
          <w:tcPr>
            <w:tcW w:w="5000" w:type="pct"/>
            <w:gridSpan w:val="3"/>
            <w:tcBorders>
              <w:top w:val="single" w:sz="4" w:space="0" w:color="auto"/>
            </w:tcBorders>
          </w:tcPr>
          <w:p w14:paraId="509FCDFC" w14:textId="77777777" w:rsidR="009D7A0C" w:rsidRPr="009D7A0C" w:rsidRDefault="009D7A0C" w:rsidP="009D7A0C">
            <w:pPr>
              <w:spacing w:after="0" w:line="240" w:lineRule="auto"/>
              <w:ind w:left="57" w:right="57"/>
              <w:jc w:val="center"/>
              <w:rPr>
                <w:rFonts w:ascii="Times New Roman" w:eastAsia="Times New Roman" w:hAnsi="Times New Roman" w:cs="Times New Roman"/>
                <w:b/>
                <w:bCs/>
                <w:sz w:val="24"/>
                <w:szCs w:val="24"/>
                <w:lang w:eastAsia="lv-LV"/>
              </w:rPr>
            </w:pPr>
            <w:r w:rsidRPr="009D7A0C">
              <w:rPr>
                <w:rFonts w:ascii="Times New Roman" w:eastAsia="Times New Roman" w:hAnsi="Times New Roman" w:cs="Times New Roman"/>
                <w:b/>
                <w:bCs/>
                <w:sz w:val="24"/>
                <w:szCs w:val="24"/>
                <w:lang w:eastAsia="lv-LV"/>
              </w:rPr>
              <w:t>VII. Tiesību akta projekta izpildes nodrošināšana un tās ietekme uz institūcijām</w:t>
            </w:r>
          </w:p>
        </w:tc>
      </w:tr>
      <w:tr w:rsidR="009D7A0C" w:rsidRPr="009D7A0C" w14:paraId="2B27FD6A" w14:textId="77777777" w:rsidTr="009D7A0C">
        <w:trPr>
          <w:trHeight w:val="42"/>
        </w:trPr>
        <w:tc>
          <w:tcPr>
            <w:tcW w:w="277" w:type="pct"/>
          </w:tcPr>
          <w:p w14:paraId="3C21B42E" w14:textId="77777777" w:rsidR="009D7A0C" w:rsidRPr="009D7A0C" w:rsidRDefault="009D7A0C" w:rsidP="009D7A0C">
            <w:pPr>
              <w:spacing w:after="0" w:line="240" w:lineRule="auto"/>
              <w:ind w:left="57" w:right="57"/>
              <w:jc w:val="center"/>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bCs/>
                <w:sz w:val="24"/>
                <w:szCs w:val="24"/>
                <w:lang w:eastAsia="lv-LV"/>
              </w:rPr>
              <w:t>1.</w:t>
            </w:r>
          </w:p>
        </w:tc>
        <w:tc>
          <w:tcPr>
            <w:tcW w:w="1932" w:type="pct"/>
          </w:tcPr>
          <w:p w14:paraId="740A0ED7" w14:textId="77777777" w:rsidR="009D7A0C" w:rsidRPr="009D7A0C" w:rsidRDefault="009D7A0C" w:rsidP="009D7A0C">
            <w:pPr>
              <w:spacing w:after="0" w:line="240" w:lineRule="auto"/>
              <w:ind w:right="132"/>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 xml:space="preserve">Projekta izpildē iesaistītās institūcijas </w:t>
            </w:r>
          </w:p>
        </w:tc>
        <w:tc>
          <w:tcPr>
            <w:tcW w:w="2791" w:type="pct"/>
          </w:tcPr>
          <w:p w14:paraId="40E84EE8" w14:textId="77777777" w:rsidR="009D7A0C" w:rsidRPr="009D7A0C" w:rsidRDefault="009D7A0C" w:rsidP="006C4C81">
            <w:pPr>
              <w:spacing w:after="0" w:line="240" w:lineRule="auto"/>
              <w:jc w:val="both"/>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bCs/>
                <w:color w:val="000000"/>
                <w:sz w:val="24"/>
                <w:szCs w:val="24"/>
                <w:lang w:eastAsia="lv-LV"/>
              </w:rPr>
              <w:t>Aizsardzības ministrija, Nacionālie bruņotie spēki.</w:t>
            </w:r>
          </w:p>
        </w:tc>
      </w:tr>
      <w:tr w:rsidR="009D7A0C" w:rsidRPr="009D7A0C" w14:paraId="1AA4876B" w14:textId="77777777" w:rsidTr="009D7A0C">
        <w:trPr>
          <w:trHeight w:val="373"/>
        </w:trPr>
        <w:tc>
          <w:tcPr>
            <w:tcW w:w="277" w:type="pct"/>
          </w:tcPr>
          <w:p w14:paraId="38318AE6" w14:textId="77777777" w:rsidR="009D7A0C" w:rsidRPr="009D7A0C" w:rsidRDefault="009D7A0C" w:rsidP="009D7A0C">
            <w:pPr>
              <w:spacing w:after="0" w:line="240" w:lineRule="auto"/>
              <w:ind w:left="57" w:right="57"/>
              <w:jc w:val="center"/>
              <w:rPr>
                <w:rFonts w:ascii="Times New Roman" w:eastAsia="Times New Roman" w:hAnsi="Times New Roman" w:cs="Times New Roman"/>
                <w:bCs/>
                <w:sz w:val="24"/>
                <w:szCs w:val="24"/>
                <w:lang w:eastAsia="lv-LV"/>
              </w:rPr>
            </w:pPr>
            <w:r w:rsidRPr="009D7A0C">
              <w:rPr>
                <w:rFonts w:ascii="Times New Roman" w:eastAsia="Times New Roman" w:hAnsi="Times New Roman" w:cs="Times New Roman"/>
                <w:bCs/>
                <w:sz w:val="24"/>
                <w:szCs w:val="24"/>
                <w:lang w:eastAsia="lv-LV"/>
              </w:rPr>
              <w:t>2.</w:t>
            </w:r>
          </w:p>
        </w:tc>
        <w:tc>
          <w:tcPr>
            <w:tcW w:w="1932" w:type="pct"/>
          </w:tcPr>
          <w:p w14:paraId="5FAA66A7" w14:textId="77777777" w:rsidR="009D7A0C" w:rsidRPr="009D7A0C" w:rsidRDefault="009D7A0C" w:rsidP="009D7A0C">
            <w:pPr>
              <w:spacing w:after="0" w:line="240" w:lineRule="auto"/>
              <w:ind w:left="22" w:right="132"/>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 xml:space="preserve">Projekta izpildes ietekme uz pārvaldes funkcijām un institucionālo struktūru. </w:t>
            </w:r>
          </w:p>
          <w:p w14:paraId="2731115A" w14:textId="77777777" w:rsidR="009D7A0C" w:rsidRPr="009D7A0C" w:rsidRDefault="009D7A0C" w:rsidP="009D7A0C">
            <w:pPr>
              <w:spacing w:after="0" w:line="240" w:lineRule="auto"/>
              <w:ind w:left="22" w:right="132"/>
              <w:jc w:val="both"/>
              <w:rPr>
                <w:rFonts w:ascii="Times New Roman" w:eastAsia="Times New Roman" w:hAnsi="Times New Roman" w:cs="Times New Roman"/>
                <w:sz w:val="24"/>
                <w:szCs w:val="24"/>
                <w:lang w:eastAsia="lv-LV"/>
              </w:rPr>
            </w:pPr>
          </w:p>
          <w:p w14:paraId="207366C4" w14:textId="77777777" w:rsidR="009D7A0C" w:rsidRPr="009D7A0C" w:rsidRDefault="009D7A0C" w:rsidP="009D7A0C">
            <w:pPr>
              <w:spacing w:after="0" w:line="240" w:lineRule="auto"/>
              <w:ind w:left="22" w:right="132"/>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91" w:type="pct"/>
          </w:tcPr>
          <w:p w14:paraId="063A221B" w14:textId="77777777" w:rsidR="009D7A0C" w:rsidRPr="009D7A0C" w:rsidRDefault="009D7A0C" w:rsidP="009D7A0C">
            <w:pPr>
              <w:spacing w:after="0" w:line="240" w:lineRule="auto"/>
              <w:ind w:right="102"/>
              <w:jc w:val="both"/>
              <w:rPr>
                <w:rFonts w:ascii="Times New Roman" w:eastAsia="Calibri" w:hAnsi="Times New Roman" w:cs="Times New Roman"/>
                <w:iCs/>
                <w:sz w:val="24"/>
                <w:szCs w:val="24"/>
                <w:lang w:eastAsia="lv-LV"/>
              </w:rPr>
            </w:pPr>
            <w:r w:rsidRPr="009D7A0C">
              <w:rPr>
                <w:rFonts w:ascii="Times New Roman" w:eastAsia="Calibri" w:hAnsi="Times New Roman" w:cs="Times New Roman"/>
                <w:iCs/>
                <w:sz w:val="24"/>
                <w:szCs w:val="24"/>
                <w:lang w:eastAsia="lv-LV"/>
              </w:rPr>
              <w:t>Noteikumu projekta izpildes rezultātā netiks izveidotas jaunas institūcijas un netiks likvidētas vai reorganizētas esošās institūcijas.</w:t>
            </w:r>
          </w:p>
          <w:p w14:paraId="7F3B226C" w14:textId="77777777" w:rsidR="009D7A0C" w:rsidRPr="009D7A0C" w:rsidRDefault="009D7A0C" w:rsidP="009D7A0C">
            <w:pPr>
              <w:spacing w:after="0" w:line="240" w:lineRule="auto"/>
              <w:jc w:val="both"/>
              <w:rPr>
                <w:rFonts w:ascii="Times New Roman" w:eastAsia="Times New Roman" w:hAnsi="Times New Roman" w:cs="Times New Roman"/>
                <w:sz w:val="24"/>
                <w:szCs w:val="24"/>
                <w:lang w:eastAsia="lv-LV"/>
              </w:rPr>
            </w:pPr>
          </w:p>
        </w:tc>
      </w:tr>
      <w:tr w:rsidR="009D7A0C" w:rsidRPr="009D7A0C" w14:paraId="46FDDC2C" w14:textId="77777777" w:rsidTr="009D7A0C">
        <w:trPr>
          <w:trHeight w:val="201"/>
        </w:trPr>
        <w:tc>
          <w:tcPr>
            <w:tcW w:w="277" w:type="pct"/>
          </w:tcPr>
          <w:p w14:paraId="34EBC2DA" w14:textId="77777777" w:rsidR="009D7A0C" w:rsidRPr="009D7A0C" w:rsidRDefault="009D7A0C" w:rsidP="009D7A0C">
            <w:pPr>
              <w:spacing w:after="0" w:line="240" w:lineRule="auto"/>
              <w:ind w:left="57" w:right="57"/>
              <w:jc w:val="center"/>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3.</w:t>
            </w:r>
          </w:p>
        </w:tc>
        <w:tc>
          <w:tcPr>
            <w:tcW w:w="1932" w:type="pct"/>
          </w:tcPr>
          <w:p w14:paraId="539EFAC3"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Cita informācija</w:t>
            </w:r>
          </w:p>
        </w:tc>
        <w:tc>
          <w:tcPr>
            <w:tcW w:w="2791" w:type="pct"/>
          </w:tcPr>
          <w:p w14:paraId="1506F551" w14:textId="77777777" w:rsidR="009D7A0C" w:rsidRPr="009D7A0C" w:rsidRDefault="009D7A0C" w:rsidP="009D7A0C">
            <w:pPr>
              <w:spacing w:after="0" w:line="240" w:lineRule="auto"/>
              <w:ind w:right="115"/>
              <w:jc w:val="both"/>
              <w:rPr>
                <w:rFonts w:ascii="Times New Roman" w:eastAsia="Times New Roman" w:hAnsi="Times New Roman" w:cs="Times New Roman"/>
                <w:sz w:val="24"/>
                <w:szCs w:val="24"/>
                <w:lang w:eastAsia="lv-LV"/>
              </w:rPr>
            </w:pPr>
            <w:r w:rsidRPr="009D7A0C">
              <w:rPr>
                <w:rFonts w:ascii="Times New Roman" w:eastAsia="Times New Roman" w:hAnsi="Times New Roman" w:cs="Times New Roman"/>
                <w:sz w:val="24"/>
                <w:szCs w:val="24"/>
                <w:lang w:eastAsia="lv-LV"/>
              </w:rPr>
              <w:t xml:space="preserve">Noteikumu projekta izpildi iesaistītās iestādes nodrošinās tām piešķirto valsts budžeta līdzekļu ietvaros. </w:t>
            </w:r>
          </w:p>
        </w:tc>
      </w:tr>
    </w:tbl>
    <w:p w14:paraId="13F46339"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p>
    <w:p w14:paraId="218F3004"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p>
    <w:p w14:paraId="0D31C6AC" w14:textId="77777777" w:rsidR="009D7A0C" w:rsidRPr="009D7A0C" w:rsidRDefault="009D7A0C" w:rsidP="009D7A0C">
      <w:pPr>
        <w:spacing w:after="0" w:line="240" w:lineRule="auto"/>
        <w:rPr>
          <w:rFonts w:ascii="Times New Roman" w:eastAsia="Times New Roman" w:hAnsi="Times New Roman" w:cs="Times New Roman"/>
          <w:vanish/>
          <w:sz w:val="24"/>
          <w:szCs w:val="24"/>
          <w:lang w:eastAsia="lv-LV"/>
        </w:rPr>
      </w:pPr>
      <w:r w:rsidRPr="009D7A0C">
        <w:rPr>
          <w:rFonts w:ascii="Times New Roman" w:eastAsia="Times New Roman" w:hAnsi="Times New Roman" w:cs="Times New Roman"/>
          <w:sz w:val="24"/>
          <w:szCs w:val="24"/>
          <w:lang w:eastAsia="lv-LV"/>
        </w:rPr>
        <w:t>Ministru prezidenta biedrs,</w:t>
      </w:r>
      <w:r w:rsidRPr="009D7A0C">
        <w:rPr>
          <w:rFonts w:ascii="Times New Roman" w:eastAsia="Times New Roman" w:hAnsi="Times New Roman" w:cs="Times New Roman"/>
          <w:vanish/>
          <w:sz w:val="24"/>
          <w:szCs w:val="24"/>
          <w:lang w:eastAsia="lv-LV"/>
        </w:rPr>
        <w:t>MinistruMMMMYt</w:t>
      </w:r>
    </w:p>
    <w:p w14:paraId="499F7752" w14:textId="77777777" w:rsidR="009D7A0C" w:rsidRPr="009D7A0C" w:rsidRDefault="009D7A0C" w:rsidP="009D7A0C">
      <w:pPr>
        <w:spacing w:after="0" w:line="240" w:lineRule="auto"/>
        <w:jc w:val="both"/>
        <w:rPr>
          <w:rFonts w:ascii="Times New Roman" w:eastAsia="Times New Roman" w:hAnsi="Times New Roman" w:cs="Times New Roman"/>
          <w:sz w:val="24"/>
          <w:szCs w:val="24"/>
        </w:rPr>
      </w:pPr>
    </w:p>
    <w:p w14:paraId="05B15F88" w14:textId="77777777" w:rsidR="009D7A0C" w:rsidRPr="009D7A0C" w:rsidRDefault="009D7A0C" w:rsidP="009D7A0C">
      <w:pPr>
        <w:spacing w:after="0" w:line="240" w:lineRule="auto"/>
        <w:ind w:right="140"/>
        <w:jc w:val="both"/>
        <w:rPr>
          <w:rFonts w:ascii="Times New Roman" w:eastAsia="Times New Roman" w:hAnsi="Times New Roman" w:cs="Times New Roman"/>
          <w:sz w:val="24"/>
          <w:szCs w:val="24"/>
        </w:rPr>
      </w:pPr>
      <w:r w:rsidRPr="009D7A0C">
        <w:rPr>
          <w:rFonts w:ascii="Times New Roman" w:eastAsia="Times New Roman" w:hAnsi="Times New Roman" w:cs="Times New Roman"/>
          <w:sz w:val="24"/>
          <w:szCs w:val="24"/>
        </w:rPr>
        <w:t>aizsardzības ministrs</w:t>
      </w:r>
      <w:r w:rsidRPr="009D7A0C">
        <w:rPr>
          <w:rFonts w:ascii="Times New Roman" w:eastAsia="Times New Roman" w:hAnsi="Times New Roman" w:cs="Times New Roman"/>
          <w:sz w:val="24"/>
          <w:szCs w:val="24"/>
        </w:rPr>
        <w:tab/>
      </w:r>
      <w:r w:rsidRPr="009D7A0C">
        <w:rPr>
          <w:rFonts w:ascii="Times New Roman" w:eastAsia="Times New Roman" w:hAnsi="Times New Roman" w:cs="Times New Roman"/>
          <w:sz w:val="24"/>
          <w:szCs w:val="24"/>
        </w:rPr>
        <w:tab/>
      </w:r>
      <w:r w:rsidRPr="009D7A0C">
        <w:rPr>
          <w:rFonts w:ascii="Times New Roman" w:eastAsia="Times New Roman" w:hAnsi="Times New Roman" w:cs="Times New Roman"/>
          <w:sz w:val="24"/>
          <w:szCs w:val="24"/>
        </w:rPr>
        <w:tab/>
      </w:r>
      <w:r w:rsidRPr="009D7A0C">
        <w:rPr>
          <w:rFonts w:ascii="Times New Roman" w:eastAsia="Times New Roman" w:hAnsi="Times New Roman" w:cs="Times New Roman"/>
          <w:sz w:val="24"/>
          <w:szCs w:val="24"/>
        </w:rPr>
        <w:tab/>
      </w:r>
      <w:r w:rsidRPr="009D7A0C">
        <w:rPr>
          <w:rFonts w:ascii="Times New Roman" w:eastAsia="Times New Roman" w:hAnsi="Times New Roman" w:cs="Times New Roman"/>
          <w:sz w:val="24"/>
          <w:szCs w:val="24"/>
        </w:rPr>
        <w:tab/>
      </w:r>
      <w:r w:rsidRPr="009D7A0C">
        <w:rPr>
          <w:rFonts w:ascii="Times New Roman" w:eastAsia="Times New Roman" w:hAnsi="Times New Roman" w:cs="Times New Roman"/>
          <w:sz w:val="24"/>
          <w:szCs w:val="24"/>
        </w:rPr>
        <w:tab/>
      </w:r>
      <w:r w:rsidRPr="009D7A0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D7A0C">
        <w:rPr>
          <w:rFonts w:ascii="Times New Roman" w:eastAsia="Times New Roman" w:hAnsi="Times New Roman" w:cs="Times New Roman"/>
          <w:sz w:val="24"/>
          <w:szCs w:val="24"/>
        </w:rPr>
        <w:t>Artis Pabriks</w:t>
      </w:r>
    </w:p>
    <w:p w14:paraId="00AA969D" w14:textId="77777777" w:rsidR="009D7A0C" w:rsidRPr="009D7A0C" w:rsidRDefault="009D7A0C" w:rsidP="009D7A0C">
      <w:pPr>
        <w:tabs>
          <w:tab w:val="left" w:pos="6804"/>
        </w:tabs>
        <w:spacing w:after="0" w:line="240" w:lineRule="auto"/>
        <w:jc w:val="both"/>
        <w:rPr>
          <w:rFonts w:ascii="Times New Roman" w:eastAsia="Times New Roman" w:hAnsi="Times New Roman" w:cs="Times New Roman"/>
          <w:sz w:val="24"/>
          <w:szCs w:val="24"/>
          <w:lang w:eastAsia="lv-LV"/>
        </w:rPr>
      </w:pPr>
    </w:p>
    <w:p w14:paraId="2B60ACF9" w14:textId="77777777" w:rsidR="009D7A0C" w:rsidRPr="009D7A0C" w:rsidRDefault="009D7A0C" w:rsidP="009D7A0C">
      <w:pPr>
        <w:tabs>
          <w:tab w:val="left" w:pos="6804"/>
        </w:tabs>
        <w:spacing w:after="0" w:line="240" w:lineRule="auto"/>
        <w:jc w:val="both"/>
        <w:rPr>
          <w:rFonts w:ascii="Times New Roman" w:eastAsia="Times New Roman" w:hAnsi="Times New Roman" w:cs="Times New Roman"/>
          <w:sz w:val="24"/>
          <w:szCs w:val="24"/>
          <w:lang w:eastAsia="lv-LV"/>
        </w:rPr>
      </w:pPr>
    </w:p>
    <w:p w14:paraId="36D89F2E" w14:textId="77777777" w:rsidR="009D7A0C" w:rsidRPr="009D7A0C" w:rsidRDefault="009D7A0C" w:rsidP="009D7A0C">
      <w:pPr>
        <w:tabs>
          <w:tab w:val="left" w:pos="6804"/>
        </w:tabs>
        <w:spacing w:after="0" w:line="240" w:lineRule="auto"/>
        <w:jc w:val="both"/>
        <w:rPr>
          <w:rFonts w:ascii="Times New Roman" w:eastAsia="Times New Roman" w:hAnsi="Times New Roman" w:cs="Times New Roman"/>
          <w:sz w:val="24"/>
          <w:szCs w:val="24"/>
          <w:lang w:eastAsia="lv-LV"/>
        </w:rPr>
      </w:pPr>
    </w:p>
    <w:p w14:paraId="2F5F7B12" w14:textId="77777777" w:rsidR="009D7A0C" w:rsidRPr="009D7A0C" w:rsidRDefault="009D7A0C" w:rsidP="009D7A0C">
      <w:pPr>
        <w:tabs>
          <w:tab w:val="left" w:pos="6804"/>
        </w:tabs>
        <w:spacing w:after="0" w:line="240" w:lineRule="auto"/>
        <w:jc w:val="both"/>
        <w:rPr>
          <w:rFonts w:ascii="Times New Roman" w:eastAsia="Times New Roman" w:hAnsi="Times New Roman" w:cs="Times New Roman"/>
          <w:sz w:val="24"/>
          <w:szCs w:val="24"/>
          <w:lang w:eastAsia="lv-LV"/>
        </w:rPr>
      </w:pPr>
    </w:p>
    <w:p w14:paraId="7D012B1E" w14:textId="77777777" w:rsidR="009D7A0C" w:rsidRPr="009D7A0C" w:rsidRDefault="009D7A0C" w:rsidP="009D7A0C">
      <w:pPr>
        <w:tabs>
          <w:tab w:val="left" w:pos="6804"/>
        </w:tabs>
        <w:spacing w:after="0" w:line="240" w:lineRule="auto"/>
        <w:jc w:val="both"/>
        <w:rPr>
          <w:rFonts w:ascii="Times New Roman" w:eastAsia="Times New Roman" w:hAnsi="Times New Roman" w:cs="Times New Roman"/>
          <w:sz w:val="24"/>
          <w:szCs w:val="24"/>
          <w:lang w:eastAsia="lv-LV"/>
        </w:rPr>
      </w:pPr>
    </w:p>
    <w:p w14:paraId="30E005FA" w14:textId="77777777" w:rsidR="009D7A0C" w:rsidRPr="009D7A0C" w:rsidRDefault="009D7A0C" w:rsidP="009D7A0C">
      <w:pPr>
        <w:tabs>
          <w:tab w:val="left" w:pos="6804"/>
        </w:tabs>
        <w:spacing w:after="0" w:line="240" w:lineRule="auto"/>
        <w:jc w:val="both"/>
        <w:rPr>
          <w:rFonts w:ascii="Times New Roman" w:eastAsia="Times New Roman" w:hAnsi="Times New Roman" w:cs="Times New Roman"/>
          <w:sz w:val="20"/>
          <w:szCs w:val="20"/>
          <w:lang w:eastAsia="lv-LV"/>
        </w:rPr>
      </w:pPr>
    </w:p>
    <w:p w14:paraId="1D5206D6" w14:textId="77777777" w:rsidR="009D7A0C" w:rsidRPr="009D7A0C" w:rsidRDefault="009D7A0C" w:rsidP="009D7A0C">
      <w:pPr>
        <w:spacing w:after="0" w:line="240" w:lineRule="auto"/>
        <w:rPr>
          <w:rFonts w:ascii="Times New Roman" w:eastAsia="Times New Roman" w:hAnsi="Times New Roman" w:cs="Times New Roman"/>
          <w:sz w:val="20"/>
          <w:szCs w:val="20"/>
          <w:lang w:eastAsia="lv-LV"/>
        </w:rPr>
      </w:pPr>
      <w:r w:rsidRPr="009D7A0C">
        <w:rPr>
          <w:rFonts w:ascii="Times New Roman" w:eastAsia="Times New Roman" w:hAnsi="Times New Roman" w:cs="Times New Roman"/>
          <w:sz w:val="20"/>
          <w:szCs w:val="20"/>
          <w:lang w:eastAsia="lv-LV"/>
        </w:rPr>
        <w:t>I. Gulbe, 67335127,</w:t>
      </w:r>
    </w:p>
    <w:p w14:paraId="6EDD105D" w14:textId="77777777" w:rsidR="009D7A0C" w:rsidRPr="009D7A0C" w:rsidRDefault="00A00A32" w:rsidP="009D7A0C">
      <w:pPr>
        <w:spacing w:after="0" w:line="240" w:lineRule="auto"/>
        <w:rPr>
          <w:rFonts w:ascii="Times New Roman" w:eastAsia="Times New Roman" w:hAnsi="Times New Roman" w:cs="Times New Roman"/>
          <w:sz w:val="20"/>
          <w:szCs w:val="20"/>
          <w:lang w:eastAsia="lv-LV"/>
        </w:rPr>
      </w:pPr>
      <w:hyperlink r:id="rId12" w:history="1">
        <w:r w:rsidR="009D7A0C" w:rsidRPr="009D7A0C">
          <w:rPr>
            <w:rFonts w:ascii="Times New Roman" w:eastAsia="Times New Roman" w:hAnsi="Times New Roman" w:cs="Times New Roman"/>
            <w:sz w:val="20"/>
            <w:szCs w:val="20"/>
            <w:lang w:eastAsia="lv-LV"/>
          </w:rPr>
          <w:t>ieva.gulbe@mod.gov.lv</w:t>
        </w:r>
      </w:hyperlink>
    </w:p>
    <w:p w14:paraId="31C9AAB6" w14:textId="77777777" w:rsidR="009D7A0C" w:rsidRPr="009D7A0C" w:rsidRDefault="009D7A0C" w:rsidP="009D7A0C">
      <w:pPr>
        <w:spacing w:after="0" w:line="240" w:lineRule="auto"/>
        <w:rPr>
          <w:rFonts w:ascii="Times New Roman" w:eastAsia="Times New Roman" w:hAnsi="Times New Roman" w:cs="Times New Roman"/>
          <w:color w:val="0000FF"/>
          <w:sz w:val="20"/>
          <w:szCs w:val="20"/>
          <w:u w:val="single"/>
          <w:lang w:eastAsia="lv-LV"/>
        </w:rPr>
      </w:pPr>
    </w:p>
    <w:p w14:paraId="20A6C363" w14:textId="77777777" w:rsidR="009D7A0C" w:rsidRPr="009D7A0C" w:rsidRDefault="009D7A0C" w:rsidP="009D7A0C">
      <w:pPr>
        <w:spacing w:after="0" w:line="240" w:lineRule="auto"/>
        <w:rPr>
          <w:rFonts w:ascii="Times New Roman" w:eastAsia="Times New Roman" w:hAnsi="Times New Roman" w:cs="Times New Roman"/>
          <w:sz w:val="20"/>
          <w:szCs w:val="20"/>
          <w:lang w:eastAsia="lv-LV"/>
        </w:rPr>
      </w:pPr>
      <w:r w:rsidRPr="009D7A0C">
        <w:rPr>
          <w:rFonts w:ascii="Times New Roman" w:eastAsia="Times New Roman" w:hAnsi="Times New Roman" w:cs="Times New Roman"/>
          <w:sz w:val="20"/>
          <w:szCs w:val="20"/>
          <w:lang w:eastAsia="lv-LV"/>
        </w:rPr>
        <w:t>I.Šamarina, 67335148</w:t>
      </w:r>
    </w:p>
    <w:p w14:paraId="38A27A71" w14:textId="77777777" w:rsidR="009D7A0C" w:rsidRPr="009D7A0C" w:rsidRDefault="009D7A0C" w:rsidP="009D7A0C">
      <w:pPr>
        <w:spacing w:after="0" w:line="240" w:lineRule="auto"/>
        <w:rPr>
          <w:rFonts w:ascii="Times New Roman" w:eastAsia="Times New Roman" w:hAnsi="Times New Roman" w:cs="Times New Roman"/>
          <w:sz w:val="20"/>
          <w:szCs w:val="20"/>
          <w:lang w:eastAsia="lv-LV"/>
        </w:rPr>
      </w:pPr>
      <w:bookmarkStart w:id="3" w:name="_GoBack"/>
      <w:r w:rsidRPr="009D7A0C">
        <w:rPr>
          <w:rFonts w:ascii="Times New Roman" w:eastAsia="Times New Roman" w:hAnsi="Times New Roman" w:cs="Times New Roman"/>
          <w:sz w:val="20"/>
          <w:szCs w:val="20"/>
          <w:lang w:eastAsia="lv-LV"/>
        </w:rPr>
        <w:t>irina.samarina@mod.gov.lv</w:t>
      </w:r>
    </w:p>
    <w:bookmarkEnd w:id="3"/>
    <w:p w14:paraId="4C4013D9" w14:textId="77777777" w:rsidR="009D7A0C" w:rsidRPr="009D7A0C" w:rsidRDefault="009D7A0C" w:rsidP="009D7A0C">
      <w:pPr>
        <w:spacing w:after="0" w:line="240" w:lineRule="auto"/>
        <w:rPr>
          <w:rFonts w:ascii="Times New Roman" w:eastAsia="Times New Roman" w:hAnsi="Times New Roman" w:cs="Times New Roman"/>
          <w:sz w:val="20"/>
          <w:szCs w:val="20"/>
          <w:lang w:eastAsia="lv-LV"/>
        </w:rPr>
      </w:pPr>
    </w:p>
    <w:p w14:paraId="51463AA8" w14:textId="77777777" w:rsidR="009D7A0C" w:rsidRPr="009D7A0C" w:rsidRDefault="009D7A0C" w:rsidP="009D7A0C">
      <w:pPr>
        <w:spacing w:after="0" w:line="240" w:lineRule="auto"/>
        <w:rPr>
          <w:rFonts w:ascii="Times New Roman" w:eastAsia="Times New Roman" w:hAnsi="Times New Roman" w:cs="Times New Roman"/>
          <w:sz w:val="24"/>
          <w:szCs w:val="24"/>
          <w:lang w:eastAsia="lv-LV"/>
        </w:rPr>
      </w:pPr>
    </w:p>
    <w:p w14:paraId="0E451C2C" w14:textId="77777777" w:rsidR="00D90D9B" w:rsidRPr="009D7A0C" w:rsidRDefault="00A00A32">
      <w:pPr>
        <w:rPr>
          <w:rFonts w:ascii="Times New Roman" w:hAnsi="Times New Roman" w:cs="Times New Roman"/>
          <w:sz w:val="24"/>
          <w:szCs w:val="24"/>
        </w:rPr>
      </w:pPr>
    </w:p>
    <w:sectPr w:rsidR="00D90D9B" w:rsidRPr="009D7A0C" w:rsidSect="009D7A0C">
      <w:headerReference w:type="even" r:id="rId13"/>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C150" w14:textId="77777777" w:rsidR="009D7A0C" w:rsidRDefault="009D7A0C" w:rsidP="009D7A0C">
      <w:pPr>
        <w:spacing w:after="0" w:line="240" w:lineRule="auto"/>
      </w:pPr>
      <w:r>
        <w:separator/>
      </w:r>
    </w:p>
  </w:endnote>
  <w:endnote w:type="continuationSeparator" w:id="0">
    <w:p w14:paraId="363C067B" w14:textId="77777777" w:rsidR="009D7A0C" w:rsidRDefault="009D7A0C" w:rsidP="009D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31602"/>
      <w:docPartObj>
        <w:docPartGallery w:val="Page Numbers (Bottom of Page)"/>
        <w:docPartUnique/>
      </w:docPartObj>
    </w:sdtPr>
    <w:sdtEndPr>
      <w:rPr>
        <w:noProof/>
      </w:rPr>
    </w:sdtEndPr>
    <w:sdtContent>
      <w:p w14:paraId="6C316C8F" w14:textId="272D6A54" w:rsidR="00683A2F" w:rsidRDefault="004743D5">
        <w:pPr>
          <w:pStyle w:val="Footer"/>
          <w:jc w:val="right"/>
        </w:pPr>
        <w:r>
          <w:fldChar w:fldCharType="begin"/>
        </w:r>
        <w:r>
          <w:instrText xml:space="preserve"> PAGE   \* MERGEFORMAT </w:instrText>
        </w:r>
        <w:r>
          <w:fldChar w:fldCharType="separate"/>
        </w:r>
        <w:r w:rsidR="00A00A32">
          <w:rPr>
            <w:noProof/>
          </w:rPr>
          <w:t>5</w:t>
        </w:r>
        <w:r>
          <w:rPr>
            <w:noProof/>
          </w:rPr>
          <w:fldChar w:fldCharType="end"/>
        </w:r>
      </w:p>
    </w:sdtContent>
  </w:sdt>
  <w:p w14:paraId="3F1E9CAA" w14:textId="7684067A" w:rsidR="007F3773" w:rsidRPr="009D7A0C" w:rsidRDefault="004743D5" w:rsidP="00C51999">
    <w:pPr>
      <w:jc w:val="both"/>
      <w:rPr>
        <w:rFonts w:ascii="Times New Roman" w:hAnsi="Times New Roman" w:cs="Times New Roman"/>
        <w:color w:val="000000"/>
        <w:sz w:val="20"/>
        <w:szCs w:val="20"/>
      </w:rPr>
    </w:pPr>
    <w:r w:rsidRPr="009D7A0C">
      <w:rPr>
        <w:rFonts w:ascii="Times New Roman" w:hAnsi="Times New Roman" w:cs="Times New Roman"/>
        <w:color w:val="000000"/>
        <w:sz w:val="20"/>
        <w:szCs w:val="20"/>
      </w:rPr>
      <w:t>AIManot_</w:t>
    </w:r>
    <w:r w:rsidR="009D7A0C">
      <w:rPr>
        <w:rFonts w:ascii="Times New Roman" w:hAnsi="Times New Roman" w:cs="Times New Roman"/>
        <w:color w:val="000000"/>
        <w:sz w:val="20"/>
        <w:szCs w:val="20"/>
      </w:rPr>
      <w:t>14</w:t>
    </w:r>
    <w:r w:rsidR="00A00A32">
      <w:rPr>
        <w:rFonts w:ascii="Times New Roman" w:hAnsi="Times New Roman" w:cs="Times New Roman"/>
        <w:color w:val="000000"/>
        <w:sz w:val="20"/>
        <w:szCs w:val="20"/>
      </w:rPr>
      <w:t>0720</w:t>
    </w:r>
    <w:r w:rsidRPr="009D7A0C">
      <w:rPr>
        <w:rFonts w:ascii="Times New Roman" w:hAnsi="Times New Roman" w:cs="Times New Roman"/>
        <w:color w:val="000000"/>
        <w:sz w:val="20"/>
        <w:szCs w:val="20"/>
      </w:rPr>
      <w:t>_MK837_not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5C0C" w14:textId="3808C065" w:rsidR="007F3773" w:rsidRPr="009D7A0C" w:rsidRDefault="004743D5" w:rsidP="001233CF">
    <w:pPr>
      <w:jc w:val="both"/>
      <w:rPr>
        <w:rFonts w:ascii="Times New Roman" w:hAnsi="Times New Roman" w:cs="Times New Roman"/>
        <w:color w:val="000000"/>
        <w:sz w:val="20"/>
        <w:szCs w:val="20"/>
      </w:rPr>
    </w:pPr>
    <w:r w:rsidRPr="009D7A0C">
      <w:rPr>
        <w:rFonts w:ascii="Times New Roman" w:hAnsi="Times New Roman" w:cs="Times New Roman"/>
        <w:color w:val="000000"/>
        <w:sz w:val="20"/>
        <w:szCs w:val="20"/>
      </w:rPr>
      <w:t>AIManot_</w:t>
    </w:r>
    <w:r w:rsidR="009D7A0C" w:rsidRPr="009D7A0C">
      <w:rPr>
        <w:rFonts w:ascii="Times New Roman" w:hAnsi="Times New Roman" w:cs="Times New Roman"/>
        <w:color w:val="000000"/>
        <w:sz w:val="20"/>
        <w:szCs w:val="20"/>
      </w:rPr>
      <w:t>14</w:t>
    </w:r>
    <w:r w:rsidR="00A00A32">
      <w:rPr>
        <w:rFonts w:ascii="Times New Roman" w:hAnsi="Times New Roman" w:cs="Times New Roman"/>
        <w:color w:val="000000"/>
        <w:sz w:val="20"/>
        <w:szCs w:val="20"/>
      </w:rPr>
      <w:t>0720</w:t>
    </w:r>
    <w:r w:rsidRPr="009D7A0C">
      <w:rPr>
        <w:rFonts w:ascii="Times New Roman" w:hAnsi="Times New Roman" w:cs="Times New Roman"/>
        <w:color w:val="000000"/>
        <w:sz w:val="20"/>
        <w:szCs w:val="20"/>
      </w:rPr>
      <w:t>_MK837_not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B8E1" w14:textId="77777777" w:rsidR="009D7A0C" w:rsidRDefault="009D7A0C" w:rsidP="009D7A0C">
      <w:pPr>
        <w:spacing w:after="0" w:line="240" w:lineRule="auto"/>
      </w:pPr>
      <w:r>
        <w:separator/>
      </w:r>
    </w:p>
  </w:footnote>
  <w:footnote w:type="continuationSeparator" w:id="0">
    <w:p w14:paraId="49BD3F56" w14:textId="77777777" w:rsidR="009D7A0C" w:rsidRDefault="009D7A0C" w:rsidP="009D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028A" w14:textId="77777777" w:rsidR="007F3773" w:rsidRDefault="004743D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F548D" w14:textId="77777777" w:rsidR="007F3773" w:rsidRDefault="00A00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A321" w14:textId="78C56675" w:rsidR="007F3773" w:rsidRDefault="004743D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A32">
      <w:rPr>
        <w:rStyle w:val="PageNumber"/>
        <w:noProof/>
      </w:rPr>
      <w:t>5</w:t>
    </w:r>
    <w:r>
      <w:rPr>
        <w:rStyle w:val="PageNumber"/>
      </w:rPr>
      <w:fldChar w:fldCharType="end"/>
    </w:r>
  </w:p>
  <w:p w14:paraId="564329A4" w14:textId="77777777" w:rsidR="007F3773" w:rsidRPr="00DC444E" w:rsidRDefault="00A00A32"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EA5"/>
    <w:multiLevelType w:val="hybridMultilevel"/>
    <w:tmpl w:val="52ECA62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88"/>
    <w:rsid w:val="001818CB"/>
    <w:rsid w:val="001D5297"/>
    <w:rsid w:val="002E2988"/>
    <w:rsid w:val="004743D5"/>
    <w:rsid w:val="006C4C81"/>
    <w:rsid w:val="009D7A0C"/>
    <w:rsid w:val="00A00A32"/>
    <w:rsid w:val="00B70603"/>
    <w:rsid w:val="00C20422"/>
    <w:rsid w:val="00C55DB8"/>
    <w:rsid w:val="00D11A66"/>
    <w:rsid w:val="00E95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D28"/>
  <w15:chartTrackingRefBased/>
  <w15:docId w15:val="{9E5058D9-C1E8-427A-87DD-3A005348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A0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D7A0C"/>
    <w:rPr>
      <w:rFonts w:ascii="Times New Roman" w:eastAsia="Times New Roman" w:hAnsi="Times New Roman" w:cs="Times New Roman"/>
      <w:sz w:val="24"/>
      <w:szCs w:val="24"/>
      <w:lang w:val="x-none" w:eastAsia="x-none"/>
    </w:rPr>
  </w:style>
  <w:style w:type="character" w:styleId="PageNumber">
    <w:name w:val="page number"/>
    <w:basedOn w:val="DefaultParagraphFont"/>
    <w:rsid w:val="009D7A0C"/>
  </w:style>
  <w:style w:type="table" w:styleId="TableGrid">
    <w:name w:val="Table Grid"/>
    <w:basedOn w:val="TableNormal"/>
    <w:rsid w:val="009D7A0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7A0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D7A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567-administrativa-procesa-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gulbe@mo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mod.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D409-4DA2-4C2A-A06C-099DCF7A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7753</Words>
  <Characters>4420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Irēna Kalna</cp:lastModifiedBy>
  <cp:revision>6</cp:revision>
  <dcterms:created xsi:type="dcterms:W3CDTF">2020-07-14T09:37:00Z</dcterms:created>
  <dcterms:modified xsi:type="dcterms:W3CDTF">2020-07-15T13:09:00Z</dcterms:modified>
</cp:coreProperties>
</file>