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B27FE" w14:textId="77777777" w:rsidR="00867AB2" w:rsidRPr="00205077" w:rsidRDefault="004F6546" w:rsidP="00867A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077">
        <w:rPr>
          <w:rFonts w:ascii="Times New Roman" w:hAnsi="Times New Roman" w:cs="Times New Roman"/>
          <w:b/>
          <w:sz w:val="32"/>
          <w:szCs w:val="32"/>
        </w:rPr>
        <w:t xml:space="preserve">Informatīvais ziņojums par </w:t>
      </w:r>
      <w:r w:rsidR="00285F4F" w:rsidRPr="00205077">
        <w:rPr>
          <w:rFonts w:ascii="Times New Roman" w:hAnsi="Times New Roman" w:cs="Times New Roman"/>
          <w:b/>
          <w:sz w:val="32"/>
          <w:szCs w:val="32"/>
        </w:rPr>
        <w:t>“</w:t>
      </w:r>
      <w:r w:rsidRPr="00205077">
        <w:rPr>
          <w:rFonts w:ascii="Times New Roman" w:hAnsi="Times New Roman" w:cs="Times New Roman"/>
          <w:b/>
          <w:sz w:val="32"/>
          <w:szCs w:val="32"/>
        </w:rPr>
        <w:t>Trīs jūru iniciatīvas</w:t>
      </w:r>
      <w:r w:rsidR="00867AB2" w:rsidRPr="00205077">
        <w:rPr>
          <w:rFonts w:ascii="Times New Roman" w:hAnsi="Times New Roman" w:cs="Times New Roman"/>
          <w:b/>
          <w:sz w:val="32"/>
          <w:szCs w:val="32"/>
        </w:rPr>
        <w:t xml:space="preserve"> koordinācijas</w:t>
      </w:r>
      <w:r w:rsidR="00D963E7" w:rsidRPr="00205077">
        <w:rPr>
          <w:rFonts w:ascii="Times New Roman" w:hAnsi="Times New Roman" w:cs="Times New Roman"/>
          <w:b/>
          <w:sz w:val="32"/>
          <w:szCs w:val="32"/>
        </w:rPr>
        <w:t xml:space="preserve"> darba grupas izveidi</w:t>
      </w:r>
      <w:r w:rsidR="00285F4F" w:rsidRPr="00205077">
        <w:rPr>
          <w:rFonts w:ascii="Times New Roman" w:hAnsi="Times New Roman" w:cs="Times New Roman"/>
          <w:b/>
          <w:sz w:val="32"/>
          <w:szCs w:val="32"/>
        </w:rPr>
        <w:t>”</w:t>
      </w:r>
    </w:p>
    <w:p w14:paraId="3A5A2034" w14:textId="77777777" w:rsidR="00744FEF" w:rsidRPr="00454184" w:rsidRDefault="00867AB2" w:rsidP="0086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184">
        <w:rPr>
          <w:rFonts w:ascii="Times New Roman" w:hAnsi="Times New Roman" w:cs="Times New Roman"/>
          <w:b/>
          <w:sz w:val="28"/>
          <w:szCs w:val="28"/>
        </w:rPr>
        <w:t>I. IEVADS</w:t>
      </w:r>
    </w:p>
    <w:p w14:paraId="2E923825" w14:textId="77777777" w:rsidR="00432026" w:rsidRDefault="00432026" w:rsidP="00B7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C5DE5" w14:textId="40B299B0" w:rsidR="00AE5114" w:rsidRPr="00852A18" w:rsidRDefault="00341624" w:rsidP="00C66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5114">
        <w:rPr>
          <w:rFonts w:ascii="Times New Roman" w:hAnsi="Times New Roman" w:cs="Times New Roman"/>
          <w:sz w:val="24"/>
          <w:szCs w:val="24"/>
        </w:rPr>
        <w:t>Trīs jūru iniciatīva</w:t>
      </w:r>
      <w:r w:rsidR="004F6546" w:rsidRPr="00AE5114">
        <w:rPr>
          <w:rFonts w:ascii="Times New Roman" w:hAnsi="Times New Roman" w:cs="Times New Roman"/>
          <w:sz w:val="24"/>
          <w:szCs w:val="24"/>
        </w:rPr>
        <w:t xml:space="preserve"> (</w:t>
      </w:r>
      <w:r w:rsidR="00AE7E88" w:rsidRPr="00AE5114">
        <w:rPr>
          <w:rFonts w:ascii="Times New Roman" w:hAnsi="Times New Roman" w:cs="Times New Roman"/>
          <w:sz w:val="24"/>
          <w:szCs w:val="24"/>
        </w:rPr>
        <w:t>turpmāk-</w:t>
      </w:r>
      <w:r w:rsidR="004F6546" w:rsidRPr="00AE5114">
        <w:rPr>
          <w:rFonts w:ascii="Times New Roman" w:eastAsia="Calibri" w:hAnsi="Times New Roman" w:cs="Times New Roman"/>
          <w:sz w:val="24"/>
          <w:szCs w:val="24"/>
        </w:rPr>
        <w:t xml:space="preserve">TJI) </w:t>
      </w:r>
      <w:r w:rsidR="00C84E17" w:rsidRPr="00AE5114">
        <w:rPr>
          <w:rFonts w:ascii="Times New Roman" w:eastAsia="Calibri" w:hAnsi="Times New Roman" w:cs="Times New Roman"/>
          <w:sz w:val="24"/>
          <w:szCs w:val="24"/>
        </w:rPr>
        <w:t>ir</w:t>
      </w:r>
      <w:r w:rsidR="004F6546" w:rsidRPr="00AE5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7E88" w:rsidRPr="00AE5114">
        <w:rPr>
          <w:rFonts w:ascii="Times New Roman" w:eastAsia="Calibri" w:hAnsi="Times New Roman" w:cs="Times New Roman"/>
          <w:sz w:val="24"/>
          <w:szCs w:val="24"/>
        </w:rPr>
        <w:t xml:space="preserve">ģeopolitiski un </w:t>
      </w:r>
      <w:r w:rsidR="004F6546" w:rsidRPr="00AE5114">
        <w:rPr>
          <w:rFonts w:ascii="Times New Roman" w:eastAsia="Calibri" w:hAnsi="Times New Roman" w:cs="Times New Roman"/>
          <w:sz w:val="24"/>
          <w:szCs w:val="24"/>
        </w:rPr>
        <w:t>stratēģ</w:t>
      </w:r>
      <w:r w:rsidRPr="00AE5114">
        <w:rPr>
          <w:rFonts w:ascii="Times New Roman" w:eastAsia="Calibri" w:hAnsi="Times New Roman" w:cs="Times New Roman"/>
          <w:sz w:val="24"/>
          <w:szCs w:val="24"/>
        </w:rPr>
        <w:t xml:space="preserve">iski </w:t>
      </w:r>
      <w:r w:rsidR="00340D51" w:rsidRPr="00AE5114">
        <w:rPr>
          <w:rFonts w:ascii="Times New Roman" w:eastAsia="Calibri" w:hAnsi="Times New Roman" w:cs="Times New Roman"/>
          <w:sz w:val="24"/>
          <w:szCs w:val="24"/>
        </w:rPr>
        <w:t>noz</w:t>
      </w:r>
      <w:r w:rsidR="00454184" w:rsidRPr="00AE5114">
        <w:rPr>
          <w:rFonts w:ascii="Times New Roman" w:eastAsia="Calibri" w:hAnsi="Times New Roman" w:cs="Times New Roman"/>
          <w:sz w:val="24"/>
          <w:szCs w:val="24"/>
        </w:rPr>
        <w:t>ī</w:t>
      </w:r>
      <w:r w:rsidR="00C84E17" w:rsidRPr="00AE5114">
        <w:rPr>
          <w:rFonts w:ascii="Times New Roman" w:eastAsia="Calibri" w:hAnsi="Times New Roman" w:cs="Times New Roman"/>
          <w:sz w:val="24"/>
          <w:szCs w:val="24"/>
        </w:rPr>
        <w:t xml:space="preserve">mīga </w:t>
      </w:r>
      <w:r w:rsidR="00C84E17" w:rsidRPr="00852A18">
        <w:rPr>
          <w:rFonts w:ascii="Times New Roman" w:eastAsia="Calibri" w:hAnsi="Times New Roman" w:cs="Times New Roman"/>
          <w:sz w:val="24"/>
          <w:szCs w:val="24"/>
        </w:rPr>
        <w:t>platforma</w:t>
      </w:r>
      <w:r w:rsidRPr="00852A18">
        <w:rPr>
          <w:rFonts w:ascii="Times New Roman" w:eastAsia="Calibri" w:hAnsi="Times New Roman" w:cs="Times New Roman"/>
          <w:sz w:val="24"/>
          <w:szCs w:val="24"/>
        </w:rPr>
        <w:t xml:space="preserve"> reģionālā</w:t>
      </w:r>
      <w:r w:rsidR="004F6546" w:rsidRPr="00852A18">
        <w:rPr>
          <w:rFonts w:ascii="Times New Roman" w:eastAsia="Calibri" w:hAnsi="Times New Roman" w:cs="Times New Roman"/>
          <w:sz w:val="24"/>
          <w:szCs w:val="24"/>
        </w:rPr>
        <w:t xml:space="preserve">s ekonomiskās </w:t>
      </w:r>
      <w:r w:rsidR="00852A18">
        <w:rPr>
          <w:rFonts w:ascii="Times New Roman" w:eastAsia="Calibri" w:hAnsi="Times New Roman" w:cs="Times New Roman"/>
          <w:sz w:val="24"/>
          <w:szCs w:val="24"/>
        </w:rPr>
        <w:t>konkurētspējas</w:t>
      </w:r>
      <w:r w:rsidR="004F6546" w:rsidRPr="00852A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026" w:rsidRPr="00852A18">
        <w:rPr>
          <w:rFonts w:ascii="Times New Roman" w:eastAsia="Calibri" w:hAnsi="Times New Roman" w:cs="Times New Roman"/>
          <w:sz w:val="24"/>
          <w:szCs w:val="24"/>
        </w:rPr>
        <w:t xml:space="preserve">un sadarbības </w:t>
      </w:r>
      <w:r w:rsidR="00852A18">
        <w:rPr>
          <w:rFonts w:ascii="Times New Roman" w:eastAsia="Calibri" w:hAnsi="Times New Roman" w:cs="Times New Roman"/>
          <w:sz w:val="24"/>
          <w:szCs w:val="24"/>
        </w:rPr>
        <w:t>veicināšanā</w:t>
      </w:r>
      <w:r w:rsidR="00432026" w:rsidRPr="00852A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6030">
        <w:rPr>
          <w:rFonts w:ascii="Times New Roman" w:eastAsia="Calibri" w:hAnsi="Times New Roman" w:cs="Times New Roman"/>
          <w:sz w:val="24"/>
          <w:szCs w:val="24"/>
        </w:rPr>
        <w:t xml:space="preserve">Eiropas Savienības (turpmāk – </w:t>
      </w:r>
      <w:r w:rsidR="00285F4F" w:rsidRPr="00852A18">
        <w:rPr>
          <w:rFonts w:ascii="Times New Roman" w:hAnsi="Times New Roman" w:cs="Times New Roman"/>
          <w:sz w:val="24"/>
          <w:szCs w:val="24"/>
        </w:rPr>
        <w:t>ES</w:t>
      </w:r>
      <w:r w:rsidR="00206030">
        <w:rPr>
          <w:rFonts w:ascii="Times New Roman" w:hAnsi="Times New Roman" w:cs="Times New Roman"/>
          <w:sz w:val="24"/>
          <w:szCs w:val="24"/>
        </w:rPr>
        <w:t>)</w:t>
      </w:r>
      <w:r w:rsidR="00432026" w:rsidRPr="00852A18">
        <w:rPr>
          <w:rFonts w:ascii="Times New Roman" w:hAnsi="Times New Roman" w:cs="Times New Roman"/>
          <w:sz w:val="24"/>
          <w:szCs w:val="24"/>
        </w:rPr>
        <w:t xml:space="preserve"> </w:t>
      </w:r>
      <w:r w:rsidR="00BC2AD2" w:rsidRPr="00852A18">
        <w:rPr>
          <w:rFonts w:ascii="Times New Roman" w:hAnsi="Times New Roman" w:cs="Times New Roman"/>
          <w:sz w:val="24"/>
          <w:szCs w:val="24"/>
        </w:rPr>
        <w:t>konverģences</w:t>
      </w:r>
      <w:r w:rsidR="00285F4F" w:rsidRPr="00852A18">
        <w:rPr>
          <w:rFonts w:ascii="Times New Roman" w:hAnsi="Times New Roman" w:cs="Times New Roman"/>
          <w:sz w:val="24"/>
          <w:szCs w:val="24"/>
        </w:rPr>
        <w:t xml:space="preserve">, </w:t>
      </w:r>
      <w:r w:rsidRPr="00852A18">
        <w:rPr>
          <w:rFonts w:ascii="Times New Roman" w:hAnsi="Times New Roman" w:cs="Times New Roman"/>
          <w:sz w:val="24"/>
          <w:szCs w:val="24"/>
        </w:rPr>
        <w:t xml:space="preserve">kā arī </w:t>
      </w:r>
      <w:r w:rsidR="00285F4F" w:rsidRPr="00852A18">
        <w:rPr>
          <w:rFonts w:ascii="Times New Roman" w:hAnsi="Times New Roman" w:cs="Times New Roman"/>
          <w:sz w:val="24"/>
          <w:szCs w:val="24"/>
        </w:rPr>
        <w:t>tra</w:t>
      </w:r>
      <w:r w:rsidR="00852A18">
        <w:rPr>
          <w:rFonts w:ascii="Times New Roman" w:hAnsi="Times New Roman" w:cs="Times New Roman"/>
          <w:sz w:val="24"/>
          <w:szCs w:val="24"/>
        </w:rPr>
        <w:t>nsatlantisko saišu stiprināšanā</w:t>
      </w:r>
      <w:r w:rsidR="00432026" w:rsidRPr="00852A18">
        <w:rPr>
          <w:rFonts w:ascii="Times New Roman" w:hAnsi="Times New Roman" w:cs="Times New Roman"/>
          <w:sz w:val="24"/>
          <w:szCs w:val="24"/>
        </w:rPr>
        <w:t>.</w:t>
      </w:r>
      <w:r w:rsidR="00285F4F" w:rsidRPr="00852A18">
        <w:rPr>
          <w:rFonts w:ascii="Times New Roman" w:hAnsi="Times New Roman" w:cs="Times New Roman"/>
          <w:sz w:val="24"/>
          <w:szCs w:val="24"/>
        </w:rPr>
        <w:t xml:space="preserve"> </w:t>
      </w:r>
      <w:r w:rsidR="00AE5114" w:rsidRPr="00852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DCA3AA" w14:textId="733976B4" w:rsidR="00AE5114" w:rsidRPr="00852A18" w:rsidRDefault="00AE5114" w:rsidP="00221C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A18">
        <w:rPr>
          <w:rFonts w:ascii="Times New Roman" w:hAnsi="Times New Roman" w:cs="Times New Roman"/>
          <w:sz w:val="24"/>
          <w:szCs w:val="24"/>
        </w:rPr>
        <w:t>TJI</w:t>
      </w:r>
      <w:r w:rsidR="00852A18" w:rsidRPr="00852A18">
        <w:rPr>
          <w:rFonts w:ascii="Times New Roman" w:hAnsi="Times New Roman" w:cs="Times New Roman"/>
          <w:sz w:val="24"/>
          <w:szCs w:val="24"/>
        </w:rPr>
        <w:t xml:space="preserve"> ir </w:t>
      </w:r>
      <w:r w:rsidRPr="00852A18">
        <w:rPr>
          <w:rFonts w:ascii="Times New Roman" w:hAnsi="Times New Roman" w:cs="Times New Roman"/>
          <w:sz w:val="24"/>
          <w:szCs w:val="24"/>
        </w:rPr>
        <w:t xml:space="preserve">12 Baltijas, </w:t>
      </w:r>
      <w:r w:rsidR="00750F69">
        <w:rPr>
          <w:rFonts w:ascii="Times New Roman" w:hAnsi="Times New Roman" w:cs="Times New Roman"/>
          <w:sz w:val="24"/>
          <w:szCs w:val="24"/>
        </w:rPr>
        <w:t>Adrijas un Melnās</w:t>
      </w:r>
      <w:r w:rsidRPr="00852A18">
        <w:rPr>
          <w:rFonts w:ascii="Times New Roman" w:hAnsi="Times New Roman" w:cs="Times New Roman"/>
          <w:sz w:val="24"/>
          <w:szCs w:val="24"/>
        </w:rPr>
        <w:t xml:space="preserve"> jūras valstu </w:t>
      </w:r>
      <w:r w:rsidR="00FC1D75" w:rsidRPr="00852A18">
        <w:rPr>
          <w:rFonts w:ascii="Times New Roman" w:hAnsi="Times New Roman" w:cs="Times New Roman"/>
          <w:sz w:val="24"/>
          <w:szCs w:val="24"/>
        </w:rPr>
        <w:t>iniciatīva,</w:t>
      </w:r>
      <w:r w:rsidR="00852A18" w:rsidRPr="00852A18">
        <w:rPr>
          <w:rFonts w:ascii="Times New Roman" w:hAnsi="Times New Roman" w:cs="Times New Roman"/>
          <w:sz w:val="24"/>
          <w:szCs w:val="24"/>
        </w:rPr>
        <w:t xml:space="preserve"> kuras</w:t>
      </w:r>
      <w:r w:rsidR="00FC1D75" w:rsidRPr="00852A18">
        <w:rPr>
          <w:rFonts w:ascii="Times New Roman" w:hAnsi="Times New Roman" w:cs="Times New Roman"/>
          <w:sz w:val="24"/>
          <w:szCs w:val="24"/>
        </w:rPr>
        <w:t xml:space="preserve"> </w:t>
      </w:r>
      <w:r w:rsidRPr="00852A18">
        <w:rPr>
          <w:rFonts w:ascii="Times New Roman" w:hAnsi="Times New Roman" w:cs="Times New Roman"/>
          <w:sz w:val="24"/>
          <w:szCs w:val="24"/>
        </w:rPr>
        <w:t>mērķi</w:t>
      </w:r>
      <w:r w:rsidR="00852A18" w:rsidRPr="00852A18">
        <w:rPr>
          <w:rFonts w:ascii="Times New Roman" w:hAnsi="Times New Roman" w:cs="Times New Roman"/>
          <w:sz w:val="24"/>
          <w:szCs w:val="24"/>
        </w:rPr>
        <w:t>s</w:t>
      </w:r>
      <w:r w:rsidR="00852A18">
        <w:rPr>
          <w:rFonts w:ascii="Times New Roman" w:hAnsi="Times New Roman" w:cs="Times New Roman"/>
          <w:sz w:val="24"/>
          <w:szCs w:val="24"/>
        </w:rPr>
        <w:t xml:space="preserve"> ir</w:t>
      </w:r>
      <w:r w:rsidRPr="00852A18">
        <w:rPr>
          <w:rFonts w:ascii="Times New Roman" w:hAnsi="Times New Roman" w:cs="Times New Roman"/>
          <w:sz w:val="24"/>
          <w:szCs w:val="24"/>
        </w:rPr>
        <w:t xml:space="preserve"> veicināt ilgtspējīgu un praktisku projektu attīstību</w:t>
      </w:r>
      <w:r w:rsidR="0013796B">
        <w:rPr>
          <w:rFonts w:ascii="Times New Roman" w:hAnsi="Times New Roman" w:cs="Times New Roman"/>
          <w:sz w:val="24"/>
          <w:szCs w:val="24"/>
        </w:rPr>
        <w:t xml:space="preserve"> transporta</w:t>
      </w:r>
      <w:r w:rsidR="008D0FE4">
        <w:rPr>
          <w:rFonts w:ascii="Times New Roman" w:hAnsi="Times New Roman" w:cs="Times New Roman"/>
          <w:sz w:val="24"/>
          <w:szCs w:val="24"/>
        </w:rPr>
        <w:t>, enerģētika</w:t>
      </w:r>
      <w:r w:rsidR="0013796B">
        <w:rPr>
          <w:rFonts w:ascii="Times New Roman" w:hAnsi="Times New Roman" w:cs="Times New Roman"/>
          <w:sz w:val="24"/>
          <w:szCs w:val="24"/>
        </w:rPr>
        <w:t>s</w:t>
      </w:r>
      <w:r w:rsidR="008D0FE4">
        <w:rPr>
          <w:rFonts w:ascii="Times New Roman" w:hAnsi="Times New Roman" w:cs="Times New Roman"/>
          <w:sz w:val="24"/>
          <w:szCs w:val="24"/>
        </w:rPr>
        <w:t xml:space="preserve"> un</w:t>
      </w:r>
      <w:r w:rsidRPr="00852A18">
        <w:rPr>
          <w:rFonts w:ascii="Times New Roman" w:hAnsi="Times New Roman" w:cs="Times New Roman"/>
          <w:sz w:val="24"/>
          <w:szCs w:val="24"/>
        </w:rPr>
        <w:t xml:space="preserve"> digitālā</w:t>
      </w:r>
      <w:r w:rsidR="0013796B">
        <w:rPr>
          <w:rFonts w:ascii="Times New Roman" w:hAnsi="Times New Roman" w:cs="Times New Roman"/>
          <w:sz w:val="24"/>
          <w:szCs w:val="24"/>
        </w:rPr>
        <w:t>s</w:t>
      </w:r>
      <w:r w:rsidRPr="00852A18">
        <w:rPr>
          <w:rFonts w:ascii="Times New Roman" w:hAnsi="Times New Roman" w:cs="Times New Roman"/>
          <w:sz w:val="24"/>
          <w:szCs w:val="24"/>
        </w:rPr>
        <w:t xml:space="preserve"> komunikācija</w:t>
      </w:r>
      <w:r w:rsidR="0013796B">
        <w:rPr>
          <w:rFonts w:ascii="Times New Roman" w:hAnsi="Times New Roman" w:cs="Times New Roman"/>
          <w:sz w:val="24"/>
          <w:szCs w:val="24"/>
        </w:rPr>
        <w:t>s sektoros</w:t>
      </w:r>
      <w:r w:rsidRPr="00852A18">
        <w:rPr>
          <w:rFonts w:ascii="Times New Roman" w:hAnsi="Times New Roman" w:cs="Times New Roman"/>
          <w:sz w:val="24"/>
          <w:szCs w:val="24"/>
        </w:rPr>
        <w:t>.</w:t>
      </w:r>
      <w:r w:rsidR="008D0FE4">
        <w:rPr>
          <w:rFonts w:ascii="Times New Roman" w:hAnsi="Times New Roman" w:cs="Times New Roman"/>
          <w:sz w:val="24"/>
          <w:szCs w:val="24"/>
        </w:rPr>
        <w:t xml:space="preserve"> P</w:t>
      </w:r>
      <w:r w:rsidRPr="00852A18">
        <w:rPr>
          <w:rFonts w:ascii="Times New Roman" w:hAnsi="Times New Roman" w:cs="Times New Roman"/>
          <w:sz w:val="24"/>
          <w:szCs w:val="24"/>
        </w:rPr>
        <w:t xml:space="preserve">olitisko gribu un gatavību </w:t>
      </w:r>
      <w:r w:rsidR="00852A18">
        <w:rPr>
          <w:rFonts w:ascii="Times New Roman" w:hAnsi="Times New Roman" w:cs="Times New Roman"/>
          <w:sz w:val="24"/>
          <w:szCs w:val="24"/>
        </w:rPr>
        <w:t>sadarboties šī formāta ietvaros</w:t>
      </w:r>
      <w:r w:rsidRPr="00852A18">
        <w:rPr>
          <w:rFonts w:ascii="Times New Roman" w:hAnsi="Times New Roman" w:cs="Times New Roman"/>
          <w:sz w:val="24"/>
          <w:szCs w:val="24"/>
        </w:rPr>
        <w:t xml:space="preserve"> ir</w:t>
      </w:r>
      <w:r w:rsidR="00FC1D75" w:rsidRPr="00852A18">
        <w:rPr>
          <w:rFonts w:ascii="Times New Roman" w:hAnsi="Times New Roman" w:cs="Times New Roman"/>
          <w:sz w:val="24"/>
          <w:szCs w:val="24"/>
        </w:rPr>
        <w:t xml:space="preserve"> </w:t>
      </w:r>
      <w:r w:rsidR="008D0FE4">
        <w:rPr>
          <w:rFonts w:ascii="Times New Roman" w:hAnsi="Times New Roman" w:cs="Times New Roman"/>
          <w:sz w:val="24"/>
          <w:szCs w:val="24"/>
        </w:rPr>
        <w:t xml:space="preserve">apliecinājušas </w:t>
      </w:r>
      <w:r w:rsidRPr="00852A18">
        <w:rPr>
          <w:rFonts w:ascii="Times New Roman" w:hAnsi="Times New Roman" w:cs="Times New Roman"/>
          <w:sz w:val="24"/>
          <w:szCs w:val="24"/>
        </w:rPr>
        <w:t xml:space="preserve">Latvija, Austrija, Bulgārija, </w:t>
      </w:r>
      <w:r w:rsidR="00221CFF">
        <w:rPr>
          <w:rFonts w:ascii="Times New Roman" w:hAnsi="Times New Roman" w:cs="Times New Roman"/>
          <w:sz w:val="24"/>
          <w:szCs w:val="24"/>
        </w:rPr>
        <w:t xml:space="preserve">Čehija, </w:t>
      </w:r>
      <w:r w:rsidRPr="00852A18">
        <w:rPr>
          <w:rFonts w:ascii="Times New Roman" w:hAnsi="Times New Roman" w:cs="Times New Roman"/>
          <w:sz w:val="24"/>
          <w:szCs w:val="24"/>
        </w:rPr>
        <w:t>Horvātija, Igaunija,</w:t>
      </w:r>
      <w:r w:rsidR="00221CFF">
        <w:rPr>
          <w:rFonts w:ascii="Times New Roman" w:hAnsi="Times New Roman" w:cs="Times New Roman"/>
          <w:sz w:val="24"/>
          <w:szCs w:val="24"/>
        </w:rPr>
        <w:t xml:space="preserve"> Lietuva, </w:t>
      </w:r>
      <w:r w:rsidR="00221CFF" w:rsidRPr="00852A18">
        <w:rPr>
          <w:rFonts w:ascii="Times New Roman" w:hAnsi="Times New Roman" w:cs="Times New Roman"/>
          <w:sz w:val="24"/>
          <w:szCs w:val="24"/>
        </w:rPr>
        <w:t xml:space="preserve">Polija, Rumānija, </w:t>
      </w:r>
      <w:r w:rsidR="00221CFF">
        <w:rPr>
          <w:rFonts w:ascii="Times New Roman" w:hAnsi="Times New Roman" w:cs="Times New Roman"/>
          <w:sz w:val="24"/>
          <w:szCs w:val="24"/>
        </w:rPr>
        <w:t xml:space="preserve">Slovākija, Slovēnija un Ungārija. </w:t>
      </w:r>
      <w:r w:rsidR="00340D51" w:rsidRPr="00852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A1510" w14:textId="1BE5D195" w:rsidR="00744FEF" w:rsidRPr="00AE5114" w:rsidRDefault="00432026" w:rsidP="00C662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A18">
        <w:rPr>
          <w:rFonts w:ascii="Times New Roman" w:hAnsi="Times New Roman" w:cs="Times New Roman"/>
          <w:iCs/>
          <w:sz w:val="24"/>
          <w:szCs w:val="24"/>
        </w:rPr>
        <w:t xml:space="preserve">Atbalstot </w:t>
      </w:r>
      <w:r w:rsidR="004F6546" w:rsidRPr="00852A18">
        <w:rPr>
          <w:rFonts w:ascii="Times New Roman" w:hAnsi="Times New Roman" w:cs="Times New Roman"/>
          <w:iCs/>
          <w:sz w:val="24"/>
          <w:szCs w:val="24"/>
        </w:rPr>
        <w:t xml:space="preserve">TJI </w:t>
      </w:r>
      <w:r w:rsidR="0052523B" w:rsidRPr="00852A18">
        <w:rPr>
          <w:rFonts w:ascii="Times New Roman" w:hAnsi="Times New Roman" w:cs="Times New Roman"/>
          <w:iCs/>
          <w:sz w:val="24"/>
          <w:szCs w:val="24"/>
        </w:rPr>
        <w:t>definētos mērķus</w:t>
      </w:r>
      <w:r w:rsidRPr="00852A18">
        <w:rPr>
          <w:rFonts w:ascii="Times New Roman" w:hAnsi="Times New Roman" w:cs="Times New Roman"/>
          <w:iCs/>
          <w:sz w:val="24"/>
          <w:szCs w:val="24"/>
        </w:rPr>
        <w:t>,</w:t>
      </w:r>
      <w:r w:rsidR="0052523B" w:rsidRPr="00852A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2A18">
        <w:rPr>
          <w:rFonts w:ascii="Times New Roman" w:hAnsi="Times New Roman" w:cs="Times New Roman"/>
          <w:iCs/>
          <w:sz w:val="24"/>
          <w:szCs w:val="24"/>
        </w:rPr>
        <w:t>Latvija TJI ie</w:t>
      </w:r>
      <w:r w:rsidR="008D0FE4">
        <w:rPr>
          <w:rFonts w:ascii="Times New Roman" w:hAnsi="Times New Roman" w:cs="Times New Roman"/>
          <w:iCs/>
          <w:sz w:val="24"/>
          <w:szCs w:val="24"/>
        </w:rPr>
        <w:t>saistījusies kopš 2016. gada 25. </w:t>
      </w:r>
      <w:r w:rsidRPr="00852A18">
        <w:rPr>
          <w:rFonts w:ascii="Times New Roman" w:hAnsi="Times New Roman" w:cs="Times New Roman"/>
          <w:iCs/>
          <w:sz w:val="24"/>
          <w:szCs w:val="24"/>
        </w:rPr>
        <w:t>augusta, kad Horvātijā notika pirmais TJI samits. Līdz šim notik</w:t>
      </w:r>
      <w:r w:rsidR="00F76DC0" w:rsidRPr="00852A18">
        <w:rPr>
          <w:rFonts w:ascii="Times New Roman" w:hAnsi="Times New Roman" w:cs="Times New Roman"/>
          <w:iCs/>
          <w:sz w:val="24"/>
          <w:szCs w:val="24"/>
        </w:rPr>
        <w:t>u</w:t>
      </w:r>
      <w:r w:rsidR="008D0FE4">
        <w:rPr>
          <w:rFonts w:ascii="Times New Roman" w:hAnsi="Times New Roman" w:cs="Times New Roman"/>
          <w:iCs/>
          <w:sz w:val="24"/>
          <w:szCs w:val="24"/>
        </w:rPr>
        <w:t>ši</w:t>
      </w:r>
      <w:r w:rsidRPr="00852A18">
        <w:rPr>
          <w:rFonts w:ascii="Times New Roman" w:hAnsi="Times New Roman" w:cs="Times New Roman"/>
          <w:iCs/>
          <w:sz w:val="24"/>
          <w:szCs w:val="24"/>
        </w:rPr>
        <w:t xml:space="preserve"> četri TJI samiti</w:t>
      </w:r>
      <w:r w:rsidR="008D0FE4">
        <w:rPr>
          <w:rFonts w:ascii="Times New Roman" w:hAnsi="Times New Roman" w:cs="Times New Roman"/>
          <w:iCs/>
          <w:sz w:val="24"/>
          <w:szCs w:val="24"/>
        </w:rPr>
        <w:t>:</w:t>
      </w:r>
      <w:r w:rsidRPr="00852A18">
        <w:rPr>
          <w:rFonts w:ascii="Times New Roman" w:hAnsi="Times New Roman" w:cs="Times New Roman"/>
          <w:iCs/>
          <w:sz w:val="24"/>
          <w:szCs w:val="24"/>
        </w:rPr>
        <w:t xml:space="preserve"> Horvātijā</w:t>
      </w:r>
      <w:r w:rsidR="00925F3C" w:rsidRPr="00852A18">
        <w:rPr>
          <w:rFonts w:ascii="Times New Roman" w:hAnsi="Times New Roman" w:cs="Times New Roman"/>
          <w:iCs/>
          <w:sz w:val="24"/>
          <w:szCs w:val="24"/>
        </w:rPr>
        <w:t xml:space="preserve">, Polijā, </w:t>
      </w:r>
      <w:r w:rsidR="0004641C" w:rsidRPr="00852A18">
        <w:rPr>
          <w:rFonts w:ascii="Times New Roman" w:hAnsi="Times New Roman" w:cs="Times New Roman"/>
          <w:iCs/>
          <w:sz w:val="24"/>
          <w:szCs w:val="24"/>
        </w:rPr>
        <w:t>Rumānijā un Slovēnijā.</w:t>
      </w:r>
      <w:r w:rsidR="00FA6F0A" w:rsidRPr="00852A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641C" w:rsidRPr="00852A18">
        <w:rPr>
          <w:rFonts w:ascii="Times New Roman" w:hAnsi="Times New Roman" w:cs="Times New Roman"/>
          <w:iCs/>
          <w:sz w:val="24"/>
          <w:szCs w:val="24"/>
        </w:rPr>
        <w:t xml:space="preserve">TJI samitos </w:t>
      </w:r>
      <w:r w:rsidR="00FA6F0A" w:rsidRPr="00852A18">
        <w:rPr>
          <w:rFonts w:ascii="Times New Roman" w:hAnsi="Times New Roman" w:cs="Times New Roman"/>
          <w:iCs/>
          <w:sz w:val="24"/>
          <w:szCs w:val="24"/>
        </w:rPr>
        <w:t>Latvij</w:t>
      </w:r>
      <w:r w:rsidR="008D0FE4">
        <w:rPr>
          <w:rFonts w:ascii="Times New Roman" w:hAnsi="Times New Roman" w:cs="Times New Roman"/>
          <w:iCs/>
          <w:sz w:val="24"/>
          <w:szCs w:val="24"/>
        </w:rPr>
        <w:t>u pārstāvēja</w:t>
      </w:r>
      <w:r w:rsidR="00FA6F0A" w:rsidRPr="00852A18">
        <w:rPr>
          <w:rFonts w:ascii="Times New Roman" w:hAnsi="Times New Roman" w:cs="Times New Roman"/>
          <w:iCs/>
          <w:sz w:val="24"/>
          <w:szCs w:val="24"/>
        </w:rPr>
        <w:t xml:space="preserve"> Valsts 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>prezident</w:t>
      </w:r>
      <w:r w:rsidR="008D0FE4">
        <w:rPr>
          <w:rFonts w:ascii="Times New Roman" w:hAnsi="Times New Roman" w:cs="Times New Roman"/>
          <w:iCs/>
          <w:sz w:val="24"/>
          <w:szCs w:val="24"/>
        </w:rPr>
        <w:t>s</w:t>
      </w:r>
      <w:r w:rsidR="0004641C" w:rsidRPr="00AE5114">
        <w:rPr>
          <w:rFonts w:ascii="Times New Roman" w:hAnsi="Times New Roman" w:cs="Times New Roman"/>
          <w:iCs/>
          <w:sz w:val="24"/>
          <w:szCs w:val="24"/>
        </w:rPr>
        <w:t xml:space="preserve"> (Polijā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 xml:space="preserve"> un </w:t>
      </w:r>
      <w:r w:rsidR="0004641C" w:rsidRPr="00AE5114">
        <w:rPr>
          <w:rFonts w:ascii="Times New Roman" w:hAnsi="Times New Roman" w:cs="Times New Roman"/>
          <w:iCs/>
          <w:sz w:val="24"/>
          <w:szCs w:val="24"/>
        </w:rPr>
        <w:t>Slovēnijā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8D0FE4">
        <w:rPr>
          <w:rFonts w:ascii="Times New Roman" w:hAnsi="Times New Roman" w:cs="Times New Roman"/>
          <w:iCs/>
          <w:sz w:val="24"/>
          <w:szCs w:val="24"/>
        </w:rPr>
        <w:t>ā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>rlietu ministr</w:t>
      </w:r>
      <w:r w:rsidR="008D0FE4">
        <w:rPr>
          <w:rFonts w:ascii="Times New Roman" w:hAnsi="Times New Roman" w:cs="Times New Roman"/>
          <w:iCs/>
          <w:sz w:val="24"/>
          <w:szCs w:val="24"/>
        </w:rPr>
        <w:t>s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641C" w:rsidRPr="00AE5114">
        <w:rPr>
          <w:rFonts w:ascii="Times New Roman" w:hAnsi="Times New Roman" w:cs="Times New Roman"/>
          <w:iCs/>
          <w:sz w:val="24"/>
          <w:szCs w:val="24"/>
        </w:rPr>
        <w:t>(Rumānijā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>), kā arī Satiksmes ministrijas Tranzīta politikas departamenta direktor</w:t>
      </w:r>
      <w:r w:rsidR="008D0FE4">
        <w:rPr>
          <w:rFonts w:ascii="Times New Roman" w:hAnsi="Times New Roman" w:cs="Times New Roman"/>
          <w:iCs/>
          <w:sz w:val="24"/>
          <w:szCs w:val="24"/>
        </w:rPr>
        <w:t>s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 xml:space="preserve"> (Horv</w:t>
      </w:r>
      <w:r w:rsidR="0004641C" w:rsidRPr="00AE5114">
        <w:rPr>
          <w:rFonts w:ascii="Times New Roman" w:hAnsi="Times New Roman" w:cs="Times New Roman"/>
          <w:iCs/>
          <w:sz w:val="24"/>
          <w:szCs w:val="24"/>
        </w:rPr>
        <w:t>ātijā</w:t>
      </w:r>
      <w:r w:rsidR="00852A18">
        <w:rPr>
          <w:rFonts w:ascii="Times New Roman" w:hAnsi="Times New Roman" w:cs="Times New Roman"/>
          <w:iCs/>
          <w:sz w:val="24"/>
          <w:szCs w:val="24"/>
        </w:rPr>
        <w:t>). Piekt</w:t>
      </w:r>
      <w:r w:rsidR="00592917">
        <w:rPr>
          <w:rFonts w:ascii="Times New Roman" w:hAnsi="Times New Roman" w:cs="Times New Roman"/>
          <w:iCs/>
          <w:sz w:val="24"/>
          <w:szCs w:val="24"/>
        </w:rPr>
        <w:t>ajā</w:t>
      </w:r>
      <w:r w:rsidR="00FA6F0A" w:rsidRPr="00AE511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8296B" w:rsidRPr="00AE5114">
        <w:rPr>
          <w:rFonts w:ascii="Times New Roman" w:hAnsi="Times New Roman" w:cs="Times New Roman"/>
          <w:iCs/>
          <w:sz w:val="24"/>
          <w:szCs w:val="24"/>
        </w:rPr>
        <w:t>TJI</w:t>
      </w:r>
      <w:r w:rsidRPr="00AE5114">
        <w:rPr>
          <w:rFonts w:ascii="Times New Roman" w:hAnsi="Times New Roman" w:cs="Times New Roman"/>
          <w:iCs/>
          <w:sz w:val="24"/>
          <w:szCs w:val="24"/>
        </w:rPr>
        <w:t xml:space="preserve"> samit</w:t>
      </w:r>
      <w:r w:rsidR="00592917">
        <w:rPr>
          <w:rFonts w:ascii="Times New Roman" w:hAnsi="Times New Roman" w:cs="Times New Roman"/>
          <w:iCs/>
          <w:sz w:val="24"/>
          <w:szCs w:val="24"/>
        </w:rPr>
        <w:t>ā</w:t>
      </w:r>
      <w:r w:rsidRPr="00AE5114">
        <w:rPr>
          <w:rFonts w:ascii="Times New Roman" w:hAnsi="Times New Roman" w:cs="Times New Roman"/>
          <w:iCs/>
          <w:sz w:val="24"/>
          <w:szCs w:val="24"/>
        </w:rPr>
        <w:t xml:space="preserve"> 2020. gada 19.-20. oktobrī</w:t>
      </w:r>
      <w:r w:rsidR="00341624" w:rsidRPr="00AE5114">
        <w:rPr>
          <w:rFonts w:ascii="Times New Roman" w:hAnsi="Times New Roman" w:cs="Times New Roman"/>
          <w:iCs/>
          <w:sz w:val="24"/>
          <w:szCs w:val="24"/>
        </w:rPr>
        <w:t xml:space="preserve"> Igaunijā</w:t>
      </w:r>
      <w:r w:rsidRPr="00AE5114">
        <w:rPr>
          <w:rFonts w:ascii="Times New Roman" w:hAnsi="Times New Roman" w:cs="Times New Roman"/>
          <w:iCs/>
          <w:sz w:val="24"/>
          <w:szCs w:val="24"/>
        </w:rPr>
        <w:t xml:space="preserve"> Latviju pārstāvēs Valsts prezidents. </w:t>
      </w:r>
    </w:p>
    <w:p w14:paraId="44C70930" w14:textId="77777777" w:rsidR="00744FEF" w:rsidRDefault="00744FEF" w:rsidP="00B73FC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2B85260" w14:textId="77777777" w:rsidR="00867AB2" w:rsidRPr="00454184" w:rsidRDefault="00A31865" w:rsidP="00B73FC0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454184">
        <w:rPr>
          <w:rFonts w:ascii="Times New Roman" w:hAnsi="Times New Roman"/>
          <w:b/>
          <w:iCs/>
          <w:sz w:val="28"/>
          <w:szCs w:val="28"/>
        </w:rPr>
        <w:t>I</w:t>
      </w:r>
      <w:r w:rsidR="00867AB2" w:rsidRPr="00454184">
        <w:rPr>
          <w:rFonts w:ascii="Times New Roman" w:hAnsi="Times New Roman"/>
          <w:b/>
          <w:iCs/>
          <w:sz w:val="28"/>
          <w:szCs w:val="28"/>
        </w:rPr>
        <w:t xml:space="preserve">I. </w:t>
      </w:r>
      <w:r w:rsidR="00454184" w:rsidRPr="00454184">
        <w:rPr>
          <w:rFonts w:ascii="Times New Roman" w:hAnsi="Times New Roman"/>
          <w:b/>
          <w:iCs/>
          <w:sz w:val="28"/>
          <w:szCs w:val="28"/>
        </w:rPr>
        <w:t>LATVIJAS IESAISTE TRĪS JŪRU INICIATĪVAS INVESTĪCIJU FONDĀ</w:t>
      </w:r>
    </w:p>
    <w:p w14:paraId="143D01D9" w14:textId="77777777" w:rsidR="00285F4F" w:rsidRPr="00285F4F" w:rsidRDefault="00285F4F" w:rsidP="00B73FC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37C9490" w14:textId="78F1BCF6" w:rsidR="00CF66D2" w:rsidRPr="002048A3" w:rsidRDefault="0038296B" w:rsidP="002048A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Sākotnēji TJI veidot</w:t>
      </w:r>
      <w:r w:rsidR="00F76DC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kā valstu pr</w:t>
      </w:r>
      <w:r w:rsidR="00103058">
        <w:rPr>
          <w:rFonts w:ascii="Times New Roman" w:hAnsi="Times New Roman" w:cs="Times New Roman"/>
          <w:sz w:val="24"/>
          <w:szCs w:val="24"/>
        </w:rPr>
        <w:t xml:space="preserve">ezidentu </w:t>
      </w:r>
      <w:r w:rsidR="00382853">
        <w:rPr>
          <w:rFonts w:ascii="Times New Roman" w:hAnsi="Times New Roman" w:cs="Times New Roman"/>
          <w:sz w:val="24"/>
          <w:szCs w:val="24"/>
        </w:rPr>
        <w:t>diskusiju platforma</w:t>
      </w:r>
      <w:r w:rsidR="00103058">
        <w:rPr>
          <w:rFonts w:ascii="Times New Roman" w:hAnsi="Times New Roman" w:cs="Times New Roman"/>
          <w:sz w:val="24"/>
          <w:szCs w:val="24"/>
        </w:rPr>
        <w:t xml:space="preserve"> reģiona </w:t>
      </w:r>
      <w:r w:rsidR="00221CFF">
        <w:rPr>
          <w:rFonts w:ascii="Times New Roman" w:hAnsi="Times New Roman" w:cs="Times New Roman"/>
          <w:sz w:val="24"/>
          <w:szCs w:val="24"/>
        </w:rPr>
        <w:t>konkurētspējas</w:t>
      </w:r>
      <w:r w:rsidR="005E2B7D">
        <w:rPr>
          <w:rFonts w:ascii="Times New Roman" w:hAnsi="Times New Roman" w:cs="Times New Roman"/>
          <w:sz w:val="24"/>
          <w:szCs w:val="24"/>
        </w:rPr>
        <w:t>, savienojamības</w:t>
      </w:r>
      <w:r w:rsidR="00221CFF">
        <w:rPr>
          <w:rFonts w:ascii="Times New Roman" w:hAnsi="Times New Roman" w:cs="Times New Roman"/>
          <w:sz w:val="24"/>
          <w:szCs w:val="24"/>
        </w:rPr>
        <w:t xml:space="preserve"> un </w:t>
      </w:r>
      <w:r w:rsidR="00F42CEB">
        <w:rPr>
          <w:rFonts w:ascii="Times New Roman" w:hAnsi="Times New Roman" w:cs="Times New Roman"/>
          <w:sz w:val="24"/>
          <w:szCs w:val="24"/>
        </w:rPr>
        <w:t>labklājības</w:t>
      </w:r>
      <w:r w:rsidR="006A7C23">
        <w:rPr>
          <w:rFonts w:ascii="Times New Roman" w:hAnsi="Times New Roman" w:cs="Times New Roman"/>
          <w:sz w:val="24"/>
          <w:szCs w:val="24"/>
        </w:rPr>
        <w:t xml:space="preserve"> </w:t>
      </w:r>
      <w:r w:rsidR="00382853">
        <w:rPr>
          <w:rFonts w:ascii="Times New Roman" w:hAnsi="Times New Roman" w:cs="Times New Roman"/>
          <w:sz w:val="24"/>
          <w:szCs w:val="24"/>
        </w:rPr>
        <w:t>veicināšanai</w:t>
      </w:r>
      <w:r w:rsidR="00221CFF">
        <w:rPr>
          <w:rFonts w:ascii="Times New Roman" w:hAnsi="Times New Roman" w:cs="Times New Roman"/>
          <w:sz w:val="24"/>
          <w:szCs w:val="24"/>
        </w:rPr>
        <w:t>.</w:t>
      </w:r>
      <w:r w:rsidR="00BC2AD2">
        <w:rPr>
          <w:rFonts w:ascii="Times New Roman" w:hAnsi="Times New Roman" w:cs="Times New Roman"/>
          <w:sz w:val="24"/>
          <w:szCs w:val="24"/>
        </w:rPr>
        <w:t xml:space="preserve"> </w:t>
      </w:r>
      <w:r w:rsidR="005E2B7D">
        <w:rPr>
          <w:rFonts w:ascii="Times New Roman" w:hAnsi="Times New Roman" w:cs="Times New Roman"/>
          <w:sz w:val="24"/>
          <w:szCs w:val="24"/>
        </w:rPr>
        <w:t>U</w:t>
      </w:r>
      <w:r w:rsidR="00C66244" w:rsidRPr="00FC1D75">
        <w:rPr>
          <w:rFonts w:ascii="Times New Roman" w:hAnsi="Times New Roman" w:cs="Times New Roman"/>
          <w:sz w:val="24"/>
          <w:szCs w:val="24"/>
        </w:rPr>
        <w:t>zstādīto</w:t>
      </w:r>
      <w:r w:rsidR="005E2B7D">
        <w:rPr>
          <w:rFonts w:ascii="Times New Roman" w:hAnsi="Times New Roman" w:cs="Times New Roman"/>
          <w:sz w:val="24"/>
          <w:szCs w:val="24"/>
        </w:rPr>
        <w:t xml:space="preserve"> mērķu realizācijai</w:t>
      </w:r>
      <w:r w:rsidR="00A31865" w:rsidRPr="00FC1D75">
        <w:rPr>
          <w:rFonts w:ascii="Times New Roman" w:hAnsi="Times New Roman" w:cs="Times New Roman"/>
          <w:sz w:val="24"/>
          <w:szCs w:val="24"/>
        </w:rPr>
        <w:t xml:space="preserve"> tika sāktas diskusija</w:t>
      </w:r>
      <w:r w:rsidR="00F76DC0" w:rsidRPr="00FC1D75">
        <w:rPr>
          <w:rFonts w:ascii="Times New Roman" w:hAnsi="Times New Roman" w:cs="Times New Roman"/>
          <w:sz w:val="24"/>
          <w:szCs w:val="24"/>
        </w:rPr>
        <w:t>s</w:t>
      </w:r>
      <w:r w:rsidR="00A31865" w:rsidRPr="00FC1D75">
        <w:rPr>
          <w:rFonts w:ascii="Times New Roman" w:hAnsi="Times New Roman" w:cs="Times New Roman"/>
          <w:sz w:val="24"/>
          <w:szCs w:val="24"/>
        </w:rPr>
        <w:t xml:space="preserve"> par TJI ekonomisk</w:t>
      </w:r>
      <w:r w:rsidR="00F76DC0" w:rsidRPr="00FC1D75">
        <w:rPr>
          <w:rFonts w:ascii="Times New Roman" w:hAnsi="Times New Roman" w:cs="Times New Roman"/>
          <w:sz w:val="24"/>
          <w:szCs w:val="24"/>
        </w:rPr>
        <w:t>o</w:t>
      </w:r>
      <w:r w:rsidR="00A31865" w:rsidRPr="00FC1D75">
        <w:rPr>
          <w:rFonts w:ascii="Times New Roman" w:hAnsi="Times New Roman" w:cs="Times New Roman"/>
          <w:sz w:val="24"/>
          <w:szCs w:val="24"/>
        </w:rPr>
        <w:t xml:space="preserve"> dimensiju – TJI </w:t>
      </w:r>
      <w:r w:rsidR="00FC1D75" w:rsidRPr="00FC1D75">
        <w:rPr>
          <w:rFonts w:ascii="Times New Roman" w:hAnsi="Times New Roman" w:cs="Times New Roman"/>
          <w:sz w:val="24"/>
          <w:szCs w:val="24"/>
        </w:rPr>
        <w:t>Investīciju f</w:t>
      </w:r>
      <w:r w:rsidR="00A31865" w:rsidRPr="00FC1D75">
        <w:rPr>
          <w:rFonts w:ascii="Times New Roman" w:hAnsi="Times New Roman" w:cs="Times New Roman"/>
          <w:sz w:val="24"/>
          <w:szCs w:val="24"/>
        </w:rPr>
        <w:t>ondu</w:t>
      </w:r>
      <w:r w:rsidR="00FC1D75" w:rsidRPr="00FC1D75">
        <w:rPr>
          <w:rFonts w:ascii="Times New Roman" w:hAnsi="Times New Roman" w:cs="Times New Roman"/>
          <w:sz w:val="24"/>
          <w:szCs w:val="24"/>
        </w:rPr>
        <w:t xml:space="preserve"> (turpmāk</w:t>
      </w:r>
      <w:r w:rsidR="0016146C">
        <w:rPr>
          <w:rFonts w:ascii="Times New Roman" w:hAnsi="Times New Roman" w:cs="Times New Roman"/>
          <w:sz w:val="24"/>
          <w:szCs w:val="24"/>
        </w:rPr>
        <w:t xml:space="preserve"> </w:t>
      </w:r>
      <w:r w:rsidR="00FC1D75" w:rsidRPr="00FC1D75">
        <w:rPr>
          <w:rFonts w:ascii="Times New Roman" w:hAnsi="Times New Roman" w:cs="Times New Roman"/>
          <w:sz w:val="24"/>
          <w:szCs w:val="24"/>
        </w:rPr>
        <w:t>-</w:t>
      </w:r>
      <w:r w:rsidR="0016146C">
        <w:rPr>
          <w:rFonts w:ascii="Times New Roman" w:hAnsi="Times New Roman" w:cs="Times New Roman"/>
          <w:sz w:val="24"/>
          <w:szCs w:val="24"/>
        </w:rPr>
        <w:t xml:space="preserve"> </w:t>
      </w:r>
      <w:r w:rsidR="00FC1D75" w:rsidRPr="00FC1D75">
        <w:rPr>
          <w:rFonts w:ascii="Times New Roman" w:hAnsi="Times New Roman" w:cs="Times New Roman"/>
          <w:sz w:val="24"/>
          <w:szCs w:val="24"/>
        </w:rPr>
        <w:t>Fondu)</w:t>
      </w:r>
      <w:r w:rsidR="00A31865" w:rsidRPr="00FC1D75">
        <w:rPr>
          <w:rFonts w:ascii="Times New Roman" w:hAnsi="Times New Roman" w:cs="Times New Roman"/>
          <w:sz w:val="24"/>
          <w:szCs w:val="24"/>
        </w:rPr>
        <w:t>.</w:t>
      </w:r>
      <w:r w:rsidR="00341624" w:rsidRPr="00FC1D75">
        <w:rPr>
          <w:rFonts w:ascii="Times New Roman" w:hAnsi="Times New Roman" w:cs="Times New Roman"/>
          <w:sz w:val="24"/>
          <w:szCs w:val="24"/>
        </w:rPr>
        <w:t xml:space="preserve"> </w:t>
      </w:r>
      <w:r w:rsidR="002E6F87" w:rsidRPr="00FC1D75">
        <w:rPr>
          <w:rFonts w:ascii="Times New Roman" w:hAnsi="Times New Roman" w:cs="Times New Roman"/>
          <w:iCs/>
          <w:sz w:val="24"/>
          <w:szCs w:val="24"/>
        </w:rPr>
        <w:t xml:space="preserve">TJI Fonds </w:t>
      </w:r>
      <w:r w:rsidR="002E6F87">
        <w:rPr>
          <w:rFonts w:ascii="Times New Roman" w:hAnsi="Times New Roman" w:cs="Times New Roman"/>
          <w:iCs/>
          <w:sz w:val="24"/>
          <w:szCs w:val="24"/>
        </w:rPr>
        <w:t xml:space="preserve">dibināts 2019. gada 29. maijā, </w:t>
      </w:r>
      <w:r w:rsidR="002E6F87" w:rsidRPr="00FC1D75">
        <w:rPr>
          <w:rFonts w:ascii="Times New Roman" w:hAnsi="Times New Roman" w:cs="Times New Roman"/>
          <w:iCs/>
          <w:sz w:val="24"/>
          <w:szCs w:val="24"/>
        </w:rPr>
        <w:t xml:space="preserve">to izveidoja </w:t>
      </w:r>
      <w:r w:rsidR="002E6F87" w:rsidRPr="002048A3">
        <w:rPr>
          <w:rFonts w:ascii="Times New Roman" w:hAnsi="Times New Roman" w:cs="Times New Roman"/>
          <w:sz w:val="24"/>
          <w:szCs w:val="24"/>
        </w:rPr>
        <w:t>Polijas</w:t>
      </w:r>
      <w:r w:rsidR="002E6F87" w:rsidRPr="00FC1D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E6F87" w:rsidRPr="002048A3">
        <w:rPr>
          <w:rFonts w:ascii="Times New Roman" w:hAnsi="Times New Roman" w:cs="Times New Roman"/>
          <w:iCs/>
          <w:sz w:val="24"/>
          <w:szCs w:val="24"/>
        </w:rPr>
        <w:t>Nacionālā attīstības banka (</w:t>
      </w:r>
      <w:proofErr w:type="spellStart"/>
      <w:r w:rsidR="002E6F87" w:rsidRPr="002048A3">
        <w:rPr>
          <w:rFonts w:ascii="Times New Roman" w:hAnsi="Times New Roman" w:cs="Times New Roman"/>
          <w:i/>
          <w:iCs/>
          <w:sz w:val="24"/>
          <w:szCs w:val="24"/>
        </w:rPr>
        <w:t>Bank</w:t>
      </w:r>
      <w:proofErr w:type="spellEnd"/>
      <w:r w:rsidR="002E6F87" w:rsidRPr="00204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E6F87" w:rsidRPr="002048A3">
        <w:rPr>
          <w:rFonts w:ascii="Times New Roman" w:hAnsi="Times New Roman" w:cs="Times New Roman"/>
          <w:i/>
          <w:iCs/>
          <w:sz w:val="24"/>
          <w:szCs w:val="24"/>
        </w:rPr>
        <w:t>Gospodarstwa</w:t>
      </w:r>
      <w:proofErr w:type="spellEnd"/>
      <w:r w:rsidR="002E6F87" w:rsidRPr="002048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E6F87" w:rsidRPr="002048A3">
        <w:rPr>
          <w:rFonts w:ascii="Times New Roman" w:hAnsi="Times New Roman" w:cs="Times New Roman"/>
          <w:i/>
          <w:iCs/>
          <w:sz w:val="24"/>
          <w:szCs w:val="24"/>
        </w:rPr>
        <w:t>Krajowego</w:t>
      </w:r>
      <w:proofErr w:type="spellEnd"/>
      <w:r w:rsidR="002E6F87" w:rsidRPr="002048A3">
        <w:rPr>
          <w:rFonts w:ascii="Times New Roman" w:hAnsi="Times New Roman" w:cs="Times New Roman"/>
          <w:iCs/>
          <w:sz w:val="24"/>
          <w:szCs w:val="24"/>
        </w:rPr>
        <w:t>, BGK) un Rumānijas Eksporta un importa banka (</w:t>
      </w:r>
      <w:r w:rsidR="002E6F87" w:rsidRPr="002048A3">
        <w:rPr>
          <w:rFonts w:ascii="Times New Roman" w:hAnsi="Times New Roman" w:cs="Times New Roman"/>
          <w:i/>
          <w:iCs/>
          <w:sz w:val="24"/>
          <w:szCs w:val="24"/>
        </w:rPr>
        <w:t>EXIMBANK</w:t>
      </w:r>
      <w:r w:rsidR="00727529">
        <w:rPr>
          <w:rFonts w:ascii="Times New Roman" w:hAnsi="Times New Roman" w:cs="Times New Roman"/>
          <w:iCs/>
          <w:sz w:val="24"/>
          <w:szCs w:val="24"/>
        </w:rPr>
        <w:t xml:space="preserve">), ieguldot Fondā 500 milj. </w:t>
      </w:r>
      <w:r w:rsidR="00727529" w:rsidRPr="00727529">
        <w:rPr>
          <w:rFonts w:ascii="Times New Roman" w:hAnsi="Times New Roman" w:cs="Times New Roman"/>
          <w:iCs/>
          <w:sz w:val="24"/>
          <w:szCs w:val="24"/>
        </w:rPr>
        <w:t>eiro</w:t>
      </w:r>
      <w:r w:rsidR="002E6F87" w:rsidRPr="00727529">
        <w:rPr>
          <w:rFonts w:ascii="Times New Roman" w:hAnsi="Times New Roman" w:cs="Times New Roman"/>
          <w:iCs/>
          <w:sz w:val="24"/>
          <w:szCs w:val="24"/>
        </w:rPr>
        <w:t>.</w:t>
      </w:r>
      <w:r w:rsidR="0016146C">
        <w:rPr>
          <w:rFonts w:ascii="Times New Roman" w:hAnsi="Times New Roman" w:cs="Times New Roman"/>
          <w:iCs/>
          <w:sz w:val="24"/>
          <w:szCs w:val="24"/>
        </w:rPr>
        <w:t xml:space="preserve"> L</w:t>
      </w:r>
      <w:r w:rsidR="002E6F87" w:rsidRPr="002048A3">
        <w:rPr>
          <w:rFonts w:ascii="Times New Roman" w:hAnsi="Times New Roman" w:cs="Times New Roman"/>
          <w:iCs/>
          <w:sz w:val="24"/>
          <w:szCs w:val="24"/>
        </w:rPr>
        <w:t xml:space="preserve">ēmumu par  </w:t>
      </w:r>
      <w:r w:rsidR="002E6F87" w:rsidRPr="002048A3">
        <w:rPr>
          <w:rFonts w:ascii="Times New Roman" w:hAnsi="Times New Roman" w:cs="Times New Roman"/>
          <w:sz w:val="24"/>
          <w:szCs w:val="24"/>
        </w:rPr>
        <w:t>finansiālu ieguldījumu Fondā ir</w:t>
      </w:r>
      <w:r w:rsidR="0016146C" w:rsidRPr="001614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146C" w:rsidRPr="002048A3">
        <w:rPr>
          <w:rFonts w:ascii="Times New Roman" w:hAnsi="Times New Roman" w:cs="Times New Roman"/>
          <w:iCs/>
          <w:sz w:val="24"/>
          <w:szCs w:val="24"/>
        </w:rPr>
        <w:t>pieņēmušas</w:t>
      </w:r>
      <w:r w:rsidR="002E6F87" w:rsidRPr="002048A3">
        <w:rPr>
          <w:rFonts w:ascii="Times New Roman" w:hAnsi="Times New Roman" w:cs="Times New Roman"/>
          <w:sz w:val="24"/>
          <w:szCs w:val="24"/>
        </w:rPr>
        <w:t xml:space="preserve"> Latvija, Igaunija, Polija, Rumānija un Ungārija.</w:t>
      </w:r>
      <w:r w:rsidR="002E6F87" w:rsidRPr="002048A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07446">
        <w:rPr>
          <w:rFonts w:ascii="Times New Roman" w:hAnsi="Times New Roman" w:cs="Times New Roman"/>
          <w:iCs/>
          <w:sz w:val="24"/>
          <w:szCs w:val="24"/>
        </w:rPr>
        <w:t xml:space="preserve">TJI </w:t>
      </w:r>
      <w:r w:rsidR="00FC1D75" w:rsidRPr="002048A3">
        <w:rPr>
          <w:rFonts w:ascii="Times New Roman" w:hAnsi="Times New Roman" w:cs="Times New Roman"/>
          <w:sz w:val="24"/>
          <w:szCs w:val="24"/>
        </w:rPr>
        <w:t xml:space="preserve">Fonds veido finansiālu platformu, </w:t>
      </w:r>
      <w:r w:rsidR="002E6F87" w:rsidRPr="002048A3">
        <w:rPr>
          <w:rFonts w:ascii="Times New Roman" w:hAnsi="Times New Roman" w:cs="Times New Roman"/>
          <w:iCs/>
          <w:sz w:val="24"/>
          <w:szCs w:val="24"/>
        </w:rPr>
        <w:t xml:space="preserve">kura </w:t>
      </w:r>
      <w:r w:rsidR="00F947B0" w:rsidRPr="002048A3">
        <w:rPr>
          <w:rFonts w:ascii="Times New Roman" w:hAnsi="Times New Roman" w:cs="Times New Roman"/>
          <w:iCs/>
          <w:sz w:val="24"/>
          <w:szCs w:val="24"/>
        </w:rPr>
        <w:t>var piedāvāt reģiona infrastruktūras attīstīšan</w:t>
      </w:r>
      <w:r w:rsidR="00B478EF" w:rsidRPr="002048A3">
        <w:rPr>
          <w:rFonts w:ascii="Times New Roman" w:hAnsi="Times New Roman" w:cs="Times New Roman"/>
          <w:iCs/>
          <w:sz w:val="24"/>
          <w:szCs w:val="24"/>
        </w:rPr>
        <w:t>u</w:t>
      </w:r>
      <w:r w:rsidR="00F947B0" w:rsidRPr="002048A3">
        <w:rPr>
          <w:rFonts w:ascii="Times New Roman" w:hAnsi="Times New Roman" w:cs="Times New Roman"/>
          <w:iCs/>
          <w:sz w:val="24"/>
          <w:szCs w:val="24"/>
        </w:rPr>
        <w:t>, nodrošinot ilgtermiņa stratēģisko mērķu īstenošanu</w:t>
      </w:r>
      <w:r w:rsidR="00F947B0" w:rsidRPr="002048A3">
        <w:rPr>
          <w:rFonts w:ascii="Times New Roman" w:hAnsi="Times New Roman" w:cs="Times New Roman"/>
          <w:sz w:val="24"/>
          <w:szCs w:val="24"/>
        </w:rPr>
        <w:t>.</w:t>
      </w:r>
      <w:r w:rsidR="00FC1D75" w:rsidRPr="002048A3">
        <w:rPr>
          <w:rFonts w:ascii="Times New Roman" w:hAnsi="Times New Roman" w:cs="Times New Roman"/>
          <w:sz w:val="24"/>
          <w:szCs w:val="24"/>
        </w:rPr>
        <w:t xml:space="preserve"> </w:t>
      </w:r>
      <w:r w:rsidR="002048A3" w:rsidRPr="002048A3">
        <w:rPr>
          <w:rStyle w:val="word"/>
          <w:rFonts w:ascii="Times New Roman" w:hAnsi="Times New Roman" w:cs="Times New Roman"/>
          <w:sz w:val="24"/>
          <w:szCs w:val="24"/>
        </w:rPr>
        <w:t>Fonda struktūra paredz iespēju pievienoties gan institucionālajiem, gan privātajiem investoriem, t.sk. starptautiskajām finanšu institūcijām.</w:t>
      </w:r>
    </w:p>
    <w:p w14:paraId="5D5C0AAA" w14:textId="6C590775" w:rsidR="00C66244" w:rsidRDefault="00CF66D2" w:rsidP="00C6624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Saskaņā ar Ministru kabineta 2020. gada 7. </w:t>
      </w:r>
      <w:r w:rsidR="001614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maija sēdes protokollēmum</w:t>
      </w:r>
      <w:r w:rsidR="00A318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Nr. 31</w:t>
      </w:r>
      <w:r w:rsidR="00206030">
        <w:rPr>
          <w:rFonts w:ascii="Times New Roman" w:hAnsi="Times New Roman" w:cs="Times New Roman"/>
          <w:sz w:val="24"/>
          <w:szCs w:val="24"/>
        </w:rPr>
        <w:t xml:space="preserve">, </w:t>
      </w:r>
      <w:r w:rsidR="00206030" w:rsidRPr="00206030">
        <w:rPr>
          <w:rFonts w:ascii="Times New Roman" w:hAnsi="Times New Roman" w:cs="Times New Roman"/>
          <w:sz w:val="24"/>
          <w:szCs w:val="24"/>
        </w:rPr>
        <w:t>1.</w:t>
      </w:r>
      <w:r w:rsidR="00CA157D">
        <w:rPr>
          <w:rFonts w:ascii="Times New Roman" w:hAnsi="Times New Roman" w:cs="Times New Roman"/>
          <w:sz w:val="24"/>
          <w:szCs w:val="24"/>
        </w:rPr>
        <w:t xml:space="preserve"> </w:t>
      </w:r>
      <w:r w:rsidR="00206030" w:rsidRPr="00206030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244">
        <w:rPr>
          <w:rFonts w:ascii="Times New Roman" w:hAnsi="Times New Roman"/>
          <w:iCs/>
          <w:sz w:val="24"/>
          <w:szCs w:val="24"/>
        </w:rPr>
        <w:t>Latvijas valdība lēma par A</w:t>
      </w:r>
      <w:r w:rsidR="00BE1F96">
        <w:rPr>
          <w:rFonts w:ascii="Times New Roman" w:hAnsi="Times New Roman"/>
          <w:iCs/>
          <w:sz w:val="24"/>
          <w:szCs w:val="24"/>
        </w:rPr>
        <w:t>/</w:t>
      </w:r>
      <w:r w:rsidR="00C66244">
        <w:rPr>
          <w:rFonts w:ascii="Times New Roman" w:hAnsi="Times New Roman"/>
          <w:iCs/>
          <w:sz w:val="24"/>
          <w:szCs w:val="24"/>
        </w:rPr>
        <w:t xml:space="preserve">S </w:t>
      </w:r>
      <w:r w:rsidR="00BE1F96">
        <w:rPr>
          <w:rFonts w:ascii="Times New Roman" w:hAnsi="Times New Roman"/>
          <w:iCs/>
          <w:sz w:val="24"/>
          <w:szCs w:val="24"/>
        </w:rPr>
        <w:t xml:space="preserve">“Attīstības finanšu institūcijas </w:t>
      </w:r>
      <w:r w:rsidR="00C66244">
        <w:rPr>
          <w:rFonts w:ascii="Times New Roman" w:hAnsi="Times New Roman"/>
          <w:iCs/>
          <w:sz w:val="24"/>
          <w:szCs w:val="24"/>
        </w:rPr>
        <w:t>ALTUM</w:t>
      </w:r>
      <w:r w:rsidR="00BE1F96">
        <w:rPr>
          <w:rFonts w:ascii="Times New Roman" w:hAnsi="Times New Roman"/>
          <w:iCs/>
          <w:sz w:val="24"/>
          <w:szCs w:val="24"/>
        </w:rPr>
        <w:t>”</w:t>
      </w:r>
      <w:r w:rsidR="00C66244">
        <w:rPr>
          <w:rFonts w:ascii="Times New Roman" w:hAnsi="Times New Roman"/>
          <w:iCs/>
          <w:sz w:val="24"/>
          <w:szCs w:val="24"/>
        </w:rPr>
        <w:t xml:space="preserve"> iesaisti TJI Fondā</w:t>
      </w:r>
      <w:r w:rsidR="00727529">
        <w:rPr>
          <w:rFonts w:ascii="Times New Roman" w:hAnsi="Times New Roman"/>
          <w:iCs/>
          <w:sz w:val="24"/>
          <w:szCs w:val="24"/>
        </w:rPr>
        <w:t xml:space="preserve"> ar ieguldījumu līdz 20 milj</w:t>
      </w:r>
      <w:r w:rsidR="00727529" w:rsidRPr="00727529">
        <w:rPr>
          <w:rFonts w:ascii="Times New Roman" w:hAnsi="Times New Roman"/>
          <w:iCs/>
          <w:sz w:val="24"/>
          <w:szCs w:val="24"/>
        </w:rPr>
        <w:t>. eiro</w:t>
      </w:r>
      <w:r w:rsidR="00C66244" w:rsidRPr="00727529">
        <w:rPr>
          <w:rFonts w:ascii="Times New Roman" w:hAnsi="Times New Roman"/>
          <w:iCs/>
          <w:sz w:val="24"/>
          <w:szCs w:val="24"/>
        </w:rPr>
        <w:t>.</w:t>
      </w:r>
      <w:r w:rsidR="00C66244">
        <w:rPr>
          <w:rFonts w:ascii="Times New Roman" w:hAnsi="Times New Roman"/>
          <w:iCs/>
          <w:sz w:val="24"/>
          <w:szCs w:val="24"/>
        </w:rPr>
        <w:t xml:space="preserve"> </w:t>
      </w:r>
      <w:r w:rsidR="00C66244" w:rsidRPr="00744FEF">
        <w:rPr>
          <w:rFonts w:ascii="Times New Roman" w:hAnsi="Times New Roman"/>
          <w:iCs/>
          <w:sz w:val="24"/>
          <w:szCs w:val="24"/>
        </w:rPr>
        <w:t xml:space="preserve">Ar </w:t>
      </w:r>
      <w:r>
        <w:rPr>
          <w:rFonts w:ascii="Times New Roman" w:hAnsi="Times New Roman"/>
          <w:iCs/>
          <w:sz w:val="24"/>
          <w:szCs w:val="24"/>
        </w:rPr>
        <w:t>šo valdības lēmumu</w:t>
      </w:r>
      <w:r w:rsidR="00C66244" w:rsidRPr="00744FEF">
        <w:rPr>
          <w:rFonts w:ascii="Times New Roman" w:hAnsi="Times New Roman"/>
          <w:iCs/>
          <w:sz w:val="24"/>
          <w:szCs w:val="24"/>
        </w:rPr>
        <w:t xml:space="preserve"> </w:t>
      </w:r>
      <w:r w:rsidR="00C66244">
        <w:rPr>
          <w:rFonts w:ascii="Times New Roman" w:hAnsi="Times New Roman"/>
          <w:iCs/>
          <w:sz w:val="24"/>
          <w:szCs w:val="24"/>
        </w:rPr>
        <w:t xml:space="preserve">Ekonomikas ministrija </w:t>
      </w:r>
      <w:r w:rsidR="0016146C">
        <w:rPr>
          <w:rFonts w:ascii="Times New Roman" w:hAnsi="Times New Roman"/>
          <w:iCs/>
          <w:sz w:val="24"/>
          <w:szCs w:val="24"/>
        </w:rPr>
        <w:t>tika</w:t>
      </w:r>
      <w:r w:rsidR="00C66244">
        <w:rPr>
          <w:rFonts w:ascii="Times New Roman" w:hAnsi="Times New Roman"/>
          <w:iCs/>
          <w:sz w:val="24"/>
          <w:szCs w:val="24"/>
        </w:rPr>
        <w:t xml:space="preserve"> pilnvarota</w:t>
      </w:r>
      <w:r w:rsidR="00C66244" w:rsidRPr="00744FEF">
        <w:rPr>
          <w:rFonts w:ascii="Times New Roman" w:hAnsi="Times New Roman"/>
          <w:iCs/>
          <w:sz w:val="24"/>
          <w:szCs w:val="24"/>
        </w:rPr>
        <w:t xml:space="preserve"> uzsākt </w:t>
      </w:r>
      <w:r w:rsidR="00C66244">
        <w:rPr>
          <w:rFonts w:ascii="Times New Roman" w:hAnsi="Times New Roman"/>
          <w:iCs/>
          <w:sz w:val="24"/>
          <w:szCs w:val="24"/>
        </w:rPr>
        <w:t xml:space="preserve">pievienošanās procesu Fondam. </w:t>
      </w:r>
    </w:p>
    <w:p w14:paraId="2F11F7FF" w14:textId="171FD1ED" w:rsidR="004F6546" w:rsidRDefault="00E9339D" w:rsidP="00C6624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Aktuālā situācija, kuru radījusi </w:t>
      </w:r>
      <w:r w:rsidR="00285F4F">
        <w:rPr>
          <w:rFonts w:ascii="Times New Roman" w:hAnsi="Times New Roman"/>
          <w:iCs/>
          <w:sz w:val="24"/>
          <w:szCs w:val="24"/>
        </w:rPr>
        <w:t>COVID-19 vīrusa izplatība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5E2B7D">
        <w:rPr>
          <w:rFonts w:ascii="Times New Roman" w:hAnsi="Times New Roman"/>
          <w:iCs/>
          <w:sz w:val="24"/>
          <w:szCs w:val="24"/>
        </w:rPr>
        <w:t>Eiropā un pasaulē</w:t>
      </w:r>
      <w:r w:rsidR="0016146C">
        <w:rPr>
          <w:rFonts w:ascii="Times New Roman" w:hAnsi="Times New Roman"/>
          <w:iCs/>
          <w:sz w:val="24"/>
          <w:szCs w:val="24"/>
        </w:rPr>
        <w:t>,</w:t>
      </w:r>
      <w:r w:rsidR="005E2B7D">
        <w:rPr>
          <w:rFonts w:ascii="Times New Roman" w:hAnsi="Times New Roman"/>
          <w:iCs/>
          <w:sz w:val="24"/>
          <w:szCs w:val="24"/>
        </w:rPr>
        <w:t xml:space="preserve"> </w:t>
      </w:r>
      <w:r w:rsidR="00285F4F">
        <w:rPr>
          <w:rFonts w:ascii="Times New Roman" w:hAnsi="Times New Roman"/>
          <w:iCs/>
          <w:sz w:val="24"/>
          <w:szCs w:val="24"/>
        </w:rPr>
        <w:t>ir pastiprinājusi</w:t>
      </w:r>
      <w:r w:rsidR="00285F4F" w:rsidRPr="001341D5">
        <w:rPr>
          <w:rFonts w:ascii="Times New Roman" w:hAnsi="Times New Roman"/>
          <w:iCs/>
          <w:sz w:val="24"/>
          <w:szCs w:val="24"/>
        </w:rPr>
        <w:t xml:space="preserve"> reģionālo ekonomisko saišu</w:t>
      </w:r>
      <w:r w:rsidR="00A205F6">
        <w:rPr>
          <w:rFonts w:ascii="Times New Roman" w:hAnsi="Times New Roman"/>
          <w:iCs/>
          <w:sz w:val="24"/>
          <w:szCs w:val="24"/>
        </w:rPr>
        <w:t xml:space="preserve"> un </w:t>
      </w:r>
      <w:r w:rsidR="00285F4F" w:rsidRPr="001341D5">
        <w:rPr>
          <w:rFonts w:ascii="Times New Roman" w:hAnsi="Times New Roman"/>
          <w:iCs/>
          <w:sz w:val="24"/>
          <w:szCs w:val="24"/>
        </w:rPr>
        <w:t>pā</w:t>
      </w:r>
      <w:r w:rsidR="00285F4F">
        <w:rPr>
          <w:rFonts w:ascii="Times New Roman" w:hAnsi="Times New Roman"/>
          <w:iCs/>
          <w:sz w:val="24"/>
          <w:szCs w:val="24"/>
        </w:rPr>
        <w:t>rrobežu infrastruktūras</w:t>
      </w:r>
      <w:r w:rsidR="00A205F6">
        <w:rPr>
          <w:rFonts w:ascii="Times New Roman" w:hAnsi="Times New Roman"/>
          <w:iCs/>
          <w:sz w:val="24"/>
          <w:szCs w:val="24"/>
        </w:rPr>
        <w:t xml:space="preserve"> attīstības nozīm</w:t>
      </w:r>
      <w:r w:rsidR="0016146C">
        <w:rPr>
          <w:rFonts w:ascii="Times New Roman" w:hAnsi="Times New Roman"/>
          <w:iCs/>
          <w:sz w:val="24"/>
          <w:szCs w:val="24"/>
        </w:rPr>
        <w:t>i</w:t>
      </w:r>
      <w:r w:rsidR="00A205F6">
        <w:rPr>
          <w:rFonts w:ascii="Times New Roman" w:hAnsi="Times New Roman"/>
          <w:iCs/>
          <w:sz w:val="24"/>
          <w:szCs w:val="24"/>
        </w:rPr>
        <w:t>.</w:t>
      </w:r>
    </w:p>
    <w:p w14:paraId="5F63BC1D" w14:textId="77777777" w:rsidR="00C66244" w:rsidRPr="00C66244" w:rsidRDefault="00C66244" w:rsidP="00C66244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</w:rPr>
      </w:pPr>
    </w:p>
    <w:p w14:paraId="10349382" w14:textId="77777777" w:rsidR="00867AB2" w:rsidRDefault="00340D51" w:rsidP="00867AB2">
      <w:p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867AB2">
        <w:rPr>
          <w:rFonts w:ascii="Times New Roman" w:hAnsi="Times New Roman" w:cs="Times New Roman"/>
          <w:b/>
          <w:sz w:val="28"/>
          <w:szCs w:val="28"/>
        </w:rPr>
        <w:t>. </w:t>
      </w:r>
      <w:r w:rsidR="00A31865">
        <w:rPr>
          <w:rFonts w:ascii="Times New Roman" w:hAnsi="Times New Roman" w:cs="Times New Roman"/>
          <w:b/>
          <w:sz w:val="28"/>
          <w:szCs w:val="28"/>
        </w:rPr>
        <w:t xml:space="preserve">TRĪS JŪRU INICIATĪVAS KOORDINĀCIJAS DARBA GRUPA </w:t>
      </w:r>
    </w:p>
    <w:p w14:paraId="1561B20C" w14:textId="76A192AC" w:rsidR="00867AB2" w:rsidRPr="00FA6F0A" w:rsidRDefault="00A11CC8" w:rsidP="00BE1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6577D" w14:textId="3CE7A1E8" w:rsidR="00B52CC3" w:rsidRPr="00EE275A" w:rsidRDefault="00AC2714" w:rsidP="00F446A0">
      <w:pPr>
        <w:pStyle w:val="PlainTex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344B3">
        <w:rPr>
          <w:rFonts w:ascii="Times New Roman" w:hAnsi="Times New Roman" w:cs="Times New Roman"/>
          <w:sz w:val="24"/>
          <w:szCs w:val="24"/>
        </w:rPr>
        <w:t>TJI struktūra paredz, ka</w:t>
      </w:r>
      <w:r w:rsidR="00B52CC3" w:rsidRPr="00C344B3">
        <w:rPr>
          <w:rFonts w:ascii="Times New Roman" w:hAnsi="Times New Roman" w:cs="Times New Roman"/>
          <w:sz w:val="24"/>
          <w:szCs w:val="24"/>
        </w:rPr>
        <w:t xml:space="preserve"> </w:t>
      </w:r>
      <w:r w:rsidR="00E40AC1" w:rsidRPr="00C344B3">
        <w:rPr>
          <w:rFonts w:ascii="Times New Roman" w:hAnsi="Times New Roman" w:cs="Times New Roman"/>
          <w:sz w:val="24"/>
          <w:szCs w:val="24"/>
        </w:rPr>
        <w:t>katra</w:t>
      </w:r>
      <w:r w:rsidRPr="00C344B3">
        <w:rPr>
          <w:rFonts w:ascii="Times New Roman" w:hAnsi="Times New Roman" w:cs="Times New Roman"/>
          <w:sz w:val="24"/>
          <w:szCs w:val="24"/>
        </w:rPr>
        <w:t xml:space="preserve"> dalībvalst</w:t>
      </w:r>
      <w:r w:rsidR="002F0352" w:rsidRPr="00C344B3">
        <w:rPr>
          <w:rFonts w:ascii="Times New Roman" w:hAnsi="Times New Roman" w:cs="Times New Roman"/>
          <w:sz w:val="24"/>
          <w:szCs w:val="24"/>
        </w:rPr>
        <w:t>s</w:t>
      </w:r>
      <w:r w:rsidRPr="00C344B3">
        <w:rPr>
          <w:rFonts w:ascii="Times New Roman" w:hAnsi="Times New Roman" w:cs="Times New Roman"/>
          <w:sz w:val="24"/>
          <w:szCs w:val="24"/>
        </w:rPr>
        <w:t xml:space="preserve"> nozīmē nacionālo koordinatoru</w:t>
      </w:r>
      <w:r w:rsidR="00750F69" w:rsidRPr="00C344B3">
        <w:rPr>
          <w:rFonts w:ascii="Times New Roman" w:hAnsi="Times New Roman" w:cs="Times New Roman"/>
          <w:sz w:val="24"/>
          <w:szCs w:val="24"/>
        </w:rPr>
        <w:t xml:space="preserve">. </w:t>
      </w:r>
      <w:r w:rsidR="00E40AC1" w:rsidRPr="00C344B3">
        <w:rPr>
          <w:rFonts w:ascii="Times New Roman" w:hAnsi="Times New Roman" w:cs="Times New Roman"/>
          <w:sz w:val="24"/>
          <w:szCs w:val="24"/>
        </w:rPr>
        <w:t>Ministru kabineta 2020. gada 7. maija sēdes protokollēmum</w:t>
      </w:r>
      <w:r w:rsidR="001913FC" w:rsidRPr="00C344B3">
        <w:rPr>
          <w:rFonts w:ascii="Times New Roman" w:hAnsi="Times New Roman" w:cs="Times New Roman"/>
          <w:sz w:val="24"/>
          <w:szCs w:val="24"/>
        </w:rPr>
        <w:t>a</w:t>
      </w:r>
      <w:r w:rsidR="00E40AC1" w:rsidRPr="00C344B3">
        <w:rPr>
          <w:rFonts w:ascii="Times New Roman" w:hAnsi="Times New Roman" w:cs="Times New Roman"/>
          <w:sz w:val="24"/>
          <w:szCs w:val="24"/>
        </w:rPr>
        <w:t xml:space="preserve"> Nr. 31</w:t>
      </w:r>
      <w:r w:rsidR="001913FC" w:rsidRPr="00C344B3">
        <w:rPr>
          <w:rFonts w:ascii="Times New Roman" w:hAnsi="Times New Roman" w:cs="Times New Roman"/>
          <w:sz w:val="24"/>
          <w:szCs w:val="24"/>
        </w:rPr>
        <w:t>.</w:t>
      </w:r>
      <w:r w:rsidR="00E40AC1" w:rsidRPr="00C344B3">
        <w:rPr>
          <w:rFonts w:ascii="Times New Roman" w:hAnsi="Times New Roman" w:cs="Times New Roman"/>
          <w:sz w:val="24"/>
          <w:szCs w:val="24"/>
        </w:rPr>
        <w:t xml:space="preserve"> 1.</w:t>
      </w:r>
      <w:r w:rsidR="00CA157D" w:rsidRPr="00C344B3">
        <w:rPr>
          <w:rFonts w:ascii="Times New Roman" w:hAnsi="Times New Roman" w:cs="Times New Roman"/>
          <w:sz w:val="24"/>
          <w:szCs w:val="24"/>
        </w:rPr>
        <w:t xml:space="preserve"> </w:t>
      </w:r>
      <w:r w:rsidR="00E40AC1" w:rsidRPr="00C344B3">
        <w:rPr>
          <w:rFonts w:ascii="Times New Roman" w:hAnsi="Times New Roman" w:cs="Times New Roman"/>
          <w:sz w:val="24"/>
          <w:szCs w:val="24"/>
        </w:rPr>
        <w:t xml:space="preserve">§ </w:t>
      </w:r>
      <w:r w:rsidR="001913FC" w:rsidRPr="00C344B3">
        <w:rPr>
          <w:rFonts w:ascii="Times New Roman" w:hAnsi="Times New Roman"/>
          <w:sz w:val="24"/>
          <w:szCs w:val="24"/>
        </w:rPr>
        <w:t>uzdod</w:t>
      </w:r>
      <w:r w:rsidR="00F446A0" w:rsidRPr="00C344B3">
        <w:rPr>
          <w:rFonts w:ascii="Times New Roman" w:hAnsi="Times New Roman"/>
          <w:sz w:val="24"/>
          <w:szCs w:val="24"/>
        </w:rPr>
        <w:t xml:space="preserve"> ārlietu ministram pildīt TJI nacionālā koordinatoru pienākumus. </w:t>
      </w:r>
      <w:r w:rsidR="00691CAF" w:rsidRPr="00C344B3">
        <w:rPr>
          <w:rFonts w:ascii="Times New Roman" w:hAnsi="Times New Roman" w:cs="Times New Roman"/>
          <w:sz w:val="24"/>
          <w:szCs w:val="24"/>
        </w:rPr>
        <w:t>K</w:t>
      </w:r>
      <w:r w:rsidR="00B52CC3" w:rsidRPr="00C344B3">
        <w:rPr>
          <w:rFonts w:ascii="Times New Roman" w:hAnsi="Times New Roman" w:cs="Times New Roman"/>
          <w:sz w:val="24"/>
          <w:szCs w:val="24"/>
        </w:rPr>
        <w:t>oordinatora uzdevums ir nodrošināt ārpolitisku saziņu starp dalībvalstīm un koordinēt iesa</w:t>
      </w:r>
      <w:r w:rsidR="00E5141C" w:rsidRPr="00C344B3">
        <w:rPr>
          <w:rFonts w:ascii="Times New Roman" w:hAnsi="Times New Roman" w:cs="Times New Roman"/>
          <w:sz w:val="24"/>
          <w:szCs w:val="24"/>
        </w:rPr>
        <w:t>istīto institūciju</w:t>
      </w:r>
      <w:r w:rsidR="00B52CC3" w:rsidRPr="00C344B3">
        <w:rPr>
          <w:rFonts w:ascii="Times New Roman" w:hAnsi="Times New Roman" w:cs="Times New Roman"/>
          <w:sz w:val="24"/>
          <w:szCs w:val="24"/>
        </w:rPr>
        <w:t xml:space="preserve"> </w:t>
      </w:r>
      <w:r w:rsidR="001913FC" w:rsidRPr="00C344B3">
        <w:rPr>
          <w:rFonts w:ascii="Times New Roman" w:hAnsi="Times New Roman" w:cs="Times New Roman"/>
          <w:sz w:val="24"/>
          <w:szCs w:val="24"/>
        </w:rPr>
        <w:t>darbu</w:t>
      </w:r>
      <w:r w:rsidR="00B52CC3" w:rsidRPr="00C344B3">
        <w:rPr>
          <w:rFonts w:ascii="Times New Roman" w:hAnsi="Times New Roman" w:cs="Times New Roman"/>
          <w:sz w:val="24"/>
          <w:szCs w:val="24"/>
        </w:rPr>
        <w:t>.</w:t>
      </w:r>
      <w:r w:rsidR="0013796B" w:rsidRPr="00C344B3">
        <w:rPr>
          <w:rFonts w:ascii="Times New Roman" w:hAnsi="Times New Roman" w:cs="Times New Roman"/>
          <w:sz w:val="24"/>
          <w:szCs w:val="24"/>
        </w:rPr>
        <w:t xml:space="preserve"> </w:t>
      </w:r>
      <w:r w:rsidR="00F446A0" w:rsidRPr="00C344B3">
        <w:rPr>
          <w:rFonts w:ascii="Times New Roman" w:hAnsi="Times New Roman" w:cs="Times New Roman"/>
          <w:sz w:val="24"/>
          <w:szCs w:val="24"/>
        </w:rPr>
        <w:t xml:space="preserve">Lai sekmīgi pildītu nacionālā </w:t>
      </w:r>
      <w:r w:rsidR="000C6879" w:rsidRPr="00C344B3">
        <w:rPr>
          <w:rFonts w:ascii="Times New Roman" w:hAnsi="Times New Roman" w:cs="Times New Roman"/>
          <w:sz w:val="24"/>
          <w:szCs w:val="24"/>
        </w:rPr>
        <w:t xml:space="preserve">koordinatora </w:t>
      </w:r>
      <w:r w:rsidR="00F446A0" w:rsidRPr="00C344B3">
        <w:rPr>
          <w:rFonts w:ascii="Times New Roman" w:hAnsi="Times New Roman" w:cs="Times New Roman"/>
          <w:sz w:val="24"/>
          <w:szCs w:val="24"/>
        </w:rPr>
        <w:t>pienākumus</w:t>
      </w:r>
      <w:r w:rsidR="001913FC" w:rsidRPr="00C344B3">
        <w:rPr>
          <w:rFonts w:ascii="Times New Roman" w:hAnsi="Times New Roman" w:cs="Times New Roman"/>
          <w:sz w:val="24"/>
          <w:szCs w:val="24"/>
        </w:rPr>
        <w:t>,</w:t>
      </w:r>
      <w:r w:rsidR="000C6879" w:rsidRPr="00C344B3">
        <w:rPr>
          <w:rFonts w:ascii="Times New Roman" w:hAnsi="Times New Roman" w:cs="Times New Roman"/>
          <w:sz w:val="24"/>
          <w:szCs w:val="24"/>
        </w:rPr>
        <w:t xml:space="preserve"> ārlietu ministram </w:t>
      </w:r>
      <w:r w:rsidR="001913FC" w:rsidRPr="00C344B3">
        <w:rPr>
          <w:rFonts w:ascii="Times New Roman" w:hAnsi="Times New Roman" w:cs="Times New Roman"/>
          <w:sz w:val="24"/>
          <w:szCs w:val="24"/>
        </w:rPr>
        <w:t>jāizveido</w:t>
      </w:r>
      <w:r w:rsidR="000C6879" w:rsidRPr="00C344B3">
        <w:rPr>
          <w:rFonts w:ascii="Times New Roman" w:hAnsi="Times New Roman" w:cs="Times New Roman"/>
          <w:sz w:val="24"/>
          <w:szCs w:val="24"/>
        </w:rPr>
        <w:t xml:space="preserve"> </w:t>
      </w:r>
      <w:r w:rsidR="00F446A0" w:rsidRPr="00C344B3">
        <w:rPr>
          <w:rFonts w:ascii="Times New Roman" w:hAnsi="Times New Roman" w:cs="Times New Roman"/>
          <w:sz w:val="24"/>
          <w:szCs w:val="24"/>
        </w:rPr>
        <w:t xml:space="preserve">TJI </w:t>
      </w:r>
      <w:r w:rsidR="001913FC" w:rsidRPr="00C344B3">
        <w:rPr>
          <w:rFonts w:ascii="Times New Roman" w:hAnsi="Times New Roman" w:cs="Times New Roman"/>
          <w:sz w:val="24"/>
          <w:szCs w:val="24"/>
        </w:rPr>
        <w:t xml:space="preserve">koordinācijas </w:t>
      </w:r>
      <w:r w:rsidR="00F446A0" w:rsidRPr="00C344B3">
        <w:rPr>
          <w:rFonts w:ascii="Times New Roman" w:hAnsi="Times New Roman" w:cs="Times New Roman"/>
          <w:sz w:val="24"/>
          <w:szCs w:val="24"/>
        </w:rPr>
        <w:t>darba grup</w:t>
      </w:r>
      <w:r w:rsidR="001913FC" w:rsidRPr="00C344B3">
        <w:rPr>
          <w:rFonts w:ascii="Times New Roman" w:hAnsi="Times New Roman" w:cs="Times New Roman"/>
          <w:sz w:val="24"/>
          <w:szCs w:val="24"/>
        </w:rPr>
        <w:t>a</w:t>
      </w:r>
      <w:r w:rsidR="00F446A0" w:rsidRPr="00C344B3">
        <w:rPr>
          <w:rFonts w:ascii="Times New Roman" w:hAnsi="Times New Roman" w:cs="Times New Roman"/>
          <w:sz w:val="24"/>
          <w:szCs w:val="24"/>
        </w:rPr>
        <w:t xml:space="preserve">, </w:t>
      </w:r>
      <w:r w:rsidR="008112B2" w:rsidRPr="00C344B3">
        <w:rPr>
          <w:rFonts w:ascii="Times New Roman" w:hAnsi="Times New Roman" w:cs="Times New Roman"/>
          <w:sz w:val="24"/>
          <w:szCs w:val="24"/>
        </w:rPr>
        <w:t xml:space="preserve">iesaistot </w:t>
      </w:r>
      <w:r w:rsidR="000C6879" w:rsidRPr="00C344B3">
        <w:rPr>
          <w:rFonts w:ascii="Times New Roman" w:hAnsi="Times New Roman" w:cs="Times New Roman"/>
          <w:sz w:val="24"/>
          <w:szCs w:val="24"/>
        </w:rPr>
        <w:t xml:space="preserve">tajā </w:t>
      </w:r>
      <w:r w:rsidR="00F446A0" w:rsidRPr="00C344B3">
        <w:rPr>
          <w:rFonts w:ascii="Times New Roman" w:hAnsi="Times New Roman" w:cs="Times New Roman"/>
          <w:sz w:val="24"/>
          <w:szCs w:val="24"/>
        </w:rPr>
        <w:t>Valsts prezidenta kancelejas, Ministru prezidenta biroja, Ārlietu ministrijas, Aizsardzīb</w:t>
      </w:r>
      <w:bookmarkStart w:id="0" w:name="_GoBack"/>
      <w:bookmarkEnd w:id="0"/>
      <w:r w:rsidR="00F446A0" w:rsidRPr="00C344B3">
        <w:rPr>
          <w:rFonts w:ascii="Times New Roman" w:hAnsi="Times New Roman" w:cs="Times New Roman"/>
          <w:sz w:val="24"/>
          <w:szCs w:val="24"/>
        </w:rPr>
        <w:t xml:space="preserve">as ministrijas, Ekonomikas ministrijas, Finanšu ministrijas, Satiksmes ministrijas, Vides aizsardzības un reģionālās attīstības ministrijas, kā arī A/S “Attīstības finanšu institūcija ALTUM”, Latvijas Investīciju </w:t>
      </w:r>
      <w:r w:rsidR="00F446A0" w:rsidRPr="00C344B3">
        <w:rPr>
          <w:rFonts w:ascii="Times New Roman" w:hAnsi="Times New Roman" w:cs="Times New Roman"/>
          <w:sz w:val="24"/>
          <w:szCs w:val="24"/>
        </w:rPr>
        <w:lastRenderedPageBreak/>
        <w:t>attīstības aģentūras (LIAA) un Latvijas Tirdzniecības un rūpniecības kameras (LTRK) pārstāvjus.</w:t>
      </w:r>
    </w:p>
    <w:p w14:paraId="50DC470F" w14:textId="172A228D" w:rsidR="006742D9" w:rsidRDefault="00B52CC3" w:rsidP="00E40AC1">
      <w:pPr>
        <w:pStyle w:val="PlainText"/>
        <w:ind w:firstLine="425"/>
        <w:jc w:val="both"/>
      </w:pPr>
      <w:r w:rsidRPr="00EE275A">
        <w:rPr>
          <w:rFonts w:ascii="Times New Roman" w:hAnsi="Times New Roman" w:cs="Times New Roman"/>
          <w:sz w:val="24"/>
          <w:szCs w:val="24"/>
        </w:rPr>
        <w:t>Sekmīgai Latvijas iesaistei iniciatīvā, kā arī TJI politiskās un ekonomiskās dimensijas sinerģijas stiprināšanai</w:t>
      </w:r>
      <w:r w:rsidR="0068074F" w:rsidRPr="00EE275A">
        <w:rPr>
          <w:rFonts w:ascii="Times New Roman" w:hAnsi="Times New Roman" w:cs="Times New Roman"/>
          <w:sz w:val="24"/>
          <w:szCs w:val="24"/>
        </w:rPr>
        <w:t xml:space="preserve"> </w:t>
      </w:r>
      <w:r w:rsidRPr="00EE275A">
        <w:rPr>
          <w:rFonts w:ascii="Times New Roman" w:hAnsi="Times New Roman" w:cs="Times New Roman"/>
          <w:sz w:val="24"/>
          <w:szCs w:val="24"/>
        </w:rPr>
        <w:t xml:space="preserve">ir </w:t>
      </w:r>
      <w:r w:rsidR="005E2B7D" w:rsidRPr="00EE275A">
        <w:rPr>
          <w:rFonts w:ascii="Times New Roman" w:hAnsi="Times New Roman" w:cs="Times New Roman"/>
          <w:sz w:val="24"/>
          <w:szCs w:val="24"/>
        </w:rPr>
        <w:t xml:space="preserve">svarīgs </w:t>
      </w:r>
      <w:r w:rsidRPr="00EE275A">
        <w:rPr>
          <w:rFonts w:ascii="Times New Roman" w:hAnsi="Times New Roman" w:cs="Times New Roman"/>
          <w:sz w:val="24"/>
          <w:szCs w:val="24"/>
        </w:rPr>
        <w:t>efektīv</w:t>
      </w:r>
      <w:r w:rsidR="0068074F" w:rsidRPr="00EE275A">
        <w:rPr>
          <w:rFonts w:ascii="Times New Roman" w:hAnsi="Times New Roman" w:cs="Times New Roman"/>
          <w:sz w:val="24"/>
          <w:szCs w:val="24"/>
        </w:rPr>
        <w:t>s koordinācijas mehānisms</w:t>
      </w:r>
      <w:r w:rsidRPr="00EE275A">
        <w:rPr>
          <w:rFonts w:ascii="Times New Roman" w:hAnsi="Times New Roman" w:cs="Times New Roman"/>
          <w:sz w:val="24"/>
          <w:szCs w:val="24"/>
        </w:rPr>
        <w:t>. Par d</w:t>
      </w:r>
      <w:r w:rsidR="0004641C" w:rsidRPr="00EE275A">
        <w:rPr>
          <w:rFonts w:ascii="Times New Roman" w:hAnsi="Times New Roman" w:cs="Times New Roman"/>
          <w:sz w:val="24"/>
          <w:szCs w:val="24"/>
        </w:rPr>
        <w:t>arba grupas</w:t>
      </w:r>
      <w:r w:rsidR="00A90AFC">
        <w:rPr>
          <w:rFonts w:ascii="Times New Roman" w:hAnsi="Times New Roman" w:cs="Times New Roman"/>
          <w:sz w:val="24"/>
          <w:szCs w:val="24"/>
        </w:rPr>
        <w:t xml:space="preserve"> vadītāju jānosaka Ā</w:t>
      </w:r>
      <w:r w:rsidRPr="00EE275A">
        <w:rPr>
          <w:rFonts w:ascii="Times New Roman" w:hAnsi="Times New Roman" w:cs="Times New Roman"/>
          <w:sz w:val="24"/>
          <w:szCs w:val="24"/>
        </w:rPr>
        <w:t>rli</w:t>
      </w:r>
      <w:r w:rsidR="0013796B" w:rsidRPr="00EE275A">
        <w:rPr>
          <w:rFonts w:ascii="Times New Roman" w:hAnsi="Times New Roman" w:cs="Times New Roman"/>
          <w:sz w:val="24"/>
          <w:szCs w:val="24"/>
        </w:rPr>
        <w:t>etu ministrijas valsts sekretārs</w:t>
      </w:r>
      <w:r w:rsidR="0068074F" w:rsidRPr="00EE275A">
        <w:rPr>
          <w:rFonts w:ascii="Times New Roman" w:hAnsi="Times New Roman" w:cs="Times New Roman"/>
          <w:sz w:val="24"/>
          <w:szCs w:val="24"/>
        </w:rPr>
        <w:t xml:space="preserve">. </w:t>
      </w:r>
      <w:r w:rsidR="0013796B" w:rsidRPr="00EE275A">
        <w:rPr>
          <w:rFonts w:ascii="Times New Roman" w:hAnsi="Times New Roman" w:cs="Times New Roman"/>
          <w:sz w:val="24"/>
          <w:szCs w:val="24"/>
        </w:rPr>
        <w:t>Savukārt p</w:t>
      </w:r>
      <w:r w:rsidR="0068074F" w:rsidRPr="00EE275A">
        <w:rPr>
          <w:rFonts w:ascii="Times New Roman" w:hAnsi="Times New Roman" w:cs="Times New Roman"/>
          <w:sz w:val="24"/>
          <w:szCs w:val="24"/>
        </w:rPr>
        <w:t xml:space="preserve">ar </w:t>
      </w:r>
      <w:r w:rsidRPr="00EE275A">
        <w:rPr>
          <w:rFonts w:ascii="Times New Roman" w:hAnsi="Times New Roman" w:cs="Times New Roman"/>
          <w:sz w:val="24"/>
          <w:szCs w:val="24"/>
        </w:rPr>
        <w:t xml:space="preserve">darba grupas </w:t>
      </w:r>
      <w:r w:rsidR="0068074F" w:rsidRPr="00EE275A">
        <w:rPr>
          <w:rFonts w:ascii="Times New Roman" w:hAnsi="Times New Roman" w:cs="Times New Roman"/>
          <w:sz w:val="24"/>
          <w:szCs w:val="24"/>
        </w:rPr>
        <w:t xml:space="preserve">vadītāja </w:t>
      </w:r>
      <w:r w:rsidRPr="00EE275A">
        <w:rPr>
          <w:rFonts w:ascii="Times New Roman" w:hAnsi="Times New Roman" w:cs="Times New Roman"/>
          <w:sz w:val="24"/>
          <w:szCs w:val="24"/>
        </w:rPr>
        <w:t>vietnieku</w:t>
      </w:r>
      <w:r w:rsidR="00E5141C" w:rsidRPr="00EE275A">
        <w:rPr>
          <w:rFonts w:ascii="Times New Roman" w:hAnsi="Times New Roman" w:cs="Times New Roman"/>
          <w:sz w:val="24"/>
          <w:szCs w:val="24"/>
        </w:rPr>
        <w:t xml:space="preserve"> </w:t>
      </w:r>
      <w:r w:rsidR="00E5141C" w:rsidRPr="00EE275A">
        <w:rPr>
          <w:rStyle w:val="st1"/>
          <w:rFonts w:ascii="Times New Roman" w:hAnsi="Times New Roman" w:cs="Times New Roman"/>
          <w:color w:val="4D5156"/>
          <w:sz w:val="24"/>
          <w:szCs w:val="24"/>
        </w:rPr>
        <w:t>—</w:t>
      </w:r>
      <w:r w:rsidRPr="00EE275A">
        <w:rPr>
          <w:rFonts w:ascii="Times New Roman" w:hAnsi="Times New Roman" w:cs="Times New Roman"/>
          <w:sz w:val="24"/>
          <w:szCs w:val="24"/>
        </w:rPr>
        <w:t xml:space="preserve"> </w:t>
      </w:r>
      <w:r w:rsidR="002F0352" w:rsidRPr="00EE275A">
        <w:rPr>
          <w:rFonts w:ascii="Times New Roman" w:hAnsi="Times New Roman" w:cs="Times New Roman"/>
          <w:sz w:val="24"/>
          <w:szCs w:val="24"/>
        </w:rPr>
        <w:t>Ekonomikas ministrija</w:t>
      </w:r>
      <w:r w:rsidRPr="00EE275A">
        <w:rPr>
          <w:rFonts w:ascii="Times New Roman" w:hAnsi="Times New Roman" w:cs="Times New Roman"/>
          <w:sz w:val="24"/>
          <w:szCs w:val="24"/>
        </w:rPr>
        <w:t xml:space="preserve">s </w:t>
      </w:r>
      <w:r w:rsidRPr="00807446">
        <w:rPr>
          <w:rFonts w:ascii="Times New Roman" w:hAnsi="Times New Roman" w:cs="Times New Roman"/>
          <w:sz w:val="24"/>
          <w:szCs w:val="24"/>
        </w:rPr>
        <w:t>pārstāvi</w:t>
      </w:r>
      <w:r w:rsidR="00691CAF" w:rsidRPr="00807446">
        <w:rPr>
          <w:rFonts w:ascii="Times New Roman" w:hAnsi="Times New Roman" w:cs="Times New Roman"/>
          <w:sz w:val="24"/>
          <w:szCs w:val="24"/>
        </w:rPr>
        <w:t>s</w:t>
      </w:r>
      <w:r w:rsidR="00221CFF" w:rsidRPr="00807446">
        <w:rPr>
          <w:rFonts w:ascii="Times New Roman" w:hAnsi="Times New Roman" w:cs="Times New Roman"/>
          <w:sz w:val="24"/>
          <w:szCs w:val="24"/>
        </w:rPr>
        <w:t>.</w:t>
      </w:r>
      <w:r w:rsidRPr="00EE275A">
        <w:rPr>
          <w:rFonts w:ascii="Times New Roman" w:hAnsi="Times New Roman" w:cs="Times New Roman"/>
          <w:sz w:val="24"/>
          <w:szCs w:val="24"/>
        </w:rPr>
        <w:t xml:space="preserve"> </w:t>
      </w:r>
      <w:r w:rsidR="009B4DEB">
        <w:rPr>
          <w:rFonts w:ascii="Times New Roman" w:hAnsi="Times New Roman" w:cs="Times New Roman"/>
          <w:sz w:val="24"/>
          <w:szCs w:val="24"/>
        </w:rPr>
        <w:t xml:space="preserve"> </w:t>
      </w:r>
      <w:r w:rsidR="006742D9" w:rsidRPr="005B2C64">
        <w:rPr>
          <w:rFonts w:ascii="Times New Roman" w:hAnsi="Times New Roman" w:cs="Times New Roman"/>
          <w:sz w:val="24"/>
          <w:szCs w:val="24"/>
        </w:rPr>
        <w:t>A/S “Attīstības finanšu institūcijas ALTUM” nodrošina informācijas apriti, komunikāciju ar uzņēmumiem</w:t>
      </w:r>
      <w:r w:rsidR="001D16EC">
        <w:rPr>
          <w:rFonts w:ascii="Times New Roman" w:hAnsi="Times New Roman" w:cs="Times New Roman"/>
          <w:sz w:val="24"/>
          <w:szCs w:val="24"/>
        </w:rPr>
        <w:t>,</w:t>
      </w:r>
      <w:r w:rsidR="006742D9" w:rsidRPr="005B2C64">
        <w:rPr>
          <w:rFonts w:ascii="Times New Roman" w:hAnsi="Times New Roman" w:cs="Times New Roman"/>
          <w:sz w:val="24"/>
          <w:szCs w:val="24"/>
        </w:rPr>
        <w:t xml:space="preserve"> kā arī regulāru darba grupas informēšanu par TJI Investīciju fonda pārvaldības efektivitāti.</w:t>
      </w:r>
    </w:p>
    <w:p w14:paraId="7869F773" w14:textId="4B81A89E" w:rsidR="00FF152B" w:rsidRDefault="00867AB2" w:rsidP="00C84E17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grupas </w:t>
      </w:r>
      <w:r w:rsidR="004A060F">
        <w:rPr>
          <w:rFonts w:ascii="Times New Roman" w:hAnsi="Times New Roman" w:cs="Times New Roman"/>
          <w:sz w:val="24"/>
          <w:szCs w:val="24"/>
        </w:rPr>
        <w:t>sekretariāta</w:t>
      </w:r>
      <w:r w:rsidR="006A7C23">
        <w:rPr>
          <w:rFonts w:ascii="Times New Roman" w:hAnsi="Times New Roman" w:cs="Times New Roman"/>
          <w:sz w:val="24"/>
          <w:szCs w:val="24"/>
        </w:rPr>
        <w:t xml:space="preserve"> funkcijas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C23">
        <w:rPr>
          <w:rFonts w:ascii="Times New Roman" w:hAnsi="Times New Roman" w:cs="Times New Roman"/>
          <w:sz w:val="24"/>
          <w:szCs w:val="24"/>
        </w:rPr>
        <w:t>veiks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B48">
        <w:rPr>
          <w:rFonts w:ascii="Times New Roman" w:hAnsi="Times New Roman" w:cs="Times New Roman"/>
          <w:sz w:val="24"/>
          <w:szCs w:val="24"/>
        </w:rPr>
        <w:t>Ārlietu</w:t>
      </w:r>
      <w:r w:rsidR="004A060F">
        <w:rPr>
          <w:rFonts w:ascii="Times New Roman" w:hAnsi="Times New Roman" w:cs="Times New Roman"/>
          <w:sz w:val="24"/>
          <w:szCs w:val="24"/>
        </w:rPr>
        <w:t xml:space="preserve"> ministrija</w:t>
      </w:r>
      <w:r w:rsidR="00CA157D">
        <w:rPr>
          <w:rFonts w:ascii="Times New Roman" w:hAnsi="Times New Roman" w:cs="Times New Roman"/>
          <w:sz w:val="24"/>
          <w:szCs w:val="24"/>
        </w:rPr>
        <w:t xml:space="preserve">s Centrālās un Dienvideiropas valstu nodaļa. </w:t>
      </w:r>
      <w:r w:rsidR="00340D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95376" w14:textId="6B9EB1F7" w:rsidR="00285F4F" w:rsidRDefault="00285F4F" w:rsidP="0086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03B3D4" w14:textId="58881994" w:rsidR="00285F4F" w:rsidRPr="00AE5114" w:rsidRDefault="00AE5114" w:rsidP="00867AB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114">
        <w:rPr>
          <w:rFonts w:ascii="Times New Roman" w:hAnsi="Times New Roman" w:cs="Times New Roman"/>
          <w:b/>
          <w:i/>
          <w:sz w:val="24"/>
          <w:szCs w:val="24"/>
          <w:u w:val="single"/>
        </w:rPr>
        <w:t>Trīs jūru iniciatīvas koordinācijas darba grupas s</w:t>
      </w:r>
      <w:r w:rsidR="00285F4F" w:rsidRPr="00AE5114">
        <w:rPr>
          <w:rFonts w:ascii="Times New Roman" w:hAnsi="Times New Roman" w:cs="Times New Roman"/>
          <w:b/>
          <w:i/>
          <w:sz w:val="24"/>
          <w:szCs w:val="24"/>
          <w:u w:val="single"/>
        </w:rPr>
        <w:t>hēma:</w:t>
      </w:r>
    </w:p>
    <w:p w14:paraId="784A2212" w14:textId="77777777" w:rsidR="00AE5114" w:rsidRPr="005B2C64" w:rsidRDefault="00AE5114" w:rsidP="00867AB2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1F034608" w14:textId="61975078" w:rsidR="00BB1A8F" w:rsidRPr="00BB1A8F" w:rsidRDefault="00C84E17" w:rsidP="00BB1A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13FA18" wp14:editId="0860A36D">
            <wp:extent cx="5274310" cy="4838700"/>
            <wp:effectExtent l="0" t="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0670FD9" w14:textId="77777777" w:rsidR="005B2C64" w:rsidRDefault="005B2C64"/>
    <w:p w14:paraId="1F226D89" w14:textId="77777777" w:rsidR="004D7BF4" w:rsidRDefault="004D7BF4" w:rsidP="005B2C64">
      <w:pPr>
        <w:ind w:right="-341"/>
        <w:rPr>
          <w:rFonts w:ascii="Times New Roman" w:hAnsi="Times New Roman" w:cs="Times New Roman"/>
          <w:sz w:val="24"/>
          <w:szCs w:val="24"/>
        </w:rPr>
      </w:pPr>
    </w:p>
    <w:p w14:paraId="514B0FBB" w14:textId="282E9BF9" w:rsidR="005B2C64" w:rsidRDefault="005B2C64" w:rsidP="005B2C64">
      <w:pPr>
        <w:ind w:right="-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Ārlietu ministrs                                                                                         Edgars Rinkēvičs</w:t>
      </w:r>
    </w:p>
    <w:p w14:paraId="3F89C9F5" w14:textId="77777777" w:rsidR="00E40AC1" w:rsidRDefault="00E40AC1" w:rsidP="005B2C64">
      <w:pPr>
        <w:ind w:right="-341"/>
        <w:rPr>
          <w:rFonts w:ascii="Times New Roman" w:hAnsi="Times New Roman" w:cs="Times New Roman"/>
          <w:sz w:val="24"/>
          <w:szCs w:val="24"/>
        </w:rPr>
      </w:pPr>
    </w:p>
    <w:p w14:paraId="32C3A1BD" w14:textId="4700BE4D" w:rsidR="005B2C64" w:rsidRDefault="005B2C64" w:rsidP="005B2C64">
      <w:pPr>
        <w:ind w:right="-3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</w:t>
      </w:r>
      <w:r w:rsidRPr="005B2C64">
        <w:rPr>
          <w:rFonts w:ascii="Times New Roman" w:hAnsi="Times New Roman" w:cs="Times New Roman"/>
          <w:sz w:val="24"/>
          <w:szCs w:val="24"/>
        </w:rPr>
        <w:t xml:space="preserve">tāra </w:t>
      </w:r>
      <w:proofErr w:type="spellStart"/>
      <w:r w:rsidRPr="005B2C64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Pr="005B2C64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</w:t>
      </w:r>
      <w:r w:rsidR="002E79EE">
        <w:rPr>
          <w:rFonts w:ascii="Times New Roman" w:hAnsi="Times New Roman" w:cs="Times New Roman"/>
          <w:sz w:val="24"/>
          <w:szCs w:val="24"/>
        </w:rPr>
        <w:t>Ilgvars Kļava</w:t>
      </w:r>
    </w:p>
    <w:p w14:paraId="5FF47479" w14:textId="44520CF1" w:rsidR="00E02D78" w:rsidRDefault="00E02D78" w:rsidP="005B2C64">
      <w:pPr>
        <w:ind w:right="-341"/>
        <w:rPr>
          <w:rFonts w:ascii="Times New Roman" w:hAnsi="Times New Roman" w:cs="Times New Roman"/>
          <w:sz w:val="24"/>
          <w:szCs w:val="24"/>
        </w:rPr>
      </w:pPr>
    </w:p>
    <w:p w14:paraId="1EA9272D" w14:textId="06D0DE97" w:rsidR="00C344B3" w:rsidRDefault="00C344B3" w:rsidP="005B2C64">
      <w:pPr>
        <w:ind w:right="-341"/>
        <w:rPr>
          <w:rFonts w:ascii="Times New Roman" w:hAnsi="Times New Roman" w:cs="Times New Roman"/>
          <w:sz w:val="24"/>
          <w:szCs w:val="24"/>
        </w:rPr>
      </w:pPr>
    </w:p>
    <w:p w14:paraId="6220E93E" w14:textId="0A2ADE64" w:rsidR="005B2C64" w:rsidRPr="00E02D78" w:rsidRDefault="005B2C64" w:rsidP="00E02D78">
      <w:pPr>
        <w:spacing w:after="0" w:line="240" w:lineRule="auto"/>
        <w:ind w:right="-340"/>
        <w:rPr>
          <w:rFonts w:ascii="Times New Roman" w:hAnsi="Times New Roman" w:cs="Times New Roman"/>
          <w:sz w:val="20"/>
          <w:szCs w:val="20"/>
        </w:rPr>
      </w:pPr>
      <w:r w:rsidRPr="00E02D78">
        <w:rPr>
          <w:rFonts w:ascii="Times New Roman" w:hAnsi="Times New Roman" w:cs="Times New Roman"/>
          <w:sz w:val="20"/>
          <w:szCs w:val="20"/>
        </w:rPr>
        <w:t>Anete Kārkliņa-</w:t>
      </w:r>
      <w:proofErr w:type="spellStart"/>
      <w:r w:rsidRPr="00E02D78">
        <w:rPr>
          <w:rFonts w:ascii="Times New Roman" w:hAnsi="Times New Roman" w:cs="Times New Roman"/>
          <w:sz w:val="20"/>
          <w:szCs w:val="20"/>
        </w:rPr>
        <w:t>Lurope</w:t>
      </w:r>
      <w:proofErr w:type="spellEnd"/>
      <w:r w:rsidR="00E02D78" w:rsidRPr="00E02D78">
        <w:rPr>
          <w:rFonts w:ascii="Times New Roman" w:hAnsi="Times New Roman" w:cs="Times New Roman"/>
          <w:sz w:val="20"/>
          <w:szCs w:val="20"/>
        </w:rPr>
        <w:t>, 67016279</w:t>
      </w:r>
    </w:p>
    <w:p w14:paraId="39176C29" w14:textId="43EAF7BB" w:rsidR="00E02D78" w:rsidRPr="004D7BF4" w:rsidRDefault="000727DE" w:rsidP="004D7BF4">
      <w:pPr>
        <w:spacing w:after="0" w:line="240" w:lineRule="auto"/>
        <w:ind w:right="-340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02D78" w:rsidRPr="000E52F7">
          <w:rPr>
            <w:rStyle w:val="Hyperlink"/>
            <w:rFonts w:ascii="Times New Roman" w:hAnsi="Times New Roman" w:cs="Times New Roman"/>
            <w:sz w:val="20"/>
            <w:szCs w:val="20"/>
          </w:rPr>
          <w:t>Anete.Karklina-Lurope@mfa.gov.lv</w:t>
        </w:r>
      </w:hyperlink>
      <w:r w:rsidR="00E02D78">
        <w:rPr>
          <w:rFonts w:ascii="Times New Roman" w:hAnsi="Times New Roman" w:cs="Times New Roman"/>
          <w:sz w:val="20"/>
          <w:szCs w:val="20"/>
        </w:rPr>
        <w:t xml:space="preserve"> </w:t>
      </w:r>
      <w:r w:rsidR="00BB1A8F">
        <w:rPr>
          <w:rFonts w:ascii="Times New Roman" w:hAnsi="Times New Roman" w:cs="Times New Roman"/>
          <w:sz w:val="24"/>
          <w:szCs w:val="24"/>
        </w:rPr>
        <w:tab/>
      </w:r>
      <w:r w:rsidR="00BB1A8F">
        <w:rPr>
          <w:rFonts w:ascii="Times New Roman" w:hAnsi="Times New Roman" w:cs="Times New Roman"/>
          <w:sz w:val="24"/>
          <w:szCs w:val="24"/>
        </w:rPr>
        <w:tab/>
      </w:r>
    </w:p>
    <w:sectPr w:rsidR="00E02D78" w:rsidRPr="004D7BF4" w:rsidSect="00C344B3">
      <w:headerReference w:type="default" r:id="rId13"/>
      <w:footerReference w:type="default" r:id="rId14"/>
      <w:pgSz w:w="11906" w:h="16838"/>
      <w:pgMar w:top="426" w:right="1800" w:bottom="709" w:left="180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1BACB" w14:textId="77777777" w:rsidR="000727DE" w:rsidRDefault="000727DE" w:rsidP="00285F4F">
      <w:pPr>
        <w:spacing w:after="0" w:line="240" w:lineRule="auto"/>
      </w:pPr>
      <w:r>
        <w:separator/>
      </w:r>
    </w:p>
  </w:endnote>
  <w:endnote w:type="continuationSeparator" w:id="0">
    <w:p w14:paraId="26A8124A" w14:textId="77777777" w:rsidR="000727DE" w:rsidRDefault="000727DE" w:rsidP="0028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6A64A" w14:textId="795C24EB" w:rsidR="00BB1A8F" w:rsidRDefault="00BB1A8F">
    <w:pPr>
      <w:pStyle w:val="Footer"/>
    </w:pPr>
    <w:r w:rsidRPr="00D9150B">
      <w:rPr>
        <w:rFonts w:ascii="Times New Roman" w:eastAsia="Times New Roman" w:hAnsi="Times New Roman" w:cs="Times New Roman"/>
        <w:sz w:val="20"/>
        <w:szCs w:val="20"/>
        <w:lang w:eastAsia="lv-LV"/>
      </w:rPr>
      <w:t>AM</w:t>
    </w:r>
    <w:r w:rsidR="007117AC">
      <w:rPr>
        <w:rFonts w:ascii="Times New Roman" w:eastAsia="Times New Roman" w:hAnsi="Times New Roman" w:cs="Times New Roman"/>
        <w:sz w:val="20"/>
        <w:szCs w:val="20"/>
        <w:lang w:eastAsia="lv-LV"/>
      </w:rPr>
      <w:t>zin_21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0720</w:t>
    </w:r>
    <w:r w:rsidR="000C6879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; </w:t>
    </w:r>
    <w:r w:rsidR="000C6879" w:rsidRPr="000C6879">
      <w:rPr>
        <w:rFonts w:ascii="Times New Roman" w:eastAsia="Times New Roman" w:hAnsi="Times New Roman" w:cs="Times New Roman"/>
        <w:sz w:val="20"/>
        <w:szCs w:val="20"/>
        <w:lang w:eastAsia="lv-LV"/>
      </w:rPr>
      <w:t>Informatīvais ziņojums “Par</w:t>
    </w:r>
    <w:r w:rsidR="000C6879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0C6879" w:rsidRPr="000C6879">
      <w:rPr>
        <w:rFonts w:ascii="Times New Roman" w:eastAsia="Times New Roman" w:hAnsi="Times New Roman" w:cs="Times New Roman"/>
        <w:sz w:val="20"/>
        <w:szCs w:val="20"/>
        <w:lang w:eastAsia="lv-LV"/>
      </w:rPr>
      <w:t>Trīs jūru iniciatīvas koordinācijas darba grupas izveidi”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081F" w14:textId="77777777" w:rsidR="000727DE" w:rsidRDefault="000727DE" w:rsidP="00285F4F">
      <w:pPr>
        <w:spacing w:after="0" w:line="240" w:lineRule="auto"/>
      </w:pPr>
      <w:r>
        <w:separator/>
      </w:r>
    </w:p>
  </w:footnote>
  <w:footnote w:type="continuationSeparator" w:id="0">
    <w:p w14:paraId="13E3837C" w14:textId="77777777" w:rsidR="000727DE" w:rsidRDefault="000727DE" w:rsidP="00285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C6664" w14:textId="33E99813" w:rsidR="003B604A" w:rsidRPr="003B604A" w:rsidRDefault="003B604A" w:rsidP="003B604A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B5ECF"/>
    <w:multiLevelType w:val="hybridMultilevel"/>
    <w:tmpl w:val="09008092"/>
    <w:lvl w:ilvl="0" w:tplc="A5CAB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46"/>
    <w:rsid w:val="00026023"/>
    <w:rsid w:val="0004641C"/>
    <w:rsid w:val="000727DE"/>
    <w:rsid w:val="000C14A3"/>
    <w:rsid w:val="000C6879"/>
    <w:rsid w:val="00103058"/>
    <w:rsid w:val="00103D39"/>
    <w:rsid w:val="0012692F"/>
    <w:rsid w:val="001341D5"/>
    <w:rsid w:val="0013796B"/>
    <w:rsid w:val="0016146C"/>
    <w:rsid w:val="001913FC"/>
    <w:rsid w:val="001B1544"/>
    <w:rsid w:val="001D16EC"/>
    <w:rsid w:val="001D23B4"/>
    <w:rsid w:val="001E3BB4"/>
    <w:rsid w:val="002048A3"/>
    <w:rsid w:val="00205077"/>
    <w:rsid w:val="00206030"/>
    <w:rsid w:val="00221CFF"/>
    <w:rsid w:val="002237F1"/>
    <w:rsid w:val="00245644"/>
    <w:rsid w:val="0025143C"/>
    <w:rsid w:val="00263664"/>
    <w:rsid w:val="00285F4F"/>
    <w:rsid w:val="00287EED"/>
    <w:rsid w:val="00293DB2"/>
    <w:rsid w:val="002D4AF2"/>
    <w:rsid w:val="002E4B48"/>
    <w:rsid w:val="002E6F87"/>
    <w:rsid w:val="002E7704"/>
    <w:rsid w:val="002E79EE"/>
    <w:rsid w:val="002F0352"/>
    <w:rsid w:val="00304FF4"/>
    <w:rsid w:val="00306805"/>
    <w:rsid w:val="00334FB0"/>
    <w:rsid w:val="00340D51"/>
    <w:rsid w:val="00341624"/>
    <w:rsid w:val="003428A9"/>
    <w:rsid w:val="00346740"/>
    <w:rsid w:val="00346FCB"/>
    <w:rsid w:val="00361CC4"/>
    <w:rsid w:val="00373984"/>
    <w:rsid w:val="00382853"/>
    <w:rsid w:val="0038296B"/>
    <w:rsid w:val="003B604A"/>
    <w:rsid w:val="00432026"/>
    <w:rsid w:val="00454184"/>
    <w:rsid w:val="004802E6"/>
    <w:rsid w:val="004A060F"/>
    <w:rsid w:val="004A26C1"/>
    <w:rsid w:val="004B4E66"/>
    <w:rsid w:val="004D7BF4"/>
    <w:rsid w:val="004F6546"/>
    <w:rsid w:val="0052523B"/>
    <w:rsid w:val="00567912"/>
    <w:rsid w:val="00592917"/>
    <w:rsid w:val="005951CF"/>
    <w:rsid w:val="005B2C64"/>
    <w:rsid w:val="005E2B7D"/>
    <w:rsid w:val="0062546F"/>
    <w:rsid w:val="006742D9"/>
    <w:rsid w:val="0068074F"/>
    <w:rsid w:val="00691CAF"/>
    <w:rsid w:val="00694F3E"/>
    <w:rsid w:val="006A7C23"/>
    <w:rsid w:val="007117AC"/>
    <w:rsid w:val="00727529"/>
    <w:rsid w:val="0073289E"/>
    <w:rsid w:val="007415CD"/>
    <w:rsid w:val="00744FEF"/>
    <w:rsid w:val="00750F69"/>
    <w:rsid w:val="0075775B"/>
    <w:rsid w:val="0077031E"/>
    <w:rsid w:val="007822AB"/>
    <w:rsid w:val="00782D27"/>
    <w:rsid w:val="007A7D3C"/>
    <w:rsid w:val="00805494"/>
    <w:rsid w:val="00807446"/>
    <w:rsid w:val="008112B2"/>
    <w:rsid w:val="008364FB"/>
    <w:rsid w:val="00852A18"/>
    <w:rsid w:val="00862F78"/>
    <w:rsid w:val="00867AB2"/>
    <w:rsid w:val="00890F83"/>
    <w:rsid w:val="008C01E6"/>
    <w:rsid w:val="008D0FE4"/>
    <w:rsid w:val="008D232D"/>
    <w:rsid w:val="008E433B"/>
    <w:rsid w:val="008E5CF7"/>
    <w:rsid w:val="00904576"/>
    <w:rsid w:val="00911C83"/>
    <w:rsid w:val="00925F3C"/>
    <w:rsid w:val="00931A75"/>
    <w:rsid w:val="009465C7"/>
    <w:rsid w:val="009629B7"/>
    <w:rsid w:val="00973325"/>
    <w:rsid w:val="009B4DEB"/>
    <w:rsid w:val="009D1A2B"/>
    <w:rsid w:val="00A01164"/>
    <w:rsid w:val="00A11CC8"/>
    <w:rsid w:val="00A12438"/>
    <w:rsid w:val="00A205F6"/>
    <w:rsid w:val="00A31865"/>
    <w:rsid w:val="00A90AFC"/>
    <w:rsid w:val="00AC2714"/>
    <w:rsid w:val="00AC6923"/>
    <w:rsid w:val="00AE2A73"/>
    <w:rsid w:val="00AE5114"/>
    <w:rsid w:val="00AE7D5D"/>
    <w:rsid w:val="00AE7E88"/>
    <w:rsid w:val="00B11DDF"/>
    <w:rsid w:val="00B244CE"/>
    <w:rsid w:val="00B478EF"/>
    <w:rsid w:val="00B52CC3"/>
    <w:rsid w:val="00B63BBD"/>
    <w:rsid w:val="00B67233"/>
    <w:rsid w:val="00B73FC0"/>
    <w:rsid w:val="00BB1A8F"/>
    <w:rsid w:val="00BC2AD2"/>
    <w:rsid w:val="00BE1F96"/>
    <w:rsid w:val="00BF399C"/>
    <w:rsid w:val="00C142C3"/>
    <w:rsid w:val="00C23934"/>
    <w:rsid w:val="00C23B2D"/>
    <w:rsid w:val="00C344B3"/>
    <w:rsid w:val="00C53C97"/>
    <w:rsid w:val="00C66244"/>
    <w:rsid w:val="00C84E17"/>
    <w:rsid w:val="00C876F3"/>
    <w:rsid w:val="00C95404"/>
    <w:rsid w:val="00CA157D"/>
    <w:rsid w:val="00CE70C2"/>
    <w:rsid w:val="00CF66D2"/>
    <w:rsid w:val="00D3098A"/>
    <w:rsid w:val="00D42A94"/>
    <w:rsid w:val="00D75B14"/>
    <w:rsid w:val="00D81203"/>
    <w:rsid w:val="00D821E4"/>
    <w:rsid w:val="00D963E7"/>
    <w:rsid w:val="00DB52C3"/>
    <w:rsid w:val="00DB6DCB"/>
    <w:rsid w:val="00DE7D8F"/>
    <w:rsid w:val="00E029B1"/>
    <w:rsid w:val="00E02D78"/>
    <w:rsid w:val="00E059FC"/>
    <w:rsid w:val="00E20DC3"/>
    <w:rsid w:val="00E40AC1"/>
    <w:rsid w:val="00E5141C"/>
    <w:rsid w:val="00E9339D"/>
    <w:rsid w:val="00ED226E"/>
    <w:rsid w:val="00EE275A"/>
    <w:rsid w:val="00F02135"/>
    <w:rsid w:val="00F42CEB"/>
    <w:rsid w:val="00F446A0"/>
    <w:rsid w:val="00F54E01"/>
    <w:rsid w:val="00F76DC0"/>
    <w:rsid w:val="00F92EC5"/>
    <w:rsid w:val="00F947B0"/>
    <w:rsid w:val="00FA6F0A"/>
    <w:rsid w:val="00FC1D75"/>
    <w:rsid w:val="00FC4A78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620A59"/>
  <w15:chartTrackingRefBased/>
  <w15:docId w15:val="{A5E3EE83-F5DE-45B2-A7E1-CA13454C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F4F"/>
  </w:style>
  <w:style w:type="paragraph" w:styleId="Footer">
    <w:name w:val="footer"/>
    <w:basedOn w:val="Normal"/>
    <w:link w:val="FooterChar"/>
    <w:uiPriority w:val="99"/>
    <w:unhideWhenUsed/>
    <w:rsid w:val="00285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F4F"/>
  </w:style>
  <w:style w:type="character" w:styleId="CommentReference">
    <w:name w:val="annotation reference"/>
    <w:basedOn w:val="DefaultParagraphFont"/>
    <w:uiPriority w:val="99"/>
    <w:semiHidden/>
    <w:unhideWhenUsed/>
    <w:rsid w:val="00B2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4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CE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E5141C"/>
  </w:style>
  <w:style w:type="paragraph" w:styleId="PlainText">
    <w:name w:val="Plain Text"/>
    <w:basedOn w:val="Normal"/>
    <w:link w:val="PlainTextChar"/>
    <w:uiPriority w:val="99"/>
    <w:unhideWhenUsed/>
    <w:rsid w:val="00EE27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275A"/>
    <w:rPr>
      <w:rFonts w:ascii="Calibri" w:hAnsi="Calibri"/>
      <w:szCs w:val="21"/>
    </w:rPr>
  </w:style>
  <w:style w:type="character" w:customStyle="1" w:styleId="phrase">
    <w:name w:val="phrase"/>
    <w:basedOn w:val="DefaultParagraphFont"/>
    <w:rsid w:val="002E6F87"/>
  </w:style>
  <w:style w:type="character" w:customStyle="1" w:styleId="word">
    <w:name w:val="word"/>
    <w:basedOn w:val="DefaultParagraphFont"/>
    <w:rsid w:val="002E6F87"/>
  </w:style>
  <w:style w:type="paragraph" w:customStyle="1" w:styleId="mt-translation">
    <w:name w:val="mt-translation"/>
    <w:basedOn w:val="Normal"/>
    <w:rsid w:val="00204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02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Anete.Karklina-Lurope@mfa.gov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72DC1D-0315-4553-8202-BFC76DE8DCA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396D4C-CA52-4A81-A467-7747F803DDE8}">
      <dgm:prSet phldrT="[Text]" custT="1"/>
      <dgm:spPr>
        <a:xfrm>
          <a:off x="1636146" y="82126"/>
          <a:ext cx="1937948" cy="1249550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Trīs jūru iniciatīvas nacionālais koordinators</a:t>
          </a:r>
        </a:p>
        <a:p>
          <a:r>
            <a: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ārlietu ministrs</a:t>
          </a:r>
          <a:endParaRPr lang="en-US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37DA09DB-C7AD-41F1-BACC-F2B2EBAB99A4}" type="parTrans" cxnId="{7F24F22E-8D28-4FB0-962D-2D0D4B989F84}">
      <dgm:prSet/>
      <dgm:spPr/>
      <dgm:t>
        <a:bodyPr/>
        <a:lstStyle/>
        <a:p>
          <a:endParaRPr lang="en-US"/>
        </a:p>
      </dgm:t>
    </dgm:pt>
    <dgm:pt modelId="{A7A5DD45-FF97-4E3C-B2A8-D556F95A9E0E}" type="sibTrans" cxnId="{7F24F22E-8D28-4FB0-962D-2D0D4B989F84}">
      <dgm:prSet/>
      <dgm:spPr/>
      <dgm:t>
        <a:bodyPr/>
        <a:lstStyle/>
        <a:p>
          <a:endParaRPr lang="en-US"/>
        </a:p>
      </dgm:t>
    </dgm:pt>
    <dgm:pt modelId="{221AE215-35E2-420C-9499-BFF92E1AF8A7}" type="asst">
      <dgm:prSet phldrT="[Text]" custT="1"/>
      <dgm:spPr>
        <a:xfrm>
          <a:off x="364406" y="1607494"/>
          <a:ext cx="1937948" cy="1153864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Darba grupas vadītājs</a:t>
          </a:r>
        </a:p>
        <a:p>
          <a:r>
            <a: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Ārlietu ministrijas valsts sekretārs </a:t>
          </a:r>
        </a:p>
        <a:p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(TJI politiskā dimensija)</a:t>
          </a:r>
          <a:endParaRPr lang="en-US" sz="120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4EDAA2DA-2DDB-4561-B9B5-4F52B23D85FA}" type="parTrans" cxnId="{97185C0F-2705-4FF3-AE0C-28455ED0F26A}">
      <dgm:prSet/>
      <dgm:spPr>
        <a:xfrm>
          <a:off x="2302355" y="1331676"/>
          <a:ext cx="302765" cy="852750"/>
        </a:xfrm>
        <a:custGeom>
          <a:avLst/>
          <a:gdLst/>
          <a:ahLst/>
          <a:cxnLst/>
          <a:rect l="0" t="0" r="0" b="0"/>
          <a:pathLst>
            <a:path>
              <a:moveTo>
                <a:pt x="302765" y="0"/>
              </a:moveTo>
              <a:lnTo>
                <a:pt x="302765" y="852750"/>
              </a:lnTo>
              <a:lnTo>
                <a:pt x="0" y="85275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4687FE39-C701-4C75-8E90-3FD96F121D87}" type="sibTrans" cxnId="{97185C0F-2705-4FF3-AE0C-28455ED0F26A}">
      <dgm:prSet/>
      <dgm:spPr/>
      <dgm:t>
        <a:bodyPr/>
        <a:lstStyle/>
        <a:p>
          <a:endParaRPr lang="en-US"/>
        </a:p>
      </dgm:t>
    </dgm:pt>
    <dgm:pt modelId="{802BD520-387C-429D-99A8-095C8BC827ED}">
      <dgm:prSet custT="1"/>
      <dgm:spPr>
        <a:xfrm>
          <a:off x="749021" y="3220633"/>
          <a:ext cx="3884675" cy="161726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Darba grupa</a:t>
          </a:r>
        </a:p>
        <a:p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Valsts prezidenta kancelejas; Ministru prezidenta biroja; Aizsardzības ministrijas; Ārlietu ministrijas; Ekonomikas ministrijas; Finanšu ministrijas; Satiksmes ministrijas; Vides aizsardzības un reģionālās attīstības ministrijas; A/S "Attītstības finanšu institūcijas ALTUM"; Latvijas Brīvo arodbiedrību savienības (LBAS); Latvijas Investīciju un attīstības aģentūras (LIAA); Latvijas Tirdzniecības un rūpniecības kameras (LTRK) pārstāvji.</a:t>
          </a:r>
        </a:p>
      </dgm:t>
    </dgm:pt>
    <dgm:pt modelId="{0C7EC8B4-FFEF-4E32-9C08-BD8B488F4DBB}" type="parTrans" cxnId="{90F64FDD-2B72-40C6-91D2-12CB8C281678}">
      <dgm:prSet/>
      <dgm:spPr>
        <a:xfrm>
          <a:off x="2559400" y="1331676"/>
          <a:ext cx="91440" cy="18889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5472"/>
              </a:lnTo>
              <a:lnTo>
                <a:pt x="131958" y="1685472"/>
              </a:lnTo>
              <a:lnTo>
                <a:pt x="131958" y="188895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579D3816-FD80-44A6-84FF-083D69A614A5}" type="sibTrans" cxnId="{90F64FDD-2B72-40C6-91D2-12CB8C281678}">
      <dgm:prSet/>
      <dgm:spPr/>
      <dgm:t>
        <a:bodyPr/>
        <a:lstStyle/>
        <a:p>
          <a:endParaRPr lang="en-US"/>
        </a:p>
      </dgm:t>
    </dgm:pt>
    <dgm:pt modelId="{F0B93959-A2F7-47DE-847E-3B854C86BAFC}" type="asst">
      <dgm:prSet custT="1"/>
      <dgm:spPr>
        <a:xfrm>
          <a:off x="2866453" y="2088726"/>
          <a:ext cx="1937948" cy="96897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Darba grupas vietnieks</a:t>
          </a:r>
        </a:p>
        <a:p>
          <a:r>
            <a:rPr lang="lv-LV" sz="120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Ekonomikas ministrijas valsts sekretārs /cits Ekonomikas minisrijas pārstāvis</a:t>
          </a:r>
        </a:p>
        <a:p>
          <a:r>
            <a:rPr lang="lv-LV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(TJI ekonomiskā dimensija)</a:t>
          </a:r>
        </a:p>
      </dgm:t>
    </dgm:pt>
    <dgm:pt modelId="{D0E7C260-DB50-4785-B54C-B657EBF7612D}" type="parTrans" cxnId="{CFA9ACC8-7AA2-4C07-B79F-57654B9B278F}">
      <dgm:prSet/>
      <dgm:spPr>
        <a:xfrm>
          <a:off x="2605120" y="1331676"/>
          <a:ext cx="261332" cy="1241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536"/>
              </a:lnTo>
              <a:lnTo>
                <a:pt x="261332" y="124153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0A9E44A-2345-4115-AED0-40E3D5B187A1}" type="sibTrans" cxnId="{CFA9ACC8-7AA2-4C07-B79F-57654B9B278F}">
      <dgm:prSet/>
      <dgm:spPr/>
      <dgm:t>
        <a:bodyPr/>
        <a:lstStyle/>
        <a:p>
          <a:endParaRPr lang="en-US"/>
        </a:p>
      </dgm:t>
    </dgm:pt>
    <dgm:pt modelId="{B78AA51B-F500-42DA-8A32-8D5817EFC4EE}" type="pres">
      <dgm:prSet presAssocID="{0E72DC1D-0315-4553-8202-BFC76DE8DC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ED32713-0219-4B69-B054-DED1F6CA1412}" type="pres">
      <dgm:prSet presAssocID="{B0396D4C-CA52-4A81-A467-7747F803DDE8}" presName="hierRoot1" presStyleCnt="0">
        <dgm:presLayoutVars>
          <dgm:hierBranch val="init"/>
        </dgm:presLayoutVars>
      </dgm:prSet>
      <dgm:spPr/>
    </dgm:pt>
    <dgm:pt modelId="{FFD72E37-DED0-4781-9401-E5B9EAC3BA79}" type="pres">
      <dgm:prSet presAssocID="{B0396D4C-CA52-4A81-A467-7747F803DDE8}" presName="rootComposite1" presStyleCnt="0"/>
      <dgm:spPr/>
    </dgm:pt>
    <dgm:pt modelId="{1AD87443-799E-4DE0-8F4D-9308C6C5BF64}" type="pres">
      <dgm:prSet presAssocID="{B0396D4C-CA52-4A81-A467-7747F803DDE8}" presName="rootText1" presStyleLbl="node0" presStyleIdx="0" presStyleCnt="1" custScaleY="128956" custLinFactNeighborX="-1653" custLinFactNeighborY="826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1BDB7BA-5B38-4561-8B79-49EBFE5D27C5}" type="pres">
      <dgm:prSet presAssocID="{B0396D4C-CA52-4A81-A467-7747F803DDE8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2C31E8F-1AD5-4E11-9E47-CD86620E48AB}" type="pres">
      <dgm:prSet presAssocID="{B0396D4C-CA52-4A81-A467-7747F803DDE8}" presName="hierChild2" presStyleCnt="0"/>
      <dgm:spPr/>
    </dgm:pt>
    <dgm:pt modelId="{185D3D72-52D0-4255-B9E2-83CD088C7DED}" type="pres">
      <dgm:prSet presAssocID="{0C7EC8B4-FFEF-4E32-9C08-BD8B488F4DBB}" presName="Name37" presStyleLbl="parChTrans1D2" presStyleIdx="0" presStyleCnt="3"/>
      <dgm:spPr/>
      <dgm:t>
        <a:bodyPr/>
        <a:lstStyle/>
        <a:p>
          <a:endParaRPr lang="en-US"/>
        </a:p>
      </dgm:t>
    </dgm:pt>
    <dgm:pt modelId="{D7153EBD-8065-4081-824D-2ADF7147C2B5}" type="pres">
      <dgm:prSet presAssocID="{802BD520-387C-429D-99A8-095C8BC827ED}" presName="hierRoot2" presStyleCnt="0">
        <dgm:presLayoutVars>
          <dgm:hierBranch val="init"/>
        </dgm:presLayoutVars>
      </dgm:prSet>
      <dgm:spPr/>
    </dgm:pt>
    <dgm:pt modelId="{5A1B0236-A3B1-43F8-A0B3-D1CE4B6BBC90}" type="pres">
      <dgm:prSet presAssocID="{802BD520-387C-429D-99A8-095C8BC827ED}" presName="rootComposite" presStyleCnt="0"/>
      <dgm:spPr/>
    </dgm:pt>
    <dgm:pt modelId="{E884D45E-498F-43AC-9C8E-13769907977A}" type="pres">
      <dgm:prSet presAssocID="{802BD520-387C-429D-99A8-095C8BC827ED}" presName="rootText" presStyleLbl="node2" presStyleIdx="0" presStyleCnt="1" custScaleX="200453" custScaleY="166905" custLinFactNeighborX="723" custLinFactNeighborY="2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F9D33EE-2C3A-46C8-8932-832D05E5FFD5}" type="pres">
      <dgm:prSet presAssocID="{802BD520-387C-429D-99A8-095C8BC827ED}" presName="rootConnector" presStyleLbl="node2" presStyleIdx="0" presStyleCnt="1"/>
      <dgm:spPr/>
      <dgm:t>
        <a:bodyPr/>
        <a:lstStyle/>
        <a:p>
          <a:endParaRPr lang="en-US"/>
        </a:p>
      </dgm:t>
    </dgm:pt>
    <dgm:pt modelId="{1CF68CA3-D2A8-421E-9A73-FDF3F3437C25}" type="pres">
      <dgm:prSet presAssocID="{802BD520-387C-429D-99A8-095C8BC827ED}" presName="hierChild4" presStyleCnt="0"/>
      <dgm:spPr/>
    </dgm:pt>
    <dgm:pt modelId="{3F866AEF-ACF3-4011-AB24-857557992754}" type="pres">
      <dgm:prSet presAssocID="{802BD520-387C-429D-99A8-095C8BC827ED}" presName="hierChild5" presStyleCnt="0"/>
      <dgm:spPr/>
    </dgm:pt>
    <dgm:pt modelId="{2DE6F0FC-BD86-4433-8A67-D0CB24B42FD3}" type="pres">
      <dgm:prSet presAssocID="{B0396D4C-CA52-4A81-A467-7747F803DDE8}" presName="hierChild3" presStyleCnt="0"/>
      <dgm:spPr/>
    </dgm:pt>
    <dgm:pt modelId="{7568741C-D667-4AA0-92C9-B982D674A844}" type="pres">
      <dgm:prSet presAssocID="{4EDAA2DA-2DDB-4561-B9B5-4F52B23D85FA}" presName="Name111" presStyleLbl="parChTrans1D2" presStyleIdx="1" presStyleCnt="3"/>
      <dgm:spPr/>
      <dgm:t>
        <a:bodyPr/>
        <a:lstStyle/>
        <a:p>
          <a:endParaRPr lang="en-US"/>
        </a:p>
      </dgm:t>
    </dgm:pt>
    <dgm:pt modelId="{B4ED0B1B-3944-4524-B3CE-5F8661D835D4}" type="pres">
      <dgm:prSet presAssocID="{221AE215-35E2-420C-9499-BFF92E1AF8A7}" presName="hierRoot3" presStyleCnt="0">
        <dgm:presLayoutVars>
          <dgm:hierBranch val="init"/>
        </dgm:presLayoutVars>
      </dgm:prSet>
      <dgm:spPr/>
    </dgm:pt>
    <dgm:pt modelId="{DEF9A225-8999-4D76-8ABF-3398A4BEAFEB}" type="pres">
      <dgm:prSet presAssocID="{221AE215-35E2-420C-9499-BFF92E1AF8A7}" presName="rootComposite3" presStyleCnt="0"/>
      <dgm:spPr/>
    </dgm:pt>
    <dgm:pt modelId="{2EA96A2A-6AA2-4A3F-A6F3-0C5A6E6046D4}" type="pres">
      <dgm:prSet presAssocID="{221AE215-35E2-420C-9499-BFF92E1AF8A7}" presName="rootText3" presStyleLbl="asst1" presStyleIdx="0" presStyleCnt="2" custScaleY="119081" custLinFactNeighborX="-6776" custLinFactNeighborY="-527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C8008DBB-71AA-425A-97D2-8DF9C0CB2675}" type="pres">
      <dgm:prSet presAssocID="{221AE215-35E2-420C-9499-BFF92E1AF8A7}" presName="rootConnector3" presStyleLbl="asst1" presStyleIdx="0" presStyleCnt="2"/>
      <dgm:spPr/>
      <dgm:t>
        <a:bodyPr/>
        <a:lstStyle/>
        <a:p>
          <a:endParaRPr lang="en-US"/>
        </a:p>
      </dgm:t>
    </dgm:pt>
    <dgm:pt modelId="{5BB17ECD-A922-4CF8-A5E7-FEE1B0E59325}" type="pres">
      <dgm:prSet presAssocID="{221AE215-35E2-420C-9499-BFF92E1AF8A7}" presName="hierChild6" presStyleCnt="0"/>
      <dgm:spPr/>
    </dgm:pt>
    <dgm:pt modelId="{B8E5B67A-6163-4393-8C3D-661380E708A8}" type="pres">
      <dgm:prSet presAssocID="{221AE215-35E2-420C-9499-BFF92E1AF8A7}" presName="hierChild7" presStyleCnt="0"/>
      <dgm:spPr/>
    </dgm:pt>
    <dgm:pt modelId="{2C39052E-FC56-4B59-AF4D-056658932B8A}" type="pres">
      <dgm:prSet presAssocID="{D0E7C260-DB50-4785-B54C-B657EBF7612D}" presName="Name111" presStyleLbl="parChTrans1D2" presStyleIdx="2" presStyleCnt="3"/>
      <dgm:spPr/>
      <dgm:t>
        <a:bodyPr/>
        <a:lstStyle/>
        <a:p>
          <a:endParaRPr lang="en-US"/>
        </a:p>
      </dgm:t>
    </dgm:pt>
    <dgm:pt modelId="{B29C5888-1306-45D5-BD39-D18AA0AA3481}" type="pres">
      <dgm:prSet presAssocID="{F0B93959-A2F7-47DE-847E-3B854C86BAFC}" presName="hierRoot3" presStyleCnt="0">
        <dgm:presLayoutVars>
          <dgm:hierBranch val="init"/>
        </dgm:presLayoutVars>
      </dgm:prSet>
      <dgm:spPr/>
    </dgm:pt>
    <dgm:pt modelId="{0A8482BF-3010-4456-B91A-C37535F54AD4}" type="pres">
      <dgm:prSet presAssocID="{F0B93959-A2F7-47DE-847E-3B854C86BAFC}" presName="rootComposite3" presStyleCnt="0"/>
      <dgm:spPr/>
    </dgm:pt>
    <dgm:pt modelId="{8EEA1C2D-E54A-4975-9FEE-A84C867BC907}" type="pres">
      <dgm:prSet presAssocID="{F0B93959-A2F7-47DE-847E-3B854C86BAFC}" presName="rootText3" presStyleLbl="asst1" presStyleIdx="1" presStyleCnt="2" custScaleY="113726" custLinFactNeighborX="1332" custLinFactNeighborY="2375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D5414D1-95DC-4DEA-BF9D-997D4FB791AB}" type="pres">
      <dgm:prSet presAssocID="{F0B93959-A2F7-47DE-847E-3B854C86BAFC}" presName="rootConnector3" presStyleLbl="asst1" presStyleIdx="1" presStyleCnt="2"/>
      <dgm:spPr/>
      <dgm:t>
        <a:bodyPr/>
        <a:lstStyle/>
        <a:p>
          <a:endParaRPr lang="en-US"/>
        </a:p>
      </dgm:t>
    </dgm:pt>
    <dgm:pt modelId="{D804CBCD-B370-4F3F-AF40-6895142C7FF9}" type="pres">
      <dgm:prSet presAssocID="{F0B93959-A2F7-47DE-847E-3B854C86BAFC}" presName="hierChild6" presStyleCnt="0"/>
      <dgm:spPr/>
    </dgm:pt>
    <dgm:pt modelId="{AEE1C2D0-DB08-413E-9FFE-F71C5B3ED0D9}" type="pres">
      <dgm:prSet presAssocID="{F0B93959-A2F7-47DE-847E-3B854C86BAFC}" presName="hierChild7" presStyleCnt="0"/>
      <dgm:spPr/>
    </dgm:pt>
  </dgm:ptLst>
  <dgm:cxnLst>
    <dgm:cxn modelId="{1661EE39-6050-4455-B049-B1C98A62BEE9}" type="presOf" srcId="{221AE215-35E2-420C-9499-BFF92E1AF8A7}" destId="{C8008DBB-71AA-425A-97D2-8DF9C0CB2675}" srcOrd="1" destOrd="0" presId="urn:microsoft.com/office/officeart/2005/8/layout/orgChart1"/>
    <dgm:cxn modelId="{D74BD174-F2B1-49B9-BA38-663E76D83541}" type="presOf" srcId="{221AE215-35E2-420C-9499-BFF92E1AF8A7}" destId="{2EA96A2A-6AA2-4A3F-A6F3-0C5A6E6046D4}" srcOrd="0" destOrd="0" presId="urn:microsoft.com/office/officeart/2005/8/layout/orgChart1"/>
    <dgm:cxn modelId="{77C805AB-3A41-41EF-A4D8-720D52F51721}" type="presOf" srcId="{B0396D4C-CA52-4A81-A467-7747F803DDE8}" destId="{1AD87443-799E-4DE0-8F4D-9308C6C5BF64}" srcOrd="0" destOrd="0" presId="urn:microsoft.com/office/officeart/2005/8/layout/orgChart1"/>
    <dgm:cxn modelId="{2544A2D1-8C26-48DA-AAD9-E02544B4B98B}" type="presOf" srcId="{0C7EC8B4-FFEF-4E32-9C08-BD8B488F4DBB}" destId="{185D3D72-52D0-4255-B9E2-83CD088C7DED}" srcOrd="0" destOrd="0" presId="urn:microsoft.com/office/officeart/2005/8/layout/orgChart1"/>
    <dgm:cxn modelId="{F9D6F252-6672-44FA-BE5E-A9D08DFD1413}" type="presOf" srcId="{4EDAA2DA-2DDB-4561-B9B5-4F52B23D85FA}" destId="{7568741C-D667-4AA0-92C9-B982D674A844}" srcOrd="0" destOrd="0" presId="urn:microsoft.com/office/officeart/2005/8/layout/orgChart1"/>
    <dgm:cxn modelId="{CFA9ACC8-7AA2-4C07-B79F-57654B9B278F}" srcId="{B0396D4C-CA52-4A81-A467-7747F803DDE8}" destId="{F0B93959-A2F7-47DE-847E-3B854C86BAFC}" srcOrd="2" destOrd="0" parTransId="{D0E7C260-DB50-4785-B54C-B657EBF7612D}" sibTransId="{A0A9E44A-2345-4115-AED0-40E3D5B187A1}"/>
    <dgm:cxn modelId="{00903008-B247-45D7-90C7-B4862A9534C6}" type="presOf" srcId="{0E72DC1D-0315-4553-8202-BFC76DE8DCA9}" destId="{B78AA51B-F500-42DA-8A32-8D5817EFC4EE}" srcOrd="0" destOrd="0" presId="urn:microsoft.com/office/officeart/2005/8/layout/orgChart1"/>
    <dgm:cxn modelId="{97185C0F-2705-4FF3-AE0C-28455ED0F26A}" srcId="{B0396D4C-CA52-4A81-A467-7747F803DDE8}" destId="{221AE215-35E2-420C-9499-BFF92E1AF8A7}" srcOrd="0" destOrd="0" parTransId="{4EDAA2DA-2DDB-4561-B9B5-4F52B23D85FA}" sibTransId="{4687FE39-C701-4C75-8E90-3FD96F121D87}"/>
    <dgm:cxn modelId="{41F5C4EC-BFF1-4955-A257-C0F22FC9FCEA}" type="presOf" srcId="{B0396D4C-CA52-4A81-A467-7747F803DDE8}" destId="{C1BDB7BA-5B38-4561-8B79-49EBFE5D27C5}" srcOrd="1" destOrd="0" presId="urn:microsoft.com/office/officeart/2005/8/layout/orgChart1"/>
    <dgm:cxn modelId="{7F24F22E-8D28-4FB0-962D-2D0D4B989F84}" srcId="{0E72DC1D-0315-4553-8202-BFC76DE8DCA9}" destId="{B0396D4C-CA52-4A81-A467-7747F803DDE8}" srcOrd="0" destOrd="0" parTransId="{37DA09DB-C7AD-41F1-BACC-F2B2EBAB99A4}" sibTransId="{A7A5DD45-FF97-4E3C-B2A8-D556F95A9E0E}"/>
    <dgm:cxn modelId="{7F37655F-7135-4CEF-8B40-173B584F3E4D}" type="presOf" srcId="{F0B93959-A2F7-47DE-847E-3B854C86BAFC}" destId="{5D5414D1-95DC-4DEA-BF9D-997D4FB791AB}" srcOrd="1" destOrd="0" presId="urn:microsoft.com/office/officeart/2005/8/layout/orgChart1"/>
    <dgm:cxn modelId="{AFE1CBA8-A90B-4346-9F9F-3388E69D848F}" type="presOf" srcId="{D0E7C260-DB50-4785-B54C-B657EBF7612D}" destId="{2C39052E-FC56-4B59-AF4D-056658932B8A}" srcOrd="0" destOrd="0" presId="urn:microsoft.com/office/officeart/2005/8/layout/orgChart1"/>
    <dgm:cxn modelId="{784384D8-FBE6-421F-B63D-6976D97978D7}" type="presOf" srcId="{802BD520-387C-429D-99A8-095C8BC827ED}" destId="{E884D45E-498F-43AC-9C8E-13769907977A}" srcOrd="0" destOrd="0" presId="urn:microsoft.com/office/officeart/2005/8/layout/orgChart1"/>
    <dgm:cxn modelId="{DE7AC476-FC8A-46AB-B21D-FBDD7C3E733C}" type="presOf" srcId="{F0B93959-A2F7-47DE-847E-3B854C86BAFC}" destId="{8EEA1C2D-E54A-4975-9FEE-A84C867BC907}" srcOrd="0" destOrd="0" presId="urn:microsoft.com/office/officeart/2005/8/layout/orgChart1"/>
    <dgm:cxn modelId="{2437C72D-7EE0-4C4F-8044-E6B9E1427A1F}" type="presOf" srcId="{802BD520-387C-429D-99A8-095C8BC827ED}" destId="{CF9D33EE-2C3A-46C8-8932-832D05E5FFD5}" srcOrd="1" destOrd="0" presId="urn:microsoft.com/office/officeart/2005/8/layout/orgChart1"/>
    <dgm:cxn modelId="{90F64FDD-2B72-40C6-91D2-12CB8C281678}" srcId="{B0396D4C-CA52-4A81-A467-7747F803DDE8}" destId="{802BD520-387C-429D-99A8-095C8BC827ED}" srcOrd="1" destOrd="0" parTransId="{0C7EC8B4-FFEF-4E32-9C08-BD8B488F4DBB}" sibTransId="{579D3816-FD80-44A6-84FF-083D69A614A5}"/>
    <dgm:cxn modelId="{D4AAAC94-6FD6-46FD-A8AC-84C74AB84729}" type="presParOf" srcId="{B78AA51B-F500-42DA-8A32-8D5817EFC4EE}" destId="{9ED32713-0219-4B69-B054-DED1F6CA1412}" srcOrd="0" destOrd="0" presId="urn:microsoft.com/office/officeart/2005/8/layout/orgChart1"/>
    <dgm:cxn modelId="{F054179F-8D70-45BD-880B-93162D026754}" type="presParOf" srcId="{9ED32713-0219-4B69-B054-DED1F6CA1412}" destId="{FFD72E37-DED0-4781-9401-E5B9EAC3BA79}" srcOrd="0" destOrd="0" presId="urn:microsoft.com/office/officeart/2005/8/layout/orgChart1"/>
    <dgm:cxn modelId="{F8950669-6C23-4D4D-84A9-D1ABD6A96660}" type="presParOf" srcId="{FFD72E37-DED0-4781-9401-E5B9EAC3BA79}" destId="{1AD87443-799E-4DE0-8F4D-9308C6C5BF64}" srcOrd="0" destOrd="0" presId="urn:microsoft.com/office/officeart/2005/8/layout/orgChart1"/>
    <dgm:cxn modelId="{8846ED2D-065F-49DE-A398-E8B780331C9B}" type="presParOf" srcId="{FFD72E37-DED0-4781-9401-E5B9EAC3BA79}" destId="{C1BDB7BA-5B38-4561-8B79-49EBFE5D27C5}" srcOrd="1" destOrd="0" presId="urn:microsoft.com/office/officeart/2005/8/layout/orgChart1"/>
    <dgm:cxn modelId="{8F3F58BE-1C64-43D9-A919-C9024844D56A}" type="presParOf" srcId="{9ED32713-0219-4B69-B054-DED1F6CA1412}" destId="{02C31E8F-1AD5-4E11-9E47-CD86620E48AB}" srcOrd="1" destOrd="0" presId="urn:microsoft.com/office/officeart/2005/8/layout/orgChart1"/>
    <dgm:cxn modelId="{A9A2EE90-4F88-4D45-934A-41BD331AF761}" type="presParOf" srcId="{02C31E8F-1AD5-4E11-9E47-CD86620E48AB}" destId="{185D3D72-52D0-4255-B9E2-83CD088C7DED}" srcOrd="0" destOrd="0" presId="urn:microsoft.com/office/officeart/2005/8/layout/orgChart1"/>
    <dgm:cxn modelId="{A86E55FE-D88F-4848-9E90-574E8825B7E6}" type="presParOf" srcId="{02C31E8F-1AD5-4E11-9E47-CD86620E48AB}" destId="{D7153EBD-8065-4081-824D-2ADF7147C2B5}" srcOrd="1" destOrd="0" presId="urn:microsoft.com/office/officeart/2005/8/layout/orgChart1"/>
    <dgm:cxn modelId="{D344CCD1-873E-4D33-B838-C4969E36A993}" type="presParOf" srcId="{D7153EBD-8065-4081-824D-2ADF7147C2B5}" destId="{5A1B0236-A3B1-43F8-A0B3-D1CE4B6BBC90}" srcOrd="0" destOrd="0" presId="urn:microsoft.com/office/officeart/2005/8/layout/orgChart1"/>
    <dgm:cxn modelId="{DFCFF19E-4773-443C-B8CE-7F049BB6E213}" type="presParOf" srcId="{5A1B0236-A3B1-43F8-A0B3-D1CE4B6BBC90}" destId="{E884D45E-498F-43AC-9C8E-13769907977A}" srcOrd="0" destOrd="0" presId="urn:microsoft.com/office/officeart/2005/8/layout/orgChart1"/>
    <dgm:cxn modelId="{2858E164-7560-4BF9-8F89-7638447D9ACD}" type="presParOf" srcId="{5A1B0236-A3B1-43F8-A0B3-D1CE4B6BBC90}" destId="{CF9D33EE-2C3A-46C8-8932-832D05E5FFD5}" srcOrd="1" destOrd="0" presId="urn:microsoft.com/office/officeart/2005/8/layout/orgChart1"/>
    <dgm:cxn modelId="{794A0DF8-15DE-437F-913E-F4F27D5BEEB1}" type="presParOf" srcId="{D7153EBD-8065-4081-824D-2ADF7147C2B5}" destId="{1CF68CA3-D2A8-421E-9A73-FDF3F3437C25}" srcOrd="1" destOrd="0" presId="urn:microsoft.com/office/officeart/2005/8/layout/orgChart1"/>
    <dgm:cxn modelId="{0F007337-D0B4-450E-BC9B-781011821B9B}" type="presParOf" srcId="{D7153EBD-8065-4081-824D-2ADF7147C2B5}" destId="{3F866AEF-ACF3-4011-AB24-857557992754}" srcOrd="2" destOrd="0" presId="urn:microsoft.com/office/officeart/2005/8/layout/orgChart1"/>
    <dgm:cxn modelId="{BE96540E-8C25-492A-8B22-387F2B15DE8D}" type="presParOf" srcId="{9ED32713-0219-4B69-B054-DED1F6CA1412}" destId="{2DE6F0FC-BD86-4433-8A67-D0CB24B42FD3}" srcOrd="2" destOrd="0" presId="urn:microsoft.com/office/officeart/2005/8/layout/orgChart1"/>
    <dgm:cxn modelId="{8FBBC9F8-0B3B-46A4-B851-297AE243F51C}" type="presParOf" srcId="{2DE6F0FC-BD86-4433-8A67-D0CB24B42FD3}" destId="{7568741C-D667-4AA0-92C9-B982D674A844}" srcOrd="0" destOrd="0" presId="urn:microsoft.com/office/officeart/2005/8/layout/orgChart1"/>
    <dgm:cxn modelId="{B8EBAA0E-B7E9-460B-B61B-1DF8841F8C52}" type="presParOf" srcId="{2DE6F0FC-BD86-4433-8A67-D0CB24B42FD3}" destId="{B4ED0B1B-3944-4524-B3CE-5F8661D835D4}" srcOrd="1" destOrd="0" presId="urn:microsoft.com/office/officeart/2005/8/layout/orgChart1"/>
    <dgm:cxn modelId="{C989C2FE-CEEF-4B34-9FCF-EC8B6BCD1371}" type="presParOf" srcId="{B4ED0B1B-3944-4524-B3CE-5F8661D835D4}" destId="{DEF9A225-8999-4D76-8ABF-3398A4BEAFEB}" srcOrd="0" destOrd="0" presId="urn:microsoft.com/office/officeart/2005/8/layout/orgChart1"/>
    <dgm:cxn modelId="{1A7DD126-2B14-408E-AC6E-21170D3D65AE}" type="presParOf" srcId="{DEF9A225-8999-4D76-8ABF-3398A4BEAFEB}" destId="{2EA96A2A-6AA2-4A3F-A6F3-0C5A6E6046D4}" srcOrd="0" destOrd="0" presId="urn:microsoft.com/office/officeart/2005/8/layout/orgChart1"/>
    <dgm:cxn modelId="{4221F545-F999-4B68-8C44-F4A8240A74DF}" type="presParOf" srcId="{DEF9A225-8999-4D76-8ABF-3398A4BEAFEB}" destId="{C8008DBB-71AA-425A-97D2-8DF9C0CB2675}" srcOrd="1" destOrd="0" presId="urn:microsoft.com/office/officeart/2005/8/layout/orgChart1"/>
    <dgm:cxn modelId="{1B595F89-46D2-459A-BE8C-AB73D2BE8D30}" type="presParOf" srcId="{B4ED0B1B-3944-4524-B3CE-5F8661D835D4}" destId="{5BB17ECD-A922-4CF8-A5E7-FEE1B0E59325}" srcOrd="1" destOrd="0" presId="urn:microsoft.com/office/officeart/2005/8/layout/orgChart1"/>
    <dgm:cxn modelId="{A3D530E3-3FC5-4970-B6B3-9CB9B0C63CF8}" type="presParOf" srcId="{B4ED0B1B-3944-4524-B3CE-5F8661D835D4}" destId="{B8E5B67A-6163-4393-8C3D-661380E708A8}" srcOrd="2" destOrd="0" presId="urn:microsoft.com/office/officeart/2005/8/layout/orgChart1"/>
    <dgm:cxn modelId="{C232EB2A-43B2-48F2-ADAA-89DAFE235614}" type="presParOf" srcId="{2DE6F0FC-BD86-4433-8A67-D0CB24B42FD3}" destId="{2C39052E-FC56-4B59-AF4D-056658932B8A}" srcOrd="2" destOrd="0" presId="urn:microsoft.com/office/officeart/2005/8/layout/orgChart1"/>
    <dgm:cxn modelId="{A0055FA9-2984-42EB-AF16-FDAD18A24C38}" type="presParOf" srcId="{2DE6F0FC-BD86-4433-8A67-D0CB24B42FD3}" destId="{B29C5888-1306-45D5-BD39-D18AA0AA3481}" srcOrd="3" destOrd="0" presId="urn:microsoft.com/office/officeart/2005/8/layout/orgChart1"/>
    <dgm:cxn modelId="{B05E00CB-A086-43A9-B5A2-C1DF0F00AB95}" type="presParOf" srcId="{B29C5888-1306-45D5-BD39-D18AA0AA3481}" destId="{0A8482BF-3010-4456-B91A-C37535F54AD4}" srcOrd="0" destOrd="0" presId="urn:microsoft.com/office/officeart/2005/8/layout/orgChart1"/>
    <dgm:cxn modelId="{C0325D08-E7DD-45BE-9E3E-05F5B2F9BE63}" type="presParOf" srcId="{0A8482BF-3010-4456-B91A-C37535F54AD4}" destId="{8EEA1C2D-E54A-4975-9FEE-A84C867BC907}" srcOrd="0" destOrd="0" presId="urn:microsoft.com/office/officeart/2005/8/layout/orgChart1"/>
    <dgm:cxn modelId="{46A96008-5A6A-4BF4-8B7C-B5EC644A5F61}" type="presParOf" srcId="{0A8482BF-3010-4456-B91A-C37535F54AD4}" destId="{5D5414D1-95DC-4DEA-BF9D-997D4FB791AB}" srcOrd="1" destOrd="0" presId="urn:microsoft.com/office/officeart/2005/8/layout/orgChart1"/>
    <dgm:cxn modelId="{FBC1E9F9-EF22-4CD0-B14B-AE00BA4F08B7}" type="presParOf" srcId="{B29C5888-1306-45D5-BD39-D18AA0AA3481}" destId="{D804CBCD-B370-4F3F-AF40-6895142C7FF9}" srcOrd="1" destOrd="0" presId="urn:microsoft.com/office/officeart/2005/8/layout/orgChart1"/>
    <dgm:cxn modelId="{BDE47966-F3E1-4536-9CAA-7E37247F9D7C}" type="presParOf" srcId="{B29C5888-1306-45D5-BD39-D18AA0AA3481}" destId="{AEE1C2D0-DB08-413E-9FFE-F71C5B3ED0D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39052E-FC56-4B59-AF4D-056658932B8A}">
      <dsp:nvSpPr>
        <dsp:cNvPr id="0" name=""/>
        <dsp:cNvSpPr/>
      </dsp:nvSpPr>
      <dsp:spPr>
        <a:xfrm>
          <a:off x="2605120" y="1331676"/>
          <a:ext cx="261332" cy="1108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536"/>
              </a:lnTo>
              <a:lnTo>
                <a:pt x="261332" y="1241536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68741C-D667-4AA0-92C9-B982D674A844}">
      <dsp:nvSpPr>
        <dsp:cNvPr id="0" name=""/>
        <dsp:cNvSpPr/>
      </dsp:nvSpPr>
      <dsp:spPr>
        <a:xfrm>
          <a:off x="2302355" y="1331676"/>
          <a:ext cx="302765" cy="852750"/>
        </a:xfrm>
        <a:custGeom>
          <a:avLst/>
          <a:gdLst/>
          <a:ahLst/>
          <a:cxnLst/>
          <a:rect l="0" t="0" r="0" b="0"/>
          <a:pathLst>
            <a:path>
              <a:moveTo>
                <a:pt x="302765" y="0"/>
              </a:moveTo>
              <a:lnTo>
                <a:pt x="302765" y="852750"/>
              </a:lnTo>
              <a:lnTo>
                <a:pt x="0" y="852750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D3D72-52D0-4255-B9E2-83CD088C7DED}">
      <dsp:nvSpPr>
        <dsp:cNvPr id="0" name=""/>
        <dsp:cNvSpPr/>
      </dsp:nvSpPr>
      <dsp:spPr>
        <a:xfrm>
          <a:off x="2559400" y="1331676"/>
          <a:ext cx="91440" cy="18897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85472"/>
              </a:lnTo>
              <a:lnTo>
                <a:pt x="131958" y="1685472"/>
              </a:lnTo>
              <a:lnTo>
                <a:pt x="131958" y="1888957"/>
              </a:lnTo>
            </a:path>
          </a:pathLst>
        </a:custGeom>
        <a:noFill/>
        <a:ln w="12700" cap="flat" cmpd="sng" algn="ctr">
          <a:solidFill>
            <a:srgbClr val="5B9BD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D87443-799E-4DE0-8F4D-9308C6C5BF64}">
      <dsp:nvSpPr>
        <dsp:cNvPr id="0" name=""/>
        <dsp:cNvSpPr/>
      </dsp:nvSpPr>
      <dsp:spPr>
        <a:xfrm>
          <a:off x="1636146" y="82126"/>
          <a:ext cx="1937948" cy="1249550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Trīs jūru iniciatīvas nacionālais koordinators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ārlietu ministrs</a:t>
          </a:r>
          <a:endParaRPr lang="en-US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697144" y="143124"/>
        <a:ext cx="1815952" cy="1127554"/>
      </dsp:txXfrm>
    </dsp:sp>
    <dsp:sp modelId="{E884D45E-498F-43AC-9C8E-13769907977A}">
      <dsp:nvSpPr>
        <dsp:cNvPr id="0" name=""/>
        <dsp:cNvSpPr/>
      </dsp:nvSpPr>
      <dsp:spPr>
        <a:xfrm>
          <a:off x="708828" y="3221433"/>
          <a:ext cx="3884675" cy="1617266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Darba grupa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Valsts prezidenta kancelejas; Ministru prezidenta biroja; Aizsardzības ministrijas; Ārlietu ministrijas; Ekonomikas ministrijas; Finanšu ministrijas; Satiksmes ministrijas; Vides aizsardzības un reģionālās attīstības ministrijas; A/S "Attītstības finanšu institūcijas ALTUM"; Latvijas Brīvo arodbiedrību savienības (LBAS); Latvijas Investīciju un attīstības aģentūras (LIAA); Latvijas Tirdzniecības un rūpniecības kameras (LTRK) pārstāvji.</a:t>
          </a:r>
        </a:p>
      </dsp:txBody>
      <dsp:txXfrm>
        <a:off x="787776" y="3300381"/>
        <a:ext cx="3726779" cy="1459370"/>
      </dsp:txXfrm>
    </dsp:sp>
    <dsp:sp modelId="{2EA96A2A-6AA2-4A3F-A6F3-0C5A6E6046D4}">
      <dsp:nvSpPr>
        <dsp:cNvPr id="0" name=""/>
        <dsp:cNvSpPr/>
      </dsp:nvSpPr>
      <dsp:spPr>
        <a:xfrm>
          <a:off x="364406" y="1607494"/>
          <a:ext cx="1937948" cy="1153864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Darba grupas vadītājs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Ārlietu ministrijas valsts sekretārs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(TJI politiskā dimensija)</a:t>
          </a:r>
          <a:endParaRPr lang="en-US" sz="120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20733" y="1663821"/>
        <a:ext cx="1825294" cy="1041210"/>
      </dsp:txXfrm>
    </dsp:sp>
    <dsp:sp modelId="{8EEA1C2D-E54A-4975-9FEE-A84C867BC907}">
      <dsp:nvSpPr>
        <dsp:cNvPr id="0" name=""/>
        <dsp:cNvSpPr/>
      </dsp:nvSpPr>
      <dsp:spPr>
        <a:xfrm>
          <a:off x="2866453" y="1888700"/>
          <a:ext cx="1937948" cy="1101975"/>
        </a:xfrm>
        <a:prstGeom prst="round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Darba grupas vietnieks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Ekonomikas ministrijas valsts sekretārs /cits Ekonomikas minisrijas pārstāvis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(TJI ekonomiskā dimensija)</a:t>
          </a:r>
        </a:p>
      </dsp:txBody>
      <dsp:txXfrm>
        <a:off x="2920247" y="1942494"/>
        <a:ext cx="1830360" cy="9943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2916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Karklina-Lurope</dc:creator>
  <cp:keywords/>
  <dc:description/>
  <cp:lastModifiedBy>Anete Karklina-Lurope</cp:lastModifiedBy>
  <cp:revision>9</cp:revision>
  <cp:lastPrinted>2020-07-21T11:34:00Z</cp:lastPrinted>
  <dcterms:created xsi:type="dcterms:W3CDTF">2020-07-06T12:41:00Z</dcterms:created>
  <dcterms:modified xsi:type="dcterms:W3CDTF">2020-07-21T11:50:00Z</dcterms:modified>
</cp:coreProperties>
</file>