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20185" w14:textId="77777777" w:rsidR="008F1C84" w:rsidRPr="00C04ED5" w:rsidRDefault="008F1C84" w:rsidP="007A479E">
      <w:pPr>
        <w:pStyle w:val="naisnod"/>
        <w:spacing w:before="0" w:after="0"/>
        <w:ind w:firstLine="720"/>
        <w:rPr>
          <w:sz w:val="26"/>
          <w:szCs w:val="26"/>
        </w:rPr>
      </w:pPr>
      <w:r w:rsidRPr="00C04ED5">
        <w:rPr>
          <w:sz w:val="26"/>
          <w:szCs w:val="26"/>
        </w:rPr>
        <w:t>Izziņa par atzinumos sniegtajiem iebildumiem</w:t>
      </w:r>
    </w:p>
    <w:p w14:paraId="12510790" w14:textId="078ACA83" w:rsidR="008F1C84" w:rsidRPr="00C04ED5" w:rsidRDefault="0030604D" w:rsidP="007A479E">
      <w:pPr>
        <w:pStyle w:val="naisf"/>
        <w:spacing w:before="0" w:after="0"/>
        <w:ind w:firstLine="0"/>
        <w:jc w:val="center"/>
        <w:rPr>
          <w:b/>
          <w:bCs/>
          <w:sz w:val="26"/>
          <w:szCs w:val="26"/>
        </w:rPr>
      </w:pPr>
      <w:r w:rsidRPr="00C04ED5">
        <w:rPr>
          <w:b/>
          <w:sz w:val="26"/>
          <w:szCs w:val="26"/>
        </w:rPr>
        <w:t xml:space="preserve">Informatīvajam </w:t>
      </w:r>
      <w:r w:rsidRPr="00C04ED5">
        <w:rPr>
          <w:b/>
          <w:bCs/>
          <w:sz w:val="26"/>
          <w:szCs w:val="26"/>
        </w:rPr>
        <w:t>ziņojumam</w:t>
      </w:r>
      <w:r w:rsidR="008F1C84" w:rsidRPr="00C04ED5">
        <w:rPr>
          <w:b/>
          <w:bCs/>
          <w:sz w:val="26"/>
          <w:szCs w:val="26"/>
        </w:rPr>
        <w:t xml:space="preserve"> „</w:t>
      </w:r>
      <w:r w:rsidR="00333C84" w:rsidRPr="00333C84">
        <w:rPr>
          <w:b/>
          <w:bCs/>
          <w:sz w:val="26"/>
          <w:szCs w:val="26"/>
        </w:rPr>
        <w:t>Par Konkurences padomes finansiālās kapacitātes stiprināšanu</w:t>
      </w:r>
      <w:r w:rsidR="008F1C84" w:rsidRPr="00C04ED5">
        <w:rPr>
          <w:b/>
          <w:bCs/>
          <w:sz w:val="26"/>
          <w:szCs w:val="26"/>
        </w:rPr>
        <w:t>”</w:t>
      </w:r>
    </w:p>
    <w:p w14:paraId="499BEB4A" w14:textId="77777777" w:rsidR="008F1C84" w:rsidRPr="00387DD8" w:rsidRDefault="008F1C84" w:rsidP="007A479E">
      <w:pPr>
        <w:pStyle w:val="naislab"/>
        <w:spacing w:before="0" w:after="0"/>
        <w:jc w:val="both"/>
      </w:pPr>
    </w:p>
    <w:p w14:paraId="1485A6AA" w14:textId="77777777" w:rsidR="00B86F65" w:rsidRDefault="00B86F65" w:rsidP="007A479E">
      <w:pPr>
        <w:spacing w:after="0" w:line="240" w:lineRule="auto"/>
        <w:jc w:val="both"/>
        <w:rPr>
          <w:rFonts w:ascii="Times New Roman" w:hAnsi="Times New Roman" w:cs="Times New Roman"/>
          <w:b/>
          <w:sz w:val="24"/>
          <w:szCs w:val="24"/>
        </w:rPr>
      </w:pPr>
    </w:p>
    <w:p w14:paraId="665790E3" w14:textId="77777777" w:rsidR="008F1C84" w:rsidRPr="00387DD8" w:rsidRDefault="008F1C84" w:rsidP="007A479E">
      <w:pPr>
        <w:spacing w:after="0" w:line="240" w:lineRule="auto"/>
        <w:jc w:val="both"/>
        <w:rPr>
          <w:rFonts w:ascii="Times New Roman" w:hAnsi="Times New Roman" w:cs="Times New Roman"/>
          <w:b/>
          <w:sz w:val="24"/>
          <w:szCs w:val="24"/>
        </w:rPr>
      </w:pPr>
      <w:r w:rsidRPr="00387DD8">
        <w:rPr>
          <w:rFonts w:ascii="Times New Roman" w:hAnsi="Times New Roman" w:cs="Times New Roman"/>
          <w:b/>
          <w:sz w:val="24"/>
          <w:szCs w:val="24"/>
        </w:rPr>
        <w:t xml:space="preserve">Informācija par </w:t>
      </w:r>
      <w:proofErr w:type="spellStart"/>
      <w:r w:rsidRPr="00387DD8">
        <w:rPr>
          <w:rFonts w:ascii="Times New Roman" w:hAnsi="Times New Roman" w:cs="Times New Roman"/>
          <w:b/>
          <w:sz w:val="24"/>
          <w:szCs w:val="24"/>
        </w:rPr>
        <w:t>starpministriju</w:t>
      </w:r>
      <w:proofErr w:type="spellEnd"/>
      <w:r w:rsidRPr="00387DD8">
        <w:rPr>
          <w:rFonts w:ascii="Times New Roman" w:hAnsi="Times New Roman" w:cs="Times New Roman"/>
          <w:b/>
          <w:sz w:val="24"/>
          <w:szCs w:val="24"/>
        </w:rPr>
        <w:t xml:space="preserve"> (starpinstitūciju) sanāksmi vai elektronisko saskaņošanu</w:t>
      </w:r>
    </w:p>
    <w:p w14:paraId="485E3918" w14:textId="77777777" w:rsidR="008F1C84" w:rsidRPr="00387DD8" w:rsidRDefault="008F1C84" w:rsidP="007A479E">
      <w:pPr>
        <w:pStyle w:val="naisf"/>
        <w:spacing w:before="0" w:after="0"/>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9464"/>
      </w:tblGrid>
      <w:tr w:rsidR="00EC5A31" w:rsidRPr="00387DD8" w14:paraId="01683053" w14:textId="77777777" w:rsidTr="00654106">
        <w:tc>
          <w:tcPr>
            <w:tcW w:w="4529" w:type="dxa"/>
          </w:tcPr>
          <w:p w14:paraId="61C12562" w14:textId="77777777" w:rsidR="008F1C84" w:rsidRPr="00387DD8" w:rsidRDefault="008F1C84" w:rsidP="007A479E">
            <w:pPr>
              <w:pStyle w:val="naisf"/>
              <w:spacing w:before="0" w:after="0"/>
              <w:ind w:firstLine="0"/>
              <w:rPr>
                <w:b/>
              </w:rPr>
            </w:pPr>
            <w:r w:rsidRPr="00387DD8">
              <w:t>Datums:</w:t>
            </w:r>
          </w:p>
        </w:tc>
        <w:tc>
          <w:tcPr>
            <w:tcW w:w="9464" w:type="dxa"/>
          </w:tcPr>
          <w:p w14:paraId="49C40E5F" w14:textId="0E6A33F4" w:rsidR="008F1C84" w:rsidRPr="00387DD8" w:rsidRDefault="00333C84" w:rsidP="007A479E">
            <w:pPr>
              <w:pStyle w:val="naisf"/>
              <w:spacing w:before="0" w:after="0"/>
              <w:ind w:firstLine="0"/>
            </w:pPr>
            <w:r>
              <w:t>Nosūtīts saskaņošanai 07.07.2020. un 21.07.2020.</w:t>
            </w:r>
          </w:p>
        </w:tc>
      </w:tr>
      <w:tr w:rsidR="00EC5A31" w:rsidRPr="00387DD8" w14:paraId="327D1772" w14:textId="77777777" w:rsidTr="00654106">
        <w:tc>
          <w:tcPr>
            <w:tcW w:w="4529" w:type="dxa"/>
          </w:tcPr>
          <w:p w14:paraId="397E8CE1" w14:textId="77777777" w:rsidR="008F1C84" w:rsidRPr="00387DD8" w:rsidRDefault="008F1C84" w:rsidP="007A479E">
            <w:pPr>
              <w:pStyle w:val="naisf"/>
              <w:spacing w:before="0" w:after="0"/>
              <w:ind w:firstLine="0"/>
              <w:rPr>
                <w:b/>
              </w:rPr>
            </w:pPr>
            <w:r w:rsidRPr="00387DD8">
              <w:t>Saskaņošanas dalībnieki:</w:t>
            </w:r>
          </w:p>
        </w:tc>
        <w:tc>
          <w:tcPr>
            <w:tcW w:w="9464" w:type="dxa"/>
          </w:tcPr>
          <w:p w14:paraId="276395F8" w14:textId="0D404E18" w:rsidR="00B428F5" w:rsidRPr="00387DD8" w:rsidRDefault="00333C84" w:rsidP="00B428F5">
            <w:pPr>
              <w:pStyle w:val="naisf"/>
              <w:spacing w:before="0" w:after="0"/>
              <w:ind w:right="-2" w:firstLine="0"/>
            </w:pPr>
            <w:r>
              <w:t>Finanšu ministrija, Tieslietu ministrija</w:t>
            </w:r>
          </w:p>
        </w:tc>
      </w:tr>
      <w:tr w:rsidR="00654106" w:rsidRPr="00387DD8" w14:paraId="487BD80E" w14:textId="77777777" w:rsidTr="00654106">
        <w:tc>
          <w:tcPr>
            <w:tcW w:w="4529" w:type="dxa"/>
          </w:tcPr>
          <w:p w14:paraId="1F7010B7" w14:textId="58F9616E" w:rsidR="00654106" w:rsidRPr="00387DD8" w:rsidRDefault="00654106" w:rsidP="007A479E">
            <w:pPr>
              <w:pStyle w:val="naisf"/>
              <w:spacing w:before="0" w:after="0"/>
              <w:ind w:firstLine="0"/>
            </w:pPr>
            <w:r w:rsidRPr="00387DD8">
              <w:t>Saskaņošanas dalībnieki izskatīja šādu ministriju (citu institūciju) iebildumus:</w:t>
            </w:r>
          </w:p>
        </w:tc>
        <w:tc>
          <w:tcPr>
            <w:tcW w:w="9464" w:type="dxa"/>
            <w:tcBorders>
              <w:bottom w:val="single" w:sz="4" w:space="0" w:color="auto"/>
            </w:tcBorders>
          </w:tcPr>
          <w:p w14:paraId="293DF20E" w14:textId="1A4E045A" w:rsidR="00654106" w:rsidRPr="00387DD8" w:rsidRDefault="00654106" w:rsidP="007A479E">
            <w:pPr>
              <w:pStyle w:val="naisf"/>
              <w:spacing w:before="0" w:after="0"/>
              <w:ind w:right="854" w:firstLine="0"/>
            </w:pPr>
          </w:p>
        </w:tc>
      </w:tr>
      <w:tr w:rsidR="003D33EA" w:rsidRPr="00387DD8" w14:paraId="5DC42D6D" w14:textId="77777777" w:rsidTr="00654106">
        <w:tc>
          <w:tcPr>
            <w:tcW w:w="4529" w:type="dxa"/>
          </w:tcPr>
          <w:p w14:paraId="5B3A12AB" w14:textId="77777777" w:rsidR="008F1C84" w:rsidRPr="00387DD8" w:rsidRDefault="008F1C84" w:rsidP="007A479E">
            <w:pPr>
              <w:pStyle w:val="naisf"/>
              <w:spacing w:before="0" w:after="0"/>
              <w:ind w:firstLine="0"/>
            </w:pPr>
            <w:r w:rsidRPr="00387DD8">
              <w:t>Ministrijas (citas institūcijas), kuras nav ieradušās uz sanāksmi vai kuras nav atbildējušas uz uzaicinājumu piedalīties elektroniskajā saskaņošanā:</w:t>
            </w:r>
          </w:p>
        </w:tc>
        <w:tc>
          <w:tcPr>
            <w:tcW w:w="9464" w:type="dxa"/>
          </w:tcPr>
          <w:p w14:paraId="1BC488E3" w14:textId="6F7A184A" w:rsidR="008F1C84" w:rsidRPr="00387DD8" w:rsidRDefault="008F1C84" w:rsidP="00986CAC">
            <w:pPr>
              <w:spacing w:after="0" w:line="240" w:lineRule="auto"/>
              <w:rPr>
                <w:rFonts w:ascii="Times New Roman" w:hAnsi="Times New Roman" w:cs="Times New Roman"/>
                <w:bCs/>
                <w:sz w:val="24"/>
                <w:szCs w:val="24"/>
              </w:rPr>
            </w:pPr>
          </w:p>
        </w:tc>
      </w:tr>
    </w:tbl>
    <w:p w14:paraId="4A0F9AF2" w14:textId="77777777" w:rsidR="00BB7E3C" w:rsidRDefault="00BB7E3C" w:rsidP="007A479E">
      <w:pPr>
        <w:pStyle w:val="naisf"/>
        <w:spacing w:before="0" w:after="0"/>
        <w:ind w:firstLine="0"/>
        <w:rPr>
          <w:b/>
        </w:rPr>
      </w:pPr>
    </w:p>
    <w:p w14:paraId="189CF558" w14:textId="77777777" w:rsidR="00C04ED5" w:rsidRDefault="00C04ED5">
      <w:pPr>
        <w:rPr>
          <w:rFonts w:ascii="Times New Roman" w:eastAsia="Times New Roman" w:hAnsi="Times New Roman" w:cs="Times New Roman"/>
          <w:sz w:val="24"/>
          <w:szCs w:val="24"/>
          <w:lang w:eastAsia="lv-LV"/>
        </w:rPr>
      </w:pPr>
    </w:p>
    <w:p w14:paraId="5CBA1295" w14:textId="77777777" w:rsidR="008F1C84" w:rsidRPr="00387DD8" w:rsidRDefault="008F1C84" w:rsidP="007A479E">
      <w:pPr>
        <w:pStyle w:val="naisf"/>
        <w:spacing w:before="0" w:after="0"/>
        <w:ind w:firstLine="0"/>
        <w:jc w:val="center"/>
        <w:rPr>
          <w:b/>
        </w:rPr>
      </w:pPr>
      <w:bookmarkStart w:id="0" w:name="_GoBack"/>
      <w:bookmarkEnd w:id="0"/>
      <w:r w:rsidRPr="00387DD8">
        <w:rPr>
          <w:b/>
        </w:rPr>
        <w:t>II. Jautājumi, par kuriem saskaņošanā vienošanās ir panākta</w:t>
      </w:r>
    </w:p>
    <w:p w14:paraId="6967C156" w14:textId="77777777" w:rsidR="008F1C84" w:rsidRPr="00387DD8" w:rsidRDefault="008F1C84" w:rsidP="007A479E">
      <w:pPr>
        <w:pStyle w:val="naisf"/>
        <w:spacing w:before="0" w:after="0"/>
        <w:ind w:firstLine="0"/>
      </w:pPr>
    </w:p>
    <w:tbl>
      <w:tblPr>
        <w:tblW w:w="15485"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2684"/>
        <w:gridCol w:w="461"/>
        <w:gridCol w:w="5077"/>
        <w:gridCol w:w="816"/>
        <w:gridCol w:w="2470"/>
        <w:gridCol w:w="3235"/>
      </w:tblGrid>
      <w:tr w:rsidR="00EC5A31" w:rsidRPr="00387DD8" w14:paraId="5C098F0C" w14:textId="77777777" w:rsidTr="00770204">
        <w:tc>
          <w:tcPr>
            <w:tcW w:w="742" w:type="dxa"/>
            <w:tcBorders>
              <w:top w:val="single" w:sz="6" w:space="0" w:color="000000"/>
              <w:left w:val="single" w:sz="6" w:space="0" w:color="000000"/>
              <w:bottom w:val="single" w:sz="6" w:space="0" w:color="000000"/>
              <w:right w:val="single" w:sz="6" w:space="0" w:color="000000"/>
            </w:tcBorders>
            <w:vAlign w:val="center"/>
          </w:tcPr>
          <w:p w14:paraId="4C70DD9A" w14:textId="77777777" w:rsidR="008F1C84" w:rsidRPr="00387DD8" w:rsidRDefault="008F1C84" w:rsidP="007A479E">
            <w:pPr>
              <w:pStyle w:val="naisc"/>
              <w:spacing w:before="0" w:after="0"/>
              <w:jc w:val="both"/>
            </w:pPr>
            <w:r w:rsidRPr="00387DD8">
              <w:t>Nr. p. k.</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20F2433A" w14:textId="77777777" w:rsidR="008F1C84" w:rsidRPr="00387DD8" w:rsidRDefault="008F1C84" w:rsidP="007A479E">
            <w:pPr>
              <w:pStyle w:val="naisc"/>
              <w:spacing w:before="0" w:after="0"/>
              <w:ind w:firstLine="12"/>
              <w:jc w:val="both"/>
            </w:pPr>
            <w:r w:rsidRPr="00387DD8">
              <w:t>Saskaņošanai nosūtītā projekta redakcija (konkrēta punkta (panta) redakcija)</w:t>
            </w:r>
          </w:p>
        </w:tc>
        <w:tc>
          <w:tcPr>
            <w:tcW w:w="5077" w:type="dxa"/>
            <w:tcBorders>
              <w:top w:val="single" w:sz="6" w:space="0" w:color="000000"/>
              <w:left w:val="single" w:sz="6" w:space="0" w:color="000000"/>
              <w:bottom w:val="single" w:sz="6" w:space="0" w:color="000000"/>
              <w:right w:val="single" w:sz="6" w:space="0" w:color="000000"/>
            </w:tcBorders>
            <w:vAlign w:val="center"/>
          </w:tcPr>
          <w:p w14:paraId="0909B93A" w14:textId="77777777" w:rsidR="008F1C84" w:rsidRPr="00387DD8" w:rsidRDefault="008F1C84" w:rsidP="007A479E">
            <w:pPr>
              <w:pStyle w:val="naisc"/>
              <w:spacing w:before="0" w:after="0"/>
              <w:ind w:right="3"/>
              <w:jc w:val="both"/>
            </w:pPr>
            <w:r w:rsidRPr="00387DD8">
              <w:t>Atzinumā norādītais ministrijas (citas institūcijas) iebildums, kā arī saskaņošanā papildus izteiktais iebildums par projekta konkrēto punktu (pantu)</w:t>
            </w:r>
          </w:p>
        </w:tc>
        <w:tc>
          <w:tcPr>
            <w:tcW w:w="3286" w:type="dxa"/>
            <w:gridSpan w:val="2"/>
            <w:tcBorders>
              <w:top w:val="single" w:sz="6" w:space="0" w:color="000000"/>
              <w:left w:val="single" w:sz="6" w:space="0" w:color="000000"/>
              <w:bottom w:val="single" w:sz="6" w:space="0" w:color="000000"/>
              <w:right w:val="single" w:sz="6" w:space="0" w:color="000000"/>
            </w:tcBorders>
            <w:vAlign w:val="center"/>
          </w:tcPr>
          <w:p w14:paraId="55139F8A" w14:textId="77777777" w:rsidR="008F1C84" w:rsidRPr="00387DD8" w:rsidRDefault="008F1C84" w:rsidP="007A479E">
            <w:pPr>
              <w:pStyle w:val="naisc"/>
              <w:spacing w:before="0" w:after="0"/>
              <w:ind w:firstLine="21"/>
              <w:jc w:val="both"/>
            </w:pPr>
            <w:r w:rsidRPr="00387DD8">
              <w:t>Atbildīgās ministrijas norāde par to, ka iebildums ir ņemts vērā, vai informācija par saskaņošanā panākto alternatīvo risinājumu</w:t>
            </w:r>
          </w:p>
        </w:tc>
        <w:tc>
          <w:tcPr>
            <w:tcW w:w="3235" w:type="dxa"/>
            <w:tcBorders>
              <w:top w:val="single" w:sz="4" w:space="0" w:color="auto"/>
              <w:left w:val="single" w:sz="4" w:space="0" w:color="auto"/>
              <w:bottom w:val="single" w:sz="4" w:space="0" w:color="auto"/>
            </w:tcBorders>
            <w:vAlign w:val="center"/>
          </w:tcPr>
          <w:p w14:paraId="6CDC572F"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Projekta attiecīgā punkta (panta) galīgā redakcija</w:t>
            </w:r>
          </w:p>
        </w:tc>
      </w:tr>
      <w:tr w:rsidR="00EC5A31" w:rsidRPr="00387DD8" w14:paraId="340C47F2" w14:textId="77777777" w:rsidTr="00770204">
        <w:tc>
          <w:tcPr>
            <w:tcW w:w="742" w:type="dxa"/>
            <w:tcBorders>
              <w:top w:val="single" w:sz="6" w:space="0" w:color="000000"/>
              <w:left w:val="single" w:sz="6" w:space="0" w:color="000000"/>
              <w:bottom w:val="single" w:sz="6" w:space="0" w:color="000000"/>
              <w:right w:val="single" w:sz="6" w:space="0" w:color="000000"/>
            </w:tcBorders>
          </w:tcPr>
          <w:p w14:paraId="75C1ABA1" w14:textId="77777777" w:rsidR="008F1C84" w:rsidRPr="00387DD8" w:rsidRDefault="008F1C84" w:rsidP="007A479E">
            <w:pPr>
              <w:pStyle w:val="naisc"/>
              <w:spacing w:before="0" w:after="0"/>
              <w:jc w:val="both"/>
            </w:pPr>
            <w:r w:rsidRPr="00387DD8">
              <w:t>1</w:t>
            </w:r>
          </w:p>
        </w:tc>
        <w:tc>
          <w:tcPr>
            <w:tcW w:w="3145" w:type="dxa"/>
            <w:gridSpan w:val="2"/>
            <w:tcBorders>
              <w:top w:val="single" w:sz="6" w:space="0" w:color="000000"/>
              <w:left w:val="single" w:sz="6" w:space="0" w:color="000000"/>
              <w:bottom w:val="single" w:sz="6" w:space="0" w:color="000000"/>
              <w:right w:val="single" w:sz="6" w:space="0" w:color="000000"/>
            </w:tcBorders>
          </w:tcPr>
          <w:p w14:paraId="21E22B63" w14:textId="77777777" w:rsidR="008F1C84" w:rsidRPr="00387DD8" w:rsidRDefault="008F1C84" w:rsidP="007A479E">
            <w:pPr>
              <w:pStyle w:val="naisc"/>
              <w:spacing w:before="0" w:after="0"/>
              <w:ind w:firstLine="720"/>
              <w:jc w:val="both"/>
            </w:pPr>
            <w:r w:rsidRPr="00387DD8">
              <w:t>2</w:t>
            </w:r>
          </w:p>
        </w:tc>
        <w:tc>
          <w:tcPr>
            <w:tcW w:w="5077" w:type="dxa"/>
            <w:tcBorders>
              <w:top w:val="single" w:sz="6" w:space="0" w:color="000000"/>
              <w:left w:val="single" w:sz="6" w:space="0" w:color="000000"/>
              <w:bottom w:val="single" w:sz="6" w:space="0" w:color="000000"/>
              <w:right w:val="single" w:sz="6" w:space="0" w:color="000000"/>
            </w:tcBorders>
          </w:tcPr>
          <w:p w14:paraId="7CA73E04" w14:textId="77777777" w:rsidR="008F1C84" w:rsidRPr="00387DD8" w:rsidRDefault="008F1C84" w:rsidP="007A479E">
            <w:pPr>
              <w:pStyle w:val="naisc"/>
              <w:spacing w:before="0" w:after="0"/>
              <w:ind w:firstLine="720"/>
              <w:jc w:val="both"/>
            </w:pPr>
            <w:r w:rsidRPr="00387DD8">
              <w:t>3</w:t>
            </w:r>
          </w:p>
        </w:tc>
        <w:tc>
          <w:tcPr>
            <w:tcW w:w="3286" w:type="dxa"/>
            <w:gridSpan w:val="2"/>
            <w:tcBorders>
              <w:top w:val="single" w:sz="6" w:space="0" w:color="000000"/>
              <w:left w:val="single" w:sz="6" w:space="0" w:color="000000"/>
              <w:bottom w:val="single" w:sz="6" w:space="0" w:color="000000"/>
              <w:right w:val="single" w:sz="6" w:space="0" w:color="000000"/>
            </w:tcBorders>
          </w:tcPr>
          <w:p w14:paraId="3703237A" w14:textId="77777777" w:rsidR="008F1C84" w:rsidRPr="00387DD8" w:rsidRDefault="008F1C84" w:rsidP="007A479E">
            <w:pPr>
              <w:pStyle w:val="naisc"/>
              <w:spacing w:before="0" w:after="0"/>
              <w:ind w:firstLine="720"/>
              <w:jc w:val="both"/>
            </w:pPr>
            <w:r w:rsidRPr="00387DD8">
              <w:t>4</w:t>
            </w:r>
          </w:p>
        </w:tc>
        <w:tc>
          <w:tcPr>
            <w:tcW w:w="3235" w:type="dxa"/>
            <w:tcBorders>
              <w:top w:val="single" w:sz="4" w:space="0" w:color="auto"/>
              <w:left w:val="single" w:sz="4" w:space="0" w:color="auto"/>
              <w:bottom w:val="single" w:sz="4" w:space="0" w:color="auto"/>
            </w:tcBorders>
          </w:tcPr>
          <w:p w14:paraId="0E74DB43" w14:textId="77777777" w:rsidR="008F1C84" w:rsidRPr="00387DD8" w:rsidRDefault="008F1C84" w:rsidP="007A479E">
            <w:pPr>
              <w:spacing w:after="0" w:line="240" w:lineRule="auto"/>
              <w:jc w:val="both"/>
              <w:rPr>
                <w:rFonts w:ascii="Times New Roman" w:hAnsi="Times New Roman" w:cs="Times New Roman"/>
                <w:sz w:val="24"/>
                <w:szCs w:val="24"/>
              </w:rPr>
            </w:pPr>
            <w:r w:rsidRPr="00387DD8">
              <w:rPr>
                <w:rFonts w:ascii="Times New Roman" w:hAnsi="Times New Roman" w:cs="Times New Roman"/>
                <w:sz w:val="24"/>
                <w:szCs w:val="24"/>
              </w:rPr>
              <w:t>5</w:t>
            </w:r>
          </w:p>
        </w:tc>
      </w:tr>
      <w:tr w:rsidR="005F2378" w:rsidRPr="00387DD8" w14:paraId="178B3A77" w14:textId="77777777" w:rsidTr="00770204">
        <w:tc>
          <w:tcPr>
            <w:tcW w:w="742" w:type="dxa"/>
            <w:tcBorders>
              <w:top w:val="single" w:sz="4" w:space="0" w:color="auto"/>
              <w:left w:val="single" w:sz="4" w:space="0" w:color="auto"/>
              <w:bottom w:val="single" w:sz="4" w:space="0" w:color="auto"/>
              <w:right w:val="single" w:sz="4" w:space="0" w:color="auto"/>
            </w:tcBorders>
          </w:tcPr>
          <w:p w14:paraId="09C0A12B" w14:textId="6FA0D69C" w:rsidR="005F2378" w:rsidRPr="00387DD8" w:rsidRDefault="00010F6D" w:rsidP="005F23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45" w:type="dxa"/>
            <w:gridSpan w:val="2"/>
            <w:tcBorders>
              <w:top w:val="single" w:sz="4" w:space="0" w:color="auto"/>
              <w:left w:val="single" w:sz="4" w:space="0" w:color="auto"/>
              <w:bottom w:val="single" w:sz="4" w:space="0" w:color="auto"/>
              <w:right w:val="single" w:sz="4" w:space="0" w:color="auto"/>
            </w:tcBorders>
          </w:tcPr>
          <w:p w14:paraId="61B9BD94" w14:textId="0D7D9919" w:rsidR="00333C84" w:rsidRDefault="00333C84" w:rsidP="005F2378">
            <w:pPr>
              <w:pStyle w:val="NormalWeb"/>
              <w:tabs>
                <w:tab w:val="left" w:pos="426"/>
              </w:tabs>
              <w:spacing w:before="0" w:beforeAutospacing="0" w:after="0" w:afterAutospacing="0"/>
              <w:jc w:val="both"/>
              <w:rPr>
                <w:b/>
              </w:rPr>
            </w:pPr>
            <w:r>
              <w:rPr>
                <w:b/>
              </w:rPr>
              <w:t>Informatīv</w:t>
            </w:r>
            <w:r w:rsidR="003C4489">
              <w:rPr>
                <w:b/>
              </w:rPr>
              <w:t>ā ziņojuma 5. lpp.</w:t>
            </w:r>
          </w:p>
          <w:p w14:paraId="6B25A69A" w14:textId="64E43B8A" w:rsidR="003C4489" w:rsidRPr="003C4489" w:rsidRDefault="003C4489" w:rsidP="003C4489">
            <w:pPr>
              <w:spacing w:before="120" w:after="0" w:line="240" w:lineRule="auto"/>
              <w:jc w:val="both"/>
              <w:rPr>
                <w:rFonts w:ascii="Times New Roman" w:hAnsi="Times New Roman" w:cs="Times New Roman"/>
                <w:sz w:val="24"/>
                <w:szCs w:val="24"/>
              </w:rPr>
            </w:pPr>
            <w:r w:rsidRPr="003C4489">
              <w:rPr>
                <w:rFonts w:ascii="Times New Roman" w:hAnsi="Times New Roman" w:cs="Times New Roman"/>
                <w:b/>
                <w:sz w:val="24"/>
                <w:szCs w:val="24"/>
              </w:rPr>
              <w:t xml:space="preserve">[..] </w:t>
            </w:r>
            <w:r w:rsidRPr="003C4489">
              <w:rPr>
                <w:rFonts w:ascii="Times New Roman" w:hAnsi="Times New Roman" w:cs="Times New Roman"/>
                <w:sz w:val="24"/>
                <w:szCs w:val="24"/>
                <w:shd w:val="clear" w:color="auto" w:fill="FFFFFF"/>
              </w:rPr>
              <w:t>Iepriekš minētais jautājums būtu risināms, aicinot Ministru kabinetu</w:t>
            </w:r>
            <w:r w:rsidRPr="003C4489">
              <w:rPr>
                <w:rFonts w:ascii="Times New Roman" w:hAnsi="Times New Roman" w:cs="Times New Roman"/>
                <w:b/>
                <w:bCs/>
                <w:sz w:val="24"/>
                <w:szCs w:val="24"/>
                <w:shd w:val="clear" w:color="auto" w:fill="FFFFFF"/>
              </w:rPr>
              <w:t xml:space="preserve"> </w:t>
            </w:r>
            <w:r w:rsidRPr="003C4489">
              <w:rPr>
                <w:rStyle w:val="Strong"/>
                <w:rFonts w:ascii="Times New Roman" w:hAnsi="Times New Roman" w:cs="Times New Roman"/>
                <w:b w:val="0"/>
                <w:bCs w:val="0"/>
                <w:sz w:val="24"/>
                <w:szCs w:val="24"/>
              </w:rPr>
              <w:t xml:space="preserve">lemt par 2020. gadā papildus nepieciešamo finanšu resursu piešķiršanu Konkurences </w:t>
            </w:r>
            <w:r w:rsidRPr="003C4489">
              <w:rPr>
                <w:rStyle w:val="Strong"/>
                <w:rFonts w:ascii="Times New Roman" w:hAnsi="Times New Roman" w:cs="Times New Roman"/>
                <w:b w:val="0"/>
                <w:bCs w:val="0"/>
                <w:sz w:val="24"/>
                <w:szCs w:val="24"/>
              </w:rPr>
              <w:lastRenderedPageBreak/>
              <w:t xml:space="preserve">padomei no </w:t>
            </w:r>
            <w:r w:rsidRPr="003C4489">
              <w:rPr>
                <w:rFonts w:ascii="Times New Roman" w:hAnsi="Times New Roman" w:cs="Times New Roman"/>
                <w:sz w:val="24"/>
                <w:szCs w:val="24"/>
              </w:rPr>
              <w:t xml:space="preserve">valsts budžeta apakšprogrammas </w:t>
            </w:r>
            <w:r w:rsidRPr="003C4489">
              <w:rPr>
                <w:rFonts w:ascii="Times New Roman" w:hAnsi="Times New Roman" w:cs="Times New Roman"/>
                <w:i/>
                <w:iCs/>
                <w:sz w:val="24"/>
                <w:szCs w:val="24"/>
              </w:rPr>
              <w:t>29.02.00 "Elektroenerģijas lietotāju atbalsts"</w:t>
            </w:r>
            <w:r w:rsidRPr="003C4489">
              <w:rPr>
                <w:rFonts w:ascii="Times New Roman" w:hAnsi="Times New Roman" w:cs="Times New Roman"/>
                <w:sz w:val="24"/>
                <w:szCs w:val="24"/>
              </w:rPr>
              <w:t>, veicot apropriācijas pārdali starp</w:t>
            </w:r>
            <w:r w:rsidRPr="003C4489">
              <w:rPr>
                <w:rFonts w:ascii="Times New Roman" w:hAnsi="Times New Roman" w:cs="Times New Roman"/>
                <w:color w:val="212121"/>
                <w:sz w:val="24"/>
                <w:szCs w:val="24"/>
              </w:rPr>
              <w:t xml:space="preserve"> Ekonomikas ministrijas budžeta programmām un </w:t>
            </w:r>
            <w:r w:rsidRPr="003C4489">
              <w:rPr>
                <w:rFonts w:ascii="Times New Roman" w:hAnsi="Times New Roman" w:cs="Times New Roman"/>
                <w:sz w:val="24"/>
                <w:szCs w:val="24"/>
              </w:rPr>
              <w:t xml:space="preserve">piešķirot Konkurences padomei 2020.gadā papildus finansējumu </w:t>
            </w:r>
            <w:bookmarkStart w:id="1" w:name="_Hlk44672384"/>
            <w:r w:rsidRPr="003C4489">
              <w:rPr>
                <w:rFonts w:ascii="Times New Roman" w:hAnsi="Times New Roman" w:cs="Times New Roman"/>
                <w:b/>
                <w:bCs/>
                <w:sz w:val="24"/>
                <w:szCs w:val="24"/>
              </w:rPr>
              <w:t>178 039</w:t>
            </w:r>
            <w:r w:rsidRPr="003C4489">
              <w:rPr>
                <w:rFonts w:ascii="Times New Roman" w:hAnsi="Times New Roman" w:cs="Times New Roman"/>
                <w:b/>
                <w:bCs/>
                <w:sz w:val="24"/>
                <w:szCs w:val="24"/>
                <w:lang w:eastAsia="lv-LV"/>
              </w:rPr>
              <w:t xml:space="preserve"> </w:t>
            </w:r>
            <w:proofErr w:type="spellStart"/>
            <w:r w:rsidRPr="003C4489">
              <w:rPr>
                <w:rFonts w:ascii="Times New Roman" w:hAnsi="Times New Roman" w:cs="Times New Roman"/>
                <w:b/>
                <w:bCs/>
                <w:i/>
                <w:iCs/>
                <w:sz w:val="24"/>
                <w:szCs w:val="24"/>
                <w:lang w:eastAsia="lv-LV"/>
              </w:rPr>
              <w:t>euro</w:t>
            </w:r>
            <w:proofErr w:type="spellEnd"/>
            <w:r w:rsidRPr="003C4489">
              <w:rPr>
                <w:rFonts w:ascii="Times New Roman" w:hAnsi="Times New Roman" w:cs="Times New Roman"/>
                <w:b/>
                <w:bCs/>
                <w:sz w:val="24"/>
                <w:szCs w:val="24"/>
              </w:rPr>
              <w:t xml:space="preserve"> </w:t>
            </w:r>
            <w:r w:rsidRPr="003C4489">
              <w:rPr>
                <w:rFonts w:ascii="Times New Roman" w:hAnsi="Times New Roman" w:cs="Times New Roman"/>
                <w:sz w:val="24"/>
                <w:szCs w:val="24"/>
              </w:rPr>
              <w:t>apmērā atlīdzības palielināšanai Konkurences padomes darbiniekiem</w:t>
            </w:r>
            <w:bookmarkEnd w:id="1"/>
            <w:r w:rsidRPr="003C4489">
              <w:rPr>
                <w:rFonts w:ascii="Times New Roman" w:hAnsi="Times New Roman" w:cs="Times New Roman"/>
                <w:sz w:val="24"/>
                <w:szCs w:val="24"/>
              </w:rPr>
              <w:t>.</w:t>
            </w:r>
          </w:p>
          <w:p w14:paraId="79923610" w14:textId="1E75556A" w:rsidR="003C4489" w:rsidRDefault="003C4489" w:rsidP="005F2378">
            <w:pPr>
              <w:pStyle w:val="NormalWeb"/>
              <w:tabs>
                <w:tab w:val="left" w:pos="426"/>
              </w:tabs>
              <w:spacing w:before="0" w:beforeAutospacing="0" w:after="0" w:afterAutospacing="0"/>
              <w:jc w:val="both"/>
              <w:rPr>
                <w:b/>
              </w:rPr>
            </w:pPr>
          </w:p>
          <w:p w14:paraId="6526C538" w14:textId="77777777" w:rsidR="003C4489" w:rsidRDefault="003C4489" w:rsidP="005F2378">
            <w:pPr>
              <w:pStyle w:val="NormalWeb"/>
              <w:tabs>
                <w:tab w:val="left" w:pos="426"/>
              </w:tabs>
              <w:spacing w:before="0" w:beforeAutospacing="0" w:after="0" w:afterAutospacing="0"/>
              <w:jc w:val="both"/>
              <w:rPr>
                <w:b/>
              </w:rPr>
            </w:pPr>
          </w:p>
          <w:p w14:paraId="445DF236" w14:textId="2DAAD1E0" w:rsidR="005F2378" w:rsidRDefault="00333C84" w:rsidP="005F2378">
            <w:pPr>
              <w:pStyle w:val="NormalWeb"/>
              <w:tabs>
                <w:tab w:val="left" w:pos="426"/>
              </w:tabs>
              <w:spacing w:before="0" w:beforeAutospacing="0" w:after="0" w:afterAutospacing="0"/>
              <w:jc w:val="both"/>
              <w:rPr>
                <w:b/>
              </w:rPr>
            </w:pPr>
            <w:r>
              <w:rPr>
                <w:b/>
              </w:rPr>
              <w:t xml:space="preserve">MK sēdes </w:t>
            </w:r>
            <w:proofErr w:type="spellStart"/>
            <w:r>
              <w:rPr>
                <w:b/>
              </w:rPr>
              <w:t>protokollēmuma</w:t>
            </w:r>
            <w:proofErr w:type="spellEnd"/>
            <w:r>
              <w:rPr>
                <w:b/>
              </w:rPr>
              <w:t xml:space="preserve"> 2. punkts</w:t>
            </w:r>
          </w:p>
          <w:p w14:paraId="3DF3A70B" w14:textId="1901873F" w:rsidR="00333C84" w:rsidRPr="00333C84" w:rsidRDefault="00333C84" w:rsidP="00333C84">
            <w:pPr>
              <w:pStyle w:val="NormalWeb"/>
              <w:tabs>
                <w:tab w:val="left" w:pos="426"/>
              </w:tabs>
              <w:spacing w:before="120" w:beforeAutospacing="0" w:after="0" w:afterAutospacing="0"/>
              <w:jc w:val="both"/>
              <w:rPr>
                <w:b/>
              </w:rPr>
            </w:pPr>
            <w:r w:rsidRPr="00333C84">
              <w:t xml:space="preserve">2. Ekonomikas ministrijai izstrādāt un ekonomikas ministram iesniegt noteiktā kārtībā izskatīšanai Ministru kabinetā rīkojuma projektu, kas paredzētu no valsts budžeta apakšprogrammas 29.02.00 "Elektroenerģijas lietotāju atbalsts" veikt apropriācijas pārdali starp Ekonomikas ministrijas budžeta programmām, piešķirot Konkurences padomei 2020.gadā papildus finansējumu </w:t>
            </w:r>
            <w:r w:rsidRPr="00333C84">
              <w:rPr>
                <w:b/>
                <w:bCs/>
              </w:rPr>
              <w:t xml:space="preserve">178 039 </w:t>
            </w:r>
            <w:proofErr w:type="spellStart"/>
            <w:r w:rsidRPr="00333C84">
              <w:rPr>
                <w:b/>
                <w:bCs/>
                <w:i/>
                <w:iCs/>
              </w:rPr>
              <w:t>euro</w:t>
            </w:r>
            <w:proofErr w:type="spellEnd"/>
            <w:r w:rsidRPr="00333C84">
              <w:rPr>
                <w:b/>
                <w:bCs/>
              </w:rPr>
              <w:t xml:space="preserve"> </w:t>
            </w:r>
            <w:r w:rsidRPr="00333C84">
              <w:lastRenderedPageBreak/>
              <w:t>apmērā atlīdzības palielināšanai Konkurences padomes darbiniekiem.</w:t>
            </w:r>
          </w:p>
        </w:tc>
        <w:tc>
          <w:tcPr>
            <w:tcW w:w="5077" w:type="dxa"/>
            <w:tcBorders>
              <w:top w:val="single" w:sz="4" w:space="0" w:color="auto"/>
              <w:left w:val="single" w:sz="4" w:space="0" w:color="auto"/>
              <w:bottom w:val="single" w:sz="4" w:space="0" w:color="auto"/>
              <w:right w:val="single" w:sz="4" w:space="0" w:color="auto"/>
            </w:tcBorders>
          </w:tcPr>
          <w:p w14:paraId="0ECBD482" w14:textId="388EAED5" w:rsidR="005F2378" w:rsidRPr="00333C84" w:rsidRDefault="00333C84" w:rsidP="00333C84">
            <w:pPr>
              <w:spacing w:after="0" w:line="240" w:lineRule="auto"/>
              <w:jc w:val="center"/>
              <w:rPr>
                <w:rFonts w:ascii="Times New Roman" w:hAnsi="Times New Roman" w:cs="Times New Roman"/>
                <w:b/>
                <w:sz w:val="24"/>
                <w:szCs w:val="24"/>
              </w:rPr>
            </w:pPr>
            <w:r w:rsidRPr="00333C84">
              <w:rPr>
                <w:rFonts w:ascii="Times New Roman" w:hAnsi="Times New Roman" w:cs="Times New Roman"/>
                <w:b/>
                <w:sz w:val="24"/>
                <w:szCs w:val="24"/>
              </w:rPr>
              <w:lastRenderedPageBreak/>
              <w:t>Finanšu ministrija</w:t>
            </w:r>
          </w:p>
          <w:p w14:paraId="034B08C8" w14:textId="77777777" w:rsidR="005F2378" w:rsidRPr="00333C84" w:rsidRDefault="005F2378" w:rsidP="00333C84">
            <w:pPr>
              <w:spacing w:after="0" w:line="240" w:lineRule="auto"/>
              <w:jc w:val="both"/>
              <w:rPr>
                <w:rFonts w:ascii="Times New Roman" w:hAnsi="Times New Roman" w:cs="Times New Roman"/>
                <w:b/>
                <w:sz w:val="24"/>
                <w:szCs w:val="24"/>
              </w:rPr>
            </w:pPr>
          </w:p>
          <w:p w14:paraId="11707268" w14:textId="2D56A6FD" w:rsidR="00333C84" w:rsidRPr="00333C84" w:rsidRDefault="00333C84" w:rsidP="00333C84">
            <w:pPr>
              <w:jc w:val="both"/>
              <w:rPr>
                <w:rFonts w:ascii="Times New Roman" w:hAnsi="Times New Roman" w:cs="Times New Roman"/>
                <w:sz w:val="24"/>
                <w:szCs w:val="24"/>
              </w:rPr>
            </w:pPr>
            <w:r w:rsidRPr="00333C84">
              <w:rPr>
                <w:rFonts w:ascii="Times New Roman" w:hAnsi="Times New Roman" w:cs="Times New Roman"/>
                <w:sz w:val="24"/>
                <w:szCs w:val="24"/>
              </w:rPr>
              <w:t xml:space="preserve">Ievērojot Ministru prezidenta 2020.gada 9.jūnija rezolūcijā Nr.7.8.5./2020-DOC-1416-1102 noteikto aizliegumu novirzīt ietaupījumu citiem mērķiem vai jauniem pasākumiem, izņemot gadījumus, ja tas nepieciešams Covid-19 radīto </w:t>
            </w:r>
            <w:r w:rsidRPr="00333C84">
              <w:rPr>
                <w:rFonts w:ascii="Times New Roman" w:hAnsi="Times New Roman" w:cs="Times New Roman"/>
                <w:sz w:val="24"/>
                <w:szCs w:val="24"/>
              </w:rPr>
              <w:lastRenderedPageBreak/>
              <w:t xml:space="preserve">seku likvidēšanai, uzskatām, ka finansējums 178 039 </w:t>
            </w:r>
            <w:proofErr w:type="spellStart"/>
            <w:r w:rsidRPr="00333C84">
              <w:rPr>
                <w:rFonts w:ascii="Times New Roman" w:hAnsi="Times New Roman" w:cs="Times New Roman"/>
                <w:i/>
                <w:sz w:val="24"/>
                <w:szCs w:val="24"/>
              </w:rPr>
              <w:t>euro</w:t>
            </w:r>
            <w:proofErr w:type="spellEnd"/>
            <w:r w:rsidRPr="00333C84">
              <w:rPr>
                <w:rFonts w:ascii="Times New Roman" w:hAnsi="Times New Roman" w:cs="Times New Roman"/>
                <w:sz w:val="24"/>
                <w:szCs w:val="24"/>
              </w:rPr>
              <w:t xml:space="preserve"> apmērā no Ekonomikas ministrijas budžeta apakšprogrammas 29.02.00 “Elektroenerģijas lietotāju atbalsts” ir pārdalāms uz valsts budžeta programmu 02.00.00 “Līdzekļi neparedzētiem gadījumiem”. </w:t>
            </w:r>
          </w:p>
          <w:p w14:paraId="21E1BD73" w14:textId="1B785AF5" w:rsidR="00333C84" w:rsidRPr="00333C84" w:rsidRDefault="00333C84" w:rsidP="00333C84">
            <w:pPr>
              <w:jc w:val="both"/>
              <w:rPr>
                <w:rFonts w:ascii="Times New Roman" w:hAnsi="Times New Roman" w:cs="Times New Roman"/>
                <w:sz w:val="24"/>
                <w:szCs w:val="24"/>
              </w:rPr>
            </w:pPr>
            <w:r w:rsidRPr="00333C84">
              <w:rPr>
                <w:rFonts w:ascii="Times New Roman" w:hAnsi="Times New Roman" w:cs="Times New Roman"/>
                <w:sz w:val="24"/>
                <w:szCs w:val="24"/>
              </w:rPr>
              <w:t xml:space="preserve">Vienlaikus, ņemot vērā Valdību veidojošo partiju 2020.gada 13.jūlija sadarbības sanāksmē pieņemto lēmumu attiecībā uz līdzekļu novirzīšanu Konkurences padomes finansiālās kapacitātes stiprināšanai 2020.gadā 178 039 </w:t>
            </w:r>
            <w:proofErr w:type="spellStart"/>
            <w:r w:rsidRPr="00333C84">
              <w:rPr>
                <w:rFonts w:ascii="Times New Roman" w:hAnsi="Times New Roman" w:cs="Times New Roman"/>
                <w:i/>
                <w:sz w:val="24"/>
                <w:szCs w:val="24"/>
              </w:rPr>
              <w:t>euro</w:t>
            </w:r>
            <w:proofErr w:type="spellEnd"/>
            <w:r w:rsidRPr="00333C84">
              <w:rPr>
                <w:rFonts w:ascii="Times New Roman" w:hAnsi="Times New Roman" w:cs="Times New Roman"/>
                <w:sz w:val="24"/>
                <w:szCs w:val="24"/>
              </w:rPr>
              <w:t xml:space="preserve"> apmērā, lūdzam precizēt informatīvajā ziņojumā iekļauto informāciju, un Ministru kabineta sēdes </w:t>
            </w:r>
            <w:proofErr w:type="spellStart"/>
            <w:r w:rsidRPr="00333C84">
              <w:rPr>
                <w:rFonts w:ascii="Times New Roman" w:hAnsi="Times New Roman" w:cs="Times New Roman"/>
                <w:sz w:val="24"/>
                <w:szCs w:val="24"/>
              </w:rPr>
              <w:t>protokollēmuma</w:t>
            </w:r>
            <w:proofErr w:type="spellEnd"/>
            <w:r w:rsidRPr="00333C84">
              <w:rPr>
                <w:rFonts w:ascii="Times New Roman" w:hAnsi="Times New Roman" w:cs="Times New Roman"/>
                <w:sz w:val="24"/>
                <w:szCs w:val="24"/>
              </w:rPr>
              <w:t xml:space="preserve"> projekta 2.punktu izteikt šādā redakcijā: </w:t>
            </w:r>
          </w:p>
          <w:p w14:paraId="6C2DAB0F" w14:textId="77777777" w:rsidR="00333C84" w:rsidRPr="00333C84" w:rsidRDefault="00333C84" w:rsidP="00333C84">
            <w:pPr>
              <w:jc w:val="both"/>
              <w:rPr>
                <w:rFonts w:ascii="Times New Roman" w:hAnsi="Times New Roman" w:cs="Times New Roman"/>
                <w:sz w:val="24"/>
                <w:szCs w:val="24"/>
              </w:rPr>
            </w:pPr>
            <w:r w:rsidRPr="00333C84">
              <w:rPr>
                <w:rFonts w:ascii="Times New Roman" w:hAnsi="Times New Roman" w:cs="Times New Roman"/>
                <w:sz w:val="24"/>
                <w:szCs w:val="24"/>
              </w:rPr>
              <w:t xml:space="preserve">“2. Ekonomikas ministrijai izstrādāt un ekonomikas ministram iesniegt noteiktā kārtībā izskatīšanai Ministru kabinetā rīkojuma projektus, lai nodrošinātu nepieciešamo finansējumu 178 039 </w:t>
            </w:r>
            <w:proofErr w:type="spellStart"/>
            <w:r w:rsidRPr="00333C84">
              <w:rPr>
                <w:rFonts w:ascii="Times New Roman" w:hAnsi="Times New Roman" w:cs="Times New Roman"/>
                <w:i/>
                <w:sz w:val="24"/>
                <w:szCs w:val="24"/>
              </w:rPr>
              <w:t>euro</w:t>
            </w:r>
            <w:proofErr w:type="spellEnd"/>
            <w:r w:rsidRPr="00333C84">
              <w:rPr>
                <w:rFonts w:ascii="Times New Roman" w:hAnsi="Times New Roman" w:cs="Times New Roman"/>
                <w:sz w:val="24"/>
                <w:szCs w:val="24"/>
              </w:rPr>
              <w:t xml:space="preserve"> apmērā Konkurences padomes administratīvās kapacitātes stiprināšanai 2020.gadā.”</w:t>
            </w:r>
          </w:p>
          <w:p w14:paraId="475C2238" w14:textId="06C8D051" w:rsidR="005F2378" w:rsidRPr="00333C84" w:rsidRDefault="005F2378" w:rsidP="00333C84">
            <w:pPr>
              <w:jc w:val="both"/>
              <w:rPr>
                <w:rFonts w:ascii="Times New Roman" w:hAnsi="Times New Roman" w:cs="Times New Roman"/>
                <w:b/>
                <w:sz w:val="24"/>
                <w:szCs w:val="24"/>
              </w:rPr>
            </w:pPr>
          </w:p>
        </w:tc>
        <w:tc>
          <w:tcPr>
            <w:tcW w:w="3286" w:type="dxa"/>
            <w:gridSpan w:val="2"/>
            <w:tcBorders>
              <w:top w:val="single" w:sz="4" w:space="0" w:color="auto"/>
              <w:left w:val="single" w:sz="4" w:space="0" w:color="auto"/>
              <w:bottom w:val="single" w:sz="4" w:space="0" w:color="auto"/>
              <w:right w:val="single" w:sz="4" w:space="0" w:color="auto"/>
            </w:tcBorders>
          </w:tcPr>
          <w:p w14:paraId="03AEEB94" w14:textId="77777777" w:rsidR="005F2378" w:rsidRPr="0049470F" w:rsidRDefault="005F2378" w:rsidP="00514872">
            <w:pPr>
              <w:pStyle w:val="naisc"/>
              <w:spacing w:before="120" w:after="240"/>
              <w:rPr>
                <w:b/>
              </w:rPr>
            </w:pPr>
            <w:r w:rsidRPr="0049470F">
              <w:rPr>
                <w:b/>
              </w:rPr>
              <w:lastRenderedPageBreak/>
              <w:t>Ņemts vērā</w:t>
            </w:r>
          </w:p>
          <w:p w14:paraId="3499944A" w14:textId="6593FCAE" w:rsidR="005F2378" w:rsidRPr="0049470F" w:rsidRDefault="003717AB" w:rsidP="00514872">
            <w:pPr>
              <w:pStyle w:val="naisc"/>
              <w:spacing w:before="0" w:after="0"/>
              <w:jc w:val="both"/>
              <w:rPr>
                <w:b/>
              </w:rPr>
            </w:pPr>
            <w:r w:rsidRPr="008D6C99">
              <w:t>Informatīvais ziņojums</w:t>
            </w:r>
            <w:r w:rsidR="00333C84">
              <w:t xml:space="preserve"> un MK sēdes </w:t>
            </w:r>
            <w:proofErr w:type="spellStart"/>
            <w:r w:rsidR="00333C84">
              <w:t>protokollēmums</w:t>
            </w:r>
            <w:proofErr w:type="spellEnd"/>
            <w:r w:rsidR="00333C84">
              <w:t xml:space="preserve"> ir</w:t>
            </w:r>
            <w:r w:rsidRPr="008D6C99">
              <w:t xml:space="preserve"> p</w:t>
            </w:r>
            <w:r w:rsidR="005F2378" w:rsidRPr="008D6C99">
              <w:t>recizēts</w:t>
            </w:r>
            <w:r w:rsidRPr="008D6C99">
              <w:t xml:space="preserve"> atbilstoši </w:t>
            </w:r>
            <w:r w:rsidR="00333C84">
              <w:t>Finanšu ministrijas norādījumiem.</w:t>
            </w:r>
            <w:r w:rsidR="005F2378" w:rsidRPr="0049470F">
              <w:t xml:space="preserve"> </w:t>
            </w:r>
          </w:p>
        </w:tc>
        <w:tc>
          <w:tcPr>
            <w:tcW w:w="3235" w:type="dxa"/>
            <w:tcBorders>
              <w:top w:val="single" w:sz="4" w:space="0" w:color="auto"/>
              <w:left w:val="single" w:sz="4" w:space="0" w:color="auto"/>
              <w:bottom w:val="single" w:sz="4" w:space="0" w:color="auto"/>
            </w:tcBorders>
          </w:tcPr>
          <w:p w14:paraId="6987B2AE" w14:textId="77777777" w:rsidR="003C4489" w:rsidRDefault="003C4489" w:rsidP="003C4489">
            <w:pPr>
              <w:pStyle w:val="NormalWeb"/>
              <w:tabs>
                <w:tab w:val="left" w:pos="426"/>
              </w:tabs>
              <w:spacing w:before="0" w:beforeAutospacing="0" w:after="0" w:afterAutospacing="0"/>
              <w:jc w:val="both"/>
              <w:rPr>
                <w:b/>
              </w:rPr>
            </w:pPr>
            <w:r>
              <w:rPr>
                <w:b/>
              </w:rPr>
              <w:t>Informatīvā ziņojuma 5. lpp.</w:t>
            </w:r>
          </w:p>
          <w:p w14:paraId="15DE9AB9" w14:textId="2A517C43" w:rsidR="003C4489" w:rsidRPr="003C4489" w:rsidRDefault="003C4489" w:rsidP="003C4489">
            <w:pPr>
              <w:spacing w:before="120" w:after="0" w:line="240" w:lineRule="auto"/>
              <w:jc w:val="both"/>
              <w:rPr>
                <w:rFonts w:ascii="Times New Roman" w:hAnsi="Times New Roman" w:cs="Times New Roman"/>
                <w:bCs/>
                <w:sz w:val="24"/>
                <w:szCs w:val="24"/>
              </w:rPr>
            </w:pPr>
            <w:r w:rsidRPr="003C4489">
              <w:rPr>
                <w:rFonts w:ascii="Times New Roman" w:hAnsi="Times New Roman" w:cs="Times New Roman"/>
                <w:bCs/>
                <w:sz w:val="24"/>
                <w:szCs w:val="24"/>
              </w:rPr>
              <w:t xml:space="preserve">[..] </w:t>
            </w:r>
            <w:r w:rsidRPr="003C4489">
              <w:rPr>
                <w:rFonts w:ascii="Times New Roman" w:hAnsi="Times New Roman" w:cs="Times New Roman"/>
                <w:bCs/>
                <w:sz w:val="24"/>
                <w:szCs w:val="24"/>
                <w:shd w:val="clear" w:color="auto" w:fill="FFFFFF"/>
              </w:rPr>
              <w:t xml:space="preserve">Iepriekš minētais jautājums būtu risināms, aicinot Ministru kabinetu </w:t>
            </w:r>
            <w:r w:rsidRPr="003C4489">
              <w:rPr>
                <w:rStyle w:val="Strong"/>
                <w:rFonts w:ascii="Times New Roman" w:hAnsi="Times New Roman" w:cs="Times New Roman"/>
                <w:b w:val="0"/>
                <w:sz w:val="24"/>
                <w:szCs w:val="24"/>
              </w:rPr>
              <w:t xml:space="preserve">lemt par 2020. gadā papildus nepieciešamo finanšu resursu piešķiršanu Konkurences padomei, </w:t>
            </w:r>
            <w:r w:rsidRPr="003C4489">
              <w:rPr>
                <w:rStyle w:val="Strong"/>
                <w:rFonts w:ascii="Times New Roman" w:hAnsi="Times New Roman" w:cs="Times New Roman"/>
                <w:b w:val="0"/>
                <w:sz w:val="24"/>
                <w:szCs w:val="24"/>
              </w:rPr>
              <w:lastRenderedPageBreak/>
              <w:t xml:space="preserve">pārdalot finansējumu 178 039 </w:t>
            </w:r>
            <w:proofErr w:type="spellStart"/>
            <w:r w:rsidRPr="003C4489">
              <w:rPr>
                <w:rStyle w:val="Strong"/>
                <w:rFonts w:ascii="Times New Roman" w:hAnsi="Times New Roman" w:cs="Times New Roman"/>
                <w:b w:val="0"/>
                <w:i/>
                <w:iCs/>
                <w:sz w:val="24"/>
                <w:szCs w:val="24"/>
              </w:rPr>
              <w:t>euro</w:t>
            </w:r>
            <w:proofErr w:type="spellEnd"/>
            <w:r w:rsidRPr="003C4489">
              <w:rPr>
                <w:rStyle w:val="Strong"/>
                <w:rFonts w:ascii="Times New Roman" w:hAnsi="Times New Roman" w:cs="Times New Roman"/>
                <w:b w:val="0"/>
                <w:sz w:val="24"/>
                <w:szCs w:val="24"/>
              </w:rPr>
              <w:t xml:space="preserve"> apmērā no Ekonomikas ministrijas budžeta apakšprogrammas 29.02.00 “Elektroenerģijas lietotāju atbalsts” uz valsts budžeta programmu 02.00.00 “Līdzekļi neparedzētiem gadījumiem” un no iepriekš minētās budžeta programmas piešķirot</w:t>
            </w:r>
            <w:r w:rsidRPr="003C4489">
              <w:rPr>
                <w:rStyle w:val="Strong"/>
                <w:rFonts w:ascii="Times New Roman" w:hAnsi="Times New Roman" w:cs="Times New Roman"/>
                <w:bCs w:val="0"/>
                <w:sz w:val="24"/>
                <w:szCs w:val="24"/>
              </w:rPr>
              <w:t xml:space="preserve"> </w:t>
            </w:r>
            <w:r w:rsidRPr="003C4489">
              <w:rPr>
                <w:rFonts w:ascii="Times New Roman" w:hAnsi="Times New Roman" w:cs="Times New Roman"/>
                <w:bCs/>
                <w:sz w:val="24"/>
                <w:szCs w:val="24"/>
              </w:rPr>
              <w:t xml:space="preserve">finansējumu </w:t>
            </w:r>
            <w:r w:rsidRPr="003C4489">
              <w:rPr>
                <w:rFonts w:ascii="Times New Roman" w:hAnsi="Times New Roman" w:cs="Times New Roman"/>
                <w:b/>
                <w:sz w:val="24"/>
                <w:szCs w:val="24"/>
              </w:rPr>
              <w:t xml:space="preserve">178 039 </w:t>
            </w:r>
            <w:proofErr w:type="spellStart"/>
            <w:r w:rsidRPr="003C4489">
              <w:rPr>
                <w:rFonts w:ascii="Times New Roman" w:hAnsi="Times New Roman" w:cs="Times New Roman"/>
                <w:b/>
                <w:i/>
                <w:sz w:val="24"/>
                <w:szCs w:val="24"/>
              </w:rPr>
              <w:t>euro</w:t>
            </w:r>
            <w:proofErr w:type="spellEnd"/>
            <w:r w:rsidRPr="003C4489">
              <w:rPr>
                <w:rFonts w:ascii="Times New Roman" w:hAnsi="Times New Roman" w:cs="Times New Roman"/>
                <w:bCs/>
                <w:sz w:val="24"/>
                <w:szCs w:val="24"/>
              </w:rPr>
              <w:t xml:space="preserve"> apmērā Konkurences padomes administratīvās kapacitātes stiprināšanai 2020.gadā.</w:t>
            </w:r>
          </w:p>
          <w:p w14:paraId="17E2790F" w14:textId="77777777" w:rsidR="003C4489" w:rsidRPr="003C4489" w:rsidRDefault="003C4489" w:rsidP="003C4489">
            <w:pPr>
              <w:pStyle w:val="NormalWeb"/>
              <w:tabs>
                <w:tab w:val="left" w:pos="426"/>
              </w:tabs>
              <w:spacing w:before="0" w:beforeAutospacing="0" w:after="0" w:afterAutospacing="0"/>
              <w:jc w:val="both"/>
              <w:rPr>
                <w:bCs/>
              </w:rPr>
            </w:pPr>
          </w:p>
          <w:p w14:paraId="3875F5F1" w14:textId="5EC78096" w:rsidR="00333C84" w:rsidRDefault="00333C84" w:rsidP="00333C84">
            <w:pPr>
              <w:pStyle w:val="NormalWeb"/>
              <w:tabs>
                <w:tab w:val="left" w:pos="426"/>
              </w:tabs>
              <w:spacing w:before="0" w:beforeAutospacing="0" w:after="0" w:afterAutospacing="0"/>
              <w:jc w:val="both"/>
              <w:rPr>
                <w:b/>
              </w:rPr>
            </w:pPr>
            <w:r>
              <w:rPr>
                <w:b/>
              </w:rPr>
              <w:t xml:space="preserve">MK sēdes </w:t>
            </w:r>
            <w:proofErr w:type="spellStart"/>
            <w:r>
              <w:rPr>
                <w:b/>
              </w:rPr>
              <w:t>protokollēmuma</w:t>
            </w:r>
            <w:proofErr w:type="spellEnd"/>
            <w:r>
              <w:rPr>
                <w:b/>
              </w:rPr>
              <w:t xml:space="preserve"> 2. punkts</w:t>
            </w:r>
          </w:p>
          <w:p w14:paraId="175E0F8D" w14:textId="77777777" w:rsidR="00333C84" w:rsidRPr="00333C84" w:rsidRDefault="00333C84" w:rsidP="00333C84">
            <w:pPr>
              <w:pStyle w:val="ListParagraph"/>
              <w:spacing w:before="120" w:after="0" w:line="240" w:lineRule="auto"/>
              <w:ind w:left="0"/>
              <w:contextualSpacing w:val="0"/>
              <w:jc w:val="both"/>
              <w:rPr>
                <w:rStyle w:val="spelle"/>
                <w:rFonts w:ascii="Times New Roman" w:eastAsia="Calibri" w:hAnsi="Times New Roman"/>
                <w:sz w:val="24"/>
                <w:szCs w:val="24"/>
              </w:rPr>
            </w:pPr>
            <w:r w:rsidRPr="00333C84">
              <w:rPr>
                <w:rFonts w:ascii="Times New Roman" w:hAnsi="Times New Roman"/>
                <w:sz w:val="24"/>
                <w:szCs w:val="24"/>
              </w:rPr>
              <w:t xml:space="preserve">2. Ekonomikas ministrijai izstrādāt un ekonomikas ministram iesniegt noteiktā kārtībā izskatīšanai Ministru kabinetā rīkojuma projektus, lai nodrošinātu nepieciešamo finansējumu </w:t>
            </w:r>
            <w:r w:rsidRPr="00333C84">
              <w:rPr>
                <w:rFonts w:ascii="Times New Roman" w:hAnsi="Times New Roman"/>
                <w:b/>
                <w:bCs/>
                <w:sz w:val="24"/>
                <w:szCs w:val="24"/>
              </w:rPr>
              <w:t xml:space="preserve">178 039 </w:t>
            </w:r>
            <w:proofErr w:type="spellStart"/>
            <w:r w:rsidRPr="00333C84">
              <w:rPr>
                <w:rFonts w:ascii="Times New Roman" w:hAnsi="Times New Roman"/>
                <w:b/>
                <w:bCs/>
                <w:i/>
                <w:sz w:val="24"/>
                <w:szCs w:val="24"/>
              </w:rPr>
              <w:t>euro</w:t>
            </w:r>
            <w:proofErr w:type="spellEnd"/>
            <w:r w:rsidRPr="00333C84">
              <w:rPr>
                <w:rFonts w:ascii="Times New Roman" w:hAnsi="Times New Roman"/>
                <w:sz w:val="24"/>
                <w:szCs w:val="24"/>
              </w:rPr>
              <w:t xml:space="preserve"> apmērā Konkurences padomes administratīvās kapacitātes stiprināšanai 2020.gadā.</w:t>
            </w:r>
          </w:p>
          <w:p w14:paraId="02DA9B7A" w14:textId="65A21DCC" w:rsidR="005F2378" w:rsidRPr="0049470F" w:rsidRDefault="005F2378" w:rsidP="00333C84">
            <w:pPr>
              <w:spacing w:after="0" w:line="240" w:lineRule="auto"/>
              <w:jc w:val="both"/>
              <w:rPr>
                <w:rFonts w:ascii="Times New Roman" w:hAnsi="Times New Roman" w:cs="Times New Roman"/>
                <w:sz w:val="24"/>
                <w:szCs w:val="24"/>
              </w:rPr>
            </w:pPr>
          </w:p>
        </w:tc>
      </w:tr>
      <w:tr w:rsidR="003717AB" w:rsidRPr="00387DD8" w14:paraId="287E28DF" w14:textId="77777777" w:rsidTr="00770204">
        <w:tc>
          <w:tcPr>
            <w:tcW w:w="742" w:type="dxa"/>
            <w:tcBorders>
              <w:top w:val="single" w:sz="4" w:space="0" w:color="auto"/>
              <w:left w:val="single" w:sz="4" w:space="0" w:color="auto"/>
              <w:bottom w:val="single" w:sz="4" w:space="0" w:color="auto"/>
              <w:right w:val="single" w:sz="4" w:space="0" w:color="auto"/>
            </w:tcBorders>
          </w:tcPr>
          <w:p w14:paraId="002A1E65" w14:textId="77777777" w:rsidR="003717AB" w:rsidRDefault="003717AB" w:rsidP="005F2378">
            <w:pPr>
              <w:spacing w:after="0" w:line="240" w:lineRule="auto"/>
              <w:jc w:val="both"/>
              <w:rPr>
                <w:rFonts w:ascii="Times New Roman" w:hAnsi="Times New Roman" w:cs="Times New Roman"/>
                <w:sz w:val="24"/>
                <w:szCs w:val="24"/>
              </w:rPr>
            </w:pPr>
          </w:p>
        </w:tc>
        <w:tc>
          <w:tcPr>
            <w:tcW w:w="3145" w:type="dxa"/>
            <w:gridSpan w:val="2"/>
            <w:tcBorders>
              <w:top w:val="single" w:sz="4" w:space="0" w:color="auto"/>
              <w:left w:val="single" w:sz="4" w:space="0" w:color="auto"/>
              <w:bottom w:val="single" w:sz="4" w:space="0" w:color="auto"/>
              <w:right w:val="single" w:sz="4" w:space="0" w:color="auto"/>
            </w:tcBorders>
          </w:tcPr>
          <w:p w14:paraId="6ADCCB3A" w14:textId="77777777" w:rsidR="003717AB" w:rsidRPr="00387DD8" w:rsidRDefault="003717AB" w:rsidP="005F2378">
            <w:pPr>
              <w:pStyle w:val="NormalWeb"/>
              <w:tabs>
                <w:tab w:val="left" w:pos="426"/>
              </w:tabs>
              <w:spacing w:before="0" w:beforeAutospacing="0" w:after="0" w:afterAutospacing="0"/>
              <w:jc w:val="both"/>
              <w:rPr>
                <w:b/>
              </w:rPr>
            </w:pPr>
          </w:p>
        </w:tc>
        <w:tc>
          <w:tcPr>
            <w:tcW w:w="5077" w:type="dxa"/>
            <w:tcBorders>
              <w:top w:val="single" w:sz="4" w:space="0" w:color="auto"/>
              <w:left w:val="single" w:sz="4" w:space="0" w:color="auto"/>
              <w:bottom w:val="single" w:sz="4" w:space="0" w:color="auto"/>
              <w:right w:val="single" w:sz="4" w:space="0" w:color="auto"/>
            </w:tcBorders>
          </w:tcPr>
          <w:p w14:paraId="6B49586F" w14:textId="5B44F7C8" w:rsidR="00B11F66" w:rsidRDefault="003C4489" w:rsidP="00B11F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Finanšu ministrija</w:t>
            </w:r>
          </w:p>
          <w:p w14:paraId="3CDFA853" w14:textId="77777777" w:rsidR="00B11F66" w:rsidRDefault="00B11F66" w:rsidP="005F2378">
            <w:pPr>
              <w:spacing w:after="0" w:line="240" w:lineRule="auto"/>
              <w:jc w:val="center"/>
              <w:rPr>
                <w:rFonts w:ascii="Times New Roman" w:hAnsi="Times New Roman" w:cs="Times New Roman"/>
                <w:b/>
                <w:sz w:val="24"/>
                <w:szCs w:val="24"/>
              </w:rPr>
            </w:pPr>
          </w:p>
          <w:p w14:paraId="336D554D" w14:textId="089943B2" w:rsidR="003717AB" w:rsidRPr="003C4489" w:rsidRDefault="003C4489" w:rsidP="00B11F66">
            <w:pPr>
              <w:spacing w:before="40" w:after="0" w:line="240" w:lineRule="auto"/>
              <w:jc w:val="both"/>
              <w:rPr>
                <w:rFonts w:ascii="Times New Roman" w:hAnsi="Times New Roman" w:cs="Times New Roman"/>
                <w:b/>
                <w:sz w:val="24"/>
                <w:szCs w:val="24"/>
              </w:rPr>
            </w:pPr>
            <w:r w:rsidRPr="003C4489">
              <w:rPr>
                <w:rFonts w:ascii="Times New Roman" w:hAnsi="Times New Roman" w:cs="Times New Roman"/>
                <w:sz w:val="24"/>
                <w:szCs w:val="24"/>
              </w:rPr>
              <w:t xml:space="preserve">Informatīvo ziņojumu nepieciešams papildināt ar detalizētiem aprēķiniem, kas pamato Konkurences padomei nepieciešamo papildu finansējumu 2020.gadā 178 039 </w:t>
            </w:r>
            <w:proofErr w:type="spellStart"/>
            <w:r w:rsidRPr="003C4489">
              <w:rPr>
                <w:rFonts w:ascii="Times New Roman" w:hAnsi="Times New Roman" w:cs="Times New Roman"/>
                <w:i/>
                <w:sz w:val="24"/>
                <w:szCs w:val="24"/>
              </w:rPr>
              <w:t>euro</w:t>
            </w:r>
            <w:proofErr w:type="spellEnd"/>
            <w:r w:rsidRPr="003C4489">
              <w:rPr>
                <w:rFonts w:ascii="Times New Roman" w:hAnsi="Times New Roman" w:cs="Times New Roman"/>
                <w:sz w:val="24"/>
                <w:szCs w:val="24"/>
              </w:rPr>
              <w:t xml:space="preserve"> apmērā.</w:t>
            </w:r>
          </w:p>
        </w:tc>
        <w:tc>
          <w:tcPr>
            <w:tcW w:w="3286" w:type="dxa"/>
            <w:gridSpan w:val="2"/>
            <w:tcBorders>
              <w:top w:val="single" w:sz="4" w:space="0" w:color="auto"/>
              <w:left w:val="single" w:sz="4" w:space="0" w:color="auto"/>
              <w:bottom w:val="single" w:sz="4" w:space="0" w:color="auto"/>
              <w:right w:val="single" w:sz="4" w:space="0" w:color="auto"/>
            </w:tcBorders>
          </w:tcPr>
          <w:p w14:paraId="7DE4AB41" w14:textId="77777777" w:rsidR="00B11F66" w:rsidRPr="0049470F" w:rsidRDefault="00B11F66" w:rsidP="00B11F66">
            <w:pPr>
              <w:pStyle w:val="naisc"/>
              <w:spacing w:before="120" w:after="240"/>
              <w:rPr>
                <w:b/>
              </w:rPr>
            </w:pPr>
            <w:r w:rsidRPr="0049470F">
              <w:rPr>
                <w:b/>
              </w:rPr>
              <w:t>Ņemts vērā</w:t>
            </w:r>
          </w:p>
          <w:p w14:paraId="046E3C20" w14:textId="45571746" w:rsidR="003717AB" w:rsidRPr="0049470F" w:rsidRDefault="00B11F66" w:rsidP="002B22C7">
            <w:pPr>
              <w:pStyle w:val="naisc"/>
              <w:spacing w:before="120" w:after="240"/>
              <w:jc w:val="both"/>
              <w:rPr>
                <w:b/>
              </w:rPr>
            </w:pPr>
            <w:r w:rsidRPr="000A4197">
              <w:t>Informat</w:t>
            </w:r>
            <w:r w:rsidR="002B22C7">
              <w:t>īv</w:t>
            </w:r>
            <w:r w:rsidR="001254B0">
              <w:t>ais</w:t>
            </w:r>
            <w:r w:rsidR="002B22C7">
              <w:t xml:space="preserve"> ziņojum</w:t>
            </w:r>
            <w:r w:rsidR="001254B0">
              <w:t xml:space="preserve">s papildināts ar </w:t>
            </w:r>
            <w:r w:rsidR="002B22C7">
              <w:t>detalizēt</w:t>
            </w:r>
            <w:r w:rsidR="001254B0">
              <w:t>āku</w:t>
            </w:r>
            <w:r w:rsidR="002B22C7">
              <w:t xml:space="preserve"> Konkurences padomei 2020.gadā papildus nepieciešamā finansējuma aprēķin</w:t>
            </w:r>
            <w:r w:rsidR="001254B0">
              <w:t>u (skatīt 6.lpp</w:t>
            </w:r>
            <w:r w:rsidR="002B22C7">
              <w:t>.</w:t>
            </w:r>
            <w:r w:rsidR="001254B0">
              <w:t>)</w:t>
            </w:r>
          </w:p>
        </w:tc>
        <w:tc>
          <w:tcPr>
            <w:tcW w:w="3235" w:type="dxa"/>
            <w:tcBorders>
              <w:top w:val="single" w:sz="4" w:space="0" w:color="auto"/>
              <w:left w:val="single" w:sz="4" w:space="0" w:color="auto"/>
              <w:bottom w:val="single" w:sz="4" w:space="0" w:color="auto"/>
            </w:tcBorders>
          </w:tcPr>
          <w:p w14:paraId="1405403D" w14:textId="77777777" w:rsidR="003717AB" w:rsidRPr="0049470F" w:rsidRDefault="003717AB" w:rsidP="005F2378">
            <w:pPr>
              <w:spacing w:after="0" w:line="240" w:lineRule="auto"/>
              <w:jc w:val="both"/>
              <w:rPr>
                <w:rFonts w:ascii="Times New Roman" w:hAnsi="Times New Roman" w:cs="Times New Roman"/>
                <w:sz w:val="24"/>
                <w:szCs w:val="24"/>
              </w:rPr>
            </w:pPr>
          </w:p>
        </w:tc>
      </w:tr>
      <w:tr w:rsidR="00BD77CF" w:rsidRPr="00387DD8" w14:paraId="3B6F607E"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6DF8B72A" w14:textId="6FA57102" w:rsidR="00BD77CF" w:rsidRDefault="00BD77CF" w:rsidP="00BD77CF">
            <w:pPr>
              <w:pStyle w:val="naiskr"/>
              <w:spacing w:before="0" w:after="0"/>
              <w:jc w:val="both"/>
              <w:rPr>
                <w:sz w:val="22"/>
                <w:szCs w:val="22"/>
              </w:rPr>
            </w:pPr>
          </w:p>
          <w:p w14:paraId="7997CB54" w14:textId="77777777" w:rsidR="00BD77CF" w:rsidRPr="00C86283" w:rsidRDefault="00BD77CF" w:rsidP="00BD77CF">
            <w:pPr>
              <w:pStyle w:val="naiskr"/>
              <w:spacing w:before="0" w:after="0"/>
              <w:jc w:val="both"/>
              <w:rPr>
                <w:sz w:val="22"/>
                <w:szCs w:val="22"/>
              </w:rPr>
            </w:pPr>
            <w:r w:rsidRPr="00C86283">
              <w:rPr>
                <w:sz w:val="22"/>
                <w:szCs w:val="22"/>
              </w:rPr>
              <w:t>Atbildīgā amatpersona</w:t>
            </w:r>
          </w:p>
        </w:tc>
        <w:tc>
          <w:tcPr>
            <w:tcW w:w="6354" w:type="dxa"/>
            <w:gridSpan w:val="3"/>
          </w:tcPr>
          <w:p w14:paraId="4F604622" w14:textId="77777777" w:rsidR="00BD77CF" w:rsidRPr="00C86283" w:rsidRDefault="00BD77CF" w:rsidP="00BD77CF">
            <w:pPr>
              <w:pStyle w:val="naiskr"/>
              <w:spacing w:before="0" w:after="0"/>
              <w:ind w:firstLine="720"/>
              <w:jc w:val="both"/>
              <w:rPr>
                <w:sz w:val="22"/>
                <w:szCs w:val="22"/>
              </w:rPr>
            </w:pPr>
            <w:r w:rsidRPr="00C86283">
              <w:rPr>
                <w:sz w:val="22"/>
                <w:szCs w:val="22"/>
              </w:rPr>
              <w:t>  </w:t>
            </w:r>
          </w:p>
        </w:tc>
      </w:tr>
      <w:tr w:rsidR="00BD77CF" w:rsidRPr="00387DD8" w14:paraId="2414A55F" w14:textId="77777777" w:rsidTr="00CB0D2A">
        <w:tblPrEx>
          <w:tblBorders>
            <w:top w:val="none" w:sz="0" w:space="0" w:color="auto"/>
            <w:left w:val="none" w:sz="0" w:space="0" w:color="auto"/>
            <w:bottom w:val="none" w:sz="0" w:space="0" w:color="auto"/>
            <w:right w:val="none" w:sz="0" w:space="0" w:color="auto"/>
          </w:tblBorders>
        </w:tblPrEx>
        <w:trPr>
          <w:gridAfter w:val="2"/>
          <w:wAfter w:w="5705" w:type="dxa"/>
        </w:trPr>
        <w:tc>
          <w:tcPr>
            <w:tcW w:w="3426" w:type="dxa"/>
            <w:gridSpan w:val="2"/>
          </w:tcPr>
          <w:p w14:paraId="3AD588F5" w14:textId="77777777" w:rsidR="00BD77CF" w:rsidRPr="00C86283" w:rsidRDefault="00BD77CF" w:rsidP="00BD77CF">
            <w:pPr>
              <w:pStyle w:val="naiskr"/>
              <w:spacing w:before="0" w:after="0"/>
              <w:ind w:firstLine="720"/>
              <w:jc w:val="both"/>
              <w:rPr>
                <w:sz w:val="22"/>
                <w:szCs w:val="22"/>
              </w:rPr>
            </w:pPr>
          </w:p>
        </w:tc>
        <w:tc>
          <w:tcPr>
            <w:tcW w:w="6354" w:type="dxa"/>
            <w:gridSpan w:val="3"/>
            <w:tcBorders>
              <w:top w:val="single" w:sz="6" w:space="0" w:color="000000"/>
            </w:tcBorders>
          </w:tcPr>
          <w:p w14:paraId="2CF3E7E9" w14:textId="77777777" w:rsidR="00BD77CF" w:rsidRPr="00C86283" w:rsidRDefault="00BD77CF" w:rsidP="00BD77CF">
            <w:pPr>
              <w:pStyle w:val="naisc"/>
              <w:spacing w:before="0" w:after="0"/>
              <w:ind w:firstLine="720"/>
              <w:jc w:val="both"/>
              <w:rPr>
                <w:sz w:val="22"/>
                <w:szCs w:val="22"/>
              </w:rPr>
            </w:pPr>
            <w:r w:rsidRPr="00C86283">
              <w:rPr>
                <w:sz w:val="22"/>
                <w:szCs w:val="22"/>
              </w:rPr>
              <w:t>(paraksts)</w:t>
            </w:r>
          </w:p>
        </w:tc>
      </w:tr>
    </w:tbl>
    <w:p w14:paraId="2E0C21A2" w14:textId="77777777" w:rsidR="00770204" w:rsidRDefault="00770204" w:rsidP="007A479E">
      <w:pPr>
        <w:pStyle w:val="naisf"/>
        <w:tabs>
          <w:tab w:val="left" w:pos="-851"/>
        </w:tabs>
        <w:spacing w:before="0" w:after="0"/>
        <w:ind w:left="-851" w:firstLine="0"/>
        <w:rPr>
          <w:sz w:val="22"/>
          <w:szCs w:val="22"/>
        </w:rPr>
      </w:pPr>
    </w:p>
    <w:p w14:paraId="316A0D76" w14:textId="77777777" w:rsidR="00770204" w:rsidRDefault="00770204" w:rsidP="007A479E">
      <w:pPr>
        <w:pStyle w:val="naisf"/>
        <w:tabs>
          <w:tab w:val="left" w:pos="-851"/>
        </w:tabs>
        <w:spacing w:before="0" w:after="0"/>
        <w:ind w:left="-851" w:firstLine="0"/>
        <w:rPr>
          <w:sz w:val="22"/>
          <w:szCs w:val="22"/>
        </w:rPr>
      </w:pPr>
    </w:p>
    <w:p w14:paraId="47F6524E" w14:textId="77777777" w:rsidR="00770204" w:rsidRDefault="00770204" w:rsidP="007A479E">
      <w:pPr>
        <w:pStyle w:val="naisf"/>
        <w:tabs>
          <w:tab w:val="left" w:pos="-851"/>
        </w:tabs>
        <w:spacing w:before="0" w:after="0"/>
        <w:ind w:left="-851" w:firstLine="0"/>
        <w:rPr>
          <w:sz w:val="22"/>
          <w:szCs w:val="22"/>
        </w:rPr>
      </w:pPr>
    </w:p>
    <w:p w14:paraId="4718EB2D" w14:textId="4C933F75" w:rsidR="008F1C84" w:rsidRPr="00C86283" w:rsidRDefault="00CD1A1C" w:rsidP="007A479E">
      <w:pPr>
        <w:pStyle w:val="naisf"/>
        <w:tabs>
          <w:tab w:val="left" w:pos="-851"/>
        </w:tabs>
        <w:spacing w:before="0" w:after="0"/>
        <w:ind w:left="-851" w:firstLine="0"/>
        <w:rPr>
          <w:sz w:val="22"/>
          <w:szCs w:val="22"/>
        </w:rPr>
      </w:pPr>
      <w:r>
        <w:rPr>
          <w:sz w:val="22"/>
          <w:szCs w:val="22"/>
        </w:rPr>
        <w:t>Intars Eglītis</w:t>
      </w:r>
    </w:p>
    <w:p w14:paraId="220309FF" w14:textId="77777777" w:rsidR="008F1C84" w:rsidRPr="00C86283" w:rsidRDefault="008F1C84" w:rsidP="007A479E">
      <w:pPr>
        <w:tabs>
          <w:tab w:val="left" w:pos="-851"/>
        </w:tabs>
        <w:spacing w:after="0" w:line="240" w:lineRule="auto"/>
        <w:ind w:left="-851" w:right="-1828"/>
        <w:jc w:val="both"/>
        <w:rPr>
          <w:rFonts w:ascii="Times New Roman" w:hAnsi="Times New Roman" w:cs="Times New Roman"/>
        </w:rPr>
      </w:pPr>
      <w:r w:rsidRPr="00C86283">
        <w:rPr>
          <w:rFonts w:ascii="Times New Roman" w:hAnsi="Times New Roman" w:cs="Times New Roman"/>
        </w:rPr>
        <w:t xml:space="preserve">Iekšējā tirgus departamenta </w:t>
      </w:r>
      <w:r w:rsidR="00CD1A1C">
        <w:rPr>
          <w:rFonts w:ascii="Times New Roman" w:hAnsi="Times New Roman" w:cs="Times New Roman"/>
        </w:rPr>
        <w:t>direktora vietnieks</w:t>
      </w:r>
    </w:p>
    <w:p w14:paraId="69A33DA5" w14:textId="77777777" w:rsidR="008F1C84" w:rsidRPr="00C86283" w:rsidRDefault="008F1C84" w:rsidP="007A479E">
      <w:pPr>
        <w:pStyle w:val="naisf"/>
        <w:tabs>
          <w:tab w:val="left" w:pos="-851"/>
        </w:tabs>
        <w:spacing w:before="0" w:after="0"/>
        <w:ind w:left="-851" w:firstLine="0"/>
        <w:rPr>
          <w:sz w:val="22"/>
          <w:szCs w:val="22"/>
        </w:rPr>
      </w:pPr>
      <w:r w:rsidRPr="00C86283">
        <w:rPr>
          <w:sz w:val="22"/>
          <w:szCs w:val="22"/>
        </w:rPr>
        <w:t>tālr.: 6701323</w:t>
      </w:r>
      <w:r w:rsidR="00CD1A1C">
        <w:rPr>
          <w:sz w:val="22"/>
          <w:szCs w:val="22"/>
        </w:rPr>
        <w:t>6</w:t>
      </w:r>
      <w:r w:rsidRPr="00C86283">
        <w:rPr>
          <w:sz w:val="22"/>
          <w:szCs w:val="22"/>
        </w:rPr>
        <w:t xml:space="preserve">; Fakss: 67280882, </w:t>
      </w:r>
      <w:hyperlink r:id="rId8" w:history="1">
        <w:r w:rsidR="00CD1A1C" w:rsidRPr="00F3788B">
          <w:rPr>
            <w:rStyle w:val="Hyperlink"/>
            <w:sz w:val="22"/>
            <w:szCs w:val="22"/>
          </w:rPr>
          <w:t>Intars.Eglitis@em.gov.lv</w:t>
        </w:r>
      </w:hyperlink>
    </w:p>
    <w:p w14:paraId="3680E41E" w14:textId="77777777" w:rsidR="008F1C84" w:rsidRPr="00387DD8" w:rsidRDefault="008F1C84" w:rsidP="007A479E">
      <w:pPr>
        <w:pStyle w:val="naisf"/>
        <w:tabs>
          <w:tab w:val="left" w:pos="0"/>
        </w:tabs>
        <w:spacing w:before="0" w:after="0"/>
        <w:ind w:firstLine="0"/>
      </w:pPr>
    </w:p>
    <w:p w14:paraId="09BC3270" w14:textId="767A2BA3" w:rsidR="00CD1A1C" w:rsidRDefault="004307FA" w:rsidP="00CD1A1C">
      <w:pPr>
        <w:pStyle w:val="naisf"/>
        <w:tabs>
          <w:tab w:val="left" w:pos="-851"/>
        </w:tabs>
        <w:spacing w:before="0" w:after="0"/>
        <w:ind w:left="-851" w:firstLine="0"/>
        <w:rPr>
          <w:sz w:val="18"/>
          <w:szCs w:val="18"/>
        </w:rPr>
      </w:pPr>
      <w:r>
        <w:rPr>
          <w:sz w:val="18"/>
          <w:szCs w:val="18"/>
        </w:rPr>
        <w:t>2</w:t>
      </w:r>
      <w:r w:rsidR="00F9023D">
        <w:rPr>
          <w:sz w:val="18"/>
          <w:szCs w:val="18"/>
        </w:rPr>
        <w:t>1</w:t>
      </w:r>
      <w:r w:rsidR="00E232BC" w:rsidRPr="00C86283">
        <w:rPr>
          <w:sz w:val="18"/>
          <w:szCs w:val="18"/>
        </w:rPr>
        <w:t>.</w:t>
      </w:r>
      <w:r w:rsidR="00F4041F">
        <w:rPr>
          <w:sz w:val="18"/>
          <w:szCs w:val="18"/>
        </w:rPr>
        <w:t>0</w:t>
      </w:r>
      <w:r w:rsidR="00F9023D">
        <w:rPr>
          <w:sz w:val="18"/>
          <w:szCs w:val="18"/>
        </w:rPr>
        <w:t>7</w:t>
      </w:r>
      <w:r w:rsidR="008F1C84" w:rsidRPr="00C86283">
        <w:rPr>
          <w:sz w:val="18"/>
          <w:szCs w:val="18"/>
        </w:rPr>
        <w:t>.20</w:t>
      </w:r>
      <w:r w:rsidR="00F9023D">
        <w:rPr>
          <w:sz w:val="18"/>
          <w:szCs w:val="18"/>
        </w:rPr>
        <w:t>20</w:t>
      </w:r>
      <w:r w:rsidR="008F1C84" w:rsidRPr="00C86283">
        <w:rPr>
          <w:sz w:val="18"/>
          <w:szCs w:val="18"/>
        </w:rPr>
        <w:t xml:space="preserve">. </w:t>
      </w:r>
      <w:r w:rsidR="00F9023D">
        <w:rPr>
          <w:sz w:val="18"/>
          <w:szCs w:val="18"/>
        </w:rPr>
        <w:t>14</w:t>
      </w:r>
      <w:r w:rsidR="00A02A1F" w:rsidRPr="00C86283">
        <w:rPr>
          <w:sz w:val="18"/>
          <w:szCs w:val="18"/>
        </w:rPr>
        <w:t>:</w:t>
      </w:r>
      <w:r w:rsidR="00F9023D">
        <w:rPr>
          <w:sz w:val="18"/>
          <w:szCs w:val="18"/>
        </w:rPr>
        <w:t>34</w:t>
      </w:r>
    </w:p>
    <w:p w14:paraId="13E79682" w14:textId="00E2C2EA" w:rsidR="00CD1A1C" w:rsidRPr="00CD1A1C" w:rsidRDefault="00CD1A1C" w:rsidP="00CD1A1C">
      <w:pPr>
        <w:pStyle w:val="naisf"/>
        <w:tabs>
          <w:tab w:val="left" w:pos="-851"/>
        </w:tabs>
        <w:spacing w:before="0" w:after="0"/>
        <w:ind w:left="-851" w:firstLine="0"/>
        <w:rPr>
          <w:sz w:val="18"/>
          <w:szCs w:val="18"/>
        </w:rPr>
      </w:pPr>
      <w:r>
        <w:rPr>
          <w:sz w:val="20"/>
        </w:rPr>
        <w:fldChar w:fldCharType="begin"/>
      </w:r>
      <w:r>
        <w:rPr>
          <w:sz w:val="20"/>
        </w:rPr>
        <w:instrText xml:space="preserve"> NUMWORDS   \* MERGEFORMAT </w:instrText>
      </w:r>
      <w:r>
        <w:rPr>
          <w:sz w:val="20"/>
        </w:rPr>
        <w:fldChar w:fldCharType="separate"/>
      </w:r>
      <w:r w:rsidR="00517DB8">
        <w:rPr>
          <w:noProof/>
          <w:sz w:val="20"/>
        </w:rPr>
        <w:t>592</w:t>
      </w:r>
      <w:r>
        <w:rPr>
          <w:sz w:val="20"/>
        </w:rPr>
        <w:fldChar w:fldCharType="end"/>
      </w:r>
    </w:p>
    <w:p w14:paraId="403C92B4" w14:textId="77777777" w:rsidR="00A02A1F" w:rsidRPr="00C86283" w:rsidRDefault="00BB7E3C" w:rsidP="007A479E">
      <w:pPr>
        <w:pStyle w:val="naisf"/>
        <w:tabs>
          <w:tab w:val="left" w:pos="-851"/>
        </w:tabs>
        <w:spacing w:before="0" w:after="0"/>
        <w:ind w:left="-851" w:firstLine="0"/>
        <w:rPr>
          <w:sz w:val="18"/>
          <w:szCs w:val="18"/>
        </w:rPr>
      </w:pPr>
      <w:r w:rsidRPr="00C86283">
        <w:rPr>
          <w:sz w:val="18"/>
          <w:szCs w:val="18"/>
        </w:rPr>
        <w:t xml:space="preserve">I. Eglītis; </w:t>
      </w:r>
      <w:r w:rsidR="00A02A1F" w:rsidRPr="00C86283">
        <w:rPr>
          <w:sz w:val="18"/>
          <w:szCs w:val="18"/>
        </w:rPr>
        <w:t xml:space="preserve">67013236; </w:t>
      </w:r>
      <w:hyperlink r:id="rId9" w:history="1">
        <w:r w:rsidR="00A02A1F" w:rsidRPr="00C86283">
          <w:rPr>
            <w:rStyle w:val="Hyperlink"/>
            <w:color w:val="auto"/>
            <w:sz w:val="18"/>
            <w:szCs w:val="18"/>
          </w:rPr>
          <w:t>Intars.Eglitis@em.gov.lv</w:t>
        </w:r>
      </w:hyperlink>
      <w:r w:rsidR="00A02A1F" w:rsidRPr="00C86283">
        <w:rPr>
          <w:sz w:val="18"/>
          <w:szCs w:val="18"/>
        </w:rPr>
        <w:t xml:space="preserve"> </w:t>
      </w:r>
    </w:p>
    <w:sectPr w:rsidR="00A02A1F" w:rsidRPr="00C86283" w:rsidSect="0036150E">
      <w:headerReference w:type="default" r:id="rId10"/>
      <w:footerReference w:type="default" r:id="rId11"/>
      <w:footerReference w:type="first" r:id="rId12"/>
      <w:pgSz w:w="16838" w:h="11906" w:orient="landscape"/>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FB32" w14:textId="77777777" w:rsidR="005D67A8" w:rsidRDefault="005D67A8" w:rsidP="00EE4321">
      <w:pPr>
        <w:spacing w:after="0" w:line="240" w:lineRule="auto"/>
      </w:pPr>
      <w:r>
        <w:separator/>
      </w:r>
    </w:p>
  </w:endnote>
  <w:endnote w:type="continuationSeparator" w:id="0">
    <w:p w14:paraId="07CF4990" w14:textId="77777777" w:rsidR="005D67A8" w:rsidRDefault="005D67A8" w:rsidP="00EE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E5C6" w14:textId="26D594DF" w:rsidR="005D67A8" w:rsidRPr="003717AB" w:rsidRDefault="003717AB" w:rsidP="003717AB">
    <w:pPr>
      <w:pStyle w:val="Footer"/>
    </w:pPr>
    <w:r w:rsidRPr="00882FCD">
      <w:rPr>
        <w:rFonts w:ascii="Times New Roman" w:hAnsi="Times New Roman" w:cs="Times New Roman"/>
        <w:sz w:val="20"/>
        <w:szCs w:val="20"/>
      </w:rPr>
      <w:t>EMIzz_</w:t>
    </w:r>
    <w:r w:rsidR="00BD77CF">
      <w:rPr>
        <w:rFonts w:ascii="Times New Roman" w:hAnsi="Times New Roman" w:cs="Times New Roman"/>
        <w:sz w:val="20"/>
        <w:szCs w:val="20"/>
      </w:rPr>
      <w:t>2</w:t>
    </w:r>
    <w:r w:rsidR="002B22C7">
      <w:rPr>
        <w:rFonts w:ascii="Times New Roman" w:hAnsi="Times New Roman" w:cs="Times New Roman"/>
        <w:sz w:val="20"/>
        <w:szCs w:val="20"/>
      </w:rPr>
      <w:t>10720</w:t>
    </w:r>
    <w:r w:rsidRPr="00882FCD">
      <w:rPr>
        <w:rFonts w:ascii="Times New Roman" w:hAnsi="Times New Roman" w:cs="Times New Roman"/>
        <w:sz w:val="20"/>
        <w:szCs w:val="20"/>
      </w:rPr>
      <w:t>_</w:t>
    </w:r>
    <w:r>
      <w:rPr>
        <w:rFonts w:ascii="Times New Roman" w:hAnsi="Times New Roman" w:cs="Times New Roman"/>
        <w:sz w:val="20"/>
        <w:szCs w:val="20"/>
      </w:rPr>
      <w:t xml:space="preserve">KP </w:t>
    </w:r>
    <w:proofErr w:type="spellStart"/>
    <w:r>
      <w:rPr>
        <w:rFonts w:ascii="Times New Roman" w:hAnsi="Times New Roman" w:cs="Times New Roman"/>
        <w:sz w:val="20"/>
        <w:szCs w:val="20"/>
      </w:rPr>
      <w:t>finansialas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neatkaribas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stiprinasana</w:t>
    </w:r>
    <w:proofErr w:type="spellEnd"/>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 xml:space="preserve">Izziņa par atzinumos sniegtajiem iebildumiem par </w:t>
    </w:r>
    <w:r>
      <w:rPr>
        <w:rFonts w:ascii="Times New Roman" w:hAnsi="Times New Roman" w:cs="Times New Roman"/>
        <w:color w:val="000000" w:themeColor="text1"/>
        <w:sz w:val="20"/>
        <w:szCs w:val="20"/>
      </w:rPr>
      <w:t xml:space="preserve">informatīvo ziņojumu </w:t>
    </w:r>
    <w:r w:rsidRPr="00882FCD">
      <w:rPr>
        <w:rFonts w:ascii="Times New Roman" w:hAnsi="Times New Roman" w:cs="Times New Roman"/>
        <w:color w:val="000000" w:themeColor="text1"/>
        <w:sz w:val="20"/>
        <w:szCs w:val="20"/>
      </w:rPr>
      <w:t>“</w:t>
    </w:r>
    <w:r w:rsidRPr="003717AB">
      <w:rPr>
        <w:rFonts w:ascii="Times New Roman" w:hAnsi="Times New Roman" w:cs="Times New Roman"/>
        <w:color w:val="000000" w:themeColor="text1"/>
        <w:sz w:val="20"/>
        <w:szCs w:val="20"/>
      </w:rPr>
      <w:t>Par</w:t>
    </w:r>
    <w:r w:rsidR="002B22C7">
      <w:rPr>
        <w:rFonts w:ascii="Times New Roman" w:hAnsi="Times New Roman" w:cs="Times New Roman"/>
        <w:color w:val="000000" w:themeColor="text1"/>
        <w:sz w:val="20"/>
        <w:szCs w:val="20"/>
      </w:rPr>
      <w:t xml:space="preserve"> Konkurences padomes finansiālās kapacitātes stiprināšanu</w:t>
    </w:r>
    <w:r w:rsidRPr="003717AB">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5A3A" w14:textId="7A8323FC" w:rsidR="005D67A8" w:rsidRPr="003717AB" w:rsidRDefault="0033021C">
    <w:pPr>
      <w:pStyle w:val="Footer"/>
      <w:rPr>
        <w:rFonts w:ascii="Times New Roman" w:hAnsi="Times New Roman" w:cs="Times New Roman"/>
        <w:color w:val="000000" w:themeColor="text1"/>
        <w:sz w:val="20"/>
        <w:szCs w:val="20"/>
      </w:rPr>
    </w:pPr>
    <w:r w:rsidRPr="00882FCD">
      <w:rPr>
        <w:rFonts w:ascii="Times New Roman" w:hAnsi="Times New Roman" w:cs="Times New Roman"/>
        <w:sz w:val="20"/>
        <w:szCs w:val="20"/>
      </w:rPr>
      <w:t>EMIzz_</w:t>
    </w:r>
    <w:r>
      <w:rPr>
        <w:rFonts w:ascii="Times New Roman" w:hAnsi="Times New Roman" w:cs="Times New Roman"/>
        <w:sz w:val="20"/>
        <w:szCs w:val="20"/>
      </w:rPr>
      <w:t>210720</w:t>
    </w:r>
    <w:r w:rsidRPr="00882FCD">
      <w:rPr>
        <w:rFonts w:ascii="Times New Roman" w:hAnsi="Times New Roman" w:cs="Times New Roman"/>
        <w:sz w:val="20"/>
        <w:szCs w:val="20"/>
      </w:rPr>
      <w:t>_</w:t>
    </w:r>
    <w:r>
      <w:rPr>
        <w:rFonts w:ascii="Times New Roman" w:hAnsi="Times New Roman" w:cs="Times New Roman"/>
        <w:sz w:val="20"/>
        <w:szCs w:val="20"/>
      </w:rPr>
      <w:t xml:space="preserve">KP </w:t>
    </w:r>
    <w:proofErr w:type="spellStart"/>
    <w:r>
      <w:rPr>
        <w:rFonts w:ascii="Times New Roman" w:hAnsi="Times New Roman" w:cs="Times New Roman"/>
        <w:sz w:val="20"/>
        <w:szCs w:val="20"/>
      </w:rPr>
      <w:t>finansialas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neatkaribas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stiprinasana</w:t>
    </w:r>
    <w:proofErr w:type="spellEnd"/>
    <w:r w:rsidRPr="00882FCD">
      <w:rPr>
        <w:rFonts w:ascii="Times New Roman" w:hAnsi="Times New Roman" w:cs="Times New Roman"/>
        <w:sz w:val="20"/>
        <w:szCs w:val="20"/>
      </w:rPr>
      <w:t xml:space="preserve">; </w:t>
    </w:r>
    <w:r w:rsidRPr="00882FCD">
      <w:rPr>
        <w:rFonts w:ascii="Times New Roman" w:hAnsi="Times New Roman" w:cs="Times New Roman"/>
        <w:color w:val="000000" w:themeColor="text1"/>
        <w:sz w:val="20"/>
        <w:szCs w:val="20"/>
      </w:rPr>
      <w:t xml:space="preserve">Izziņa par atzinumos sniegtajiem iebildumiem par </w:t>
    </w:r>
    <w:r>
      <w:rPr>
        <w:rFonts w:ascii="Times New Roman" w:hAnsi="Times New Roman" w:cs="Times New Roman"/>
        <w:color w:val="000000" w:themeColor="text1"/>
        <w:sz w:val="20"/>
        <w:szCs w:val="20"/>
      </w:rPr>
      <w:t xml:space="preserve">informatīvo ziņojumu </w:t>
    </w:r>
    <w:r w:rsidRPr="00882FCD">
      <w:rPr>
        <w:rFonts w:ascii="Times New Roman" w:hAnsi="Times New Roman" w:cs="Times New Roman"/>
        <w:color w:val="000000" w:themeColor="text1"/>
        <w:sz w:val="20"/>
        <w:szCs w:val="20"/>
      </w:rPr>
      <w:t>“</w:t>
    </w:r>
    <w:r w:rsidRPr="003717AB">
      <w:rPr>
        <w:rFonts w:ascii="Times New Roman" w:hAnsi="Times New Roman" w:cs="Times New Roman"/>
        <w:color w:val="000000" w:themeColor="text1"/>
        <w:sz w:val="20"/>
        <w:szCs w:val="20"/>
      </w:rPr>
      <w:t>Par</w:t>
    </w:r>
    <w:r>
      <w:rPr>
        <w:rFonts w:ascii="Times New Roman" w:hAnsi="Times New Roman" w:cs="Times New Roman"/>
        <w:color w:val="000000" w:themeColor="text1"/>
        <w:sz w:val="20"/>
        <w:szCs w:val="20"/>
      </w:rPr>
      <w:t xml:space="preserve"> Konkurences padomes finansiālās kapacitātes stiprināšanu</w:t>
    </w:r>
    <w:r w:rsidRPr="003717AB">
      <w:rPr>
        <w:rFonts w:ascii="Times New Roman" w:hAnsi="Times New Roman" w:cs="Times New Roman"/>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BBF3" w14:textId="77777777" w:rsidR="005D67A8" w:rsidRDefault="005D67A8" w:rsidP="00EE4321">
      <w:pPr>
        <w:spacing w:after="0" w:line="240" w:lineRule="auto"/>
      </w:pPr>
      <w:r>
        <w:separator/>
      </w:r>
    </w:p>
  </w:footnote>
  <w:footnote w:type="continuationSeparator" w:id="0">
    <w:p w14:paraId="34AE3F55" w14:textId="77777777" w:rsidR="005D67A8" w:rsidRDefault="005D67A8" w:rsidP="00EE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402165"/>
      <w:docPartObj>
        <w:docPartGallery w:val="Page Numbers (Top of Page)"/>
        <w:docPartUnique/>
      </w:docPartObj>
    </w:sdtPr>
    <w:sdtEndPr>
      <w:rPr>
        <w:rFonts w:ascii="Times New Roman" w:hAnsi="Times New Roman" w:cs="Times New Roman"/>
        <w:noProof/>
        <w:sz w:val="24"/>
        <w:szCs w:val="24"/>
      </w:rPr>
    </w:sdtEndPr>
    <w:sdtContent>
      <w:p w14:paraId="2DCE5E91" w14:textId="77777777" w:rsidR="005D67A8" w:rsidRPr="001D3FFE" w:rsidRDefault="005D67A8">
        <w:pPr>
          <w:pStyle w:val="Header"/>
          <w:jc w:val="center"/>
          <w:rPr>
            <w:rFonts w:ascii="Times New Roman" w:hAnsi="Times New Roman" w:cs="Times New Roman"/>
            <w:sz w:val="24"/>
            <w:szCs w:val="24"/>
          </w:rPr>
        </w:pPr>
        <w:r w:rsidRPr="001D3FFE">
          <w:rPr>
            <w:rFonts w:ascii="Times New Roman" w:hAnsi="Times New Roman" w:cs="Times New Roman"/>
            <w:sz w:val="24"/>
            <w:szCs w:val="24"/>
          </w:rPr>
          <w:fldChar w:fldCharType="begin"/>
        </w:r>
        <w:r w:rsidRPr="001D3FFE">
          <w:rPr>
            <w:rFonts w:ascii="Times New Roman" w:hAnsi="Times New Roman" w:cs="Times New Roman"/>
            <w:sz w:val="24"/>
            <w:szCs w:val="24"/>
          </w:rPr>
          <w:instrText xml:space="preserve"> PAGE   \* MERGEFORMAT </w:instrText>
        </w:r>
        <w:r w:rsidRPr="001D3F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1D3FFE">
          <w:rPr>
            <w:rFonts w:ascii="Times New Roman" w:hAnsi="Times New Roman" w:cs="Times New Roman"/>
            <w:noProof/>
            <w:sz w:val="24"/>
            <w:szCs w:val="24"/>
          </w:rPr>
          <w:fldChar w:fldCharType="end"/>
        </w:r>
      </w:p>
    </w:sdtContent>
  </w:sdt>
  <w:p w14:paraId="610EA934" w14:textId="77777777" w:rsidR="005D67A8" w:rsidRDefault="005D6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163A"/>
    <w:multiLevelType w:val="hybridMultilevel"/>
    <w:tmpl w:val="123830F8"/>
    <w:lvl w:ilvl="0" w:tplc="891ECE18">
      <w:start w:val="1"/>
      <w:numFmt w:val="upperLetter"/>
      <w:lvlText w:val="%1."/>
      <w:lvlJc w:val="left"/>
      <w:pPr>
        <w:ind w:left="-491" w:hanging="360"/>
      </w:pPr>
      <w:rPr>
        <w:rFonts w:hint="default"/>
      </w:rPr>
    </w:lvl>
    <w:lvl w:ilvl="1" w:tplc="04260019" w:tentative="1">
      <w:start w:val="1"/>
      <w:numFmt w:val="lowerLetter"/>
      <w:lvlText w:val="%2."/>
      <w:lvlJc w:val="left"/>
      <w:pPr>
        <w:ind w:left="229" w:hanging="360"/>
      </w:pPr>
    </w:lvl>
    <w:lvl w:ilvl="2" w:tplc="0426001B" w:tentative="1">
      <w:start w:val="1"/>
      <w:numFmt w:val="lowerRoman"/>
      <w:lvlText w:val="%3."/>
      <w:lvlJc w:val="right"/>
      <w:pPr>
        <w:ind w:left="949" w:hanging="180"/>
      </w:pPr>
    </w:lvl>
    <w:lvl w:ilvl="3" w:tplc="0426000F" w:tentative="1">
      <w:start w:val="1"/>
      <w:numFmt w:val="decimal"/>
      <w:lvlText w:val="%4."/>
      <w:lvlJc w:val="left"/>
      <w:pPr>
        <w:ind w:left="1669" w:hanging="360"/>
      </w:pPr>
    </w:lvl>
    <w:lvl w:ilvl="4" w:tplc="04260019" w:tentative="1">
      <w:start w:val="1"/>
      <w:numFmt w:val="lowerLetter"/>
      <w:lvlText w:val="%5."/>
      <w:lvlJc w:val="left"/>
      <w:pPr>
        <w:ind w:left="2389" w:hanging="360"/>
      </w:pPr>
    </w:lvl>
    <w:lvl w:ilvl="5" w:tplc="0426001B" w:tentative="1">
      <w:start w:val="1"/>
      <w:numFmt w:val="lowerRoman"/>
      <w:lvlText w:val="%6."/>
      <w:lvlJc w:val="right"/>
      <w:pPr>
        <w:ind w:left="3109" w:hanging="180"/>
      </w:pPr>
    </w:lvl>
    <w:lvl w:ilvl="6" w:tplc="0426000F" w:tentative="1">
      <w:start w:val="1"/>
      <w:numFmt w:val="decimal"/>
      <w:lvlText w:val="%7."/>
      <w:lvlJc w:val="left"/>
      <w:pPr>
        <w:ind w:left="3829" w:hanging="360"/>
      </w:pPr>
    </w:lvl>
    <w:lvl w:ilvl="7" w:tplc="04260019" w:tentative="1">
      <w:start w:val="1"/>
      <w:numFmt w:val="lowerLetter"/>
      <w:lvlText w:val="%8."/>
      <w:lvlJc w:val="left"/>
      <w:pPr>
        <w:ind w:left="4549" w:hanging="360"/>
      </w:pPr>
    </w:lvl>
    <w:lvl w:ilvl="8" w:tplc="0426001B" w:tentative="1">
      <w:start w:val="1"/>
      <w:numFmt w:val="lowerRoman"/>
      <w:lvlText w:val="%9."/>
      <w:lvlJc w:val="right"/>
      <w:pPr>
        <w:ind w:left="5269" w:hanging="180"/>
      </w:pPr>
    </w:lvl>
  </w:abstractNum>
  <w:abstractNum w:abstractNumId="1" w15:restartNumberingAfterBreak="0">
    <w:nsid w:val="07294FBB"/>
    <w:multiLevelType w:val="hybridMultilevel"/>
    <w:tmpl w:val="0946382E"/>
    <w:lvl w:ilvl="0" w:tplc="E9CCD086">
      <w:start w:val="1"/>
      <w:numFmt w:val="bullet"/>
      <w:lvlText w:val=""/>
      <w:lvlJc w:val="left"/>
      <w:pPr>
        <w:ind w:left="1332" w:hanging="360"/>
      </w:pPr>
      <w:rPr>
        <w:rFonts w:ascii="Symbol" w:hAnsi="Symbol" w:hint="default"/>
      </w:rPr>
    </w:lvl>
    <w:lvl w:ilvl="1" w:tplc="04260003" w:tentative="1">
      <w:start w:val="1"/>
      <w:numFmt w:val="bullet"/>
      <w:lvlText w:val="o"/>
      <w:lvlJc w:val="left"/>
      <w:pPr>
        <w:ind w:left="2052" w:hanging="360"/>
      </w:pPr>
      <w:rPr>
        <w:rFonts w:ascii="Courier New" w:hAnsi="Courier New" w:cs="Courier New" w:hint="default"/>
      </w:rPr>
    </w:lvl>
    <w:lvl w:ilvl="2" w:tplc="04260005" w:tentative="1">
      <w:start w:val="1"/>
      <w:numFmt w:val="bullet"/>
      <w:lvlText w:val=""/>
      <w:lvlJc w:val="left"/>
      <w:pPr>
        <w:ind w:left="2772" w:hanging="360"/>
      </w:pPr>
      <w:rPr>
        <w:rFonts w:ascii="Wingdings" w:hAnsi="Wingdings" w:hint="default"/>
      </w:rPr>
    </w:lvl>
    <w:lvl w:ilvl="3" w:tplc="04260001" w:tentative="1">
      <w:start w:val="1"/>
      <w:numFmt w:val="bullet"/>
      <w:lvlText w:val=""/>
      <w:lvlJc w:val="left"/>
      <w:pPr>
        <w:ind w:left="3492" w:hanging="360"/>
      </w:pPr>
      <w:rPr>
        <w:rFonts w:ascii="Symbol" w:hAnsi="Symbol" w:hint="default"/>
      </w:rPr>
    </w:lvl>
    <w:lvl w:ilvl="4" w:tplc="04260003" w:tentative="1">
      <w:start w:val="1"/>
      <w:numFmt w:val="bullet"/>
      <w:lvlText w:val="o"/>
      <w:lvlJc w:val="left"/>
      <w:pPr>
        <w:ind w:left="4212" w:hanging="360"/>
      </w:pPr>
      <w:rPr>
        <w:rFonts w:ascii="Courier New" w:hAnsi="Courier New" w:cs="Courier New" w:hint="default"/>
      </w:rPr>
    </w:lvl>
    <w:lvl w:ilvl="5" w:tplc="04260005" w:tentative="1">
      <w:start w:val="1"/>
      <w:numFmt w:val="bullet"/>
      <w:lvlText w:val=""/>
      <w:lvlJc w:val="left"/>
      <w:pPr>
        <w:ind w:left="4932" w:hanging="360"/>
      </w:pPr>
      <w:rPr>
        <w:rFonts w:ascii="Wingdings" w:hAnsi="Wingdings" w:hint="default"/>
      </w:rPr>
    </w:lvl>
    <w:lvl w:ilvl="6" w:tplc="04260001" w:tentative="1">
      <w:start w:val="1"/>
      <w:numFmt w:val="bullet"/>
      <w:lvlText w:val=""/>
      <w:lvlJc w:val="left"/>
      <w:pPr>
        <w:ind w:left="5652" w:hanging="360"/>
      </w:pPr>
      <w:rPr>
        <w:rFonts w:ascii="Symbol" w:hAnsi="Symbol" w:hint="default"/>
      </w:rPr>
    </w:lvl>
    <w:lvl w:ilvl="7" w:tplc="04260003" w:tentative="1">
      <w:start w:val="1"/>
      <w:numFmt w:val="bullet"/>
      <w:lvlText w:val="o"/>
      <w:lvlJc w:val="left"/>
      <w:pPr>
        <w:ind w:left="6372" w:hanging="360"/>
      </w:pPr>
      <w:rPr>
        <w:rFonts w:ascii="Courier New" w:hAnsi="Courier New" w:cs="Courier New" w:hint="default"/>
      </w:rPr>
    </w:lvl>
    <w:lvl w:ilvl="8" w:tplc="04260005" w:tentative="1">
      <w:start w:val="1"/>
      <w:numFmt w:val="bullet"/>
      <w:lvlText w:val=""/>
      <w:lvlJc w:val="left"/>
      <w:pPr>
        <w:ind w:left="7092" w:hanging="360"/>
      </w:pPr>
      <w:rPr>
        <w:rFonts w:ascii="Wingdings" w:hAnsi="Wingdings" w:hint="default"/>
      </w:rPr>
    </w:lvl>
  </w:abstractNum>
  <w:abstractNum w:abstractNumId="2" w15:restartNumberingAfterBreak="0">
    <w:nsid w:val="07A856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7DD4E14"/>
    <w:multiLevelType w:val="hybridMultilevel"/>
    <w:tmpl w:val="22F446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3849B7"/>
    <w:multiLevelType w:val="hybridMultilevel"/>
    <w:tmpl w:val="03565800"/>
    <w:lvl w:ilvl="0" w:tplc="C0C2744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EF027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1F815518"/>
    <w:multiLevelType w:val="hybridMultilevel"/>
    <w:tmpl w:val="99A02F46"/>
    <w:lvl w:ilvl="0" w:tplc="643227E4">
      <w:start w:val="1"/>
      <w:numFmt w:val="bullet"/>
      <w:lvlText w:val="̶"/>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17A088B"/>
    <w:multiLevelType w:val="hybridMultilevel"/>
    <w:tmpl w:val="F2429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77764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2C636D4"/>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1" w15:restartNumberingAfterBreak="0">
    <w:nsid w:val="26461477"/>
    <w:multiLevelType w:val="hybridMultilevel"/>
    <w:tmpl w:val="391C656A"/>
    <w:lvl w:ilvl="0" w:tplc="6F5EED2C">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F726BC8"/>
    <w:multiLevelType w:val="hybridMultilevel"/>
    <w:tmpl w:val="7732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47CD5"/>
    <w:multiLevelType w:val="multilevel"/>
    <w:tmpl w:val="A4EEB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2301ED7"/>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33F87DB0"/>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6FD58CE"/>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706120E"/>
    <w:multiLevelType w:val="hybridMultilevel"/>
    <w:tmpl w:val="3334A134"/>
    <w:lvl w:ilvl="0" w:tplc="4E74262E">
      <w:start w:val="1"/>
      <w:numFmt w:val="decimal"/>
      <w:lvlText w:val="%1."/>
      <w:lvlJc w:val="left"/>
      <w:pPr>
        <w:ind w:left="2400" w:hanging="9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6A095B"/>
    <w:multiLevelType w:val="hybridMultilevel"/>
    <w:tmpl w:val="DC8438EE"/>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A8B2C43"/>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C803BA3"/>
    <w:multiLevelType w:val="hybridMultilevel"/>
    <w:tmpl w:val="710C5148"/>
    <w:lvl w:ilvl="0" w:tplc="B998A628">
      <w:start w:val="1"/>
      <w:numFmt w:val="lowerLetter"/>
      <w:lvlText w:val="%1)"/>
      <w:lvlJc w:val="left"/>
      <w:pPr>
        <w:ind w:left="-351" w:hanging="360"/>
      </w:pPr>
      <w:rPr>
        <w:rFonts w:ascii="Times New Roman" w:eastAsia="Calibri" w:hAnsi="Times New Roman" w:cs="Times New Roman"/>
      </w:rPr>
    </w:lvl>
    <w:lvl w:ilvl="1" w:tplc="04260003" w:tentative="1">
      <w:start w:val="1"/>
      <w:numFmt w:val="bullet"/>
      <w:lvlText w:val="o"/>
      <w:lvlJc w:val="left"/>
      <w:pPr>
        <w:ind w:left="369" w:hanging="360"/>
      </w:pPr>
      <w:rPr>
        <w:rFonts w:ascii="Courier New" w:hAnsi="Courier New" w:cs="Courier New" w:hint="default"/>
      </w:rPr>
    </w:lvl>
    <w:lvl w:ilvl="2" w:tplc="04260005" w:tentative="1">
      <w:start w:val="1"/>
      <w:numFmt w:val="bullet"/>
      <w:lvlText w:val=""/>
      <w:lvlJc w:val="left"/>
      <w:pPr>
        <w:ind w:left="1089" w:hanging="360"/>
      </w:pPr>
      <w:rPr>
        <w:rFonts w:ascii="Wingdings" w:hAnsi="Wingdings" w:hint="default"/>
      </w:rPr>
    </w:lvl>
    <w:lvl w:ilvl="3" w:tplc="04260001" w:tentative="1">
      <w:start w:val="1"/>
      <w:numFmt w:val="bullet"/>
      <w:lvlText w:val=""/>
      <w:lvlJc w:val="left"/>
      <w:pPr>
        <w:ind w:left="1809" w:hanging="360"/>
      </w:pPr>
      <w:rPr>
        <w:rFonts w:ascii="Symbol" w:hAnsi="Symbol" w:hint="default"/>
      </w:rPr>
    </w:lvl>
    <w:lvl w:ilvl="4" w:tplc="04260003" w:tentative="1">
      <w:start w:val="1"/>
      <w:numFmt w:val="bullet"/>
      <w:lvlText w:val="o"/>
      <w:lvlJc w:val="left"/>
      <w:pPr>
        <w:ind w:left="2529" w:hanging="360"/>
      </w:pPr>
      <w:rPr>
        <w:rFonts w:ascii="Courier New" w:hAnsi="Courier New" w:cs="Courier New" w:hint="default"/>
      </w:rPr>
    </w:lvl>
    <w:lvl w:ilvl="5" w:tplc="04260005" w:tentative="1">
      <w:start w:val="1"/>
      <w:numFmt w:val="bullet"/>
      <w:lvlText w:val=""/>
      <w:lvlJc w:val="left"/>
      <w:pPr>
        <w:ind w:left="3249" w:hanging="360"/>
      </w:pPr>
      <w:rPr>
        <w:rFonts w:ascii="Wingdings" w:hAnsi="Wingdings" w:hint="default"/>
      </w:rPr>
    </w:lvl>
    <w:lvl w:ilvl="6" w:tplc="04260001" w:tentative="1">
      <w:start w:val="1"/>
      <w:numFmt w:val="bullet"/>
      <w:lvlText w:val=""/>
      <w:lvlJc w:val="left"/>
      <w:pPr>
        <w:ind w:left="3969" w:hanging="360"/>
      </w:pPr>
      <w:rPr>
        <w:rFonts w:ascii="Symbol" w:hAnsi="Symbol" w:hint="default"/>
      </w:rPr>
    </w:lvl>
    <w:lvl w:ilvl="7" w:tplc="04260003" w:tentative="1">
      <w:start w:val="1"/>
      <w:numFmt w:val="bullet"/>
      <w:lvlText w:val="o"/>
      <w:lvlJc w:val="left"/>
      <w:pPr>
        <w:ind w:left="4689" w:hanging="360"/>
      </w:pPr>
      <w:rPr>
        <w:rFonts w:ascii="Courier New" w:hAnsi="Courier New" w:cs="Courier New" w:hint="default"/>
      </w:rPr>
    </w:lvl>
    <w:lvl w:ilvl="8" w:tplc="04260005" w:tentative="1">
      <w:start w:val="1"/>
      <w:numFmt w:val="bullet"/>
      <w:lvlText w:val=""/>
      <w:lvlJc w:val="left"/>
      <w:pPr>
        <w:ind w:left="5409" w:hanging="360"/>
      </w:pPr>
      <w:rPr>
        <w:rFonts w:ascii="Wingdings" w:hAnsi="Wingdings" w:hint="default"/>
      </w:rPr>
    </w:lvl>
  </w:abstractNum>
  <w:abstractNum w:abstractNumId="21" w15:restartNumberingAfterBreak="0">
    <w:nsid w:val="3CDA3F71"/>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34737BC"/>
    <w:multiLevelType w:val="hybridMultilevel"/>
    <w:tmpl w:val="B1F0D900"/>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39C6D8A"/>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47555890"/>
    <w:multiLevelType w:val="hybridMultilevel"/>
    <w:tmpl w:val="C93C9BFE"/>
    <w:lvl w:ilvl="0" w:tplc="D31ECB2E">
      <w:start w:val="1"/>
      <w:numFmt w:val="decimal"/>
      <w:lvlText w:val="%1."/>
      <w:lvlJc w:val="left"/>
      <w:pPr>
        <w:ind w:left="720" w:hanging="360"/>
      </w:pPr>
      <w:rPr>
        <w:rFonts w:hint="default"/>
        <w:b w:val="0"/>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C215F"/>
    <w:multiLevelType w:val="hybridMultilevel"/>
    <w:tmpl w:val="03B825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53EF46AE"/>
    <w:multiLevelType w:val="hybridMultilevel"/>
    <w:tmpl w:val="16AE784E"/>
    <w:lvl w:ilvl="0" w:tplc="3D64853E">
      <w:start w:val="1"/>
      <w:numFmt w:val="decimal"/>
      <w:lvlText w:val="%1."/>
      <w:lvlJc w:val="left"/>
      <w:pPr>
        <w:ind w:left="720" w:hanging="360"/>
      </w:pPr>
      <w:rPr>
        <w:rFonts w:ascii="Times New Roman" w:eastAsia="Times New Roman" w:hAnsi="Times New Roman" w:cs="Times New Roman"/>
      </w:rPr>
    </w:lvl>
    <w:lvl w:ilvl="1" w:tplc="392463EA">
      <w:start w:val="1"/>
      <w:numFmt w:val="lowerLetter"/>
      <w:lvlText w:val="%2."/>
      <w:lvlJc w:val="left"/>
      <w:pPr>
        <w:ind w:left="1440" w:hanging="360"/>
      </w:pPr>
    </w:lvl>
    <w:lvl w:ilvl="2" w:tplc="7FC62D0A">
      <w:start w:val="1"/>
      <w:numFmt w:val="lowerRoman"/>
      <w:lvlText w:val="%3."/>
      <w:lvlJc w:val="right"/>
      <w:pPr>
        <w:ind w:left="2160" w:hanging="180"/>
      </w:pPr>
    </w:lvl>
    <w:lvl w:ilvl="3" w:tplc="3C8C3748">
      <w:start w:val="1"/>
      <w:numFmt w:val="decimal"/>
      <w:lvlText w:val="%4."/>
      <w:lvlJc w:val="left"/>
      <w:pPr>
        <w:ind w:left="2880" w:hanging="360"/>
      </w:pPr>
    </w:lvl>
    <w:lvl w:ilvl="4" w:tplc="30243A9A" w:tentative="1">
      <w:start w:val="1"/>
      <w:numFmt w:val="lowerLetter"/>
      <w:lvlText w:val="%5."/>
      <w:lvlJc w:val="left"/>
      <w:pPr>
        <w:ind w:left="3600" w:hanging="360"/>
      </w:pPr>
    </w:lvl>
    <w:lvl w:ilvl="5" w:tplc="8E9454BC" w:tentative="1">
      <w:start w:val="1"/>
      <w:numFmt w:val="lowerRoman"/>
      <w:lvlText w:val="%6."/>
      <w:lvlJc w:val="right"/>
      <w:pPr>
        <w:ind w:left="4320" w:hanging="180"/>
      </w:pPr>
    </w:lvl>
    <w:lvl w:ilvl="6" w:tplc="2FBCCE80" w:tentative="1">
      <w:start w:val="1"/>
      <w:numFmt w:val="decimal"/>
      <w:lvlText w:val="%7."/>
      <w:lvlJc w:val="left"/>
      <w:pPr>
        <w:ind w:left="5040" w:hanging="360"/>
      </w:pPr>
    </w:lvl>
    <w:lvl w:ilvl="7" w:tplc="B2B087C0" w:tentative="1">
      <w:start w:val="1"/>
      <w:numFmt w:val="lowerLetter"/>
      <w:lvlText w:val="%8."/>
      <w:lvlJc w:val="left"/>
      <w:pPr>
        <w:ind w:left="5760" w:hanging="360"/>
      </w:pPr>
    </w:lvl>
    <w:lvl w:ilvl="8" w:tplc="6E7630F8" w:tentative="1">
      <w:start w:val="1"/>
      <w:numFmt w:val="lowerRoman"/>
      <w:lvlText w:val="%9."/>
      <w:lvlJc w:val="right"/>
      <w:pPr>
        <w:ind w:left="6480" w:hanging="180"/>
      </w:pPr>
    </w:lvl>
  </w:abstractNum>
  <w:abstractNum w:abstractNumId="27" w15:restartNumberingAfterBreak="0">
    <w:nsid w:val="55265AC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55E14DB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15:restartNumberingAfterBreak="0">
    <w:nsid w:val="5C9F0AED"/>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624D6880"/>
    <w:multiLevelType w:val="hybridMultilevel"/>
    <w:tmpl w:val="54AE176A"/>
    <w:lvl w:ilvl="0" w:tplc="0409000B">
      <w:start w:val="1"/>
      <w:numFmt w:val="bullet"/>
      <w:lvlText w:val=""/>
      <w:lvlJc w:val="left"/>
      <w:pPr>
        <w:ind w:left="1996" w:hanging="360"/>
      </w:pPr>
      <w:rPr>
        <w:rFonts w:ascii="Wingdings" w:hAnsi="Wingdings"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1" w15:restartNumberingAfterBreak="0">
    <w:nsid w:val="639E7E26"/>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15:restartNumberingAfterBreak="0">
    <w:nsid w:val="66AA42CA"/>
    <w:multiLevelType w:val="hybridMultilevel"/>
    <w:tmpl w:val="EC9A830C"/>
    <w:lvl w:ilvl="0" w:tplc="73E489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674D5296"/>
    <w:multiLevelType w:val="hybridMultilevel"/>
    <w:tmpl w:val="6C4AAEE8"/>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4" w15:restartNumberingAfterBreak="0">
    <w:nsid w:val="69610205"/>
    <w:multiLevelType w:val="multilevel"/>
    <w:tmpl w:val="1916B92A"/>
    <w:lvl w:ilvl="0">
      <w:start w:val="1"/>
      <w:numFmt w:val="decimal"/>
      <w:lvlText w:val="%1."/>
      <w:lvlJc w:val="left"/>
      <w:pPr>
        <w:ind w:left="2400" w:hanging="9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CED0A40"/>
    <w:multiLevelType w:val="hybridMultilevel"/>
    <w:tmpl w:val="E1FC1822"/>
    <w:lvl w:ilvl="0" w:tplc="BCFEF25E">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3F37DB7"/>
    <w:multiLevelType w:val="hybridMultilevel"/>
    <w:tmpl w:val="8A984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677A0D"/>
    <w:multiLevelType w:val="hybridMultilevel"/>
    <w:tmpl w:val="4194229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9" w15:restartNumberingAfterBreak="0">
    <w:nsid w:val="777F1D95"/>
    <w:multiLevelType w:val="hybridMultilevel"/>
    <w:tmpl w:val="32649BAC"/>
    <w:lvl w:ilvl="0" w:tplc="E9CCD08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8F478FC"/>
    <w:multiLevelType w:val="hybridMultilevel"/>
    <w:tmpl w:val="619C0C90"/>
    <w:lvl w:ilvl="0" w:tplc="0409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21"/>
  </w:num>
  <w:num w:numId="4">
    <w:abstractNumId w:val="29"/>
  </w:num>
  <w:num w:numId="5">
    <w:abstractNumId w:val="16"/>
  </w:num>
  <w:num w:numId="6">
    <w:abstractNumId w:val="27"/>
  </w:num>
  <w:num w:numId="7">
    <w:abstractNumId w:val="34"/>
  </w:num>
  <w:num w:numId="8">
    <w:abstractNumId w:val="5"/>
  </w:num>
  <w:num w:numId="9">
    <w:abstractNumId w:val="2"/>
  </w:num>
  <w:num w:numId="10">
    <w:abstractNumId w:val="19"/>
  </w:num>
  <w:num w:numId="11">
    <w:abstractNumId w:val="15"/>
  </w:num>
  <w:num w:numId="12">
    <w:abstractNumId w:val="28"/>
  </w:num>
  <w:num w:numId="13">
    <w:abstractNumId w:val="31"/>
  </w:num>
  <w:num w:numId="14">
    <w:abstractNumId w:val="17"/>
  </w:num>
  <w:num w:numId="15">
    <w:abstractNumId w:val="32"/>
  </w:num>
  <w:num w:numId="16">
    <w:abstractNumId w:val="7"/>
  </w:num>
  <w:num w:numId="17">
    <w:abstractNumId w:val="8"/>
  </w:num>
  <w:num w:numId="18">
    <w:abstractNumId w:val="11"/>
  </w:num>
  <w:num w:numId="19">
    <w:abstractNumId w:val="12"/>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24"/>
  </w:num>
  <w:num w:numId="25">
    <w:abstractNumId w:val="4"/>
  </w:num>
  <w:num w:numId="26">
    <w:abstractNumId w:val="30"/>
  </w:num>
  <w:num w:numId="27">
    <w:abstractNumId w:val="40"/>
  </w:num>
  <w:num w:numId="28">
    <w:abstractNumId w:val="22"/>
  </w:num>
  <w:num w:numId="29">
    <w:abstractNumId w:val="36"/>
  </w:num>
  <w:num w:numId="30">
    <w:abstractNumId w:val="18"/>
  </w:num>
  <w:num w:numId="31">
    <w:abstractNumId w:val="1"/>
  </w:num>
  <w:num w:numId="32">
    <w:abstractNumId w:val="26"/>
  </w:num>
  <w:num w:numId="33">
    <w:abstractNumId w:val="20"/>
  </w:num>
  <w:num w:numId="34">
    <w:abstractNumId w:val="39"/>
  </w:num>
  <w:num w:numId="35">
    <w:abstractNumId w:val="6"/>
  </w:num>
  <w:num w:numId="36">
    <w:abstractNumId w:val="13"/>
  </w:num>
  <w:num w:numId="37">
    <w:abstractNumId w:val="35"/>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84"/>
    <w:rsid w:val="000007BD"/>
    <w:rsid w:val="000055AE"/>
    <w:rsid w:val="00007BC2"/>
    <w:rsid w:val="00010F6D"/>
    <w:rsid w:val="0001103B"/>
    <w:rsid w:val="00012ED9"/>
    <w:rsid w:val="000218B7"/>
    <w:rsid w:val="00025091"/>
    <w:rsid w:val="000341A0"/>
    <w:rsid w:val="00050A11"/>
    <w:rsid w:val="00053392"/>
    <w:rsid w:val="00060A9B"/>
    <w:rsid w:val="0006500B"/>
    <w:rsid w:val="00066268"/>
    <w:rsid w:val="00072A38"/>
    <w:rsid w:val="0008279D"/>
    <w:rsid w:val="000A4197"/>
    <w:rsid w:val="000A694E"/>
    <w:rsid w:val="000A78D8"/>
    <w:rsid w:val="000B4E86"/>
    <w:rsid w:val="000B6D82"/>
    <w:rsid w:val="000C108D"/>
    <w:rsid w:val="000C135B"/>
    <w:rsid w:val="000C2941"/>
    <w:rsid w:val="000C69DF"/>
    <w:rsid w:val="000D1CD3"/>
    <w:rsid w:val="000E0CED"/>
    <w:rsid w:val="000E3D57"/>
    <w:rsid w:val="000E7AD3"/>
    <w:rsid w:val="000F02FF"/>
    <w:rsid w:val="000F488E"/>
    <w:rsid w:val="001019A5"/>
    <w:rsid w:val="00105F47"/>
    <w:rsid w:val="001072FA"/>
    <w:rsid w:val="00113482"/>
    <w:rsid w:val="001155A9"/>
    <w:rsid w:val="001254B0"/>
    <w:rsid w:val="00127BD8"/>
    <w:rsid w:val="001400FA"/>
    <w:rsid w:val="00142A66"/>
    <w:rsid w:val="00155183"/>
    <w:rsid w:val="001619F3"/>
    <w:rsid w:val="001641A4"/>
    <w:rsid w:val="0017495F"/>
    <w:rsid w:val="001A6177"/>
    <w:rsid w:val="001B127A"/>
    <w:rsid w:val="001C6727"/>
    <w:rsid w:val="001C69ED"/>
    <w:rsid w:val="001C7550"/>
    <w:rsid w:val="001D3FFE"/>
    <w:rsid w:val="001F4837"/>
    <w:rsid w:val="001F512F"/>
    <w:rsid w:val="002005C4"/>
    <w:rsid w:val="00200E5F"/>
    <w:rsid w:val="002044F3"/>
    <w:rsid w:val="00205358"/>
    <w:rsid w:val="00205DDB"/>
    <w:rsid w:val="00223E85"/>
    <w:rsid w:val="002379C9"/>
    <w:rsid w:val="0024112B"/>
    <w:rsid w:val="00242033"/>
    <w:rsid w:val="002523F5"/>
    <w:rsid w:val="0026001B"/>
    <w:rsid w:val="00263C8B"/>
    <w:rsid w:val="00266014"/>
    <w:rsid w:val="00276BFE"/>
    <w:rsid w:val="00290FAD"/>
    <w:rsid w:val="00293430"/>
    <w:rsid w:val="002A05D6"/>
    <w:rsid w:val="002A289B"/>
    <w:rsid w:val="002A2B48"/>
    <w:rsid w:val="002A3AF5"/>
    <w:rsid w:val="002A7ADA"/>
    <w:rsid w:val="002B22C7"/>
    <w:rsid w:val="002B6AF3"/>
    <w:rsid w:val="002C0FC6"/>
    <w:rsid w:val="002C4799"/>
    <w:rsid w:val="002C7360"/>
    <w:rsid w:val="002D158B"/>
    <w:rsid w:val="002D656E"/>
    <w:rsid w:val="002D7A16"/>
    <w:rsid w:val="002E1301"/>
    <w:rsid w:val="002E2C94"/>
    <w:rsid w:val="002F02A1"/>
    <w:rsid w:val="002F518F"/>
    <w:rsid w:val="002F6EE7"/>
    <w:rsid w:val="0030604D"/>
    <w:rsid w:val="0031215A"/>
    <w:rsid w:val="00314802"/>
    <w:rsid w:val="00316605"/>
    <w:rsid w:val="0032028D"/>
    <w:rsid w:val="00320F81"/>
    <w:rsid w:val="0032126A"/>
    <w:rsid w:val="00324A65"/>
    <w:rsid w:val="0033021C"/>
    <w:rsid w:val="003302E9"/>
    <w:rsid w:val="00331366"/>
    <w:rsid w:val="00333C84"/>
    <w:rsid w:val="00340D45"/>
    <w:rsid w:val="00350A4F"/>
    <w:rsid w:val="00360BC4"/>
    <w:rsid w:val="0036150E"/>
    <w:rsid w:val="003717AB"/>
    <w:rsid w:val="00375873"/>
    <w:rsid w:val="00375B83"/>
    <w:rsid w:val="0037777C"/>
    <w:rsid w:val="003815AF"/>
    <w:rsid w:val="003827BC"/>
    <w:rsid w:val="00387DD8"/>
    <w:rsid w:val="003A2997"/>
    <w:rsid w:val="003A58DC"/>
    <w:rsid w:val="003B5B08"/>
    <w:rsid w:val="003B6E78"/>
    <w:rsid w:val="003C265D"/>
    <w:rsid w:val="003C4489"/>
    <w:rsid w:val="003D33EA"/>
    <w:rsid w:val="003E5616"/>
    <w:rsid w:val="003F21F3"/>
    <w:rsid w:val="003F3613"/>
    <w:rsid w:val="003F6997"/>
    <w:rsid w:val="003F7554"/>
    <w:rsid w:val="004016FB"/>
    <w:rsid w:val="0040485D"/>
    <w:rsid w:val="00406288"/>
    <w:rsid w:val="004114BD"/>
    <w:rsid w:val="00411DE1"/>
    <w:rsid w:val="004204EF"/>
    <w:rsid w:val="00422148"/>
    <w:rsid w:val="00424F9A"/>
    <w:rsid w:val="004307FA"/>
    <w:rsid w:val="00436A0F"/>
    <w:rsid w:val="00440DFD"/>
    <w:rsid w:val="00444A17"/>
    <w:rsid w:val="00451F9D"/>
    <w:rsid w:val="00474917"/>
    <w:rsid w:val="0047595F"/>
    <w:rsid w:val="00476A8C"/>
    <w:rsid w:val="004770AF"/>
    <w:rsid w:val="00481B4E"/>
    <w:rsid w:val="004824FB"/>
    <w:rsid w:val="00482782"/>
    <w:rsid w:val="004850BA"/>
    <w:rsid w:val="00485809"/>
    <w:rsid w:val="00485B14"/>
    <w:rsid w:val="00491BEF"/>
    <w:rsid w:val="004946AF"/>
    <w:rsid w:val="0049470F"/>
    <w:rsid w:val="004A3305"/>
    <w:rsid w:val="004A41A3"/>
    <w:rsid w:val="004A60E5"/>
    <w:rsid w:val="004B3804"/>
    <w:rsid w:val="004C100A"/>
    <w:rsid w:val="004D0AEB"/>
    <w:rsid w:val="004D50B9"/>
    <w:rsid w:val="004D7182"/>
    <w:rsid w:val="004E3397"/>
    <w:rsid w:val="004E4801"/>
    <w:rsid w:val="004E54CF"/>
    <w:rsid w:val="004F68A9"/>
    <w:rsid w:val="0050798C"/>
    <w:rsid w:val="00510232"/>
    <w:rsid w:val="00513B5D"/>
    <w:rsid w:val="00514872"/>
    <w:rsid w:val="00517DB8"/>
    <w:rsid w:val="00531AD3"/>
    <w:rsid w:val="005337DD"/>
    <w:rsid w:val="00534385"/>
    <w:rsid w:val="00534A1F"/>
    <w:rsid w:val="005525AA"/>
    <w:rsid w:val="00552BE2"/>
    <w:rsid w:val="005752E9"/>
    <w:rsid w:val="005852EE"/>
    <w:rsid w:val="00586E0E"/>
    <w:rsid w:val="00595FEF"/>
    <w:rsid w:val="005A18AE"/>
    <w:rsid w:val="005A7C0C"/>
    <w:rsid w:val="005B1C48"/>
    <w:rsid w:val="005C71C0"/>
    <w:rsid w:val="005D1FB0"/>
    <w:rsid w:val="005D67A8"/>
    <w:rsid w:val="005E0B69"/>
    <w:rsid w:val="005F2378"/>
    <w:rsid w:val="005F4BCF"/>
    <w:rsid w:val="006038F6"/>
    <w:rsid w:val="006114E3"/>
    <w:rsid w:val="00611C5D"/>
    <w:rsid w:val="00630EB6"/>
    <w:rsid w:val="00644580"/>
    <w:rsid w:val="00654106"/>
    <w:rsid w:val="00654FE0"/>
    <w:rsid w:val="0067232E"/>
    <w:rsid w:val="006773BF"/>
    <w:rsid w:val="006776CE"/>
    <w:rsid w:val="006802A9"/>
    <w:rsid w:val="00683115"/>
    <w:rsid w:val="00686A86"/>
    <w:rsid w:val="00696C6F"/>
    <w:rsid w:val="006B24B3"/>
    <w:rsid w:val="006B3DAD"/>
    <w:rsid w:val="006C1A6F"/>
    <w:rsid w:val="006D1713"/>
    <w:rsid w:val="006D6D39"/>
    <w:rsid w:val="006E2101"/>
    <w:rsid w:val="006E6681"/>
    <w:rsid w:val="006E7156"/>
    <w:rsid w:val="006F2CD5"/>
    <w:rsid w:val="006F3158"/>
    <w:rsid w:val="006F7EC9"/>
    <w:rsid w:val="00700A31"/>
    <w:rsid w:val="00711ECE"/>
    <w:rsid w:val="00714047"/>
    <w:rsid w:val="00720347"/>
    <w:rsid w:val="00725D24"/>
    <w:rsid w:val="00726F8D"/>
    <w:rsid w:val="007310A8"/>
    <w:rsid w:val="00731D3D"/>
    <w:rsid w:val="0073723B"/>
    <w:rsid w:val="00765A56"/>
    <w:rsid w:val="00770204"/>
    <w:rsid w:val="0077219B"/>
    <w:rsid w:val="0077689A"/>
    <w:rsid w:val="00781EBA"/>
    <w:rsid w:val="007820FA"/>
    <w:rsid w:val="00793570"/>
    <w:rsid w:val="007A479E"/>
    <w:rsid w:val="007A6132"/>
    <w:rsid w:val="007C17EC"/>
    <w:rsid w:val="007C5C13"/>
    <w:rsid w:val="007C6793"/>
    <w:rsid w:val="007C7FB9"/>
    <w:rsid w:val="007D3EF4"/>
    <w:rsid w:val="007D64FF"/>
    <w:rsid w:val="007D6B58"/>
    <w:rsid w:val="007E1159"/>
    <w:rsid w:val="007E5D63"/>
    <w:rsid w:val="007E69F4"/>
    <w:rsid w:val="007F21B0"/>
    <w:rsid w:val="007F5617"/>
    <w:rsid w:val="008102C2"/>
    <w:rsid w:val="00812343"/>
    <w:rsid w:val="008167C0"/>
    <w:rsid w:val="00822002"/>
    <w:rsid w:val="0082392B"/>
    <w:rsid w:val="00826CC6"/>
    <w:rsid w:val="00827CF6"/>
    <w:rsid w:val="00832D2B"/>
    <w:rsid w:val="00834214"/>
    <w:rsid w:val="00842B86"/>
    <w:rsid w:val="0087089A"/>
    <w:rsid w:val="00882FCD"/>
    <w:rsid w:val="008A02E1"/>
    <w:rsid w:val="008A1992"/>
    <w:rsid w:val="008B510E"/>
    <w:rsid w:val="008B555D"/>
    <w:rsid w:val="008B6E82"/>
    <w:rsid w:val="008C3B41"/>
    <w:rsid w:val="008D1C77"/>
    <w:rsid w:val="008D301B"/>
    <w:rsid w:val="008D6C99"/>
    <w:rsid w:val="008E0AD9"/>
    <w:rsid w:val="008E1DC4"/>
    <w:rsid w:val="008E3657"/>
    <w:rsid w:val="008F099F"/>
    <w:rsid w:val="008F1C84"/>
    <w:rsid w:val="009034A1"/>
    <w:rsid w:val="00915EB2"/>
    <w:rsid w:val="0091617C"/>
    <w:rsid w:val="009168A8"/>
    <w:rsid w:val="0092456B"/>
    <w:rsid w:val="009257D5"/>
    <w:rsid w:val="00925F5D"/>
    <w:rsid w:val="009462AB"/>
    <w:rsid w:val="0094717B"/>
    <w:rsid w:val="00947B45"/>
    <w:rsid w:val="009665DD"/>
    <w:rsid w:val="0096756F"/>
    <w:rsid w:val="00973783"/>
    <w:rsid w:val="00975835"/>
    <w:rsid w:val="00986CAC"/>
    <w:rsid w:val="009A415C"/>
    <w:rsid w:val="009B1827"/>
    <w:rsid w:val="009B1F55"/>
    <w:rsid w:val="009B54F3"/>
    <w:rsid w:val="009B5E92"/>
    <w:rsid w:val="009C37AC"/>
    <w:rsid w:val="009D4A1C"/>
    <w:rsid w:val="009D77C4"/>
    <w:rsid w:val="009E0004"/>
    <w:rsid w:val="009E6118"/>
    <w:rsid w:val="009E74B9"/>
    <w:rsid w:val="00A02A1F"/>
    <w:rsid w:val="00A06748"/>
    <w:rsid w:val="00A113EA"/>
    <w:rsid w:val="00A11B09"/>
    <w:rsid w:val="00A14703"/>
    <w:rsid w:val="00A22109"/>
    <w:rsid w:val="00A22B06"/>
    <w:rsid w:val="00A34867"/>
    <w:rsid w:val="00A47CB9"/>
    <w:rsid w:val="00A56B50"/>
    <w:rsid w:val="00A652E8"/>
    <w:rsid w:val="00A65B92"/>
    <w:rsid w:val="00A77E60"/>
    <w:rsid w:val="00A84CAA"/>
    <w:rsid w:val="00AA287C"/>
    <w:rsid w:val="00AA3443"/>
    <w:rsid w:val="00AB3EE7"/>
    <w:rsid w:val="00AC0369"/>
    <w:rsid w:val="00AF2838"/>
    <w:rsid w:val="00B01348"/>
    <w:rsid w:val="00B0726B"/>
    <w:rsid w:val="00B11F66"/>
    <w:rsid w:val="00B15F95"/>
    <w:rsid w:val="00B24603"/>
    <w:rsid w:val="00B2650D"/>
    <w:rsid w:val="00B418BE"/>
    <w:rsid w:val="00B428F5"/>
    <w:rsid w:val="00B54791"/>
    <w:rsid w:val="00B61532"/>
    <w:rsid w:val="00B63195"/>
    <w:rsid w:val="00B63A43"/>
    <w:rsid w:val="00B647D7"/>
    <w:rsid w:val="00B72D82"/>
    <w:rsid w:val="00B82435"/>
    <w:rsid w:val="00B8273D"/>
    <w:rsid w:val="00B86F65"/>
    <w:rsid w:val="00B90ADB"/>
    <w:rsid w:val="00BA1977"/>
    <w:rsid w:val="00BA3737"/>
    <w:rsid w:val="00BB06BE"/>
    <w:rsid w:val="00BB0BE1"/>
    <w:rsid w:val="00BB3972"/>
    <w:rsid w:val="00BB7E3C"/>
    <w:rsid w:val="00BC1EB2"/>
    <w:rsid w:val="00BD0B06"/>
    <w:rsid w:val="00BD22BA"/>
    <w:rsid w:val="00BD633C"/>
    <w:rsid w:val="00BD6D33"/>
    <w:rsid w:val="00BD7017"/>
    <w:rsid w:val="00BD77CF"/>
    <w:rsid w:val="00BE3883"/>
    <w:rsid w:val="00BE482D"/>
    <w:rsid w:val="00BE4EFB"/>
    <w:rsid w:val="00BE5050"/>
    <w:rsid w:val="00BE50E7"/>
    <w:rsid w:val="00BE7755"/>
    <w:rsid w:val="00C02A99"/>
    <w:rsid w:val="00C04ED5"/>
    <w:rsid w:val="00C051AD"/>
    <w:rsid w:val="00C10EA2"/>
    <w:rsid w:val="00C117A1"/>
    <w:rsid w:val="00C12CA7"/>
    <w:rsid w:val="00C16275"/>
    <w:rsid w:val="00C16963"/>
    <w:rsid w:val="00C2740F"/>
    <w:rsid w:val="00C34882"/>
    <w:rsid w:val="00C56766"/>
    <w:rsid w:val="00C600CF"/>
    <w:rsid w:val="00C72758"/>
    <w:rsid w:val="00C86283"/>
    <w:rsid w:val="00C903CE"/>
    <w:rsid w:val="00C956FE"/>
    <w:rsid w:val="00CB0D2A"/>
    <w:rsid w:val="00CC20FF"/>
    <w:rsid w:val="00CC3330"/>
    <w:rsid w:val="00CC7F3A"/>
    <w:rsid w:val="00CD131A"/>
    <w:rsid w:val="00CD1A1C"/>
    <w:rsid w:val="00CD5C28"/>
    <w:rsid w:val="00CE1CA4"/>
    <w:rsid w:val="00CE5A49"/>
    <w:rsid w:val="00CF47AF"/>
    <w:rsid w:val="00D00C6D"/>
    <w:rsid w:val="00D073C3"/>
    <w:rsid w:val="00D10881"/>
    <w:rsid w:val="00D10BFC"/>
    <w:rsid w:val="00D3240C"/>
    <w:rsid w:val="00D34A70"/>
    <w:rsid w:val="00D34F6C"/>
    <w:rsid w:val="00D352EA"/>
    <w:rsid w:val="00D41C3D"/>
    <w:rsid w:val="00D532D5"/>
    <w:rsid w:val="00D6202B"/>
    <w:rsid w:val="00D640B8"/>
    <w:rsid w:val="00D726AB"/>
    <w:rsid w:val="00D74882"/>
    <w:rsid w:val="00D75ADE"/>
    <w:rsid w:val="00D762CC"/>
    <w:rsid w:val="00D77A77"/>
    <w:rsid w:val="00D77CE8"/>
    <w:rsid w:val="00D8085E"/>
    <w:rsid w:val="00D8196C"/>
    <w:rsid w:val="00D8474D"/>
    <w:rsid w:val="00D85046"/>
    <w:rsid w:val="00DA7264"/>
    <w:rsid w:val="00DB1920"/>
    <w:rsid w:val="00DB3816"/>
    <w:rsid w:val="00DB60EC"/>
    <w:rsid w:val="00DC0900"/>
    <w:rsid w:val="00DC44C2"/>
    <w:rsid w:val="00DE0080"/>
    <w:rsid w:val="00DE197D"/>
    <w:rsid w:val="00DE1ADE"/>
    <w:rsid w:val="00DF5540"/>
    <w:rsid w:val="00E03F44"/>
    <w:rsid w:val="00E101EA"/>
    <w:rsid w:val="00E1712E"/>
    <w:rsid w:val="00E232BC"/>
    <w:rsid w:val="00E30459"/>
    <w:rsid w:val="00E31983"/>
    <w:rsid w:val="00E329B7"/>
    <w:rsid w:val="00E3378C"/>
    <w:rsid w:val="00E337B4"/>
    <w:rsid w:val="00E3533D"/>
    <w:rsid w:val="00E432FD"/>
    <w:rsid w:val="00E43C31"/>
    <w:rsid w:val="00E52EA1"/>
    <w:rsid w:val="00E55C53"/>
    <w:rsid w:val="00E6239A"/>
    <w:rsid w:val="00E62A7B"/>
    <w:rsid w:val="00E64B63"/>
    <w:rsid w:val="00E66265"/>
    <w:rsid w:val="00E66BF2"/>
    <w:rsid w:val="00E67CCD"/>
    <w:rsid w:val="00E7661A"/>
    <w:rsid w:val="00E81506"/>
    <w:rsid w:val="00E82649"/>
    <w:rsid w:val="00EB0C04"/>
    <w:rsid w:val="00EB2BAD"/>
    <w:rsid w:val="00EB2ED9"/>
    <w:rsid w:val="00EB39F9"/>
    <w:rsid w:val="00EB44A0"/>
    <w:rsid w:val="00EB6D75"/>
    <w:rsid w:val="00EC13D1"/>
    <w:rsid w:val="00EC593C"/>
    <w:rsid w:val="00EC5A31"/>
    <w:rsid w:val="00EC6AC6"/>
    <w:rsid w:val="00ED3840"/>
    <w:rsid w:val="00EE4321"/>
    <w:rsid w:val="00EF41A5"/>
    <w:rsid w:val="00EF4AB9"/>
    <w:rsid w:val="00EF7643"/>
    <w:rsid w:val="00F11F5E"/>
    <w:rsid w:val="00F137C5"/>
    <w:rsid w:val="00F20E34"/>
    <w:rsid w:val="00F228CE"/>
    <w:rsid w:val="00F23CC9"/>
    <w:rsid w:val="00F30260"/>
    <w:rsid w:val="00F33238"/>
    <w:rsid w:val="00F342E1"/>
    <w:rsid w:val="00F4041F"/>
    <w:rsid w:val="00F46AF3"/>
    <w:rsid w:val="00F5098D"/>
    <w:rsid w:val="00F57575"/>
    <w:rsid w:val="00F7721A"/>
    <w:rsid w:val="00F85184"/>
    <w:rsid w:val="00F9023D"/>
    <w:rsid w:val="00F97805"/>
    <w:rsid w:val="00FA15F1"/>
    <w:rsid w:val="00FA1EBE"/>
    <w:rsid w:val="00FA4A0E"/>
    <w:rsid w:val="00FA4F6A"/>
    <w:rsid w:val="00FA6A4B"/>
    <w:rsid w:val="00FB2369"/>
    <w:rsid w:val="00FE31F1"/>
    <w:rsid w:val="00FE6932"/>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C3D5E2"/>
  <w15:chartTrackingRefBased/>
  <w15:docId w15:val="{10FACD4D-0CE4-4605-832B-8AF19072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748"/>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3">
    <w:name w:val="heading 3"/>
    <w:basedOn w:val="Normal"/>
    <w:next w:val="Normal"/>
    <w:link w:val="Heading3Char"/>
    <w:unhideWhenUsed/>
    <w:qFormat/>
    <w:rsid w:val="00827CF6"/>
    <w:pPr>
      <w:keepNext/>
      <w:spacing w:before="240" w:after="60" w:line="240" w:lineRule="auto"/>
      <w:outlineLvl w:val="2"/>
    </w:pPr>
    <w:rPr>
      <w:rFonts w:ascii="Calibri Light" w:eastAsia="Times New Roman" w:hAnsi="Calibri Light" w:cs="Times New Roman"/>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8F1C8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8F1C84"/>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8F1C84"/>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uiPriority w:val="99"/>
    <w:rsid w:val="008F1C84"/>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F1C84"/>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F1C84"/>
    <w:pPr>
      <w:spacing w:after="200" w:line="276" w:lineRule="auto"/>
      <w:ind w:left="720"/>
      <w:contextualSpacing/>
    </w:pPr>
    <w:rPr>
      <w:rFonts w:ascii="Calibri" w:eastAsia="Times New Roman" w:hAnsi="Calibri" w:cs="Times New Roman"/>
    </w:rPr>
  </w:style>
  <w:style w:type="character" w:styleId="Hyperlink">
    <w:name w:val="Hyperlink"/>
    <w:uiPriority w:val="99"/>
    <w:rsid w:val="008F1C84"/>
    <w:rPr>
      <w:color w:val="0000FF"/>
      <w:u w:val="single"/>
    </w:rPr>
  </w:style>
  <w:style w:type="character" w:customStyle="1" w:styleId="apple-converted-space">
    <w:name w:val="apple-converted-space"/>
    <w:basedOn w:val="DefaultParagraphFont"/>
    <w:rsid w:val="008F1C84"/>
  </w:style>
  <w:style w:type="character" w:customStyle="1" w:styleId="ListParagraphChar">
    <w:name w:val="List Paragraph Char"/>
    <w:aliases w:val="2 Char"/>
    <w:basedOn w:val="DefaultParagraphFont"/>
    <w:link w:val="ListParagraph"/>
    <w:uiPriority w:val="34"/>
    <w:locked/>
    <w:rsid w:val="00E67CCD"/>
    <w:rPr>
      <w:rFonts w:ascii="Calibri" w:eastAsia="Times New Roman" w:hAnsi="Calibri" w:cs="Times New Roman"/>
    </w:rPr>
  </w:style>
  <w:style w:type="paragraph" w:customStyle="1" w:styleId="tv213">
    <w:name w:val="tv213"/>
    <w:basedOn w:val="Normal"/>
    <w:rsid w:val="00E3378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A11B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1B09"/>
    <w:rPr>
      <w:sz w:val="16"/>
      <w:szCs w:val="16"/>
    </w:rPr>
  </w:style>
  <w:style w:type="paragraph" w:styleId="CommentText">
    <w:name w:val="annotation text"/>
    <w:basedOn w:val="Normal"/>
    <w:link w:val="CommentTextChar"/>
    <w:unhideWhenUsed/>
    <w:rsid w:val="00A11B09"/>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11B09"/>
    <w:rPr>
      <w:rFonts w:ascii="Times New Roman" w:eastAsia="Calibri" w:hAnsi="Times New Roman" w:cs="Times New Roman"/>
      <w:sz w:val="20"/>
      <w:szCs w:val="20"/>
    </w:rPr>
  </w:style>
  <w:style w:type="paragraph" w:styleId="Header">
    <w:name w:val="header"/>
    <w:basedOn w:val="Normal"/>
    <w:link w:val="HeaderChar"/>
    <w:uiPriority w:val="99"/>
    <w:unhideWhenUsed/>
    <w:rsid w:val="00EE43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321"/>
  </w:style>
  <w:style w:type="paragraph" w:styleId="Footer">
    <w:name w:val="footer"/>
    <w:basedOn w:val="Normal"/>
    <w:link w:val="FooterChar"/>
    <w:uiPriority w:val="99"/>
    <w:unhideWhenUsed/>
    <w:rsid w:val="00EE43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321"/>
  </w:style>
  <w:style w:type="character" w:styleId="CommentReference">
    <w:name w:val="annotation reference"/>
    <w:basedOn w:val="DefaultParagraphFont"/>
    <w:uiPriority w:val="99"/>
    <w:semiHidden/>
    <w:unhideWhenUsed/>
    <w:rsid w:val="00C02A99"/>
    <w:rPr>
      <w:sz w:val="16"/>
      <w:szCs w:val="16"/>
    </w:rPr>
  </w:style>
  <w:style w:type="paragraph" w:styleId="CommentSubject">
    <w:name w:val="annotation subject"/>
    <w:basedOn w:val="CommentText"/>
    <w:next w:val="CommentText"/>
    <w:link w:val="CommentSubjectChar"/>
    <w:uiPriority w:val="99"/>
    <w:unhideWhenUsed/>
    <w:rsid w:val="00C02A9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C02A99"/>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0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99"/>
    <w:rPr>
      <w:rFonts w:ascii="Segoe UI" w:hAnsi="Segoe UI" w:cs="Segoe UI"/>
      <w:sz w:val="18"/>
      <w:szCs w:val="18"/>
    </w:rPr>
  </w:style>
  <w:style w:type="character" w:customStyle="1" w:styleId="Heading1Char">
    <w:name w:val="Heading 1 Char"/>
    <w:basedOn w:val="DefaultParagraphFont"/>
    <w:link w:val="Heading1"/>
    <w:uiPriority w:val="9"/>
    <w:rsid w:val="00A06748"/>
    <w:rPr>
      <w:rFonts w:ascii="Cambria" w:eastAsia="Times New Roman" w:hAnsi="Cambria" w:cs="Times New Roman"/>
      <w:b/>
      <w:bCs/>
      <w:color w:val="365F91"/>
      <w:sz w:val="28"/>
      <w:szCs w:val="28"/>
      <w:lang w:eastAsia="lv-LV"/>
    </w:rPr>
  </w:style>
  <w:style w:type="table" w:styleId="TableGrid">
    <w:name w:val="Table Grid"/>
    <w:basedOn w:val="TableNormal"/>
    <w:uiPriority w:val="39"/>
    <w:rsid w:val="007A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Accent2Char">
    <w:name w:val="Medium Grid 1 - Accent 2 Char"/>
    <w:aliases w:val="Bullet List Char,FooterText Char,Paragraphe de liste1 Char,numbered Char,List Paragraph1 Char,Bulletr List Paragraph Char,列出段落 Char,列出段落1 Char,List Paragraph2 Char,List Paragraph21 Char,Párrafo de lista1 Char,リスト段落1 Char"/>
    <w:link w:val="MediumGrid1-Accent2"/>
    <w:uiPriority w:val="34"/>
    <w:locked/>
    <w:rsid w:val="006C1A6F"/>
    <w:rPr>
      <w:rFonts w:cs="Calibri"/>
      <w:sz w:val="22"/>
      <w:szCs w:val="22"/>
      <w:lang w:val="lv-LV"/>
    </w:rPr>
  </w:style>
  <w:style w:type="table" w:styleId="MediumGrid1-Accent2">
    <w:name w:val="Medium Grid 1 Accent 2"/>
    <w:basedOn w:val="TableNormal"/>
    <w:link w:val="MediumGrid1-Accent2Char"/>
    <w:uiPriority w:val="34"/>
    <w:semiHidden/>
    <w:unhideWhenUsed/>
    <w:rsid w:val="006C1A6F"/>
    <w:pPr>
      <w:spacing w:after="0" w:line="240" w:lineRule="auto"/>
    </w:pPr>
    <w:rPr>
      <w:rFonts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PlainText">
    <w:name w:val="Plain Text"/>
    <w:basedOn w:val="Normal"/>
    <w:link w:val="PlainTextChar"/>
    <w:uiPriority w:val="99"/>
    <w:unhideWhenUsed/>
    <w:rsid w:val="006773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773BF"/>
    <w:rPr>
      <w:rFonts w:ascii="Calibri" w:hAnsi="Calibri" w:cs="Times New Roman"/>
    </w:rPr>
  </w:style>
  <w:style w:type="paragraph" w:styleId="EnvelopeAddress">
    <w:name w:val="envelope address"/>
    <w:basedOn w:val="Normal"/>
    <w:next w:val="Subtitle"/>
    <w:rsid w:val="00B54791"/>
    <w:pPr>
      <w:keepNext/>
      <w:keepLines/>
      <w:widowControl w:val="0"/>
      <w:spacing w:before="60" w:after="60" w:line="240" w:lineRule="auto"/>
      <w:ind w:left="5103"/>
    </w:pPr>
    <w:rPr>
      <w:rFonts w:ascii="Times New Roman" w:eastAsia="Times New Roman" w:hAnsi="Times New Roman" w:cs="Times New Roman"/>
      <w:sz w:val="26"/>
      <w:szCs w:val="20"/>
    </w:rPr>
  </w:style>
  <w:style w:type="paragraph" w:styleId="Subtitle">
    <w:name w:val="Subtitle"/>
    <w:basedOn w:val="Normal"/>
    <w:next w:val="Normal"/>
    <w:link w:val="SubtitleChar"/>
    <w:uiPriority w:val="11"/>
    <w:qFormat/>
    <w:rsid w:val="00B547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4791"/>
    <w:rPr>
      <w:rFonts w:eastAsiaTheme="minorEastAsia"/>
      <w:color w:val="5A5A5A" w:themeColor="text1" w:themeTint="A5"/>
      <w:spacing w:val="15"/>
    </w:rPr>
  </w:style>
  <w:style w:type="character" w:styleId="IntenseEmphasis">
    <w:name w:val="Intense Emphasis"/>
    <w:uiPriority w:val="21"/>
    <w:qFormat/>
    <w:rsid w:val="003F21F3"/>
    <w:rPr>
      <w:i/>
      <w:iCs/>
      <w:color w:val="4F81BD"/>
    </w:rPr>
  </w:style>
  <w:style w:type="character" w:customStyle="1" w:styleId="spelle">
    <w:name w:val="spelle"/>
    <w:basedOn w:val="DefaultParagraphFont"/>
    <w:rsid w:val="00B90ADB"/>
  </w:style>
  <w:style w:type="paragraph" w:styleId="BodyTextIndent">
    <w:name w:val="Body Text Indent"/>
    <w:basedOn w:val="Normal"/>
    <w:link w:val="BodyTextIndentChar"/>
    <w:uiPriority w:val="99"/>
    <w:semiHidden/>
    <w:unhideWhenUsed/>
    <w:rsid w:val="0092456B"/>
    <w:pPr>
      <w:spacing w:after="120"/>
      <w:ind w:left="283"/>
    </w:pPr>
  </w:style>
  <w:style w:type="character" w:customStyle="1" w:styleId="BodyTextIndentChar">
    <w:name w:val="Body Text Indent Char"/>
    <w:basedOn w:val="DefaultParagraphFont"/>
    <w:link w:val="BodyTextIndent"/>
    <w:uiPriority w:val="99"/>
    <w:semiHidden/>
    <w:rsid w:val="0092456B"/>
  </w:style>
  <w:style w:type="character" w:customStyle="1" w:styleId="Heading3Char">
    <w:name w:val="Heading 3 Char"/>
    <w:basedOn w:val="DefaultParagraphFont"/>
    <w:link w:val="Heading3"/>
    <w:rsid w:val="00827CF6"/>
    <w:rPr>
      <w:rFonts w:ascii="Calibri Light" w:eastAsia="Times New Roman" w:hAnsi="Calibri Light" w:cs="Times New Roman"/>
      <w:b/>
      <w:bCs/>
      <w:sz w:val="26"/>
      <w:szCs w:val="26"/>
      <w:lang w:eastAsia="lv-LV"/>
    </w:rPr>
  </w:style>
  <w:style w:type="character" w:styleId="FootnoteReference">
    <w:name w:val="footnote reference"/>
    <w:semiHidden/>
    <w:rsid w:val="00827CF6"/>
    <w:rPr>
      <w:vertAlign w:val="superscript"/>
    </w:rPr>
  </w:style>
  <w:style w:type="character" w:styleId="Strong">
    <w:name w:val="Strong"/>
    <w:uiPriority w:val="22"/>
    <w:qFormat/>
    <w:rsid w:val="00827CF6"/>
    <w:rPr>
      <w:b/>
      <w:bCs/>
    </w:rPr>
  </w:style>
  <w:style w:type="paragraph" w:styleId="FootnoteText">
    <w:name w:val="footnote text"/>
    <w:basedOn w:val="Normal"/>
    <w:link w:val="FootnoteTextChar"/>
    <w:uiPriority w:val="99"/>
    <w:semiHidden/>
    <w:unhideWhenUsed/>
    <w:rsid w:val="00C16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963"/>
    <w:rPr>
      <w:sz w:val="20"/>
      <w:szCs w:val="20"/>
    </w:rPr>
  </w:style>
  <w:style w:type="paragraph" w:customStyle="1" w:styleId="tv2071">
    <w:name w:val="tv2071"/>
    <w:basedOn w:val="Normal"/>
    <w:rsid w:val="00E432FD"/>
    <w:pPr>
      <w:spacing w:after="567" w:line="360" w:lineRule="auto"/>
      <w:jc w:val="center"/>
    </w:pPr>
    <w:rPr>
      <w:rFonts w:ascii="Verdana" w:eastAsia="Times New Roman" w:hAnsi="Verdana" w:cs="Times New Roman"/>
      <w:b/>
      <w:bCs/>
      <w:sz w:val="27"/>
      <w:szCs w:val="27"/>
      <w:lang w:eastAsia="lv-LV"/>
    </w:rPr>
  </w:style>
  <w:style w:type="character" w:customStyle="1" w:styleId="at51">
    <w:name w:val="a__t51"/>
    <w:uiPriority w:val="99"/>
    <w:rsid w:val="002D7A16"/>
    <w:rPr>
      <w:b/>
      <w:bCs/>
    </w:rPr>
  </w:style>
  <w:style w:type="character" w:styleId="FollowedHyperlink">
    <w:name w:val="FollowedHyperlink"/>
    <w:basedOn w:val="DefaultParagraphFont"/>
    <w:uiPriority w:val="99"/>
    <w:semiHidden/>
    <w:unhideWhenUsed/>
    <w:rsid w:val="003C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7312">
      <w:bodyDiv w:val="1"/>
      <w:marLeft w:val="0"/>
      <w:marRight w:val="0"/>
      <w:marTop w:val="0"/>
      <w:marBottom w:val="0"/>
      <w:divBdr>
        <w:top w:val="none" w:sz="0" w:space="0" w:color="auto"/>
        <w:left w:val="none" w:sz="0" w:space="0" w:color="auto"/>
        <w:bottom w:val="none" w:sz="0" w:space="0" w:color="auto"/>
        <w:right w:val="none" w:sz="0" w:space="0" w:color="auto"/>
      </w:divBdr>
    </w:div>
    <w:div w:id="87359539">
      <w:bodyDiv w:val="1"/>
      <w:marLeft w:val="0"/>
      <w:marRight w:val="0"/>
      <w:marTop w:val="0"/>
      <w:marBottom w:val="0"/>
      <w:divBdr>
        <w:top w:val="none" w:sz="0" w:space="0" w:color="auto"/>
        <w:left w:val="none" w:sz="0" w:space="0" w:color="auto"/>
        <w:bottom w:val="none" w:sz="0" w:space="0" w:color="auto"/>
        <w:right w:val="none" w:sz="0" w:space="0" w:color="auto"/>
      </w:divBdr>
    </w:div>
    <w:div w:id="300039160">
      <w:bodyDiv w:val="1"/>
      <w:marLeft w:val="0"/>
      <w:marRight w:val="0"/>
      <w:marTop w:val="0"/>
      <w:marBottom w:val="0"/>
      <w:divBdr>
        <w:top w:val="none" w:sz="0" w:space="0" w:color="auto"/>
        <w:left w:val="none" w:sz="0" w:space="0" w:color="auto"/>
        <w:bottom w:val="none" w:sz="0" w:space="0" w:color="auto"/>
        <w:right w:val="none" w:sz="0" w:space="0" w:color="auto"/>
      </w:divBdr>
    </w:div>
    <w:div w:id="505898444">
      <w:bodyDiv w:val="1"/>
      <w:marLeft w:val="0"/>
      <w:marRight w:val="0"/>
      <w:marTop w:val="0"/>
      <w:marBottom w:val="0"/>
      <w:divBdr>
        <w:top w:val="none" w:sz="0" w:space="0" w:color="auto"/>
        <w:left w:val="none" w:sz="0" w:space="0" w:color="auto"/>
        <w:bottom w:val="none" w:sz="0" w:space="0" w:color="auto"/>
        <w:right w:val="none" w:sz="0" w:space="0" w:color="auto"/>
      </w:divBdr>
    </w:div>
    <w:div w:id="623467107">
      <w:bodyDiv w:val="1"/>
      <w:marLeft w:val="0"/>
      <w:marRight w:val="0"/>
      <w:marTop w:val="0"/>
      <w:marBottom w:val="0"/>
      <w:divBdr>
        <w:top w:val="none" w:sz="0" w:space="0" w:color="auto"/>
        <w:left w:val="none" w:sz="0" w:space="0" w:color="auto"/>
        <w:bottom w:val="none" w:sz="0" w:space="0" w:color="auto"/>
        <w:right w:val="none" w:sz="0" w:space="0" w:color="auto"/>
      </w:divBdr>
    </w:div>
    <w:div w:id="749739712">
      <w:bodyDiv w:val="1"/>
      <w:marLeft w:val="0"/>
      <w:marRight w:val="0"/>
      <w:marTop w:val="0"/>
      <w:marBottom w:val="0"/>
      <w:divBdr>
        <w:top w:val="none" w:sz="0" w:space="0" w:color="auto"/>
        <w:left w:val="none" w:sz="0" w:space="0" w:color="auto"/>
        <w:bottom w:val="none" w:sz="0" w:space="0" w:color="auto"/>
        <w:right w:val="none" w:sz="0" w:space="0" w:color="auto"/>
      </w:divBdr>
    </w:div>
    <w:div w:id="900797891">
      <w:bodyDiv w:val="1"/>
      <w:marLeft w:val="0"/>
      <w:marRight w:val="0"/>
      <w:marTop w:val="0"/>
      <w:marBottom w:val="0"/>
      <w:divBdr>
        <w:top w:val="none" w:sz="0" w:space="0" w:color="auto"/>
        <w:left w:val="none" w:sz="0" w:space="0" w:color="auto"/>
        <w:bottom w:val="none" w:sz="0" w:space="0" w:color="auto"/>
        <w:right w:val="none" w:sz="0" w:space="0" w:color="auto"/>
      </w:divBdr>
    </w:div>
    <w:div w:id="1030649595">
      <w:bodyDiv w:val="1"/>
      <w:marLeft w:val="0"/>
      <w:marRight w:val="0"/>
      <w:marTop w:val="0"/>
      <w:marBottom w:val="0"/>
      <w:divBdr>
        <w:top w:val="none" w:sz="0" w:space="0" w:color="auto"/>
        <w:left w:val="none" w:sz="0" w:space="0" w:color="auto"/>
        <w:bottom w:val="none" w:sz="0" w:space="0" w:color="auto"/>
        <w:right w:val="none" w:sz="0" w:space="0" w:color="auto"/>
      </w:divBdr>
    </w:div>
    <w:div w:id="1133913762">
      <w:bodyDiv w:val="1"/>
      <w:marLeft w:val="0"/>
      <w:marRight w:val="0"/>
      <w:marTop w:val="0"/>
      <w:marBottom w:val="0"/>
      <w:divBdr>
        <w:top w:val="none" w:sz="0" w:space="0" w:color="auto"/>
        <w:left w:val="none" w:sz="0" w:space="0" w:color="auto"/>
        <w:bottom w:val="none" w:sz="0" w:space="0" w:color="auto"/>
        <w:right w:val="none" w:sz="0" w:space="0" w:color="auto"/>
      </w:divBdr>
    </w:div>
    <w:div w:id="1441797702">
      <w:bodyDiv w:val="1"/>
      <w:marLeft w:val="0"/>
      <w:marRight w:val="0"/>
      <w:marTop w:val="0"/>
      <w:marBottom w:val="0"/>
      <w:divBdr>
        <w:top w:val="none" w:sz="0" w:space="0" w:color="auto"/>
        <w:left w:val="none" w:sz="0" w:space="0" w:color="auto"/>
        <w:bottom w:val="none" w:sz="0" w:space="0" w:color="auto"/>
        <w:right w:val="none" w:sz="0" w:space="0" w:color="auto"/>
      </w:divBdr>
    </w:div>
    <w:div w:id="1664813167">
      <w:bodyDiv w:val="1"/>
      <w:marLeft w:val="0"/>
      <w:marRight w:val="0"/>
      <w:marTop w:val="0"/>
      <w:marBottom w:val="0"/>
      <w:divBdr>
        <w:top w:val="none" w:sz="0" w:space="0" w:color="auto"/>
        <w:left w:val="none" w:sz="0" w:space="0" w:color="auto"/>
        <w:bottom w:val="none" w:sz="0" w:space="0" w:color="auto"/>
        <w:right w:val="none" w:sz="0" w:space="0" w:color="auto"/>
      </w:divBdr>
    </w:div>
    <w:div w:id="1716924427">
      <w:bodyDiv w:val="1"/>
      <w:marLeft w:val="0"/>
      <w:marRight w:val="0"/>
      <w:marTop w:val="0"/>
      <w:marBottom w:val="0"/>
      <w:divBdr>
        <w:top w:val="none" w:sz="0" w:space="0" w:color="auto"/>
        <w:left w:val="none" w:sz="0" w:space="0" w:color="auto"/>
        <w:bottom w:val="none" w:sz="0" w:space="0" w:color="auto"/>
        <w:right w:val="none" w:sz="0" w:space="0" w:color="auto"/>
      </w:divBdr>
    </w:div>
    <w:div w:id="1791584648">
      <w:bodyDiv w:val="1"/>
      <w:marLeft w:val="0"/>
      <w:marRight w:val="0"/>
      <w:marTop w:val="0"/>
      <w:marBottom w:val="0"/>
      <w:divBdr>
        <w:top w:val="none" w:sz="0" w:space="0" w:color="auto"/>
        <w:left w:val="none" w:sz="0" w:space="0" w:color="auto"/>
        <w:bottom w:val="none" w:sz="0" w:space="0" w:color="auto"/>
        <w:right w:val="none" w:sz="0" w:space="0" w:color="auto"/>
      </w:divBdr>
    </w:div>
    <w:div w:id="1801923471">
      <w:bodyDiv w:val="1"/>
      <w:marLeft w:val="0"/>
      <w:marRight w:val="0"/>
      <w:marTop w:val="0"/>
      <w:marBottom w:val="0"/>
      <w:divBdr>
        <w:top w:val="none" w:sz="0" w:space="0" w:color="auto"/>
        <w:left w:val="none" w:sz="0" w:space="0" w:color="auto"/>
        <w:bottom w:val="none" w:sz="0" w:space="0" w:color="auto"/>
        <w:right w:val="none" w:sz="0" w:space="0" w:color="auto"/>
      </w:divBdr>
    </w:div>
    <w:div w:id="1803302293">
      <w:bodyDiv w:val="1"/>
      <w:marLeft w:val="0"/>
      <w:marRight w:val="0"/>
      <w:marTop w:val="0"/>
      <w:marBottom w:val="0"/>
      <w:divBdr>
        <w:top w:val="none" w:sz="0" w:space="0" w:color="auto"/>
        <w:left w:val="none" w:sz="0" w:space="0" w:color="auto"/>
        <w:bottom w:val="none" w:sz="0" w:space="0" w:color="auto"/>
        <w:right w:val="none" w:sz="0" w:space="0" w:color="auto"/>
      </w:divBdr>
    </w:div>
    <w:div w:id="1833327407">
      <w:bodyDiv w:val="1"/>
      <w:marLeft w:val="0"/>
      <w:marRight w:val="0"/>
      <w:marTop w:val="0"/>
      <w:marBottom w:val="0"/>
      <w:divBdr>
        <w:top w:val="none" w:sz="0" w:space="0" w:color="auto"/>
        <w:left w:val="none" w:sz="0" w:space="0" w:color="auto"/>
        <w:bottom w:val="none" w:sz="0" w:space="0" w:color="auto"/>
        <w:right w:val="none" w:sz="0" w:space="0" w:color="auto"/>
      </w:divBdr>
    </w:div>
    <w:div w:id="1854949351">
      <w:bodyDiv w:val="1"/>
      <w:marLeft w:val="0"/>
      <w:marRight w:val="0"/>
      <w:marTop w:val="0"/>
      <w:marBottom w:val="0"/>
      <w:divBdr>
        <w:top w:val="none" w:sz="0" w:space="0" w:color="auto"/>
        <w:left w:val="none" w:sz="0" w:space="0" w:color="auto"/>
        <w:bottom w:val="none" w:sz="0" w:space="0" w:color="auto"/>
        <w:right w:val="none" w:sz="0" w:space="0" w:color="auto"/>
      </w:divBdr>
    </w:div>
    <w:div w:id="1910797591">
      <w:bodyDiv w:val="1"/>
      <w:marLeft w:val="0"/>
      <w:marRight w:val="0"/>
      <w:marTop w:val="0"/>
      <w:marBottom w:val="0"/>
      <w:divBdr>
        <w:top w:val="none" w:sz="0" w:space="0" w:color="auto"/>
        <w:left w:val="none" w:sz="0" w:space="0" w:color="auto"/>
        <w:bottom w:val="none" w:sz="0" w:space="0" w:color="auto"/>
        <w:right w:val="none" w:sz="0" w:space="0" w:color="auto"/>
      </w:divBdr>
    </w:div>
    <w:div w:id="1962758887">
      <w:bodyDiv w:val="1"/>
      <w:marLeft w:val="0"/>
      <w:marRight w:val="0"/>
      <w:marTop w:val="0"/>
      <w:marBottom w:val="0"/>
      <w:divBdr>
        <w:top w:val="none" w:sz="0" w:space="0" w:color="auto"/>
        <w:left w:val="none" w:sz="0" w:space="0" w:color="auto"/>
        <w:bottom w:val="none" w:sz="0" w:space="0" w:color="auto"/>
        <w:right w:val="none" w:sz="0" w:space="0" w:color="auto"/>
      </w:divBdr>
    </w:div>
    <w:div w:id="19813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Eg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1665-8CA1-4C82-AF73-C75CACDF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3</Pages>
  <Words>553</Words>
  <Characters>4343</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EM</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Ševčuks</dc:creator>
  <cp:keywords/>
  <dc:description>A.Sevcuks, arturs.sevcuks@em.gov.lv</dc:description>
  <cp:lastModifiedBy>Intars Eglītis</cp:lastModifiedBy>
  <cp:revision>94</cp:revision>
  <cp:lastPrinted>2016-10-31T11:50:00Z</cp:lastPrinted>
  <dcterms:created xsi:type="dcterms:W3CDTF">2017-02-10T06:42:00Z</dcterms:created>
  <dcterms:modified xsi:type="dcterms:W3CDTF">2020-07-22T08:11:00Z</dcterms:modified>
  <cp:contentStatus/>
</cp:coreProperties>
</file>