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19A5" w14:textId="77777777" w:rsidR="00DB7FF4" w:rsidRPr="007E6672" w:rsidRDefault="00DB7FF4" w:rsidP="00DB7FF4">
      <w:pPr>
        <w:jc w:val="center"/>
        <w:rPr>
          <w:szCs w:val="24"/>
        </w:rPr>
      </w:pPr>
      <w:r w:rsidRPr="007E6672">
        <w:rPr>
          <w:szCs w:val="24"/>
        </w:rPr>
        <w:t>Izziņa par atzinumos sniegtajiem iebildumiem par</w:t>
      </w:r>
    </w:p>
    <w:tbl>
      <w:tblPr>
        <w:tblW w:w="0" w:type="auto"/>
        <w:jc w:val="center"/>
        <w:tblLook w:val="00A0" w:firstRow="1" w:lastRow="0" w:firstColumn="1" w:lastColumn="0" w:noHBand="0" w:noVBand="0"/>
      </w:tblPr>
      <w:tblGrid>
        <w:gridCol w:w="10188"/>
      </w:tblGrid>
      <w:tr w:rsidR="00DB7FF4" w:rsidRPr="007E6672" w14:paraId="50791499" w14:textId="77777777" w:rsidTr="00104F07">
        <w:trPr>
          <w:jc w:val="center"/>
        </w:trPr>
        <w:tc>
          <w:tcPr>
            <w:tcW w:w="10188" w:type="dxa"/>
            <w:tcBorders>
              <w:bottom w:val="single" w:sz="6" w:space="0" w:color="000000"/>
            </w:tcBorders>
          </w:tcPr>
          <w:p w14:paraId="32CB7B42" w14:textId="77777777" w:rsidR="006A1EA8" w:rsidRDefault="004F3927" w:rsidP="00104F07">
            <w:pPr>
              <w:pStyle w:val="Body1"/>
              <w:spacing w:after="0" w:line="240" w:lineRule="auto"/>
              <w:jc w:val="center"/>
              <w:rPr>
                <w:rFonts w:ascii="Times New Roman" w:hAnsi="Times New Roman"/>
                <w:b/>
                <w:color w:val="auto"/>
                <w:sz w:val="24"/>
                <w:szCs w:val="24"/>
              </w:rPr>
            </w:pPr>
            <w:r>
              <w:rPr>
                <w:rFonts w:ascii="Times New Roman" w:hAnsi="Times New Roman"/>
                <w:b/>
                <w:color w:val="auto"/>
                <w:sz w:val="24"/>
                <w:szCs w:val="24"/>
              </w:rPr>
              <w:t xml:space="preserve">grozījumiem </w:t>
            </w:r>
            <w:r w:rsidRPr="004F3927">
              <w:rPr>
                <w:rFonts w:ascii="Times New Roman" w:hAnsi="Times New Roman"/>
                <w:b/>
                <w:color w:val="auto"/>
                <w:sz w:val="24"/>
                <w:szCs w:val="24"/>
              </w:rPr>
              <w:t>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r w:rsidR="00F16BA0">
              <w:rPr>
                <w:rFonts w:ascii="Times New Roman" w:hAnsi="Times New Roman"/>
                <w:b/>
                <w:color w:val="auto"/>
                <w:sz w:val="24"/>
                <w:szCs w:val="24"/>
              </w:rPr>
              <w:t xml:space="preserve"> </w:t>
            </w:r>
          </w:p>
          <w:p w14:paraId="13D794ED" w14:textId="29A82621" w:rsidR="00DB7FF4" w:rsidRPr="007E6672" w:rsidRDefault="006A1EA8" w:rsidP="00104F07">
            <w:pPr>
              <w:pStyle w:val="Body1"/>
              <w:spacing w:after="0" w:line="240" w:lineRule="auto"/>
              <w:jc w:val="center"/>
              <w:rPr>
                <w:rFonts w:ascii="Times New Roman" w:hAnsi="Times New Roman"/>
                <w:b/>
                <w:color w:val="auto"/>
                <w:sz w:val="24"/>
                <w:szCs w:val="24"/>
              </w:rPr>
            </w:pPr>
            <w:r>
              <w:rPr>
                <w:rFonts w:ascii="Times New Roman" w:hAnsi="Times New Roman"/>
                <w:b/>
                <w:color w:val="auto"/>
                <w:sz w:val="24"/>
                <w:szCs w:val="24"/>
              </w:rPr>
              <w:t xml:space="preserve">(turpmāk – MK </w:t>
            </w:r>
            <w:r w:rsidRPr="006A1EA8">
              <w:rPr>
                <w:rFonts w:ascii="Times New Roman" w:hAnsi="Times New Roman"/>
                <w:b/>
                <w:color w:val="auto"/>
                <w:sz w:val="24"/>
                <w:szCs w:val="24"/>
              </w:rPr>
              <w:t>noteikum</w:t>
            </w:r>
            <w:r>
              <w:rPr>
                <w:rFonts w:ascii="Times New Roman" w:hAnsi="Times New Roman"/>
                <w:b/>
                <w:color w:val="auto"/>
                <w:sz w:val="24"/>
                <w:szCs w:val="24"/>
              </w:rPr>
              <w:t xml:space="preserve">i </w:t>
            </w:r>
            <w:r w:rsidRPr="006A1EA8">
              <w:rPr>
                <w:rFonts w:ascii="Times New Roman" w:hAnsi="Times New Roman"/>
                <w:b/>
                <w:color w:val="auto"/>
                <w:sz w:val="24"/>
                <w:szCs w:val="24"/>
              </w:rPr>
              <w:t>Nr. 678</w:t>
            </w:r>
            <w:r>
              <w:rPr>
                <w:rFonts w:ascii="Times New Roman" w:hAnsi="Times New Roman"/>
                <w:b/>
                <w:color w:val="auto"/>
                <w:sz w:val="24"/>
                <w:szCs w:val="24"/>
              </w:rPr>
              <w:t>)</w:t>
            </w:r>
          </w:p>
        </w:tc>
      </w:tr>
    </w:tbl>
    <w:p w14:paraId="50181CE1" w14:textId="77777777" w:rsidR="00DB7FF4" w:rsidRPr="007E6672" w:rsidRDefault="00DB7FF4" w:rsidP="00DB7FF4">
      <w:pPr>
        <w:pStyle w:val="naisc"/>
        <w:spacing w:before="0" w:after="0"/>
        <w:ind w:firstLine="1080"/>
      </w:pPr>
      <w:r w:rsidRPr="007E6672">
        <w:t>(dokumenta veids un nosaukums)</w:t>
      </w:r>
    </w:p>
    <w:p w14:paraId="4818C1C6" w14:textId="77777777" w:rsidR="00DB7FF4" w:rsidRPr="007E6672" w:rsidRDefault="00DB7FF4" w:rsidP="00DB7FF4">
      <w:pPr>
        <w:pStyle w:val="naisf"/>
        <w:spacing w:before="0" w:after="0"/>
        <w:ind w:firstLine="0"/>
      </w:pPr>
    </w:p>
    <w:p w14:paraId="78CEA131" w14:textId="77777777" w:rsidR="00DB7FF4" w:rsidRPr="007E6672" w:rsidRDefault="00DB7FF4" w:rsidP="00DB7FF4">
      <w:pPr>
        <w:pStyle w:val="naisf"/>
        <w:spacing w:before="0" w:after="0"/>
        <w:ind w:firstLine="0"/>
      </w:pPr>
    </w:p>
    <w:p w14:paraId="2A0AD3F5" w14:textId="77777777" w:rsidR="00DB7FF4" w:rsidRPr="007E6672" w:rsidRDefault="00DB7FF4" w:rsidP="00DB7FF4">
      <w:pPr>
        <w:pStyle w:val="naisf"/>
        <w:numPr>
          <w:ilvl w:val="0"/>
          <w:numId w:val="1"/>
        </w:numPr>
        <w:spacing w:before="0" w:after="0"/>
        <w:rPr>
          <w:b/>
        </w:rPr>
      </w:pPr>
      <w:r w:rsidRPr="007E6672">
        <w:rPr>
          <w:b/>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3119"/>
        <w:gridCol w:w="2835"/>
        <w:gridCol w:w="2693"/>
        <w:gridCol w:w="2268"/>
      </w:tblGrid>
      <w:tr w:rsidR="00DB7FF4" w:rsidRPr="007E6672" w14:paraId="0AD51481" w14:textId="77777777" w:rsidTr="00104F07">
        <w:tc>
          <w:tcPr>
            <w:tcW w:w="675" w:type="dxa"/>
            <w:tcBorders>
              <w:top w:val="single" w:sz="6" w:space="0" w:color="000000"/>
              <w:left w:val="single" w:sz="6" w:space="0" w:color="000000"/>
              <w:bottom w:val="single" w:sz="6" w:space="0" w:color="000000"/>
              <w:right w:val="single" w:sz="6" w:space="0" w:color="000000"/>
            </w:tcBorders>
            <w:vAlign w:val="center"/>
          </w:tcPr>
          <w:p w14:paraId="7C721AEB" w14:textId="77777777" w:rsidR="00DB7FF4" w:rsidRPr="007E6672" w:rsidRDefault="00DB7FF4" w:rsidP="00104F07">
            <w:pPr>
              <w:pStyle w:val="naisc"/>
              <w:spacing w:before="0" w:after="0"/>
              <w:jc w:val="both"/>
            </w:pPr>
            <w:r w:rsidRPr="007E6672">
              <w:t>Nr. p. k.</w:t>
            </w:r>
          </w:p>
        </w:tc>
        <w:tc>
          <w:tcPr>
            <w:tcW w:w="2977" w:type="dxa"/>
            <w:tcBorders>
              <w:top w:val="single" w:sz="6" w:space="0" w:color="000000"/>
              <w:left w:val="single" w:sz="6" w:space="0" w:color="000000"/>
              <w:bottom w:val="single" w:sz="6" w:space="0" w:color="000000"/>
              <w:right w:val="single" w:sz="6" w:space="0" w:color="000000"/>
            </w:tcBorders>
            <w:vAlign w:val="center"/>
          </w:tcPr>
          <w:p w14:paraId="407F9D10" w14:textId="77777777" w:rsidR="00DB7FF4" w:rsidRPr="007E6672" w:rsidRDefault="00DB7FF4" w:rsidP="00104F07">
            <w:pPr>
              <w:pStyle w:val="naisc"/>
              <w:spacing w:before="0" w:after="0"/>
              <w:ind w:firstLine="12"/>
              <w:jc w:val="both"/>
            </w:pPr>
            <w:r w:rsidRPr="007E6672">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vAlign w:val="center"/>
          </w:tcPr>
          <w:p w14:paraId="7AB933AB" w14:textId="77777777" w:rsidR="00DB7FF4" w:rsidRPr="007E6672" w:rsidRDefault="00DB7FF4" w:rsidP="00104F07">
            <w:pPr>
              <w:pStyle w:val="naisc"/>
              <w:spacing w:before="0" w:after="0"/>
              <w:ind w:right="3"/>
              <w:jc w:val="both"/>
            </w:pPr>
            <w:r w:rsidRPr="007E6672">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2E00248D" w14:textId="77777777" w:rsidR="00DB7FF4" w:rsidRPr="007E6672" w:rsidRDefault="00DB7FF4" w:rsidP="00104F07">
            <w:pPr>
              <w:pStyle w:val="naisc"/>
              <w:spacing w:before="0" w:after="0"/>
              <w:ind w:firstLine="21"/>
              <w:jc w:val="both"/>
            </w:pPr>
            <w:r w:rsidRPr="007E6672">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568711C2" w14:textId="77777777" w:rsidR="00DB7FF4" w:rsidRPr="007E6672" w:rsidRDefault="00DB7FF4" w:rsidP="00104F07">
            <w:pPr>
              <w:jc w:val="both"/>
              <w:rPr>
                <w:szCs w:val="24"/>
              </w:rPr>
            </w:pPr>
            <w:r w:rsidRPr="007E6672">
              <w:rPr>
                <w:szCs w:val="24"/>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6C125D5" w14:textId="77777777" w:rsidR="00DB7FF4" w:rsidRPr="007E6672" w:rsidRDefault="00DB7FF4" w:rsidP="00104F07">
            <w:pPr>
              <w:jc w:val="both"/>
              <w:rPr>
                <w:szCs w:val="24"/>
              </w:rPr>
            </w:pPr>
            <w:r w:rsidRPr="007E6672">
              <w:rPr>
                <w:szCs w:val="24"/>
              </w:rPr>
              <w:t>Projekta attiecīgā punkta (panta) galīgā redakcija</w:t>
            </w:r>
          </w:p>
        </w:tc>
      </w:tr>
      <w:tr w:rsidR="00DB7FF4" w:rsidRPr="007E6672" w14:paraId="32339103" w14:textId="77777777" w:rsidTr="00104F07">
        <w:tc>
          <w:tcPr>
            <w:tcW w:w="675" w:type="dxa"/>
            <w:tcBorders>
              <w:top w:val="single" w:sz="6" w:space="0" w:color="000000"/>
              <w:left w:val="single" w:sz="6" w:space="0" w:color="000000"/>
              <w:bottom w:val="single" w:sz="6" w:space="0" w:color="000000"/>
              <w:right w:val="single" w:sz="6" w:space="0" w:color="000000"/>
            </w:tcBorders>
          </w:tcPr>
          <w:p w14:paraId="2B804E37" w14:textId="77777777" w:rsidR="00DB7FF4" w:rsidRPr="007E6672" w:rsidRDefault="00DB7FF4" w:rsidP="00104F07">
            <w:pPr>
              <w:pStyle w:val="naisc"/>
              <w:spacing w:before="0" w:after="0"/>
              <w:jc w:val="both"/>
            </w:pPr>
            <w:r w:rsidRPr="007E6672">
              <w:t>1</w:t>
            </w:r>
          </w:p>
        </w:tc>
        <w:tc>
          <w:tcPr>
            <w:tcW w:w="2977" w:type="dxa"/>
            <w:tcBorders>
              <w:top w:val="single" w:sz="6" w:space="0" w:color="000000"/>
              <w:left w:val="single" w:sz="6" w:space="0" w:color="000000"/>
              <w:bottom w:val="single" w:sz="6" w:space="0" w:color="000000"/>
              <w:right w:val="single" w:sz="6" w:space="0" w:color="000000"/>
            </w:tcBorders>
          </w:tcPr>
          <w:p w14:paraId="7445540B" w14:textId="77777777" w:rsidR="00DB7FF4" w:rsidRPr="007E6672" w:rsidRDefault="00DB7FF4" w:rsidP="00104F07">
            <w:pPr>
              <w:pStyle w:val="naisc"/>
              <w:spacing w:before="0" w:after="0"/>
              <w:ind w:firstLine="720"/>
              <w:jc w:val="both"/>
            </w:pPr>
            <w:r w:rsidRPr="007E6672">
              <w:t>2</w:t>
            </w:r>
          </w:p>
        </w:tc>
        <w:tc>
          <w:tcPr>
            <w:tcW w:w="3119" w:type="dxa"/>
            <w:tcBorders>
              <w:top w:val="single" w:sz="6" w:space="0" w:color="000000"/>
              <w:left w:val="single" w:sz="6" w:space="0" w:color="000000"/>
              <w:bottom w:val="single" w:sz="6" w:space="0" w:color="000000"/>
              <w:right w:val="single" w:sz="6" w:space="0" w:color="000000"/>
            </w:tcBorders>
          </w:tcPr>
          <w:p w14:paraId="22B60F73" w14:textId="77777777" w:rsidR="00DB7FF4" w:rsidRPr="007E6672" w:rsidRDefault="00DB7FF4" w:rsidP="00104F07">
            <w:pPr>
              <w:pStyle w:val="naisc"/>
              <w:spacing w:before="0" w:after="0"/>
              <w:ind w:firstLine="720"/>
              <w:jc w:val="both"/>
            </w:pPr>
            <w:r w:rsidRPr="007E6672">
              <w:t>3</w:t>
            </w:r>
          </w:p>
        </w:tc>
        <w:tc>
          <w:tcPr>
            <w:tcW w:w="2835" w:type="dxa"/>
            <w:tcBorders>
              <w:top w:val="single" w:sz="6" w:space="0" w:color="000000"/>
              <w:left w:val="single" w:sz="6" w:space="0" w:color="000000"/>
              <w:bottom w:val="single" w:sz="6" w:space="0" w:color="000000"/>
              <w:right w:val="single" w:sz="6" w:space="0" w:color="000000"/>
            </w:tcBorders>
          </w:tcPr>
          <w:p w14:paraId="3D7B8685" w14:textId="77777777" w:rsidR="00DB7FF4" w:rsidRPr="007E6672" w:rsidRDefault="00DB7FF4" w:rsidP="00104F07">
            <w:pPr>
              <w:pStyle w:val="naisc"/>
              <w:spacing w:before="0" w:after="0"/>
              <w:ind w:firstLine="720"/>
              <w:jc w:val="both"/>
            </w:pPr>
            <w:r w:rsidRPr="007E6672">
              <w:t>4</w:t>
            </w:r>
          </w:p>
        </w:tc>
        <w:tc>
          <w:tcPr>
            <w:tcW w:w="2693" w:type="dxa"/>
            <w:tcBorders>
              <w:top w:val="single" w:sz="4" w:space="0" w:color="auto"/>
              <w:left w:val="single" w:sz="4" w:space="0" w:color="auto"/>
              <w:bottom w:val="single" w:sz="4" w:space="0" w:color="auto"/>
              <w:right w:val="single" w:sz="4" w:space="0" w:color="auto"/>
            </w:tcBorders>
          </w:tcPr>
          <w:p w14:paraId="46E46AB1" w14:textId="77777777" w:rsidR="00DB7FF4" w:rsidRPr="007E6672" w:rsidRDefault="00DB7FF4" w:rsidP="00104F07">
            <w:pPr>
              <w:jc w:val="both"/>
              <w:rPr>
                <w:szCs w:val="24"/>
              </w:rPr>
            </w:pPr>
            <w:r w:rsidRPr="007E6672">
              <w:rPr>
                <w:szCs w:val="24"/>
              </w:rPr>
              <w:t>5</w:t>
            </w:r>
          </w:p>
        </w:tc>
        <w:tc>
          <w:tcPr>
            <w:tcW w:w="2268" w:type="dxa"/>
            <w:tcBorders>
              <w:top w:val="single" w:sz="4" w:space="0" w:color="auto"/>
              <w:left w:val="single" w:sz="4" w:space="0" w:color="auto"/>
              <w:bottom w:val="single" w:sz="4" w:space="0" w:color="auto"/>
            </w:tcBorders>
          </w:tcPr>
          <w:p w14:paraId="43DDE1FD" w14:textId="77777777" w:rsidR="00DB7FF4" w:rsidRPr="007E6672" w:rsidRDefault="00DB7FF4" w:rsidP="00104F07">
            <w:pPr>
              <w:jc w:val="both"/>
              <w:rPr>
                <w:szCs w:val="24"/>
              </w:rPr>
            </w:pPr>
            <w:r w:rsidRPr="007E6672">
              <w:rPr>
                <w:szCs w:val="24"/>
              </w:rPr>
              <w:t>6</w:t>
            </w:r>
          </w:p>
        </w:tc>
      </w:tr>
      <w:tr w:rsidR="00DB7FF4" w:rsidRPr="007E6672" w14:paraId="06FFF3DD" w14:textId="77777777" w:rsidTr="00104F07">
        <w:tc>
          <w:tcPr>
            <w:tcW w:w="675" w:type="dxa"/>
            <w:tcBorders>
              <w:top w:val="single" w:sz="6" w:space="0" w:color="000000"/>
              <w:left w:val="single" w:sz="6" w:space="0" w:color="000000"/>
              <w:bottom w:val="single" w:sz="6" w:space="0" w:color="000000"/>
              <w:right w:val="single" w:sz="6" w:space="0" w:color="000000"/>
            </w:tcBorders>
          </w:tcPr>
          <w:p w14:paraId="7F4EDB5B" w14:textId="77777777" w:rsidR="00DB7FF4" w:rsidRPr="007E6672" w:rsidRDefault="00DB7FF4" w:rsidP="00104F07">
            <w:pPr>
              <w:pStyle w:val="naisc"/>
              <w:spacing w:before="0" w:after="0"/>
              <w:jc w:val="both"/>
            </w:pPr>
          </w:p>
        </w:tc>
        <w:tc>
          <w:tcPr>
            <w:tcW w:w="2977" w:type="dxa"/>
            <w:tcBorders>
              <w:left w:val="single" w:sz="6" w:space="0" w:color="000000"/>
              <w:bottom w:val="single" w:sz="4" w:space="0" w:color="auto"/>
              <w:right w:val="single" w:sz="6" w:space="0" w:color="000000"/>
            </w:tcBorders>
          </w:tcPr>
          <w:p w14:paraId="0F4225E7" w14:textId="77777777" w:rsidR="00DB7FF4" w:rsidRPr="007E6672" w:rsidRDefault="00DB7FF4" w:rsidP="00104F07">
            <w:pPr>
              <w:jc w:val="both"/>
              <w:outlineLvl w:val="0"/>
              <w:rPr>
                <w:szCs w:val="24"/>
              </w:rPr>
            </w:pPr>
          </w:p>
        </w:tc>
        <w:tc>
          <w:tcPr>
            <w:tcW w:w="3119" w:type="dxa"/>
            <w:tcBorders>
              <w:left w:val="single" w:sz="6" w:space="0" w:color="000000"/>
              <w:bottom w:val="single" w:sz="4" w:space="0" w:color="auto"/>
              <w:right w:val="single" w:sz="6" w:space="0" w:color="000000"/>
            </w:tcBorders>
          </w:tcPr>
          <w:p w14:paraId="77B4BB7F" w14:textId="77777777" w:rsidR="00DB7FF4" w:rsidRPr="007E6672" w:rsidRDefault="00DB7FF4" w:rsidP="00104F07">
            <w:pPr>
              <w:ind w:right="-7"/>
              <w:jc w:val="both"/>
              <w:rPr>
                <w:szCs w:val="24"/>
              </w:rPr>
            </w:pPr>
          </w:p>
        </w:tc>
        <w:tc>
          <w:tcPr>
            <w:tcW w:w="2835" w:type="dxa"/>
            <w:tcBorders>
              <w:top w:val="single" w:sz="6" w:space="0" w:color="000000"/>
              <w:left w:val="single" w:sz="6" w:space="0" w:color="000000"/>
              <w:bottom w:val="single" w:sz="6" w:space="0" w:color="000000"/>
              <w:right w:val="single" w:sz="6" w:space="0" w:color="000000"/>
            </w:tcBorders>
          </w:tcPr>
          <w:p w14:paraId="6B89FA42" w14:textId="77777777" w:rsidR="00DB7FF4" w:rsidRPr="007E6672" w:rsidRDefault="00DB7FF4" w:rsidP="00104F07">
            <w:pPr>
              <w:pStyle w:val="naisc"/>
              <w:spacing w:before="0" w:after="0"/>
              <w:jc w:val="both"/>
            </w:pPr>
          </w:p>
        </w:tc>
        <w:tc>
          <w:tcPr>
            <w:tcW w:w="2693" w:type="dxa"/>
            <w:tcBorders>
              <w:top w:val="single" w:sz="4" w:space="0" w:color="auto"/>
              <w:left w:val="single" w:sz="4" w:space="0" w:color="auto"/>
              <w:bottom w:val="single" w:sz="4" w:space="0" w:color="auto"/>
              <w:right w:val="single" w:sz="4" w:space="0" w:color="auto"/>
            </w:tcBorders>
          </w:tcPr>
          <w:p w14:paraId="2752B163" w14:textId="77777777" w:rsidR="00DB7FF4" w:rsidRPr="007E6672" w:rsidRDefault="00DB7FF4" w:rsidP="00104F07">
            <w:pPr>
              <w:jc w:val="both"/>
              <w:rPr>
                <w:szCs w:val="24"/>
              </w:rPr>
            </w:pPr>
          </w:p>
        </w:tc>
        <w:tc>
          <w:tcPr>
            <w:tcW w:w="2268" w:type="dxa"/>
            <w:tcBorders>
              <w:top w:val="single" w:sz="4" w:space="0" w:color="auto"/>
              <w:left w:val="single" w:sz="4" w:space="0" w:color="auto"/>
              <w:bottom w:val="single" w:sz="4" w:space="0" w:color="auto"/>
            </w:tcBorders>
          </w:tcPr>
          <w:p w14:paraId="2A6BDCBC" w14:textId="77777777" w:rsidR="00DB7FF4" w:rsidRPr="007E6672" w:rsidRDefault="00DB7FF4" w:rsidP="00104F07">
            <w:pPr>
              <w:jc w:val="both"/>
              <w:rPr>
                <w:szCs w:val="24"/>
              </w:rPr>
            </w:pPr>
          </w:p>
        </w:tc>
      </w:tr>
    </w:tbl>
    <w:p w14:paraId="243B176A" w14:textId="77777777" w:rsidR="00DB7FF4" w:rsidRPr="007E6672" w:rsidRDefault="00DB7FF4" w:rsidP="00DB7FF4">
      <w:pPr>
        <w:pStyle w:val="naisf"/>
        <w:spacing w:before="0" w:after="0"/>
        <w:ind w:firstLine="0"/>
      </w:pPr>
    </w:p>
    <w:p w14:paraId="09FE04D8" w14:textId="77777777" w:rsidR="00DB7FF4" w:rsidRPr="007E6672" w:rsidRDefault="00DB7FF4" w:rsidP="00DB7FF4">
      <w:pPr>
        <w:pStyle w:val="naisf"/>
        <w:spacing w:before="0" w:after="0"/>
        <w:ind w:firstLine="0"/>
      </w:pPr>
    </w:p>
    <w:p w14:paraId="710C82F2" w14:textId="77777777" w:rsidR="00DB7FF4" w:rsidRPr="007E6672" w:rsidRDefault="00DB7FF4" w:rsidP="00DB7FF4">
      <w:pPr>
        <w:pStyle w:val="naisf"/>
        <w:spacing w:before="0" w:after="0"/>
        <w:ind w:firstLine="0"/>
        <w:rPr>
          <w:b/>
        </w:rPr>
      </w:pPr>
      <w:r w:rsidRPr="007E6672">
        <w:rPr>
          <w:b/>
        </w:rPr>
        <w:t>Informācija par starpministriju (starpinstitūciju) sanāksmi vai elektronisko saskaņošanu</w:t>
      </w:r>
    </w:p>
    <w:p w14:paraId="08086BC3" w14:textId="77777777" w:rsidR="00DB7FF4" w:rsidRPr="007E6672" w:rsidRDefault="00DB7FF4" w:rsidP="00DB7FF4">
      <w:pPr>
        <w:pStyle w:val="naisf"/>
        <w:spacing w:before="0" w:after="0"/>
        <w:ind w:firstLine="0"/>
        <w:rPr>
          <w:b/>
        </w:rPr>
      </w:pPr>
    </w:p>
    <w:tbl>
      <w:tblPr>
        <w:tblW w:w="5001" w:type="pct"/>
        <w:tblLook w:val="00A0" w:firstRow="1" w:lastRow="0" w:firstColumn="1" w:lastColumn="0" w:noHBand="0" w:noVBand="0"/>
      </w:tblPr>
      <w:tblGrid>
        <w:gridCol w:w="2944"/>
        <w:gridCol w:w="11062"/>
      </w:tblGrid>
      <w:tr w:rsidR="00DB7FF4" w:rsidRPr="007E6672" w14:paraId="301D344A" w14:textId="77777777" w:rsidTr="00104F07">
        <w:tc>
          <w:tcPr>
            <w:tcW w:w="1051" w:type="pct"/>
          </w:tcPr>
          <w:p w14:paraId="461AD668" w14:textId="77777777" w:rsidR="00DB7FF4" w:rsidRPr="007E6672" w:rsidRDefault="00DB7FF4" w:rsidP="00104F07">
            <w:pPr>
              <w:pStyle w:val="naisf"/>
              <w:spacing w:before="0" w:after="0"/>
              <w:ind w:firstLine="0"/>
            </w:pPr>
            <w:r w:rsidRPr="007E6672">
              <w:t>Datums</w:t>
            </w:r>
          </w:p>
        </w:tc>
        <w:tc>
          <w:tcPr>
            <w:tcW w:w="3949" w:type="pct"/>
            <w:tcBorders>
              <w:bottom w:val="single" w:sz="4" w:space="0" w:color="auto"/>
            </w:tcBorders>
          </w:tcPr>
          <w:p w14:paraId="0EA020F6" w14:textId="38BA23DF" w:rsidR="00DB7FF4" w:rsidRPr="007E6672" w:rsidRDefault="00B41AC0" w:rsidP="00104F07">
            <w:pPr>
              <w:pStyle w:val="NormalWeb"/>
              <w:spacing w:before="0" w:beforeAutospacing="0" w:after="0" w:afterAutospacing="0"/>
              <w:jc w:val="both"/>
            </w:pPr>
            <w:r>
              <w:t>2</w:t>
            </w:r>
            <w:r w:rsidR="00C414C6">
              <w:t>0</w:t>
            </w:r>
            <w:r>
              <w:t>.0</w:t>
            </w:r>
            <w:r w:rsidR="00C414C6">
              <w:t>2</w:t>
            </w:r>
            <w:r w:rsidR="00DB7FF4" w:rsidRPr="007E6672">
              <w:t>.20</w:t>
            </w:r>
            <w:r w:rsidR="00C414C6">
              <w:t>20.</w:t>
            </w:r>
            <w:r w:rsidR="00A04C61">
              <w:t xml:space="preserve"> (VSS-147)</w:t>
            </w:r>
            <w:r w:rsidR="00500449">
              <w:t xml:space="preserve">, </w:t>
            </w:r>
            <w:r w:rsidR="00A555B1">
              <w:t>26.06.2020., 09.07.2020.</w:t>
            </w:r>
            <w:r w:rsidR="0003186A">
              <w:t>, 13.07.2020.</w:t>
            </w:r>
          </w:p>
        </w:tc>
      </w:tr>
      <w:tr w:rsidR="00DB7FF4" w:rsidRPr="007E6672" w14:paraId="1EB9A9E3" w14:textId="77777777" w:rsidTr="00104F07">
        <w:tc>
          <w:tcPr>
            <w:tcW w:w="1051" w:type="pct"/>
          </w:tcPr>
          <w:p w14:paraId="6B6BDA30" w14:textId="77777777" w:rsidR="00DB7FF4" w:rsidRPr="007E6672" w:rsidRDefault="00DB7FF4" w:rsidP="00104F07">
            <w:pPr>
              <w:pStyle w:val="naisf"/>
              <w:spacing w:before="0" w:after="0"/>
              <w:ind w:firstLine="0"/>
            </w:pPr>
          </w:p>
        </w:tc>
        <w:tc>
          <w:tcPr>
            <w:tcW w:w="3949" w:type="pct"/>
            <w:tcBorders>
              <w:top w:val="single" w:sz="4" w:space="0" w:color="auto"/>
            </w:tcBorders>
          </w:tcPr>
          <w:p w14:paraId="239E6571" w14:textId="77777777" w:rsidR="00DB7FF4" w:rsidRPr="007E6672" w:rsidRDefault="00DB7FF4" w:rsidP="00104F07">
            <w:pPr>
              <w:pStyle w:val="NormalWeb"/>
              <w:spacing w:before="0" w:beforeAutospacing="0" w:after="0" w:afterAutospacing="0"/>
              <w:jc w:val="both"/>
            </w:pPr>
          </w:p>
          <w:p w14:paraId="0EA65939" w14:textId="77777777" w:rsidR="00DB7FF4" w:rsidRPr="007E6672" w:rsidRDefault="00DB7FF4" w:rsidP="00104F07">
            <w:pPr>
              <w:pStyle w:val="NormalWeb"/>
              <w:spacing w:before="0" w:beforeAutospacing="0" w:after="0" w:afterAutospacing="0"/>
              <w:jc w:val="both"/>
            </w:pPr>
          </w:p>
        </w:tc>
      </w:tr>
      <w:tr w:rsidR="00DB7FF4" w:rsidRPr="007E6672" w14:paraId="0C8306A4" w14:textId="77777777" w:rsidTr="00104F07">
        <w:tc>
          <w:tcPr>
            <w:tcW w:w="1051" w:type="pct"/>
          </w:tcPr>
          <w:p w14:paraId="53B73C8F" w14:textId="77777777" w:rsidR="004D2F03" w:rsidRPr="007E6672" w:rsidRDefault="00DB7FF4" w:rsidP="00104F07">
            <w:pPr>
              <w:pStyle w:val="naiskr"/>
              <w:spacing w:before="0" w:after="0"/>
              <w:jc w:val="both"/>
            </w:pPr>
            <w:r w:rsidRPr="007E6672">
              <w:t>Saskaņošanas dalībnieki</w:t>
            </w:r>
          </w:p>
          <w:p w14:paraId="379B24A6" w14:textId="77777777" w:rsidR="004D2F03" w:rsidRPr="007E6672" w:rsidRDefault="004D2F03" w:rsidP="004D2F03">
            <w:pPr>
              <w:rPr>
                <w:lang w:eastAsia="lv-LV"/>
              </w:rPr>
            </w:pPr>
          </w:p>
          <w:p w14:paraId="55D9C0F5" w14:textId="77777777" w:rsidR="00DB7FF4" w:rsidRPr="007E6672" w:rsidRDefault="004D2F03" w:rsidP="004D2F03">
            <w:pPr>
              <w:tabs>
                <w:tab w:val="left" w:pos="1980"/>
              </w:tabs>
              <w:rPr>
                <w:lang w:eastAsia="lv-LV"/>
              </w:rPr>
            </w:pPr>
            <w:r w:rsidRPr="007E6672">
              <w:rPr>
                <w:lang w:eastAsia="lv-LV"/>
              </w:rPr>
              <w:tab/>
            </w:r>
          </w:p>
        </w:tc>
        <w:tc>
          <w:tcPr>
            <w:tcW w:w="3949" w:type="pct"/>
          </w:tcPr>
          <w:p w14:paraId="1DCC49E1" w14:textId="77777777" w:rsidR="0069584F" w:rsidRPr="007E6672" w:rsidRDefault="0069584F" w:rsidP="0069584F">
            <w:pPr>
              <w:pStyle w:val="naiskr"/>
              <w:spacing w:before="0" w:after="0"/>
              <w:jc w:val="both"/>
            </w:pPr>
            <w:r w:rsidRPr="007E6672">
              <w:t>Finanšu ministrija;</w:t>
            </w:r>
          </w:p>
          <w:p w14:paraId="66EEA4EC" w14:textId="77777777" w:rsidR="00DB7FF4" w:rsidRDefault="00C46344" w:rsidP="00C46344">
            <w:pPr>
              <w:pStyle w:val="naiskr"/>
              <w:spacing w:before="0" w:after="0"/>
              <w:jc w:val="both"/>
            </w:pPr>
            <w:r>
              <w:t>Tieslietu ministrija</w:t>
            </w:r>
            <w:r w:rsidR="00C414C6">
              <w:t>;</w:t>
            </w:r>
          </w:p>
          <w:p w14:paraId="01858998" w14:textId="06E838EB" w:rsidR="00C414C6" w:rsidRDefault="00C414C6" w:rsidP="00C46344">
            <w:pPr>
              <w:pStyle w:val="naiskr"/>
              <w:spacing w:before="0" w:after="0"/>
              <w:jc w:val="both"/>
            </w:pPr>
            <w:r>
              <w:t>Satiksmes ministrija;</w:t>
            </w:r>
          </w:p>
          <w:p w14:paraId="7FE91142" w14:textId="2C4A1D79" w:rsidR="00344E03" w:rsidRDefault="00344E03" w:rsidP="00C46344">
            <w:pPr>
              <w:pStyle w:val="naiskr"/>
              <w:spacing w:before="0" w:after="0"/>
              <w:jc w:val="both"/>
            </w:pPr>
            <w:r w:rsidRPr="00344E03">
              <w:t>Zemkopības ministrija</w:t>
            </w:r>
            <w:r>
              <w:t>;</w:t>
            </w:r>
          </w:p>
          <w:p w14:paraId="3259719E" w14:textId="6026CDE3" w:rsidR="003A48E9" w:rsidRDefault="003A48E9" w:rsidP="00C46344">
            <w:pPr>
              <w:pStyle w:val="naiskr"/>
              <w:spacing w:before="0" w:after="0"/>
              <w:jc w:val="both"/>
            </w:pPr>
            <w:r w:rsidRPr="003A48E9">
              <w:t>Labklājības ministrija</w:t>
            </w:r>
            <w:r>
              <w:t>;</w:t>
            </w:r>
          </w:p>
          <w:p w14:paraId="4BB5787F" w14:textId="3E95A7D8" w:rsidR="003A48E9" w:rsidRDefault="003A48E9" w:rsidP="00C46344">
            <w:pPr>
              <w:pStyle w:val="naiskr"/>
              <w:spacing w:before="0" w:after="0"/>
              <w:jc w:val="both"/>
            </w:pPr>
            <w:r w:rsidRPr="003A48E9">
              <w:t>Veselības ministrija</w:t>
            </w:r>
            <w:r>
              <w:t>;</w:t>
            </w:r>
          </w:p>
          <w:p w14:paraId="3BD6EAD9" w14:textId="30B32FD5" w:rsidR="00C414C6" w:rsidRDefault="00C414C6" w:rsidP="00C46344">
            <w:pPr>
              <w:pStyle w:val="naiskr"/>
              <w:spacing w:before="0" w:after="0"/>
              <w:jc w:val="both"/>
            </w:pPr>
            <w:r w:rsidRPr="00C414C6">
              <w:t>Latvijas Elektrotehnikas un elektronikas rūpniecības asociācija</w:t>
            </w:r>
            <w:r>
              <w:t>;</w:t>
            </w:r>
          </w:p>
          <w:p w14:paraId="653ED7B1" w14:textId="3A2B9F96" w:rsidR="00C414C6" w:rsidRDefault="00C414C6" w:rsidP="00C46344">
            <w:pPr>
              <w:pStyle w:val="naiskr"/>
              <w:spacing w:before="0" w:after="0"/>
              <w:jc w:val="both"/>
            </w:pPr>
            <w:r w:rsidRPr="00C414C6">
              <w:t>Latvijas Informācijas un komunikācijas tehnoloģijas asociācija</w:t>
            </w:r>
            <w:r>
              <w:t>;</w:t>
            </w:r>
          </w:p>
          <w:p w14:paraId="36960EF1" w14:textId="660647CF" w:rsidR="00C414C6" w:rsidRDefault="00C414C6" w:rsidP="00C46344">
            <w:pPr>
              <w:pStyle w:val="naiskr"/>
              <w:spacing w:before="0" w:after="0"/>
              <w:jc w:val="both"/>
            </w:pPr>
            <w:r w:rsidRPr="00C414C6">
              <w:lastRenderedPageBreak/>
              <w:t>Latvijas Poligrāfijas uzņēmumu asociācija</w:t>
            </w:r>
            <w:r>
              <w:t>;</w:t>
            </w:r>
          </w:p>
          <w:p w14:paraId="19FDAE76" w14:textId="3F68C483" w:rsidR="00C414C6" w:rsidRDefault="00533FED" w:rsidP="00C46344">
            <w:pPr>
              <w:pStyle w:val="naiskr"/>
              <w:spacing w:before="0" w:after="0"/>
              <w:jc w:val="both"/>
            </w:pPr>
            <w:r>
              <w:t>Biedrība “</w:t>
            </w:r>
            <w:r w:rsidR="00C414C6" w:rsidRPr="00C414C6">
              <w:t>Zaļo un Viedo Tehnoloģiju Klasteris</w:t>
            </w:r>
            <w:r>
              <w:t>”</w:t>
            </w:r>
            <w:r w:rsidR="00C414C6">
              <w:t>;</w:t>
            </w:r>
          </w:p>
          <w:p w14:paraId="1B072DE4" w14:textId="3C62D3EB" w:rsidR="00C414C6" w:rsidRDefault="00C414C6" w:rsidP="00C46344">
            <w:pPr>
              <w:pStyle w:val="naiskr"/>
              <w:spacing w:before="0" w:after="0"/>
              <w:jc w:val="both"/>
            </w:pPr>
            <w:r w:rsidRPr="00C414C6">
              <w:t>Mašīnbūves un metālapstrādes rūpniecības asociācija</w:t>
            </w:r>
            <w:r w:rsidR="00B917F7">
              <w:t>;</w:t>
            </w:r>
          </w:p>
          <w:p w14:paraId="3668AFE5" w14:textId="726C2E9A" w:rsidR="00B917F7" w:rsidRDefault="00B917F7" w:rsidP="00C46344">
            <w:pPr>
              <w:pStyle w:val="naiskr"/>
              <w:spacing w:before="0" w:after="0"/>
              <w:jc w:val="both"/>
            </w:pPr>
            <w:r w:rsidRPr="00B917F7">
              <w:t>Latvijas Pārtikas uzņēmumu federācija</w:t>
            </w:r>
            <w:r>
              <w:t>;</w:t>
            </w:r>
          </w:p>
          <w:p w14:paraId="3B44B611" w14:textId="0E54D7C6" w:rsidR="00B917F7" w:rsidRDefault="00B917F7" w:rsidP="00C46344">
            <w:pPr>
              <w:pStyle w:val="naiskr"/>
              <w:spacing w:before="0" w:after="0"/>
              <w:jc w:val="both"/>
            </w:pPr>
            <w:r w:rsidRPr="00B917F7">
              <w:t>Latvijas Ķīmijas un farmācijas uzņēmēju asociācija</w:t>
            </w:r>
            <w:r w:rsidR="003A48E9">
              <w:t>;</w:t>
            </w:r>
          </w:p>
          <w:p w14:paraId="1F80986A" w14:textId="67E67349" w:rsidR="003A48E9" w:rsidRDefault="003A48E9" w:rsidP="00C46344">
            <w:pPr>
              <w:pStyle w:val="naiskr"/>
              <w:spacing w:before="0" w:after="0"/>
              <w:jc w:val="both"/>
            </w:pPr>
            <w:r w:rsidRPr="003A48E9">
              <w:t>Pārresoru koordinācijas centrs</w:t>
            </w:r>
            <w:r>
              <w:t>;</w:t>
            </w:r>
          </w:p>
          <w:p w14:paraId="12C3B6AE" w14:textId="0EE1A5BE" w:rsidR="003A48E9" w:rsidRDefault="003A48E9" w:rsidP="00C46344">
            <w:pPr>
              <w:pStyle w:val="naiskr"/>
              <w:spacing w:before="0" w:after="0"/>
              <w:jc w:val="both"/>
            </w:pPr>
            <w:r w:rsidRPr="003A48E9">
              <w:t>Latvijas Darba devēju konfederācija</w:t>
            </w:r>
            <w:r>
              <w:t>.</w:t>
            </w:r>
          </w:p>
          <w:p w14:paraId="413AEC2B" w14:textId="6C39D3F7" w:rsidR="00C414C6" w:rsidRPr="007E6672" w:rsidRDefault="00C414C6" w:rsidP="00C46344">
            <w:pPr>
              <w:pStyle w:val="naiskr"/>
              <w:spacing w:before="0" w:after="0"/>
              <w:jc w:val="both"/>
            </w:pPr>
          </w:p>
        </w:tc>
      </w:tr>
      <w:tr w:rsidR="0069584F" w:rsidRPr="007E6672" w14:paraId="00249EFB" w14:textId="77777777" w:rsidTr="00104F07">
        <w:trPr>
          <w:trHeight w:val="285"/>
        </w:trPr>
        <w:tc>
          <w:tcPr>
            <w:tcW w:w="1051" w:type="pct"/>
          </w:tcPr>
          <w:p w14:paraId="19A26CF7" w14:textId="77777777" w:rsidR="0069584F" w:rsidRDefault="0069584F" w:rsidP="0069584F">
            <w:pPr>
              <w:pStyle w:val="naiskr"/>
              <w:spacing w:before="0" w:after="0"/>
              <w:jc w:val="both"/>
            </w:pPr>
          </w:p>
          <w:p w14:paraId="073AF9BB" w14:textId="77777777" w:rsidR="00242600" w:rsidRPr="007E6672" w:rsidRDefault="00242600" w:rsidP="0069584F">
            <w:pPr>
              <w:pStyle w:val="naiskr"/>
              <w:spacing w:before="0" w:after="0"/>
              <w:jc w:val="both"/>
            </w:pPr>
          </w:p>
        </w:tc>
        <w:tc>
          <w:tcPr>
            <w:tcW w:w="3949" w:type="pct"/>
            <w:tcBorders>
              <w:top w:val="single" w:sz="4" w:space="0" w:color="auto"/>
            </w:tcBorders>
          </w:tcPr>
          <w:p w14:paraId="7C8B1EAC" w14:textId="77777777" w:rsidR="0069584F" w:rsidRPr="007E6672" w:rsidRDefault="0069584F" w:rsidP="0069584F">
            <w:pPr>
              <w:pStyle w:val="naiskr"/>
              <w:spacing w:before="0" w:after="0"/>
              <w:jc w:val="both"/>
            </w:pPr>
          </w:p>
        </w:tc>
      </w:tr>
      <w:tr w:rsidR="0069584F" w:rsidRPr="007E6672" w14:paraId="32ED5515" w14:textId="77777777" w:rsidTr="00104F07">
        <w:trPr>
          <w:trHeight w:val="1295"/>
        </w:trPr>
        <w:tc>
          <w:tcPr>
            <w:tcW w:w="1051" w:type="pct"/>
          </w:tcPr>
          <w:p w14:paraId="17F3A547" w14:textId="77777777" w:rsidR="0069584F" w:rsidRPr="007E6672" w:rsidRDefault="0069584F" w:rsidP="0069584F">
            <w:pPr>
              <w:pStyle w:val="naiskr"/>
              <w:spacing w:before="0" w:after="0"/>
              <w:jc w:val="both"/>
            </w:pPr>
            <w:r w:rsidRPr="007E6672">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79186111" w14:textId="77777777" w:rsidR="0069584F" w:rsidRDefault="0069584F" w:rsidP="0069584F">
            <w:pPr>
              <w:jc w:val="both"/>
              <w:rPr>
                <w:szCs w:val="24"/>
              </w:rPr>
            </w:pPr>
          </w:p>
          <w:p w14:paraId="3750D44D" w14:textId="77777777" w:rsidR="00242600" w:rsidRPr="007E6672" w:rsidRDefault="00DF196F" w:rsidP="0069584F">
            <w:pPr>
              <w:jc w:val="both"/>
              <w:rPr>
                <w:szCs w:val="24"/>
              </w:rPr>
            </w:pPr>
            <w:r>
              <w:rPr>
                <w:szCs w:val="24"/>
              </w:rPr>
              <w:t>Nav attiecināms</w:t>
            </w:r>
          </w:p>
        </w:tc>
      </w:tr>
    </w:tbl>
    <w:p w14:paraId="55E5C891" w14:textId="77777777" w:rsidR="00DB7FF4" w:rsidRPr="007E6672" w:rsidRDefault="00DB7FF4" w:rsidP="00DB7FF4">
      <w:pPr>
        <w:pStyle w:val="naisf"/>
        <w:spacing w:before="0" w:after="0"/>
        <w:ind w:firstLine="720"/>
      </w:pPr>
    </w:p>
    <w:p w14:paraId="6B4C3685" w14:textId="77777777" w:rsidR="00DB7FF4" w:rsidRPr="007E6672" w:rsidRDefault="00DB7FF4" w:rsidP="00242600">
      <w:pPr>
        <w:pStyle w:val="naisf"/>
        <w:spacing w:before="0" w:after="0"/>
        <w:ind w:firstLine="0"/>
      </w:pPr>
    </w:p>
    <w:p w14:paraId="65D46FF8" w14:textId="77777777" w:rsidR="00DB7FF4" w:rsidRPr="007E6672" w:rsidRDefault="00DB7FF4" w:rsidP="00DB7FF4">
      <w:pPr>
        <w:pStyle w:val="naisf"/>
        <w:spacing w:before="0" w:after="0"/>
        <w:ind w:firstLine="0"/>
        <w:rPr>
          <w:b/>
        </w:rPr>
      </w:pPr>
      <w:r w:rsidRPr="007E6672">
        <w:rPr>
          <w:b/>
        </w:rPr>
        <w:t>II. Jautājumi, par kuriem saskaņošanā vienošanās ir panākta</w:t>
      </w:r>
    </w:p>
    <w:p w14:paraId="21D86D6A" w14:textId="77777777" w:rsidR="00DB7FF4" w:rsidRPr="007E6672" w:rsidRDefault="00DB7FF4" w:rsidP="00DB7FF4">
      <w:pPr>
        <w:pStyle w:val="naisf"/>
        <w:spacing w:before="0" w:after="0"/>
        <w:ind w:firstLine="720"/>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286"/>
        <w:gridCol w:w="4253"/>
        <w:gridCol w:w="3200"/>
        <w:gridCol w:w="627"/>
        <w:gridCol w:w="3235"/>
      </w:tblGrid>
      <w:tr w:rsidR="00DB7FF4" w:rsidRPr="007E6672" w14:paraId="1B11E3ED" w14:textId="77777777" w:rsidTr="004C29BA">
        <w:tc>
          <w:tcPr>
            <w:tcW w:w="675" w:type="dxa"/>
            <w:tcBorders>
              <w:top w:val="single" w:sz="6" w:space="0" w:color="000000"/>
              <w:left w:val="single" w:sz="6" w:space="0" w:color="000000"/>
              <w:bottom w:val="single" w:sz="6" w:space="0" w:color="000000"/>
              <w:right w:val="single" w:sz="6" w:space="0" w:color="000000"/>
            </w:tcBorders>
            <w:vAlign w:val="center"/>
          </w:tcPr>
          <w:p w14:paraId="06EA39B4" w14:textId="77777777" w:rsidR="00DB7FF4" w:rsidRPr="007E6672" w:rsidRDefault="00DB7FF4" w:rsidP="00104F07">
            <w:pPr>
              <w:pStyle w:val="naisc"/>
              <w:spacing w:before="0" w:after="0"/>
              <w:jc w:val="both"/>
            </w:pPr>
            <w:r w:rsidRPr="007E6672">
              <w:t>Nr. p. k.</w:t>
            </w:r>
          </w:p>
        </w:tc>
        <w:tc>
          <w:tcPr>
            <w:tcW w:w="2719" w:type="dxa"/>
            <w:gridSpan w:val="2"/>
            <w:tcBorders>
              <w:top w:val="single" w:sz="6" w:space="0" w:color="000000"/>
              <w:left w:val="single" w:sz="6" w:space="0" w:color="000000"/>
              <w:bottom w:val="single" w:sz="6" w:space="0" w:color="000000"/>
              <w:right w:val="single" w:sz="6" w:space="0" w:color="000000"/>
            </w:tcBorders>
            <w:vAlign w:val="center"/>
          </w:tcPr>
          <w:p w14:paraId="62B458B9" w14:textId="77777777" w:rsidR="00DB7FF4" w:rsidRPr="007E6672" w:rsidRDefault="00DB7FF4" w:rsidP="00104F07">
            <w:pPr>
              <w:pStyle w:val="naisc"/>
              <w:spacing w:before="0" w:after="0"/>
              <w:ind w:firstLine="12"/>
              <w:jc w:val="both"/>
            </w:pPr>
            <w:r w:rsidRPr="007E6672">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3BBCA319" w14:textId="77777777" w:rsidR="00DB7FF4" w:rsidRPr="007E6672" w:rsidRDefault="00DB7FF4" w:rsidP="00104F07">
            <w:pPr>
              <w:pStyle w:val="naisc"/>
              <w:spacing w:before="0" w:after="0"/>
              <w:ind w:right="3"/>
              <w:jc w:val="both"/>
            </w:pPr>
            <w:r w:rsidRPr="007E6672">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4EC9D384" w14:textId="77777777" w:rsidR="00DB7FF4" w:rsidRPr="007E6672" w:rsidRDefault="00DB7FF4" w:rsidP="00104F07">
            <w:pPr>
              <w:pStyle w:val="naisc"/>
              <w:spacing w:before="0" w:after="0"/>
              <w:ind w:firstLine="21"/>
              <w:jc w:val="both"/>
            </w:pPr>
            <w:r w:rsidRPr="007E6672">
              <w:t>Atbildīgās ministrijas norāde par to, ka iebildums ir ņemts vērā, vai informācija par saskaņošanā panākto alternatīvo risinājumu</w:t>
            </w:r>
          </w:p>
        </w:tc>
        <w:tc>
          <w:tcPr>
            <w:tcW w:w="3235" w:type="dxa"/>
            <w:tcBorders>
              <w:top w:val="single" w:sz="4" w:space="0" w:color="auto"/>
              <w:left w:val="single" w:sz="4" w:space="0" w:color="auto"/>
              <w:bottom w:val="single" w:sz="4" w:space="0" w:color="auto"/>
            </w:tcBorders>
            <w:vAlign w:val="center"/>
          </w:tcPr>
          <w:p w14:paraId="2FC45C33" w14:textId="77777777" w:rsidR="00DB7FF4" w:rsidRPr="007E6672" w:rsidRDefault="00DB7FF4" w:rsidP="00104F07">
            <w:pPr>
              <w:jc w:val="both"/>
              <w:rPr>
                <w:szCs w:val="24"/>
              </w:rPr>
            </w:pPr>
            <w:r w:rsidRPr="007E6672">
              <w:rPr>
                <w:szCs w:val="24"/>
              </w:rPr>
              <w:t>Projekta attiecīgā punkta (panta) galīgā redakcija</w:t>
            </w:r>
          </w:p>
        </w:tc>
      </w:tr>
      <w:tr w:rsidR="00DB7FF4" w:rsidRPr="007E6672" w14:paraId="0D69921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861B4F2" w14:textId="77777777" w:rsidR="00DB7FF4" w:rsidRPr="007E6672" w:rsidRDefault="00DB7FF4" w:rsidP="00104F07">
            <w:pPr>
              <w:pStyle w:val="naisc"/>
              <w:spacing w:before="0" w:after="0"/>
              <w:jc w:val="both"/>
            </w:pPr>
            <w:r w:rsidRPr="007E6672">
              <w:t>1</w:t>
            </w:r>
          </w:p>
        </w:tc>
        <w:tc>
          <w:tcPr>
            <w:tcW w:w="2719" w:type="dxa"/>
            <w:gridSpan w:val="2"/>
            <w:tcBorders>
              <w:top w:val="single" w:sz="6" w:space="0" w:color="000000"/>
              <w:left w:val="single" w:sz="6" w:space="0" w:color="000000"/>
              <w:bottom w:val="single" w:sz="6" w:space="0" w:color="000000"/>
              <w:right w:val="single" w:sz="6" w:space="0" w:color="000000"/>
            </w:tcBorders>
          </w:tcPr>
          <w:p w14:paraId="77676414" w14:textId="77777777" w:rsidR="00DB7FF4" w:rsidRPr="007E6672" w:rsidRDefault="00DB7FF4" w:rsidP="00104F07">
            <w:pPr>
              <w:pStyle w:val="naisc"/>
              <w:spacing w:before="0" w:after="0"/>
              <w:ind w:firstLine="720"/>
              <w:jc w:val="both"/>
            </w:pPr>
            <w:r w:rsidRPr="007E6672">
              <w:t>2</w:t>
            </w:r>
          </w:p>
        </w:tc>
        <w:tc>
          <w:tcPr>
            <w:tcW w:w="4253" w:type="dxa"/>
            <w:tcBorders>
              <w:top w:val="single" w:sz="6" w:space="0" w:color="000000"/>
              <w:left w:val="single" w:sz="6" w:space="0" w:color="000000"/>
              <w:bottom w:val="single" w:sz="6" w:space="0" w:color="000000"/>
              <w:right w:val="single" w:sz="6" w:space="0" w:color="000000"/>
            </w:tcBorders>
          </w:tcPr>
          <w:p w14:paraId="54774DFF" w14:textId="77777777" w:rsidR="00DB7FF4" w:rsidRPr="007E6672" w:rsidRDefault="00DB7FF4" w:rsidP="00104F07">
            <w:pPr>
              <w:pStyle w:val="naisc"/>
              <w:spacing w:before="0" w:after="0"/>
              <w:ind w:firstLine="720"/>
              <w:jc w:val="both"/>
            </w:pPr>
            <w:r w:rsidRPr="007E6672">
              <w:t>3</w:t>
            </w:r>
          </w:p>
        </w:tc>
        <w:tc>
          <w:tcPr>
            <w:tcW w:w="3827" w:type="dxa"/>
            <w:gridSpan w:val="2"/>
            <w:tcBorders>
              <w:top w:val="single" w:sz="6" w:space="0" w:color="000000"/>
              <w:left w:val="single" w:sz="6" w:space="0" w:color="000000"/>
              <w:bottom w:val="single" w:sz="6" w:space="0" w:color="000000"/>
              <w:right w:val="single" w:sz="6" w:space="0" w:color="000000"/>
            </w:tcBorders>
          </w:tcPr>
          <w:p w14:paraId="7FF81DDA" w14:textId="77777777" w:rsidR="00DB7FF4" w:rsidRPr="007E6672" w:rsidRDefault="00DB7FF4" w:rsidP="00104F07">
            <w:pPr>
              <w:pStyle w:val="naisc"/>
              <w:spacing w:before="0" w:after="0"/>
              <w:ind w:firstLine="720"/>
              <w:jc w:val="both"/>
            </w:pPr>
            <w:r w:rsidRPr="007E6672">
              <w:t>4</w:t>
            </w:r>
          </w:p>
        </w:tc>
        <w:tc>
          <w:tcPr>
            <w:tcW w:w="3235" w:type="dxa"/>
            <w:tcBorders>
              <w:top w:val="single" w:sz="4" w:space="0" w:color="auto"/>
              <w:left w:val="single" w:sz="4" w:space="0" w:color="auto"/>
              <w:bottom w:val="single" w:sz="4" w:space="0" w:color="auto"/>
            </w:tcBorders>
          </w:tcPr>
          <w:p w14:paraId="6C9E3BD0" w14:textId="77777777" w:rsidR="00DB7FF4" w:rsidRPr="007E6672" w:rsidRDefault="00DB7FF4" w:rsidP="00104F07">
            <w:pPr>
              <w:jc w:val="both"/>
              <w:rPr>
                <w:szCs w:val="24"/>
              </w:rPr>
            </w:pPr>
            <w:r w:rsidRPr="007E6672">
              <w:rPr>
                <w:szCs w:val="24"/>
              </w:rPr>
              <w:t>5</w:t>
            </w:r>
          </w:p>
        </w:tc>
      </w:tr>
      <w:tr w:rsidR="0069584F" w:rsidRPr="007E6672" w14:paraId="6831DD6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615B1F4" w14:textId="77777777" w:rsidR="0069584F" w:rsidRPr="007E6672" w:rsidRDefault="0069584F"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237DE60" w14:textId="77777777" w:rsidR="0069584F" w:rsidRDefault="009B6DB2" w:rsidP="002B345C">
            <w:pPr>
              <w:pStyle w:val="naisc"/>
              <w:spacing w:before="0" w:after="0"/>
              <w:jc w:val="both"/>
            </w:pPr>
            <w:r>
              <w:t>A</w:t>
            </w:r>
            <w:r w:rsidRPr="009B6DB2">
              <w:t xml:space="preserve">notācijas I. sadaļas “Tiesību akta projekta izstrādes nepieciešamība” 2. punkts “Pašreizējā situācija un problēmas, kuru risināšanai tiesību akta projekts izstrādāts, </w:t>
            </w:r>
            <w:r w:rsidRPr="009B6DB2">
              <w:lastRenderedPageBreak/>
              <w:t>tiesiskā regulējuma mērķis un būtība”</w:t>
            </w:r>
          </w:p>
          <w:p w14:paraId="11CBC95C" w14:textId="77777777" w:rsidR="000E7FE3" w:rsidRPr="000E7FE3" w:rsidRDefault="000E7FE3" w:rsidP="000E7FE3">
            <w:pPr>
              <w:rPr>
                <w:lang w:eastAsia="lv-LV"/>
              </w:rPr>
            </w:pPr>
          </w:p>
          <w:p w14:paraId="47AA2E8F" w14:textId="77777777" w:rsidR="000E7FE3" w:rsidRPr="000E7FE3" w:rsidRDefault="000E7FE3" w:rsidP="000E7FE3">
            <w:pPr>
              <w:rPr>
                <w:lang w:eastAsia="lv-LV"/>
              </w:rPr>
            </w:pPr>
          </w:p>
          <w:p w14:paraId="496473CC" w14:textId="51F88F9C" w:rsidR="000E7FE3" w:rsidRPr="000E7FE3" w:rsidRDefault="000E7FE3" w:rsidP="000E7FE3">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2DBB3E1D" w14:textId="1EAF00B4" w:rsidR="002027C6" w:rsidRPr="005F7A53" w:rsidRDefault="00377F00" w:rsidP="007E319F">
            <w:pPr>
              <w:pStyle w:val="naisc"/>
              <w:spacing w:before="0" w:after="0"/>
              <w:jc w:val="both"/>
              <w:rPr>
                <w:b/>
              </w:rPr>
            </w:pPr>
            <w:r>
              <w:rPr>
                <w:b/>
              </w:rPr>
              <w:lastRenderedPageBreak/>
              <w:t>Tieslietu</w:t>
            </w:r>
            <w:r w:rsidR="005E6294">
              <w:rPr>
                <w:b/>
              </w:rPr>
              <w:t xml:space="preserve"> ministrijas 04.0</w:t>
            </w:r>
            <w:r>
              <w:rPr>
                <w:b/>
              </w:rPr>
              <w:t>3</w:t>
            </w:r>
            <w:r w:rsidR="001C6772" w:rsidRPr="007E6672">
              <w:rPr>
                <w:b/>
              </w:rPr>
              <w:t>.20</w:t>
            </w:r>
            <w:r>
              <w:rPr>
                <w:b/>
              </w:rPr>
              <w:t>20</w:t>
            </w:r>
            <w:r w:rsidR="001C6772" w:rsidRPr="007E6672">
              <w:rPr>
                <w:b/>
              </w:rPr>
              <w:t>. atzinums</w:t>
            </w:r>
          </w:p>
          <w:p w14:paraId="034AB2AF" w14:textId="6FD2D409" w:rsidR="001C6772" w:rsidRPr="002027C6" w:rsidRDefault="007E319F" w:rsidP="002027C6">
            <w:pPr>
              <w:pStyle w:val="naisc"/>
              <w:spacing w:before="0" w:after="0"/>
              <w:jc w:val="both"/>
            </w:pPr>
            <w:r w:rsidRPr="007E319F">
              <w:t xml:space="preserve">Norādām, ka noteikumu projekta 5. punktā izteiktajā Ministru kabineta 2015. gada 1. decembra noteikumu Nr. 678  "Darbības programmas "Izaugsme un nodarbinātība" 3.2.1. specifiskā atbalsta mērķa "Palielināt augstas pievienotās </w:t>
            </w:r>
            <w:r w:rsidRPr="007E319F">
              <w:lastRenderedPageBreak/>
              <w:t xml:space="preserve">vērtības produktu un pakalpojumu eksporta proporciju" 3.2.1.2. pasākuma "Starptautiskās konkurētspējas veicināšana" īstenošanas noteikumi"" (turpmāk – Noteikumi) 14.5. apakšpunktā lietots jēdziens </w:t>
            </w:r>
            <w:r w:rsidRPr="006939D0">
              <w:t>''vienkāršais un padziļinātais konsultatīvais atbalsts''.</w:t>
            </w:r>
            <w:r w:rsidRPr="007E319F">
              <w:t xml:space="preserve"> No noteikumu projekta nav saprotams minētā jēdziena saturs, attiecīgi lūdzam noteikumu projekta anotācijā skaidrot konkrētā jēdziena saturu.</w:t>
            </w:r>
          </w:p>
        </w:tc>
        <w:tc>
          <w:tcPr>
            <w:tcW w:w="3827" w:type="dxa"/>
            <w:gridSpan w:val="2"/>
            <w:tcBorders>
              <w:top w:val="single" w:sz="6" w:space="0" w:color="000000"/>
              <w:left w:val="single" w:sz="6" w:space="0" w:color="000000"/>
              <w:bottom w:val="single" w:sz="6" w:space="0" w:color="000000"/>
              <w:right w:val="single" w:sz="6" w:space="0" w:color="000000"/>
            </w:tcBorders>
          </w:tcPr>
          <w:p w14:paraId="63B59660" w14:textId="77777777" w:rsidR="000F5A3C" w:rsidRPr="00B57567" w:rsidRDefault="000F5A3C" w:rsidP="000F5A3C">
            <w:pPr>
              <w:pStyle w:val="naisc"/>
              <w:rPr>
                <w:b/>
              </w:rPr>
            </w:pPr>
            <w:r w:rsidRPr="007E6672">
              <w:rPr>
                <w:b/>
              </w:rPr>
              <w:lastRenderedPageBreak/>
              <w:t>Ņemts vērā</w:t>
            </w:r>
          </w:p>
          <w:p w14:paraId="4856C090" w14:textId="77777777" w:rsidR="009C5C56" w:rsidRDefault="009C5C56" w:rsidP="004C29BA">
            <w:pPr>
              <w:pStyle w:val="naisc"/>
              <w:spacing w:before="0" w:after="0"/>
              <w:jc w:val="left"/>
              <w:rPr>
                <w:b/>
              </w:rPr>
            </w:pPr>
          </w:p>
          <w:p w14:paraId="43261D11" w14:textId="4A7F8936" w:rsidR="004B3C83" w:rsidRDefault="00A043FC" w:rsidP="00A043FC">
            <w:pPr>
              <w:pStyle w:val="naisc"/>
              <w:spacing w:before="0" w:after="0"/>
              <w:jc w:val="both"/>
            </w:pPr>
            <w:r>
              <w:t xml:space="preserve"> </w:t>
            </w:r>
          </w:p>
          <w:p w14:paraId="3A44456D" w14:textId="77777777" w:rsidR="000F5A3C" w:rsidRPr="00771B3C" w:rsidRDefault="000F5A3C" w:rsidP="007E319F">
            <w:pPr>
              <w:pStyle w:val="naisc"/>
              <w:spacing w:before="0" w:after="0"/>
              <w:jc w:val="both"/>
            </w:pPr>
          </w:p>
        </w:tc>
        <w:tc>
          <w:tcPr>
            <w:tcW w:w="3235" w:type="dxa"/>
            <w:tcBorders>
              <w:top w:val="single" w:sz="4" w:space="0" w:color="auto"/>
              <w:left w:val="single" w:sz="4" w:space="0" w:color="auto"/>
              <w:bottom w:val="single" w:sz="4" w:space="0" w:color="auto"/>
            </w:tcBorders>
          </w:tcPr>
          <w:p w14:paraId="68282C21" w14:textId="00EF3D5B" w:rsidR="0069584F" w:rsidRPr="007E6672" w:rsidRDefault="00DF196F" w:rsidP="00104F07">
            <w:pPr>
              <w:jc w:val="both"/>
              <w:rPr>
                <w:szCs w:val="24"/>
              </w:rPr>
            </w:pPr>
            <w:r>
              <w:rPr>
                <w:szCs w:val="24"/>
              </w:rPr>
              <w:t xml:space="preserve">Papildināts </w:t>
            </w:r>
            <w:r w:rsidR="007E319F" w:rsidRPr="007E319F">
              <w:rPr>
                <w:szCs w:val="24"/>
              </w:rPr>
              <w:t>anotācijas I. sadaļas “Tiesību akta projekta izstrādes nepieciešamība” 2. punkts “Pašreizējā situācija un problēmas, kuru risināšanai tiesību akta projekts izstrādāts, tiesiskā regulējuma mērķis un būtība”.</w:t>
            </w:r>
          </w:p>
        </w:tc>
      </w:tr>
      <w:tr w:rsidR="00654A41" w:rsidRPr="007E6672" w14:paraId="73E4768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C07BC71" w14:textId="77777777" w:rsidR="00654A41" w:rsidRPr="007E6672" w:rsidRDefault="00654A41"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FD516D7" w14:textId="1B8D4F4D" w:rsidR="00654A41" w:rsidRPr="00054EC9" w:rsidRDefault="009B6DB2" w:rsidP="002B345C">
            <w:pPr>
              <w:pStyle w:val="naisc"/>
              <w:spacing w:before="0" w:after="0"/>
              <w:jc w:val="both"/>
            </w:pPr>
            <w:r>
              <w:t>A</w:t>
            </w:r>
            <w:r w:rsidRPr="009B6DB2">
              <w:t>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1CD9FD24" w14:textId="3C906F7E" w:rsidR="00654A41" w:rsidRPr="00A94547" w:rsidRDefault="005F1C13" w:rsidP="00654A41">
            <w:pPr>
              <w:pStyle w:val="naisc"/>
              <w:spacing w:before="0" w:after="0"/>
              <w:jc w:val="both"/>
              <w:rPr>
                <w:b/>
              </w:rPr>
            </w:pPr>
            <w:r w:rsidRPr="005F1C13">
              <w:rPr>
                <w:b/>
              </w:rPr>
              <w:t xml:space="preserve">Tieslietu </w:t>
            </w:r>
            <w:r w:rsidR="00654A41" w:rsidRPr="00A94547">
              <w:rPr>
                <w:b/>
              </w:rPr>
              <w:t xml:space="preserve">ministrijas </w:t>
            </w:r>
            <w:r w:rsidR="00105FC1" w:rsidRPr="00105FC1">
              <w:rPr>
                <w:b/>
              </w:rPr>
              <w:t>04.03.2020</w:t>
            </w:r>
            <w:r w:rsidR="00654A41" w:rsidRPr="00A94547">
              <w:rPr>
                <w:b/>
              </w:rPr>
              <w:t>.</w:t>
            </w:r>
            <w:r w:rsidR="00054EC9" w:rsidRPr="00A94547">
              <w:rPr>
                <w:b/>
              </w:rPr>
              <w:t xml:space="preserve"> </w:t>
            </w:r>
            <w:r w:rsidR="00654A41" w:rsidRPr="00A94547">
              <w:rPr>
                <w:b/>
              </w:rPr>
              <w:t>atzinums</w:t>
            </w:r>
          </w:p>
          <w:p w14:paraId="5AD6E437" w14:textId="77777777" w:rsidR="00105FC1" w:rsidRDefault="00105FC1" w:rsidP="00105FC1">
            <w:pPr>
              <w:pStyle w:val="naisc"/>
              <w:jc w:val="both"/>
            </w:pPr>
            <w:r>
              <w:t xml:space="preserve">Noteikumu projekta 6. punktā izteiktajā Noteikumu 20.11.2. apakšpunktā no 100 procentu apmērā kompensējamām izmaksām ir izslēgtas noteikumu 14.8. apakšpunktā noteiktās atbalstāmās darbības. Vēršam uzmanību, ka no noteikumu projekta anotācijā sniegtā skaidrojuma nerodas pārliecība, ka minētie grozījumi atbilst tiesiskās paļāvības principam un kā tas ietekmēs jau izsniegto atbalstu, kas izsniegts šo noteikumu 14.8. apakšpunktā minētajām atbalstāmajām darbībām, t.i., atbalsta nodrošināšanai konferenču centra finanšu un ekonomiskā pamatojuma izstrādei. Tiesiskās paļāvības princips noteic, ka privātpersona var paļauties, ka iestādes rīcība ir tiesiska un konsekventa, tai skaitā persona var paļauties, ka tā noteiktajā </w:t>
            </w:r>
            <w:r>
              <w:lastRenderedPageBreak/>
              <w:t xml:space="preserve">laikā varēs īstenot tai iegūtās tiesības. Satversmes tiesa ir norādījusi (2009. gada 26. novembra spriedums lietā Nr. 2009-08-01 ),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w:t>
            </w:r>
          </w:p>
          <w:p w14:paraId="00FE0586" w14:textId="77777777" w:rsidR="00105FC1" w:rsidRDefault="00105FC1" w:rsidP="00105FC1">
            <w:pPr>
              <w:pStyle w:val="naisc"/>
              <w:jc w:val="both"/>
            </w:pPr>
            <w:r>
              <w:t xml:space="preserve">Papildus norādām, ka no noteikumu projekta 6. punkta redakcijas izriet regulējuma piemērošana ar atpakaļejošu spēku. Latvijas tiesību sistēmā nav piemērojamas tiesību normas ar atpakaļejošu spēku. Proti, Oficiālo publikāciju un tiesiskās informācijas likuma 9. panta ceturtā daļā noteic, ka normatīvajiem aktiem nav atpakaļejoša spēka, izņemot likumā īpaši paredzētus gadījumus. </w:t>
            </w:r>
          </w:p>
          <w:p w14:paraId="71D1090B" w14:textId="2C269C9B" w:rsidR="00654A41" w:rsidRPr="00A94547" w:rsidRDefault="00105FC1" w:rsidP="00105FC1">
            <w:pPr>
              <w:pStyle w:val="naisc"/>
              <w:spacing w:before="0" w:after="0"/>
              <w:jc w:val="both"/>
            </w:pPr>
            <w:r>
              <w:t xml:space="preserve">Līdz ar to lūdzam noteikumu projekta anotācijā izvērsti skaidrot, kā noteikumu projektā paredzētais grozījums par atbalsta nepiemērošanu konferenču centra finanšu un ekonomiskā pamatojuma izstrādes nodrošināšanai ietekmēs personas, kuras jau ir saņēmušas atbalstu (vai minētajām personām pasliktināsies tiesiski iegūtais stāvoklis), tai skaitā, vai atbalstu saņēmušās personas ir informētas </w:t>
            </w:r>
            <w:r>
              <w:lastRenderedPageBreak/>
              <w:t>par iespējamo grozījumu un tās brīvprātīgi piekritušas šādam grozījumam. Ja minētais grozījums negatīvi un bez būtiska pamatojuma ietekmēs personu jau iegūtās tiesības, Tieslietu ministrija nevar atbalstīt minētās tiesību normas ietveršanu noteikumu projektā.</w:t>
            </w:r>
          </w:p>
        </w:tc>
        <w:tc>
          <w:tcPr>
            <w:tcW w:w="3827" w:type="dxa"/>
            <w:gridSpan w:val="2"/>
            <w:tcBorders>
              <w:top w:val="single" w:sz="6" w:space="0" w:color="000000"/>
              <w:left w:val="single" w:sz="6" w:space="0" w:color="000000"/>
              <w:bottom w:val="single" w:sz="6" w:space="0" w:color="000000"/>
              <w:right w:val="single" w:sz="6" w:space="0" w:color="000000"/>
            </w:tcBorders>
          </w:tcPr>
          <w:p w14:paraId="7B54E952" w14:textId="77777777" w:rsidR="002252BA" w:rsidRPr="00B57567" w:rsidRDefault="009C5C56" w:rsidP="00386193">
            <w:pPr>
              <w:pStyle w:val="naisc"/>
              <w:rPr>
                <w:b/>
              </w:rPr>
            </w:pPr>
            <w:r w:rsidRPr="007E6672">
              <w:rPr>
                <w:b/>
              </w:rPr>
              <w:lastRenderedPageBreak/>
              <w:t>Ņemts vērā</w:t>
            </w:r>
          </w:p>
          <w:p w14:paraId="5FBA8A2D" w14:textId="396BEA46" w:rsidR="00216E80" w:rsidRPr="007E6672" w:rsidRDefault="00757B51" w:rsidP="002252BA">
            <w:pPr>
              <w:pStyle w:val="naisc"/>
              <w:jc w:val="both"/>
            </w:pPr>
            <w:r>
              <w:t xml:space="preserve">Skaidrojam, ka MK Noteikumu projekta </w:t>
            </w:r>
            <w:r w:rsidR="00C31F04" w:rsidRPr="00C31F04">
              <w:t>14.8. apakšpunkt</w:t>
            </w:r>
            <w:r>
              <w:t xml:space="preserve">s nav attiecināms </w:t>
            </w:r>
            <w:r w:rsidR="000011D3">
              <w:t xml:space="preserve">uz </w:t>
            </w:r>
            <w:r w:rsidR="004E2750">
              <w:t>komersantiem</w:t>
            </w:r>
            <w:r w:rsidR="000011D3">
              <w:t xml:space="preserve">, bet gan uz </w:t>
            </w:r>
            <w:r w:rsidR="000011D3" w:rsidRPr="000011D3">
              <w:t>Latvijas Investīciju un attīstības aģentūr</w:t>
            </w:r>
            <w:r w:rsidR="000011D3">
              <w:t>u</w:t>
            </w:r>
            <w:r w:rsidR="000011D3" w:rsidRPr="000011D3">
              <w:t xml:space="preserve"> (turpmāk – LIAA),</w:t>
            </w:r>
            <w:r w:rsidR="000011D3">
              <w:t xml:space="preserve"> </w:t>
            </w:r>
            <w:r w:rsidR="004E2750">
              <w:t>kas</w:t>
            </w:r>
            <w:r w:rsidR="000011D3">
              <w:t xml:space="preserve"> </w:t>
            </w:r>
            <w:r w:rsidR="00A94B68" w:rsidRPr="00A94B68">
              <w:t xml:space="preserve">veic konferenču centra finanšu un ekonomiskā pamatojuma izstrādi </w:t>
            </w:r>
            <w:r w:rsidR="000011D3">
              <w:t>saskaņā ar</w:t>
            </w:r>
            <w:r w:rsidR="000011D3" w:rsidRPr="000011D3">
              <w:t xml:space="preserve"> </w:t>
            </w:r>
            <w:r w:rsidR="004E2750" w:rsidRPr="004E2750">
              <w:t>Ministru kabineta 2018. gada 5. novembr</w:t>
            </w:r>
            <w:r w:rsidR="004E2750">
              <w:t xml:space="preserve">a </w:t>
            </w:r>
            <w:r w:rsidR="004E2750" w:rsidRPr="004E2750">
              <w:t>noteikum</w:t>
            </w:r>
            <w:r w:rsidR="004E2750">
              <w:t xml:space="preserve">u </w:t>
            </w:r>
            <w:r w:rsidR="004E2750" w:rsidRPr="004E2750">
              <w:t xml:space="preserve">Nr. 676 </w:t>
            </w:r>
            <w:r w:rsidR="004E2750">
              <w:t>“</w:t>
            </w:r>
            <w:r w:rsidR="004E2750" w:rsidRPr="004E2750">
              <w:t>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r w:rsidR="004E2750">
              <w:t>”</w:t>
            </w:r>
            <w:r w:rsidR="004E2750" w:rsidRPr="004E2750">
              <w:t xml:space="preserve"> </w:t>
            </w:r>
            <w:r w:rsidR="004E2750">
              <w:t xml:space="preserve">anotācijā </w:t>
            </w:r>
            <w:r w:rsidR="000011D3">
              <w:t>norādīto.</w:t>
            </w:r>
            <w:r w:rsidR="000011D3" w:rsidRPr="000011D3">
              <w:t xml:space="preserve"> </w:t>
            </w:r>
          </w:p>
          <w:p w14:paraId="1253DA69" w14:textId="77777777" w:rsidR="002252BA" w:rsidRPr="009C5C56" w:rsidRDefault="002252BA" w:rsidP="00963514">
            <w:pPr>
              <w:pStyle w:val="naisc"/>
              <w:spacing w:before="0" w:after="0"/>
              <w:jc w:val="both"/>
              <w:rPr>
                <w:b/>
                <w:i/>
                <w:u w:val="single"/>
              </w:rPr>
            </w:pPr>
          </w:p>
        </w:tc>
        <w:tc>
          <w:tcPr>
            <w:tcW w:w="3235" w:type="dxa"/>
            <w:tcBorders>
              <w:top w:val="single" w:sz="4" w:space="0" w:color="auto"/>
              <w:left w:val="single" w:sz="4" w:space="0" w:color="auto"/>
              <w:bottom w:val="single" w:sz="4" w:space="0" w:color="auto"/>
            </w:tcBorders>
          </w:tcPr>
          <w:p w14:paraId="5910C863" w14:textId="6BC79E27" w:rsidR="000F5A3C" w:rsidRPr="007E6672" w:rsidRDefault="00C05F61" w:rsidP="0013339E">
            <w:pPr>
              <w:spacing w:before="100" w:beforeAutospacing="1" w:after="100" w:afterAutospacing="1"/>
              <w:jc w:val="both"/>
            </w:pPr>
            <w:r w:rsidRPr="00C05F61">
              <w:lastRenderedPageBreak/>
              <w:t>Papildināts anotācijas I. sadaļas “Tiesību akta projekta izstrādes nepieciešamība” 2. punkts “Pašreizējā situācija un problēmas, kuru risināšanai tiesību akta projekts izstrādāts, tiesiskā regulējuma mērķis un būtība”.</w:t>
            </w:r>
          </w:p>
        </w:tc>
      </w:tr>
      <w:tr w:rsidR="0032636E" w:rsidRPr="007E6672" w14:paraId="7821D616" w14:textId="77777777" w:rsidTr="000F556F">
        <w:tc>
          <w:tcPr>
            <w:tcW w:w="675" w:type="dxa"/>
            <w:tcBorders>
              <w:top w:val="single" w:sz="6" w:space="0" w:color="000000"/>
              <w:left w:val="single" w:sz="6" w:space="0" w:color="000000"/>
              <w:bottom w:val="single" w:sz="6" w:space="0" w:color="000000"/>
              <w:right w:val="single" w:sz="6" w:space="0" w:color="000000"/>
            </w:tcBorders>
          </w:tcPr>
          <w:p w14:paraId="1EA3D67D" w14:textId="77777777" w:rsidR="0032636E" w:rsidRPr="007E6672" w:rsidRDefault="0032636E" w:rsidP="0032636E">
            <w:pPr>
              <w:pStyle w:val="naisc"/>
              <w:numPr>
                <w:ilvl w:val="0"/>
                <w:numId w:val="2"/>
              </w:numPr>
              <w:spacing w:before="0" w:after="0"/>
              <w:jc w:val="both"/>
            </w:pPr>
          </w:p>
        </w:tc>
        <w:tc>
          <w:tcPr>
            <w:tcW w:w="2719" w:type="dxa"/>
            <w:gridSpan w:val="2"/>
            <w:tcBorders>
              <w:left w:val="single" w:sz="6" w:space="0" w:color="000000"/>
              <w:bottom w:val="single" w:sz="6" w:space="0" w:color="000000"/>
              <w:right w:val="single" w:sz="6" w:space="0" w:color="000000"/>
            </w:tcBorders>
          </w:tcPr>
          <w:p w14:paraId="0E682ACB" w14:textId="7398C3EB" w:rsidR="0032636E" w:rsidRPr="007E6672" w:rsidRDefault="00A14982" w:rsidP="0032636E">
            <w:pPr>
              <w:pStyle w:val="naisc"/>
              <w:jc w:val="both"/>
            </w:pPr>
            <w:r w:rsidRPr="00A14982">
              <w:t>Vispārīgs iebildums</w:t>
            </w:r>
          </w:p>
        </w:tc>
        <w:tc>
          <w:tcPr>
            <w:tcW w:w="4253" w:type="dxa"/>
            <w:tcBorders>
              <w:top w:val="single" w:sz="6" w:space="0" w:color="000000"/>
              <w:left w:val="single" w:sz="6" w:space="0" w:color="000000"/>
              <w:bottom w:val="single" w:sz="6" w:space="0" w:color="000000"/>
              <w:right w:val="single" w:sz="6" w:space="0" w:color="000000"/>
            </w:tcBorders>
          </w:tcPr>
          <w:p w14:paraId="4D3E55C2" w14:textId="6CF785D4" w:rsidR="0032636E" w:rsidRPr="007E6672" w:rsidRDefault="0032636E" w:rsidP="0032636E">
            <w:pPr>
              <w:pStyle w:val="naisc"/>
              <w:spacing w:before="0" w:after="0"/>
              <w:jc w:val="both"/>
              <w:rPr>
                <w:b/>
              </w:rPr>
            </w:pPr>
            <w:r>
              <w:rPr>
                <w:b/>
              </w:rPr>
              <w:t>Finanšu ministrijas 04.0</w:t>
            </w:r>
            <w:r w:rsidR="005F1C13">
              <w:rPr>
                <w:b/>
              </w:rPr>
              <w:t>3</w:t>
            </w:r>
            <w:r w:rsidRPr="007E6672">
              <w:rPr>
                <w:b/>
              </w:rPr>
              <w:t>.20</w:t>
            </w:r>
            <w:r w:rsidR="005F1C13">
              <w:rPr>
                <w:b/>
              </w:rPr>
              <w:t>20</w:t>
            </w:r>
            <w:r w:rsidRPr="007E6672">
              <w:rPr>
                <w:b/>
              </w:rPr>
              <w:t>. atzinums</w:t>
            </w:r>
          </w:p>
          <w:p w14:paraId="6B6CCD2A" w14:textId="4A3467FC" w:rsidR="0032636E" w:rsidRPr="0042603E" w:rsidRDefault="00A14982" w:rsidP="0032636E">
            <w:pPr>
              <w:contextualSpacing/>
              <w:jc w:val="both"/>
              <w:rPr>
                <w:szCs w:val="24"/>
              </w:rPr>
            </w:pPr>
            <w:r w:rsidRPr="00A14982">
              <w:rPr>
                <w:szCs w:val="24"/>
              </w:rPr>
              <w:t>Ņemot vērā, ka MK noteikumu projektā ir paredzēti precizējumi 3.2.1.2. pasākuma uzraudzības rādītajos, lūdzam atbildīgo iestādi sagatavot un atsūtīt precizēto 3.2.1.specifiskā atbalsta mērķa “Palielināt augstas pievienotās vērtības produktu un pakalpojumu eksporta proporciju” rādītāju pasi.</w:t>
            </w:r>
          </w:p>
        </w:tc>
        <w:tc>
          <w:tcPr>
            <w:tcW w:w="3827" w:type="dxa"/>
            <w:gridSpan w:val="2"/>
            <w:tcBorders>
              <w:top w:val="single" w:sz="6" w:space="0" w:color="000000"/>
              <w:left w:val="single" w:sz="6" w:space="0" w:color="000000"/>
              <w:bottom w:val="single" w:sz="6" w:space="0" w:color="000000"/>
              <w:right w:val="single" w:sz="6" w:space="0" w:color="000000"/>
            </w:tcBorders>
          </w:tcPr>
          <w:p w14:paraId="4807AE5B" w14:textId="77777777" w:rsidR="0032636E" w:rsidRPr="007E6672" w:rsidRDefault="0032636E" w:rsidP="0032636E">
            <w:pPr>
              <w:pStyle w:val="naisc"/>
              <w:spacing w:before="0" w:after="0"/>
              <w:rPr>
                <w:b/>
              </w:rPr>
            </w:pPr>
            <w:r w:rsidRPr="007E6672">
              <w:rPr>
                <w:b/>
              </w:rPr>
              <w:t>Ņemts vērā</w:t>
            </w:r>
          </w:p>
          <w:p w14:paraId="69B8BAB0" w14:textId="536D9408" w:rsidR="0032636E" w:rsidRPr="00A009E5" w:rsidRDefault="006939D0" w:rsidP="0032636E">
            <w:pPr>
              <w:pStyle w:val="naisc"/>
              <w:spacing w:before="0" w:after="0"/>
              <w:jc w:val="both"/>
            </w:pPr>
            <w:r w:rsidRPr="006939D0">
              <w:t>Precizētā rādītāju pase iesūtīta 2020.gada 26.maijā</w:t>
            </w:r>
            <w:r w:rsidR="00A14982" w:rsidRPr="006939D0">
              <w:t>.</w:t>
            </w:r>
            <w:r w:rsidRPr="006939D0">
              <w:t xml:space="preserve"> Pēc nepieciešamības, papildus rādītāju pase tiks precizēta un nosūtīta Finanšu ministrijai pēc MK Noteikumu projekta gala versijas saskaņošanas.</w:t>
            </w:r>
          </w:p>
        </w:tc>
        <w:tc>
          <w:tcPr>
            <w:tcW w:w="3235" w:type="dxa"/>
            <w:tcBorders>
              <w:left w:val="single" w:sz="4" w:space="0" w:color="auto"/>
              <w:bottom w:val="single" w:sz="4" w:space="0" w:color="auto"/>
            </w:tcBorders>
          </w:tcPr>
          <w:p w14:paraId="6EDEE5C6" w14:textId="22FF9E0A" w:rsidR="0032636E" w:rsidRPr="007E6672" w:rsidRDefault="0032636E" w:rsidP="0032636E">
            <w:pPr>
              <w:jc w:val="both"/>
              <w:rPr>
                <w:szCs w:val="24"/>
              </w:rPr>
            </w:pPr>
          </w:p>
        </w:tc>
      </w:tr>
      <w:tr w:rsidR="00000607" w:rsidRPr="007E6672" w14:paraId="60C592E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51EFF41" w14:textId="77777777" w:rsidR="00000607" w:rsidRPr="007E6672" w:rsidRDefault="00000607"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13344CB" w14:textId="47A160E8" w:rsidR="00000607" w:rsidRPr="007E6672" w:rsidRDefault="00E60F33" w:rsidP="002B345C">
            <w:pPr>
              <w:pStyle w:val="naisc"/>
              <w:spacing w:before="0" w:after="0"/>
              <w:jc w:val="both"/>
            </w:pPr>
            <w:r w:rsidRPr="00DF196F">
              <w:t>MK noteikumu projekt</w:t>
            </w:r>
            <w:r w:rsidR="00F174B4">
              <w:t>s</w:t>
            </w:r>
            <w:r>
              <w:t xml:space="preserve"> </w:t>
            </w:r>
          </w:p>
        </w:tc>
        <w:tc>
          <w:tcPr>
            <w:tcW w:w="4253" w:type="dxa"/>
            <w:tcBorders>
              <w:top w:val="single" w:sz="6" w:space="0" w:color="000000"/>
              <w:left w:val="single" w:sz="6" w:space="0" w:color="000000"/>
              <w:bottom w:val="single" w:sz="6" w:space="0" w:color="000000"/>
              <w:right w:val="single" w:sz="6" w:space="0" w:color="000000"/>
            </w:tcBorders>
          </w:tcPr>
          <w:p w14:paraId="36E2F3F7" w14:textId="4B2BE733" w:rsidR="00000607" w:rsidRPr="00A94547" w:rsidRDefault="00786DDD" w:rsidP="00654A41">
            <w:pPr>
              <w:pStyle w:val="naisc"/>
              <w:spacing w:before="0" w:after="0"/>
              <w:jc w:val="both"/>
              <w:rPr>
                <w:b/>
              </w:rPr>
            </w:pPr>
            <w:r w:rsidRPr="00A94547">
              <w:rPr>
                <w:b/>
              </w:rPr>
              <w:t xml:space="preserve">Finanšu ministrijas </w:t>
            </w:r>
            <w:r w:rsidR="00111107" w:rsidRPr="00111107">
              <w:rPr>
                <w:b/>
              </w:rPr>
              <w:t>04.03.2020</w:t>
            </w:r>
            <w:r w:rsidR="00000607" w:rsidRPr="00A94547">
              <w:rPr>
                <w:b/>
              </w:rPr>
              <w:t>. atzinums</w:t>
            </w:r>
          </w:p>
          <w:p w14:paraId="3BB62ADD" w14:textId="37FBE799" w:rsidR="00000607" w:rsidRPr="00A94547" w:rsidRDefault="005C214F" w:rsidP="00654A41">
            <w:pPr>
              <w:pStyle w:val="naisc"/>
              <w:spacing w:before="0" w:after="0"/>
              <w:jc w:val="both"/>
            </w:pPr>
            <w:r w:rsidRPr="005C214F">
              <w:t xml:space="preserve">Lūdzam precizēt MK noteikumu projekta 1. punktā iekļauto informāciju attiecībā uz 3.2.1.2. pasākuma sasniedzamajiem rādītājiem, ievērojot pēdējos 2019. gada darbības programmas “Izaugsme un nodarbinātība” grozījumus Nr.5 (turpmāk – DP grozījumi).Vienlaikus lūdzam papildināt anotācijas I. sadaļu “Tiesību akta projekta izstrādes nepieciešamība” 2. punktu “Pašreizējā situācija un problēmas, kuru risināšanai tiesību akta projekts izstrādāts, tiesiskā regulējuma mērķis un būtība” (turpmāk – I. sadaļas 2. punkts) ar </w:t>
            </w:r>
            <w:r w:rsidRPr="006939D0">
              <w:t xml:space="preserve">informāciju, ka  šajos konkrētajos </w:t>
            </w:r>
            <w:r w:rsidRPr="006939D0">
              <w:lastRenderedPageBreak/>
              <w:t>grozījumos paredzētās izmaiņas veicinās DP grozījumos paredzēto rādītāju sasniegšanu.</w:t>
            </w:r>
            <w:r w:rsidRPr="005C214F">
              <w:t xml:space="preserve"> Papildus informējam, ka gadījumā, ja 3.2.1.2. pasākuma radītāji līdz 2014.-2020. gada plānošanas perioda beigām tiks pārsniegti, tad atbildīgajai iestādei jāierosina darbības programmas grozījumi, precizējot rādītāju gala vērtības.</w:t>
            </w:r>
          </w:p>
        </w:tc>
        <w:tc>
          <w:tcPr>
            <w:tcW w:w="3827" w:type="dxa"/>
            <w:gridSpan w:val="2"/>
            <w:tcBorders>
              <w:top w:val="single" w:sz="6" w:space="0" w:color="000000"/>
              <w:left w:val="single" w:sz="6" w:space="0" w:color="000000"/>
              <w:bottom w:val="single" w:sz="6" w:space="0" w:color="000000"/>
              <w:right w:val="single" w:sz="6" w:space="0" w:color="000000"/>
            </w:tcBorders>
          </w:tcPr>
          <w:p w14:paraId="56973BD9" w14:textId="77777777" w:rsidR="00000607" w:rsidRPr="007E6672" w:rsidRDefault="0006192A" w:rsidP="00386193">
            <w:pPr>
              <w:pStyle w:val="naisc"/>
              <w:rPr>
                <w:b/>
              </w:rPr>
            </w:pPr>
            <w:r w:rsidRPr="006939D0">
              <w:rPr>
                <w:b/>
              </w:rPr>
              <w:lastRenderedPageBreak/>
              <w:t>Ņemts vērā</w:t>
            </w:r>
          </w:p>
          <w:p w14:paraId="02DFCC54" w14:textId="506AB4AD" w:rsidR="00E4672B" w:rsidRPr="007E6672" w:rsidRDefault="006939D0" w:rsidP="009437BD">
            <w:pPr>
              <w:pStyle w:val="naisc"/>
              <w:jc w:val="both"/>
            </w:pPr>
            <w:r w:rsidRPr="006939D0">
              <w:t>Precizētā rādītāju pase iesūtīta 2020.gada 26.maijā. Pēc nepieciešamības, papildus rādītāju pase tiks precizēta un nosūtīta Finanšu ministrijai pēc MK Noteikumu projekta gala versijas saskaņošanas.</w:t>
            </w:r>
          </w:p>
        </w:tc>
        <w:tc>
          <w:tcPr>
            <w:tcW w:w="3235" w:type="dxa"/>
            <w:tcBorders>
              <w:top w:val="single" w:sz="4" w:space="0" w:color="auto"/>
              <w:left w:val="single" w:sz="4" w:space="0" w:color="auto"/>
              <w:bottom w:val="single" w:sz="4" w:space="0" w:color="auto"/>
            </w:tcBorders>
          </w:tcPr>
          <w:p w14:paraId="5EAE537C" w14:textId="55F0A455" w:rsidR="00000607" w:rsidRPr="007E6672" w:rsidRDefault="00000607" w:rsidP="00104F07">
            <w:pPr>
              <w:jc w:val="both"/>
              <w:rPr>
                <w:szCs w:val="24"/>
              </w:rPr>
            </w:pPr>
          </w:p>
        </w:tc>
      </w:tr>
      <w:tr w:rsidR="00392ACB" w:rsidRPr="007E6672" w14:paraId="5904205F"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6A11351" w14:textId="77777777" w:rsidR="00392ACB" w:rsidRPr="007E6672" w:rsidRDefault="00392ACB" w:rsidP="00392ACB">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C6EBFC6" w14:textId="30DE143D" w:rsidR="00392ACB" w:rsidRPr="007E6672" w:rsidRDefault="00707799" w:rsidP="00392ACB">
            <w:pPr>
              <w:pStyle w:val="naisc"/>
              <w:jc w:val="both"/>
            </w:pPr>
            <w:r w:rsidRPr="00707799">
              <w:t>MK noteikum</w:t>
            </w:r>
            <w:r>
              <w:t>u</w:t>
            </w:r>
            <w:r w:rsidRPr="00707799">
              <w:t xml:space="preserve"> Nr. 678</w:t>
            </w:r>
            <w:r>
              <w:t xml:space="preserve"> </w:t>
            </w:r>
            <w:r w:rsidR="008C6EE1" w:rsidRPr="008C6EE1">
              <w:t>8.3. apakšpunkt</w:t>
            </w:r>
            <w:r w:rsidR="008C6EE1">
              <w:t>s</w:t>
            </w:r>
          </w:p>
        </w:tc>
        <w:tc>
          <w:tcPr>
            <w:tcW w:w="4253" w:type="dxa"/>
            <w:tcBorders>
              <w:top w:val="single" w:sz="6" w:space="0" w:color="000000"/>
              <w:left w:val="single" w:sz="6" w:space="0" w:color="000000"/>
              <w:bottom w:val="single" w:sz="6" w:space="0" w:color="000000"/>
              <w:right w:val="single" w:sz="6" w:space="0" w:color="000000"/>
            </w:tcBorders>
          </w:tcPr>
          <w:p w14:paraId="7FBFF55A" w14:textId="273C7E43" w:rsidR="00392ACB" w:rsidRPr="007E6672" w:rsidRDefault="00392ACB" w:rsidP="00392ACB">
            <w:pPr>
              <w:pStyle w:val="naisc"/>
              <w:spacing w:before="0" w:after="0"/>
              <w:jc w:val="both"/>
              <w:rPr>
                <w:b/>
              </w:rPr>
            </w:pPr>
            <w:r>
              <w:rPr>
                <w:b/>
              </w:rPr>
              <w:t xml:space="preserve">Finanšu ministrijas </w:t>
            </w:r>
            <w:r w:rsidR="002B103B" w:rsidRPr="002B103B">
              <w:rPr>
                <w:b/>
              </w:rPr>
              <w:t>04.03.2020</w:t>
            </w:r>
            <w:r w:rsidRPr="007E6672">
              <w:rPr>
                <w:b/>
              </w:rPr>
              <w:t>. atzinums</w:t>
            </w:r>
          </w:p>
          <w:p w14:paraId="3D0565A1" w14:textId="2E24047B" w:rsidR="002B103B" w:rsidRPr="002B103B" w:rsidRDefault="002B103B" w:rsidP="002B103B">
            <w:pPr>
              <w:contextualSpacing/>
              <w:jc w:val="both"/>
              <w:rPr>
                <w:szCs w:val="24"/>
              </w:rPr>
            </w:pPr>
            <w:r w:rsidRPr="002B103B">
              <w:rPr>
                <w:szCs w:val="24"/>
              </w:rPr>
              <w:t xml:space="preserve">Lūdzam izteikt 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īstenošanas noteikumi” (turpmāk – MK noteikumi Nr. 678) 8.3. apakšpunktā iekļautā rādītāja nosaukumu šādā redakcijā: </w:t>
            </w:r>
          </w:p>
          <w:p w14:paraId="02348984" w14:textId="1318B73E" w:rsidR="00392ACB" w:rsidRPr="0042603E" w:rsidRDefault="002B103B" w:rsidP="002B103B">
            <w:pPr>
              <w:contextualSpacing/>
              <w:jc w:val="both"/>
              <w:rPr>
                <w:szCs w:val="24"/>
              </w:rPr>
            </w:pPr>
            <w:r w:rsidRPr="002B103B">
              <w:rPr>
                <w:szCs w:val="24"/>
              </w:rPr>
              <w:t>“To komersantu skaits, kuri saņem atbalstu (granti)”.</w:t>
            </w:r>
          </w:p>
        </w:tc>
        <w:tc>
          <w:tcPr>
            <w:tcW w:w="3827" w:type="dxa"/>
            <w:gridSpan w:val="2"/>
            <w:tcBorders>
              <w:top w:val="single" w:sz="6" w:space="0" w:color="000000"/>
              <w:left w:val="single" w:sz="6" w:space="0" w:color="000000"/>
              <w:bottom w:val="single" w:sz="6" w:space="0" w:color="000000"/>
              <w:right w:val="single" w:sz="6" w:space="0" w:color="000000"/>
            </w:tcBorders>
          </w:tcPr>
          <w:p w14:paraId="348C3E55" w14:textId="77777777" w:rsidR="00392ACB" w:rsidRPr="007E6672" w:rsidRDefault="00392ACB" w:rsidP="00392ACB">
            <w:pPr>
              <w:pStyle w:val="naisc"/>
              <w:spacing w:before="0" w:after="0"/>
              <w:rPr>
                <w:b/>
              </w:rPr>
            </w:pPr>
            <w:r w:rsidRPr="007E6672">
              <w:rPr>
                <w:b/>
              </w:rPr>
              <w:t>Ņemts vērā</w:t>
            </w:r>
          </w:p>
          <w:p w14:paraId="03401143" w14:textId="77777777" w:rsidR="00392ACB" w:rsidRPr="007E6672" w:rsidRDefault="00392ACB" w:rsidP="00392ACB">
            <w:pPr>
              <w:pStyle w:val="naisc"/>
              <w:spacing w:before="0" w:after="0"/>
              <w:ind w:firstLine="720"/>
              <w:jc w:val="left"/>
            </w:pPr>
          </w:p>
        </w:tc>
        <w:tc>
          <w:tcPr>
            <w:tcW w:w="3235" w:type="dxa"/>
            <w:tcBorders>
              <w:top w:val="single" w:sz="4" w:space="0" w:color="auto"/>
              <w:left w:val="single" w:sz="4" w:space="0" w:color="auto"/>
              <w:bottom w:val="single" w:sz="4" w:space="0" w:color="auto"/>
            </w:tcBorders>
          </w:tcPr>
          <w:p w14:paraId="52A17303" w14:textId="0B0E40F1" w:rsidR="00392ACB" w:rsidRPr="00500449" w:rsidRDefault="008C6EE1" w:rsidP="00392ACB">
            <w:pPr>
              <w:jc w:val="both"/>
              <w:rPr>
                <w:szCs w:val="24"/>
              </w:rPr>
            </w:pPr>
            <w:r>
              <w:rPr>
                <w:szCs w:val="24"/>
              </w:rPr>
              <w:t xml:space="preserve">Precizēts </w:t>
            </w:r>
            <w:r w:rsidR="00707799" w:rsidRPr="00707799">
              <w:rPr>
                <w:szCs w:val="24"/>
              </w:rPr>
              <w:t>MK noteikum</w:t>
            </w:r>
            <w:r w:rsidR="00707799">
              <w:rPr>
                <w:szCs w:val="24"/>
              </w:rPr>
              <w:t>u</w:t>
            </w:r>
            <w:r w:rsidR="00707799" w:rsidRPr="00707799">
              <w:rPr>
                <w:szCs w:val="24"/>
              </w:rPr>
              <w:t xml:space="preserve"> Nr. 678</w:t>
            </w:r>
            <w:r w:rsidR="00707799">
              <w:rPr>
                <w:szCs w:val="24"/>
              </w:rPr>
              <w:t xml:space="preserve"> </w:t>
            </w:r>
            <w:r w:rsidR="0049347D" w:rsidRPr="00500449">
              <w:rPr>
                <w:szCs w:val="24"/>
              </w:rPr>
              <w:t xml:space="preserve">8.3. apakšpunkts </w:t>
            </w:r>
            <w:r w:rsidRPr="00500449">
              <w:rPr>
                <w:szCs w:val="24"/>
              </w:rPr>
              <w:t>šādā redakcijā:</w:t>
            </w:r>
          </w:p>
          <w:p w14:paraId="5B949049" w14:textId="77777777" w:rsidR="002974B1" w:rsidRPr="00625858" w:rsidRDefault="0035244C" w:rsidP="002974B1">
            <w:pPr>
              <w:spacing w:before="120" w:after="120"/>
              <w:jc w:val="both"/>
              <w:rPr>
                <w:rFonts w:eastAsia="Times New Roman"/>
                <w:szCs w:val="24"/>
                <w:lang w:eastAsia="lv-LV"/>
              </w:rPr>
            </w:pPr>
            <w:r w:rsidRPr="00500449">
              <w:t>"</w:t>
            </w:r>
            <w:bookmarkStart w:id="0" w:name="_Hlk34986773"/>
            <w:r w:rsidR="002974B1" w:rsidRPr="00625858">
              <w:rPr>
                <w:rFonts w:eastAsia="Times New Roman"/>
                <w:szCs w:val="24"/>
                <w:lang w:eastAsia="lv-LV"/>
              </w:rPr>
              <w:t>8.3. iznākuma rādītājs – to komersantu skaits, kuri saņem atbalstu (granti), – 1 640 komersanti, tai skaitā:</w:t>
            </w:r>
          </w:p>
          <w:bookmarkEnd w:id="0"/>
          <w:p w14:paraId="6D7030AF" w14:textId="77777777" w:rsidR="002974B1" w:rsidRPr="0086578C" w:rsidRDefault="002974B1" w:rsidP="002974B1">
            <w:pPr>
              <w:pStyle w:val="tv213"/>
              <w:spacing w:before="120" w:beforeAutospacing="0" w:after="120" w:afterAutospacing="0"/>
              <w:jc w:val="both"/>
            </w:pPr>
            <w:r w:rsidRPr="0086578C">
              <w:t>8.3.1. šo noteikumu 11.1. apakšpunktā minētajam finansējuma saņēmējam – 1 </w:t>
            </w:r>
            <w:r>
              <w:t>600</w:t>
            </w:r>
            <w:r w:rsidRPr="0086578C">
              <w:t xml:space="preserve"> komersanti;</w:t>
            </w:r>
          </w:p>
          <w:p w14:paraId="4BE2DB4E" w14:textId="042BDC53" w:rsidR="008C6EE1" w:rsidRPr="007E6672" w:rsidRDefault="002974B1" w:rsidP="002974B1">
            <w:pPr>
              <w:pStyle w:val="tv213"/>
              <w:spacing w:before="120" w:beforeAutospacing="0" w:after="120" w:afterAutospacing="0"/>
              <w:jc w:val="both"/>
            </w:pPr>
            <w:r w:rsidRPr="0086578C">
              <w:t xml:space="preserve">8.3.2. šo noteikumu 11.2. apakšpunktā minētajam finansējuma saņēmējam – </w:t>
            </w:r>
            <w:r>
              <w:t>40</w:t>
            </w:r>
            <w:r w:rsidRPr="0086578C">
              <w:t xml:space="preserve"> komersant</w:t>
            </w:r>
            <w:r>
              <w:t>i</w:t>
            </w:r>
            <w:r w:rsidRPr="0086578C">
              <w:t>;</w:t>
            </w:r>
            <w:r w:rsidR="0035244C" w:rsidRPr="0035244C">
              <w:t>"</w:t>
            </w:r>
          </w:p>
        </w:tc>
      </w:tr>
      <w:tr w:rsidR="00297713" w:rsidRPr="007E6672" w14:paraId="0ADF0CF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E5AAF9C" w14:textId="77777777" w:rsidR="00297713" w:rsidRPr="007E6672" w:rsidRDefault="00297713"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80FB802" w14:textId="0F4D06AD" w:rsidR="00297713" w:rsidRPr="007E6672" w:rsidRDefault="00707799" w:rsidP="002B345C">
            <w:pPr>
              <w:pStyle w:val="naisc"/>
              <w:spacing w:before="0" w:after="0"/>
              <w:jc w:val="both"/>
            </w:pPr>
            <w:r w:rsidRPr="00707799">
              <w:t>MK noteikum</w:t>
            </w:r>
            <w:r>
              <w:t>u</w:t>
            </w:r>
            <w:r w:rsidRPr="00707799">
              <w:t xml:space="preserve"> Nr. 678 </w:t>
            </w:r>
            <w:r w:rsidR="002C0E77" w:rsidRPr="002C0E77">
              <w:t>8.</w:t>
            </w:r>
            <w:r w:rsidR="002C0E77">
              <w:t>5</w:t>
            </w:r>
            <w:r w:rsidR="002C0E77" w:rsidRPr="002C0E77">
              <w:t>. apakšpunkts</w:t>
            </w:r>
          </w:p>
        </w:tc>
        <w:tc>
          <w:tcPr>
            <w:tcW w:w="4253" w:type="dxa"/>
            <w:tcBorders>
              <w:top w:val="single" w:sz="6" w:space="0" w:color="000000"/>
              <w:left w:val="single" w:sz="6" w:space="0" w:color="000000"/>
              <w:bottom w:val="single" w:sz="6" w:space="0" w:color="000000"/>
              <w:right w:val="single" w:sz="6" w:space="0" w:color="000000"/>
            </w:tcBorders>
          </w:tcPr>
          <w:p w14:paraId="6623CA3D" w14:textId="77777777" w:rsidR="002C0E77" w:rsidRDefault="00393598" w:rsidP="002C0E77">
            <w:pPr>
              <w:pStyle w:val="naisc"/>
              <w:spacing w:before="0" w:after="0"/>
              <w:jc w:val="both"/>
              <w:rPr>
                <w:b/>
              </w:rPr>
            </w:pPr>
            <w:r w:rsidRPr="00A94547">
              <w:rPr>
                <w:b/>
              </w:rPr>
              <w:t xml:space="preserve">Finanšu ministrijas </w:t>
            </w:r>
            <w:r w:rsidR="002C0E77" w:rsidRPr="002C0E77">
              <w:rPr>
                <w:b/>
              </w:rPr>
              <w:t>04.03.2020</w:t>
            </w:r>
            <w:r w:rsidRPr="00A94547">
              <w:rPr>
                <w:b/>
              </w:rPr>
              <w:t>. atzinums</w:t>
            </w:r>
          </w:p>
          <w:p w14:paraId="58A98C41" w14:textId="0CD1C29D" w:rsidR="002C0E77" w:rsidRPr="002C0E77" w:rsidRDefault="002C0E77" w:rsidP="002C0E77">
            <w:pPr>
              <w:pStyle w:val="naisc"/>
              <w:spacing w:before="0" w:after="0"/>
              <w:jc w:val="both"/>
              <w:rPr>
                <w:b/>
              </w:rPr>
            </w:pPr>
            <w:r>
              <w:t>Lūdzam izteikt MK noteikumu Nr. 678 8.5. apakšpunktā iekļautā rādītāja nosaukumu šādā redakcijā:</w:t>
            </w:r>
          </w:p>
          <w:p w14:paraId="57C2E91C" w14:textId="7B76850F" w:rsidR="00297713" w:rsidRPr="00A94547" w:rsidRDefault="002C0E77" w:rsidP="002C0E77">
            <w:pPr>
              <w:pStyle w:val="naisc"/>
              <w:spacing w:before="0" w:after="0"/>
              <w:jc w:val="both"/>
            </w:pPr>
            <w:r>
              <w:t>“Privātais finansējums, kas piesaistīts publiskajam finansējumam, kas ir granti”.</w:t>
            </w:r>
          </w:p>
        </w:tc>
        <w:tc>
          <w:tcPr>
            <w:tcW w:w="3827" w:type="dxa"/>
            <w:gridSpan w:val="2"/>
            <w:tcBorders>
              <w:top w:val="single" w:sz="6" w:space="0" w:color="000000"/>
              <w:left w:val="single" w:sz="6" w:space="0" w:color="000000"/>
              <w:bottom w:val="single" w:sz="6" w:space="0" w:color="000000"/>
              <w:right w:val="single" w:sz="6" w:space="0" w:color="000000"/>
            </w:tcBorders>
          </w:tcPr>
          <w:p w14:paraId="6B75ACF6" w14:textId="77777777" w:rsidR="00297713" w:rsidRPr="007E6672" w:rsidRDefault="001A5038" w:rsidP="00386193">
            <w:pPr>
              <w:pStyle w:val="naisc"/>
              <w:spacing w:before="0" w:after="0"/>
              <w:rPr>
                <w:b/>
              </w:rPr>
            </w:pPr>
            <w:r w:rsidRPr="007E6672">
              <w:rPr>
                <w:b/>
              </w:rPr>
              <w:t>Ņemts vērā</w:t>
            </w:r>
          </w:p>
          <w:p w14:paraId="3994995F" w14:textId="77777777" w:rsidR="000F5A3C" w:rsidRPr="007E6672" w:rsidRDefault="000F5A3C" w:rsidP="00365668">
            <w:pPr>
              <w:pStyle w:val="naisc"/>
              <w:spacing w:before="0" w:after="0"/>
              <w:jc w:val="both"/>
            </w:pPr>
          </w:p>
        </w:tc>
        <w:tc>
          <w:tcPr>
            <w:tcW w:w="3235" w:type="dxa"/>
            <w:tcBorders>
              <w:top w:val="single" w:sz="4" w:space="0" w:color="auto"/>
              <w:left w:val="single" w:sz="4" w:space="0" w:color="auto"/>
              <w:bottom w:val="single" w:sz="4" w:space="0" w:color="auto"/>
            </w:tcBorders>
          </w:tcPr>
          <w:p w14:paraId="44307BB0" w14:textId="6A8F557B" w:rsidR="00297713" w:rsidRDefault="002C0E77" w:rsidP="00104F07">
            <w:pPr>
              <w:jc w:val="both"/>
              <w:rPr>
                <w:szCs w:val="24"/>
              </w:rPr>
            </w:pPr>
            <w:r w:rsidRPr="002C0E77">
              <w:rPr>
                <w:szCs w:val="24"/>
              </w:rPr>
              <w:t xml:space="preserve">Precizēts </w:t>
            </w:r>
            <w:r w:rsidR="00707799" w:rsidRPr="00707799">
              <w:rPr>
                <w:szCs w:val="24"/>
              </w:rPr>
              <w:t>MK noteikum</w:t>
            </w:r>
            <w:r w:rsidR="00707799">
              <w:rPr>
                <w:szCs w:val="24"/>
              </w:rPr>
              <w:t>u</w:t>
            </w:r>
            <w:r w:rsidR="00707799" w:rsidRPr="00707799">
              <w:rPr>
                <w:szCs w:val="24"/>
              </w:rPr>
              <w:t xml:space="preserve"> Nr. 678</w:t>
            </w:r>
            <w:r w:rsidR="00707799">
              <w:rPr>
                <w:szCs w:val="24"/>
              </w:rPr>
              <w:t xml:space="preserve"> </w:t>
            </w:r>
            <w:r w:rsidRPr="00500449">
              <w:rPr>
                <w:szCs w:val="24"/>
              </w:rPr>
              <w:t>8.5. apakšpunkts šādā redakcijā:</w:t>
            </w:r>
          </w:p>
          <w:p w14:paraId="14CCAB94" w14:textId="7541E33E" w:rsidR="00423956" w:rsidRPr="007E6672" w:rsidRDefault="00423956" w:rsidP="00104F07">
            <w:pPr>
              <w:jc w:val="both"/>
              <w:rPr>
                <w:szCs w:val="24"/>
              </w:rPr>
            </w:pPr>
            <w:r w:rsidRPr="00423956">
              <w:rPr>
                <w:szCs w:val="24"/>
              </w:rPr>
              <w:t>"</w:t>
            </w:r>
            <w:r w:rsidR="00500449" w:rsidRPr="0086578C">
              <w:rPr>
                <w:szCs w:val="24"/>
              </w:rPr>
              <w:t xml:space="preserve">8.5. iznākuma rādītājs – privātais finansējums, kas piesaistīts publiskajam finansējumam, kas ir granti, – </w:t>
            </w:r>
            <w:r w:rsidR="00500449" w:rsidRPr="0086578C">
              <w:rPr>
                <w:szCs w:val="24"/>
              </w:rPr>
              <w:lastRenderedPageBreak/>
              <w:t xml:space="preserve">19 000 000 </w:t>
            </w:r>
            <w:r w:rsidR="00500449" w:rsidRPr="002974B1">
              <w:rPr>
                <w:i/>
                <w:iCs/>
                <w:szCs w:val="24"/>
              </w:rPr>
              <w:t>euro</w:t>
            </w:r>
            <w:r w:rsidR="00500449" w:rsidRPr="0086578C">
              <w:rPr>
                <w:szCs w:val="24"/>
              </w:rPr>
              <w:t xml:space="preserve"> (projekta iesniegumā plānoti 17 100 000 </w:t>
            </w:r>
            <w:r w:rsidR="00500449" w:rsidRPr="002974B1">
              <w:rPr>
                <w:i/>
                <w:iCs/>
                <w:szCs w:val="24"/>
              </w:rPr>
              <w:t>euro</w:t>
            </w:r>
            <w:r w:rsidR="00500449" w:rsidRPr="0086578C">
              <w:rPr>
                <w:szCs w:val="24"/>
              </w:rPr>
              <w:t>), tai skaitā:</w:t>
            </w:r>
            <w:r w:rsidR="00500449">
              <w:rPr>
                <w:szCs w:val="24"/>
              </w:rPr>
              <w:t>”</w:t>
            </w:r>
          </w:p>
        </w:tc>
      </w:tr>
      <w:tr w:rsidR="002B345C" w:rsidRPr="007E6672" w14:paraId="34460BD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A01C636" w14:textId="77777777" w:rsidR="002B345C" w:rsidRPr="007E6672" w:rsidRDefault="002B345C"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11DD4F8" w14:textId="068731E3" w:rsidR="002B345C" w:rsidRPr="007E6672" w:rsidRDefault="003C1632" w:rsidP="002B345C">
            <w:pPr>
              <w:pStyle w:val="naisc"/>
              <w:spacing w:before="0" w:after="0"/>
              <w:jc w:val="both"/>
            </w:pPr>
            <w:r w:rsidRPr="003C1632">
              <w:t>MK noteikum</w:t>
            </w:r>
            <w:r>
              <w:t>u</w:t>
            </w:r>
            <w:r w:rsidRPr="003C1632">
              <w:t xml:space="preserve"> Nr. 678</w:t>
            </w:r>
            <w:r>
              <w:t xml:space="preserve"> 9.punkts</w:t>
            </w:r>
            <w:r w:rsidR="00EE5E45">
              <w:t xml:space="preserve"> </w:t>
            </w:r>
            <w:r w:rsidR="00EE5E45" w:rsidRPr="00EE5E45">
              <w:t xml:space="preserve">un </w:t>
            </w:r>
            <w:r w:rsidR="00F174B4">
              <w:t>tā apakšpunkti</w:t>
            </w:r>
          </w:p>
        </w:tc>
        <w:tc>
          <w:tcPr>
            <w:tcW w:w="4253" w:type="dxa"/>
            <w:tcBorders>
              <w:top w:val="single" w:sz="6" w:space="0" w:color="000000"/>
              <w:left w:val="single" w:sz="6" w:space="0" w:color="000000"/>
              <w:bottom w:val="single" w:sz="6" w:space="0" w:color="000000"/>
              <w:right w:val="single" w:sz="6" w:space="0" w:color="000000"/>
            </w:tcBorders>
          </w:tcPr>
          <w:p w14:paraId="107FEF49" w14:textId="61B0B2CF" w:rsidR="00393598" w:rsidRPr="00A94547" w:rsidRDefault="00393598" w:rsidP="00393598">
            <w:pPr>
              <w:pStyle w:val="naisc"/>
              <w:spacing w:before="0" w:after="0"/>
              <w:jc w:val="both"/>
              <w:rPr>
                <w:b/>
              </w:rPr>
            </w:pPr>
            <w:r w:rsidRPr="00A94547">
              <w:rPr>
                <w:b/>
              </w:rPr>
              <w:t xml:space="preserve">Finanšu ministrijas </w:t>
            </w:r>
            <w:r w:rsidR="00411ACB" w:rsidRPr="00411ACB">
              <w:rPr>
                <w:b/>
              </w:rPr>
              <w:t>04.03.2020</w:t>
            </w:r>
            <w:r w:rsidRPr="00A94547">
              <w:rPr>
                <w:b/>
              </w:rPr>
              <w:t>. atzinums</w:t>
            </w:r>
          </w:p>
          <w:p w14:paraId="170B780C" w14:textId="6D4189D9" w:rsidR="002B345C" w:rsidRPr="0042603E" w:rsidRDefault="00607C9F" w:rsidP="00393598">
            <w:pPr>
              <w:contextualSpacing/>
              <w:jc w:val="both"/>
              <w:rPr>
                <w:szCs w:val="24"/>
              </w:rPr>
            </w:pPr>
            <w:r w:rsidRPr="00607C9F">
              <w:rPr>
                <w:szCs w:val="24"/>
              </w:rPr>
              <w:t>Lūdzam precizēt MK noteikumu projekta 2. punktu par MK noteikumu Nr.678 9. punkta redakciju. Vēršam uzmanību, ka 9. punkta ievaddaļā iekļautais Eiropas Reģionālās attīstības fonda (turpmāk – ERAF) finansējuma apjoms pārsniedz 85% no kopējā 3.2.1.2. pasākuma finansējuma. Informējam, ka gadījumā, ja pasākuma kopējais finansējums ir 64 620 418 euro, tad ERAF nevar pārsniegt 54 927 355 euro. Ņemot vērā iepriekš minēto, norādām, ka jāprecizē arī valsts budžeta un privātā finansējuma apjoms, t.sk. arī 9.1. un 9.2. apakšpunktā. Vienlaikus vēršam uzmanību, ka MK noteikumu projekta 2. punktā iekļautais finansējums neatbilst finansējuma apjomam, ko plāno pārdalīt 3.2.1.2. pasākumam no 3.1.1.6. pasākuma “Reģionālie biznesa inkubatori un radošo industriju inkubators”.</w:t>
            </w:r>
          </w:p>
        </w:tc>
        <w:tc>
          <w:tcPr>
            <w:tcW w:w="3827" w:type="dxa"/>
            <w:gridSpan w:val="2"/>
            <w:tcBorders>
              <w:top w:val="single" w:sz="6" w:space="0" w:color="000000"/>
              <w:left w:val="single" w:sz="6" w:space="0" w:color="000000"/>
              <w:bottom w:val="single" w:sz="6" w:space="0" w:color="000000"/>
              <w:right w:val="single" w:sz="6" w:space="0" w:color="000000"/>
            </w:tcBorders>
          </w:tcPr>
          <w:p w14:paraId="2E092480" w14:textId="77777777" w:rsidR="002B345C" w:rsidRPr="007E6672" w:rsidRDefault="00BD20A0" w:rsidP="00386193">
            <w:pPr>
              <w:pStyle w:val="naisc"/>
              <w:spacing w:before="0" w:after="0"/>
              <w:rPr>
                <w:b/>
              </w:rPr>
            </w:pPr>
            <w:r w:rsidRPr="007E6672">
              <w:rPr>
                <w:b/>
              </w:rPr>
              <w:t>Ņemts vērā</w:t>
            </w:r>
          </w:p>
          <w:p w14:paraId="2FCA088F" w14:textId="77777777" w:rsidR="00BD20A0" w:rsidRPr="007E6672" w:rsidRDefault="00BD20A0" w:rsidP="00BD20A0">
            <w:pPr>
              <w:pStyle w:val="naisc"/>
              <w:spacing w:before="0" w:after="0"/>
              <w:jc w:val="both"/>
              <w:rPr>
                <w:b/>
              </w:rPr>
            </w:pPr>
          </w:p>
          <w:p w14:paraId="74B7296B" w14:textId="791B9632" w:rsidR="002D6EEE" w:rsidRPr="00064923" w:rsidRDefault="002D6EEE" w:rsidP="00BD20A0">
            <w:pPr>
              <w:pStyle w:val="naisc"/>
              <w:spacing w:before="0" w:after="0"/>
              <w:jc w:val="both"/>
              <w:rPr>
                <w:bCs/>
              </w:rPr>
            </w:pPr>
          </w:p>
        </w:tc>
        <w:tc>
          <w:tcPr>
            <w:tcW w:w="3235" w:type="dxa"/>
            <w:tcBorders>
              <w:top w:val="single" w:sz="4" w:space="0" w:color="auto"/>
              <w:left w:val="single" w:sz="4" w:space="0" w:color="auto"/>
              <w:bottom w:val="single" w:sz="4" w:space="0" w:color="auto"/>
            </w:tcBorders>
          </w:tcPr>
          <w:p w14:paraId="7C6964B9" w14:textId="71DB36D8" w:rsidR="00B904DD" w:rsidRDefault="00411ACB" w:rsidP="00B904DD">
            <w:pPr>
              <w:jc w:val="both"/>
            </w:pPr>
            <w:r w:rsidRPr="00411ACB">
              <w:rPr>
                <w:szCs w:val="24"/>
              </w:rPr>
              <w:t>Precizēts MK noteikumu Nr.678 9.punkts</w:t>
            </w:r>
            <w:r>
              <w:t xml:space="preserve"> </w:t>
            </w:r>
            <w:r w:rsidRPr="00411ACB">
              <w:rPr>
                <w:szCs w:val="24"/>
              </w:rPr>
              <w:t>šādā redakcijā:</w:t>
            </w:r>
            <w:r w:rsidR="00B904DD">
              <w:t xml:space="preserve"> </w:t>
            </w:r>
          </w:p>
          <w:p w14:paraId="33B8F77D" w14:textId="77777777" w:rsidR="00DD0A93" w:rsidRPr="0086578C" w:rsidRDefault="00DD0A93" w:rsidP="00DD0A93">
            <w:pPr>
              <w:spacing w:before="120" w:after="120"/>
              <w:jc w:val="both"/>
              <w:rPr>
                <w:szCs w:val="24"/>
              </w:rPr>
            </w:pPr>
            <w:r w:rsidRPr="0086578C">
              <w:rPr>
                <w:szCs w:val="24"/>
              </w:rPr>
              <w:t>"</w:t>
            </w:r>
            <w:bookmarkStart w:id="1" w:name="_Hlk43377687"/>
            <w:r w:rsidRPr="0086578C">
              <w:rPr>
                <w:szCs w:val="24"/>
              </w:rPr>
              <w:t xml:space="preserve">9. Pasākumam </w:t>
            </w:r>
            <w:r>
              <w:rPr>
                <w:szCs w:val="24"/>
              </w:rPr>
              <w:t>pieejamais</w:t>
            </w:r>
            <w:r w:rsidRPr="0086578C">
              <w:rPr>
                <w:szCs w:val="24"/>
              </w:rPr>
              <w:t xml:space="preserve"> kopējais attiecināmais finansējums ir </w:t>
            </w:r>
            <w:r>
              <w:rPr>
                <w:szCs w:val="24"/>
              </w:rPr>
              <w:t>81 565 046</w:t>
            </w:r>
            <w:r w:rsidRPr="0086578C">
              <w:rPr>
                <w:szCs w:val="24"/>
              </w:rPr>
              <w:t xml:space="preserve"> </w:t>
            </w:r>
            <w:r w:rsidRPr="0086578C">
              <w:rPr>
                <w:i/>
                <w:iCs/>
                <w:szCs w:val="24"/>
              </w:rPr>
              <w:t>euro</w:t>
            </w:r>
            <w:r w:rsidRPr="0086578C">
              <w:rPr>
                <w:szCs w:val="24"/>
              </w:rPr>
              <w:t xml:space="preserve">, tai skaitā Eiropas Reģionālās attīstības fonda finansējums – </w:t>
            </w:r>
            <w:r>
              <w:rPr>
                <w:szCs w:val="24"/>
              </w:rPr>
              <w:t>69 330 288</w:t>
            </w:r>
            <w:r w:rsidRPr="0086578C">
              <w:rPr>
                <w:szCs w:val="24"/>
              </w:rPr>
              <w:t xml:space="preserve"> </w:t>
            </w:r>
            <w:r w:rsidRPr="0086578C">
              <w:rPr>
                <w:i/>
                <w:iCs/>
                <w:szCs w:val="24"/>
              </w:rPr>
              <w:t>euro</w:t>
            </w:r>
            <w:r w:rsidRPr="0086578C">
              <w:rPr>
                <w:szCs w:val="24"/>
              </w:rPr>
              <w:t xml:space="preserve">, valsts budžeta finansējums – </w:t>
            </w:r>
            <w:r>
              <w:rPr>
                <w:szCs w:val="24"/>
              </w:rPr>
              <w:t>5 206 388</w:t>
            </w:r>
            <w:r w:rsidRPr="0086578C">
              <w:rPr>
                <w:szCs w:val="24"/>
              </w:rPr>
              <w:t xml:space="preserve"> </w:t>
            </w:r>
            <w:r w:rsidRPr="0086578C">
              <w:rPr>
                <w:i/>
                <w:iCs/>
                <w:szCs w:val="24"/>
              </w:rPr>
              <w:t>euro</w:t>
            </w:r>
            <w:r w:rsidRPr="0086578C">
              <w:rPr>
                <w:szCs w:val="24"/>
              </w:rPr>
              <w:t xml:space="preserve"> un privātais, pašvaldību un plānošanas reģionu līdzfinansējums – </w:t>
            </w:r>
            <w:r>
              <w:rPr>
                <w:szCs w:val="24"/>
              </w:rPr>
              <w:t>7 028 370</w:t>
            </w:r>
            <w:r w:rsidRPr="0086578C">
              <w:rPr>
                <w:szCs w:val="24"/>
              </w:rPr>
              <w:t xml:space="preserve"> </w:t>
            </w:r>
            <w:r w:rsidRPr="0086578C">
              <w:rPr>
                <w:i/>
                <w:iCs/>
                <w:szCs w:val="24"/>
              </w:rPr>
              <w:t>euro</w:t>
            </w:r>
            <w:r w:rsidRPr="0086578C">
              <w:rPr>
                <w:szCs w:val="24"/>
              </w:rPr>
              <w:t>. Attiecināmais Eiropas Reģionālās attīstības fonda finansējuma apmērs nepārsniedz 85 procentus no projekta kopējā attiecināmā finansējuma, tai skaitā:</w:t>
            </w:r>
          </w:p>
          <w:p w14:paraId="59FB40AA" w14:textId="77777777" w:rsidR="00DD0A93" w:rsidRPr="0086578C" w:rsidRDefault="00DD0A93" w:rsidP="00DD0A93">
            <w:pPr>
              <w:spacing w:before="120" w:after="120"/>
              <w:jc w:val="both"/>
              <w:rPr>
                <w:szCs w:val="24"/>
              </w:rPr>
            </w:pPr>
            <w:r w:rsidRPr="0086578C">
              <w:rPr>
                <w:szCs w:val="24"/>
              </w:rPr>
              <w:t xml:space="preserve">9.1. šo noteikumu 11.1. apakšpunktā minētajai tiešās pārvaldes iestādei – </w:t>
            </w:r>
            <w:r>
              <w:rPr>
                <w:szCs w:val="24"/>
              </w:rPr>
              <w:t>60 624 275</w:t>
            </w:r>
            <w:r w:rsidRPr="0086578C">
              <w:rPr>
                <w:szCs w:val="24"/>
              </w:rPr>
              <w:t> </w:t>
            </w:r>
            <w:r w:rsidRPr="0086578C">
              <w:rPr>
                <w:i/>
                <w:iCs/>
                <w:szCs w:val="24"/>
              </w:rPr>
              <w:t>euro</w:t>
            </w:r>
            <w:r w:rsidRPr="0086578C">
              <w:rPr>
                <w:szCs w:val="24"/>
              </w:rPr>
              <w:t xml:space="preserve">, tai skaitā Eiropas Reģionālās attīstības fonda finansējums – </w:t>
            </w:r>
            <w:r>
              <w:rPr>
                <w:szCs w:val="24"/>
              </w:rPr>
              <w:t>51 530 633</w:t>
            </w:r>
            <w:r w:rsidRPr="0086578C">
              <w:rPr>
                <w:szCs w:val="24"/>
              </w:rPr>
              <w:t> </w:t>
            </w:r>
            <w:r w:rsidRPr="0086578C">
              <w:rPr>
                <w:i/>
                <w:iCs/>
                <w:szCs w:val="24"/>
              </w:rPr>
              <w:t>euro</w:t>
            </w:r>
            <w:r w:rsidRPr="0086578C">
              <w:rPr>
                <w:szCs w:val="24"/>
              </w:rPr>
              <w:t xml:space="preserve">, valsts budžeta finansējums – </w:t>
            </w:r>
            <w:r>
              <w:rPr>
                <w:szCs w:val="24"/>
              </w:rPr>
              <w:t>3 023 133</w:t>
            </w:r>
            <w:r w:rsidRPr="0086578C">
              <w:rPr>
                <w:szCs w:val="24"/>
              </w:rPr>
              <w:t> </w:t>
            </w:r>
            <w:r w:rsidRPr="0086578C">
              <w:rPr>
                <w:i/>
                <w:iCs/>
                <w:szCs w:val="24"/>
              </w:rPr>
              <w:t>euro</w:t>
            </w:r>
            <w:r w:rsidRPr="0086578C">
              <w:rPr>
                <w:szCs w:val="24"/>
              </w:rPr>
              <w:t xml:space="preserve"> un privātais, pašvaldību un plānošanas reģionu </w:t>
            </w:r>
            <w:r w:rsidRPr="0086578C">
              <w:rPr>
                <w:szCs w:val="24"/>
              </w:rPr>
              <w:lastRenderedPageBreak/>
              <w:t xml:space="preserve">līdzfinansējums – vismaz </w:t>
            </w:r>
            <w:r>
              <w:rPr>
                <w:szCs w:val="24"/>
              </w:rPr>
              <w:t>6 070 509</w:t>
            </w:r>
            <w:r w:rsidRPr="0086578C">
              <w:rPr>
                <w:szCs w:val="24"/>
              </w:rPr>
              <w:t> </w:t>
            </w:r>
            <w:r w:rsidRPr="0086578C">
              <w:rPr>
                <w:i/>
                <w:iCs/>
                <w:szCs w:val="24"/>
              </w:rPr>
              <w:t>euro</w:t>
            </w:r>
            <w:r w:rsidRPr="0086578C">
              <w:rPr>
                <w:szCs w:val="24"/>
              </w:rPr>
              <w:t>;</w:t>
            </w:r>
          </w:p>
          <w:p w14:paraId="16EC93D3" w14:textId="77777777" w:rsidR="00DD0A93" w:rsidRDefault="00DD0A93" w:rsidP="00DD0A93">
            <w:pPr>
              <w:spacing w:before="120" w:after="120"/>
              <w:jc w:val="both"/>
              <w:rPr>
                <w:szCs w:val="24"/>
              </w:rPr>
            </w:pPr>
            <w:r w:rsidRPr="003008F6">
              <w:rPr>
                <w:szCs w:val="24"/>
              </w:rPr>
              <w:t xml:space="preserve">9.2. šo noteikumu 11.2. apakšpunktā minētajai tiešās pārvaldes iestādei – 20 940 771 </w:t>
            </w:r>
            <w:r w:rsidRPr="003008F6">
              <w:rPr>
                <w:i/>
                <w:iCs/>
                <w:szCs w:val="24"/>
              </w:rPr>
              <w:t>euro</w:t>
            </w:r>
            <w:r w:rsidRPr="003008F6">
              <w:rPr>
                <w:szCs w:val="24"/>
              </w:rPr>
              <w:t xml:space="preserve">, tai skaitā Eiropas Reģionālās attīstības fonda finansējums – 17 799 655 </w:t>
            </w:r>
            <w:r w:rsidRPr="003008F6">
              <w:rPr>
                <w:i/>
                <w:iCs/>
                <w:szCs w:val="24"/>
              </w:rPr>
              <w:t>euro</w:t>
            </w:r>
            <w:r w:rsidRPr="003008F6">
              <w:rPr>
                <w:szCs w:val="24"/>
              </w:rPr>
              <w:t xml:space="preserve">, valsts budžeta finansējums – 2 183 255 </w:t>
            </w:r>
            <w:r w:rsidRPr="003008F6">
              <w:rPr>
                <w:i/>
                <w:iCs/>
                <w:szCs w:val="24"/>
              </w:rPr>
              <w:t>euro</w:t>
            </w:r>
            <w:r w:rsidRPr="003008F6">
              <w:rPr>
                <w:szCs w:val="24"/>
              </w:rPr>
              <w:t xml:space="preserve"> un privātais, pašvaldību un plānošanas reģionu līdzfinansējums – vismaz 957 861 </w:t>
            </w:r>
            <w:r w:rsidRPr="003008F6">
              <w:rPr>
                <w:i/>
                <w:iCs/>
                <w:szCs w:val="24"/>
              </w:rPr>
              <w:t>euro</w:t>
            </w:r>
            <w:r w:rsidRPr="003008F6">
              <w:rPr>
                <w:szCs w:val="24"/>
              </w:rPr>
              <w:t>.</w:t>
            </w:r>
            <w:bookmarkEnd w:id="1"/>
            <w:r w:rsidRPr="0086578C">
              <w:rPr>
                <w:szCs w:val="24"/>
              </w:rPr>
              <w:t>"</w:t>
            </w:r>
          </w:p>
          <w:p w14:paraId="31BCD50C" w14:textId="79FE8172" w:rsidR="002B345C" w:rsidRPr="007E6672" w:rsidRDefault="002B345C" w:rsidP="00E369D9">
            <w:pPr>
              <w:ind w:firstLine="709"/>
              <w:jc w:val="both"/>
              <w:rPr>
                <w:szCs w:val="24"/>
              </w:rPr>
            </w:pPr>
          </w:p>
        </w:tc>
      </w:tr>
      <w:tr w:rsidR="00B727A1" w:rsidRPr="007E6672" w14:paraId="0357663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E41392D" w14:textId="77777777" w:rsidR="00B727A1" w:rsidRPr="007E6672" w:rsidRDefault="00B727A1"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73B8024" w14:textId="6309760B" w:rsidR="00B727A1" w:rsidRPr="007E6672" w:rsidRDefault="00E72361" w:rsidP="000453E8">
            <w:pPr>
              <w:pStyle w:val="naisc"/>
              <w:spacing w:before="0" w:after="0"/>
              <w:jc w:val="both"/>
            </w:pPr>
            <w:r w:rsidRPr="00E72361">
              <w:t xml:space="preserve">MK noteikumu Nr. 678 </w:t>
            </w:r>
            <w:r w:rsidR="00C20E59" w:rsidRPr="00C20E59">
              <w:t>14.3 un 14.4</w:t>
            </w:r>
            <w:r w:rsidRPr="00E72361">
              <w:t>. apakšpunkts</w:t>
            </w:r>
          </w:p>
        </w:tc>
        <w:tc>
          <w:tcPr>
            <w:tcW w:w="4253" w:type="dxa"/>
            <w:tcBorders>
              <w:top w:val="single" w:sz="6" w:space="0" w:color="000000"/>
              <w:left w:val="single" w:sz="6" w:space="0" w:color="000000"/>
              <w:bottom w:val="single" w:sz="6" w:space="0" w:color="000000"/>
              <w:right w:val="single" w:sz="6" w:space="0" w:color="000000"/>
            </w:tcBorders>
          </w:tcPr>
          <w:p w14:paraId="30AFA43E" w14:textId="30D9C82B" w:rsidR="00EE1A2C" w:rsidRPr="007E6672" w:rsidRDefault="00EE1A2C" w:rsidP="00EE1A2C">
            <w:pPr>
              <w:pStyle w:val="naisc"/>
              <w:spacing w:before="0" w:after="0"/>
              <w:jc w:val="both"/>
              <w:rPr>
                <w:b/>
              </w:rPr>
            </w:pPr>
            <w:r>
              <w:rPr>
                <w:b/>
              </w:rPr>
              <w:t xml:space="preserve">Finanšu ministrijas </w:t>
            </w:r>
            <w:r w:rsidR="00E72361" w:rsidRPr="00E72361">
              <w:rPr>
                <w:b/>
              </w:rPr>
              <w:t>04.03.2020</w:t>
            </w:r>
            <w:r w:rsidRPr="007E6672">
              <w:rPr>
                <w:b/>
              </w:rPr>
              <w:t>. atzinums</w:t>
            </w:r>
          </w:p>
          <w:p w14:paraId="7E2EB14E" w14:textId="3EE7B0EE" w:rsidR="004738B0" w:rsidRPr="0042603E" w:rsidRDefault="00E72361" w:rsidP="0042603E">
            <w:pPr>
              <w:contextualSpacing/>
              <w:jc w:val="both"/>
              <w:rPr>
                <w:sz w:val="26"/>
                <w:szCs w:val="26"/>
              </w:rPr>
            </w:pPr>
            <w:r w:rsidRPr="00E72361">
              <w:rPr>
                <w:szCs w:val="24"/>
              </w:rPr>
              <w:t>Lūdzam skaidrot, vai ir paredzēts MK noteikumu Nr. 678 14.3 un 14.4. apakšpunktā minētās darbības pilnībā aizstāt ar padziļinātajām konsultācijām, kas minētas MK noteikumu Nr. 678 14.5. apakšpunktā. Ja minētās darbības paredzēts pilnībā aizstāt, lūdzam precizēt MK noteikumus Nr. 678, svītrojot šīs darbības un papildināt anotāciju, nosakot Latvijas Investīciju un attīstības aģentūrai (turpmāk – LIAA) pienākumu 2 nedēļu laikā pēc noteikumu spēkā stāšanās iesniegt CFLA grozījumus noslēgtajā vienošanās Nr. 3.2.1.2/16/I/001, aktualizējot darbības</w:t>
            </w:r>
          </w:p>
        </w:tc>
        <w:tc>
          <w:tcPr>
            <w:tcW w:w="3827" w:type="dxa"/>
            <w:gridSpan w:val="2"/>
            <w:tcBorders>
              <w:top w:val="single" w:sz="6" w:space="0" w:color="000000"/>
              <w:left w:val="single" w:sz="6" w:space="0" w:color="000000"/>
              <w:bottom w:val="single" w:sz="6" w:space="0" w:color="000000"/>
              <w:right w:val="single" w:sz="6" w:space="0" w:color="000000"/>
            </w:tcBorders>
          </w:tcPr>
          <w:p w14:paraId="60550601" w14:textId="77777777" w:rsidR="00B727A1" w:rsidRPr="007E6672" w:rsidRDefault="00B727A1" w:rsidP="00386193">
            <w:pPr>
              <w:pStyle w:val="naisc"/>
              <w:spacing w:before="0" w:after="0"/>
              <w:rPr>
                <w:b/>
              </w:rPr>
            </w:pPr>
            <w:r w:rsidRPr="007E6672">
              <w:rPr>
                <w:b/>
              </w:rPr>
              <w:t>Ņemts vērā</w:t>
            </w:r>
          </w:p>
          <w:p w14:paraId="38D43A31" w14:textId="789604BA" w:rsidR="00B727A1" w:rsidRPr="00851166" w:rsidRDefault="00851166" w:rsidP="00EE1A2C">
            <w:pPr>
              <w:pStyle w:val="naisc"/>
              <w:jc w:val="both"/>
              <w:rPr>
                <w:bCs/>
              </w:rPr>
            </w:pPr>
            <w:r>
              <w:rPr>
                <w:bCs/>
              </w:rPr>
              <w:t xml:space="preserve">Skaidrojam, ka </w:t>
            </w:r>
            <w:r w:rsidRPr="00851166">
              <w:rPr>
                <w:bCs/>
              </w:rPr>
              <w:t>MK noteikumu Nr. 678 14.3 un 14.4. apakšpunktā minētās darbības</w:t>
            </w:r>
            <w:r>
              <w:rPr>
                <w:bCs/>
              </w:rPr>
              <w:t xml:space="preserve"> netiek aizstātas ar padziļinātajām konsultācijām, tādēļ nav nepieciešams svītrot minētās darbības. </w:t>
            </w:r>
          </w:p>
        </w:tc>
        <w:tc>
          <w:tcPr>
            <w:tcW w:w="3235" w:type="dxa"/>
            <w:tcBorders>
              <w:top w:val="single" w:sz="4" w:space="0" w:color="auto"/>
              <w:left w:val="single" w:sz="4" w:space="0" w:color="auto"/>
              <w:bottom w:val="single" w:sz="4" w:space="0" w:color="auto"/>
            </w:tcBorders>
          </w:tcPr>
          <w:p w14:paraId="40C93DDF" w14:textId="390B1DC7" w:rsidR="00B727A1" w:rsidRPr="007E6672" w:rsidRDefault="00B727A1" w:rsidP="00F43A84">
            <w:pPr>
              <w:jc w:val="both"/>
              <w:rPr>
                <w:szCs w:val="24"/>
              </w:rPr>
            </w:pPr>
          </w:p>
        </w:tc>
      </w:tr>
      <w:tr w:rsidR="009A7DCD" w:rsidRPr="007E6672" w14:paraId="2E7D3B2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AF8E30F" w14:textId="77777777" w:rsidR="009A7DCD" w:rsidRPr="007E6672" w:rsidRDefault="009A7DCD"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92B8E31" w14:textId="0745ABDF" w:rsidR="009A7DCD" w:rsidRPr="007E6672" w:rsidRDefault="006C0350" w:rsidP="000453E8">
            <w:pPr>
              <w:pStyle w:val="naisc"/>
              <w:spacing w:before="0" w:after="0"/>
              <w:jc w:val="both"/>
            </w:pPr>
            <w:r w:rsidRPr="006C0350">
              <w:t>MK noteikumu Nr. 678 20.11.2. apakšpunkt</w:t>
            </w:r>
            <w:r>
              <w:t>s</w:t>
            </w:r>
          </w:p>
        </w:tc>
        <w:tc>
          <w:tcPr>
            <w:tcW w:w="4253" w:type="dxa"/>
            <w:tcBorders>
              <w:top w:val="single" w:sz="6" w:space="0" w:color="000000"/>
              <w:left w:val="single" w:sz="6" w:space="0" w:color="000000"/>
              <w:bottom w:val="single" w:sz="6" w:space="0" w:color="000000"/>
              <w:right w:val="single" w:sz="6" w:space="0" w:color="000000"/>
            </w:tcBorders>
          </w:tcPr>
          <w:p w14:paraId="26FABC2D" w14:textId="7EAACAED" w:rsidR="00902FD4" w:rsidRPr="007E6672" w:rsidRDefault="00902FD4" w:rsidP="00902FD4">
            <w:pPr>
              <w:pStyle w:val="naisc"/>
              <w:spacing w:before="0" w:after="0"/>
              <w:jc w:val="both"/>
              <w:rPr>
                <w:b/>
              </w:rPr>
            </w:pPr>
            <w:r>
              <w:rPr>
                <w:b/>
              </w:rPr>
              <w:t xml:space="preserve">Finanšu ministrijas </w:t>
            </w:r>
            <w:r w:rsidR="006C0350" w:rsidRPr="006C0350">
              <w:rPr>
                <w:b/>
              </w:rPr>
              <w:t>04.03.2020</w:t>
            </w:r>
            <w:r w:rsidRPr="007E6672">
              <w:rPr>
                <w:b/>
              </w:rPr>
              <w:t>. atzinums</w:t>
            </w:r>
          </w:p>
          <w:p w14:paraId="7C11E409" w14:textId="6C7813E8" w:rsidR="009A7DCD" w:rsidRPr="0042603E" w:rsidRDefault="006C0350" w:rsidP="0042603E">
            <w:pPr>
              <w:contextualSpacing/>
              <w:jc w:val="both"/>
              <w:rPr>
                <w:szCs w:val="24"/>
              </w:rPr>
            </w:pPr>
            <w:r w:rsidRPr="006C0350">
              <w:rPr>
                <w:szCs w:val="24"/>
              </w:rPr>
              <w:t>Ņemot vērā precizējumus MK noteikumu Nr. 678 20.11.2. apakšpunktā, lūdzam precizēt, kādā apjomā tiks segtas 14.8. apakšpunktā minētās izmaksas.</w:t>
            </w:r>
          </w:p>
        </w:tc>
        <w:tc>
          <w:tcPr>
            <w:tcW w:w="3827" w:type="dxa"/>
            <w:gridSpan w:val="2"/>
            <w:tcBorders>
              <w:top w:val="single" w:sz="6" w:space="0" w:color="000000"/>
              <w:left w:val="single" w:sz="6" w:space="0" w:color="000000"/>
              <w:bottom w:val="single" w:sz="6" w:space="0" w:color="000000"/>
              <w:right w:val="single" w:sz="6" w:space="0" w:color="000000"/>
            </w:tcBorders>
          </w:tcPr>
          <w:p w14:paraId="5566175E" w14:textId="77777777" w:rsidR="00543529" w:rsidRPr="007E6672" w:rsidRDefault="00543529" w:rsidP="00543529">
            <w:pPr>
              <w:pStyle w:val="naisc"/>
              <w:spacing w:before="0" w:after="0"/>
              <w:rPr>
                <w:b/>
              </w:rPr>
            </w:pPr>
            <w:r w:rsidRPr="007E6672">
              <w:rPr>
                <w:b/>
              </w:rPr>
              <w:t>Ņemts vērā</w:t>
            </w:r>
          </w:p>
          <w:p w14:paraId="489B52C8" w14:textId="7F55D97E" w:rsidR="00DA71DC" w:rsidRPr="007E6672" w:rsidRDefault="005E1959" w:rsidP="00DA71DC">
            <w:pPr>
              <w:pStyle w:val="naisc"/>
              <w:spacing w:before="0" w:after="0"/>
              <w:jc w:val="both"/>
            </w:pPr>
            <w:r w:rsidRPr="005E1959">
              <w:t>Skaidrojam, ka MK Noteikumu projekta 14.8. apakšpunkts nav attiecināms uz komersantiem, bet gan uz LIAA, kas veic konferenču centra finanšu un ekonomiskā pamatojuma izstrādi saskaņā ar Ministru kabineta 2018. gada 5. novembra noteikumu Nr. 676 “Grozījumi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 anotācijā norādīto.</w:t>
            </w:r>
          </w:p>
        </w:tc>
        <w:tc>
          <w:tcPr>
            <w:tcW w:w="3235" w:type="dxa"/>
            <w:tcBorders>
              <w:top w:val="single" w:sz="4" w:space="0" w:color="auto"/>
              <w:left w:val="single" w:sz="4" w:space="0" w:color="auto"/>
              <w:bottom w:val="single" w:sz="4" w:space="0" w:color="auto"/>
            </w:tcBorders>
          </w:tcPr>
          <w:p w14:paraId="09C39023" w14:textId="63E85005" w:rsidR="009A7DCD" w:rsidRPr="007E6672" w:rsidRDefault="005E1959" w:rsidP="00F43A84">
            <w:pPr>
              <w:jc w:val="both"/>
              <w:rPr>
                <w:szCs w:val="24"/>
              </w:rPr>
            </w:pPr>
            <w:r w:rsidRPr="005E1959">
              <w:rPr>
                <w:szCs w:val="24"/>
              </w:rPr>
              <w:t>Papildināts anotācijas I. sadaļas “Tiesību akta projekta izstrādes nepieciešamība” 2. punkts “Pašreizējā situācija un problēmas, kuru risināšanai tiesību akta projekts izstrādāts, tiesiskā regulējuma mērķis un būtība”.</w:t>
            </w:r>
          </w:p>
        </w:tc>
      </w:tr>
      <w:tr w:rsidR="00141947" w:rsidRPr="007E6672" w14:paraId="51F6B60A" w14:textId="77777777" w:rsidTr="004C29BA">
        <w:tc>
          <w:tcPr>
            <w:tcW w:w="675" w:type="dxa"/>
            <w:tcBorders>
              <w:top w:val="single" w:sz="6" w:space="0" w:color="000000"/>
              <w:left w:val="single" w:sz="6" w:space="0" w:color="000000"/>
              <w:bottom w:val="single" w:sz="6" w:space="0" w:color="000000"/>
              <w:right w:val="single" w:sz="6" w:space="0" w:color="000000"/>
            </w:tcBorders>
          </w:tcPr>
          <w:p w14:paraId="3B599208" w14:textId="77777777" w:rsidR="00141947" w:rsidRPr="007E6672" w:rsidRDefault="00141947"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6441CE3" w14:textId="77CD2CDE" w:rsidR="00141947" w:rsidRPr="006C0350" w:rsidRDefault="00A82678" w:rsidP="000453E8">
            <w:pPr>
              <w:pStyle w:val="naisc"/>
              <w:spacing w:before="0" w:after="0"/>
              <w:jc w:val="both"/>
            </w:pPr>
            <w:r w:rsidRPr="00A82678">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1A9EED1E" w14:textId="77777777" w:rsidR="00141947" w:rsidRDefault="00A82678" w:rsidP="00902FD4">
            <w:pPr>
              <w:pStyle w:val="naisc"/>
              <w:spacing w:before="0" w:after="0"/>
              <w:jc w:val="both"/>
              <w:rPr>
                <w:b/>
              </w:rPr>
            </w:pPr>
            <w:r w:rsidRPr="00A82678">
              <w:rPr>
                <w:b/>
              </w:rPr>
              <w:t>Finanšu ministrijas 04.03.2020. atzinums</w:t>
            </w:r>
          </w:p>
          <w:p w14:paraId="2E152475" w14:textId="0BC6EA90" w:rsidR="00A82678" w:rsidRPr="00A82678" w:rsidRDefault="00A82678" w:rsidP="00902FD4">
            <w:pPr>
              <w:pStyle w:val="naisc"/>
              <w:spacing w:before="0" w:after="0"/>
              <w:jc w:val="both"/>
              <w:rPr>
                <w:bCs/>
              </w:rPr>
            </w:pPr>
            <w:r w:rsidRPr="00A82678">
              <w:rPr>
                <w:bCs/>
              </w:rPr>
              <w:t xml:space="preserve">Ņemot vērā anotācijas I. sadaļas 2. punktā sniegto informāciju, ka padziļināto konsultāciju gadījumā ar komersantu LIAA slēdz sadarbības līgumu un nosaka komersanta individuāli sasniedzamo mērķi - eksporta apjoma pieaugumu, lūdzam precizēt MK noteikumu projektu, papildinot to ar normu, kas precizētu atbildīgās vai citas iestādes rīcību (darbības), gadījumā, ja individuāli sasniedzamie mērķi netiks sasniegti. </w:t>
            </w:r>
            <w:r w:rsidRPr="00A82678">
              <w:rPr>
                <w:bCs/>
              </w:rPr>
              <w:lastRenderedPageBreak/>
              <w:t>Lūdzam papildināt anotācijas I. sadaļu 2. punktu ar attiecīgu skaidrojumu.</w:t>
            </w:r>
          </w:p>
        </w:tc>
        <w:tc>
          <w:tcPr>
            <w:tcW w:w="3827" w:type="dxa"/>
            <w:gridSpan w:val="2"/>
            <w:tcBorders>
              <w:top w:val="single" w:sz="6" w:space="0" w:color="000000"/>
              <w:left w:val="single" w:sz="6" w:space="0" w:color="000000"/>
              <w:bottom w:val="single" w:sz="6" w:space="0" w:color="000000"/>
              <w:right w:val="single" w:sz="6" w:space="0" w:color="000000"/>
            </w:tcBorders>
          </w:tcPr>
          <w:p w14:paraId="6D9B5A23" w14:textId="77777777" w:rsidR="00141947" w:rsidRDefault="00A82678" w:rsidP="00543529">
            <w:pPr>
              <w:pStyle w:val="naisc"/>
              <w:spacing w:before="0" w:after="0"/>
              <w:rPr>
                <w:b/>
              </w:rPr>
            </w:pPr>
            <w:r w:rsidRPr="00A82678">
              <w:rPr>
                <w:b/>
              </w:rPr>
              <w:lastRenderedPageBreak/>
              <w:t>Ņemts vērā</w:t>
            </w:r>
          </w:p>
          <w:p w14:paraId="7C2456DF" w14:textId="0B0EF3D5" w:rsidR="00A82678" w:rsidRPr="00E45A37" w:rsidRDefault="00E45A37" w:rsidP="00E45A37">
            <w:pPr>
              <w:pStyle w:val="naisc"/>
              <w:spacing w:before="0" w:after="0"/>
              <w:jc w:val="both"/>
              <w:rPr>
                <w:bCs/>
              </w:rPr>
            </w:pPr>
            <w:r>
              <w:rPr>
                <w:bCs/>
              </w:rPr>
              <w:t xml:space="preserve">Skaidrojam, ka līgumslēdzēju </w:t>
            </w:r>
            <w:r w:rsidRPr="00E45A37">
              <w:rPr>
                <w:bCs/>
              </w:rPr>
              <w:t>pušu tiesības un pienākumi</w:t>
            </w:r>
            <w:r>
              <w:rPr>
                <w:bCs/>
              </w:rPr>
              <w:t xml:space="preserve"> tiks atrunāti starp</w:t>
            </w:r>
            <w:r w:rsidRPr="00E45A37">
              <w:rPr>
                <w:bCs/>
              </w:rPr>
              <w:t xml:space="preserve"> komersantu</w:t>
            </w:r>
            <w:r>
              <w:rPr>
                <w:bCs/>
              </w:rPr>
              <w:t xml:space="preserve"> un</w:t>
            </w:r>
            <w:r w:rsidRPr="00E45A37">
              <w:rPr>
                <w:bCs/>
              </w:rPr>
              <w:t xml:space="preserve"> LIAA </w:t>
            </w:r>
            <w:r>
              <w:rPr>
                <w:bCs/>
              </w:rPr>
              <w:t>no</w:t>
            </w:r>
            <w:r w:rsidRPr="00E45A37">
              <w:rPr>
                <w:bCs/>
              </w:rPr>
              <w:t>slē</w:t>
            </w:r>
            <w:r>
              <w:rPr>
                <w:bCs/>
              </w:rPr>
              <w:t>gtajā</w:t>
            </w:r>
            <w:r w:rsidRPr="00E45A37">
              <w:rPr>
                <w:bCs/>
              </w:rPr>
              <w:t xml:space="preserve"> līgum</w:t>
            </w:r>
            <w:r>
              <w:rPr>
                <w:bCs/>
              </w:rPr>
              <w:t>ā.</w:t>
            </w:r>
          </w:p>
        </w:tc>
        <w:tc>
          <w:tcPr>
            <w:tcW w:w="3235" w:type="dxa"/>
            <w:tcBorders>
              <w:top w:val="single" w:sz="4" w:space="0" w:color="auto"/>
              <w:left w:val="single" w:sz="4" w:space="0" w:color="auto"/>
              <w:bottom w:val="single" w:sz="4" w:space="0" w:color="auto"/>
            </w:tcBorders>
          </w:tcPr>
          <w:p w14:paraId="192595F6" w14:textId="4664A0E3" w:rsidR="00141947" w:rsidRPr="005E1959" w:rsidRDefault="00015388" w:rsidP="00F43A84">
            <w:pPr>
              <w:jc w:val="both"/>
              <w:rPr>
                <w:szCs w:val="24"/>
              </w:rPr>
            </w:pPr>
            <w:r>
              <w:rPr>
                <w:szCs w:val="24"/>
              </w:rPr>
              <w:t>Precizēts</w:t>
            </w:r>
            <w:r w:rsidRPr="00015388">
              <w:rPr>
                <w:szCs w:val="24"/>
              </w:rPr>
              <w:t xml:space="preserve"> anotācijas I. sadaļas “Tiesību akta projekta izstrādes nepieciešamība” 2. punkts “Pašreizējā situācija un problēmas, kuru risināšanai tiesību akta projekts izstrādāts, tiesiskā regulējuma mērķis un būtība”.</w:t>
            </w:r>
          </w:p>
        </w:tc>
      </w:tr>
      <w:tr w:rsidR="00152D63" w:rsidRPr="007E6672" w14:paraId="38463130"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F6251E8" w14:textId="77777777" w:rsidR="00152D63" w:rsidRPr="007E6672" w:rsidRDefault="00152D63"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9ED2F9D" w14:textId="663B19C9" w:rsidR="00152D63" w:rsidRPr="00A82678" w:rsidRDefault="00D6153D" w:rsidP="000453E8">
            <w:pPr>
              <w:pStyle w:val="naisc"/>
              <w:spacing w:before="0" w:after="0"/>
              <w:jc w:val="both"/>
            </w:pPr>
            <w:r w:rsidRPr="00D6153D">
              <w:t xml:space="preserve">MK noteikumu </w:t>
            </w:r>
            <w:r>
              <w:t>projekts</w:t>
            </w:r>
          </w:p>
        </w:tc>
        <w:tc>
          <w:tcPr>
            <w:tcW w:w="4253" w:type="dxa"/>
            <w:tcBorders>
              <w:top w:val="single" w:sz="6" w:space="0" w:color="000000"/>
              <w:left w:val="single" w:sz="6" w:space="0" w:color="000000"/>
              <w:bottom w:val="single" w:sz="6" w:space="0" w:color="000000"/>
              <w:right w:val="single" w:sz="6" w:space="0" w:color="000000"/>
            </w:tcBorders>
          </w:tcPr>
          <w:p w14:paraId="5A3C9E67" w14:textId="77777777" w:rsidR="00D15F42" w:rsidRDefault="00D15F42" w:rsidP="00D15F42">
            <w:pPr>
              <w:pStyle w:val="naisc"/>
              <w:spacing w:before="0" w:after="0"/>
              <w:jc w:val="both"/>
              <w:rPr>
                <w:b/>
              </w:rPr>
            </w:pPr>
            <w:r w:rsidRPr="00A82678">
              <w:rPr>
                <w:b/>
              </w:rPr>
              <w:t>Finanšu ministrijas 04.03.2020. atzinums</w:t>
            </w:r>
          </w:p>
          <w:p w14:paraId="0B48571B" w14:textId="427944C2" w:rsidR="00152D63" w:rsidRPr="00D15F42" w:rsidRDefault="00D15F42" w:rsidP="00902FD4">
            <w:pPr>
              <w:pStyle w:val="naisc"/>
              <w:spacing w:before="0" w:after="0"/>
              <w:jc w:val="both"/>
              <w:rPr>
                <w:bCs/>
              </w:rPr>
            </w:pPr>
            <w:r w:rsidRPr="00D15F42">
              <w:rPr>
                <w:bCs/>
              </w:rPr>
              <w:t xml:space="preserve">Ņemot vērā, ka atbalsts MK noteikumu Nr. 678 ietvaros tiek sniegts saskaņā ar Eiropas Komisijas 2013.gada 18.decembra Regulu (ES) Nr. 1407/2013 par Līguma par Eiropas Savienības darbību 107. un 108.panta piemērošanu de minimis atbalstam (turpmāk - Komisijas regula Nr. 1407/2013), un, ņemot vērā aktuālāko Eiropas Savienības tiesas judikatūru (sk. Eiropas Savienības Tiesas 2019.gada 5.marta spriedumu lietā Nr.C-349/17 (ECLI:EU:C:2019:172)), lūdzam papildināt MK noteikumu projektu ar punktu, kas paredz komercdarbības atbalsta atgūšanu kopā ar procentiem, ja komercdarbības atbalsta saņēmējs ir pārkāpis Komisijas regulas Nr. 1407/2013 prasības, piemēram, šādā redakcijā: “Ja atbalsta saņēmējs ir pārkāpis Komisijas regulas Nr. 1407/2013 prasības, atbalsta saņēmējam ir pienākums atmaksāt sadarbības iestādei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w:t>
            </w:r>
            <w:r w:rsidRPr="00D15F42">
              <w:rPr>
                <w:bCs/>
              </w:rPr>
              <w:lastRenderedPageBreak/>
              <w:t>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 Vienlaikus aicinām izvērtēt iespēju augstāk minēto nelikumīgā atbalsta atgūšanas normu attiecināt arī uz regulas Nr. 717/2014 un regulas Nr. 1408/2013 pārkāpumiem, attiecīgi precizējot normu.</w:t>
            </w:r>
          </w:p>
        </w:tc>
        <w:tc>
          <w:tcPr>
            <w:tcW w:w="3827" w:type="dxa"/>
            <w:gridSpan w:val="2"/>
            <w:tcBorders>
              <w:top w:val="single" w:sz="6" w:space="0" w:color="000000"/>
              <w:left w:val="single" w:sz="6" w:space="0" w:color="000000"/>
              <w:bottom w:val="single" w:sz="6" w:space="0" w:color="000000"/>
              <w:right w:val="single" w:sz="6" w:space="0" w:color="000000"/>
            </w:tcBorders>
          </w:tcPr>
          <w:p w14:paraId="3268E3C2" w14:textId="033B6CDA" w:rsidR="00152D63" w:rsidRDefault="00D6153D" w:rsidP="00543529">
            <w:pPr>
              <w:pStyle w:val="naisc"/>
              <w:spacing w:before="0" w:after="0"/>
              <w:rPr>
                <w:b/>
              </w:rPr>
            </w:pPr>
            <w:r w:rsidRPr="00D6153D">
              <w:rPr>
                <w:b/>
              </w:rPr>
              <w:lastRenderedPageBreak/>
              <w:t>Ņemts vērā</w:t>
            </w:r>
          </w:p>
          <w:p w14:paraId="71425BB5" w14:textId="73FCA8BE" w:rsidR="00663C64" w:rsidRPr="00A82678" w:rsidRDefault="00663C64" w:rsidP="00870C3D">
            <w:pPr>
              <w:pStyle w:val="naisc"/>
              <w:spacing w:before="0" w:after="0"/>
              <w:rPr>
                <w:b/>
              </w:rPr>
            </w:pPr>
          </w:p>
        </w:tc>
        <w:tc>
          <w:tcPr>
            <w:tcW w:w="3235" w:type="dxa"/>
            <w:tcBorders>
              <w:top w:val="single" w:sz="4" w:space="0" w:color="auto"/>
              <w:left w:val="single" w:sz="4" w:space="0" w:color="auto"/>
              <w:bottom w:val="single" w:sz="4" w:space="0" w:color="auto"/>
            </w:tcBorders>
          </w:tcPr>
          <w:p w14:paraId="3666D901" w14:textId="6A5C5A2F" w:rsidR="00500449" w:rsidRDefault="00500449" w:rsidP="00870C3D">
            <w:pPr>
              <w:jc w:val="both"/>
              <w:rPr>
                <w:szCs w:val="24"/>
              </w:rPr>
            </w:pPr>
            <w:r>
              <w:rPr>
                <w:bCs/>
              </w:rPr>
              <w:t>MK noteikumi Nr.678 papildināti ar 52.</w:t>
            </w:r>
            <w:r>
              <w:rPr>
                <w:bCs/>
                <w:vertAlign w:val="superscript"/>
              </w:rPr>
              <w:t>1</w:t>
            </w:r>
            <w:r>
              <w:rPr>
                <w:bCs/>
              </w:rPr>
              <w:t xml:space="preserve"> punktu šādā redakcijā:</w:t>
            </w:r>
          </w:p>
          <w:p w14:paraId="537A62D2" w14:textId="5E0BE38E" w:rsidR="00870C3D" w:rsidRPr="009A2B1C" w:rsidRDefault="00870C3D" w:rsidP="00870C3D">
            <w:pPr>
              <w:jc w:val="both"/>
              <w:rPr>
                <w:szCs w:val="24"/>
              </w:rPr>
            </w:pPr>
            <w:r w:rsidRPr="009A2B1C">
              <w:rPr>
                <w:szCs w:val="24"/>
              </w:rPr>
              <w:t>"</w:t>
            </w:r>
            <w:r w:rsidR="00500449" w:rsidRPr="005E5EEB">
              <w:rPr>
                <w:szCs w:val="24"/>
              </w:rPr>
              <w:t>52.</w:t>
            </w:r>
            <w:r w:rsidR="00500449" w:rsidRPr="00AF6371">
              <w:rPr>
                <w:szCs w:val="24"/>
                <w:vertAlign w:val="superscript"/>
              </w:rPr>
              <w:t>1</w:t>
            </w:r>
            <w:r w:rsidR="00500449" w:rsidRPr="005E5EEB">
              <w:rPr>
                <w:szCs w:val="24"/>
              </w:rPr>
              <w:t xml:space="preserve"> Ja valsts atbalsta saņēmējs ir pārkāpis regulas Nr. 1407/2013 prasības, ta</w:t>
            </w:r>
            <w:r w:rsidR="00500449" w:rsidRPr="0086578C">
              <w:rPr>
                <w:szCs w:val="24"/>
              </w:rPr>
              <w:t>s atmaksā sadarbības iestādei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no dienas, kad valsts atbalsts tika izmaksāts valsts atbalsta saņēmējam, līdz tā atgūšanas dienai, ievērojot regulas Nr. 794/2004 11. pantā noteikto procentu likmes piemērošanas metodi.</w:t>
            </w:r>
            <w:r w:rsidRPr="009A2B1C">
              <w:rPr>
                <w:szCs w:val="24"/>
              </w:rPr>
              <w:t>"</w:t>
            </w:r>
          </w:p>
          <w:p w14:paraId="19C511BD" w14:textId="4096B078" w:rsidR="00152D63" w:rsidRPr="00663C64" w:rsidRDefault="00152D63" w:rsidP="00524CAE">
            <w:pPr>
              <w:jc w:val="both"/>
              <w:rPr>
                <w:szCs w:val="24"/>
              </w:rPr>
            </w:pPr>
          </w:p>
        </w:tc>
      </w:tr>
      <w:tr w:rsidR="000122B2" w:rsidRPr="007E6672" w14:paraId="78DF1003"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2CD1CEB" w14:textId="77777777" w:rsidR="000122B2" w:rsidRPr="007E6672" w:rsidRDefault="000122B2"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1DB1679" w14:textId="045929E3" w:rsidR="000122B2" w:rsidRPr="00D6153D" w:rsidRDefault="00BC38A7" w:rsidP="000453E8">
            <w:pPr>
              <w:pStyle w:val="naisc"/>
              <w:spacing w:before="0" w:after="0"/>
              <w:jc w:val="both"/>
            </w:pPr>
            <w:r w:rsidRPr="00BC38A7">
              <w:t>MK noteikumu projekts</w:t>
            </w:r>
          </w:p>
        </w:tc>
        <w:tc>
          <w:tcPr>
            <w:tcW w:w="4253" w:type="dxa"/>
            <w:tcBorders>
              <w:top w:val="single" w:sz="6" w:space="0" w:color="000000"/>
              <w:left w:val="single" w:sz="6" w:space="0" w:color="000000"/>
              <w:bottom w:val="single" w:sz="6" w:space="0" w:color="000000"/>
              <w:right w:val="single" w:sz="6" w:space="0" w:color="000000"/>
            </w:tcBorders>
          </w:tcPr>
          <w:p w14:paraId="4E7AC4F6" w14:textId="77777777" w:rsidR="00BC38A7" w:rsidRDefault="00BC38A7" w:rsidP="00D15F42">
            <w:pPr>
              <w:pStyle w:val="naisc"/>
              <w:spacing w:before="0" w:after="0"/>
              <w:jc w:val="both"/>
              <w:rPr>
                <w:b/>
              </w:rPr>
            </w:pPr>
            <w:r w:rsidRPr="00BC38A7">
              <w:rPr>
                <w:b/>
              </w:rPr>
              <w:t>Finanšu ministrijas 04.03.2020. atzinums</w:t>
            </w:r>
          </w:p>
          <w:p w14:paraId="3CF9F527" w14:textId="64633F28" w:rsidR="000122B2" w:rsidRPr="00BC38A7" w:rsidRDefault="00BC38A7" w:rsidP="00D15F42">
            <w:pPr>
              <w:pStyle w:val="naisc"/>
              <w:spacing w:before="0" w:after="0"/>
              <w:jc w:val="both"/>
              <w:rPr>
                <w:bCs/>
              </w:rPr>
            </w:pPr>
            <w:r w:rsidRPr="00BC38A7">
              <w:rPr>
                <w:bCs/>
              </w:rPr>
              <w:t xml:space="preserve">Ņemot vērā, ka ne MK noteikumi Nr. 678, ne MK noteikumu projekts skaidri nenosaka </w:t>
            </w:r>
            <w:r w:rsidRPr="00500449">
              <w:rPr>
                <w:bCs/>
                <w:i/>
                <w:iCs/>
              </w:rPr>
              <w:t>de minimis</w:t>
            </w:r>
            <w:r w:rsidRPr="00BC38A7">
              <w:rPr>
                <w:bCs/>
              </w:rPr>
              <w:t xml:space="preserve"> atbalsta piešķiršanas brīdi, lūdzam papildināt MK noteikumu projektu ar punktu, kas noteiktu atbalsta piešķiršanas brīdi atbalsta saņēmējam. Skaidrojam, ka atbalsta piešķiršanas brīža identificēšana ir būtisks priekšnosacījums korektai interpretācijai par datumu, kurā tiktu uzskatīts, ka atbalsts saskaņā ar Komisijas regulu Nr.1407/2013 ticis piešķirts tā saņēmējam.</w:t>
            </w:r>
          </w:p>
        </w:tc>
        <w:tc>
          <w:tcPr>
            <w:tcW w:w="3827" w:type="dxa"/>
            <w:gridSpan w:val="2"/>
            <w:tcBorders>
              <w:top w:val="single" w:sz="6" w:space="0" w:color="000000"/>
              <w:left w:val="single" w:sz="6" w:space="0" w:color="000000"/>
              <w:bottom w:val="single" w:sz="6" w:space="0" w:color="000000"/>
              <w:right w:val="single" w:sz="6" w:space="0" w:color="000000"/>
            </w:tcBorders>
          </w:tcPr>
          <w:p w14:paraId="27823978" w14:textId="77777777" w:rsidR="000122B2" w:rsidRDefault="00BC38A7" w:rsidP="00543529">
            <w:pPr>
              <w:pStyle w:val="naisc"/>
              <w:spacing w:before="0" w:after="0"/>
              <w:rPr>
                <w:b/>
              </w:rPr>
            </w:pPr>
            <w:r w:rsidRPr="0075417F">
              <w:rPr>
                <w:b/>
              </w:rPr>
              <w:t>Ņemts vērā</w:t>
            </w:r>
          </w:p>
          <w:p w14:paraId="5C3EA0CC" w14:textId="61BCEAA2" w:rsidR="00524CAE" w:rsidRPr="00D6153D" w:rsidRDefault="00524CAE" w:rsidP="00870C3D">
            <w:pPr>
              <w:pStyle w:val="naisc"/>
              <w:spacing w:before="0" w:after="0"/>
              <w:rPr>
                <w:b/>
              </w:rPr>
            </w:pPr>
          </w:p>
        </w:tc>
        <w:tc>
          <w:tcPr>
            <w:tcW w:w="3235" w:type="dxa"/>
            <w:tcBorders>
              <w:top w:val="single" w:sz="4" w:space="0" w:color="auto"/>
              <w:left w:val="single" w:sz="4" w:space="0" w:color="auto"/>
              <w:bottom w:val="single" w:sz="4" w:space="0" w:color="auto"/>
            </w:tcBorders>
          </w:tcPr>
          <w:p w14:paraId="665FFE04" w14:textId="77777777" w:rsidR="000122B2" w:rsidRDefault="00870C3D" w:rsidP="00524CAE">
            <w:pPr>
              <w:spacing w:before="120" w:after="120"/>
              <w:jc w:val="both"/>
              <w:rPr>
                <w:bCs/>
              </w:rPr>
            </w:pPr>
            <w:r>
              <w:rPr>
                <w:bCs/>
              </w:rPr>
              <w:t>MK noteikumi Nr.678 papildināti ar 23.</w:t>
            </w:r>
            <w:r>
              <w:rPr>
                <w:bCs/>
                <w:vertAlign w:val="superscript"/>
              </w:rPr>
              <w:t>1</w:t>
            </w:r>
            <w:r>
              <w:rPr>
                <w:bCs/>
              </w:rPr>
              <w:t xml:space="preserve"> punktu šādā redakcijā”</w:t>
            </w:r>
          </w:p>
          <w:p w14:paraId="69ABA4D3" w14:textId="0EC1F238" w:rsidR="00870C3D" w:rsidRPr="00663C64" w:rsidRDefault="00870C3D" w:rsidP="00524CAE">
            <w:pPr>
              <w:spacing w:before="120" w:after="120"/>
              <w:jc w:val="both"/>
              <w:rPr>
                <w:szCs w:val="24"/>
              </w:rPr>
            </w:pPr>
            <w:r w:rsidRPr="009A2B1C">
              <w:rPr>
                <w:szCs w:val="24"/>
              </w:rPr>
              <w:t>"23.</w:t>
            </w:r>
            <w:r w:rsidRPr="00BD6A4F">
              <w:rPr>
                <w:szCs w:val="24"/>
                <w:vertAlign w:val="superscript"/>
              </w:rPr>
              <w:t>1</w:t>
            </w:r>
            <w:r w:rsidRPr="009A2B1C">
              <w:rPr>
                <w:szCs w:val="24"/>
              </w:rPr>
              <w:t xml:space="preserve"> Atbalsts tiek piešķirts ar finansējuma saņēmēja lēmumu un ir uzskatāms par komercdarbības atbalstu komersantam. Lēmuma pieņemšanas diena ir uzskatāma par komercdarbības atbalsta piešķiršanas brīdi."</w:t>
            </w:r>
          </w:p>
        </w:tc>
      </w:tr>
      <w:tr w:rsidR="007B2863" w:rsidRPr="007E6672" w14:paraId="56FBABAE"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36A95E0" w14:textId="77777777" w:rsidR="007B2863" w:rsidRPr="007E6672" w:rsidRDefault="007B2863"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6B0489F7" w14:textId="69F5AF33" w:rsidR="007B2863" w:rsidRPr="00BC38A7" w:rsidRDefault="00D62CB2" w:rsidP="000453E8">
            <w:pPr>
              <w:pStyle w:val="naisc"/>
              <w:spacing w:before="0" w:after="0"/>
              <w:jc w:val="both"/>
            </w:pPr>
            <w:r w:rsidRPr="00D62CB2">
              <w:t>MK noteikumu Nr.678 2</w:t>
            </w:r>
            <w:r>
              <w:t xml:space="preserve">5. </w:t>
            </w:r>
            <w:r w:rsidRPr="00D62CB2">
              <w:t>punkts</w:t>
            </w:r>
          </w:p>
        </w:tc>
        <w:tc>
          <w:tcPr>
            <w:tcW w:w="4253" w:type="dxa"/>
            <w:tcBorders>
              <w:top w:val="single" w:sz="6" w:space="0" w:color="000000"/>
              <w:left w:val="single" w:sz="6" w:space="0" w:color="000000"/>
              <w:bottom w:val="single" w:sz="6" w:space="0" w:color="000000"/>
              <w:right w:val="single" w:sz="6" w:space="0" w:color="000000"/>
            </w:tcBorders>
          </w:tcPr>
          <w:p w14:paraId="45D29883" w14:textId="77777777" w:rsidR="00D62CB2" w:rsidRDefault="00D62CB2" w:rsidP="00D15F42">
            <w:pPr>
              <w:pStyle w:val="naisc"/>
              <w:spacing w:before="0" w:after="0"/>
              <w:jc w:val="both"/>
              <w:rPr>
                <w:b/>
              </w:rPr>
            </w:pPr>
            <w:r w:rsidRPr="00D62CB2">
              <w:rPr>
                <w:b/>
              </w:rPr>
              <w:t>Finanšu ministrijas 04.03.2020. atzinums</w:t>
            </w:r>
          </w:p>
          <w:p w14:paraId="282DAF89" w14:textId="6B94C83C" w:rsidR="007B2863" w:rsidRPr="00BC38A7" w:rsidRDefault="00D62CB2" w:rsidP="00D15F42">
            <w:pPr>
              <w:pStyle w:val="naisc"/>
              <w:spacing w:before="0" w:after="0"/>
              <w:jc w:val="both"/>
              <w:rPr>
                <w:b/>
              </w:rPr>
            </w:pPr>
            <w:r w:rsidRPr="00D62CB2">
              <w:rPr>
                <w:bCs/>
              </w:rPr>
              <w:t>Ņemot vērā to, ka stājās spēkā Ministru kabineta 2018. gada 21. novembra noteikumi Nr. 715 “Noteikumi par de minimis atbalsta uzskaites un piešķiršanas kārtību un de minimis atbalsta uzskaites veidlapu paraugiem”, kas aptver ar de minimis (tai skaitā lauksaimniecības, zvejniecības un akvakultūras nozarē) uzskaiti izrietošus nosacījumus, lūdzam precizēt MK noteikumu Nr. 678 25. punktu, saglabājot tikai nosacījumu, ka “De minimis atbalsta uzskaiti veic saskaņā ar normatīvajiem aktiem par de minimis atbalsta uzskaites un</w:t>
            </w:r>
            <w:r w:rsidRPr="00D62CB2">
              <w:rPr>
                <w:b/>
              </w:rPr>
              <w:t xml:space="preserve"> </w:t>
            </w:r>
            <w:r w:rsidRPr="00D62CB2">
              <w:rPr>
                <w:bCs/>
              </w:rPr>
              <w:t>piešķiršanas kārtību un de minimis atbalsta uzskaites veidlapu paraugiem”.</w:t>
            </w:r>
          </w:p>
        </w:tc>
        <w:tc>
          <w:tcPr>
            <w:tcW w:w="3827" w:type="dxa"/>
            <w:gridSpan w:val="2"/>
            <w:tcBorders>
              <w:top w:val="single" w:sz="6" w:space="0" w:color="000000"/>
              <w:left w:val="single" w:sz="6" w:space="0" w:color="000000"/>
              <w:bottom w:val="single" w:sz="6" w:space="0" w:color="000000"/>
              <w:right w:val="single" w:sz="6" w:space="0" w:color="000000"/>
            </w:tcBorders>
          </w:tcPr>
          <w:p w14:paraId="3982D507" w14:textId="77777777" w:rsidR="007B2863" w:rsidRDefault="003410F4" w:rsidP="00543529">
            <w:pPr>
              <w:pStyle w:val="naisc"/>
              <w:spacing w:before="0" w:after="0"/>
              <w:rPr>
                <w:b/>
              </w:rPr>
            </w:pPr>
            <w:r w:rsidRPr="00BC38A7">
              <w:rPr>
                <w:b/>
              </w:rPr>
              <w:t>Ņemts vērā</w:t>
            </w:r>
          </w:p>
          <w:p w14:paraId="7BB3D656" w14:textId="3A03A94D" w:rsidR="00DD6BDF" w:rsidRPr="00BC38A7" w:rsidRDefault="00DD6BDF" w:rsidP="00870C3D">
            <w:pPr>
              <w:pStyle w:val="naisc"/>
              <w:spacing w:before="0" w:after="0"/>
              <w:rPr>
                <w:b/>
              </w:rPr>
            </w:pPr>
          </w:p>
        </w:tc>
        <w:tc>
          <w:tcPr>
            <w:tcW w:w="3235" w:type="dxa"/>
            <w:tcBorders>
              <w:top w:val="single" w:sz="4" w:space="0" w:color="auto"/>
              <w:left w:val="single" w:sz="4" w:space="0" w:color="auto"/>
              <w:bottom w:val="single" w:sz="4" w:space="0" w:color="auto"/>
            </w:tcBorders>
          </w:tcPr>
          <w:p w14:paraId="727617F2" w14:textId="77777777" w:rsidR="009D7AE0" w:rsidRDefault="00870C3D" w:rsidP="00BC38A7">
            <w:pPr>
              <w:jc w:val="both"/>
              <w:rPr>
                <w:bCs/>
              </w:rPr>
            </w:pPr>
            <w:r>
              <w:rPr>
                <w:bCs/>
              </w:rPr>
              <w:t>Precizēts MK noteikumu Nr.678 25.punkts šādā redakcijā:</w:t>
            </w:r>
          </w:p>
          <w:p w14:paraId="5F0F28EA" w14:textId="63C37C8F" w:rsidR="00870C3D" w:rsidRPr="009A2B1C" w:rsidRDefault="00870C3D" w:rsidP="00870C3D">
            <w:pPr>
              <w:jc w:val="both"/>
              <w:rPr>
                <w:szCs w:val="24"/>
              </w:rPr>
            </w:pPr>
            <w:r w:rsidRPr="009A2B1C">
              <w:rPr>
                <w:szCs w:val="24"/>
              </w:rPr>
              <w:t xml:space="preserve">"25. </w:t>
            </w:r>
            <w:r w:rsidRPr="00500449">
              <w:rPr>
                <w:i/>
                <w:iCs/>
                <w:szCs w:val="24"/>
              </w:rPr>
              <w:t>De minimis</w:t>
            </w:r>
            <w:r w:rsidRPr="009A2B1C">
              <w:rPr>
                <w:szCs w:val="24"/>
              </w:rPr>
              <w:t xml:space="preserve"> atbalsta uzskaiti veic saskaņā ar normatīvajiem aktiem par </w:t>
            </w:r>
            <w:r w:rsidRPr="00500449">
              <w:rPr>
                <w:i/>
                <w:iCs/>
                <w:szCs w:val="24"/>
              </w:rPr>
              <w:t>de minimis</w:t>
            </w:r>
            <w:r w:rsidRPr="009A2B1C">
              <w:rPr>
                <w:szCs w:val="24"/>
              </w:rPr>
              <w:t xml:space="preserve"> atbalsta uzskaites un piešķiršanas kārtību un </w:t>
            </w:r>
            <w:r w:rsidRPr="00500449">
              <w:rPr>
                <w:i/>
                <w:iCs/>
                <w:szCs w:val="24"/>
              </w:rPr>
              <w:t>de minimis</w:t>
            </w:r>
            <w:r w:rsidRPr="009A2B1C">
              <w:rPr>
                <w:szCs w:val="24"/>
              </w:rPr>
              <w:t xml:space="preserve"> atbalsta uzskaites veidlapu paraugiem.</w:t>
            </w:r>
            <w:r>
              <w:rPr>
                <w:szCs w:val="24"/>
              </w:rPr>
              <w:t>”</w:t>
            </w:r>
          </w:p>
          <w:p w14:paraId="3D328A98" w14:textId="7A6AE8E8" w:rsidR="00870C3D" w:rsidRPr="007B2863" w:rsidRDefault="00870C3D" w:rsidP="00BC38A7">
            <w:pPr>
              <w:jc w:val="both"/>
              <w:rPr>
                <w:szCs w:val="24"/>
                <w:highlight w:val="yellow"/>
              </w:rPr>
            </w:pPr>
          </w:p>
        </w:tc>
      </w:tr>
      <w:tr w:rsidR="003410F4" w:rsidRPr="007E6672" w14:paraId="4AB4E499"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508A50D" w14:textId="77777777" w:rsidR="003410F4" w:rsidRPr="007E6672" w:rsidRDefault="003410F4"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7B0B95E" w14:textId="35C83051" w:rsidR="003410F4" w:rsidRPr="00D62CB2" w:rsidRDefault="0046799D" w:rsidP="000453E8">
            <w:pPr>
              <w:pStyle w:val="naisc"/>
              <w:spacing w:before="0" w:after="0"/>
              <w:jc w:val="both"/>
            </w:pPr>
            <w:r w:rsidRPr="0046799D">
              <w:t>MK noteikumu Nr.678 2</w:t>
            </w:r>
            <w:r>
              <w:t>6</w:t>
            </w:r>
            <w:r w:rsidRPr="0046799D">
              <w:t>. punkts</w:t>
            </w:r>
          </w:p>
        </w:tc>
        <w:tc>
          <w:tcPr>
            <w:tcW w:w="4253" w:type="dxa"/>
            <w:tcBorders>
              <w:top w:val="single" w:sz="6" w:space="0" w:color="000000"/>
              <w:left w:val="single" w:sz="6" w:space="0" w:color="000000"/>
              <w:bottom w:val="single" w:sz="6" w:space="0" w:color="000000"/>
              <w:right w:val="single" w:sz="6" w:space="0" w:color="000000"/>
            </w:tcBorders>
          </w:tcPr>
          <w:p w14:paraId="5D571269" w14:textId="77777777" w:rsidR="003410F4" w:rsidRDefault="003410F4" w:rsidP="00D15F42">
            <w:pPr>
              <w:pStyle w:val="naisc"/>
              <w:spacing w:before="0" w:after="0"/>
              <w:jc w:val="both"/>
              <w:rPr>
                <w:b/>
              </w:rPr>
            </w:pPr>
            <w:r w:rsidRPr="003410F4">
              <w:rPr>
                <w:b/>
              </w:rPr>
              <w:t>Finanšu ministrijas 04.03.2020. atzinums</w:t>
            </w:r>
          </w:p>
          <w:p w14:paraId="61C4163A" w14:textId="37E167C7" w:rsidR="003410F4" w:rsidRPr="003410F4" w:rsidRDefault="003410F4" w:rsidP="00D15F42">
            <w:pPr>
              <w:pStyle w:val="naisc"/>
              <w:spacing w:before="0" w:after="0"/>
              <w:jc w:val="both"/>
              <w:rPr>
                <w:bCs/>
              </w:rPr>
            </w:pPr>
            <w:r w:rsidRPr="003410F4">
              <w:rPr>
                <w:bCs/>
              </w:rPr>
              <w:t>Lai nodrošinātu skaidru izpratni par MK noteikumu Nr. 678 26. punktā minētā pienākuma adresātu, lūdzam papildināt MK noteikumu projektu ar grozījumiem MK noteikumu Nr. 678 26. punktā, nosakot, ka datu glabāšanas nosacījums attiecināms gan uz atbalsta sniedzēju (sadarbības iestādi), gan atbalsta saņēmēju.</w:t>
            </w:r>
          </w:p>
        </w:tc>
        <w:tc>
          <w:tcPr>
            <w:tcW w:w="3827" w:type="dxa"/>
            <w:gridSpan w:val="2"/>
            <w:tcBorders>
              <w:top w:val="single" w:sz="6" w:space="0" w:color="000000"/>
              <w:left w:val="single" w:sz="6" w:space="0" w:color="000000"/>
              <w:bottom w:val="single" w:sz="6" w:space="0" w:color="000000"/>
              <w:right w:val="single" w:sz="6" w:space="0" w:color="000000"/>
            </w:tcBorders>
          </w:tcPr>
          <w:p w14:paraId="46796D59" w14:textId="77777777" w:rsidR="003410F4" w:rsidRDefault="003410F4" w:rsidP="00543529">
            <w:pPr>
              <w:pStyle w:val="naisc"/>
              <w:spacing w:before="0" w:after="0"/>
              <w:rPr>
                <w:b/>
              </w:rPr>
            </w:pPr>
            <w:r w:rsidRPr="00D46493">
              <w:rPr>
                <w:b/>
              </w:rPr>
              <w:t>Ņemts vērā</w:t>
            </w:r>
          </w:p>
          <w:p w14:paraId="3A95890F" w14:textId="1B1D19F4" w:rsidR="00DD6BDF" w:rsidRPr="00BC38A7" w:rsidRDefault="00DD6BDF" w:rsidP="00870C3D">
            <w:pPr>
              <w:pStyle w:val="naisc"/>
              <w:spacing w:before="0" w:after="0"/>
              <w:rPr>
                <w:b/>
              </w:rPr>
            </w:pPr>
          </w:p>
        </w:tc>
        <w:tc>
          <w:tcPr>
            <w:tcW w:w="3235" w:type="dxa"/>
            <w:tcBorders>
              <w:top w:val="single" w:sz="4" w:space="0" w:color="auto"/>
              <w:left w:val="single" w:sz="4" w:space="0" w:color="auto"/>
              <w:bottom w:val="single" w:sz="4" w:space="0" w:color="auto"/>
            </w:tcBorders>
          </w:tcPr>
          <w:p w14:paraId="539B9913" w14:textId="77777777" w:rsidR="003410F4" w:rsidRDefault="00870C3D" w:rsidP="00BC38A7">
            <w:pPr>
              <w:jc w:val="both"/>
              <w:rPr>
                <w:bCs/>
              </w:rPr>
            </w:pPr>
            <w:r>
              <w:rPr>
                <w:bCs/>
              </w:rPr>
              <w:t>Precizēts MK noteikumu Nr.678 26.punkts šādā redakcijā:</w:t>
            </w:r>
          </w:p>
          <w:p w14:paraId="134C60C5" w14:textId="7234464C" w:rsidR="00870C3D" w:rsidRPr="009A2B1C" w:rsidRDefault="00870C3D" w:rsidP="00870C3D">
            <w:pPr>
              <w:jc w:val="both"/>
              <w:rPr>
                <w:szCs w:val="24"/>
              </w:rPr>
            </w:pPr>
            <w:r>
              <w:rPr>
                <w:szCs w:val="24"/>
              </w:rPr>
              <w:t>“</w:t>
            </w:r>
            <w:r w:rsidRPr="009A2B1C">
              <w:rPr>
                <w:szCs w:val="24"/>
              </w:rPr>
              <w:t xml:space="preserve">26. Datus par </w:t>
            </w:r>
            <w:r w:rsidRPr="00870C3D">
              <w:rPr>
                <w:i/>
                <w:iCs/>
                <w:szCs w:val="24"/>
              </w:rPr>
              <w:t>de minimis</w:t>
            </w:r>
            <w:r w:rsidRPr="009A2B1C">
              <w:rPr>
                <w:szCs w:val="24"/>
              </w:rPr>
              <w:t xml:space="preserve"> atbalsta piešķiršanu finansējuma saņēmējs un atbalsta saņēmējs uzglabā saskaņā ar regulas Nr. </w:t>
            </w:r>
            <w:hyperlink r:id="rId8" w:tgtFrame="_blank" w:history="1">
              <w:r w:rsidRPr="009A2B1C">
                <w:rPr>
                  <w:szCs w:val="24"/>
                </w:rPr>
                <w:t>1407/2013</w:t>
              </w:r>
            </w:hyperlink>
            <w:r w:rsidRPr="009A2B1C">
              <w:rPr>
                <w:szCs w:val="24"/>
              </w:rPr>
              <w:t xml:space="preserve"> 6. panta 4. punktu vai regulas Nr. </w:t>
            </w:r>
            <w:hyperlink r:id="rId9" w:tgtFrame="_blank" w:history="1">
              <w:r w:rsidRPr="009A2B1C">
                <w:rPr>
                  <w:szCs w:val="24"/>
                </w:rPr>
                <w:t>1408/2013</w:t>
              </w:r>
            </w:hyperlink>
            <w:r w:rsidRPr="009A2B1C">
              <w:rPr>
                <w:szCs w:val="24"/>
              </w:rPr>
              <w:t xml:space="preserve"> 6. panta 4. punktu, vai regulas Nr. </w:t>
            </w:r>
            <w:hyperlink r:id="rId10" w:tgtFrame="_blank" w:history="1">
              <w:r w:rsidRPr="009A2B1C">
                <w:rPr>
                  <w:szCs w:val="24"/>
                </w:rPr>
                <w:t>717/2014</w:t>
              </w:r>
            </w:hyperlink>
            <w:r w:rsidRPr="009A2B1C">
              <w:rPr>
                <w:szCs w:val="24"/>
              </w:rPr>
              <w:t xml:space="preserve"> 6. panta 4. punktu.</w:t>
            </w:r>
            <w:r>
              <w:rPr>
                <w:szCs w:val="24"/>
              </w:rPr>
              <w:t>”</w:t>
            </w:r>
          </w:p>
          <w:p w14:paraId="15B7E410" w14:textId="3D03BDF8" w:rsidR="00870C3D" w:rsidRDefault="00870C3D" w:rsidP="00BC38A7">
            <w:pPr>
              <w:jc w:val="both"/>
            </w:pPr>
          </w:p>
        </w:tc>
      </w:tr>
      <w:tr w:rsidR="00E379D9" w:rsidRPr="007E6672" w14:paraId="6427E3D1"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9DF0BC6" w14:textId="77777777" w:rsidR="00E379D9" w:rsidRPr="007E6672" w:rsidRDefault="00E379D9"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CD3A37E" w14:textId="6E0D28F5" w:rsidR="00E379D9" w:rsidRPr="0046799D" w:rsidRDefault="00F0634D" w:rsidP="000453E8">
            <w:pPr>
              <w:pStyle w:val="naisc"/>
              <w:spacing w:before="0" w:after="0"/>
              <w:jc w:val="both"/>
            </w:pPr>
            <w:r>
              <w:t>A</w:t>
            </w:r>
            <w:r w:rsidRPr="009B6DB2">
              <w:t xml:space="preserve">notācijas I. sadaļas “Tiesību akta projekta </w:t>
            </w:r>
            <w:r w:rsidRPr="009B6DB2">
              <w:lastRenderedPageBreak/>
              <w:t>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703AD603" w14:textId="77777777" w:rsidR="00E379D9" w:rsidRDefault="00E379D9" w:rsidP="00E379D9">
            <w:pPr>
              <w:pStyle w:val="naisc"/>
              <w:spacing w:before="0" w:after="0"/>
              <w:jc w:val="both"/>
              <w:rPr>
                <w:b/>
              </w:rPr>
            </w:pPr>
            <w:r w:rsidRPr="003410F4">
              <w:rPr>
                <w:b/>
              </w:rPr>
              <w:lastRenderedPageBreak/>
              <w:t>Finanšu ministrijas 04.03.2020. atzinums</w:t>
            </w:r>
          </w:p>
          <w:p w14:paraId="4E33D637" w14:textId="2879FC8A" w:rsidR="00E379D9" w:rsidRPr="00E379D9" w:rsidRDefault="00E379D9" w:rsidP="00D15F42">
            <w:pPr>
              <w:pStyle w:val="naisc"/>
              <w:spacing w:before="0" w:after="0"/>
              <w:jc w:val="both"/>
              <w:rPr>
                <w:bCs/>
              </w:rPr>
            </w:pPr>
            <w:r w:rsidRPr="00E379D9">
              <w:rPr>
                <w:bCs/>
              </w:rPr>
              <w:lastRenderedPageBreak/>
              <w:t>Saskaņā ar LIAA sniegto informāciju un aprēķiniem, lai nodrošinātu projekta Nr.3.2.1.2/16/l/001 nepārtrauktību līdz 2023.gada beigām, papildus projektā nepieciešams 7,4 milj. euro finansējums, kas tiks izlietots šādu darbību nodrošināšanai: LIAA organizētajām padziļinātajām konsultācijām Latvijas uzņēmumiem 2021.-2023.gadam – 1 milj. euro. Lūdzam konkretizēt minēto informāciju, ņemot vērā, ka LIAA norāda nepieciešamo sadali, lai nodrošinātu projekta nepārtrauktību atbalsta veidam, kas sākotnēji nav iekļauts noteikumos.</w:t>
            </w:r>
          </w:p>
        </w:tc>
        <w:tc>
          <w:tcPr>
            <w:tcW w:w="3827" w:type="dxa"/>
            <w:gridSpan w:val="2"/>
            <w:tcBorders>
              <w:top w:val="single" w:sz="6" w:space="0" w:color="000000"/>
              <w:left w:val="single" w:sz="6" w:space="0" w:color="000000"/>
              <w:bottom w:val="single" w:sz="6" w:space="0" w:color="000000"/>
              <w:right w:val="single" w:sz="6" w:space="0" w:color="000000"/>
            </w:tcBorders>
          </w:tcPr>
          <w:p w14:paraId="28DCA2B1" w14:textId="77777777" w:rsidR="00E379D9" w:rsidRDefault="00F0634D" w:rsidP="00543529">
            <w:pPr>
              <w:pStyle w:val="naisc"/>
              <w:spacing w:before="0" w:after="0"/>
              <w:rPr>
                <w:b/>
              </w:rPr>
            </w:pPr>
            <w:r w:rsidRPr="00E2241B">
              <w:rPr>
                <w:b/>
              </w:rPr>
              <w:lastRenderedPageBreak/>
              <w:t>Ņemts vērā</w:t>
            </w:r>
          </w:p>
          <w:p w14:paraId="35ADD3B9" w14:textId="22FA789C" w:rsidR="004C67B5" w:rsidRPr="00280B04" w:rsidRDefault="004C67B5" w:rsidP="00280B04">
            <w:pPr>
              <w:pStyle w:val="naisc"/>
              <w:spacing w:before="0" w:after="0"/>
              <w:jc w:val="both"/>
              <w:rPr>
                <w:bCs/>
              </w:rPr>
            </w:pPr>
            <w:r w:rsidRPr="00870C3D">
              <w:rPr>
                <w:bCs/>
              </w:rPr>
              <w:lastRenderedPageBreak/>
              <w:t>Skaidrojam, ka LIAA</w:t>
            </w:r>
            <w:r w:rsidR="00280B04" w:rsidRPr="00870C3D">
              <w:rPr>
                <w:bCs/>
              </w:rPr>
              <w:t xml:space="preserve"> un</w:t>
            </w:r>
            <w:r w:rsidRPr="00870C3D">
              <w:rPr>
                <w:bCs/>
              </w:rPr>
              <w:t xml:space="preserve"> Latvijas ārvalstu ekonomiskās pārstāvniecības jau no programmas sākuma </w:t>
            </w:r>
            <w:r w:rsidR="00E2241B" w:rsidRPr="00870C3D">
              <w:rPr>
                <w:bCs/>
              </w:rPr>
              <w:t xml:space="preserve">(2016.gada) </w:t>
            </w:r>
            <w:r w:rsidRPr="00870C3D">
              <w:rPr>
                <w:bCs/>
              </w:rPr>
              <w:t xml:space="preserve">sniedz komersantiem konsultācijas, kuru izmaksas tiek aprēķinātas atbilstoši LIAA apstiprinātajam cenrādim. Ņemot vērā LIAA pieredzi konsultāciju sniegšanā, t.sk. zinot katrai konsultācijai veltītās stundas, sagatavoto informācijas apjomu un izmaksas, </w:t>
            </w:r>
            <w:r w:rsidR="00E2241B" w:rsidRPr="00870C3D">
              <w:rPr>
                <w:bCs/>
              </w:rPr>
              <w:t xml:space="preserve">LIAA veica </w:t>
            </w:r>
            <w:r w:rsidRPr="00870C3D">
              <w:rPr>
                <w:bCs/>
              </w:rPr>
              <w:t>aprēķin</w:t>
            </w:r>
            <w:r w:rsidR="00E2241B" w:rsidRPr="00870C3D">
              <w:rPr>
                <w:bCs/>
              </w:rPr>
              <w:t>u</w:t>
            </w:r>
            <w:r w:rsidRPr="00870C3D">
              <w:rPr>
                <w:bCs/>
              </w:rPr>
              <w:t xml:space="preserve">, </w:t>
            </w:r>
            <w:r w:rsidR="00E2241B" w:rsidRPr="00870C3D">
              <w:rPr>
                <w:bCs/>
              </w:rPr>
              <w:t xml:space="preserve">pieņemot, </w:t>
            </w:r>
            <w:r w:rsidRPr="00870C3D">
              <w:rPr>
                <w:bCs/>
              </w:rPr>
              <w:t xml:space="preserve">ka </w:t>
            </w:r>
            <w:r w:rsidR="00E2241B" w:rsidRPr="00870C3D">
              <w:rPr>
                <w:bCs/>
              </w:rPr>
              <w:t xml:space="preserve">papildus vienkāršajām konsultācijām, </w:t>
            </w:r>
            <w:r w:rsidR="00280B04" w:rsidRPr="00870C3D">
              <w:rPr>
                <w:bCs/>
              </w:rPr>
              <w:t xml:space="preserve">gadā </w:t>
            </w:r>
            <w:r w:rsidRPr="00870C3D">
              <w:rPr>
                <w:bCs/>
              </w:rPr>
              <w:t xml:space="preserve">tiks pieprasītas </w:t>
            </w:r>
            <w:r w:rsidR="00E2241B" w:rsidRPr="00870C3D">
              <w:rPr>
                <w:bCs/>
              </w:rPr>
              <w:t xml:space="preserve">vēl </w:t>
            </w:r>
            <w:r w:rsidRPr="00870C3D">
              <w:rPr>
                <w:bCs/>
              </w:rPr>
              <w:t>vidēji 200 padziļinātās konsultācijas</w:t>
            </w:r>
            <w:r w:rsidR="00E2241B" w:rsidRPr="00870C3D">
              <w:rPr>
                <w:bCs/>
              </w:rPr>
              <w:t>.</w:t>
            </w:r>
            <w:r w:rsidR="00280B04" w:rsidRPr="00870C3D">
              <w:rPr>
                <w:bCs/>
              </w:rPr>
              <w:t xml:space="preserve"> </w:t>
            </w:r>
            <w:r w:rsidR="00D27F83" w:rsidRPr="00870C3D">
              <w:rPr>
                <w:bCs/>
              </w:rPr>
              <w:t>Vēršam uzmanību</w:t>
            </w:r>
            <w:r w:rsidR="00280B04" w:rsidRPr="00870C3D">
              <w:rPr>
                <w:bCs/>
              </w:rPr>
              <w:t xml:space="preserve">, ka norādītais </w:t>
            </w:r>
            <w:r w:rsidR="00870C3D" w:rsidRPr="00870C3D">
              <w:rPr>
                <w:bCs/>
              </w:rPr>
              <w:t>finansējums</w:t>
            </w:r>
            <w:r w:rsidR="00280B04" w:rsidRPr="00870C3D">
              <w:rPr>
                <w:bCs/>
              </w:rPr>
              <w:t xml:space="preserve"> ir par 3 gadu laika posmu (no 2021.-2023.gadam).</w:t>
            </w:r>
          </w:p>
        </w:tc>
        <w:tc>
          <w:tcPr>
            <w:tcW w:w="3235" w:type="dxa"/>
            <w:tcBorders>
              <w:top w:val="single" w:sz="4" w:space="0" w:color="auto"/>
              <w:left w:val="single" w:sz="4" w:space="0" w:color="auto"/>
              <w:bottom w:val="single" w:sz="4" w:space="0" w:color="auto"/>
            </w:tcBorders>
          </w:tcPr>
          <w:p w14:paraId="68A02E94" w14:textId="34CED4AD" w:rsidR="00E379D9" w:rsidRPr="0046799D" w:rsidRDefault="00E379D9" w:rsidP="0046799D">
            <w:pPr>
              <w:jc w:val="both"/>
              <w:rPr>
                <w:highlight w:val="yellow"/>
              </w:rPr>
            </w:pPr>
          </w:p>
        </w:tc>
      </w:tr>
      <w:tr w:rsidR="0053127B" w:rsidRPr="007E6672" w14:paraId="5F792AEA"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A524D2B" w14:textId="77777777" w:rsidR="0053127B" w:rsidRPr="007E6672" w:rsidRDefault="0053127B"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26758C3" w14:textId="407B016A" w:rsidR="0053127B" w:rsidRDefault="0053127B" w:rsidP="000453E8">
            <w:pPr>
              <w:pStyle w:val="naisc"/>
              <w:spacing w:before="0" w:after="0"/>
              <w:jc w:val="both"/>
            </w:pPr>
            <w:r w:rsidRPr="0053127B">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1800F79D" w14:textId="77777777" w:rsidR="0053127B" w:rsidRDefault="0053127B" w:rsidP="00E379D9">
            <w:pPr>
              <w:pStyle w:val="naisc"/>
              <w:spacing w:before="0" w:after="0"/>
              <w:jc w:val="both"/>
              <w:rPr>
                <w:b/>
              </w:rPr>
            </w:pPr>
            <w:r w:rsidRPr="0053127B">
              <w:rPr>
                <w:b/>
              </w:rPr>
              <w:t>Finanšu ministrijas 04.03.2020. atzinums</w:t>
            </w:r>
          </w:p>
          <w:p w14:paraId="01C5317F" w14:textId="41183E2D" w:rsidR="0053127B" w:rsidRPr="0053127B" w:rsidRDefault="0053127B" w:rsidP="00E379D9">
            <w:pPr>
              <w:pStyle w:val="naisc"/>
              <w:spacing w:before="0" w:after="0"/>
              <w:jc w:val="both"/>
              <w:rPr>
                <w:bCs/>
              </w:rPr>
            </w:pPr>
            <w:r w:rsidRPr="0053127B">
              <w:rPr>
                <w:bCs/>
              </w:rPr>
              <w:t xml:space="preserve">Anotācijas I. sadaļas 2. punktā (2. lapaspusē) pie situācijas un problēmas apraksta tiek minēts nepietiekošs grantu finansējums, lai nodrošinātu pasākuma mērķa grupas subjektiem atbalsta sniegšanu, kas iepriekš rezultējās ar maksājumu pieprasījuma iesniegšanas apturēšanu, kā arī tiek minēts, ka: “Neskatoties uz to, ka no 2020.gada 1.marta grantu finansējums vairs nebūs pieejams, ar MK Noteikumu projektu tiek paredzēts, ka pasākuma mērķa grupas subjekti arī turpmāk varēs saņemt atbalstu </w:t>
            </w:r>
            <w:r w:rsidRPr="0053127B">
              <w:rPr>
                <w:bCs/>
              </w:rPr>
              <w:lastRenderedPageBreak/>
              <w:t>LIAA organizētajos pasākumos.” Attiecīgi kā risinājumu EM ierosina primāri nodrošināt LIAA sniegto pakalpojumu nepārtrauktību un ar MK noteikumu projektu paredzēt, ka grantu atbalsts pasākuma mērķa grupas subjektiem tiek aizstāts (kompensēts) ar LIAA padziļinātajām konsultācijām, kas sekmēs mērķtiecīgāku un lietderīgāku eksporta tirgu apguvi un ļaus efektīvāk izmantot valsts atbalsta līdzekļus. Lūdzam papildināt minēto informāciju, norādot apsvērumus, kādēļ prasītais finansējums grantiem tiek novirzīts uz padziļinātām konsultācijām.</w:t>
            </w:r>
          </w:p>
        </w:tc>
        <w:tc>
          <w:tcPr>
            <w:tcW w:w="3827" w:type="dxa"/>
            <w:gridSpan w:val="2"/>
            <w:tcBorders>
              <w:top w:val="single" w:sz="6" w:space="0" w:color="000000"/>
              <w:left w:val="single" w:sz="6" w:space="0" w:color="000000"/>
              <w:bottom w:val="single" w:sz="6" w:space="0" w:color="000000"/>
              <w:right w:val="single" w:sz="6" w:space="0" w:color="000000"/>
            </w:tcBorders>
          </w:tcPr>
          <w:p w14:paraId="0306DCFC" w14:textId="77777777" w:rsidR="0053127B" w:rsidRDefault="0053127B" w:rsidP="00543529">
            <w:pPr>
              <w:pStyle w:val="naisc"/>
              <w:spacing w:before="0" w:after="0"/>
              <w:rPr>
                <w:b/>
              </w:rPr>
            </w:pPr>
            <w:r w:rsidRPr="00BC38A7">
              <w:rPr>
                <w:b/>
              </w:rPr>
              <w:lastRenderedPageBreak/>
              <w:t>Ņemts vērā</w:t>
            </w:r>
          </w:p>
          <w:p w14:paraId="050883F9" w14:textId="1B474092" w:rsidR="00035905" w:rsidRPr="00035905" w:rsidRDefault="00AB797B" w:rsidP="00035905">
            <w:pPr>
              <w:pStyle w:val="naisc"/>
              <w:spacing w:before="0" w:after="0"/>
              <w:jc w:val="both"/>
              <w:rPr>
                <w:bCs/>
              </w:rPr>
            </w:pPr>
            <w:r>
              <w:rPr>
                <w:bCs/>
              </w:rPr>
              <w:t xml:space="preserve">Ņemot vērā </w:t>
            </w:r>
            <w:r w:rsidR="001941E3">
              <w:rPr>
                <w:bCs/>
              </w:rPr>
              <w:t xml:space="preserve">pasākumam </w:t>
            </w:r>
            <w:r>
              <w:rPr>
                <w:bCs/>
              </w:rPr>
              <w:t>papildus pārdalīto</w:t>
            </w:r>
            <w:r w:rsidR="001941E3">
              <w:rPr>
                <w:bCs/>
              </w:rPr>
              <w:t xml:space="preserve"> ERAF</w:t>
            </w:r>
            <w:r>
              <w:rPr>
                <w:bCs/>
              </w:rPr>
              <w:t xml:space="preserve"> summu, papildus finansējums tiek novirzīts arī grantu programmai.</w:t>
            </w:r>
          </w:p>
        </w:tc>
        <w:tc>
          <w:tcPr>
            <w:tcW w:w="3235" w:type="dxa"/>
            <w:tcBorders>
              <w:top w:val="single" w:sz="4" w:space="0" w:color="auto"/>
              <w:left w:val="single" w:sz="4" w:space="0" w:color="auto"/>
              <w:bottom w:val="single" w:sz="4" w:space="0" w:color="auto"/>
            </w:tcBorders>
          </w:tcPr>
          <w:p w14:paraId="32BB88BB" w14:textId="1890129E" w:rsidR="0053127B" w:rsidRPr="00F0634D" w:rsidRDefault="0053127B" w:rsidP="0046799D">
            <w:pPr>
              <w:jc w:val="both"/>
              <w:rPr>
                <w:highlight w:val="yellow"/>
              </w:rPr>
            </w:pPr>
            <w:r w:rsidRPr="0053127B">
              <w:t>Papildināts Anotācijas I. sadaļas “Tiesību akta projekta izstrādes nepieciešamība” 2. punkts “Pašreizējā situācija un problēmas, kuru risināšanai tiesību akta projekts izstrādāts, tiesiskā regulējuma mērķis un būtība”</w:t>
            </w:r>
          </w:p>
        </w:tc>
      </w:tr>
      <w:tr w:rsidR="00484C9B" w:rsidRPr="007E6672" w14:paraId="61AB78D3"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4DB36A0" w14:textId="77777777" w:rsidR="00484C9B" w:rsidRPr="007E6672" w:rsidRDefault="00484C9B"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8CB6108" w14:textId="2AF0FEE8" w:rsidR="00484C9B" w:rsidRPr="0053127B" w:rsidRDefault="00484C9B" w:rsidP="000453E8">
            <w:pPr>
              <w:pStyle w:val="naisc"/>
              <w:spacing w:before="0" w:after="0"/>
              <w:jc w:val="both"/>
            </w:pPr>
            <w:r w:rsidRPr="0053127B">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267E4807" w14:textId="77777777" w:rsidR="00484C9B" w:rsidRDefault="00484C9B" w:rsidP="00E379D9">
            <w:pPr>
              <w:pStyle w:val="naisc"/>
              <w:spacing w:before="0" w:after="0"/>
              <w:jc w:val="both"/>
              <w:rPr>
                <w:b/>
              </w:rPr>
            </w:pPr>
            <w:r w:rsidRPr="00484C9B">
              <w:rPr>
                <w:b/>
              </w:rPr>
              <w:t>Finanšu ministrijas 04.03.2020. atzinums</w:t>
            </w:r>
          </w:p>
          <w:p w14:paraId="6D563FA1" w14:textId="260EF29D" w:rsidR="00484C9B" w:rsidRPr="00484C9B" w:rsidRDefault="00484C9B" w:rsidP="00E379D9">
            <w:pPr>
              <w:pStyle w:val="naisc"/>
              <w:spacing w:before="0" w:after="0"/>
              <w:jc w:val="both"/>
              <w:rPr>
                <w:bCs/>
              </w:rPr>
            </w:pPr>
            <w:r w:rsidRPr="00484C9B">
              <w:rPr>
                <w:bCs/>
              </w:rPr>
              <w:t>Lai nodrošinātu korektu izpratni par atbalsta piešķiršanas termiņiem, lūdzam pārskatīt un precizēt MK noteikumu projekta anotācijas I.sadaļas 2. punktā ietvertos skaidrojumus, lai tiktu ievērots MK noteikumu Nr. 678 27. punktā noteiktais atbalsta piešķiršanas gala termiņš.</w:t>
            </w:r>
          </w:p>
        </w:tc>
        <w:tc>
          <w:tcPr>
            <w:tcW w:w="3827" w:type="dxa"/>
            <w:gridSpan w:val="2"/>
            <w:tcBorders>
              <w:top w:val="single" w:sz="6" w:space="0" w:color="000000"/>
              <w:left w:val="single" w:sz="6" w:space="0" w:color="000000"/>
              <w:bottom w:val="single" w:sz="6" w:space="0" w:color="000000"/>
              <w:right w:val="single" w:sz="6" w:space="0" w:color="000000"/>
            </w:tcBorders>
          </w:tcPr>
          <w:p w14:paraId="0007AEFC" w14:textId="77777777" w:rsidR="00484C9B" w:rsidRDefault="00484C9B" w:rsidP="00543529">
            <w:pPr>
              <w:pStyle w:val="naisc"/>
              <w:spacing w:before="0" w:after="0"/>
              <w:rPr>
                <w:b/>
              </w:rPr>
            </w:pPr>
            <w:r w:rsidRPr="00FA5264">
              <w:rPr>
                <w:b/>
              </w:rPr>
              <w:t>Ņemts vērā</w:t>
            </w:r>
          </w:p>
          <w:p w14:paraId="20D3E785" w14:textId="49001262" w:rsidR="00484C9B" w:rsidRPr="00FA5264" w:rsidRDefault="00484C9B" w:rsidP="00AB797B">
            <w:pPr>
              <w:pStyle w:val="naisc"/>
              <w:spacing w:before="0" w:after="0"/>
              <w:rPr>
                <w:bCs/>
              </w:rPr>
            </w:pPr>
          </w:p>
        </w:tc>
        <w:tc>
          <w:tcPr>
            <w:tcW w:w="3235" w:type="dxa"/>
            <w:tcBorders>
              <w:top w:val="single" w:sz="4" w:space="0" w:color="auto"/>
              <w:left w:val="single" w:sz="4" w:space="0" w:color="auto"/>
              <w:bottom w:val="single" w:sz="4" w:space="0" w:color="auto"/>
            </w:tcBorders>
          </w:tcPr>
          <w:p w14:paraId="609BF400" w14:textId="77777777" w:rsidR="00484C9B" w:rsidRDefault="00AB797B" w:rsidP="00FA5264">
            <w:pPr>
              <w:jc w:val="both"/>
              <w:rPr>
                <w:bCs/>
              </w:rPr>
            </w:pPr>
            <w:r>
              <w:rPr>
                <w:bCs/>
              </w:rPr>
              <w:t>Precizēts MK noteikumu Nr.678 27.punkts šādā redakcijā:</w:t>
            </w:r>
          </w:p>
          <w:p w14:paraId="487F79AA" w14:textId="601512F9" w:rsidR="00AB797B" w:rsidRPr="009A2B1C" w:rsidRDefault="00AB797B" w:rsidP="00AB797B">
            <w:pPr>
              <w:jc w:val="both"/>
              <w:rPr>
                <w:szCs w:val="24"/>
              </w:rPr>
            </w:pPr>
            <w:r>
              <w:rPr>
                <w:szCs w:val="24"/>
              </w:rPr>
              <w:t>“</w:t>
            </w:r>
            <w:r w:rsidRPr="009A2B1C">
              <w:rPr>
                <w:szCs w:val="24"/>
              </w:rPr>
              <w:t xml:space="preserve">27. Lēmumu par </w:t>
            </w:r>
            <w:r w:rsidRPr="00AB797B">
              <w:rPr>
                <w:i/>
                <w:iCs/>
                <w:szCs w:val="24"/>
              </w:rPr>
              <w:t>de minimis</w:t>
            </w:r>
            <w:r w:rsidRPr="009A2B1C">
              <w:rPr>
                <w:szCs w:val="24"/>
              </w:rPr>
              <w:t xml:space="preserve"> atbalsta piešķiršanu var pieņemt saskaņā ar regulas Nr. 1407/2013 7. panta 4. punktu un 8. pantu, regulas Nr. 1408/2013 7. panta 4. punktu un 8. pantu vai regulas Nr. 717/2014 7. panta 4. punktu un 8. pantu līdz šo regulu darbības beigām."</w:t>
            </w:r>
          </w:p>
          <w:p w14:paraId="7C659FAC" w14:textId="236479A8" w:rsidR="00AB797B" w:rsidRPr="0053127B" w:rsidRDefault="00AB797B" w:rsidP="00FA5264">
            <w:pPr>
              <w:jc w:val="both"/>
            </w:pPr>
          </w:p>
        </w:tc>
      </w:tr>
      <w:tr w:rsidR="00207E7A" w:rsidRPr="007E6672" w14:paraId="6AF6C6FF"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173980D" w14:textId="77777777" w:rsidR="00207E7A" w:rsidRPr="007E6672" w:rsidRDefault="00207E7A"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A9D17F7" w14:textId="65E2AB94" w:rsidR="00207E7A" w:rsidRPr="0053127B" w:rsidRDefault="00207E7A" w:rsidP="000453E8">
            <w:pPr>
              <w:pStyle w:val="naisc"/>
              <w:spacing w:before="0" w:after="0"/>
              <w:jc w:val="both"/>
            </w:pPr>
            <w:r>
              <w:t>Anotācijas III. sadaļa "Tiesību akta projekta ietekme uz valsts budžetu un pašvaldību budžetiem"</w:t>
            </w:r>
          </w:p>
        </w:tc>
        <w:tc>
          <w:tcPr>
            <w:tcW w:w="4253" w:type="dxa"/>
            <w:tcBorders>
              <w:top w:val="single" w:sz="6" w:space="0" w:color="000000"/>
              <w:left w:val="single" w:sz="6" w:space="0" w:color="000000"/>
              <w:bottom w:val="single" w:sz="6" w:space="0" w:color="000000"/>
              <w:right w:val="single" w:sz="6" w:space="0" w:color="000000"/>
            </w:tcBorders>
          </w:tcPr>
          <w:p w14:paraId="3ADD22C5" w14:textId="77777777" w:rsidR="00207E7A" w:rsidRDefault="00207E7A" w:rsidP="00207E7A">
            <w:pPr>
              <w:pStyle w:val="naisc"/>
              <w:spacing w:before="0" w:after="0"/>
              <w:jc w:val="both"/>
              <w:rPr>
                <w:b/>
              </w:rPr>
            </w:pPr>
            <w:r w:rsidRPr="00484C9B">
              <w:rPr>
                <w:b/>
              </w:rPr>
              <w:t>Finanšu ministrijas 04.03.2020. atzinums</w:t>
            </w:r>
          </w:p>
          <w:p w14:paraId="77AD58A3" w14:textId="23766794" w:rsidR="00207E7A" w:rsidRPr="00207E7A" w:rsidRDefault="00207E7A" w:rsidP="00E379D9">
            <w:pPr>
              <w:pStyle w:val="naisc"/>
              <w:spacing w:before="0" w:after="0"/>
              <w:jc w:val="both"/>
              <w:rPr>
                <w:bCs/>
              </w:rPr>
            </w:pPr>
            <w:r w:rsidRPr="00207E7A">
              <w:rPr>
                <w:bCs/>
              </w:rPr>
              <w:t xml:space="preserve">Ņemot vērā, ka MK noteikumu projekts paredz palielināt 3.2.1.2. pasākumam </w:t>
            </w:r>
            <w:r w:rsidRPr="00207E7A">
              <w:rPr>
                <w:bCs/>
              </w:rPr>
              <w:lastRenderedPageBreak/>
              <w:t>paredzēto kopējo finansējumu 4 milj. euro apmērā, pārdalot to no 3.1.1.6. pasākuma "Reģionālie biznesa inkubatori un radošo industriju inkubators", nepieciešams aizpildīt anotācijas III. sadaļu "Tiesību akta projekta ietekme uz valsts budžetu un pašvaldību budžetiem" atbilstoši Ministru kabineta 2009. gada 15. decembra instrukcijas Nr. 19 “Tiesību akta projekta sākotnējās ietekmes izvērtēšanas kārtība” prasībām, norādot EM budžetā 2020.gadam un turpmākajiem gadiem paredzēto finansējumu, kā arī palielinātā finansējuma apmēru konkrētajos gados.</w:t>
            </w:r>
          </w:p>
        </w:tc>
        <w:tc>
          <w:tcPr>
            <w:tcW w:w="3827" w:type="dxa"/>
            <w:gridSpan w:val="2"/>
            <w:tcBorders>
              <w:top w:val="single" w:sz="6" w:space="0" w:color="000000"/>
              <w:left w:val="single" w:sz="6" w:space="0" w:color="000000"/>
              <w:bottom w:val="single" w:sz="6" w:space="0" w:color="000000"/>
              <w:right w:val="single" w:sz="6" w:space="0" w:color="000000"/>
            </w:tcBorders>
          </w:tcPr>
          <w:p w14:paraId="502E536F" w14:textId="53BA38E5" w:rsidR="00207E7A" w:rsidRPr="000E0582" w:rsidRDefault="00207E7A" w:rsidP="00543529">
            <w:pPr>
              <w:pStyle w:val="naisc"/>
              <w:spacing w:before="0" w:after="0"/>
              <w:rPr>
                <w:b/>
              </w:rPr>
            </w:pPr>
            <w:r w:rsidRPr="000E0582">
              <w:rPr>
                <w:b/>
              </w:rPr>
              <w:lastRenderedPageBreak/>
              <w:t>Ņemts vērā</w:t>
            </w:r>
          </w:p>
        </w:tc>
        <w:tc>
          <w:tcPr>
            <w:tcW w:w="3235" w:type="dxa"/>
            <w:tcBorders>
              <w:top w:val="single" w:sz="4" w:space="0" w:color="auto"/>
              <w:left w:val="single" w:sz="4" w:space="0" w:color="auto"/>
              <w:bottom w:val="single" w:sz="4" w:space="0" w:color="auto"/>
            </w:tcBorders>
          </w:tcPr>
          <w:p w14:paraId="1C43AAA9" w14:textId="3FBE6FA8" w:rsidR="00207E7A" w:rsidRPr="000E0582" w:rsidRDefault="00207E7A" w:rsidP="0046799D">
            <w:pPr>
              <w:jc w:val="both"/>
              <w:rPr>
                <w:b/>
              </w:rPr>
            </w:pPr>
            <w:r w:rsidRPr="000E0582">
              <w:t>A</w:t>
            </w:r>
            <w:r w:rsidRPr="000E0582">
              <w:rPr>
                <w:szCs w:val="24"/>
              </w:rPr>
              <w:t>notācija papildināta ar III. sadaļ</w:t>
            </w:r>
            <w:r w:rsidRPr="000E0582">
              <w:t>u</w:t>
            </w:r>
            <w:r w:rsidRPr="000E0582">
              <w:rPr>
                <w:szCs w:val="24"/>
              </w:rPr>
              <w:t xml:space="preserve"> "Tiesību akta projekta ietekme uz valsts budžetu un pašvaldību budžetiem"</w:t>
            </w:r>
          </w:p>
        </w:tc>
      </w:tr>
      <w:tr w:rsidR="00CB16DC" w:rsidRPr="007E6672" w14:paraId="593F44BD"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5485526" w14:textId="77777777" w:rsidR="00CB16DC" w:rsidRPr="007E6672" w:rsidRDefault="00CB16DC"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2F77CC1" w14:textId="18731B01" w:rsidR="00CB16DC" w:rsidRDefault="00D73D51" w:rsidP="000453E8">
            <w:pPr>
              <w:pStyle w:val="naisc"/>
              <w:spacing w:before="0" w:after="0"/>
              <w:jc w:val="both"/>
            </w:pPr>
            <w:r w:rsidRPr="00D73D51">
              <w:t>Vispārīgs iebildums</w:t>
            </w:r>
          </w:p>
        </w:tc>
        <w:tc>
          <w:tcPr>
            <w:tcW w:w="4253" w:type="dxa"/>
            <w:tcBorders>
              <w:top w:val="single" w:sz="6" w:space="0" w:color="000000"/>
              <w:left w:val="single" w:sz="6" w:space="0" w:color="000000"/>
              <w:bottom w:val="single" w:sz="6" w:space="0" w:color="000000"/>
              <w:right w:val="single" w:sz="6" w:space="0" w:color="000000"/>
            </w:tcBorders>
          </w:tcPr>
          <w:p w14:paraId="040FE21D" w14:textId="70EF3F86" w:rsidR="00CB16DC" w:rsidRDefault="00CB16DC" w:rsidP="00207E7A">
            <w:pPr>
              <w:pStyle w:val="naisc"/>
              <w:spacing w:before="0" w:after="0"/>
              <w:jc w:val="both"/>
              <w:rPr>
                <w:b/>
              </w:rPr>
            </w:pPr>
            <w:r w:rsidRPr="00CB16DC">
              <w:rPr>
                <w:b/>
              </w:rPr>
              <w:t>Latvijas Ķīmijas un farmācijas uzņēmēju asociācija</w:t>
            </w:r>
            <w:r>
              <w:rPr>
                <w:b/>
              </w:rPr>
              <w:t xml:space="preserve">s </w:t>
            </w:r>
            <w:r w:rsidRPr="00CB16DC">
              <w:rPr>
                <w:b/>
              </w:rPr>
              <w:t>0</w:t>
            </w:r>
            <w:r>
              <w:rPr>
                <w:b/>
              </w:rPr>
              <w:t>6</w:t>
            </w:r>
            <w:r w:rsidRPr="00CB16DC">
              <w:rPr>
                <w:b/>
              </w:rPr>
              <w:t>.03.2020. atzinums</w:t>
            </w:r>
          </w:p>
          <w:p w14:paraId="2564F663" w14:textId="0C2ACAA7" w:rsidR="00D03EC5" w:rsidRDefault="00D03EC5" w:rsidP="00207E7A">
            <w:pPr>
              <w:pStyle w:val="naisc"/>
              <w:spacing w:before="0" w:after="0"/>
              <w:jc w:val="both"/>
              <w:rPr>
                <w:b/>
              </w:rPr>
            </w:pPr>
            <w:r w:rsidRPr="00D03EC5">
              <w:rPr>
                <w:b/>
              </w:rPr>
              <w:t>Biedrības “Zaļo un Viedo Tehnoloģiju Klasteris” 06.03.2020. atzinums</w:t>
            </w:r>
          </w:p>
          <w:p w14:paraId="60AD1CE4" w14:textId="64B090E2" w:rsidR="00FB35F7" w:rsidRDefault="00FB35F7" w:rsidP="00207E7A">
            <w:pPr>
              <w:pStyle w:val="naisc"/>
              <w:spacing w:before="0" w:after="0"/>
              <w:jc w:val="both"/>
              <w:rPr>
                <w:b/>
              </w:rPr>
            </w:pPr>
            <w:r w:rsidRPr="00FB35F7">
              <w:rPr>
                <w:b/>
              </w:rPr>
              <w:t>Latvijas Elektrotehnikas un elektronikas rūpniecības asociācija</w:t>
            </w:r>
            <w:r>
              <w:rPr>
                <w:b/>
              </w:rPr>
              <w:t xml:space="preserve">s </w:t>
            </w:r>
            <w:r w:rsidRPr="00FB35F7">
              <w:rPr>
                <w:b/>
              </w:rPr>
              <w:t>06.03.2020. atzinums</w:t>
            </w:r>
          </w:p>
          <w:p w14:paraId="32B35BA7" w14:textId="49650F6D" w:rsidR="007E65E1" w:rsidRDefault="007A2987" w:rsidP="00207E7A">
            <w:pPr>
              <w:pStyle w:val="naisc"/>
              <w:spacing w:before="0" w:after="0"/>
              <w:jc w:val="both"/>
              <w:rPr>
                <w:b/>
              </w:rPr>
            </w:pPr>
            <w:r w:rsidRPr="007A2987">
              <w:rPr>
                <w:b/>
              </w:rPr>
              <w:t>Latvijas Pārtikas uzņēmumu federācija</w:t>
            </w:r>
            <w:r>
              <w:rPr>
                <w:b/>
              </w:rPr>
              <w:t xml:space="preserve">s </w:t>
            </w:r>
            <w:r w:rsidRPr="007A2987">
              <w:rPr>
                <w:b/>
              </w:rPr>
              <w:t>0</w:t>
            </w:r>
            <w:r>
              <w:rPr>
                <w:b/>
              </w:rPr>
              <w:t>5</w:t>
            </w:r>
            <w:r w:rsidRPr="007A2987">
              <w:rPr>
                <w:b/>
              </w:rPr>
              <w:t>.03.2020. atzinums</w:t>
            </w:r>
          </w:p>
          <w:p w14:paraId="450D9912" w14:textId="00C3882D" w:rsidR="00A408E4" w:rsidRDefault="00A408E4" w:rsidP="00207E7A">
            <w:pPr>
              <w:pStyle w:val="naisc"/>
              <w:spacing w:before="0" w:after="0"/>
              <w:jc w:val="both"/>
              <w:rPr>
                <w:b/>
              </w:rPr>
            </w:pPr>
            <w:r w:rsidRPr="00A408E4">
              <w:rPr>
                <w:b/>
              </w:rPr>
              <w:t>Mašīnbūves un metālapstrādes rūpniecības asociācija</w:t>
            </w:r>
            <w:r>
              <w:rPr>
                <w:b/>
              </w:rPr>
              <w:t xml:space="preserve">s </w:t>
            </w:r>
            <w:r w:rsidRPr="00A408E4">
              <w:rPr>
                <w:b/>
              </w:rPr>
              <w:t>0</w:t>
            </w:r>
            <w:r>
              <w:rPr>
                <w:b/>
              </w:rPr>
              <w:t>4</w:t>
            </w:r>
            <w:r w:rsidRPr="00A408E4">
              <w:rPr>
                <w:b/>
              </w:rPr>
              <w:t>.03.2020. atzinums</w:t>
            </w:r>
          </w:p>
          <w:p w14:paraId="684BDCD2" w14:textId="53EA6893" w:rsidR="002B4B71" w:rsidRDefault="002B4B71" w:rsidP="00207E7A">
            <w:pPr>
              <w:pStyle w:val="naisc"/>
              <w:spacing w:before="0" w:after="0"/>
              <w:jc w:val="both"/>
              <w:rPr>
                <w:b/>
              </w:rPr>
            </w:pPr>
            <w:r w:rsidRPr="002B4B71">
              <w:rPr>
                <w:b/>
              </w:rPr>
              <w:t>Latvijas Poligrāfijas uzņēmumu asociācija</w:t>
            </w:r>
            <w:r>
              <w:rPr>
                <w:b/>
              </w:rPr>
              <w:t xml:space="preserve">s </w:t>
            </w:r>
            <w:r w:rsidRPr="002B4B71">
              <w:rPr>
                <w:b/>
              </w:rPr>
              <w:t>0</w:t>
            </w:r>
            <w:r>
              <w:rPr>
                <w:b/>
              </w:rPr>
              <w:t>2</w:t>
            </w:r>
            <w:r w:rsidRPr="002B4B71">
              <w:rPr>
                <w:b/>
              </w:rPr>
              <w:t>.03.2020. atzinums</w:t>
            </w:r>
          </w:p>
          <w:p w14:paraId="7B79CBCE" w14:textId="72DCF87A" w:rsidR="007E100B" w:rsidRPr="007E100B" w:rsidRDefault="007E100B" w:rsidP="007E100B">
            <w:pPr>
              <w:pStyle w:val="naisc"/>
              <w:spacing w:before="0" w:after="0"/>
              <w:jc w:val="both"/>
              <w:rPr>
                <w:bCs/>
              </w:rPr>
            </w:pPr>
            <w:r w:rsidRPr="007E100B">
              <w:rPr>
                <w:bCs/>
              </w:rPr>
              <w:t>Aicinām</w:t>
            </w:r>
            <w:r w:rsidRPr="007E100B">
              <w:rPr>
                <w:bCs/>
              </w:rPr>
              <w:tab/>
              <w:t>LIAA</w:t>
            </w:r>
            <w:r w:rsidRPr="007E100B">
              <w:rPr>
                <w:bCs/>
              </w:rPr>
              <w:tab/>
              <w:t>funkciju</w:t>
            </w:r>
            <w:r>
              <w:rPr>
                <w:bCs/>
              </w:rPr>
              <w:t xml:space="preserve"> </w:t>
            </w:r>
            <w:r w:rsidRPr="007E100B">
              <w:rPr>
                <w:bCs/>
              </w:rPr>
              <w:t>(t.sk.</w:t>
            </w:r>
            <w:r>
              <w:rPr>
                <w:bCs/>
              </w:rPr>
              <w:t xml:space="preserve"> </w:t>
            </w:r>
            <w:r w:rsidRPr="007E100B">
              <w:rPr>
                <w:bCs/>
              </w:rPr>
              <w:t>ārvalstu</w:t>
            </w:r>
            <w:r w:rsidRPr="007E100B">
              <w:rPr>
                <w:bCs/>
              </w:rPr>
              <w:tab/>
              <w:t>pārstāvniecību)</w:t>
            </w:r>
            <w:r w:rsidR="00994900">
              <w:rPr>
                <w:bCs/>
              </w:rPr>
              <w:t xml:space="preserve"> </w:t>
            </w:r>
            <w:r w:rsidRPr="007E100B">
              <w:rPr>
                <w:bCs/>
              </w:rPr>
              <w:t>darbības</w:t>
            </w:r>
            <w:r w:rsidR="00994900">
              <w:rPr>
                <w:bCs/>
              </w:rPr>
              <w:t xml:space="preserve"> </w:t>
            </w:r>
            <w:r w:rsidRPr="007E100B">
              <w:rPr>
                <w:bCs/>
              </w:rPr>
              <w:t>nodrošināšanai</w:t>
            </w:r>
            <w:r w:rsidRPr="007E100B">
              <w:rPr>
                <w:bCs/>
              </w:rPr>
              <w:tab/>
            </w:r>
            <w:r w:rsidR="007E65E1">
              <w:rPr>
                <w:bCs/>
              </w:rPr>
              <w:t xml:space="preserve"> </w:t>
            </w:r>
            <w:r w:rsidRPr="007E100B">
              <w:rPr>
                <w:bCs/>
              </w:rPr>
              <w:t>paredzēt</w:t>
            </w:r>
            <w:r w:rsidRPr="007E100B">
              <w:rPr>
                <w:bCs/>
              </w:rPr>
              <w:tab/>
              <w:t>atbilstošu</w:t>
            </w:r>
            <w:r w:rsidR="007E65E1">
              <w:rPr>
                <w:bCs/>
              </w:rPr>
              <w:t xml:space="preserve"> </w:t>
            </w:r>
            <w:r w:rsidRPr="007E100B">
              <w:rPr>
                <w:bCs/>
              </w:rPr>
              <w:t>finansējumu</w:t>
            </w:r>
            <w:r w:rsidRPr="007E100B">
              <w:rPr>
                <w:bCs/>
              </w:rPr>
              <w:tab/>
              <w:t>valsts</w:t>
            </w:r>
            <w:r w:rsidRPr="007E100B">
              <w:rPr>
                <w:bCs/>
              </w:rPr>
              <w:tab/>
              <w:t>budžeta</w:t>
            </w:r>
            <w:r w:rsidR="00994900">
              <w:rPr>
                <w:bCs/>
              </w:rPr>
              <w:t xml:space="preserve"> </w:t>
            </w:r>
            <w:r w:rsidRPr="007E100B">
              <w:rPr>
                <w:bCs/>
              </w:rPr>
              <w:t>ietvaros</w:t>
            </w:r>
            <w:r w:rsidR="0011027A">
              <w:rPr>
                <w:bCs/>
              </w:rPr>
              <w:t xml:space="preserve"> </w:t>
            </w:r>
            <w:r w:rsidR="0011027A">
              <w:rPr>
                <w:bCs/>
              </w:rPr>
              <w:lastRenderedPageBreak/>
              <w:t>vai rast citu ilgtspējīgu finansēšanas avotu</w:t>
            </w:r>
            <w:r w:rsidRPr="007E100B">
              <w:rPr>
                <w:bCs/>
              </w:rPr>
              <w:t>;</w:t>
            </w:r>
          </w:p>
        </w:tc>
        <w:tc>
          <w:tcPr>
            <w:tcW w:w="3827" w:type="dxa"/>
            <w:gridSpan w:val="2"/>
            <w:tcBorders>
              <w:top w:val="single" w:sz="6" w:space="0" w:color="000000"/>
              <w:left w:val="single" w:sz="6" w:space="0" w:color="000000"/>
              <w:bottom w:val="single" w:sz="6" w:space="0" w:color="000000"/>
              <w:right w:val="single" w:sz="6" w:space="0" w:color="000000"/>
            </w:tcBorders>
          </w:tcPr>
          <w:p w14:paraId="6CC59B04" w14:textId="77777777" w:rsidR="00CB16DC" w:rsidRDefault="00BC1494" w:rsidP="00543529">
            <w:pPr>
              <w:pStyle w:val="naisc"/>
              <w:spacing w:before="0" w:after="0"/>
              <w:rPr>
                <w:b/>
              </w:rPr>
            </w:pPr>
            <w:r w:rsidRPr="00E6164A">
              <w:rPr>
                <w:b/>
              </w:rPr>
              <w:lastRenderedPageBreak/>
              <w:t>Ņemts vērā</w:t>
            </w:r>
          </w:p>
          <w:p w14:paraId="0A8C99EC" w14:textId="0DA66A39" w:rsidR="00BC1494" w:rsidRPr="00E6164A" w:rsidRDefault="00096EDA" w:rsidP="00543529">
            <w:pPr>
              <w:pStyle w:val="naisc"/>
              <w:spacing w:before="0" w:after="0"/>
              <w:rPr>
                <w:b/>
              </w:rPr>
            </w:pPr>
            <w:r w:rsidRPr="00E6164A">
              <w:rPr>
                <w:bCs/>
              </w:rPr>
              <w:t>EM minēto vērtēs pie kārtējā valsts budžeta programmu pieprasījuma izveides.</w:t>
            </w:r>
            <w:r w:rsidRPr="00E6164A">
              <w:rPr>
                <w:b/>
              </w:rPr>
              <w:t xml:space="preserve"> </w:t>
            </w:r>
          </w:p>
        </w:tc>
        <w:tc>
          <w:tcPr>
            <w:tcW w:w="3235" w:type="dxa"/>
            <w:tcBorders>
              <w:top w:val="single" w:sz="4" w:space="0" w:color="auto"/>
              <w:left w:val="single" w:sz="4" w:space="0" w:color="auto"/>
              <w:bottom w:val="single" w:sz="4" w:space="0" w:color="auto"/>
            </w:tcBorders>
          </w:tcPr>
          <w:p w14:paraId="4EF99E6B" w14:textId="77777777" w:rsidR="00CB16DC" w:rsidRPr="000E0582" w:rsidRDefault="00CB16DC" w:rsidP="0046799D">
            <w:pPr>
              <w:jc w:val="both"/>
            </w:pPr>
          </w:p>
        </w:tc>
      </w:tr>
      <w:tr w:rsidR="00994900" w:rsidRPr="007E6672" w14:paraId="631B4942"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96CCBCB" w14:textId="77777777" w:rsidR="00994900" w:rsidRPr="007E6672" w:rsidRDefault="00994900" w:rsidP="00B727A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DD2E8C9" w14:textId="60544E52" w:rsidR="00994900" w:rsidRDefault="00D73D51" w:rsidP="000453E8">
            <w:pPr>
              <w:pStyle w:val="naisc"/>
              <w:spacing w:before="0" w:after="0"/>
              <w:jc w:val="both"/>
            </w:pPr>
            <w:r>
              <w:t>Vispārīgs iebildums</w:t>
            </w:r>
          </w:p>
        </w:tc>
        <w:tc>
          <w:tcPr>
            <w:tcW w:w="4253" w:type="dxa"/>
            <w:tcBorders>
              <w:top w:val="single" w:sz="6" w:space="0" w:color="000000"/>
              <w:left w:val="single" w:sz="6" w:space="0" w:color="000000"/>
              <w:bottom w:val="single" w:sz="6" w:space="0" w:color="000000"/>
              <w:right w:val="single" w:sz="6" w:space="0" w:color="000000"/>
            </w:tcBorders>
          </w:tcPr>
          <w:p w14:paraId="12C0EF05" w14:textId="369213D8" w:rsidR="00994900" w:rsidRDefault="00994900" w:rsidP="00207E7A">
            <w:pPr>
              <w:pStyle w:val="naisc"/>
              <w:spacing w:before="0" w:after="0"/>
              <w:jc w:val="both"/>
              <w:rPr>
                <w:b/>
              </w:rPr>
            </w:pPr>
            <w:r w:rsidRPr="007E65E1">
              <w:rPr>
                <w:b/>
              </w:rPr>
              <w:t>Latvijas Ķīmijas un farmācijas uzņēmēju asociācijas 06.03.2020. atzinums</w:t>
            </w:r>
          </w:p>
          <w:p w14:paraId="1D101126" w14:textId="5CADEE32" w:rsidR="00F82A58" w:rsidRDefault="00F82A58" w:rsidP="00207E7A">
            <w:pPr>
              <w:pStyle w:val="naisc"/>
              <w:spacing w:before="0" w:after="0"/>
              <w:jc w:val="both"/>
              <w:rPr>
                <w:b/>
              </w:rPr>
            </w:pPr>
            <w:r>
              <w:rPr>
                <w:b/>
              </w:rPr>
              <w:t xml:space="preserve">Biedrības “Zaļo un Viedo Tehnoloģiju Klasteris” </w:t>
            </w:r>
            <w:r w:rsidRPr="00F82A58">
              <w:rPr>
                <w:b/>
              </w:rPr>
              <w:t>06.03.2020. atzinums</w:t>
            </w:r>
          </w:p>
          <w:p w14:paraId="1797CAEF" w14:textId="32702364" w:rsidR="001F19D9" w:rsidRDefault="001F19D9" w:rsidP="00207E7A">
            <w:pPr>
              <w:pStyle w:val="naisc"/>
              <w:spacing w:before="0" w:after="0"/>
              <w:jc w:val="both"/>
              <w:rPr>
                <w:b/>
              </w:rPr>
            </w:pPr>
            <w:r w:rsidRPr="001F19D9">
              <w:rPr>
                <w:b/>
              </w:rPr>
              <w:t>Latvijas Informācijas un komunikācijas tehnoloģijas asociācija</w:t>
            </w:r>
            <w:r>
              <w:rPr>
                <w:b/>
              </w:rPr>
              <w:t xml:space="preserve">s </w:t>
            </w:r>
            <w:r w:rsidRPr="001F19D9">
              <w:rPr>
                <w:b/>
              </w:rPr>
              <w:t>06.03.2020. atzinums</w:t>
            </w:r>
          </w:p>
          <w:p w14:paraId="130A9317" w14:textId="1C67BE80" w:rsidR="00FB35F7" w:rsidRDefault="00FB35F7" w:rsidP="00207E7A">
            <w:pPr>
              <w:pStyle w:val="naisc"/>
              <w:spacing w:before="0" w:after="0"/>
              <w:jc w:val="both"/>
              <w:rPr>
                <w:b/>
              </w:rPr>
            </w:pPr>
            <w:r w:rsidRPr="00FB35F7">
              <w:rPr>
                <w:b/>
              </w:rPr>
              <w:t>Latvijas Elektrotehnikas un elektronikas rūpniecības asociācijas 06.03.2020. atzinums</w:t>
            </w:r>
          </w:p>
          <w:p w14:paraId="7D0961D0" w14:textId="0E6181B2" w:rsidR="007A2987" w:rsidRDefault="007A2987" w:rsidP="00207E7A">
            <w:pPr>
              <w:pStyle w:val="naisc"/>
              <w:spacing w:before="0" w:after="0"/>
              <w:jc w:val="both"/>
              <w:rPr>
                <w:b/>
              </w:rPr>
            </w:pPr>
            <w:r w:rsidRPr="007A2987">
              <w:rPr>
                <w:b/>
              </w:rPr>
              <w:t>Latvijas Pārtikas uzņēmumu federācijas 05.03.2020. atzinums</w:t>
            </w:r>
          </w:p>
          <w:p w14:paraId="4DB94A1A" w14:textId="2F7F8FBD" w:rsidR="00A408E4" w:rsidRDefault="00A408E4" w:rsidP="00207E7A">
            <w:pPr>
              <w:pStyle w:val="naisc"/>
              <w:spacing w:before="0" w:after="0"/>
              <w:jc w:val="both"/>
              <w:rPr>
                <w:b/>
              </w:rPr>
            </w:pPr>
            <w:r w:rsidRPr="00A408E4">
              <w:rPr>
                <w:b/>
              </w:rPr>
              <w:t>Mašīnbūves un metālapstrādes rūpniecības asociācijas 04.03.2020. atzinums</w:t>
            </w:r>
          </w:p>
          <w:p w14:paraId="4BBA0BCB" w14:textId="04BC7F19" w:rsidR="002B4B71" w:rsidRPr="007E65E1" w:rsidRDefault="002B4B71" w:rsidP="00207E7A">
            <w:pPr>
              <w:pStyle w:val="naisc"/>
              <w:spacing w:before="0" w:after="0"/>
              <w:jc w:val="both"/>
              <w:rPr>
                <w:b/>
              </w:rPr>
            </w:pPr>
            <w:r w:rsidRPr="002B4B71">
              <w:rPr>
                <w:b/>
              </w:rPr>
              <w:t>Latvijas Poligrāfijas uzņēmumu asociācijas 02.03.2020. atzinums</w:t>
            </w:r>
          </w:p>
          <w:p w14:paraId="2F395025" w14:textId="46EA8EA9" w:rsidR="00994900" w:rsidRPr="00994900" w:rsidRDefault="00994900" w:rsidP="00207E7A">
            <w:pPr>
              <w:pStyle w:val="naisc"/>
              <w:spacing w:before="0" w:after="0"/>
              <w:jc w:val="both"/>
              <w:rPr>
                <w:bCs/>
              </w:rPr>
            </w:pPr>
            <w:r w:rsidRPr="00994900">
              <w:rPr>
                <w:bCs/>
              </w:rPr>
              <w:t>Paredzēt</w:t>
            </w:r>
            <w:r w:rsidRPr="00994900">
              <w:rPr>
                <w:bCs/>
              </w:rPr>
              <w:tab/>
              <w:t>arī</w:t>
            </w:r>
            <w:r w:rsidRPr="00994900">
              <w:rPr>
                <w:bCs/>
              </w:rPr>
              <w:tab/>
              <w:t>turpmāk</w:t>
            </w:r>
            <w:r>
              <w:rPr>
                <w:bCs/>
              </w:rPr>
              <w:t xml:space="preserve"> </w:t>
            </w:r>
            <w:r w:rsidRPr="00994900">
              <w:rPr>
                <w:bCs/>
              </w:rPr>
              <w:t>(sākot</w:t>
            </w:r>
            <w:r>
              <w:rPr>
                <w:bCs/>
              </w:rPr>
              <w:t xml:space="preserve"> </w:t>
            </w:r>
            <w:r w:rsidRPr="00994900">
              <w:rPr>
                <w:bCs/>
              </w:rPr>
              <w:t>ar</w:t>
            </w:r>
            <w:r>
              <w:rPr>
                <w:bCs/>
              </w:rPr>
              <w:t xml:space="preserve"> </w:t>
            </w:r>
            <w:r w:rsidRPr="00994900">
              <w:rPr>
                <w:bCs/>
              </w:rPr>
              <w:t>2021.</w:t>
            </w:r>
            <w:r w:rsidRPr="00994900">
              <w:rPr>
                <w:bCs/>
              </w:rPr>
              <w:tab/>
              <w:t>gadu)</w:t>
            </w:r>
            <w:r w:rsidRPr="00994900">
              <w:rPr>
                <w:bCs/>
              </w:rPr>
              <w:tab/>
              <w:t>sniegt</w:t>
            </w:r>
            <w:r w:rsidRPr="00994900">
              <w:rPr>
                <w:bCs/>
              </w:rPr>
              <w:tab/>
              <w:t>finansiālu</w:t>
            </w:r>
            <w:r>
              <w:rPr>
                <w:bCs/>
              </w:rPr>
              <w:t xml:space="preserve"> </w:t>
            </w:r>
            <w:r w:rsidRPr="00994900">
              <w:rPr>
                <w:bCs/>
              </w:rPr>
              <w:t>atbalstu</w:t>
            </w:r>
            <w:r>
              <w:rPr>
                <w:bCs/>
              </w:rPr>
              <w:t xml:space="preserve"> </w:t>
            </w:r>
            <w:r w:rsidRPr="00994900">
              <w:rPr>
                <w:bCs/>
              </w:rPr>
              <w:t>eksporta</w:t>
            </w:r>
            <w:r w:rsidRPr="00994900">
              <w:rPr>
                <w:bCs/>
              </w:rPr>
              <w:tab/>
              <w:t>aktivitātēm</w:t>
            </w:r>
            <w:r w:rsidRPr="00994900">
              <w:rPr>
                <w:bCs/>
              </w:rPr>
              <w:tab/>
              <w:t>Klasteru</w:t>
            </w:r>
            <w:r>
              <w:rPr>
                <w:bCs/>
              </w:rPr>
              <w:t xml:space="preserve"> </w:t>
            </w:r>
            <w:r w:rsidRPr="00994900">
              <w:rPr>
                <w:bCs/>
              </w:rPr>
              <w:t>ietvaros</w:t>
            </w:r>
            <w:r w:rsidRPr="00994900">
              <w:rPr>
                <w:bCs/>
              </w:rPr>
              <w:tab/>
              <w:t>un</w:t>
            </w:r>
            <w:r w:rsidRPr="00994900">
              <w:rPr>
                <w:bCs/>
              </w:rPr>
              <w:tab/>
              <w:t>uzņēmumu</w:t>
            </w:r>
            <w:r>
              <w:rPr>
                <w:bCs/>
              </w:rPr>
              <w:t xml:space="preserve"> </w:t>
            </w:r>
            <w:r w:rsidRPr="00994900">
              <w:rPr>
                <w:bCs/>
              </w:rPr>
              <w:t>dalībai</w:t>
            </w:r>
            <w:r>
              <w:rPr>
                <w:bCs/>
              </w:rPr>
              <w:t xml:space="preserve"> </w:t>
            </w:r>
            <w:r w:rsidRPr="00994900">
              <w:rPr>
                <w:bCs/>
              </w:rPr>
              <w:t>izstādēs</w:t>
            </w:r>
            <w:r w:rsidRPr="00994900">
              <w:rPr>
                <w:bCs/>
              </w:rPr>
              <w:tab/>
              <w:t>ar</w:t>
            </w:r>
            <w:r w:rsidRPr="00994900">
              <w:rPr>
                <w:bCs/>
              </w:rPr>
              <w:tab/>
              <w:t>indi</w:t>
            </w:r>
            <w:r>
              <w:rPr>
                <w:bCs/>
              </w:rPr>
              <w:t>viduālu stendu, t.sk. sadarbojoties biedrību un klasteru organizēto stendu ietvaros.</w:t>
            </w:r>
          </w:p>
        </w:tc>
        <w:tc>
          <w:tcPr>
            <w:tcW w:w="3827" w:type="dxa"/>
            <w:gridSpan w:val="2"/>
            <w:tcBorders>
              <w:top w:val="single" w:sz="6" w:space="0" w:color="000000"/>
              <w:left w:val="single" w:sz="6" w:space="0" w:color="000000"/>
              <w:bottom w:val="single" w:sz="6" w:space="0" w:color="000000"/>
              <w:right w:val="single" w:sz="6" w:space="0" w:color="000000"/>
            </w:tcBorders>
          </w:tcPr>
          <w:p w14:paraId="565F8E2F" w14:textId="77777777" w:rsidR="00994900" w:rsidRDefault="00465CFE" w:rsidP="00543529">
            <w:pPr>
              <w:pStyle w:val="naisc"/>
              <w:spacing w:before="0" w:after="0"/>
              <w:rPr>
                <w:b/>
              </w:rPr>
            </w:pPr>
            <w:r w:rsidRPr="00465CFE">
              <w:rPr>
                <w:b/>
              </w:rPr>
              <w:t>Ņemts vērā</w:t>
            </w:r>
          </w:p>
          <w:p w14:paraId="44C46F36" w14:textId="2DEE1919" w:rsidR="0025456D" w:rsidRPr="0025456D" w:rsidRDefault="00674EE2" w:rsidP="0025456D">
            <w:pPr>
              <w:pStyle w:val="naisc"/>
              <w:spacing w:before="0" w:after="0"/>
              <w:jc w:val="both"/>
              <w:rPr>
                <w:bCs/>
              </w:rPr>
            </w:pPr>
            <w:r>
              <w:rPr>
                <w:bCs/>
              </w:rPr>
              <w:t>Ņemot vērā pasākumam papildus pārdalīto ERAF summu</w:t>
            </w:r>
            <w:r w:rsidR="00AB797B">
              <w:rPr>
                <w:bCs/>
              </w:rPr>
              <w:t xml:space="preserve">, papildus finansējums tiek novirzīts arī eksporta aktivitātēm, tai skaitā </w:t>
            </w:r>
            <w:r w:rsidR="00AB797B" w:rsidRPr="00994900">
              <w:rPr>
                <w:bCs/>
              </w:rPr>
              <w:t>uzņēmumu</w:t>
            </w:r>
            <w:r w:rsidR="00AB797B">
              <w:rPr>
                <w:bCs/>
              </w:rPr>
              <w:t xml:space="preserve"> </w:t>
            </w:r>
            <w:r w:rsidR="00AB797B" w:rsidRPr="00994900">
              <w:rPr>
                <w:bCs/>
              </w:rPr>
              <w:t>dalībai</w:t>
            </w:r>
            <w:r w:rsidR="00AB797B">
              <w:rPr>
                <w:bCs/>
              </w:rPr>
              <w:t xml:space="preserve"> </w:t>
            </w:r>
            <w:r w:rsidR="00AB797B" w:rsidRPr="00994900">
              <w:rPr>
                <w:bCs/>
              </w:rPr>
              <w:t>izstādēs</w:t>
            </w:r>
            <w:r w:rsidR="00AB797B" w:rsidRPr="00994900">
              <w:rPr>
                <w:bCs/>
              </w:rPr>
              <w:tab/>
              <w:t>ar</w:t>
            </w:r>
            <w:r w:rsidR="00AB797B">
              <w:rPr>
                <w:bCs/>
              </w:rPr>
              <w:t xml:space="preserve"> </w:t>
            </w:r>
            <w:r w:rsidR="00AB797B" w:rsidRPr="00994900">
              <w:rPr>
                <w:bCs/>
              </w:rPr>
              <w:t>indi</w:t>
            </w:r>
            <w:r w:rsidR="00AB797B">
              <w:rPr>
                <w:bCs/>
              </w:rPr>
              <w:t>viduālu stendu.</w:t>
            </w:r>
          </w:p>
        </w:tc>
        <w:tc>
          <w:tcPr>
            <w:tcW w:w="3235" w:type="dxa"/>
            <w:tcBorders>
              <w:top w:val="single" w:sz="4" w:space="0" w:color="auto"/>
              <w:left w:val="single" w:sz="4" w:space="0" w:color="auto"/>
              <w:bottom w:val="single" w:sz="4" w:space="0" w:color="auto"/>
            </w:tcBorders>
          </w:tcPr>
          <w:p w14:paraId="3EEB474E" w14:textId="3E14A48E" w:rsidR="00994900" w:rsidRPr="000E0582" w:rsidRDefault="00AB797B" w:rsidP="0046799D">
            <w:pPr>
              <w:jc w:val="both"/>
            </w:pPr>
            <w:r w:rsidRPr="0053127B">
              <w:t>Papildināts Anotācijas I. sadaļas “Tiesību akta projekta izstrādes nepieciešamība” 2. punkts “Pašreizējā situācija un problēmas, kuru risināšanai tiesību akta projekts izstrādāts, tiesiskā regulējuma mērķis un būtība”</w:t>
            </w:r>
          </w:p>
        </w:tc>
      </w:tr>
      <w:tr w:rsidR="000E67F1" w:rsidRPr="007E6672" w14:paraId="16E1D08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2EC0802" w14:textId="77777777" w:rsidR="000E67F1" w:rsidRPr="007E6672" w:rsidRDefault="000E67F1" w:rsidP="000E67F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3FC1F59" w14:textId="75CF510C" w:rsidR="000E67F1" w:rsidRDefault="000E67F1" w:rsidP="000E67F1">
            <w:pPr>
              <w:pStyle w:val="naisc"/>
              <w:spacing w:before="0" w:after="0"/>
              <w:jc w:val="both"/>
            </w:pPr>
            <w:r w:rsidRPr="00D73D51">
              <w:t>Vispārīgs iebildums</w:t>
            </w:r>
          </w:p>
        </w:tc>
        <w:tc>
          <w:tcPr>
            <w:tcW w:w="4253" w:type="dxa"/>
            <w:tcBorders>
              <w:top w:val="single" w:sz="6" w:space="0" w:color="000000"/>
              <w:left w:val="single" w:sz="6" w:space="0" w:color="000000"/>
              <w:bottom w:val="single" w:sz="6" w:space="0" w:color="000000"/>
              <w:right w:val="single" w:sz="6" w:space="0" w:color="000000"/>
            </w:tcBorders>
          </w:tcPr>
          <w:p w14:paraId="26771D0B" w14:textId="77777777" w:rsidR="000E67F1" w:rsidRDefault="000E67F1" w:rsidP="000E67F1">
            <w:pPr>
              <w:pStyle w:val="naisc"/>
              <w:spacing w:before="0" w:after="0"/>
              <w:jc w:val="both"/>
              <w:rPr>
                <w:b/>
              </w:rPr>
            </w:pPr>
            <w:r w:rsidRPr="00D73D51">
              <w:rPr>
                <w:b/>
              </w:rPr>
              <w:t>Latvijas Informācijas un komunikācijas tehnoloģijas asociācijas 06.03.2020. atzinums</w:t>
            </w:r>
          </w:p>
          <w:p w14:paraId="2A4B8561" w14:textId="63449CB1" w:rsidR="000E67F1" w:rsidRPr="00D73D51" w:rsidRDefault="000E67F1" w:rsidP="000E67F1">
            <w:pPr>
              <w:pStyle w:val="naisc"/>
              <w:spacing w:before="0" w:after="0"/>
              <w:jc w:val="both"/>
              <w:rPr>
                <w:bCs/>
              </w:rPr>
            </w:pPr>
            <w:r w:rsidRPr="001C0F92">
              <w:rPr>
                <w:bCs/>
              </w:rPr>
              <w:t>Paredzēt iespēju sniegt finansiālu atbalstu uzņēmumu dalībai biedrību organizētajās tirdzniecības misijās.</w:t>
            </w:r>
          </w:p>
        </w:tc>
        <w:tc>
          <w:tcPr>
            <w:tcW w:w="3827" w:type="dxa"/>
            <w:gridSpan w:val="2"/>
            <w:tcBorders>
              <w:top w:val="single" w:sz="6" w:space="0" w:color="000000"/>
              <w:left w:val="single" w:sz="6" w:space="0" w:color="000000"/>
              <w:bottom w:val="single" w:sz="6" w:space="0" w:color="000000"/>
              <w:right w:val="single" w:sz="6" w:space="0" w:color="000000"/>
            </w:tcBorders>
          </w:tcPr>
          <w:p w14:paraId="7910C9C0" w14:textId="77777777" w:rsidR="000E67F1" w:rsidRDefault="000E67F1" w:rsidP="000E67F1">
            <w:pPr>
              <w:pStyle w:val="naisc"/>
              <w:spacing w:before="0" w:after="0"/>
              <w:rPr>
                <w:b/>
              </w:rPr>
            </w:pPr>
            <w:r w:rsidRPr="00BC38A7">
              <w:rPr>
                <w:b/>
              </w:rPr>
              <w:t>Ņemts vērā</w:t>
            </w:r>
          </w:p>
          <w:p w14:paraId="2E48B162" w14:textId="5CF9E198" w:rsidR="000E67F1" w:rsidRPr="000E0582" w:rsidRDefault="00674EE2" w:rsidP="000E67F1">
            <w:pPr>
              <w:pStyle w:val="naisc"/>
              <w:spacing w:before="0" w:after="0"/>
              <w:jc w:val="both"/>
              <w:rPr>
                <w:b/>
              </w:rPr>
            </w:pPr>
            <w:r>
              <w:rPr>
                <w:bCs/>
              </w:rPr>
              <w:t>Ņemot vērā pasākumam papildus pārdalīto ERAF summu</w:t>
            </w:r>
            <w:r w:rsidR="00AB797B">
              <w:rPr>
                <w:bCs/>
              </w:rPr>
              <w:t>, papildus finansējums tiek novirzīts arī eksporta aktivitātēm.</w:t>
            </w:r>
          </w:p>
        </w:tc>
        <w:tc>
          <w:tcPr>
            <w:tcW w:w="3235" w:type="dxa"/>
            <w:tcBorders>
              <w:top w:val="single" w:sz="4" w:space="0" w:color="auto"/>
              <w:left w:val="single" w:sz="4" w:space="0" w:color="auto"/>
              <w:bottom w:val="single" w:sz="4" w:space="0" w:color="auto"/>
            </w:tcBorders>
          </w:tcPr>
          <w:p w14:paraId="35C9B998" w14:textId="16F7FB56" w:rsidR="000E67F1" w:rsidRPr="000E0582" w:rsidRDefault="000E67F1" w:rsidP="000E67F1">
            <w:pPr>
              <w:jc w:val="both"/>
            </w:pPr>
            <w:r w:rsidRPr="0053127B">
              <w:t xml:space="preserve">Papildināts Anotācijas I. sadaļas “Tiesību akta projekta izstrādes nepieciešamība” 2. punkts “Pašreizējā situācija un problēmas, kuru risināšanai tiesību akta projekts izstrādāts, </w:t>
            </w:r>
            <w:r w:rsidRPr="0053127B">
              <w:lastRenderedPageBreak/>
              <w:t>tiesiskā regulējuma mērķis un būtība”</w:t>
            </w:r>
          </w:p>
        </w:tc>
      </w:tr>
      <w:tr w:rsidR="00D23EC3" w:rsidRPr="007E6672" w14:paraId="32C0A03B"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4ED34C8" w14:textId="77777777" w:rsidR="00D23EC3" w:rsidRPr="007E6672" w:rsidRDefault="00D23EC3" w:rsidP="000E67F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1B0E8E43" w14:textId="2509AF8C" w:rsidR="00D23EC3" w:rsidRPr="00D73D51" w:rsidRDefault="00D23EC3" w:rsidP="000E67F1">
            <w:pPr>
              <w:pStyle w:val="naisc"/>
              <w:spacing w:before="0" w:after="0"/>
              <w:jc w:val="both"/>
            </w:pPr>
            <w:r w:rsidRPr="00D73D51">
              <w:t>Vispārīgs iebildums</w:t>
            </w:r>
          </w:p>
        </w:tc>
        <w:tc>
          <w:tcPr>
            <w:tcW w:w="4253" w:type="dxa"/>
            <w:tcBorders>
              <w:top w:val="single" w:sz="6" w:space="0" w:color="000000"/>
              <w:left w:val="single" w:sz="6" w:space="0" w:color="000000"/>
              <w:bottom w:val="single" w:sz="6" w:space="0" w:color="000000"/>
              <w:right w:val="single" w:sz="6" w:space="0" w:color="000000"/>
            </w:tcBorders>
          </w:tcPr>
          <w:p w14:paraId="75F879CF" w14:textId="49618F58" w:rsidR="00D23EC3" w:rsidRPr="00D23EC3" w:rsidRDefault="00D23EC3" w:rsidP="00D23EC3">
            <w:pPr>
              <w:pStyle w:val="naisc"/>
              <w:jc w:val="both"/>
              <w:rPr>
                <w:b/>
              </w:rPr>
            </w:pPr>
            <w:r w:rsidRPr="00D23EC3">
              <w:rPr>
                <w:b/>
              </w:rPr>
              <w:t>Zemkopības ministrijas 13.03.2020. atzinums</w:t>
            </w:r>
          </w:p>
          <w:p w14:paraId="2AD4201B" w14:textId="5ED39498" w:rsidR="00D23EC3" w:rsidRPr="00D23EC3" w:rsidRDefault="00D23EC3" w:rsidP="00D23EC3">
            <w:pPr>
              <w:pStyle w:val="naisc"/>
              <w:jc w:val="both"/>
              <w:rPr>
                <w:bCs/>
              </w:rPr>
            </w:pPr>
            <w:r w:rsidRPr="00D23EC3">
              <w:rPr>
                <w:bCs/>
              </w:rPr>
              <w:t xml:space="preserve">Pārtikas ražotāji atzinīgi novērtēja un aktīvi izmantoja līdz šim pieejamo atbalstu starptautiskās konkurētspējas stiprināšanai. Izstrādātie grozījumi paredz, ka šīs programmas turpmākās darbības nodrošināšanai līdz 2023.gada beigām tiks piešķirts papildus finansējums 7,4 milj. EUR apmērā. Lai gan papildus finansējums ir rasts LIAA organizētajiem nacionālajiem stendiem starptautiskajās izstādēs, taču tas diemžēl vairs nebūs pieejams komersantu individuālai dalībai dažādās specializētajās nozares izstādēs, ko aktīvi izmantoja pārtikas ražotāji. Paredzams, ka izpaliekot šādam atbalstam, uzņēmumi būs spiesti samazināt savu dalību starptautisko tirgu apgūšanas pasākumos. </w:t>
            </w:r>
          </w:p>
          <w:p w14:paraId="18745D42" w14:textId="26E07577" w:rsidR="00D23EC3" w:rsidRPr="00D23EC3" w:rsidRDefault="00D23EC3" w:rsidP="00D23EC3">
            <w:pPr>
              <w:pStyle w:val="naisc"/>
              <w:spacing w:before="0" w:after="0"/>
              <w:jc w:val="both"/>
              <w:rPr>
                <w:bCs/>
              </w:rPr>
            </w:pPr>
            <w:r w:rsidRPr="00E6164A">
              <w:rPr>
                <w:bCs/>
              </w:rPr>
              <w:t>Tādēļ aicinām Ekonomikas ministriju pirms noteikumu projekta tālākas virzības uz Ministru kabinetu izdiskutēt to ar pārtikas nozari un rast vienotu redzējumu par papildus finansējuma efektīvāko izlietojumu starptautiskās konkurētspējas veicināšanai.</w:t>
            </w:r>
            <w:r w:rsidRPr="00D23EC3">
              <w:rPr>
                <w:bCs/>
              </w:rPr>
              <w:t xml:space="preserve"> Tāpat lūdzam papildināt noteikumu projekta anotāciju ar detalizētāku finansējuma izvērsumu izvēlētajiem atbalsta pasākumiem.</w:t>
            </w:r>
          </w:p>
        </w:tc>
        <w:tc>
          <w:tcPr>
            <w:tcW w:w="3827" w:type="dxa"/>
            <w:gridSpan w:val="2"/>
            <w:tcBorders>
              <w:top w:val="single" w:sz="6" w:space="0" w:color="000000"/>
              <w:left w:val="single" w:sz="6" w:space="0" w:color="000000"/>
              <w:bottom w:val="single" w:sz="6" w:space="0" w:color="000000"/>
              <w:right w:val="single" w:sz="6" w:space="0" w:color="000000"/>
            </w:tcBorders>
          </w:tcPr>
          <w:p w14:paraId="1FD09320" w14:textId="77777777" w:rsidR="00D23EC3" w:rsidRDefault="00D23EC3" w:rsidP="000E67F1">
            <w:pPr>
              <w:pStyle w:val="naisc"/>
              <w:spacing w:before="0" w:after="0"/>
              <w:rPr>
                <w:b/>
              </w:rPr>
            </w:pPr>
            <w:r w:rsidRPr="00D23EC3">
              <w:rPr>
                <w:b/>
              </w:rPr>
              <w:t>Ņemts vērā</w:t>
            </w:r>
          </w:p>
          <w:p w14:paraId="20B50322" w14:textId="77777777" w:rsidR="0065559F" w:rsidRDefault="00D23EC3" w:rsidP="00091A75">
            <w:pPr>
              <w:pStyle w:val="naisc"/>
              <w:spacing w:before="0" w:after="0"/>
              <w:jc w:val="both"/>
              <w:rPr>
                <w:bCs/>
              </w:rPr>
            </w:pPr>
            <w:r w:rsidRPr="00AB797B">
              <w:rPr>
                <w:bCs/>
              </w:rPr>
              <w:t xml:space="preserve">Norādām, ka </w:t>
            </w:r>
            <w:r w:rsidR="00BD6A10" w:rsidRPr="00AB797B">
              <w:rPr>
                <w:bCs/>
              </w:rPr>
              <w:t xml:space="preserve">Ekonomikas ministrija ir saņēmusi Latvijas Pārtikas uzņēmumu federācijas 05.03.2020. atzinumu (skatīt izziņas </w:t>
            </w:r>
            <w:r w:rsidR="0065559F" w:rsidRPr="00AB797B">
              <w:rPr>
                <w:bCs/>
              </w:rPr>
              <w:t>19. un 20.punktu).</w:t>
            </w:r>
          </w:p>
          <w:p w14:paraId="2794834F" w14:textId="3E0D712F" w:rsidR="00D23EC3" w:rsidRDefault="0065559F" w:rsidP="00091A75">
            <w:pPr>
              <w:pStyle w:val="naisc"/>
              <w:spacing w:before="0" w:after="0"/>
              <w:jc w:val="both"/>
              <w:rPr>
                <w:bCs/>
              </w:rPr>
            </w:pPr>
            <w:r>
              <w:rPr>
                <w:bCs/>
              </w:rPr>
              <w:t>Papildus</w:t>
            </w:r>
            <w:r w:rsidR="00BD6A10">
              <w:rPr>
                <w:bCs/>
              </w:rPr>
              <w:t xml:space="preserve"> norādām, ka </w:t>
            </w:r>
            <w:r w:rsidR="00D23EC3" w:rsidRPr="00D23EC3">
              <w:rPr>
                <w:bCs/>
              </w:rPr>
              <w:t>Anotācijas I. sadaļas “Tiesību akta projekta izstrādes nepieciešamība” 2. punkt</w:t>
            </w:r>
            <w:r w:rsidR="00D23EC3">
              <w:rPr>
                <w:bCs/>
              </w:rPr>
              <w:t xml:space="preserve">ā ir sniegts </w:t>
            </w:r>
            <w:r w:rsidR="00D23EC3" w:rsidRPr="00D23EC3">
              <w:rPr>
                <w:bCs/>
              </w:rPr>
              <w:t>finansējuma izvērsum</w:t>
            </w:r>
            <w:r w:rsidR="00D23EC3">
              <w:rPr>
                <w:bCs/>
              </w:rPr>
              <w:t>s</w:t>
            </w:r>
            <w:r w:rsidR="00D23EC3" w:rsidRPr="00D23EC3">
              <w:rPr>
                <w:bCs/>
              </w:rPr>
              <w:t xml:space="preserve"> atbalsta pasākumiem</w:t>
            </w:r>
            <w:r w:rsidR="00D23EC3">
              <w:rPr>
                <w:bCs/>
              </w:rPr>
              <w:t>:</w:t>
            </w:r>
          </w:p>
          <w:p w14:paraId="432A7A4D" w14:textId="1C67F5C1" w:rsidR="00D23EC3" w:rsidRPr="00D23EC3" w:rsidRDefault="00D23EC3" w:rsidP="00AB797B">
            <w:pPr>
              <w:pStyle w:val="naisc"/>
              <w:jc w:val="both"/>
              <w:rPr>
                <w:bCs/>
              </w:rPr>
            </w:pPr>
          </w:p>
        </w:tc>
        <w:tc>
          <w:tcPr>
            <w:tcW w:w="3235" w:type="dxa"/>
            <w:tcBorders>
              <w:top w:val="single" w:sz="4" w:space="0" w:color="auto"/>
              <w:left w:val="single" w:sz="4" w:space="0" w:color="auto"/>
              <w:bottom w:val="single" w:sz="4" w:space="0" w:color="auto"/>
            </w:tcBorders>
          </w:tcPr>
          <w:p w14:paraId="4FA2C732" w14:textId="77777777" w:rsidR="00D23EC3" w:rsidRPr="0053127B" w:rsidRDefault="00D23EC3" w:rsidP="000E67F1">
            <w:pPr>
              <w:jc w:val="both"/>
            </w:pPr>
          </w:p>
        </w:tc>
      </w:tr>
      <w:tr w:rsidR="003A48E9" w:rsidRPr="007E6672" w14:paraId="52AE1642"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72BB746" w14:textId="77777777" w:rsidR="003A48E9" w:rsidRPr="007E6672" w:rsidRDefault="003A48E9" w:rsidP="000E67F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322E227" w14:textId="26A83A97" w:rsidR="003A48E9" w:rsidRPr="005F0CD4" w:rsidRDefault="003A48E9" w:rsidP="000E67F1">
            <w:pPr>
              <w:pStyle w:val="naisc"/>
              <w:spacing w:before="0" w:after="0"/>
              <w:jc w:val="both"/>
            </w:pPr>
            <w:r w:rsidRPr="005F0CD4">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5462EE87" w14:textId="0756B5B7" w:rsidR="003A48E9" w:rsidRPr="005F0CD4" w:rsidRDefault="003A48E9" w:rsidP="003A48E9">
            <w:pPr>
              <w:pStyle w:val="naisc"/>
              <w:spacing w:before="0" w:after="0"/>
              <w:jc w:val="both"/>
              <w:rPr>
                <w:b/>
              </w:rPr>
            </w:pPr>
            <w:r w:rsidRPr="005F0CD4">
              <w:rPr>
                <w:b/>
              </w:rPr>
              <w:t>Finanšu ministrijas 07.07.2020. atzinums</w:t>
            </w:r>
          </w:p>
          <w:p w14:paraId="72C7A4F8" w14:textId="462A8322" w:rsidR="003A48E9" w:rsidRPr="005F0CD4" w:rsidRDefault="003A48E9" w:rsidP="003A48E9">
            <w:pPr>
              <w:jc w:val="both"/>
              <w:rPr>
                <w:szCs w:val="24"/>
              </w:rPr>
            </w:pPr>
            <w:r w:rsidRPr="005F0CD4">
              <w:rPr>
                <w:szCs w:val="24"/>
              </w:rPr>
              <w:t>Ņemot vērā Ministru kabineta 2020.gada 30.jūnija sēdē apstiprināto rīkojuma projektu “Grozījumi Eiropas Savienības struktūrfondu un Kohēzijas fonda 2014.-2020.gada plānošanas perioda darbības programmā “Izaugsme un nodarbinātība””, kurā netika ietverti EM 2020.gada 29.jūnijā pieteiktie precizējumi, lūdzam anotācijas I. sadaļas “Tiesību akta projekta izstrādes nepieciešamība” 2.punktā “Pašreizējā situācija un problēmas, kuru risināšanai tiesību akta projekts izstrādāts, tiesiskā regulējuma mērķis un būtība” (turpmāk – I.sadaļas 2. punkts) ietvert skaidrojumu par nepieciešamību veikt grozījumus darbības programmā “Izaugsme un nodarbinātība” (turpmāk – DP), tai skaitā sniegt skaidrojumu iznākuma rādītāju, kuri neatbilst spēkā esošajā DP noteiktām 2023.gada mērķa vērtībām, izmaiņu pamatošanai.</w:t>
            </w:r>
          </w:p>
          <w:p w14:paraId="2C4AD753" w14:textId="3DCCF2AB" w:rsidR="003A48E9" w:rsidRPr="005F0CD4" w:rsidRDefault="003A48E9" w:rsidP="003A48E9">
            <w:pPr>
              <w:jc w:val="both"/>
              <w:rPr>
                <w:b/>
              </w:rPr>
            </w:pPr>
            <w:r w:rsidRPr="005F0CD4">
              <w:rPr>
                <w:szCs w:val="24"/>
              </w:rPr>
              <w:t>Papildus aicinām EM iesniegt Finanšu ministrijai grozījumu priekšlikumus nākamiem DP grozījumiem, tai skaitā pamatojot nepieciešamās izmaiņas 3.2.1.2.pasākuma “Starptautiskās konkurētspējas veicināšana” (turpmāk – 3.2.1.2. pasākums) iznākuma rādītājos.</w:t>
            </w:r>
          </w:p>
        </w:tc>
        <w:tc>
          <w:tcPr>
            <w:tcW w:w="3827" w:type="dxa"/>
            <w:gridSpan w:val="2"/>
            <w:tcBorders>
              <w:top w:val="single" w:sz="6" w:space="0" w:color="000000"/>
              <w:left w:val="single" w:sz="6" w:space="0" w:color="000000"/>
              <w:bottom w:val="single" w:sz="6" w:space="0" w:color="000000"/>
              <w:right w:val="single" w:sz="6" w:space="0" w:color="000000"/>
            </w:tcBorders>
          </w:tcPr>
          <w:p w14:paraId="3D115FD3" w14:textId="77777777" w:rsidR="003A48E9" w:rsidRPr="005F0CD4" w:rsidRDefault="003A48E9" w:rsidP="003A48E9">
            <w:pPr>
              <w:pStyle w:val="naisc"/>
              <w:spacing w:before="0" w:after="0"/>
              <w:rPr>
                <w:b/>
              </w:rPr>
            </w:pPr>
            <w:r w:rsidRPr="005F0CD4">
              <w:rPr>
                <w:b/>
              </w:rPr>
              <w:t>Ņemts vērā</w:t>
            </w:r>
          </w:p>
          <w:p w14:paraId="4E3346DF" w14:textId="31C8724D" w:rsidR="003A48E9" w:rsidRPr="005F0CD4" w:rsidRDefault="000C60B8" w:rsidP="000E67F1">
            <w:pPr>
              <w:pStyle w:val="naisc"/>
              <w:spacing w:before="0" w:after="0"/>
              <w:rPr>
                <w:b/>
              </w:rPr>
            </w:pPr>
            <w:r w:rsidRPr="005F0CD4">
              <w:rPr>
                <w:bCs/>
              </w:rPr>
              <w:t>Tiks iesniegti grozījumu priekšlikumi</w:t>
            </w:r>
            <w:r w:rsidRPr="005F0CD4">
              <w:rPr>
                <w:b/>
              </w:rPr>
              <w:t xml:space="preserve"> </w:t>
            </w:r>
            <w:r w:rsidRPr="005F0CD4">
              <w:t>darbības programmā “Izaugsme un nodarbinātība” pēc MK noteikumu Nr.678 projekta saskaņošanas.</w:t>
            </w:r>
          </w:p>
        </w:tc>
        <w:tc>
          <w:tcPr>
            <w:tcW w:w="3235" w:type="dxa"/>
            <w:tcBorders>
              <w:top w:val="single" w:sz="4" w:space="0" w:color="auto"/>
              <w:left w:val="single" w:sz="4" w:space="0" w:color="auto"/>
              <w:bottom w:val="single" w:sz="4" w:space="0" w:color="auto"/>
            </w:tcBorders>
          </w:tcPr>
          <w:p w14:paraId="2032A9F0" w14:textId="3C1CF417" w:rsidR="003A48E9" w:rsidRPr="0053127B" w:rsidRDefault="003A48E9" w:rsidP="000E67F1">
            <w:pPr>
              <w:jc w:val="both"/>
            </w:pPr>
            <w:r w:rsidRPr="005F0CD4">
              <w:t>Papildināts Anotācijas I. sadaļas “Tiesību akta projekta izstrādes nepieciešamība” 2. punkts “Pašreizējā situācija un problēmas, kuru risināšanai tiesību akta projekts izstrādāts, tiesiskā regulējuma mērķis un būtība”</w:t>
            </w:r>
          </w:p>
        </w:tc>
      </w:tr>
      <w:tr w:rsidR="003A48E9" w:rsidRPr="007E6672" w14:paraId="218FCE9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94D0DA5" w14:textId="77777777" w:rsidR="003A48E9" w:rsidRPr="007E6672" w:rsidRDefault="003A48E9" w:rsidP="000E67F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C1134F4" w14:textId="6BA89239" w:rsidR="003A48E9" w:rsidRPr="005F0CD4" w:rsidRDefault="003A48E9" w:rsidP="000E67F1">
            <w:pPr>
              <w:pStyle w:val="naisc"/>
              <w:spacing w:before="0" w:after="0"/>
              <w:jc w:val="both"/>
            </w:pPr>
            <w:r w:rsidRPr="005F0CD4">
              <w:t>MK noteikumu projekts</w:t>
            </w:r>
          </w:p>
        </w:tc>
        <w:tc>
          <w:tcPr>
            <w:tcW w:w="4253" w:type="dxa"/>
            <w:tcBorders>
              <w:top w:val="single" w:sz="6" w:space="0" w:color="000000"/>
              <w:left w:val="single" w:sz="6" w:space="0" w:color="000000"/>
              <w:bottom w:val="single" w:sz="6" w:space="0" w:color="000000"/>
              <w:right w:val="single" w:sz="6" w:space="0" w:color="000000"/>
            </w:tcBorders>
          </w:tcPr>
          <w:p w14:paraId="5D8E6B80" w14:textId="77777777" w:rsidR="003A48E9" w:rsidRPr="005F0CD4" w:rsidRDefault="003A48E9" w:rsidP="003A48E9">
            <w:pPr>
              <w:pStyle w:val="naisc"/>
              <w:spacing w:before="0" w:after="0"/>
              <w:jc w:val="both"/>
              <w:rPr>
                <w:b/>
              </w:rPr>
            </w:pPr>
            <w:r w:rsidRPr="005F0CD4">
              <w:rPr>
                <w:b/>
              </w:rPr>
              <w:t>Finanšu ministrijas 07.07.2020. atzinums</w:t>
            </w:r>
          </w:p>
          <w:p w14:paraId="0837F8F8" w14:textId="12A98B2D" w:rsidR="003A48E9" w:rsidRPr="005F0CD4" w:rsidRDefault="003A48E9" w:rsidP="003A48E9">
            <w:pPr>
              <w:jc w:val="both"/>
              <w:rPr>
                <w:szCs w:val="24"/>
              </w:rPr>
            </w:pPr>
            <w:r w:rsidRPr="005F0CD4">
              <w:rPr>
                <w:szCs w:val="24"/>
              </w:rPr>
              <w:lastRenderedPageBreak/>
              <w:t>Aicinām EM kā atbildīgo iestādi izvērtēt, vai, paredzot segt datu bāzu un analītisko rīku izstrādes, iegādes, uzturēšanas un abonēšanas izmaksas no tiešajām attiecināmajām izmaksām, tiks nodrošināta projektu mērķu un rādītāju sasniegšana iepriekš plānotajā apmērā, ņemot vērā, ka IT uzturēšanas izmaksas tiek pārceltas no netiešajām uz tiešajām attiecināmajām, kā arī lūdzam nodrošināt, ka tiek novērsts dubultā finansējuma risks.</w:t>
            </w:r>
          </w:p>
          <w:p w14:paraId="309EF925" w14:textId="77777777" w:rsidR="003A48E9" w:rsidRPr="005F0CD4" w:rsidRDefault="003A48E9" w:rsidP="003A48E9">
            <w:pPr>
              <w:jc w:val="both"/>
              <w:rPr>
                <w:szCs w:val="24"/>
              </w:rPr>
            </w:pPr>
          </w:p>
          <w:p w14:paraId="7B294F73" w14:textId="57FEFDB9" w:rsidR="003A48E9" w:rsidRPr="005F0CD4" w:rsidRDefault="003A48E9" w:rsidP="0003186A">
            <w:pPr>
              <w:jc w:val="both"/>
              <w:rPr>
                <w:b/>
              </w:rPr>
            </w:pPr>
            <w:r w:rsidRPr="005F0CD4">
              <w:rPr>
                <w:szCs w:val="24"/>
              </w:rPr>
              <w:t>Vēršam uzmanību, ka saskaņā ar Vadošās iestādes 2020.gada 17.janvāra vadlīniju Nr.2.1. “Vadlīnijas attiecināmo un neattiecināmo izmaksu noteikšanai 2014.-2020.gada plānošanas periodā” 6.4.apakšpunktu IT uzturēšanas izmaksas (piemēram, nepieciešamās licences un programmatūras atjauninājumi) ietilpst projekta vadības un projekta īstenošanas netiešajās attiecināmajās izmaksās.</w:t>
            </w:r>
          </w:p>
        </w:tc>
        <w:tc>
          <w:tcPr>
            <w:tcW w:w="3827" w:type="dxa"/>
            <w:gridSpan w:val="2"/>
            <w:tcBorders>
              <w:top w:val="single" w:sz="6" w:space="0" w:color="000000"/>
              <w:left w:val="single" w:sz="6" w:space="0" w:color="000000"/>
              <w:bottom w:val="single" w:sz="6" w:space="0" w:color="000000"/>
              <w:right w:val="single" w:sz="6" w:space="0" w:color="000000"/>
            </w:tcBorders>
          </w:tcPr>
          <w:p w14:paraId="4BBC2DAA" w14:textId="77777777" w:rsidR="003A48E9" w:rsidRPr="005F0CD4" w:rsidRDefault="003A48E9" w:rsidP="003A48E9">
            <w:pPr>
              <w:pStyle w:val="naisc"/>
              <w:spacing w:before="0" w:after="0"/>
              <w:rPr>
                <w:b/>
              </w:rPr>
            </w:pPr>
            <w:r w:rsidRPr="005F0CD4">
              <w:rPr>
                <w:b/>
              </w:rPr>
              <w:lastRenderedPageBreak/>
              <w:t>Ņemts vērā</w:t>
            </w:r>
          </w:p>
          <w:p w14:paraId="7AD9F4AC" w14:textId="77777777" w:rsidR="003A48E9" w:rsidRPr="005F0CD4" w:rsidRDefault="003A48E9" w:rsidP="000E67F1">
            <w:pPr>
              <w:pStyle w:val="naisc"/>
              <w:spacing w:before="0" w:after="0"/>
              <w:rPr>
                <w:b/>
              </w:rPr>
            </w:pPr>
          </w:p>
        </w:tc>
        <w:tc>
          <w:tcPr>
            <w:tcW w:w="3235" w:type="dxa"/>
            <w:tcBorders>
              <w:top w:val="single" w:sz="4" w:space="0" w:color="auto"/>
              <w:left w:val="single" w:sz="4" w:space="0" w:color="auto"/>
              <w:bottom w:val="single" w:sz="4" w:space="0" w:color="auto"/>
            </w:tcBorders>
          </w:tcPr>
          <w:p w14:paraId="168C5B1B" w14:textId="35161772" w:rsidR="003A48E9" w:rsidRPr="0053127B" w:rsidRDefault="003A48E9" w:rsidP="000E67F1">
            <w:pPr>
              <w:jc w:val="both"/>
            </w:pPr>
            <w:r w:rsidRPr="005F0CD4">
              <w:t>Norma svītrota</w:t>
            </w:r>
          </w:p>
        </w:tc>
      </w:tr>
      <w:tr w:rsidR="003A48E9" w:rsidRPr="007E6672" w14:paraId="76BF1F35" w14:textId="77777777" w:rsidTr="006F7BEC">
        <w:trPr>
          <w:trHeight w:val="1261"/>
        </w:trPr>
        <w:tc>
          <w:tcPr>
            <w:tcW w:w="675" w:type="dxa"/>
            <w:tcBorders>
              <w:top w:val="single" w:sz="6" w:space="0" w:color="000000"/>
              <w:left w:val="single" w:sz="6" w:space="0" w:color="000000"/>
              <w:bottom w:val="single" w:sz="6" w:space="0" w:color="000000"/>
              <w:right w:val="single" w:sz="6" w:space="0" w:color="000000"/>
            </w:tcBorders>
          </w:tcPr>
          <w:p w14:paraId="4B1A7A4E" w14:textId="77777777" w:rsidR="003A48E9" w:rsidRPr="007E6672" w:rsidRDefault="003A48E9" w:rsidP="000E67F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1D2EE9B" w14:textId="3CFE8DB7" w:rsidR="003A48E9" w:rsidRPr="005F0CD4" w:rsidRDefault="003A48E9" w:rsidP="000E67F1">
            <w:pPr>
              <w:pStyle w:val="naisc"/>
              <w:spacing w:before="0" w:after="0"/>
              <w:jc w:val="both"/>
            </w:pPr>
            <w:r w:rsidRPr="005F0CD4">
              <w:t>MK noteikumu projekts</w:t>
            </w:r>
          </w:p>
        </w:tc>
        <w:tc>
          <w:tcPr>
            <w:tcW w:w="4253" w:type="dxa"/>
            <w:tcBorders>
              <w:top w:val="single" w:sz="6" w:space="0" w:color="000000"/>
              <w:left w:val="single" w:sz="6" w:space="0" w:color="000000"/>
              <w:bottom w:val="single" w:sz="6" w:space="0" w:color="000000"/>
              <w:right w:val="single" w:sz="6" w:space="0" w:color="000000"/>
            </w:tcBorders>
          </w:tcPr>
          <w:p w14:paraId="3BBF01F0" w14:textId="77777777" w:rsidR="003A48E9" w:rsidRPr="005F0CD4" w:rsidRDefault="003A48E9" w:rsidP="003A48E9">
            <w:pPr>
              <w:pStyle w:val="naisc"/>
              <w:spacing w:before="0" w:after="0"/>
              <w:jc w:val="both"/>
              <w:rPr>
                <w:b/>
              </w:rPr>
            </w:pPr>
            <w:r w:rsidRPr="005F0CD4">
              <w:rPr>
                <w:b/>
              </w:rPr>
              <w:t>Finanšu ministrijas 07.07.2020. atzinums</w:t>
            </w:r>
          </w:p>
          <w:p w14:paraId="28D7DADD" w14:textId="77777777" w:rsidR="003A48E9" w:rsidRPr="005F0CD4" w:rsidRDefault="003A48E9" w:rsidP="003A48E9">
            <w:pPr>
              <w:jc w:val="both"/>
              <w:rPr>
                <w:szCs w:val="24"/>
              </w:rPr>
            </w:pPr>
            <w:r w:rsidRPr="005F0CD4">
              <w:rPr>
                <w:szCs w:val="24"/>
              </w:rPr>
              <w:t xml:space="preserve">Lūdzam precizēt noteikumu projekta 4.punktu, ar kuru tiek veikti grozījumi Ministru kabineta 2015.gada 1.decembra noteikumu Nr.678 “Darbības programmas “Izaugsme un nodarbinātība” 3.2.1.specifiskā atbalsta mērķa “Palielināt augstas pievienotās vērtības produktu un pakalpojumu eksporta proporciju” 3.2.1.2.pasākuma “Starptautiskās </w:t>
            </w:r>
            <w:r w:rsidRPr="005F0CD4">
              <w:rPr>
                <w:szCs w:val="24"/>
              </w:rPr>
              <w:lastRenderedPageBreak/>
              <w:t xml:space="preserve">konkurētspējas veicināšana” īstenošanas noteikumi” (turpmāk – MK noteikumi Nr.678) 9.punktā, palielinot ERAF finansējumu par 1 </w:t>
            </w:r>
            <w:r w:rsidRPr="005F0CD4">
              <w:rPr>
                <w:i/>
                <w:szCs w:val="24"/>
              </w:rPr>
              <w:t>euro</w:t>
            </w:r>
            <w:r w:rsidRPr="005F0CD4">
              <w:rPr>
                <w:szCs w:val="24"/>
              </w:rPr>
              <w:t xml:space="preserve">, attiecīgi precizējot arī kopējo pasākuma finansējuma apmēru un attiecīgi 9.1. vai 9.2.apakšpunkta finansējuma apmēru (saskaņā ar anotācijā sniegto informāciju būtu jāpalielina 9.1.apakšpunktā noteiktais ERAF finansējums). Vēršam uzmanību, ka 3.2.1.2.pasākumam papildus tiek piešķirts ERAF finansējums 17 632 933 </w:t>
            </w:r>
            <w:r w:rsidRPr="005F0CD4">
              <w:rPr>
                <w:i/>
                <w:szCs w:val="24"/>
              </w:rPr>
              <w:t>euro</w:t>
            </w:r>
            <w:r w:rsidRPr="005F0CD4">
              <w:rPr>
                <w:szCs w:val="24"/>
              </w:rPr>
              <w:t xml:space="preserve"> apmērā, kas ir par 1 </w:t>
            </w:r>
            <w:r w:rsidRPr="005F0CD4">
              <w:rPr>
                <w:i/>
                <w:szCs w:val="24"/>
              </w:rPr>
              <w:t>euro</w:t>
            </w:r>
            <w:r w:rsidRPr="005F0CD4">
              <w:rPr>
                <w:szCs w:val="24"/>
              </w:rPr>
              <w:t xml:space="preserve"> vairāk nekā šobrīd paredz noteikumu projekts.</w:t>
            </w:r>
          </w:p>
          <w:p w14:paraId="7BF42061" w14:textId="77777777" w:rsidR="003A48E9" w:rsidRPr="005F0CD4" w:rsidRDefault="003A48E9" w:rsidP="003A48E9">
            <w:pPr>
              <w:rPr>
                <w:szCs w:val="24"/>
              </w:rPr>
            </w:pPr>
            <w:r w:rsidRPr="005F0CD4">
              <w:rPr>
                <w:szCs w:val="24"/>
              </w:rPr>
              <w:t>Papildus lūdzam MK noteikumu Nr.678 9.punktā aizstāt vārdu “plānotais” ar vārdu “pieejamais”.</w:t>
            </w:r>
          </w:p>
          <w:p w14:paraId="24189C35" w14:textId="77777777" w:rsidR="003A48E9" w:rsidRPr="005F0CD4" w:rsidRDefault="003A48E9" w:rsidP="00D23EC3">
            <w:pPr>
              <w:pStyle w:val="naisc"/>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0D30B584" w14:textId="77777777" w:rsidR="003A48E9" w:rsidRPr="005F0CD4" w:rsidRDefault="003A48E9" w:rsidP="003A48E9">
            <w:pPr>
              <w:pStyle w:val="naisc"/>
              <w:spacing w:before="0" w:after="0"/>
              <w:rPr>
                <w:b/>
              </w:rPr>
            </w:pPr>
            <w:r w:rsidRPr="005F0CD4">
              <w:rPr>
                <w:b/>
              </w:rPr>
              <w:lastRenderedPageBreak/>
              <w:t>Ņemts vērā</w:t>
            </w:r>
          </w:p>
          <w:p w14:paraId="5F2D664F" w14:textId="77777777" w:rsidR="003A48E9" w:rsidRPr="005F0CD4" w:rsidRDefault="003A48E9" w:rsidP="000E67F1">
            <w:pPr>
              <w:pStyle w:val="naisc"/>
              <w:spacing w:before="0" w:after="0"/>
              <w:rPr>
                <w:b/>
              </w:rPr>
            </w:pPr>
          </w:p>
        </w:tc>
        <w:tc>
          <w:tcPr>
            <w:tcW w:w="3235" w:type="dxa"/>
            <w:tcBorders>
              <w:top w:val="single" w:sz="4" w:space="0" w:color="auto"/>
              <w:left w:val="single" w:sz="4" w:space="0" w:color="auto"/>
              <w:bottom w:val="single" w:sz="4" w:space="0" w:color="auto"/>
            </w:tcBorders>
          </w:tcPr>
          <w:p w14:paraId="389491B1" w14:textId="77777777" w:rsidR="003A48E9" w:rsidRPr="005F0CD4" w:rsidRDefault="003A48E9" w:rsidP="000E67F1">
            <w:pPr>
              <w:jc w:val="both"/>
            </w:pPr>
            <w:r w:rsidRPr="005F0CD4">
              <w:t>Precizēts MK noteikumu Nr.678 9.punkts šādā redakcijā</w:t>
            </w:r>
            <w:r w:rsidR="00882BD3" w:rsidRPr="005F0CD4">
              <w:t>:</w:t>
            </w:r>
          </w:p>
          <w:p w14:paraId="3B65EE56" w14:textId="77777777" w:rsidR="00882BD3" w:rsidRPr="005F0CD4" w:rsidRDefault="00882BD3" w:rsidP="00882BD3">
            <w:pPr>
              <w:spacing w:before="120" w:after="120"/>
              <w:jc w:val="both"/>
              <w:rPr>
                <w:szCs w:val="24"/>
              </w:rPr>
            </w:pPr>
            <w:r w:rsidRPr="005F0CD4">
              <w:rPr>
                <w:szCs w:val="24"/>
              </w:rPr>
              <w:t xml:space="preserve">"9. Pasākumam pieejamais kopējais attiecināmais finansējums ir 81 565 046 </w:t>
            </w:r>
            <w:r w:rsidRPr="005F0CD4">
              <w:rPr>
                <w:i/>
                <w:iCs/>
                <w:szCs w:val="24"/>
              </w:rPr>
              <w:t>euro</w:t>
            </w:r>
            <w:r w:rsidRPr="005F0CD4">
              <w:rPr>
                <w:szCs w:val="24"/>
              </w:rPr>
              <w:t xml:space="preserve">, tai skaitā Eiropas Reģionālās attīstības fonda finansējums – 69 330 288 </w:t>
            </w:r>
            <w:r w:rsidRPr="005F0CD4">
              <w:rPr>
                <w:i/>
                <w:iCs/>
                <w:szCs w:val="24"/>
              </w:rPr>
              <w:t>euro</w:t>
            </w:r>
            <w:r w:rsidRPr="005F0CD4">
              <w:rPr>
                <w:szCs w:val="24"/>
              </w:rPr>
              <w:t xml:space="preserve">, valsts budžeta finansējums – 5 206 388 </w:t>
            </w:r>
            <w:r w:rsidRPr="005F0CD4">
              <w:rPr>
                <w:i/>
                <w:iCs/>
                <w:szCs w:val="24"/>
              </w:rPr>
              <w:t>euro</w:t>
            </w:r>
            <w:r w:rsidRPr="005F0CD4">
              <w:rPr>
                <w:szCs w:val="24"/>
              </w:rPr>
              <w:t xml:space="preserve"> un privātais, pašvaldību un </w:t>
            </w:r>
            <w:r w:rsidRPr="005F0CD4">
              <w:rPr>
                <w:szCs w:val="24"/>
              </w:rPr>
              <w:lastRenderedPageBreak/>
              <w:t xml:space="preserve">plānošanas reģionu līdzfinansējums – 7 028 370 </w:t>
            </w:r>
            <w:r w:rsidRPr="005F0CD4">
              <w:rPr>
                <w:i/>
                <w:iCs/>
                <w:szCs w:val="24"/>
              </w:rPr>
              <w:t>euro</w:t>
            </w:r>
            <w:r w:rsidRPr="005F0CD4">
              <w:rPr>
                <w:szCs w:val="24"/>
              </w:rPr>
              <w:t>. Attiecināmais Eiropas Reģionālās attīstības fonda finansējuma apmērs nepārsniedz 85 procentus no projekta kopējā attiecināmā finansējuma, tai skaitā:</w:t>
            </w:r>
          </w:p>
          <w:p w14:paraId="50753015" w14:textId="77777777" w:rsidR="00882BD3" w:rsidRPr="005F0CD4" w:rsidRDefault="00882BD3" w:rsidP="00882BD3">
            <w:pPr>
              <w:spacing w:before="120" w:after="120"/>
              <w:jc w:val="both"/>
              <w:rPr>
                <w:szCs w:val="24"/>
              </w:rPr>
            </w:pPr>
            <w:r w:rsidRPr="005F0CD4">
              <w:rPr>
                <w:szCs w:val="24"/>
              </w:rPr>
              <w:t>9.1. šo noteikumu 11.1. apakšpunktā minētajai tiešās pārvaldes iestādei – 60 624 275 </w:t>
            </w:r>
            <w:r w:rsidRPr="005F0CD4">
              <w:rPr>
                <w:i/>
                <w:iCs/>
                <w:szCs w:val="24"/>
              </w:rPr>
              <w:t>euro</w:t>
            </w:r>
            <w:r w:rsidRPr="005F0CD4">
              <w:rPr>
                <w:szCs w:val="24"/>
              </w:rPr>
              <w:t>, tai skaitā Eiropas Reģionālās attīstības fonda finansējums – 51 530 633 </w:t>
            </w:r>
            <w:r w:rsidRPr="005F0CD4">
              <w:rPr>
                <w:i/>
                <w:iCs/>
                <w:szCs w:val="24"/>
              </w:rPr>
              <w:t>euro</w:t>
            </w:r>
            <w:r w:rsidRPr="005F0CD4">
              <w:rPr>
                <w:szCs w:val="24"/>
              </w:rPr>
              <w:t>, valsts budžeta finansējums – 3 023 133 </w:t>
            </w:r>
            <w:r w:rsidRPr="005F0CD4">
              <w:rPr>
                <w:i/>
                <w:iCs/>
                <w:szCs w:val="24"/>
              </w:rPr>
              <w:t>euro</w:t>
            </w:r>
            <w:r w:rsidRPr="005F0CD4">
              <w:rPr>
                <w:szCs w:val="24"/>
              </w:rPr>
              <w:t xml:space="preserve"> un privātais, pašvaldību un plānošanas reģionu līdzfinansējums – vismaz 6 070 509 </w:t>
            </w:r>
            <w:r w:rsidRPr="005F0CD4">
              <w:rPr>
                <w:i/>
                <w:iCs/>
                <w:szCs w:val="24"/>
              </w:rPr>
              <w:t>euro</w:t>
            </w:r>
            <w:r w:rsidRPr="005F0CD4">
              <w:rPr>
                <w:szCs w:val="24"/>
              </w:rPr>
              <w:t>;</w:t>
            </w:r>
          </w:p>
          <w:p w14:paraId="6BBAC25B" w14:textId="1A5216BA" w:rsidR="00882BD3" w:rsidRPr="0053127B" w:rsidRDefault="00882BD3" w:rsidP="00AA771B">
            <w:pPr>
              <w:spacing w:before="120" w:after="120"/>
              <w:jc w:val="both"/>
            </w:pPr>
            <w:r w:rsidRPr="005F0CD4">
              <w:rPr>
                <w:szCs w:val="24"/>
              </w:rPr>
              <w:t xml:space="preserve">9.2. šo noteikumu 11.2. apakšpunktā minētajai tiešās pārvaldes iestādei – 20 940 771 </w:t>
            </w:r>
            <w:r w:rsidRPr="005F0CD4">
              <w:rPr>
                <w:i/>
                <w:iCs/>
                <w:szCs w:val="24"/>
              </w:rPr>
              <w:t>euro</w:t>
            </w:r>
            <w:r w:rsidRPr="005F0CD4">
              <w:rPr>
                <w:szCs w:val="24"/>
              </w:rPr>
              <w:t xml:space="preserve">, tai skaitā Eiropas Reģionālās attīstības fonda finansējums – 17 799 655 </w:t>
            </w:r>
            <w:r w:rsidRPr="005F0CD4">
              <w:rPr>
                <w:i/>
                <w:iCs/>
                <w:szCs w:val="24"/>
              </w:rPr>
              <w:t>euro</w:t>
            </w:r>
            <w:r w:rsidRPr="005F0CD4">
              <w:rPr>
                <w:szCs w:val="24"/>
              </w:rPr>
              <w:t xml:space="preserve">, valsts budžeta finansējums – 2 183 255 </w:t>
            </w:r>
            <w:r w:rsidRPr="005F0CD4">
              <w:rPr>
                <w:i/>
                <w:iCs/>
                <w:szCs w:val="24"/>
              </w:rPr>
              <w:t>euro</w:t>
            </w:r>
            <w:r w:rsidRPr="005F0CD4">
              <w:rPr>
                <w:szCs w:val="24"/>
              </w:rPr>
              <w:t xml:space="preserve"> un privātais, pašvaldību un plānošanas reģionu </w:t>
            </w:r>
            <w:r w:rsidRPr="005F0CD4">
              <w:rPr>
                <w:szCs w:val="24"/>
              </w:rPr>
              <w:lastRenderedPageBreak/>
              <w:t xml:space="preserve">līdzfinansējums – vismaz 957 861 </w:t>
            </w:r>
            <w:r w:rsidRPr="005F0CD4">
              <w:rPr>
                <w:i/>
                <w:iCs/>
                <w:szCs w:val="24"/>
              </w:rPr>
              <w:t>euro</w:t>
            </w:r>
            <w:r w:rsidRPr="005F0CD4">
              <w:rPr>
                <w:szCs w:val="24"/>
              </w:rPr>
              <w:t>."</w:t>
            </w:r>
          </w:p>
        </w:tc>
      </w:tr>
      <w:tr w:rsidR="003A48E9" w:rsidRPr="007E6672" w14:paraId="07879B8B"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EB97DFF" w14:textId="77777777" w:rsidR="003A48E9" w:rsidRPr="007E6672" w:rsidRDefault="003A48E9" w:rsidP="000E67F1">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D235428" w14:textId="0C8F8CCF" w:rsidR="003A48E9" w:rsidRPr="005F0CD4" w:rsidRDefault="00AA771B" w:rsidP="000E67F1">
            <w:pPr>
              <w:pStyle w:val="naisc"/>
              <w:spacing w:before="0" w:after="0"/>
              <w:jc w:val="both"/>
            </w:pPr>
            <w:r w:rsidRPr="005F0CD4">
              <w:t>MK noteikumu projekts</w:t>
            </w:r>
          </w:p>
        </w:tc>
        <w:tc>
          <w:tcPr>
            <w:tcW w:w="4253" w:type="dxa"/>
            <w:tcBorders>
              <w:top w:val="single" w:sz="6" w:space="0" w:color="000000"/>
              <w:left w:val="single" w:sz="6" w:space="0" w:color="000000"/>
              <w:bottom w:val="single" w:sz="6" w:space="0" w:color="000000"/>
              <w:right w:val="single" w:sz="6" w:space="0" w:color="000000"/>
            </w:tcBorders>
          </w:tcPr>
          <w:p w14:paraId="29BA385E" w14:textId="4EB61B0C" w:rsidR="003A48E9" w:rsidRPr="005F0CD4" w:rsidRDefault="003A48E9" w:rsidP="003A48E9">
            <w:pPr>
              <w:pStyle w:val="naisc"/>
              <w:spacing w:before="0" w:after="0"/>
              <w:jc w:val="both"/>
              <w:rPr>
                <w:b/>
              </w:rPr>
            </w:pPr>
            <w:r w:rsidRPr="005F0CD4">
              <w:rPr>
                <w:b/>
              </w:rPr>
              <w:t>Finanšu ministrijas 07.07.2020. atzinums</w:t>
            </w:r>
          </w:p>
          <w:p w14:paraId="002E749E" w14:textId="77777777" w:rsidR="00AA771B" w:rsidRPr="005F0CD4" w:rsidRDefault="00AA771B" w:rsidP="00AA771B">
            <w:pPr>
              <w:jc w:val="both"/>
              <w:rPr>
                <w:szCs w:val="24"/>
              </w:rPr>
            </w:pPr>
            <w:r w:rsidRPr="005F0CD4">
              <w:rPr>
                <w:szCs w:val="24"/>
              </w:rPr>
              <w:t>Lūdzam papildināt MK noteikumus Nr. 678 ar normu, kas paredzētu, ka 18.5.</w:t>
            </w:r>
            <w:r w:rsidRPr="005F0CD4">
              <w:rPr>
                <w:szCs w:val="24"/>
                <w:vertAlign w:val="superscript"/>
              </w:rPr>
              <w:t>1</w:t>
            </w:r>
            <w:r w:rsidRPr="005F0CD4">
              <w:rPr>
                <w:szCs w:val="24"/>
              </w:rPr>
              <w:t xml:space="preserve"> apakšpunktā minētā atbalstamā darbība komersantam ir pieejama līdz divām reizēm kalendarajā gadā (pēc analoģijas ar MK noteikumu Nr.678 14.</w:t>
            </w:r>
            <w:r w:rsidRPr="005F0CD4">
              <w:rPr>
                <w:szCs w:val="24"/>
                <w:vertAlign w:val="superscript"/>
              </w:rPr>
              <w:t>7</w:t>
            </w:r>
            <w:r w:rsidRPr="005F0CD4">
              <w:rPr>
                <w:szCs w:val="24"/>
              </w:rPr>
              <w:t xml:space="preserve"> punktu).</w:t>
            </w:r>
          </w:p>
          <w:p w14:paraId="3B3876B3" w14:textId="77777777" w:rsidR="00AA771B" w:rsidRPr="005F0CD4" w:rsidRDefault="00AA771B" w:rsidP="003A48E9">
            <w:pPr>
              <w:pStyle w:val="naisc"/>
              <w:spacing w:before="0" w:after="0"/>
              <w:jc w:val="both"/>
              <w:rPr>
                <w:b/>
              </w:rPr>
            </w:pPr>
          </w:p>
          <w:p w14:paraId="4F608F65" w14:textId="77777777" w:rsidR="003A48E9" w:rsidRPr="005F0CD4" w:rsidRDefault="003A48E9" w:rsidP="003A48E9">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13CC5B28" w14:textId="77777777" w:rsidR="002734D3" w:rsidRPr="005F0CD4" w:rsidRDefault="002734D3" w:rsidP="002734D3">
            <w:pPr>
              <w:pStyle w:val="naisc"/>
              <w:spacing w:before="0" w:after="0"/>
              <w:rPr>
                <w:b/>
              </w:rPr>
            </w:pPr>
            <w:r w:rsidRPr="005F0CD4">
              <w:rPr>
                <w:b/>
              </w:rPr>
              <w:t>Ņemts vērā</w:t>
            </w:r>
          </w:p>
          <w:p w14:paraId="466A021D" w14:textId="77777777" w:rsidR="003A48E9" w:rsidRPr="005F0CD4" w:rsidRDefault="003A48E9" w:rsidP="000E67F1">
            <w:pPr>
              <w:pStyle w:val="naisc"/>
              <w:spacing w:before="0" w:after="0"/>
              <w:rPr>
                <w:b/>
              </w:rPr>
            </w:pPr>
          </w:p>
        </w:tc>
        <w:tc>
          <w:tcPr>
            <w:tcW w:w="3235" w:type="dxa"/>
            <w:tcBorders>
              <w:top w:val="single" w:sz="4" w:space="0" w:color="auto"/>
              <w:left w:val="single" w:sz="4" w:space="0" w:color="auto"/>
              <w:bottom w:val="single" w:sz="4" w:space="0" w:color="auto"/>
            </w:tcBorders>
          </w:tcPr>
          <w:p w14:paraId="493A75FF" w14:textId="1311134F" w:rsidR="002734D3" w:rsidRPr="005F0CD4" w:rsidRDefault="002734D3" w:rsidP="002734D3">
            <w:pPr>
              <w:spacing w:before="120" w:after="120"/>
              <w:jc w:val="both"/>
            </w:pPr>
            <w:r w:rsidRPr="005F0CD4">
              <w:t>MK noteikum</w:t>
            </w:r>
            <w:r w:rsidR="006F7BEC" w:rsidRPr="005F0CD4">
              <w:t>i</w:t>
            </w:r>
            <w:r w:rsidRPr="005F0CD4">
              <w:t xml:space="preserve"> Nr.678 papildināti ar 14.</w:t>
            </w:r>
            <w:r w:rsidRPr="005F0CD4">
              <w:rPr>
                <w:vertAlign w:val="superscript"/>
              </w:rPr>
              <w:t>8</w:t>
            </w:r>
            <w:r w:rsidRPr="005F0CD4">
              <w:t xml:space="preserve"> punktu šādā redakcijā:</w:t>
            </w:r>
          </w:p>
          <w:p w14:paraId="7CA00154" w14:textId="6B521128" w:rsidR="002734D3" w:rsidRPr="001D425C" w:rsidRDefault="002734D3" w:rsidP="002734D3">
            <w:pPr>
              <w:spacing w:before="120" w:after="120"/>
              <w:jc w:val="both"/>
              <w:rPr>
                <w:szCs w:val="24"/>
              </w:rPr>
            </w:pPr>
            <w:r w:rsidRPr="005F0CD4">
              <w:rPr>
                <w:szCs w:val="24"/>
              </w:rPr>
              <w:t>“14.</w:t>
            </w:r>
            <w:r w:rsidRPr="005F0CD4">
              <w:rPr>
                <w:szCs w:val="24"/>
                <w:vertAlign w:val="superscript"/>
              </w:rPr>
              <w:t xml:space="preserve">8 </w:t>
            </w:r>
            <w:r w:rsidRPr="005F0CD4">
              <w:rPr>
                <w:szCs w:val="24"/>
              </w:rPr>
              <w:t>Viena kalendāra gada laikā viens gala labuma guvējs var saņemt atbalstu ne vairāk  kā divām šo noteikumu 18.5.</w:t>
            </w:r>
            <w:r w:rsidRPr="005F0CD4">
              <w:rPr>
                <w:szCs w:val="24"/>
                <w:vertAlign w:val="superscript"/>
              </w:rPr>
              <w:t>1</w:t>
            </w:r>
            <w:r w:rsidRPr="005F0CD4">
              <w:rPr>
                <w:szCs w:val="24"/>
              </w:rPr>
              <w:t xml:space="preserve"> apakšpunktā minētajām dalībām </w:t>
            </w:r>
            <w:r w:rsidRPr="005F0CD4">
              <w:rPr>
                <w:rFonts w:eastAsia="Times New Roman"/>
                <w:color w:val="201F1E"/>
                <w:szCs w:val="24"/>
                <w:bdr w:val="none" w:sz="0" w:space="0" w:color="auto" w:frame="1"/>
                <w:lang w:eastAsia="lv-LV"/>
              </w:rPr>
              <w:t>tūrisma un darījumu tūrisma konferencēs/forumos ārvalstīs ar individuālo stendu, ar prezentāciju vai kā klausītājam/apmeklētājam</w:t>
            </w:r>
            <w:r w:rsidRPr="005F0CD4">
              <w:rPr>
                <w:szCs w:val="24"/>
              </w:rPr>
              <w:t xml:space="preserve"> dalībām konferencēs un forumos kā klausītājam/apmeklētājam.”.</w:t>
            </w:r>
          </w:p>
          <w:p w14:paraId="6BDFE601" w14:textId="215FDD2B" w:rsidR="003A48E9" w:rsidRPr="0053127B" w:rsidRDefault="003A48E9" w:rsidP="000E67F1">
            <w:pPr>
              <w:jc w:val="both"/>
            </w:pPr>
          </w:p>
        </w:tc>
      </w:tr>
      <w:tr w:rsidR="006F7BEC" w:rsidRPr="007E6672" w14:paraId="397209B9"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866DB9D" w14:textId="77777777" w:rsidR="006F7BEC" w:rsidRPr="007E6672" w:rsidRDefault="006F7BEC" w:rsidP="006F7BEC">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1D04181D" w14:textId="1D3AF950" w:rsidR="006F7BEC" w:rsidRPr="005F0CD4" w:rsidRDefault="006F7BEC" w:rsidP="006F7BEC">
            <w:pPr>
              <w:pStyle w:val="naisc"/>
              <w:spacing w:before="0" w:after="0"/>
              <w:jc w:val="both"/>
            </w:pPr>
            <w:r w:rsidRPr="005F0CD4">
              <w:t xml:space="preserve">MK noteikumi Nr. 678 </w:t>
            </w:r>
          </w:p>
        </w:tc>
        <w:tc>
          <w:tcPr>
            <w:tcW w:w="4253" w:type="dxa"/>
            <w:tcBorders>
              <w:top w:val="single" w:sz="6" w:space="0" w:color="000000"/>
              <w:left w:val="single" w:sz="6" w:space="0" w:color="000000"/>
              <w:bottom w:val="single" w:sz="6" w:space="0" w:color="000000"/>
              <w:right w:val="single" w:sz="6" w:space="0" w:color="000000"/>
            </w:tcBorders>
          </w:tcPr>
          <w:p w14:paraId="792BF047" w14:textId="77777777" w:rsidR="006F7BEC" w:rsidRPr="005F0CD4" w:rsidRDefault="006F7BEC" w:rsidP="006F7BEC">
            <w:pPr>
              <w:pStyle w:val="naisc"/>
              <w:spacing w:before="0" w:after="0"/>
              <w:jc w:val="both"/>
              <w:rPr>
                <w:b/>
              </w:rPr>
            </w:pPr>
            <w:r w:rsidRPr="005F0CD4">
              <w:rPr>
                <w:b/>
              </w:rPr>
              <w:t>Finanšu ministrijas 07.07.2020. atzinums</w:t>
            </w:r>
          </w:p>
          <w:p w14:paraId="411DD099" w14:textId="0D6AFE8A" w:rsidR="006F7BEC" w:rsidRPr="005F0CD4" w:rsidRDefault="006F7BEC" w:rsidP="006F7BEC">
            <w:pPr>
              <w:jc w:val="both"/>
              <w:rPr>
                <w:b/>
              </w:rPr>
            </w:pPr>
            <w:r w:rsidRPr="005F0CD4">
              <w:rPr>
                <w:szCs w:val="24"/>
              </w:rPr>
              <w:t>Vēršam</w:t>
            </w:r>
            <w:r w:rsidRPr="005F0CD4">
              <w:t xml:space="preserve"> uzmanību, ka noteikumu 34.7.apakšpunktā paredzēts attiecināt</w:t>
            </w:r>
            <w:r w:rsidRPr="005F0CD4">
              <w:rPr>
                <w:u w:val="single"/>
              </w:rPr>
              <w:t xml:space="preserve"> mārketinga materiālu iegādes</w:t>
            </w:r>
            <w:r w:rsidRPr="005F0CD4">
              <w:t xml:space="preserve"> izmaksas, savukārt 34.9.apakšpunktā – </w:t>
            </w:r>
            <w:r w:rsidRPr="005F0CD4">
              <w:rPr>
                <w:u w:val="single"/>
              </w:rPr>
              <w:t>mārketinga materiālu transportēšanas iekraušanas, izkraušanas un uzglabāšanas izmaksas</w:t>
            </w:r>
            <w:r w:rsidRPr="005F0CD4">
              <w:t xml:space="preserve">, taču pie 34.9.apakšpunkta parādās arī </w:t>
            </w:r>
            <w:r w:rsidRPr="005F0CD4">
              <w:rPr>
                <w:u w:val="single"/>
              </w:rPr>
              <w:t>produktu iegāde</w:t>
            </w:r>
            <w:r w:rsidRPr="005F0CD4">
              <w:t xml:space="preserve"> – nav saprotams, kas tie </w:t>
            </w:r>
            <w:r w:rsidRPr="005F0CD4">
              <w:lastRenderedPageBreak/>
              <w:t>par produktiem un vai tas nedublē 34.7.apakšpunktā iekļauto. Attiecīgi lūdzam sniegt skaidrojumu un vienlaikus, ja nepieciešams, precizēt noteikumu projektu, lai novērstu neskaidrības normu piemērošanā.</w:t>
            </w:r>
          </w:p>
        </w:tc>
        <w:tc>
          <w:tcPr>
            <w:tcW w:w="3827" w:type="dxa"/>
            <w:gridSpan w:val="2"/>
            <w:tcBorders>
              <w:top w:val="single" w:sz="6" w:space="0" w:color="000000"/>
              <w:left w:val="single" w:sz="6" w:space="0" w:color="000000"/>
              <w:bottom w:val="single" w:sz="6" w:space="0" w:color="000000"/>
              <w:right w:val="single" w:sz="6" w:space="0" w:color="000000"/>
            </w:tcBorders>
          </w:tcPr>
          <w:p w14:paraId="20B04BDE" w14:textId="77777777" w:rsidR="006F7BEC" w:rsidRPr="005F0CD4" w:rsidRDefault="006F7BEC" w:rsidP="006F7BEC">
            <w:pPr>
              <w:pStyle w:val="naisc"/>
              <w:spacing w:before="0" w:after="0"/>
              <w:rPr>
                <w:b/>
              </w:rPr>
            </w:pPr>
            <w:r w:rsidRPr="005F0CD4">
              <w:rPr>
                <w:b/>
              </w:rPr>
              <w:lastRenderedPageBreak/>
              <w:t>Ņemts vērā</w:t>
            </w:r>
          </w:p>
          <w:p w14:paraId="3D944941" w14:textId="0470D42C" w:rsidR="00CA09D6" w:rsidRPr="005F0CD4" w:rsidRDefault="006F7BEC" w:rsidP="00CA09D6">
            <w:pPr>
              <w:pStyle w:val="CommentText"/>
              <w:jc w:val="both"/>
              <w:rPr>
                <w:sz w:val="24"/>
                <w:szCs w:val="24"/>
              </w:rPr>
            </w:pPr>
            <w:r w:rsidRPr="005F0CD4">
              <w:rPr>
                <w:sz w:val="24"/>
                <w:szCs w:val="24"/>
              </w:rPr>
              <w:t xml:space="preserve">Skaidrojam, ka </w:t>
            </w:r>
            <w:r w:rsidR="00CA09D6" w:rsidRPr="005F0CD4">
              <w:rPr>
                <w:sz w:val="24"/>
                <w:szCs w:val="24"/>
              </w:rPr>
              <w:t xml:space="preserve">34.9. punktā produktu iegāde tiek attiecināta uz LIAA organizētiem eksporta pasākumiem, kā Latvijas dienas ārvalstīs vai pieņemšanas pasākumu nodrošināšanai valsts amatpersonu vizīšu laikā, līdz ar to tas nedublē 34.7.apakšpunktā iekļautās </w:t>
            </w:r>
            <w:r w:rsidR="00CA09D6" w:rsidRPr="005F0CD4">
              <w:rPr>
                <w:sz w:val="24"/>
                <w:szCs w:val="24"/>
              </w:rPr>
              <w:lastRenderedPageBreak/>
              <w:t>mārketinga materiālu iegādes izmaksas.</w:t>
            </w:r>
          </w:p>
          <w:p w14:paraId="2FD86309" w14:textId="7CCB2930" w:rsidR="006F7BEC" w:rsidRPr="00D23EC3" w:rsidRDefault="006F7BEC" w:rsidP="006F7BEC">
            <w:pPr>
              <w:pStyle w:val="naisc"/>
              <w:spacing w:before="0" w:after="0"/>
              <w:rPr>
                <w:b/>
              </w:rPr>
            </w:pPr>
          </w:p>
        </w:tc>
        <w:tc>
          <w:tcPr>
            <w:tcW w:w="3235" w:type="dxa"/>
            <w:tcBorders>
              <w:top w:val="single" w:sz="4" w:space="0" w:color="auto"/>
              <w:left w:val="single" w:sz="4" w:space="0" w:color="auto"/>
              <w:bottom w:val="single" w:sz="4" w:space="0" w:color="auto"/>
            </w:tcBorders>
          </w:tcPr>
          <w:p w14:paraId="1B5C27DD" w14:textId="77777777" w:rsidR="006F7BEC" w:rsidRPr="0053127B" w:rsidRDefault="006F7BEC" w:rsidP="006F7BEC">
            <w:pPr>
              <w:jc w:val="both"/>
            </w:pPr>
          </w:p>
        </w:tc>
      </w:tr>
      <w:tr w:rsidR="006F7BEC" w:rsidRPr="007E6672" w14:paraId="337466E9"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4F27E08" w14:textId="77777777" w:rsidR="006F7BEC" w:rsidRPr="007E6672" w:rsidRDefault="006F7BEC" w:rsidP="006F7BEC">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15D9F105" w14:textId="7A19A72E" w:rsidR="006F7BEC" w:rsidRPr="005F0CD4" w:rsidRDefault="006F7BEC" w:rsidP="006F7BEC">
            <w:pPr>
              <w:pStyle w:val="naisc"/>
              <w:spacing w:before="0" w:after="0"/>
              <w:jc w:val="both"/>
            </w:pPr>
            <w:r w:rsidRPr="005F0CD4">
              <w:t>MK noteikumu projekts</w:t>
            </w:r>
          </w:p>
        </w:tc>
        <w:tc>
          <w:tcPr>
            <w:tcW w:w="4253" w:type="dxa"/>
            <w:tcBorders>
              <w:top w:val="single" w:sz="6" w:space="0" w:color="000000"/>
              <w:left w:val="single" w:sz="6" w:space="0" w:color="000000"/>
              <w:bottom w:val="single" w:sz="6" w:space="0" w:color="000000"/>
              <w:right w:val="single" w:sz="6" w:space="0" w:color="000000"/>
            </w:tcBorders>
          </w:tcPr>
          <w:p w14:paraId="25ADD5B8" w14:textId="77777777" w:rsidR="006F7BEC" w:rsidRPr="005F0CD4" w:rsidRDefault="006F7BEC" w:rsidP="006F7BEC">
            <w:pPr>
              <w:pStyle w:val="naisc"/>
              <w:spacing w:before="0" w:after="0"/>
              <w:jc w:val="both"/>
              <w:rPr>
                <w:b/>
              </w:rPr>
            </w:pPr>
            <w:r w:rsidRPr="005F0CD4">
              <w:rPr>
                <w:b/>
              </w:rPr>
              <w:t>Finanšu ministrijas 07.07.2020. atzinums</w:t>
            </w:r>
          </w:p>
          <w:p w14:paraId="4DE6D1DB" w14:textId="77777777" w:rsidR="006F7BEC" w:rsidRPr="005F0CD4" w:rsidRDefault="006F7BEC" w:rsidP="006F7BEC">
            <w:pPr>
              <w:jc w:val="both"/>
              <w:rPr>
                <w:sz w:val="22"/>
              </w:rPr>
            </w:pPr>
            <w:r w:rsidRPr="005F0CD4">
              <w:t xml:space="preserve">Vēršam uzmanību, ka </w:t>
            </w:r>
            <w:r w:rsidRPr="005F0CD4">
              <w:rPr>
                <w:i/>
                <w:iCs/>
              </w:rPr>
              <w:t xml:space="preserve">de minimis </w:t>
            </w:r>
            <w:r w:rsidRPr="005F0CD4">
              <w:t xml:space="preserve">atbalstu saskaņā ar Eiropas Komisijas 2013. gada 18. decembra Regulu (ES) Nr.1407/2013 par Līguma par Eiropas Savienības darbību 107. un 108. panta piemērošanu </w:t>
            </w:r>
            <w:r w:rsidRPr="005F0CD4">
              <w:rPr>
                <w:i/>
                <w:iCs/>
              </w:rPr>
              <w:t>de minimis</w:t>
            </w:r>
            <w:r w:rsidRPr="005F0CD4">
              <w:t xml:space="preserve"> atbalstam (turpmāk – Komisijas regula Nr.1407/2013) nepiešķir darbībām, kas saistītas ar eksportu uz trešām valstīm vai dalībvalstīm, tas ir, atbalstu, kas tieši saistīts ar eksportētajiem daudzumiem, izplatīšanas tīkla izveidi un darbību vai citiem kārtējiem izdevumiem, kas saistīti ar eksporta darbībām, t.i., neatbalstāmām darbībām, kas minētas Komisijas regulas Nr.1407/2013 1.panta 1.punkta d) apakšpunktā (šis nosacījums arī ir iekļauts </w:t>
            </w:r>
            <w:r w:rsidRPr="005F0CD4">
              <w:rPr>
                <w:color w:val="000000"/>
                <w:lang w:eastAsia="lv-LV"/>
              </w:rPr>
              <w:t>nolikuma 24.1. apakšpunktā)</w:t>
            </w:r>
            <w:r w:rsidRPr="005F0CD4">
              <w:t>. Vienlaikus noteikumu projekts paredz atbalstu tādām darbībām, kā piemēram:</w:t>
            </w:r>
          </w:p>
          <w:p w14:paraId="2B0D916E" w14:textId="77777777" w:rsidR="006F7BEC" w:rsidRPr="005F0CD4" w:rsidRDefault="006F7BEC" w:rsidP="006F7BEC">
            <w:pPr>
              <w:pStyle w:val="ListParagraph"/>
              <w:numPr>
                <w:ilvl w:val="0"/>
                <w:numId w:val="10"/>
              </w:numPr>
              <w:spacing w:after="0" w:line="240" w:lineRule="auto"/>
              <w:ind w:left="1418"/>
              <w:jc w:val="both"/>
            </w:pPr>
            <w:r w:rsidRPr="005F0CD4">
              <w:t xml:space="preserve">14.9. digitālā mārketinga pakalpojumu atbalsta nodrošināšana; </w:t>
            </w:r>
          </w:p>
          <w:p w14:paraId="4290FEC1" w14:textId="77777777" w:rsidR="006F7BEC" w:rsidRPr="005F0CD4" w:rsidRDefault="006F7BEC" w:rsidP="006F7BEC">
            <w:pPr>
              <w:pStyle w:val="ListParagraph"/>
              <w:numPr>
                <w:ilvl w:val="0"/>
                <w:numId w:val="10"/>
              </w:numPr>
              <w:spacing w:after="0" w:line="240" w:lineRule="auto"/>
              <w:ind w:left="1418"/>
              <w:jc w:val="both"/>
            </w:pPr>
            <w:r w:rsidRPr="005F0CD4">
              <w:t xml:space="preserve">14.14. atbalsta nodrošināšana pasākuma </w:t>
            </w:r>
            <w:r w:rsidRPr="005F0CD4">
              <w:lastRenderedPageBreak/>
              <w:t>mērķa grupas zīmola vai produkta/pakalpojuma publicitātei ārvalstu specializētajos nozaru medijos gan drukātajos, gan digitālajos;</w:t>
            </w:r>
          </w:p>
          <w:p w14:paraId="4F8A0B21" w14:textId="77777777" w:rsidR="006F7BEC" w:rsidRPr="005F0CD4" w:rsidRDefault="006F7BEC" w:rsidP="006F7BEC">
            <w:pPr>
              <w:pStyle w:val="ListParagraph"/>
              <w:numPr>
                <w:ilvl w:val="0"/>
                <w:numId w:val="10"/>
              </w:numPr>
              <w:spacing w:after="0" w:line="240" w:lineRule="auto"/>
              <w:ind w:left="1418"/>
              <w:jc w:val="both"/>
            </w:pPr>
            <w:r w:rsidRPr="005F0CD4">
              <w:t>14.15. atbalsta nodrošināšana pasākuma mērķa grupai telemārketinga pakalpojumiem nozaru ārvalstu sadarbības partneru meklēšanai;</w:t>
            </w:r>
          </w:p>
          <w:p w14:paraId="7DD9C2BB" w14:textId="77777777" w:rsidR="006F7BEC" w:rsidRPr="005F0CD4" w:rsidRDefault="006F7BEC" w:rsidP="006F7BEC">
            <w:pPr>
              <w:pStyle w:val="ListParagraph"/>
              <w:numPr>
                <w:ilvl w:val="0"/>
                <w:numId w:val="10"/>
              </w:numPr>
              <w:spacing w:after="0" w:line="240" w:lineRule="auto"/>
              <w:ind w:left="1418"/>
              <w:jc w:val="both"/>
            </w:pPr>
            <w:r w:rsidRPr="005F0CD4">
              <w:t>18.8. atbalsta nodrošināšana pasākuma mērķa grupai publicitātei ārvalstu tūrisma un darījumu tūrisma medijos.</w:t>
            </w:r>
          </w:p>
          <w:p w14:paraId="261086A8" w14:textId="77777777" w:rsidR="006F7BEC" w:rsidRPr="005F0CD4" w:rsidRDefault="006F7BEC" w:rsidP="006F7BEC">
            <w:pPr>
              <w:jc w:val="both"/>
            </w:pPr>
            <w:r w:rsidRPr="005F0CD4">
              <w:t>Attiecīgi lūdzam papildināt noteikumu projektu ar grozījumiem MK noteikumu 49. punktā, attiecinot tā prasības arī uz noteikumu projekta 11. punktā minēto MK noteikumu 14.9., 14.14., 14.15. un 18.8. apakšpunktā noteiktajām atbalstāmajām darbībām.</w:t>
            </w:r>
          </w:p>
          <w:p w14:paraId="650006E2" w14:textId="77777777" w:rsidR="006F7BEC" w:rsidRPr="005F0CD4" w:rsidRDefault="006F7BEC" w:rsidP="006F7BEC">
            <w:pPr>
              <w:pStyle w:val="naisc"/>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265B3EFE" w14:textId="77777777" w:rsidR="006F7BEC" w:rsidRPr="005F0CD4" w:rsidRDefault="006F7BEC" w:rsidP="006F7BEC">
            <w:pPr>
              <w:pStyle w:val="naisc"/>
              <w:spacing w:before="0" w:after="0"/>
              <w:rPr>
                <w:b/>
              </w:rPr>
            </w:pPr>
            <w:r w:rsidRPr="005F0CD4">
              <w:rPr>
                <w:b/>
              </w:rPr>
              <w:lastRenderedPageBreak/>
              <w:t>Ņemts vērā</w:t>
            </w:r>
          </w:p>
          <w:p w14:paraId="4D150389" w14:textId="77777777" w:rsidR="006F7BEC" w:rsidRPr="005F0CD4" w:rsidRDefault="006F7BEC" w:rsidP="006F7BEC">
            <w:pPr>
              <w:pStyle w:val="naisc"/>
              <w:spacing w:before="0" w:after="0"/>
              <w:rPr>
                <w:b/>
              </w:rPr>
            </w:pPr>
          </w:p>
        </w:tc>
        <w:tc>
          <w:tcPr>
            <w:tcW w:w="3235" w:type="dxa"/>
            <w:tcBorders>
              <w:top w:val="single" w:sz="4" w:space="0" w:color="auto"/>
              <w:left w:val="single" w:sz="4" w:space="0" w:color="auto"/>
              <w:bottom w:val="single" w:sz="4" w:space="0" w:color="auto"/>
            </w:tcBorders>
          </w:tcPr>
          <w:p w14:paraId="4467D1D4" w14:textId="3FC7A249" w:rsidR="006F7BEC" w:rsidRPr="005F0CD4" w:rsidRDefault="006F7BEC" w:rsidP="006F7BEC">
            <w:pPr>
              <w:spacing w:before="120" w:after="120"/>
              <w:jc w:val="both"/>
            </w:pPr>
            <w:r w:rsidRPr="005F0CD4">
              <w:t>Precizēts MK noteikumu Nr.678 49. punkts šādā redakcijā:</w:t>
            </w:r>
          </w:p>
          <w:p w14:paraId="3A358D24" w14:textId="64B90405" w:rsidR="006F7BEC" w:rsidRPr="0053127B" w:rsidRDefault="006F7BEC" w:rsidP="006F7BEC">
            <w:pPr>
              <w:jc w:val="both"/>
            </w:pPr>
            <w:r w:rsidRPr="005F0CD4">
              <w:t xml:space="preserve">“49. Šo noteikumu </w:t>
            </w:r>
            <w:bookmarkStart w:id="2" w:name="_Hlk45043236"/>
            <w:r w:rsidRPr="005F0CD4">
              <w:t xml:space="preserve">14.2.2., </w:t>
            </w:r>
            <w:bookmarkStart w:id="3" w:name="_Hlk45043258"/>
            <w:bookmarkEnd w:id="2"/>
            <w:r w:rsidRPr="005F0CD4">
              <w:t xml:space="preserve">14.9., 14.14., 14.15. un 18.8. </w:t>
            </w:r>
            <w:bookmarkEnd w:id="3"/>
            <w:r w:rsidRPr="005F0CD4">
              <w:t>apakšpunktā minētās atbalstāmās darbības ietvaros organizējot reklāmas pasākumus, ievēro nosacījumu, ka reklāmas kampaņa ir vispārēja, tā sniedz labumu visiem attiecīgā veida produktu ražotājiem, reklāmas ietvaros netiek minēta produktu izcelsmes valsts un reklāmu var īstenot komersanti neatkarīgi no to lieluma.”</w:t>
            </w:r>
          </w:p>
        </w:tc>
      </w:tr>
      <w:tr w:rsidR="006F7BEC" w:rsidRPr="007E6672" w14:paraId="2F98B50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39CC167" w14:textId="77777777" w:rsidR="006F7BEC" w:rsidRPr="007E6672" w:rsidRDefault="006F7BEC" w:rsidP="006F7BEC">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FB44E34" w14:textId="4208FE9C" w:rsidR="006F7BEC" w:rsidRPr="005F0CD4" w:rsidRDefault="006924F6" w:rsidP="006F7BEC">
            <w:pPr>
              <w:pStyle w:val="naisc"/>
              <w:spacing w:before="0" w:after="0"/>
              <w:jc w:val="both"/>
            </w:pPr>
            <w:r w:rsidRPr="005F0CD4">
              <w:t>MK noteikumi Nr. 678</w:t>
            </w:r>
          </w:p>
        </w:tc>
        <w:tc>
          <w:tcPr>
            <w:tcW w:w="4253" w:type="dxa"/>
            <w:tcBorders>
              <w:top w:val="single" w:sz="6" w:space="0" w:color="000000"/>
              <w:left w:val="single" w:sz="6" w:space="0" w:color="000000"/>
              <w:bottom w:val="single" w:sz="6" w:space="0" w:color="000000"/>
              <w:right w:val="single" w:sz="6" w:space="0" w:color="000000"/>
            </w:tcBorders>
          </w:tcPr>
          <w:p w14:paraId="18ECCC7D" w14:textId="77777777" w:rsidR="006F7BEC" w:rsidRPr="005F0CD4" w:rsidRDefault="006F7BEC" w:rsidP="006F7BEC">
            <w:pPr>
              <w:pStyle w:val="naisc"/>
              <w:spacing w:before="0" w:after="0"/>
              <w:jc w:val="both"/>
              <w:rPr>
                <w:b/>
              </w:rPr>
            </w:pPr>
            <w:r w:rsidRPr="005F0CD4">
              <w:rPr>
                <w:b/>
              </w:rPr>
              <w:t>Finanšu ministrijas 07.07.2020. atzinums</w:t>
            </w:r>
          </w:p>
          <w:p w14:paraId="6E5B3D32" w14:textId="77777777" w:rsidR="006924F6" w:rsidRPr="005F0CD4" w:rsidRDefault="006924F6" w:rsidP="006924F6">
            <w:pPr>
              <w:jc w:val="both"/>
              <w:rPr>
                <w:sz w:val="20"/>
                <w:lang w:eastAsia="lv-LV"/>
              </w:rPr>
            </w:pPr>
            <w:r w:rsidRPr="005F0CD4">
              <w:rPr>
                <w:szCs w:val="24"/>
              </w:rPr>
              <w:t>Ņemot</w:t>
            </w:r>
            <w:r w:rsidRPr="005F0CD4">
              <w:t xml:space="preserve"> vērā, ka valsts atbalstu gala saņēmējiem piešķir finansējuma saņēmējs, nevis sadarbības iestāde, turklāt, Regulas Nr.1407/2013 prasību pārkāpumus var potenciāli izdarīt arī atbalsta sniedzējs, lūdzam papildināt </w:t>
            </w:r>
            <w:r w:rsidRPr="005F0CD4">
              <w:lastRenderedPageBreak/>
              <w:t>noteikumu V. nodaļu ar 52.1 punktu šādā redakcijā:</w:t>
            </w:r>
          </w:p>
          <w:p w14:paraId="3D47A02C" w14:textId="77777777" w:rsidR="006924F6" w:rsidRPr="005F0CD4" w:rsidRDefault="006924F6" w:rsidP="006924F6">
            <w:pPr>
              <w:jc w:val="both"/>
            </w:pPr>
            <w:r w:rsidRPr="005F0CD4">
              <w:t xml:space="preserve">“52.1 </w:t>
            </w:r>
            <w:bookmarkStart w:id="4" w:name="_Hlk45043385"/>
            <w:r w:rsidRPr="005F0CD4">
              <w:t>Ja tiek pārkāptas Regulas Nr.1407/2013 prasības, valsts atbalsta saņēmējs atmaksā finansējuma saņēmējam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valsts atbalsta saņēmējam, līdz tā atgūšanas dienai, ievērojot Komisijas regulas Nr. 794/2004 11. pantā noteikto procentu likmes piemērošanas metodi.”.</w:t>
            </w:r>
            <w:bookmarkEnd w:id="4"/>
          </w:p>
          <w:p w14:paraId="43290D2A" w14:textId="77777777" w:rsidR="006F7BEC" w:rsidRPr="005F0CD4" w:rsidRDefault="006F7BEC" w:rsidP="006F7BEC">
            <w:pPr>
              <w:pStyle w:val="naisc"/>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158C6AB8" w14:textId="77777777" w:rsidR="006F7BEC" w:rsidRPr="005F0CD4" w:rsidRDefault="006F7BEC" w:rsidP="006F7BEC">
            <w:pPr>
              <w:pStyle w:val="naisc"/>
              <w:spacing w:before="0" w:after="0"/>
              <w:rPr>
                <w:b/>
              </w:rPr>
            </w:pPr>
            <w:r w:rsidRPr="005F0CD4">
              <w:rPr>
                <w:b/>
              </w:rPr>
              <w:lastRenderedPageBreak/>
              <w:t>Ņemts vērā</w:t>
            </w:r>
          </w:p>
          <w:p w14:paraId="18EAC9DE" w14:textId="77777777" w:rsidR="006F7BEC" w:rsidRPr="005F0CD4" w:rsidRDefault="006F7BEC" w:rsidP="006F7BEC">
            <w:pPr>
              <w:pStyle w:val="naisc"/>
              <w:spacing w:before="0" w:after="0"/>
              <w:rPr>
                <w:b/>
              </w:rPr>
            </w:pPr>
          </w:p>
        </w:tc>
        <w:tc>
          <w:tcPr>
            <w:tcW w:w="3235" w:type="dxa"/>
            <w:tcBorders>
              <w:top w:val="single" w:sz="4" w:space="0" w:color="auto"/>
              <w:left w:val="single" w:sz="4" w:space="0" w:color="auto"/>
              <w:bottom w:val="single" w:sz="4" w:space="0" w:color="auto"/>
            </w:tcBorders>
          </w:tcPr>
          <w:p w14:paraId="074C9661" w14:textId="1EFAB518" w:rsidR="006924F6" w:rsidRPr="005F0CD4" w:rsidRDefault="006924F6" w:rsidP="006924F6">
            <w:pPr>
              <w:spacing w:before="120" w:after="120"/>
              <w:jc w:val="both"/>
            </w:pPr>
            <w:r w:rsidRPr="005F0CD4">
              <w:t>MK noteikumi Nr.678 papildināti ar 52.</w:t>
            </w:r>
            <w:r w:rsidRPr="005F0CD4">
              <w:rPr>
                <w:vertAlign w:val="superscript"/>
              </w:rPr>
              <w:t>1</w:t>
            </w:r>
            <w:r w:rsidRPr="005F0CD4">
              <w:t xml:space="preserve"> punktu šādā redakcijā:</w:t>
            </w:r>
          </w:p>
          <w:p w14:paraId="024F19AD" w14:textId="0D56D6B1" w:rsidR="006F7BEC" w:rsidRPr="0053127B" w:rsidRDefault="006924F6" w:rsidP="006924F6">
            <w:pPr>
              <w:spacing w:before="120" w:after="120"/>
              <w:jc w:val="both"/>
            </w:pPr>
            <w:r w:rsidRPr="005F0CD4">
              <w:rPr>
                <w:szCs w:val="24"/>
              </w:rPr>
              <w:t>"52.</w:t>
            </w:r>
            <w:r w:rsidRPr="005F0CD4">
              <w:rPr>
                <w:szCs w:val="24"/>
                <w:vertAlign w:val="superscript"/>
              </w:rPr>
              <w:t>1</w:t>
            </w:r>
            <w:r w:rsidRPr="005F0CD4">
              <w:rPr>
                <w:szCs w:val="24"/>
              </w:rPr>
              <w:t xml:space="preserve"> Ja tiek pārkāptas Regulas Nr.1407/2013 prasības, valsts atbalsta saņēmējs atmaksā finansējuma saņēmējam visu projekta ietvaros saņemto </w:t>
            </w:r>
            <w:r w:rsidRPr="005F0CD4">
              <w:rPr>
                <w:szCs w:val="24"/>
              </w:rPr>
              <w:lastRenderedPageBreak/>
              <w:t>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valsts atbalsta saņēmējam, līdz tā atgūšanas dienai, ievērojot Komisijas regulas Nr. 794/2004 11. pantā noteikto procentu likmes piemērošanas metodi."</w:t>
            </w:r>
          </w:p>
        </w:tc>
      </w:tr>
      <w:tr w:rsidR="006F7BEC" w:rsidRPr="007E6672" w14:paraId="43BE730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0658359" w14:textId="77777777" w:rsidR="006F7BEC" w:rsidRPr="007E6672" w:rsidRDefault="006F7BEC" w:rsidP="006F7BEC">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16CA17C" w14:textId="4CBB7342" w:rsidR="006F7BEC" w:rsidRPr="005F0CD4" w:rsidRDefault="006924F6" w:rsidP="006F7BEC">
            <w:pPr>
              <w:pStyle w:val="naisc"/>
              <w:spacing w:before="0" w:after="0"/>
              <w:jc w:val="both"/>
            </w:pPr>
            <w:r w:rsidRPr="005F0CD4">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4F6D8651" w14:textId="77777777" w:rsidR="006F7BEC" w:rsidRPr="005F0CD4" w:rsidRDefault="006F7BEC" w:rsidP="006F7BEC">
            <w:pPr>
              <w:pStyle w:val="naisc"/>
              <w:spacing w:before="0" w:after="0"/>
              <w:jc w:val="both"/>
              <w:rPr>
                <w:b/>
              </w:rPr>
            </w:pPr>
            <w:r w:rsidRPr="005F0CD4">
              <w:rPr>
                <w:b/>
              </w:rPr>
              <w:t>Finanšu ministrijas 07.07.2020. atzinums</w:t>
            </w:r>
          </w:p>
          <w:p w14:paraId="5F7BD5B5" w14:textId="735C8C30" w:rsidR="006F7BEC" w:rsidRPr="005F0CD4" w:rsidRDefault="006924F6" w:rsidP="006924F6">
            <w:pPr>
              <w:jc w:val="both"/>
              <w:rPr>
                <w:b/>
              </w:rPr>
            </w:pPr>
            <w:r w:rsidRPr="005F0CD4">
              <w:t xml:space="preserve">Ievērojot to, ka MK noteikumu Nr. 678 24.4. apakšpunktā ir ietverts atbalsta apvienošanas nosacījums, lūdzam papildināt anotācijas I. sadaļas 2.punktu ar procedūru aprakstu, kā atbalsta sniedzējs pārliecināsies par kumulācijas normu korektu izpildi no atbalsta saņēmēja puses un kādi dokumenti atbalsta pretendentam </w:t>
            </w:r>
            <w:r w:rsidRPr="005F0CD4">
              <w:lastRenderedPageBreak/>
              <w:t>būs jāiesniedz, lai attiecīgo izvērtējumu atbalsta sniedzējs varētu veikt.</w:t>
            </w:r>
          </w:p>
        </w:tc>
        <w:tc>
          <w:tcPr>
            <w:tcW w:w="3827" w:type="dxa"/>
            <w:gridSpan w:val="2"/>
            <w:tcBorders>
              <w:top w:val="single" w:sz="6" w:space="0" w:color="000000"/>
              <w:left w:val="single" w:sz="6" w:space="0" w:color="000000"/>
              <w:bottom w:val="single" w:sz="6" w:space="0" w:color="000000"/>
              <w:right w:val="single" w:sz="6" w:space="0" w:color="000000"/>
            </w:tcBorders>
          </w:tcPr>
          <w:p w14:paraId="46E6E385" w14:textId="77777777" w:rsidR="006F7BEC" w:rsidRPr="005F0CD4" w:rsidRDefault="006F7BEC" w:rsidP="006F7BEC">
            <w:pPr>
              <w:pStyle w:val="naisc"/>
              <w:spacing w:before="0" w:after="0"/>
              <w:rPr>
                <w:b/>
              </w:rPr>
            </w:pPr>
            <w:r w:rsidRPr="005F0CD4">
              <w:rPr>
                <w:b/>
              </w:rPr>
              <w:lastRenderedPageBreak/>
              <w:t>Ņemts vērā</w:t>
            </w:r>
          </w:p>
          <w:p w14:paraId="2CC25B6B" w14:textId="77777777" w:rsidR="006F7BEC" w:rsidRPr="005F0CD4" w:rsidRDefault="006F7BEC" w:rsidP="006F7BEC">
            <w:pPr>
              <w:pStyle w:val="naisc"/>
              <w:spacing w:before="0" w:after="0"/>
              <w:rPr>
                <w:b/>
              </w:rPr>
            </w:pPr>
          </w:p>
        </w:tc>
        <w:tc>
          <w:tcPr>
            <w:tcW w:w="3235" w:type="dxa"/>
            <w:tcBorders>
              <w:top w:val="single" w:sz="4" w:space="0" w:color="auto"/>
              <w:left w:val="single" w:sz="4" w:space="0" w:color="auto"/>
              <w:bottom w:val="single" w:sz="4" w:space="0" w:color="auto"/>
            </w:tcBorders>
          </w:tcPr>
          <w:p w14:paraId="3739E978" w14:textId="2D55619A" w:rsidR="006F7BEC" w:rsidRPr="0053127B" w:rsidRDefault="006924F6" w:rsidP="006F7BEC">
            <w:pPr>
              <w:jc w:val="both"/>
            </w:pPr>
            <w:r w:rsidRPr="005F0CD4">
              <w:t>Papildināts Anotācijas I. sadaļas “Tiesību akta projekta izstrādes nepieciešamība” 2. punkts “Pašreizējā situācija un problēmas, kuru risināšanai tiesību akta projekts izstrādāts, tiesiskā regulējuma mērķis un būtība”</w:t>
            </w:r>
          </w:p>
        </w:tc>
      </w:tr>
      <w:tr w:rsidR="006F7BEC" w:rsidRPr="007E6672" w14:paraId="0A247E47"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C4F32CC" w14:textId="77777777" w:rsidR="006F7BEC" w:rsidRPr="007E6672" w:rsidRDefault="006F7BEC" w:rsidP="006F7BEC">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55CADDB" w14:textId="75FC610F" w:rsidR="006F7BEC" w:rsidRPr="005F0CD4" w:rsidRDefault="005073B2" w:rsidP="006F7BEC">
            <w:pPr>
              <w:pStyle w:val="naisc"/>
              <w:spacing w:before="0" w:after="0"/>
              <w:jc w:val="both"/>
            </w:pPr>
            <w:r w:rsidRPr="005F0CD4">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37C6A007" w14:textId="77777777" w:rsidR="006F7BEC" w:rsidRPr="005F0CD4" w:rsidRDefault="006F7BEC" w:rsidP="006F7BEC">
            <w:pPr>
              <w:pStyle w:val="naisc"/>
              <w:spacing w:before="0" w:after="0"/>
              <w:jc w:val="both"/>
              <w:rPr>
                <w:b/>
              </w:rPr>
            </w:pPr>
            <w:r w:rsidRPr="005F0CD4">
              <w:rPr>
                <w:b/>
              </w:rPr>
              <w:t>Finanšu ministrijas 07.07.2020. atzinums</w:t>
            </w:r>
          </w:p>
          <w:p w14:paraId="371FBE7D" w14:textId="77777777" w:rsidR="005073B2" w:rsidRPr="005F0CD4" w:rsidRDefault="005073B2" w:rsidP="005073B2">
            <w:pPr>
              <w:jc w:val="both"/>
              <w:rPr>
                <w:sz w:val="20"/>
                <w:lang w:eastAsia="lv-LV"/>
              </w:rPr>
            </w:pPr>
            <w:r w:rsidRPr="005F0CD4">
              <w:t>Ņemot vērā, ka CFLA veic 3.2.1.2.pasākuma ietvaros īstenoto projektu uzraudzību, lūdzam anotācijas I. sadaļas 2.punktā sniegt skaidrojumu:</w:t>
            </w:r>
          </w:p>
          <w:p w14:paraId="57DB948B" w14:textId="77777777" w:rsidR="005073B2" w:rsidRPr="005F0CD4" w:rsidRDefault="005073B2" w:rsidP="005073B2">
            <w:pPr>
              <w:pStyle w:val="ListParagraph"/>
              <w:numPr>
                <w:ilvl w:val="0"/>
                <w:numId w:val="11"/>
              </w:numPr>
              <w:spacing w:after="0" w:line="240" w:lineRule="auto"/>
              <w:contextualSpacing w:val="0"/>
              <w:jc w:val="both"/>
            </w:pPr>
            <w:r w:rsidRPr="005F0CD4">
              <w:t>kādu tieši uzņēmumu un kādai tieši sertifikācijai ir paredzēts atbalsts atbalsta saņēmējam piedāvātajā individuālā atbalsta pakalpojumā “uzņēmumu sertifikācija no 2020.gada 1.marta līdz 2023.gada beigām” (atkarībā no 3.2.1.2. pasākuma ietvaros īstenotā projekta specifikas);</w:t>
            </w:r>
          </w:p>
          <w:p w14:paraId="1DDE7376" w14:textId="77777777" w:rsidR="005073B2" w:rsidRPr="005F0CD4" w:rsidRDefault="005073B2" w:rsidP="005073B2">
            <w:pPr>
              <w:pStyle w:val="ListParagraph"/>
              <w:numPr>
                <w:ilvl w:val="0"/>
                <w:numId w:val="11"/>
              </w:numPr>
              <w:spacing w:after="0" w:line="240" w:lineRule="auto"/>
              <w:contextualSpacing w:val="0"/>
              <w:jc w:val="both"/>
              <w:rPr>
                <w:i/>
                <w:iCs/>
              </w:rPr>
            </w:pPr>
            <w:r w:rsidRPr="005F0CD4">
              <w:t>kas tiek uzskatīts par “</w:t>
            </w:r>
            <w:r w:rsidRPr="005F0CD4">
              <w:rPr>
                <w:i/>
                <w:iCs/>
              </w:rPr>
              <w:t>atbasta</w:t>
            </w:r>
            <w:r w:rsidRPr="005F0CD4">
              <w:t xml:space="preserve"> </w:t>
            </w:r>
            <w:r w:rsidRPr="005F0CD4">
              <w:rPr>
                <w:i/>
                <w:iCs/>
              </w:rPr>
              <w:t>aktivitātēm</w:t>
            </w:r>
            <w:r w:rsidRPr="005F0CD4">
              <w:t>” darbībā “</w:t>
            </w:r>
            <w:r w:rsidRPr="005F0CD4">
              <w:rPr>
                <w:i/>
                <w:iCs/>
              </w:rPr>
              <w:t xml:space="preserve">Digitālo mārketinga pakalpojumu </w:t>
            </w:r>
            <w:r w:rsidRPr="005F0CD4">
              <w:rPr>
                <w:bCs/>
                <w:i/>
                <w:iCs/>
                <w:u w:val="single"/>
              </w:rPr>
              <w:t>atbalsta aktivitātes</w:t>
            </w:r>
            <w:r w:rsidRPr="005F0CD4">
              <w:rPr>
                <w:i/>
                <w:iCs/>
              </w:rPr>
              <w:t xml:space="preserve"> 2020.-2023.gadam</w:t>
            </w:r>
            <w:r w:rsidRPr="005F0CD4">
              <w:t>”, īpaši ņemot vērā, ka anotācijā tāpat tiek skaidrots</w:t>
            </w:r>
            <w:r w:rsidRPr="005F0CD4">
              <w:rPr>
                <w:i/>
                <w:iCs/>
              </w:rPr>
              <w:t xml:space="preserve"> “Atbalsts digitālo mārketinga </w:t>
            </w:r>
            <w:r w:rsidRPr="005F0CD4">
              <w:rPr>
                <w:bCs/>
                <w:i/>
                <w:iCs/>
                <w:u w:val="single"/>
              </w:rPr>
              <w:t>pakalpojuma aktivitātēm</w:t>
            </w:r>
            <w:r w:rsidRPr="005F0CD4">
              <w:rPr>
                <w:i/>
                <w:iCs/>
              </w:rPr>
              <w:t>”;</w:t>
            </w:r>
          </w:p>
          <w:p w14:paraId="7A003CF9" w14:textId="77777777" w:rsidR="005073B2" w:rsidRPr="005F0CD4" w:rsidRDefault="005073B2" w:rsidP="005073B2">
            <w:pPr>
              <w:pStyle w:val="ListParagraph"/>
              <w:numPr>
                <w:ilvl w:val="0"/>
                <w:numId w:val="11"/>
              </w:numPr>
              <w:spacing w:after="0" w:line="240" w:lineRule="auto"/>
              <w:contextualSpacing w:val="0"/>
              <w:jc w:val="both"/>
            </w:pPr>
            <w:r w:rsidRPr="005F0CD4">
              <w:t>kas tiek uzskatīts par “</w:t>
            </w:r>
            <w:r w:rsidRPr="005F0CD4">
              <w:rPr>
                <w:i/>
                <w:iCs/>
              </w:rPr>
              <w:t>iepircēju</w:t>
            </w:r>
            <w:r w:rsidRPr="005F0CD4">
              <w:t>” atbalsta darbībā “</w:t>
            </w:r>
            <w:r w:rsidRPr="005F0CD4">
              <w:rPr>
                <w:i/>
                <w:iCs/>
              </w:rPr>
              <w:t>Jaunu produktu testēšana, izvērtēšana eksporta tirgos, piesaistot ārvalstu nozares profesionāļus, iepircējus un aģentus, 2021.-2023.gadam</w:t>
            </w:r>
            <w:r w:rsidRPr="005F0CD4">
              <w:t>”, ar ko atšķiras “</w:t>
            </w:r>
            <w:r w:rsidRPr="005F0CD4">
              <w:rPr>
                <w:i/>
                <w:iCs/>
              </w:rPr>
              <w:t>ārvalstu nozares profesionālis</w:t>
            </w:r>
            <w:r w:rsidRPr="005F0CD4">
              <w:t>” no iepriekš anotācijā minētā apzīmējuma “</w:t>
            </w:r>
            <w:r w:rsidRPr="005F0CD4">
              <w:rPr>
                <w:i/>
                <w:iCs/>
              </w:rPr>
              <w:t>Ārvalsts konsultants (nozares eksperts)</w:t>
            </w:r>
            <w:r w:rsidRPr="005F0CD4">
              <w:t>”;</w:t>
            </w:r>
          </w:p>
          <w:p w14:paraId="763004C1" w14:textId="77777777" w:rsidR="005073B2" w:rsidRPr="005F0CD4" w:rsidRDefault="005073B2" w:rsidP="005073B2">
            <w:pPr>
              <w:pStyle w:val="ListParagraph"/>
              <w:numPr>
                <w:ilvl w:val="0"/>
                <w:numId w:val="11"/>
              </w:numPr>
              <w:spacing w:after="0" w:line="240" w:lineRule="auto"/>
              <w:contextualSpacing w:val="0"/>
              <w:jc w:val="both"/>
            </w:pPr>
            <w:r w:rsidRPr="005F0CD4">
              <w:t xml:space="preserve">kādas Latvijas uzņēmumu eksporta aktivitātēs būtu jāiekļauj projekta </w:t>
            </w:r>
            <w:r w:rsidRPr="005F0CD4">
              <w:lastRenderedPageBreak/>
              <w:t>Nr.3.2.1.2/16/l/001 programmā, lai nodrošinātu ilgtermiņa (vismaz 1 gada) plānošanu Latvijas uzņēmumu eksporta aktivitātēs atbilstoši anotācijā paredzētajam “</w:t>
            </w:r>
            <w:r w:rsidRPr="005F0CD4">
              <w:rPr>
                <w:i/>
                <w:iCs/>
              </w:rPr>
              <w:t xml:space="preserve">Izvērtējot citu valstu pieredzi un sniegto atbalstu, </w:t>
            </w:r>
            <w:bookmarkStart w:id="5" w:name="_Hlk44521442"/>
            <w:r w:rsidRPr="005F0CD4">
              <w:rPr>
                <w:bCs/>
                <w:i/>
                <w:iCs/>
                <w:u w:val="single"/>
              </w:rPr>
              <w:t>projekta</w:t>
            </w:r>
            <w:r w:rsidRPr="005F0CD4">
              <w:rPr>
                <w:i/>
                <w:iCs/>
              </w:rPr>
              <w:t xml:space="preserve"> Nr.3.2.1.2/16/l/001 </w:t>
            </w:r>
            <w:r w:rsidRPr="005F0CD4">
              <w:rPr>
                <w:bCs/>
                <w:i/>
                <w:iCs/>
                <w:u w:val="single"/>
              </w:rPr>
              <w:t>programmā ir nepieciešams nodrošināt ilgtermiņa</w:t>
            </w:r>
            <w:r w:rsidRPr="005F0CD4">
              <w:rPr>
                <w:i/>
                <w:iCs/>
              </w:rPr>
              <w:t xml:space="preserve"> (vismaz 1 gada) </w:t>
            </w:r>
            <w:r w:rsidRPr="005F0CD4">
              <w:rPr>
                <w:bCs/>
                <w:i/>
                <w:iCs/>
                <w:u w:val="single"/>
              </w:rPr>
              <w:t>plānošanu</w:t>
            </w:r>
            <w:r w:rsidRPr="005F0CD4">
              <w:rPr>
                <w:i/>
                <w:iCs/>
              </w:rPr>
              <w:t xml:space="preserve"> Latvijas uzņēmumu eksporta aktivitātēs</w:t>
            </w:r>
            <w:bookmarkEnd w:id="5"/>
            <w:r w:rsidRPr="005F0CD4">
              <w:rPr>
                <w:i/>
                <w:iCs/>
              </w:rPr>
              <w:t>.</w:t>
            </w:r>
            <w:r w:rsidRPr="005F0CD4">
              <w:t>”;</w:t>
            </w:r>
          </w:p>
          <w:p w14:paraId="2B335A53" w14:textId="77777777" w:rsidR="005073B2" w:rsidRPr="005F0CD4" w:rsidRDefault="005073B2" w:rsidP="005073B2">
            <w:pPr>
              <w:pStyle w:val="ListParagraph"/>
              <w:numPr>
                <w:ilvl w:val="0"/>
                <w:numId w:val="11"/>
              </w:numPr>
              <w:spacing w:after="0" w:line="240" w:lineRule="auto"/>
              <w:contextualSpacing w:val="0"/>
              <w:jc w:val="both"/>
            </w:pPr>
            <w:r w:rsidRPr="005F0CD4">
              <w:t xml:space="preserve">no kādas veiktās informācijas analīzes ir izdarīts pieņēmums, ka vidēji kopējās digitālā mārketinga pakalpojumu izmaksu apmērs ir 3 500 </w:t>
            </w:r>
            <w:r w:rsidRPr="005F0CD4">
              <w:rPr>
                <w:i/>
              </w:rPr>
              <w:t>euro</w:t>
            </w:r>
            <w:r w:rsidRPr="005F0CD4">
              <w:t xml:space="preserve"> vienam uzņēmumam, kādā laika periodā veidojas šīs izmaksas un vai tās atbilst tirgus vērtībai (pamatojot to ar attiecīgu informāciju, kas ir EM rīcībā);</w:t>
            </w:r>
          </w:p>
          <w:p w14:paraId="6C1CDF84" w14:textId="77777777" w:rsidR="005073B2" w:rsidRPr="005F0CD4" w:rsidRDefault="005073B2" w:rsidP="005073B2">
            <w:pPr>
              <w:pStyle w:val="ListParagraph"/>
              <w:numPr>
                <w:ilvl w:val="0"/>
                <w:numId w:val="11"/>
              </w:numPr>
              <w:spacing w:after="0" w:line="240" w:lineRule="auto"/>
              <w:contextualSpacing w:val="0"/>
              <w:jc w:val="both"/>
            </w:pPr>
            <w:r w:rsidRPr="005F0CD4">
              <w:t xml:space="preserve">kādu apsvērumu dēļ digitālā mārketinga pakalpojumu nodrošināšanai tiek plānots, ka </w:t>
            </w:r>
            <w:r w:rsidRPr="005F0CD4">
              <w:rPr>
                <w:rFonts w:eastAsia="Calibri"/>
                <w:bCs/>
                <w:szCs w:val="24"/>
                <w:lang w:eastAsia="lv-LV"/>
              </w:rPr>
              <w:t>Latvijas Investīciju un attīstības aģentūra</w:t>
            </w:r>
            <w:r w:rsidRPr="005F0CD4">
              <w:t xml:space="preserve"> iepirks digitālās mārketinga stratēģijas izstrādi komersantu noteiktam mārketinga budžetam, līdzīgi kā paredz teksta un vizuālā materiāla sagatavošanu digitālā mārketinga kampaņai, mājas lapu vai sociālo tīklu kontu izstrādi, video materiālu izstrādi </w:t>
            </w:r>
            <w:r w:rsidRPr="005F0CD4">
              <w:rPr>
                <w:bCs/>
                <w:u w:val="single"/>
              </w:rPr>
              <w:t>tieši 20 komersantiem</w:t>
            </w:r>
            <w:r w:rsidRPr="005F0CD4">
              <w:t>;</w:t>
            </w:r>
          </w:p>
          <w:p w14:paraId="2AB7C217" w14:textId="77777777" w:rsidR="005073B2" w:rsidRPr="005F0CD4" w:rsidRDefault="005073B2" w:rsidP="005073B2">
            <w:pPr>
              <w:pStyle w:val="ListParagraph"/>
              <w:numPr>
                <w:ilvl w:val="0"/>
                <w:numId w:val="11"/>
              </w:numPr>
              <w:spacing w:after="0" w:line="240" w:lineRule="auto"/>
              <w:contextualSpacing w:val="0"/>
              <w:jc w:val="both"/>
            </w:pPr>
            <w:r w:rsidRPr="005F0CD4">
              <w:t>no kādas veiktās informācijas analīzes ir izdarīts pieņēmums, ka vienas “</w:t>
            </w:r>
            <w:r w:rsidRPr="005F0CD4">
              <w:rPr>
                <w:i/>
                <w:iCs/>
              </w:rPr>
              <w:t>Pārdošanas vizītes ārvalstīs ar mērķi prezentēt Latvijas tūrisma piedāvājumu klientiem</w:t>
            </w:r>
            <w:r w:rsidRPr="005F0CD4">
              <w:t xml:space="preserve">” izmaksu apmērs ir 3 000 </w:t>
            </w:r>
            <w:r w:rsidRPr="005F0CD4">
              <w:rPr>
                <w:i/>
              </w:rPr>
              <w:t>euro</w:t>
            </w:r>
            <w:r w:rsidRPr="005F0CD4">
              <w:t xml:space="preserve">, </w:t>
            </w:r>
            <w:r w:rsidRPr="005F0CD4">
              <w:lastRenderedPageBreak/>
              <w:t>kādā laika periodā veidojas šīs izmaksas un vai tās atbilst tirgus vērtībai (pamatojot to ar attiecīgu informāciju, kas ir EM rīcībā);</w:t>
            </w:r>
          </w:p>
          <w:p w14:paraId="669DBF00" w14:textId="77777777" w:rsidR="005073B2" w:rsidRPr="005F0CD4" w:rsidRDefault="005073B2" w:rsidP="005073B2">
            <w:pPr>
              <w:pStyle w:val="ListParagraph"/>
              <w:numPr>
                <w:ilvl w:val="0"/>
                <w:numId w:val="11"/>
              </w:numPr>
              <w:spacing w:after="0" w:line="240" w:lineRule="auto"/>
              <w:contextualSpacing w:val="0"/>
              <w:jc w:val="both"/>
            </w:pPr>
            <w:r w:rsidRPr="005F0CD4">
              <w:t>no kādas veiktās informācijas analīzes ir izdarīts pieņēmums, ka programmas “</w:t>
            </w:r>
            <w:r w:rsidRPr="005F0CD4">
              <w:rPr>
                <w:i/>
                <w:iCs/>
              </w:rPr>
              <w:t xml:space="preserve">Starptautisko konferenču, kongresu un semināru atbalsta programma Latvijā” </w:t>
            </w:r>
            <w:r w:rsidRPr="005F0CD4">
              <w:t xml:space="preserve">ietvaros viena pasākuma izmaksu apmērs ir 12 000 </w:t>
            </w:r>
            <w:r w:rsidRPr="005F0CD4">
              <w:rPr>
                <w:i/>
              </w:rPr>
              <w:t>euro</w:t>
            </w:r>
            <w:r w:rsidRPr="005F0CD4">
              <w:t xml:space="preserve"> un vai tās atbilst tirgus vērtībai (pamatojot to ar attiecīgu informāciju, kas ir EM rīcībā).</w:t>
            </w:r>
          </w:p>
          <w:p w14:paraId="4F8653D8" w14:textId="77777777" w:rsidR="006F7BEC" w:rsidRPr="005F0CD4" w:rsidRDefault="006F7BEC" w:rsidP="006F7BEC">
            <w:pPr>
              <w:pStyle w:val="naisc"/>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22B33485" w14:textId="2D155710" w:rsidR="006F7BEC" w:rsidRDefault="006F7BEC" w:rsidP="006F7BEC">
            <w:pPr>
              <w:pStyle w:val="naisc"/>
              <w:spacing w:before="0" w:after="0"/>
              <w:rPr>
                <w:b/>
              </w:rPr>
            </w:pPr>
            <w:r w:rsidRPr="005F0CD4">
              <w:rPr>
                <w:b/>
              </w:rPr>
              <w:lastRenderedPageBreak/>
              <w:t>Ņemts vērā</w:t>
            </w:r>
          </w:p>
          <w:p w14:paraId="43CE9CA8" w14:textId="660A972B" w:rsidR="00432089" w:rsidRPr="00432089" w:rsidRDefault="005F0CD4" w:rsidP="00432089">
            <w:pPr>
              <w:jc w:val="both"/>
              <w:rPr>
                <w:bCs/>
              </w:rPr>
            </w:pPr>
            <w:r>
              <w:rPr>
                <w:bCs/>
              </w:rPr>
              <w:t>Skaidrojam</w:t>
            </w:r>
            <w:r w:rsidRPr="005F0CD4">
              <w:rPr>
                <w:bCs/>
              </w:rPr>
              <w:t xml:space="preserve">, ka aktivitāšu aprēķini veikti, lai izprastu </w:t>
            </w:r>
            <w:r>
              <w:rPr>
                <w:bCs/>
              </w:rPr>
              <w:t xml:space="preserve">pakalpojumu </w:t>
            </w:r>
            <w:r w:rsidRPr="005F0CD4">
              <w:rPr>
                <w:bCs/>
              </w:rPr>
              <w:t xml:space="preserve">aptuvenās izmaksas un tas atspoguļo </w:t>
            </w:r>
            <w:r>
              <w:rPr>
                <w:bCs/>
              </w:rPr>
              <w:t xml:space="preserve">šā brīža </w:t>
            </w:r>
            <w:r w:rsidRPr="005F0CD4">
              <w:rPr>
                <w:bCs/>
              </w:rPr>
              <w:t>situāciju tirgū</w:t>
            </w:r>
            <w:r w:rsidR="00432089">
              <w:rPr>
                <w:bCs/>
              </w:rPr>
              <w:t xml:space="preserve">, </w:t>
            </w:r>
            <w:r w:rsidR="00432089" w:rsidRPr="00432089">
              <w:rPr>
                <w:bCs/>
              </w:rPr>
              <w:t>tāpēc CFLA, kas veic 3.2.1.2.pasākuma ietvaros īstenoto projektu uzraudzību, pēc maksājuma pieprasījumu saņemšanas, pā</w:t>
            </w:r>
            <w:r w:rsidR="00432089">
              <w:rPr>
                <w:bCs/>
              </w:rPr>
              <w:t>r</w:t>
            </w:r>
            <w:r w:rsidR="00432089" w:rsidRPr="00432089">
              <w:rPr>
                <w:bCs/>
              </w:rPr>
              <w:t>bauda maksājum</w:t>
            </w:r>
            <w:r w:rsidR="00432089">
              <w:rPr>
                <w:bCs/>
              </w:rPr>
              <w:t>u</w:t>
            </w:r>
            <w:r w:rsidR="00432089" w:rsidRPr="00432089">
              <w:rPr>
                <w:bCs/>
              </w:rPr>
              <w:t xml:space="preserve"> pieprasījum</w:t>
            </w:r>
            <w:r w:rsidR="00432089">
              <w:rPr>
                <w:bCs/>
              </w:rPr>
              <w:t>os</w:t>
            </w:r>
            <w:r w:rsidR="00432089" w:rsidRPr="00432089">
              <w:rPr>
                <w:bCs/>
              </w:rPr>
              <w:t xml:space="preserve"> iekļauto izmaksu pamatotīb</w:t>
            </w:r>
            <w:r w:rsidR="00432089">
              <w:rPr>
                <w:bCs/>
              </w:rPr>
              <w:t>u</w:t>
            </w:r>
            <w:r w:rsidR="00432089" w:rsidRPr="00432089">
              <w:rPr>
                <w:bCs/>
              </w:rPr>
              <w:t xml:space="preserve"> un to atbilstīb</w:t>
            </w:r>
            <w:r w:rsidR="00432089">
              <w:rPr>
                <w:bCs/>
              </w:rPr>
              <w:t>u</w:t>
            </w:r>
            <w:r w:rsidR="00432089" w:rsidRPr="00432089">
              <w:rPr>
                <w:bCs/>
              </w:rPr>
              <w:t xml:space="preserve"> attiecīgajai iepirkuma procedūrai.</w:t>
            </w:r>
          </w:p>
          <w:p w14:paraId="26B9B8DC" w14:textId="685CA1B6" w:rsidR="005F0CD4" w:rsidRPr="005F0CD4" w:rsidRDefault="005F0CD4" w:rsidP="005F0CD4">
            <w:pPr>
              <w:pStyle w:val="naisc"/>
              <w:spacing w:before="0" w:after="0"/>
              <w:jc w:val="both"/>
              <w:rPr>
                <w:b/>
              </w:rPr>
            </w:pPr>
          </w:p>
          <w:p w14:paraId="6F4B6287" w14:textId="77777777" w:rsidR="006F7BEC" w:rsidRPr="005F0CD4" w:rsidRDefault="006F7BEC" w:rsidP="006F7BEC">
            <w:pPr>
              <w:pStyle w:val="naisc"/>
              <w:spacing w:before="0" w:after="0"/>
              <w:rPr>
                <w:b/>
              </w:rPr>
            </w:pPr>
          </w:p>
        </w:tc>
        <w:tc>
          <w:tcPr>
            <w:tcW w:w="3235" w:type="dxa"/>
            <w:tcBorders>
              <w:top w:val="single" w:sz="4" w:space="0" w:color="auto"/>
              <w:left w:val="single" w:sz="4" w:space="0" w:color="auto"/>
              <w:bottom w:val="single" w:sz="4" w:space="0" w:color="auto"/>
            </w:tcBorders>
          </w:tcPr>
          <w:p w14:paraId="3A0FC5D0" w14:textId="1C43A804" w:rsidR="006F7BEC" w:rsidRPr="0053127B" w:rsidRDefault="005073B2" w:rsidP="006F7BEC">
            <w:pPr>
              <w:jc w:val="both"/>
            </w:pPr>
            <w:r w:rsidRPr="005F0CD4">
              <w:t>Papildināts Anotācijas I. sadaļas “Tiesību akta projekta izstrādes nepieciešamība” 2. punkts “Pašreizējā situācija un problēmas, kuru risināšanai tiesību akta projekts izstrādāts, tiesiskā regulējuma mērķis un būtība”</w:t>
            </w:r>
          </w:p>
        </w:tc>
      </w:tr>
      <w:tr w:rsidR="006924F6" w:rsidRPr="007E6672" w14:paraId="41E8A25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5907998" w14:textId="77777777" w:rsidR="006924F6" w:rsidRPr="007E6672" w:rsidRDefault="006924F6" w:rsidP="006924F6">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295AEB6" w14:textId="42760837" w:rsidR="006924F6" w:rsidRPr="005F0CD4" w:rsidRDefault="005073B2" w:rsidP="006924F6">
            <w:pPr>
              <w:pStyle w:val="naisc"/>
              <w:spacing w:before="0" w:after="0"/>
              <w:jc w:val="both"/>
            </w:pPr>
            <w:r w:rsidRPr="005F0CD4">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4754BDD9" w14:textId="77777777" w:rsidR="006924F6" w:rsidRPr="005F0CD4" w:rsidRDefault="006924F6" w:rsidP="006924F6">
            <w:pPr>
              <w:pStyle w:val="naisc"/>
              <w:spacing w:before="0" w:after="0"/>
              <w:jc w:val="both"/>
              <w:rPr>
                <w:b/>
              </w:rPr>
            </w:pPr>
            <w:r w:rsidRPr="005F0CD4">
              <w:rPr>
                <w:b/>
              </w:rPr>
              <w:t>Finanšu ministrijas 07.07.2020. atzinums</w:t>
            </w:r>
          </w:p>
          <w:p w14:paraId="635C4492" w14:textId="0DA063C0" w:rsidR="006924F6" w:rsidRPr="005F0CD4" w:rsidRDefault="005073B2" w:rsidP="006924F6">
            <w:pPr>
              <w:pStyle w:val="naisc"/>
              <w:spacing w:before="0" w:after="0"/>
              <w:jc w:val="both"/>
              <w:rPr>
                <w:b/>
              </w:rPr>
            </w:pPr>
            <w:r w:rsidRPr="005F0CD4">
              <w:t>Lūdzam anotācijas I. sadaļās 2.punktu norādīt, kādiem intervences kodiem atbilst papildus piešķirtais ERAF finansējums vai vismaz norādīt principu kā tiek sadalīts ERAF finansējums starp 3.2.1.2.pasākuma intervences kodiem Nr.66 “Uzlaboti atbalsta pakalpojumi MVU un MVU grupām (tostarp vadības, tirgvedības, dizaina pakalpojumi)” un Nr.75 “MVU komerctūrisma pakalpojumu attīstība un veicināšana MVU vai attiecībā uz MVU”</w:t>
            </w:r>
          </w:p>
        </w:tc>
        <w:tc>
          <w:tcPr>
            <w:tcW w:w="3827" w:type="dxa"/>
            <w:gridSpan w:val="2"/>
            <w:tcBorders>
              <w:top w:val="single" w:sz="6" w:space="0" w:color="000000"/>
              <w:left w:val="single" w:sz="6" w:space="0" w:color="000000"/>
              <w:bottom w:val="single" w:sz="6" w:space="0" w:color="000000"/>
              <w:right w:val="single" w:sz="6" w:space="0" w:color="000000"/>
            </w:tcBorders>
          </w:tcPr>
          <w:p w14:paraId="19040114" w14:textId="77777777" w:rsidR="006924F6" w:rsidRPr="005F0CD4" w:rsidRDefault="006924F6" w:rsidP="006924F6">
            <w:pPr>
              <w:pStyle w:val="naisc"/>
              <w:spacing w:before="0" w:after="0"/>
              <w:rPr>
                <w:b/>
              </w:rPr>
            </w:pPr>
            <w:r w:rsidRPr="005F0CD4">
              <w:rPr>
                <w:b/>
              </w:rPr>
              <w:t>Ņemts vērā</w:t>
            </w:r>
          </w:p>
          <w:p w14:paraId="65BF87AD" w14:textId="77777777" w:rsidR="006924F6" w:rsidRPr="005F0CD4" w:rsidRDefault="006924F6" w:rsidP="006924F6">
            <w:pPr>
              <w:pStyle w:val="naisc"/>
              <w:spacing w:before="0" w:after="0"/>
              <w:rPr>
                <w:b/>
              </w:rPr>
            </w:pPr>
          </w:p>
        </w:tc>
        <w:tc>
          <w:tcPr>
            <w:tcW w:w="3235" w:type="dxa"/>
            <w:tcBorders>
              <w:top w:val="single" w:sz="4" w:space="0" w:color="auto"/>
              <w:left w:val="single" w:sz="4" w:space="0" w:color="auto"/>
              <w:bottom w:val="single" w:sz="4" w:space="0" w:color="auto"/>
            </w:tcBorders>
          </w:tcPr>
          <w:p w14:paraId="7FC4F49A" w14:textId="2899CB40" w:rsidR="006924F6" w:rsidRPr="0053127B" w:rsidRDefault="005073B2" w:rsidP="006924F6">
            <w:pPr>
              <w:jc w:val="both"/>
            </w:pPr>
            <w:r w:rsidRPr="005F0CD4">
              <w:t>Papildināts Anotācijas I. sadaļas “Tiesību akta projekta izstrādes nepieciešamība” 2. punkts “Pašreizējā situācija un problēmas, kuru risināšanai tiesību akta projekts izstrādāts, tiesiskā regulējuma mērķis un būtība”</w:t>
            </w:r>
          </w:p>
        </w:tc>
      </w:tr>
      <w:tr w:rsidR="006924F6" w:rsidRPr="007E6672" w14:paraId="74FAFBAA"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D1DB8DD" w14:textId="77777777" w:rsidR="006924F6" w:rsidRPr="007E6672" w:rsidRDefault="006924F6" w:rsidP="006924F6">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64B2D4B" w14:textId="77777777" w:rsidR="006924F6" w:rsidRDefault="009427C3" w:rsidP="006924F6">
            <w:pPr>
              <w:pStyle w:val="naisc"/>
              <w:spacing w:before="0" w:after="0"/>
              <w:jc w:val="both"/>
            </w:pPr>
            <w:r w:rsidRPr="005F0CD4">
              <w:t xml:space="preserve">Anotācijas IV. sadaļas “Tiesību akta projekta ietekme uz spēkā esošo tiesību normu sistēmu” 1.punktu “Nepieciešamie </w:t>
            </w:r>
            <w:r w:rsidRPr="005F0CD4">
              <w:lastRenderedPageBreak/>
              <w:t>saistītie tiesību aktu projekti”</w:t>
            </w:r>
          </w:p>
          <w:p w14:paraId="0849C27E" w14:textId="1DC83FFA" w:rsidR="005F0CD4" w:rsidRPr="005F0CD4" w:rsidRDefault="005F0CD4" w:rsidP="006924F6">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14:paraId="49AA2E89" w14:textId="77777777" w:rsidR="006924F6" w:rsidRPr="005F0CD4" w:rsidRDefault="006924F6" w:rsidP="006924F6">
            <w:pPr>
              <w:pStyle w:val="naisc"/>
              <w:spacing w:before="0" w:after="0"/>
              <w:jc w:val="both"/>
              <w:rPr>
                <w:b/>
              </w:rPr>
            </w:pPr>
            <w:r w:rsidRPr="005F0CD4">
              <w:rPr>
                <w:b/>
              </w:rPr>
              <w:lastRenderedPageBreak/>
              <w:t>Finanšu ministrijas 07.07.2020. atzinums</w:t>
            </w:r>
          </w:p>
          <w:p w14:paraId="237409E1" w14:textId="77777777" w:rsidR="009427C3" w:rsidRPr="005F0CD4" w:rsidRDefault="009427C3" w:rsidP="009427C3">
            <w:pPr>
              <w:jc w:val="both"/>
              <w:rPr>
                <w:szCs w:val="24"/>
              </w:rPr>
            </w:pPr>
            <w:r w:rsidRPr="005F0CD4">
              <w:rPr>
                <w:szCs w:val="24"/>
              </w:rPr>
              <w:t xml:space="preserve">Lūdzam papildināt anotācijas IV. sadaļas “Tiesību akta projekta ietekme uz spēkā esošo tiesību normu sistēmu” 1.punktu </w:t>
            </w:r>
            <w:r w:rsidRPr="005F0CD4">
              <w:rPr>
                <w:szCs w:val="24"/>
              </w:rPr>
              <w:lastRenderedPageBreak/>
              <w:t xml:space="preserve">“Nepieciešamie saistītie tiesību aktu projekti” ar norādi, ka noteikumu projekts tiks virzīts izskatīšanai Ministru kabineta sēdē </w:t>
            </w:r>
            <w:r w:rsidRPr="005F0CD4">
              <w:rPr>
                <w:szCs w:val="24"/>
                <w:u w:val="single"/>
              </w:rPr>
              <w:t>vienlaicīgi vai pēc</w:t>
            </w:r>
            <w:r w:rsidRPr="005F0CD4">
              <w:rPr>
                <w:szCs w:val="24"/>
              </w:rPr>
              <w:t xml:space="preserve"> šajā punktā jau norādītajiem noteikumu grozījumu projektiem.</w:t>
            </w:r>
          </w:p>
          <w:p w14:paraId="35ABD0E2" w14:textId="77777777" w:rsidR="009427C3" w:rsidRPr="005F0CD4" w:rsidRDefault="009427C3" w:rsidP="009427C3">
            <w:pPr>
              <w:jc w:val="both"/>
              <w:rPr>
                <w:szCs w:val="24"/>
              </w:rPr>
            </w:pPr>
            <w:r w:rsidRPr="005F0CD4">
              <w:rPr>
                <w:szCs w:val="24"/>
              </w:rPr>
              <w:t xml:space="preserve">Papildus lūdzam minētajā punktā precizēt pirmo apakšpunktu, norādot korektu atsauci uz grozījumiem Ministru kabineta 2016. gada 3. maija noteikumos Nr. 279 “Darbības programmas “Izaugsme un nodarbinātība” 3.1.1.specifiskā atbalsta mērķa “Sekmēt MVK izveidi un attīstību, īpaši apstrādes rūpniecībā un RIS3 prioritārajās nozarēs” 3.1.1.6.pasākuma “Reģionālie biznesa inkubatori un radošo industriju inkubators” īstenošanas noteikumi"" (VSS-1250), kā arī papildināt noteikumu  grozījumu projektu sarakstu ar grozījumiem Ministru kabineta 2016. gada 5. janvāra noteikumos Nr. 2 “Darbības programmas “Izaugsme un nodarbinātība” 1.2.1.specifiskā atbalsta mērķa “Palielināt privātā sektora investīcijas P&amp;A” 1.2.1.1.pasākuma “Atbalsts jaunu produktu un tehnoloģiju izstrādei kompetences centru ietvaros” pirmās, otrās un ceturtās projektu iesniegumu atlases kārtas īstenošanas noteikumi”, jo no 1.2.1.1.pasākuma uz 3.2.1.2.pasākumu tiks pārdalīts ERAF finansējuma 1 164 287 </w:t>
            </w:r>
            <w:r w:rsidRPr="005F0CD4">
              <w:rPr>
                <w:i/>
                <w:szCs w:val="24"/>
              </w:rPr>
              <w:t>euro</w:t>
            </w:r>
            <w:r w:rsidRPr="005F0CD4">
              <w:rPr>
                <w:szCs w:val="24"/>
              </w:rPr>
              <w:t xml:space="preserve"> apmērā.</w:t>
            </w:r>
          </w:p>
          <w:p w14:paraId="10B704D6" w14:textId="77777777" w:rsidR="006924F6" w:rsidRPr="005F0CD4" w:rsidRDefault="006924F6" w:rsidP="006924F6">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20C8288B" w14:textId="77777777" w:rsidR="006924F6" w:rsidRPr="005F0CD4" w:rsidRDefault="006924F6" w:rsidP="006924F6">
            <w:pPr>
              <w:pStyle w:val="naisc"/>
              <w:spacing w:before="0" w:after="0"/>
              <w:rPr>
                <w:b/>
              </w:rPr>
            </w:pPr>
            <w:r w:rsidRPr="005F0CD4">
              <w:rPr>
                <w:b/>
              </w:rPr>
              <w:lastRenderedPageBreak/>
              <w:t>Ņemts vērā</w:t>
            </w:r>
          </w:p>
          <w:p w14:paraId="58414DE6" w14:textId="77777777" w:rsidR="006924F6" w:rsidRPr="005F0CD4" w:rsidRDefault="006924F6" w:rsidP="006924F6">
            <w:pPr>
              <w:pStyle w:val="naisc"/>
              <w:spacing w:before="0" w:after="0"/>
              <w:rPr>
                <w:b/>
              </w:rPr>
            </w:pPr>
          </w:p>
        </w:tc>
        <w:tc>
          <w:tcPr>
            <w:tcW w:w="3235" w:type="dxa"/>
            <w:tcBorders>
              <w:top w:val="single" w:sz="4" w:space="0" w:color="auto"/>
              <w:left w:val="single" w:sz="4" w:space="0" w:color="auto"/>
              <w:bottom w:val="single" w:sz="4" w:space="0" w:color="auto"/>
            </w:tcBorders>
          </w:tcPr>
          <w:p w14:paraId="5C564752" w14:textId="42E0DF79" w:rsidR="006924F6" w:rsidRPr="0053127B" w:rsidRDefault="009427C3" w:rsidP="006924F6">
            <w:pPr>
              <w:jc w:val="both"/>
            </w:pPr>
            <w:r w:rsidRPr="005F0CD4">
              <w:rPr>
                <w:szCs w:val="24"/>
              </w:rPr>
              <w:t xml:space="preserve">Papildināts anotācijas IV. sadaļas “Tiesību akta projekta ietekme uz spēkā esošo tiesību normu sistēmu” 1.punktu </w:t>
            </w:r>
            <w:r w:rsidRPr="005F0CD4">
              <w:rPr>
                <w:szCs w:val="24"/>
              </w:rPr>
              <w:lastRenderedPageBreak/>
              <w:t>“Nepieciešamie saistītie tiesību aktu projekti”</w:t>
            </w:r>
          </w:p>
        </w:tc>
      </w:tr>
      <w:tr w:rsidR="003D4DBD" w:rsidRPr="007E6672" w14:paraId="363941CC" w14:textId="77777777" w:rsidTr="003D4DBD">
        <w:tc>
          <w:tcPr>
            <w:tcW w:w="675" w:type="dxa"/>
            <w:tcBorders>
              <w:top w:val="single" w:sz="6" w:space="0" w:color="000000"/>
              <w:left w:val="single" w:sz="6" w:space="0" w:color="000000"/>
              <w:bottom w:val="single" w:sz="6" w:space="0" w:color="000000"/>
              <w:right w:val="single" w:sz="6" w:space="0" w:color="000000"/>
            </w:tcBorders>
          </w:tcPr>
          <w:p w14:paraId="64DA667A" w14:textId="00A0DE08" w:rsidR="003D4DBD" w:rsidRPr="002676AC" w:rsidRDefault="003D4DBD" w:rsidP="003D4DBD">
            <w:pPr>
              <w:pStyle w:val="naisc"/>
              <w:spacing w:before="0" w:after="0"/>
              <w:jc w:val="both"/>
            </w:pPr>
            <w:r w:rsidRPr="002676AC">
              <w:lastRenderedPageBreak/>
              <w:t>34.</w:t>
            </w:r>
          </w:p>
        </w:tc>
        <w:tc>
          <w:tcPr>
            <w:tcW w:w="2719" w:type="dxa"/>
            <w:gridSpan w:val="2"/>
            <w:tcBorders>
              <w:top w:val="single" w:sz="6" w:space="0" w:color="000000"/>
              <w:left w:val="single" w:sz="6" w:space="0" w:color="000000"/>
              <w:bottom w:val="single" w:sz="6" w:space="0" w:color="000000"/>
              <w:right w:val="single" w:sz="6" w:space="0" w:color="000000"/>
            </w:tcBorders>
          </w:tcPr>
          <w:p w14:paraId="299A503B" w14:textId="77777777" w:rsidR="003D4DBD" w:rsidRPr="002676AC" w:rsidRDefault="003D4DBD" w:rsidP="003D4DBD">
            <w:pPr>
              <w:pStyle w:val="naisc"/>
              <w:jc w:val="both"/>
            </w:pPr>
            <w:r w:rsidRPr="002676AC">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17D31FDD" w14:textId="77777777" w:rsidR="002676AC" w:rsidRPr="00C615A2" w:rsidRDefault="002676AC" w:rsidP="002676AC">
            <w:pPr>
              <w:pStyle w:val="naisc"/>
              <w:spacing w:before="0" w:after="0"/>
              <w:jc w:val="both"/>
              <w:rPr>
                <w:b/>
              </w:rPr>
            </w:pPr>
            <w:r w:rsidRPr="00C615A2">
              <w:rPr>
                <w:b/>
              </w:rPr>
              <w:t>Finanšu ministrijas 10.07.2020. atzinums</w:t>
            </w:r>
          </w:p>
          <w:p w14:paraId="2004AF38" w14:textId="44CAE095" w:rsidR="003D4DBD" w:rsidRPr="002676AC" w:rsidRDefault="003D4DBD" w:rsidP="003D4DBD">
            <w:pPr>
              <w:jc w:val="both"/>
            </w:pPr>
            <w:r w:rsidRPr="002676AC">
              <w:rPr>
                <w:szCs w:val="24"/>
              </w:rPr>
              <w:t>Ņemot vērā, ka CFLA veic 3.2.1.2.pasākuma ietvaros īstenoto projektu uzraudzību, lūdzam anotācijas I. sadaļas 2.punktā sniegt skaidrojumu/precizēt:</w:t>
            </w:r>
          </w:p>
          <w:p w14:paraId="6EC2AB44" w14:textId="77777777" w:rsidR="003D4DBD" w:rsidRPr="002676AC" w:rsidRDefault="003D4DBD" w:rsidP="003D4DBD">
            <w:pPr>
              <w:pStyle w:val="ListParagraph"/>
              <w:numPr>
                <w:ilvl w:val="0"/>
                <w:numId w:val="15"/>
              </w:numPr>
              <w:spacing w:after="0" w:line="240" w:lineRule="auto"/>
              <w:ind w:left="426"/>
              <w:jc w:val="both"/>
              <w:rPr>
                <w:szCs w:val="24"/>
              </w:rPr>
            </w:pPr>
            <w:r w:rsidRPr="002676AC">
              <w:rPr>
                <w:szCs w:val="24"/>
              </w:rPr>
              <w:t>uz kādu periodu ir attiecināms anotācijā iekļautais ierobežojums “</w:t>
            </w:r>
            <w:r w:rsidRPr="002676AC">
              <w:rPr>
                <w:i/>
                <w:iCs/>
                <w:szCs w:val="24"/>
              </w:rPr>
              <w:t>Ierobežojums uz platformu skaitu – ne vairāk kā 3 platformās</w:t>
            </w:r>
            <w:r w:rsidRPr="002676AC">
              <w:rPr>
                <w:szCs w:val="24"/>
              </w:rPr>
              <w:t>”.</w:t>
            </w:r>
          </w:p>
          <w:p w14:paraId="3D314B2F" w14:textId="77777777" w:rsidR="003D4DBD" w:rsidRPr="002676AC" w:rsidRDefault="003D4DBD" w:rsidP="003D4DBD">
            <w:pPr>
              <w:pStyle w:val="ListParagraph"/>
              <w:numPr>
                <w:ilvl w:val="0"/>
                <w:numId w:val="15"/>
              </w:numPr>
              <w:spacing w:after="0" w:line="240" w:lineRule="auto"/>
              <w:ind w:left="426"/>
              <w:jc w:val="both"/>
              <w:rPr>
                <w:sz w:val="20"/>
              </w:rPr>
            </w:pPr>
            <w:r w:rsidRPr="002676AC">
              <w:t>Ņemot vērā, ka anotācijā vairākās vietās lietots ierobežojums “Ierobežojums – ne vairāk kā 2000 EUR no kopējās 1 gada atbalsta summas”, var tikt saprasts kā atbalsts “no kopējās pirmā gada atbalsta summas”, vai arī “no kopējās viena gada atbalsta summas”, vai arī “no kopējās viena kalendārā gada atbalsta summas” kā ir minēts anotācijā iepriekš, aicinām, visur, kur tiek lietots šāds saīsinājums, cipara “1” precīzu nozīmi norādīt vārdos.</w:t>
            </w:r>
          </w:p>
          <w:p w14:paraId="271E311A" w14:textId="77777777" w:rsidR="003D4DBD" w:rsidRPr="002676AC" w:rsidRDefault="003D4DBD" w:rsidP="003D4DBD">
            <w:pPr>
              <w:pStyle w:val="ListParagraph"/>
              <w:numPr>
                <w:ilvl w:val="0"/>
                <w:numId w:val="15"/>
              </w:numPr>
              <w:spacing w:after="0" w:line="240" w:lineRule="auto"/>
              <w:ind w:left="426"/>
              <w:jc w:val="both"/>
            </w:pPr>
            <w:r w:rsidRPr="002676AC">
              <w:t xml:space="preserve">Uzturam iepriekšējā FM atzinuma 10.punkta e) apakšpunktā minēto iebildumu, un aicinām anotāciju papildināt ar informāciju par to, kādā laika periodā veidojas 3 500 </w:t>
            </w:r>
            <w:r w:rsidRPr="002676AC">
              <w:rPr>
                <w:i/>
                <w:iCs/>
              </w:rPr>
              <w:t>euro</w:t>
            </w:r>
            <w:r w:rsidRPr="002676AC">
              <w:t xml:space="preserve"> izmaksas vienam uzņēmumam un vai tās atbilst tirgus vērtībai. Papildus aicinām skaidrot, kas papildus pievienotajā aprakstā ir izskatāms ar “Izmaksas veidojas kā kopsumma </w:t>
            </w:r>
            <w:r w:rsidRPr="002676AC">
              <w:rPr>
                <w:b/>
                <w:bCs/>
                <w:u w:val="single"/>
              </w:rPr>
              <w:t>vairākiem pakalpojumiem</w:t>
            </w:r>
            <w:r w:rsidRPr="002676AC">
              <w:t xml:space="preserve">, ko uzņēmums izmanto </w:t>
            </w:r>
            <w:r w:rsidRPr="002676AC">
              <w:rPr>
                <w:b/>
                <w:bCs/>
              </w:rPr>
              <w:lastRenderedPageBreak/>
              <w:t>ilgākā laika periodā</w:t>
            </w:r>
            <w:r w:rsidRPr="002676AC">
              <w:t>”, jo no šīs norādes nav identificējams, par kādiem vairākiem pakalpojumiem ir informācija, kā arī kas tiek uzskatīt par ilgāku laika periodu.</w:t>
            </w:r>
          </w:p>
          <w:p w14:paraId="4C4E82EB" w14:textId="77777777" w:rsidR="003D4DBD" w:rsidRPr="002676AC" w:rsidRDefault="003D4DBD" w:rsidP="003D4DBD">
            <w:pPr>
              <w:pStyle w:val="ListParagraph"/>
              <w:numPr>
                <w:ilvl w:val="0"/>
                <w:numId w:val="15"/>
              </w:numPr>
              <w:spacing w:after="0" w:line="240" w:lineRule="auto"/>
              <w:ind w:left="426"/>
              <w:jc w:val="both"/>
            </w:pPr>
            <w:r w:rsidRPr="002676AC">
              <w:t xml:space="preserve">Uzturam iepriekšējā FM atzinuma 10.punkta f) apakšpunktā minēto iebildumu, jo anotācijā aprakstā “3.solis” ir svītrota norāde uz 20 atbalsta saņēmējiem, taču parējos “soļos” aprakstā norāde uz tieši </w:t>
            </w:r>
            <w:r w:rsidRPr="002676AC">
              <w:rPr>
                <w:u w:val="single"/>
              </w:rPr>
              <w:t>20 komersantiem ir atstāta,</w:t>
            </w:r>
            <w:r w:rsidRPr="002676AC">
              <w:t xml:space="preserve"> un joprojām nav izskaidrots, kādu apsvērumu dēļ digitālā mārketinga pakalpojumu nodrošināšanai tiek plānots, ka Latvijas Investīciju un attīstības aģentūra iepirks attiecīgus pakalpojumus tieši 20 komersantiem visos pārējos soļos.</w:t>
            </w:r>
          </w:p>
          <w:p w14:paraId="7B014E5B" w14:textId="77777777" w:rsidR="003D4DBD" w:rsidRPr="002676AC" w:rsidRDefault="003D4DBD" w:rsidP="003D4DBD">
            <w:pPr>
              <w:pStyle w:val="ListParagraph"/>
              <w:numPr>
                <w:ilvl w:val="0"/>
                <w:numId w:val="15"/>
              </w:numPr>
              <w:spacing w:after="0" w:line="240" w:lineRule="auto"/>
              <w:ind w:left="426"/>
              <w:jc w:val="both"/>
            </w:pPr>
            <w:r w:rsidRPr="002676AC">
              <w:t>Uzturam iepriekšējā FM atzinuma 10.punkta c)apakšpunktā minēto iebildumu, jo anotācijā joprojām nav izskaidrots kas tiek uzskatīts par “</w:t>
            </w:r>
            <w:r w:rsidRPr="002676AC">
              <w:rPr>
                <w:i/>
                <w:iCs/>
              </w:rPr>
              <w:t>iepircēju</w:t>
            </w:r>
            <w:r w:rsidRPr="002676AC">
              <w:t>” atbalsta darbībā “</w:t>
            </w:r>
            <w:r w:rsidRPr="002676AC">
              <w:rPr>
                <w:i/>
                <w:iCs/>
              </w:rPr>
              <w:t>Jaunu produktu testēšana, izvērtēšana eksporta tirgos, piesaistot ārvalstu nozares profesionāļus, iepircējus un aģentus, 2021.-2023.gadam</w:t>
            </w:r>
            <w:r w:rsidRPr="002676AC">
              <w:t>”, ir norādītas iespējamās funkcijas, ko iepircējs varētu veikt, taču skaidrojums, kas tiek uzskatīts par “</w:t>
            </w:r>
            <w:r w:rsidRPr="002676AC">
              <w:rPr>
                <w:i/>
                <w:iCs/>
              </w:rPr>
              <w:t>iepircēju</w:t>
            </w:r>
            <w:r w:rsidRPr="002676AC">
              <w:t>” anotācijā nav iekļauts.</w:t>
            </w:r>
          </w:p>
          <w:p w14:paraId="7C27E2DB" w14:textId="77777777" w:rsidR="003D4DBD" w:rsidRPr="002676AC" w:rsidRDefault="003D4DBD" w:rsidP="003D4DBD">
            <w:pPr>
              <w:pStyle w:val="ListParagraph"/>
              <w:numPr>
                <w:ilvl w:val="0"/>
                <w:numId w:val="15"/>
              </w:numPr>
              <w:spacing w:after="0" w:line="240" w:lineRule="auto"/>
              <w:ind w:left="426"/>
              <w:jc w:val="both"/>
            </w:pPr>
            <w:r w:rsidRPr="002676AC">
              <w:t>Kāda “</w:t>
            </w:r>
            <w:r w:rsidRPr="002676AC">
              <w:rPr>
                <w:i/>
                <w:iCs/>
              </w:rPr>
              <w:t>aģentūra</w:t>
            </w:r>
            <w:r w:rsidRPr="002676AC">
              <w:t xml:space="preserve">” ir domāta pārdošanas vizītes ārvalstīs skaidrojošā tekstā </w:t>
            </w:r>
            <w:r w:rsidRPr="002676AC">
              <w:rPr>
                <w:color w:val="201F1E"/>
              </w:rPr>
              <w:t>“</w:t>
            </w:r>
            <w:r w:rsidRPr="002676AC">
              <w:rPr>
                <w:i/>
                <w:iCs/>
                <w:color w:val="201F1E"/>
              </w:rPr>
              <w:t xml:space="preserve">Kontaktus, atbilstoši </w:t>
            </w:r>
            <w:r w:rsidRPr="002676AC">
              <w:rPr>
                <w:b/>
                <w:bCs/>
                <w:i/>
                <w:iCs/>
                <w:color w:val="201F1E"/>
                <w:u w:val="single"/>
              </w:rPr>
              <w:t xml:space="preserve">aģentūras </w:t>
            </w:r>
            <w:r w:rsidRPr="002676AC">
              <w:rPr>
                <w:i/>
                <w:iCs/>
                <w:color w:val="201F1E"/>
              </w:rPr>
              <w:t xml:space="preserve">piedāvājumam, atlasa, un tikšanās </w:t>
            </w:r>
            <w:r w:rsidRPr="002676AC">
              <w:rPr>
                <w:i/>
                <w:iCs/>
                <w:color w:val="201F1E"/>
              </w:rPr>
              <w:lastRenderedPageBreak/>
              <w:t>programmu organizē Latvijas uzņēmumu pārstāvošā / uzņemošā aģentūra / asociācija attiecīgajā tirgū / valstī.</w:t>
            </w:r>
            <w:r w:rsidRPr="002676AC">
              <w:rPr>
                <w:color w:val="201F1E"/>
              </w:rPr>
              <w:t>”.</w:t>
            </w:r>
          </w:p>
          <w:p w14:paraId="2136D7AF" w14:textId="77777777" w:rsidR="003D4DBD" w:rsidRPr="002676AC" w:rsidRDefault="003D4DBD" w:rsidP="003D4DBD">
            <w:pPr>
              <w:pStyle w:val="ListParagraph"/>
              <w:numPr>
                <w:ilvl w:val="0"/>
                <w:numId w:val="15"/>
              </w:numPr>
              <w:spacing w:after="0" w:line="240" w:lineRule="auto"/>
              <w:ind w:left="426"/>
              <w:jc w:val="both"/>
            </w:pPr>
            <w:r w:rsidRPr="002676AC">
              <w:t>Daļēji uzturam FM atzinuma 10.punkta g) apakšpunktā minēto iebildumu un lūdzam precizēt uz kādu laika periodu attiecās ierobežojums “</w:t>
            </w:r>
            <w:r w:rsidRPr="002676AC">
              <w:rPr>
                <w:i/>
                <w:iCs/>
                <w:color w:val="201F1E"/>
              </w:rPr>
              <w:t>Ne vairāk kā 3 vizītes</w:t>
            </w:r>
            <w:r w:rsidRPr="002676AC">
              <w:t>” (piemēram, ne vairāk kā 3 vizītes viena kalendārā gada laikā vai ne vairāk kā 3 vizītes visā projekta Nr.3.2.1.2/16/l/002 īstenošanas laikā utt.).</w:t>
            </w:r>
          </w:p>
          <w:p w14:paraId="4FFD0C3F" w14:textId="4E0F3AC3" w:rsidR="003D4DBD" w:rsidRPr="002676AC" w:rsidRDefault="003D4DBD" w:rsidP="0003186A">
            <w:pPr>
              <w:pStyle w:val="naisc"/>
              <w:numPr>
                <w:ilvl w:val="0"/>
                <w:numId w:val="15"/>
              </w:numPr>
              <w:spacing w:before="0" w:after="0"/>
              <w:jc w:val="both"/>
              <w:rPr>
                <w:b/>
              </w:rPr>
            </w:pPr>
            <w:r w:rsidRPr="002676AC">
              <w:t>Lūdzam precizēt starptautisko konferenču, kongresu un semināru atbalsta programmas Latvijā aprakstu, precizējot uz kādām “</w:t>
            </w:r>
            <w:r w:rsidRPr="002676AC">
              <w:rPr>
                <w:i/>
                <w:iCs/>
              </w:rPr>
              <w:t>Latvijas pakalpojumu izmaksām</w:t>
            </w:r>
            <w:r w:rsidRPr="002676AC">
              <w:t>” ir balstīti aprēķini, kāda līdzīga valstu pieredze un kādu tieši valstu pieredze ir ņemta vērā, nosakot atbalsta apjomu un veidojot piešķiršanas kritērijus. Tāpat aicinām aprakstā skaidrot, kas tiek uzskatīts par “</w:t>
            </w:r>
            <w:r w:rsidRPr="002676AC">
              <w:rPr>
                <w:i/>
                <w:iCs/>
              </w:rPr>
              <w:t>mazo konferenci</w:t>
            </w:r>
            <w:r w:rsidRPr="002676AC">
              <w:t>”.</w:t>
            </w:r>
          </w:p>
        </w:tc>
        <w:tc>
          <w:tcPr>
            <w:tcW w:w="3827" w:type="dxa"/>
            <w:gridSpan w:val="2"/>
            <w:tcBorders>
              <w:top w:val="single" w:sz="6" w:space="0" w:color="000000"/>
              <w:left w:val="single" w:sz="6" w:space="0" w:color="000000"/>
              <w:bottom w:val="single" w:sz="6" w:space="0" w:color="000000"/>
              <w:right w:val="single" w:sz="6" w:space="0" w:color="000000"/>
            </w:tcBorders>
          </w:tcPr>
          <w:p w14:paraId="39CBA527" w14:textId="3EA4875E" w:rsidR="003D4DBD" w:rsidRPr="002676AC" w:rsidRDefault="004E70E6" w:rsidP="003D4DBD">
            <w:pPr>
              <w:pStyle w:val="naisc"/>
              <w:spacing w:before="0" w:after="0"/>
              <w:rPr>
                <w:b/>
              </w:rPr>
            </w:pPr>
            <w:r w:rsidRPr="002676AC">
              <w:rPr>
                <w:b/>
              </w:rPr>
              <w:lastRenderedPageBreak/>
              <w:t>Ņ</w:t>
            </w:r>
            <w:r w:rsidR="003D4DBD" w:rsidRPr="002676AC">
              <w:rPr>
                <w:b/>
              </w:rPr>
              <w:t>emts vērā</w:t>
            </w:r>
          </w:p>
          <w:p w14:paraId="548BA1F5" w14:textId="77777777" w:rsidR="003D4DBD" w:rsidRPr="002676AC" w:rsidRDefault="003D4DBD" w:rsidP="003D4DBD">
            <w:pPr>
              <w:jc w:val="both"/>
              <w:rPr>
                <w:bCs/>
              </w:rPr>
            </w:pPr>
            <w:r w:rsidRPr="002676AC">
              <w:rPr>
                <w:bCs/>
              </w:rPr>
              <w:t>Sniedzam skaidrojumu par šādiem punktiem:</w:t>
            </w:r>
          </w:p>
          <w:p w14:paraId="0BD11736" w14:textId="35BA5EBA" w:rsidR="003D4DBD" w:rsidRPr="002676AC" w:rsidRDefault="003D4DBD" w:rsidP="003D4DBD">
            <w:pPr>
              <w:pStyle w:val="ListParagraph"/>
              <w:numPr>
                <w:ilvl w:val="0"/>
                <w:numId w:val="16"/>
              </w:numPr>
              <w:jc w:val="both"/>
              <w:rPr>
                <w:bCs/>
              </w:rPr>
            </w:pPr>
            <w:r w:rsidRPr="002676AC">
              <w:rPr>
                <w:rFonts w:ascii="Times New Roman" w:hAnsi="Times New Roman" w:cs="Times New Roman"/>
                <w:bCs/>
                <w:sz w:val="24"/>
                <w:szCs w:val="24"/>
              </w:rPr>
              <w:t xml:space="preserve">Norādām, ka </w:t>
            </w:r>
            <w:r w:rsidRPr="002676AC">
              <w:rPr>
                <w:rFonts w:ascii="Times New Roman" w:hAnsi="Times New Roman" w:cs="Times New Roman"/>
                <w:sz w:val="24"/>
                <w:szCs w:val="24"/>
              </w:rPr>
              <w:t>“</w:t>
            </w:r>
            <w:r w:rsidRPr="002676AC">
              <w:rPr>
                <w:rFonts w:ascii="Times New Roman" w:hAnsi="Times New Roman" w:cs="Times New Roman"/>
                <w:bCs/>
                <w:sz w:val="24"/>
                <w:szCs w:val="24"/>
              </w:rPr>
              <w:t>Dalība starptautiskās digitālās nozaru platformās” ir iekļauta aktivitātē</w:t>
            </w:r>
            <w:r w:rsidRPr="002676AC">
              <w:rPr>
                <w:bCs/>
              </w:rPr>
              <w:t xml:space="preserve"> “</w:t>
            </w:r>
            <w:r w:rsidRPr="002676AC">
              <w:rPr>
                <w:rFonts w:ascii="Times New Roman" w:eastAsia="Times New Roman" w:hAnsi="Times New Roman" w:cs="Times New Roman"/>
                <w:sz w:val="24"/>
                <w:szCs w:val="24"/>
              </w:rPr>
              <w:t>Individuālais atbalsts uzņēmumiem” (grants 50%), kas sevī ietver to, ka u</w:t>
            </w:r>
            <w:r w:rsidRPr="002676AC">
              <w:rPr>
                <w:rFonts w:ascii="Times New Roman" w:hAnsi="Times New Roman" w:cs="Times New Roman"/>
                <w:bCs/>
                <w:sz w:val="24"/>
                <w:szCs w:val="24"/>
              </w:rPr>
              <w:t xml:space="preserve">zņēmumam būs iespēja pretendēt uz individuālo atbalstu 20 tūkst. EUR apmērā </w:t>
            </w:r>
            <w:r w:rsidRPr="002676AC">
              <w:rPr>
                <w:rFonts w:ascii="Times New Roman" w:hAnsi="Times New Roman" w:cs="Times New Roman"/>
                <w:bCs/>
                <w:sz w:val="24"/>
                <w:szCs w:val="24"/>
                <w:u w:val="single"/>
              </w:rPr>
              <w:t>1 kalendārā gada ietvaros</w:t>
            </w:r>
            <w:r w:rsidRPr="002676AC">
              <w:rPr>
                <w:rFonts w:ascii="Times New Roman" w:hAnsi="Times New Roman" w:cs="Times New Roman"/>
                <w:bCs/>
                <w:sz w:val="24"/>
                <w:szCs w:val="24"/>
              </w:rPr>
              <w:t xml:space="preserve"> grantu veidā. Tai skaitā laika periods 1 kalendārais gads attiecas arī uz ierobežojumu “platformu skaits – ne vairāk kā 3 platformās”. </w:t>
            </w:r>
          </w:p>
          <w:p w14:paraId="6F7438F9" w14:textId="5B8C703B" w:rsidR="003D4DBD" w:rsidRPr="002676AC" w:rsidRDefault="003D4DBD" w:rsidP="003D4DBD">
            <w:pPr>
              <w:pStyle w:val="ListParagraph"/>
              <w:numPr>
                <w:ilvl w:val="0"/>
                <w:numId w:val="16"/>
              </w:numPr>
              <w:jc w:val="both"/>
              <w:rPr>
                <w:bCs/>
              </w:rPr>
            </w:pPr>
            <w:r w:rsidRPr="002676AC">
              <w:rPr>
                <w:rFonts w:ascii="Times New Roman" w:eastAsia="Calibri" w:hAnsi="Times New Roman" w:cs="Times New Roman"/>
                <w:bCs/>
                <w:sz w:val="24"/>
              </w:rPr>
              <w:t>“Ierobežojums – ne vairāk kā 2000 EUR no kopējās 1 gada atbalsta summas” attiecas uz aktivitātēm, kas iekļautas aktivitātē “Individuālais atbalsts uzņēmumiem</w:t>
            </w:r>
            <w:r w:rsidR="004E70E6" w:rsidRPr="002676AC">
              <w:rPr>
                <w:rFonts w:ascii="Times New Roman" w:eastAsia="Calibri" w:hAnsi="Times New Roman" w:cs="Times New Roman"/>
                <w:bCs/>
                <w:sz w:val="24"/>
              </w:rPr>
              <w:t>”</w:t>
            </w:r>
            <w:r w:rsidRPr="002676AC">
              <w:rPr>
                <w:rFonts w:ascii="Times New Roman" w:eastAsia="Calibri" w:hAnsi="Times New Roman" w:cs="Times New Roman"/>
                <w:bCs/>
                <w:sz w:val="24"/>
              </w:rPr>
              <w:t xml:space="preserve"> (grants 50%), kas sevī ietver to, ka uzņēmumam būs iespēja pretendēt uz individuālo atbalstu 20 tūkst. EUR apmērā </w:t>
            </w:r>
            <w:r w:rsidRPr="002676AC">
              <w:rPr>
                <w:rFonts w:ascii="Times New Roman" w:eastAsia="Calibri" w:hAnsi="Times New Roman" w:cs="Times New Roman"/>
                <w:bCs/>
                <w:sz w:val="24"/>
                <w:u w:val="single"/>
              </w:rPr>
              <w:t>1 kalendārā gada ietvaros</w:t>
            </w:r>
            <w:r w:rsidRPr="002676AC">
              <w:rPr>
                <w:rFonts w:ascii="Times New Roman" w:eastAsia="Calibri" w:hAnsi="Times New Roman" w:cs="Times New Roman"/>
                <w:bCs/>
                <w:sz w:val="24"/>
              </w:rPr>
              <w:t xml:space="preserve"> grantu veidā</w:t>
            </w:r>
            <w:r w:rsidR="004E70E6" w:rsidRPr="002676AC">
              <w:rPr>
                <w:rFonts w:ascii="Times New Roman" w:eastAsia="Calibri" w:hAnsi="Times New Roman" w:cs="Times New Roman"/>
                <w:bCs/>
                <w:sz w:val="24"/>
              </w:rPr>
              <w:t>.</w:t>
            </w:r>
          </w:p>
          <w:p w14:paraId="714874B3" w14:textId="5B6F063F" w:rsidR="004E70E6" w:rsidRPr="002676AC" w:rsidRDefault="004E70E6" w:rsidP="003D4DBD">
            <w:pPr>
              <w:pStyle w:val="ListParagraph"/>
              <w:numPr>
                <w:ilvl w:val="0"/>
                <w:numId w:val="16"/>
              </w:numPr>
              <w:jc w:val="both"/>
              <w:rPr>
                <w:bCs/>
              </w:rPr>
            </w:pPr>
            <w:r w:rsidRPr="002676AC">
              <w:rPr>
                <w:rFonts w:ascii="Times New Roman" w:eastAsia="Calibri" w:hAnsi="Times New Roman" w:cs="Times New Roman"/>
                <w:bCs/>
                <w:sz w:val="24"/>
              </w:rPr>
              <w:t>Papildināta anotācija</w:t>
            </w:r>
            <w:r w:rsidR="001474C6" w:rsidRPr="002676AC">
              <w:rPr>
                <w:rFonts w:ascii="Times New Roman" w:eastAsia="Calibri" w:hAnsi="Times New Roman" w:cs="Times New Roman"/>
                <w:bCs/>
                <w:sz w:val="24"/>
              </w:rPr>
              <w:t>.</w:t>
            </w:r>
          </w:p>
          <w:p w14:paraId="58BA97CD" w14:textId="5F986EB8" w:rsidR="003D4DBD" w:rsidRPr="002676AC" w:rsidRDefault="003D4DBD" w:rsidP="003D4DBD">
            <w:pPr>
              <w:jc w:val="both"/>
              <w:rPr>
                <w:bCs/>
              </w:rPr>
            </w:pPr>
            <w:r w:rsidRPr="002676AC">
              <w:rPr>
                <w:bCs/>
              </w:rPr>
              <w:t>d)Informācija precizēta, dzēšot skaitli “20”</w:t>
            </w:r>
            <w:r w:rsidR="004E70E6" w:rsidRPr="002676AC">
              <w:rPr>
                <w:bCs/>
              </w:rPr>
              <w:t>.</w:t>
            </w:r>
          </w:p>
          <w:p w14:paraId="095E6A51" w14:textId="4261C367" w:rsidR="003D4DBD" w:rsidRPr="002676AC" w:rsidRDefault="003D4DBD" w:rsidP="003D4DBD">
            <w:pPr>
              <w:jc w:val="both"/>
              <w:rPr>
                <w:bCs/>
              </w:rPr>
            </w:pPr>
            <w:r w:rsidRPr="002676AC">
              <w:rPr>
                <w:bCs/>
              </w:rPr>
              <w:lastRenderedPageBreak/>
              <w:t>e)</w:t>
            </w:r>
            <w:r w:rsidRPr="002676AC">
              <w:t xml:space="preserve"> skaidrojam, ka ar vārdu “iepircējs” ir saprotams, ka tie</w:t>
            </w:r>
            <w:r w:rsidR="002C2EA7">
              <w:t xml:space="preserve"> ir</w:t>
            </w:r>
            <w:r w:rsidRPr="002676AC">
              <w:t xml:space="preserve"> </w:t>
            </w:r>
            <w:r w:rsidR="002C2EA7" w:rsidRPr="007840EC">
              <w:rPr>
                <w:bCs/>
                <w:szCs w:val="24"/>
              </w:rPr>
              <w:t>vairumtirgotāj</w:t>
            </w:r>
            <w:r w:rsidR="002C2EA7">
              <w:rPr>
                <w:bCs/>
                <w:szCs w:val="24"/>
              </w:rPr>
              <w:t>i</w:t>
            </w:r>
            <w:r w:rsidR="002C2EA7" w:rsidRPr="007840EC">
              <w:rPr>
                <w:bCs/>
                <w:szCs w:val="24"/>
              </w:rPr>
              <w:t>/tirgotāj</w:t>
            </w:r>
            <w:r w:rsidR="002C2EA7">
              <w:rPr>
                <w:bCs/>
                <w:szCs w:val="24"/>
              </w:rPr>
              <w:t>i</w:t>
            </w:r>
            <w:r w:rsidRPr="002676AC">
              <w:rPr>
                <w:i/>
                <w:iCs/>
              </w:rPr>
              <w:t xml:space="preserve">. </w:t>
            </w:r>
            <w:r w:rsidRPr="002676AC">
              <w:t xml:space="preserve"> </w:t>
            </w:r>
          </w:p>
          <w:p w14:paraId="06216CE9" w14:textId="77777777" w:rsidR="003D4DBD" w:rsidRPr="002676AC" w:rsidRDefault="003D4DBD" w:rsidP="003D4DBD">
            <w:pPr>
              <w:jc w:val="both"/>
              <w:rPr>
                <w:bCs/>
              </w:rPr>
            </w:pPr>
            <w:r w:rsidRPr="002676AC">
              <w:rPr>
                <w:bCs/>
              </w:rPr>
              <w:t>f) precizēta informācija anotācijā.</w:t>
            </w:r>
          </w:p>
          <w:p w14:paraId="4B5BE50F" w14:textId="119481DA" w:rsidR="003D4DBD" w:rsidRPr="002676AC" w:rsidRDefault="003D4DBD" w:rsidP="003D4DBD">
            <w:pPr>
              <w:jc w:val="both"/>
              <w:rPr>
                <w:bCs/>
              </w:rPr>
            </w:pPr>
            <w:r w:rsidRPr="002676AC">
              <w:rPr>
                <w:bCs/>
              </w:rPr>
              <w:t>g)</w:t>
            </w:r>
            <w:r w:rsidRPr="002676AC">
              <w:rPr>
                <w:szCs w:val="24"/>
              </w:rPr>
              <w:t xml:space="preserve"> minētās 3 vizītes ietilpst</w:t>
            </w:r>
            <w:r w:rsidR="00C06249">
              <w:rPr>
                <w:szCs w:val="24"/>
              </w:rPr>
              <w:t xml:space="preserve"> apakšaktivitātē</w:t>
            </w:r>
            <w:r w:rsidRPr="002676AC">
              <w:rPr>
                <w:szCs w:val="24"/>
              </w:rPr>
              <w:t xml:space="preserve"> “produktu/pakalpojumu pielāgošana ārvalstu tirgiem”,</w:t>
            </w:r>
            <w:r w:rsidR="0028023E" w:rsidRPr="002676AC">
              <w:rPr>
                <w:szCs w:val="24"/>
              </w:rPr>
              <w:t xml:space="preserve"> </w:t>
            </w:r>
            <w:r w:rsidR="0028023E" w:rsidRPr="002676AC">
              <w:rPr>
                <w:bCs/>
              </w:rPr>
              <w:t xml:space="preserve">kas iekļautas aktivitātē “Individuālais atbalsts uzņēmumiem” (grants </w:t>
            </w:r>
            <w:r w:rsidR="005C206A">
              <w:rPr>
                <w:bCs/>
              </w:rPr>
              <w:t>8</w:t>
            </w:r>
            <w:r w:rsidR="0028023E" w:rsidRPr="002676AC">
              <w:rPr>
                <w:bCs/>
              </w:rPr>
              <w:t xml:space="preserve">0%), kas sevī ietver to, ka uzņēmumam būs iespēja pretendēt uz individuālo atbalstu 20 tūkst. EUR apmērā </w:t>
            </w:r>
            <w:r w:rsidR="0028023E" w:rsidRPr="002676AC">
              <w:rPr>
                <w:bCs/>
                <w:u w:val="single"/>
              </w:rPr>
              <w:t>1 kalendārā gada ietvaros</w:t>
            </w:r>
            <w:r w:rsidR="0028023E" w:rsidRPr="002676AC">
              <w:rPr>
                <w:bCs/>
              </w:rPr>
              <w:t xml:space="preserve"> grantu veidā.</w:t>
            </w:r>
          </w:p>
          <w:p w14:paraId="40F2AE4B" w14:textId="7989F89A" w:rsidR="0028023E" w:rsidRPr="002676AC" w:rsidRDefault="0028023E" w:rsidP="003D4DBD">
            <w:pPr>
              <w:jc w:val="both"/>
              <w:rPr>
                <w:bCs/>
              </w:rPr>
            </w:pPr>
            <w:r w:rsidRPr="002676AC">
              <w:rPr>
                <w:bCs/>
              </w:rPr>
              <w:t>h) precizēta informācija anotācijā.</w:t>
            </w:r>
          </w:p>
          <w:p w14:paraId="03AADA9B" w14:textId="77777777" w:rsidR="0028023E" w:rsidRPr="002676AC" w:rsidRDefault="0028023E" w:rsidP="003D4DBD">
            <w:pPr>
              <w:jc w:val="both"/>
              <w:rPr>
                <w:bCs/>
              </w:rPr>
            </w:pPr>
          </w:p>
          <w:p w14:paraId="0D451641" w14:textId="77777777" w:rsidR="003D4DBD" w:rsidRPr="002676AC" w:rsidRDefault="003D4DBD" w:rsidP="003D4DBD">
            <w:pPr>
              <w:jc w:val="both"/>
              <w:rPr>
                <w:bCs/>
              </w:rPr>
            </w:pPr>
          </w:p>
          <w:p w14:paraId="2E7373D0" w14:textId="77777777" w:rsidR="003D4DBD" w:rsidRPr="002676AC" w:rsidRDefault="003D4DBD" w:rsidP="003D4DBD">
            <w:pPr>
              <w:jc w:val="both"/>
              <w:rPr>
                <w:bCs/>
              </w:rPr>
            </w:pPr>
          </w:p>
          <w:p w14:paraId="1E2EAEE2" w14:textId="62A055EF" w:rsidR="003D4DBD" w:rsidRPr="002676AC" w:rsidRDefault="0028023E" w:rsidP="0028023E">
            <w:pPr>
              <w:jc w:val="both"/>
              <w:rPr>
                <w:bCs/>
              </w:rPr>
            </w:pPr>
            <w:r w:rsidRPr="002676AC">
              <w:rPr>
                <w:bCs/>
              </w:rPr>
              <w:t>S</w:t>
            </w:r>
            <w:r w:rsidR="003D4DBD" w:rsidRPr="002676AC">
              <w:rPr>
                <w:bCs/>
              </w:rPr>
              <w:t>kaidrojam, ka aktivitāšu aprēķini veikti, lai izprastu pakalpojumu aptuvenās izmaksas un tas atspoguļo šā brīža situāciju tirgū, tāpēc CFLA, kas veic 3.2.1.2.pasākuma ietvaros īstenoto projektu uzraudzību, pēc maksājuma pieprasījumu saņemšanas, pārbauda maksājumu pieprasījumos iekļauto izmaksu pamatotību un to atbilstību attiecīgajai iepirkuma procedūrai.</w:t>
            </w:r>
          </w:p>
          <w:p w14:paraId="7FF7D00A" w14:textId="77777777" w:rsidR="003D4DBD" w:rsidRPr="002676AC" w:rsidRDefault="003D4DBD" w:rsidP="003D4DBD">
            <w:pPr>
              <w:pStyle w:val="naisc"/>
              <w:spacing w:before="0" w:after="0"/>
              <w:jc w:val="left"/>
              <w:rPr>
                <w:bCs/>
              </w:rPr>
            </w:pPr>
          </w:p>
        </w:tc>
        <w:tc>
          <w:tcPr>
            <w:tcW w:w="3235" w:type="dxa"/>
            <w:tcBorders>
              <w:top w:val="single" w:sz="4" w:space="0" w:color="auto"/>
              <w:left w:val="single" w:sz="4" w:space="0" w:color="auto"/>
              <w:bottom w:val="single" w:sz="4" w:space="0" w:color="auto"/>
            </w:tcBorders>
          </w:tcPr>
          <w:p w14:paraId="60F51BD2" w14:textId="557674C0" w:rsidR="003D4DBD" w:rsidRPr="005F0CD4" w:rsidRDefault="004E70E6" w:rsidP="003D4DBD">
            <w:pPr>
              <w:jc w:val="both"/>
            </w:pPr>
            <w:r w:rsidRPr="002676AC">
              <w:lastRenderedPageBreak/>
              <w:t>Papildināts Anotācijas I. sadaļas “Tiesību akta projekta izstrādes nepieciešamība” 2. punkts “Pašreizējā situācija un problēmas, kuru risināšanai tiesību akta projekts izstrādāts, tiesiskā regulējuma mērķis un būtība”</w:t>
            </w:r>
          </w:p>
        </w:tc>
      </w:tr>
      <w:tr w:rsidR="003D4DBD" w:rsidRPr="007E6672" w14:paraId="70ED666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D21E74F" w14:textId="77777777" w:rsidR="003D4DBD" w:rsidRPr="007E6672" w:rsidRDefault="003D4DBD" w:rsidP="003D4DBD">
            <w:pPr>
              <w:pStyle w:val="naisc"/>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8B39612" w14:textId="77777777" w:rsidR="003D4DBD" w:rsidRPr="005F0CD4" w:rsidRDefault="003D4DBD" w:rsidP="006924F6">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14:paraId="5C90F83E" w14:textId="77777777" w:rsidR="003D4DBD" w:rsidRPr="005F0CD4" w:rsidRDefault="003D4DBD" w:rsidP="006924F6">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40905C35" w14:textId="77777777" w:rsidR="003D4DBD" w:rsidRPr="005F0CD4" w:rsidRDefault="003D4DBD" w:rsidP="006924F6">
            <w:pPr>
              <w:pStyle w:val="naisc"/>
              <w:spacing w:before="0" w:after="0"/>
              <w:rPr>
                <w:b/>
              </w:rPr>
            </w:pPr>
          </w:p>
        </w:tc>
        <w:tc>
          <w:tcPr>
            <w:tcW w:w="3235" w:type="dxa"/>
            <w:tcBorders>
              <w:top w:val="single" w:sz="4" w:space="0" w:color="auto"/>
              <w:left w:val="single" w:sz="4" w:space="0" w:color="auto"/>
              <w:bottom w:val="single" w:sz="4" w:space="0" w:color="auto"/>
            </w:tcBorders>
          </w:tcPr>
          <w:p w14:paraId="7D2E367D" w14:textId="77777777" w:rsidR="003D4DBD" w:rsidRPr="005F0CD4" w:rsidRDefault="003D4DBD" w:rsidP="006924F6">
            <w:pPr>
              <w:jc w:val="both"/>
              <w:rPr>
                <w:szCs w:val="24"/>
              </w:rPr>
            </w:pPr>
          </w:p>
        </w:tc>
      </w:tr>
      <w:tr w:rsidR="006F7BEC" w:rsidRPr="007E6672" w14:paraId="01C9FB05" w14:textId="77777777" w:rsidTr="000F556F">
        <w:tc>
          <w:tcPr>
            <w:tcW w:w="14709" w:type="dxa"/>
            <w:gridSpan w:val="7"/>
            <w:tcBorders>
              <w:top w:val="single" w:sz="6" w:space="0" w:color="000000"/>
              <w:left w:val="single" w:sz="6" w:space="0" w:color="000000"/>
              <w:bottom w:val="single" w:sz="6" w:space="0" w:color="000000"/>
            </w:tcBorders>
          </w:tcPr>
          <w:p w14:paraId="1552EFA2" w14:textId="77777777" w:rsidR="006F7BEC" w:rsidRDefault="006F7BEC" w:rsidP="006F7BEC">
            <w:pPr>
              <w:rPr>
                <w:b/>
                <w:szCs w:val="24"/>
              </w:rPr>
            </w:pPr>
          </w:p>
          <w:p w14:paraId="3EB35B7F" w14:textId="01A777D6" w:rsidR="006F7BEC" w:rsidRPr="00611538" w:rsidRDefault="006F7BEC" w:rsidP="006F7BEC">
            <w:pPr>
              <w:jc w:val="center"/>
              <w:rPr>
                <w:b/>
                <w:szCs w:val="24"/>
              </w:rPr>
            </w:pPr>
            <w:r w:rsidRPr="00611538">
              <w:rPr>
                <w:b/>
                <w:szCs w:val="24"/>
              </w:rPr>
              <w:t>Priekšlikumi</w:t>
            </w:r>
          </w:p>
        </w:tc>
      </w:tr>
      <w:tr w:rsidR="006F7BEC" w:rsidRPr="007E6672" w14:paraId="13FAE5DF" w14:textId="77777777" w:rsidTr="004C29BA">
        <w:tc>
          <w:tcPr>
            <w:tcW w:w="675" w:type="dxa"/>
            <w:tcBorders>
              <w:top w:val="single" w:sz="6" w:space="0" w:color="000000"/>
              <w:left w:val="single" w:sz="6" w:space="0" w:color="000000"/>
              <w:bottom w:val="single" w:sz="6" w:space="0" w:color="000000"/>
              <w:right w:val="single" w:sz="6" w:space="0" w:color="000000"/>
            </w:tcBorders>
          </w:tcPr>
          <w:p w14:paraId="3CAFA72A" w14:textId="0404DB35" w:rsidR="006F7BEC" w:rsidRPr="007E6672" w:rsidRDefault="000F556F" w:rsidP="000F556F">
            <w:pPr>
              <w:pStyle w:val="naisc"/>
              <w:spacing w:before="0" w:after="0"/>
              <w:jc w:val="both"/>
            </w:pPr>
            <w:r>
              <w:t xml:space="preserve">1. </w:t>
            </w:r>
          </w:p>
        </w:tc>
        <w:tc>
          <w:tcPr>
            <w:tcW w:w="2719" w:type="dxa"/>
            <w:gridSpan w:val="2"/>
            <w:tcBorders>
              <w:top w:val="single" w:sz="6" w:space="0" w:color="000000"/>
              <w:left w:val="single" w:sz="6" w:space="0" w:color="000000"/>
              <w:bottom w:val="single" w:sz="6" w:space="0" w:color="000000"/>
              <w:right w:val="single" w:sz="6" w:space="0" w:color="000000"/>
            </w:tcBorders>
          </w:tcPr>
          <w:p w14:paraId="39ACC084" w14:textId="45FFC7E9" w:rsidR="006F7BEC" w:rsidRPr="007E6672" w:rsidRDefault="006F7BEC" w:rsidP="006F7BEC">
            <w:pPr>
              <w:pStyle w:val="naisc"/>
              <w:jc w:val="both"/>
            </w:pPr>
            <w:r w:rsidRPr="00254AA3">
              <w:t>MK noteikumu Nr.678</w:t>
            </w:r>
            <w:r>
              <w:t xml:space="preserve"> </w:t>
            </w:r>
            <w:r w:rsidRPr="00254AA3">
              <w:t>14.5.apakšpunkt</w:t>
            </w:r>
            <w:r>
              <w:t>s</w:t>
            </w:r>
          </w:p>
        </w:tc>
        <w:tc>
          <w:tcPr>
            <w:tcW w:w="4253" w:type="dxa"/>
            <w:tcBorders>
              <w:top w:val="single" w:sz="6" w:space="0" w:color="000000"/>
              <w:left w:val="single" w:sz="6" w:space="0" w:color="000000"/>
              <w:bottom w:val="single" w:sz="6" w:space="0" w:color="000000"/>
              <w:right w:val="single" w:sz="6" w:space="0" w:color="000000"/>
            </w:tcBorders>
          </w:tcPr>
          <w:p w14:paraId="336252A8" w14:textId="15B11499" w:rsidR="006F7BEC" w:rsidRPr="007E6672" w:rsidRDefault="006F7BEC" w:rsidP="006F7BEC">
            <w:pPr>
              <w:pStyle w:val="naisc"/>
              <w:spacing w:before="0" w:after="0"/>
              <w:jc w:val="both"/>
              <w:rPr>
                <w:b/>
              </w:rPr>
            </w:pPr>
            <w:r>
              <w:rPr>
                <w:b/>
              </w:rPr>
              <w:t xml:space="preserve">Finanšu ministrijas </w:t>
            </w:r>
            <w:r w:rsidRPr="00784037">
              <w:rPr>
                <w:b/>
              </w:rPr>
              <w:t>04.03.2020</w:t>
            </w:r>
            <w:r w:rsidRPr="007E6672">
              <w:rPr>
                <w:b/>
              </w:rPr>
              <w:t>. atzinums</w:t>
            </w:r>
          </w:p>
          <w:p w14:paraId="3A2BA659" w14:textId="336401A3" w:rsidR="006F7BEC" w:rsidRPr="00760EF0" w:rsidRDefault="006F7BEC" w:rsidP="006F7BEC">
            <w:pPr>
              <w:contextualSpacing/>
              <w:jc w:val="both"/>
              <w:rPr>
                <w:szCs w:val="24"/>
              </w:rPr>
            </w:pPr>
            <w:r w:rsidRPr="00784037">
              <w:rPr>
                <w:szCs w:val="24"/>
              </w:rPr>
              <w:lastRenderedPageBreak/>
              <w:t>Aicinām izvērtēt MK noteikumu projekta 5.punkta redakciju un nepieciešamības gadījumā precizēt ar atsaucēm uz darbībām, kuru ietvaros var sniegt šādu konsultatīvo atbalstu.</w:t>
            </w:r>
          </w:p>
        </w:tc>
        <w:tc>
          <w:tcPr>
            <w:tcW w:w="3827" w:type="dxa"/>
            <w:gridSpan w:val="2"/>
            <w:tcBorders>
              <w:top w:val="single" w:sz="6" w:space="0" w:color="000000"/>
              <w:left w:val="single" w:sz="6" w:space="0" w:color="000000"/>
              <w:bottom w:val="single" w:sz="6" w:space="0" w:color="000000"/>
              <w:right w:val="single" w:sz="6" w:space="0" w:color="000000"/>
            </w:tcBorders>
          </w:tcPr>
          <w:p w14:paraId="3799739B" w14:textId="77777777" w:rsidR="006F7BEC" w:rsidRPr="007E6672" w:rsidRDefault="006F7BEC" w:rsidP="006F7BEC">
            <w:pPr>
              <w:pStyle w:val="naisc"/>
              <w:spacing w:before="0" w:after="0"/>
              <w:rPr>
                <w:b/>
              </w:rPr>
            </w:pPr>
            <w:r w:rsidRPr="007E6672">
              <w:rPr>
                <w:b/>
              </w:rPr>
              <w:lastRenderedPageBreak/>
              <w:t>Ņemts vērā</w:t>
            </w:r>
          </w:p>
          <w:p w14:paraId="14F4E1E5" w14:textId="094645CA" w:rsidR="006F7BEC" w:rsidRPr="007E6672" w:rsidRDefault="006F7BEC" w:rsidP="006F7BEC">
            <w:pPr>
              <w:spacing w:after="120"/>
              <w:jc w:val="both"/>
            </w:pPr>
            <w:r>
              <w:t xml:space="preserve">Skaidrojam, ka </w:t>
            </w:r>
            <w:r>
              <w:rPr>
                <w:szCs w:val="24"/>
              </w:rPr>
              <w:t xml:space="preserve">LIAA </w:t>
            </w:r>
            <w:r w:rsidRPr="00784037">
              <w:rPr>
                <w:szCs w:val="24"/>
              </w:rPr>
              <w:t>snie</w:t>
            </w:r>
            <w:r>
              <w:rPr>
                <w:szCs w:val="24"/>
              </w:rPr>
              <w:t>dz</w:t>
            </w:r>
            <w:r w:rsidRPr="00784037">
              <w:rPr>
                <w:szCs w:val="24"/>
              </w:rPr>
              <w:t xml:space="preserve"> konsultatīvo atbalstu</w:t>
            </w:r>
            <w:r>
              <w:rPr>
                <w:szCs w:val="24"/>
              </w:rPr>
              <w:t xml:space="preserve"> pēc komersantu </w:t>
            </w:r>
            <w:r>
              <w:rPr>
                <w:szCs w:val="24"/>
              </w:rPr>
              <w:lastRenderedPageBreak/>
              <w:t>pieprasījuma un konsultāciju saņemšana nebūtu ierobežojama konkrētu darbību ietvaros.</w:t>
            </w:r>
          </w:p>
        </w:tc>
        <w:tc>
          <w:tcPr>
            <w:tcW w:w="3235" w:type="dxa"/>
            <w:tcBorders>
              <w:top w:val="single" w:sz="4" w:space="0" w:color="auto"/>
              <w:left w:val="single" w:sz="4" w:space="0" w:color="auto"/>
              <w:bottom w:val="single" w:sz="4" w:space="0" w:color="auto"/>
            </w:tcBorders>
          </w:tcPr>
          <w:p w14:paraId="118AC6D7" w14:textId="456FE62F" w:rsidR="006F7BEC" w:rsidRPr="007E6672" w:rsidRDefault="006F7BEC" w:rsidP="006F7BEC">
            <w:pPr>
              <w:rPr>
                <w:szCs w:val="24"/>
              </w:rPr>
            </w:pPr>
          </w:p>
        </w:tc>
      </w:tr>
      <w:tr w:rsidR="006F7BEC" w:rsidRPr="007E6672" w14:paraId="0FC10866" w14:textId="77777777" w:rsidTr="000F556F">
        <w:tc>
          <w:tcPr>
            <w:tcW w:w="675" w:type="dxa"/>
            <w:tcBorders>
              <w:top w:val="single" w:sz="6" w:space="0" w:color="000000"/>
              <w:left w:val="single" w:sz="6" w:space="0" w:color="000000"/>
              <w:bottom w:val="single" w:sz="6" w:space="0" w:color="000000"/>
              <w:right w:val="single" w:sz="6" w:space="0" w:color="000000"/>
            </w:tcBorders>
          </w:tcPr>
          <w:p w14:paraId="1B516598" w14:textId="7C05661B" w:rsidR="006F7BEC" w:rsidRPr="007E6672" w:rsidRDefault="000F556F" w:rsidP="000F556F">
            <w:pPr>
              <w:pStyle w:val="naisc"/>
              <w:spacing w:before="0" w:after="0"/>
              <w:jc w:val="both"/>
            </w:pPr>
            <w:r>
              <w:t>2.</w:t>
            </w:r>
          </w:p>
        </w:tc>
        <w:tc>
          <w:tcPr>
            <w:tcW w:w="2719" w:type="dxa"/>
            <w:gridSpan w:val="2"/>
            <w:tcBorders>
              <w:top w:val="single" w:sz="6" w:space="0" w:color="000000"/>
              <w:left w:val="single" w:sz="6" w:space="0" w:color="000000"/>
              <w:right w:val="single" w:sz="6" w:space="0" w:color="000000"/>
            </w:tcBorders>
          </w:tcPr>
          <w:p w14:paraId="1CB339EF" w14:textId="06A8E65E" w:rsidR="006F7BEC" w:rsidRPr="007E6672" w:rsidRDefault="006F7BEC" w:rsidP="006F7BEC">
            <w:pPr>
              <w:pStyle w:val="naisc"/>
              <w:jc w:val="both"/>
            </w:pPr>
            <w:r w:rsidRPr="00347A39">
              <w:t>MK noteikumu Nr.678 8.4.2.apakšpunkts</w:t>
            </w:r>
          </w:p>
        </w:tc>
        <w:tc>
          <w:tcPr>
            <w:tcW w:w="4253" w:type="dxa"/>
            <w:tcBorders>
              <w:top w:val="single" w:sz="6" w:space="0" w:color="000000"/>
              <w:left w:val="single" w:sz="6" w:space="0" w:color="000000"/>
              <w:bottom w:val="single" w:sz="6" w:space="0" w:color="000000"/>
              <w:right w:val="single" w:sz="6" w:space="0" w:color="000000"/>
            </w:tcBorders>
          </w:tcPr>
          <w:p w14:paraId="22C244C4" w14:textId="69EF995D" w:rsidR="006F7BEC" w:rsidRPr="007E6672" w:rsidRDefault="006F7BEC" w:rsidP="006F7BEC">
            <w:pPr>
              <w:pStyle w:val="naisc"/>
              <w:spacing w:before="0" w:after="0"/>
              <w:jc w:val="both"/>
              <w:rPr>
                <w:b/>
              </w:rPr>
            </w:pPr>
            <w:r>
              <w:rPr>
                <w:b/>
              </w:rPr>
              <w:t xml:space="preserve">Finanšu ministrijas </w:t>
            </w:r>
            <w:r w:rsidRPr="00CA1BEC">
              <w:rPr>
                <w:b/>
              </w:rPr>
              <w:t>04.03.2020</w:t>
            </w:r>
            <w:r w:rsidRPr="007E6672">
              <w:rPr>
                <w:b/>
              </w:rPr>
              <w:t>. atzinums</w:t>
            </w:r>
          </w:p>
          <w:p w14:paraId="2E29AC9B" w14:textId="18A0EE36" w:rsidR="006F7BEC" w:rsidRPr="009314F2" w:rsidRDefault="006F7BEC" w:rsidP="006F7BEC">
            <w:pPr>
              <w:pStyle w:val="naisc"/>
              <w:jc w:val="both"/>
            </w:pPr>
            <w:r w:rsidRPr="00CA1BEC">
              <w:t xml:space="preserve">Lūdzam skaidrot, kāpēc MK noteikumos Nr. 678 8.4.2. apakšpunktā tika atstāta projekta iesniegumā plānotā rādītāja vērtība, ņemot vērā, ka pārējos 8.2., 8.3. un 8.4. apakšpunktos minētā informācija tika svītrota. </w:t>
            </w:r>
          </w:p>
        </w:tc>
        <w:tc>
          <w:tcPr>
            <w:tcW w:w="3827" w:type="dxa"/>
            <w:gridSpan w:val="2"/>
            <w:tcBorders>
              <w:top w:val="single" w:sz="6" w:space="0" w:color="000000"/>
              <w:left w:val="single" w:sz="6" w:space="0" w:color="000000"/>
              <w:bottom w:val="single" w:sz="6" w:space="0" w:color="000000"/>
              <w:right w:val="single" w:sz="6" w:space="0" w:color="000000"/>
            </w:tcBorders>
          </w:tcPr>
          <w:p w14:paraId="0FCF7121" w14:textId="77777777" w:rsidR="006F7BEC" w:rsidRPr="007E6672" w:rsidRDefault="006F7BEC" w:rsidP="006F7BEC">
            <w:pPr>
              <w:pStyle w:val="naisc"/>
              <w:spacing w:before="0" w:after="0"/>
              <w:rPr>
                <w:b/>
              </w:rPr>
            </w:pPr>
            <w:r w:rsidRPr="007E6672">
              <w:rPr>
                <w:b/>
              </w:rPr>
              <w:t>Ņemts vērā</w:t>
            </w:r>
          </w:p>
          <w:p w14:paraId="2433C905" w14:textId="4DCE36F3" w:rsidR="006F7BEC" w:rsidRPr="007E6672" w:rsidRDefault="006F7BEC" w:rsidP="006F7BEC">
            <w:pPr>
              <w:pStyle w:val="naisc"/>
              <w:spacing w:before="0" w:after="0"/>
              <w:jc w:val="both"/>
            </w:pPr>
            <w:r>
              <w:t xml:space="preserve">Norādām, ka tika nekorekti norādīta informācija. Precizētajā </w:t>
            </w:r>
            <w:r w:rsidRPr="00347A39">
              <w:t>MK noteikumu Nr.678 8.4.2.apakšpunkt</w:t>
            </w:r>
            <w:r>
              <w:t>a</w:t>
            </w:r>
            <w:r w:rsidRPr="00347A39">
              <w:t xml:space="preserve"> </w:t>
            </w:r>
            <w:r>
              <w:t xml:space="preserve">redakcijā </w:t>
            </w:r>
            <w:r w:rsidRPr="00347A39">
              <w:t>plānotā rādītāja vērtība</w:t>
            </w:r>
            <w:r>
              <w:t xml:space="preserve"> ir dzēsta.</w:t>
            </w:r>
          </w:p>
        </w:tc>
        <w:tc>
          <w:tcPr>
            <w:tcW w:w="3235" w:type="dxa"/>
            <w:tcBorders>
              <w:top w:val="single" w:sz="4" w:space="0" w:color="auto"/>
              <w:left w:val="single" w:sz="4" w:space="0" w:color="auto"/>
            </w:tcBorders>
          </w:tcPr>
          <w:p w14:paraId="605213A3" w14:textId="77777777" w:rsidR="006F7BEC" w:rsidRDefault="006F7BEC" w:rsidP="006F7BEC">
            <w:pPr>
              <w:jc w:val="both"/>
              <w:rPr>
                <w:szCs w:val="24"/>
              </w:rPr>
            </w:pPr>
            <w:r>
              <w:rPr>
                <w:szCs w:val="24"/>
              </w:rPr>
              <w:t>P</w:t>
            </w:r>
            <w:r w:rsidRPr="00EA600A">
              <w:rPr>
                <w:szCs w:val="24"/>
              </w:rPr>
              <w:t>recizēt</w:t>
            </w:r>
            <w:r>
              <w:rPr>
                <w:szCs w:val="24"/>
              </w:rPr>
              <w:t>s</w:t>
            </w:r>
            <w:r w:rsidRPr="00EA600A">
              <w:rPr>
                <w:szCs w:val="24"/>
              </w:rPr>
              <w:t xml:space="preserve"> </w:t>
            </w:r>
            <w:r w:rsidRPr="00347A39">
              <w:rPr>
                <w:szCs w:val="24"/>
              </w:rPr>
              <w:t>MK noteikumu Nr.678 8.4.2.apakšpunkts</w:t>
            </w:r>
            <w:r>
              <w:rPr>
                <w:szCs w:val="24"/>
              </w:rPr>
              <w:t xml:space="preserve"> šādā redakcijā:</w:t>
            </w:r>
          </w:p>
          <w:p w14:paraId="71B389F9" w14:textId="52404D90" w:rsidR="006F7BEC" w:rsidRPr="007E6672" w:rsidRDefault="006F7BEC" w:rsidP="006F7BEC">
            <w:pPr>
              <w:jc w:val="both"/>
              <w:rPr>
                <w:szCs w:val="24"/>
              </w:rPr>
            </w:pPr>
            <w:r w:rsidRPr="00000BA8">
              <w:rPr>
                <w:szCs w:val="24"/>
              </w:rPr>
              <w:t>"</w:t>
            </w:r>
            <w:r w:rsidRPr="0086578C">
              <w:t>8.4.2. šo noteikumu 11.2. apakšpunktā minētajam finansējuma saņēmējam – 2</w:t>
            </w:r>
            <w:r>
              <w:t>5</w:t>
            </w:r>
            <w:r w:rsidRPr="0086578C">
              <w:t>0 komersanti</w:t>
            </w:r>
            <w:r w:rsidRPr="00000BA8">
              <w:rPr>
                <w:szCs w:val="24"/>
              </w:rPr>
              <w:t>;"</w:t>
            </w:r>
          </w:p>
        </w:tc>
      </w:tr>
      <w:tr w:rsidR="006F7BEC" w:rsidRPr="007E6672" w14:paraId="715FA473"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B6BFD1B" w14:textId="4EDAC3DA" w:rsidR="006F7BEC" w:rsidRPr="007E6672" w:rsidRDefault="000F556F" w:rsidP="000F556F">
            <w:pPr>
              <w:pStyle w:val="naisc"/>
              <w:spacing w:before="0" w:after="0"/>
              <w:jc w:val="both"/>
            </w:pPr>
            <w:r>
              <w:t>3.</w:t>
            </w:r>
          </w:p>
        </w:tc>
        <w:tc>
          <w:tcPr>
            <w:tcW w:w="2719" w:type="dxa"/>
            <w:gridSpan w:val="2"/>
            <w:tcBorders>
              <w:top w:val="single" w:sz="6" w:space="0" w:color="000000"/>
              <w:left w:val="single" w:sz="6" w:space="0" w:color="000000"/>
              <w:bottom w:val="single" w:sz="6" w:space="0" w:color="000000"/>
              <w:right w:val="single" w:sz="6" w:space="0" w:color="000000"/>
            </w:tcBorders>
          </w:tcPr>
          <w:p w14:paraId="78D9DCA8" w14:textId="540B6851" w:rsidR="006F7BEC" w:rsidRPr="007E6672" w:rsidRDefault="006F7BEC" w:rsidP="006F7BEC">
            <w:pPr>
              <w:pStyle w:val="naisc"/>
              <w:jc w:val="both"/>
            </w:pPr>
            <w:r w:rsidRPr="0092185E">
              <w:t>MK noteikumu Nr.678 27. punkt</w:t>
            </w:r>
            <w:r>
              <w:t>s</w:t>
            </w:r>
          </w:p>
        </w:tc>
        <w:tc>
          <w:tcPr>
            <w:tcW w:w="4253" w:type="dxa"/>
            <w:tcBorders>
              <w:top w:val="single" w:sz="6" w:space="0" w:color="000000"/>
              <w:left w:val="single" w:sz="6" w:space="0" w:color="000000"/>
              <w:bottom w:val="single" w:sz="6" w:space="0" w:color="000000"/>
              <w:right w:val="single" w:sz="6" w:space="0" w:color="000000"/>
            </w:tcBorders>
          </w:tcPr>
          <w:p w14:paraId="58F30FF1" w14:textId="4CC28C93" w:rsidR="006F7BEC" w:rsidRPr="00EA4C08" w:rsidRDefault="006F7BEC" w:rsidP="006F7BEC">
            <w:pPr>
              <w:pStyle w:val="naisc"/>
              <w:spacing w:before="0" w:after="0"/>
              <w:jc w:val="both"/>
              <w:rPr>
                <w:b/>
              </w:rPr>
            </w:pPr>
            <w:r w:rsidRPr="00EA4C08">
              <w:rPr>
                <w:b/>
              </w:rPr>
              <w:t xml:space="preserve">Finanšu ministrijas </w:t>
            </w:r>
            <w:r w:rsidRPr="003E20A0">
              <w:rPr>
                <w:b/>
              </w:rPr>
              <w:t>04.03.2020</w:t>
            </w:r>
            <w:r w:rsidRPr="00EA4C08">
              <w:rPr>
                <w:b/>
              </w:rPr>
              <w:t>. atzinums</w:t>
            </w:r>
          </w:p>
          <w:p w14:paraId="7FB77494" w14:textId="5300CBD2" w:rsidR="006F7BEC" w:rsidRPr="00AC37C4" w:rsidRDefault="006F7BEC" w:rsidP="006F7BEC">
            <w:pPr>
              <w:contextualSpacing/>
              <w:jc w:val="both"/>
              <w:rPr>
                <w:szCs w:val="24"/>
              </w:rPr>
            </w:pPr>
            <w:r w:rsidRPr="003E20A0">
              <w:rPr>
                <w:szCs w:val="24"/>
              </w:rPr>
              <w:t>Ņemot vērā, ka Komisijas regulas Nr. 1407/2013 darbības termiņš ir līdz 2021.gada 30.jūnijam un provizoriski tas tiks pagarināts un, lai nebūtu jāveic atkārtoti grozījumi MK noteikumos Nr. 678, aicinām MK noteikumu Nr. 678 27. punktā atsaukties tikai uz Komisijas regulas Nr.1407/2013 7. panta 4. punktu un 8. pantu, svītrojot konkrētu lēmuma pieņemšanas datumu.</w:t>
            </w:r>
          </w:p>
        </w:tc>
        <w:tc>
          <w:tcPr>
            <w:tcW w:w="3827" w:type="dxa"/>
            <w:gridSpan w:val="2"/>
            <w:tcBorders>
              <w:top w:val="single" w:sz="6" w:space="0" w:color="000000"/>
              <w:left w:val="single" w:sz="6" w:space="0" w:color="000000"/>
              <w:bottom w:val="single" w:sz="6" w:space="0" w:color="000000"/>
              <w:right w:val="single" w:sz="6" w:space="0" w:color="000000"/>
            </w:tcBorders>
          </w:tcPr>
          <w:p w14:paraId="4805D750" w14:textId="77777777" w:rsidR="006F7BEC" w:rsidRDefault="006F7BEC" w:rsidP="006F7BEC">
            <w:pPr>
              <w:pStyle w:val="naisc"/>
              <w:spacing w:before="0" w:after="0"/>
              <w:rPr>
                <w:b/>
              </w:rPr>
            </w:pPr>
            <w:r w:rsidRPr="00CD3176">
              <w:rPr>
                <w:b/>
              </w:rPr>
              <w:t>Ņemts vērā</w:t>
            </w:r>
          </w:p>
          <w:p w14:paraId="70672AAB" w14:textId="56990947" w:rsidR="006F7BEC" w:rsidRPr="007E6672" w:rsidRDefault="006F7BEC" w:rsidP="006F7BEC">
            <w:pPr>
              <w:pStyle w:val="naisc"/>
              <w:spacing w:before="0" w:after="0"/>
            </w:pPr>
          </w:p>
        </w:tc>
        <w:tc>
          <w:tcPr>
            <w:tcW w:w="3235" w:type="dxa"/>
            <w:tcBorders>
              <w:top w:val="single" w:sz="4" w:space="0" w:color="auto"/>
              <w:left w:val="single" w:sz="4" w:space="0" w:color="auto"/>
              <w:bottom w:val="single" w:sz="4" w:space="0" w:color="auto"/>
            </w:tcBorders>
          </w:tcPr>
          <w:p w14:paraId="1CA201BA" w14:textId="77777777" w:rsidR="006F7BEC" w:rsidRDefault="006F7BEC" w:rsidP="006F7BEC">
            <w:pPr>
              <w:jc w:val="both"/>
              <w:rPr>
                <w:bCs/>
              </w:rPr>
            </w:pPr>
            <w:r>
              <w:rPr>
                <w:bCs/>
              </w:rPr>
              <w:t>Precizēts MK noteikumu Nr.678 27.punkts šādā redakcijā:</w:t>
            </w:r>
          </w:p>
          <w:p w14:paraId="2760D579" w14:textId="1E6F71C8" w:rsidR="006F7BEC" w:rsidRPr="009A2B1C" w:rsidRDefault="006F7BEC" w:rsidP="006F7BEC">
            <w:pPr>
              <w:jc w:val="both"/>
              <w:rPr>
                <w:szCs w:val="24"/>
              </w:rPr>
            </w:pPr>
            <w:r>
              <w:rPr>
                <w:szCs w:val="24"/>
              </w:rPr>
              <w:t>“</w:t>
            </w:r>
            <w:r w:rsidRPr="009A2B1C">
              <w:rPr>
                <w:szCs w:val="24"/>
              </w:rPr>
              <w:t xml:space="preserve">27. Lēmumu par </w:t>
            </w:r>
            <w:r w:rsidRPr="00674EE2">
              <w:rPr>
                <w:i/>
                <w:iCs/>
                <w:szCs w:val="24"/>
              </w:rPr>
              <w:t>de minimis</w:t>
            </w:r>
            <w:r w:rsidRPr="009A2B1C">
              <w:rPr>
                <w:szCs w:val="24"/>
              </w:rPr>
              <w:t xml:space="preserve"> atbalsta piešķiršanu var pieņemt saskaņā ar regulas Nr. 1407/2013 7. panta 4. punktu un 8. pantu, regulas Nr. 1408/2013 7. panta 4. punktu un 8. pantu vai regulas Nr. 717/2014 7. panta 4. punktu un 8. pantu līdz šo regulu darbības beigām."</w:t>
            </w:r>
          </w:p>
          <w:p w14:paraId="40DCCADF" w14:textId="2CE30776" w:rsidR="006F7BEC" w:rsidRPr="007E6672" w:rsidRDefault="006F7BEC" w:rsidP="006F7BEC">
            <w:pPr>
              <w:jc w:val="both"/>
              <w:rPr>
                <w:szCs w:val="24"/>
              </w:rPr>
            </w:pPr>
          </w:p>
        </w:tc>
      </w:tr>
      <w:tr w:rsidR="000F556F" w:rsidRPr="007E6672" w14:paraId="4D15A4D3"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3A3C168" w14:textId="2579F229" w:rsidR="000F556F" w:rsidRPr="005F0CD4" w:rsidRDefault="000F556F" w:rsidP="000F556F">
            <w:pPr>
              <w:pStyle w:val="naisc"/>
              <w:spacing w:before="0" w:after="0"/>
              <w:jc w:val="both"/>
            </w:pPr>
            <w:r w:rsidRPr="005F0CD4">
              <w:t>4.</w:t>
            </w:r>
          </w:p>
        </w:tc>
        <w:tc>
          <w:tcPr>
            <w:tcW w:w="2719" w:type="dxa"/>
            <w:gridSpan w:val="2"/>
            <w:tcBorders>
              <w:top w:val="single" w:sz="6" w:space="0" w:color="000000"/>
              <w:left w:val="single" w:sz="6" w:space="0" w:color="000000"/>
              <w:bottom w:val="single" w:sz="6" w:space="0" w:color="000000"/>
              <w:right w:val="single" w:sz="6" w:space="0" w:color="000000"/>
            </w:tcBorders>
          </w:tcPr>
          <w:p w14:paraId="1C3FA19A" w14:textId="680EDBC9" w:rsidR="000F556F" w:rsidRPr="005F0CD4" w:rsidRDefault="000F556F" w:rsidP="006F7BEC">
            <w:pPr>
              <w:pStyle w:val="naisc"/>
              <w:jc w:val="both"/>
            </w:pPr>
            <w:r w:rsidRPr="005F0CD4">
              <w:t xml:space="preserve">Anotācijas I. sadaļas “Tiesību akta projekta izstrādes nepieciešamība” 2. punkts “Pašreizējā situācija un problēmas, </w:t>
            </w:r>
            <w:r w:rsidRPr="005F0CD4">
              <w:lastRenderedPageBreak/>
              <w:t>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5D281AD7" w14:textId="77777777" w:rsidR="000F556F" w:rsidRPr="005F0CD4" w:rsidRDefault="000F556F" w:rsidP="000F556F">
            <w:pPr>
              <w:pStyle w:val="naisc"/>
              <w:spacing w:before="0" w:after="0"/>
              <w:jc w:val="both"/>
              <w:rPr>
                <w:b/>
              </w:rPr>
            </w:pPr>
            <w:r w:rsidRPr="005F0CD4">
              <w:rPr>
                <w:b/>
              </w:rPr>
              <w:lastRenderedPageBreak/>
              <w:t>Finanšu ministrijas 07.07.2020. atzinums</w:t>
            </w:r>
          </w:p>
          <w:p w14:paraId="52611615" w14:textId="459E31B3" w:rsidR="000F556F" w:rsidRPr="005F0CD4" w:rsidRDefault="000F556F" w:rsidP="000F556F">
            <w:pPr>
              <w:jc w:val="both"/>
            </w:pPr>
            <w:r w:rsidRPr="005F0CD4">
              <w:rPr>
                <w:szCs w:val="24"/>
              </w:rPr>
              <w:t>Lūdzam</w:t>
            </w:r>
            <w:r w:rsidRPr="005F0CD4">
              <w:t xml:space="preserve"> saskaņot anotācijas I sadaļas 2.punktā (3.lpp.) sniegto informāciju par projekta Nr.3.2.1.2/16/l/001 papildus </w:t>
            </w:r>
            <w:r w:rsidRPr="005F0CD4">
              <w:lastRenderedPageBreak/>
              <w:t>nepieciešamā finansējuma apmēru. Vēršam uzmanību, ka saskaņa ar noteikumu projekta 4.punktu projektam Nr.3.2.1.2/16/l/001 tiek palielināts finansējums par 20 259 896 </w:t>
            </w:r>
            <w:r w:rsidRPr="005F0CD4">
              <w:rPr>
                <w:i/>
              </w:rPr>
              <w:t>euro</w:t>
            </w:r>
            <w:r w:rsidRPr="005F0CD4">
              <w:t xml:space="preserve"> apmērā, bet saskaņā ar anotāciju projektam papildus nepieciešams finansējums 18 653 624 </w:t>
            </w:r>
            <w:r w:rsidRPr="005F0CD4">
              <w:rPr>
                <w:i/>
              </w:rPr>
              <w:t xml:space="preserve">euro </w:t>
            </w:r>
            <w:r w:rsidRPr="005F0CD4">
              <w:t>apmērā.</w:t>
            </w:r>
          </w:p>
          <w:p w14:paraId="7E7CF78E" w14:textId="77777777" w:rsidR="000F556F" w:rsidRPr="005F0CD4" w:rsidRDefault="000F556F" w:rsidP="000F556F">
            <w:pPr>
              <w:jc w:val="both"/>
              <w:rPr>
                <w:szCs w:val="24"/>
              </w:rPr>
            </w:pPr>
          </w:p>
          <w:p w14:paraId="7198FEE4" w14:textId="77777777" w:rsidR="000F556F" w:rsidRPr="005F0CD4" w:rsidRDefault="000F556F" w:rsidP="000F556F">
            <w:pPr>
              <w:jc w:val="both"/>
              <w:rPr>
                <w:szCs w:val="24"/>
              </w:rPr>
            </w:pPr>
            <w:r w:rsidRPr="005F0CD4">
              <w:t xml:space="preserve">Tāpat lūdzam saskaņot anotācijas I sadaļas 2.punktā (14.lpp.) sniegto informāciju par projekta Nr.3.2.1.2/16/l/002 papildus nepieciešamā finansējuma apmēru. Vēršam uzmanību, ka saskaņa ar noteikumu projekta 4.punktu projektam Nr.3.2.1.2/16/l/002 tiek palielināts finansējums par 3 982 393 </w:t>
            </w:r>
            <w:r w:rsidRPr="005F0CD4">
              <w:rPr>
                <w:i/>
              </w:rPr>
              <w:t>euro</w:t>
            </w:r>
            <w:r w:rsidRPr="005F0CD4">
              <w:t xml:space="preserve">, bet saskaņā ar anotāciju projektam papildus nepieciešams finansējums 3 800 000 </w:t>
            </w:r>
            <w:r w:rsidRPr="005F0CD4">
              <w:rPr>
                <w:i/>
              </w:rPr>
              <w:t xml:space="preserve">euro </w:t>
            </w:r>
            <w:r w:rsidRPr="005F0CD4">
              <w:t>apmērā.</w:t>
            </w:r>
          </w:p>
          <w:p w14:paraId="50275D39" w14:textId="77777777" w:rsidR="000F556F" w:rsidRPr="005F0CD4" w:rsidRDefault="000F556F" w:rsidP="006F7BEC">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5012749A" w14:textId="77777777" w:rsidR="000F556F" w:rsidRPr="005F0CD4" w:rsidRDefault="000F556F" w:rsidP="000F556F">
            <w:pPr>
              <w:pStyle w:val="naisc"/>
              <w:spacing w:before="0" w:after="0"/>
              <w:rPr>
                <w:b/>
              </w:rPr>
            </w:pPr>
            <w:r w:rsidRPr="005F0CD4">
              <w:rPr>
                <w:b/>
              </w:rPr>
              <w:lastRenderedPageBreak/>
              <w:t>Ņemts vērā</w:t>
            </w:r>
          </w:p>
          <w:p w14:paraId="11302A1A" w14:textId="695DBCEB" w:rsidR="000F556F" w:rsidRPr="005F0CD4" w:rsidRDefault="000F556F" w:rsidP="00940DEB">
            <w:pPr>
              <w:pStyle w:val="naisc"/>
              <w:spacing w:before="0" w:after="0"/>
              <w:jc w:val="both"/>
              <w:rPr>
                <w:bCs/>
              </w:rPr>
            </w:pPr>
          </w:p>
        </w:tc>
        <w:tc>
          <w:tcPr>
            <w:tcW w:w="3235" w:type="dxa"/>
            <w:tcBorders>
              <w:top w:val="single" w:sz="4" w:space="0" w:color="auto"/>
              <w:left w:val="single" w:sz="4" w:space="0" w:color="auto"/>
              <w:bottom w:val="single" w:sz="4" w:space="0" w:color="auto"/>
            </w:tcBorders>
          </w:tcPr>
          <w:p w14:paraId="7FCBEB7A" w14:textId="1FDC4957" w:rsidR="000F556F" w:rsidRDefault="00114DBE" w:rsidP="006F7BEC">
            <w:pPr>
              <w:jc w:val="both"/>
              <w:rPr>
                <w:bCs/>
              </w:rPr>
            </w:pPr>
            <w:r w:rsidRPr="005F0CD4">
              <w:t xml:space="preserve">Precizēts anotācijas I. sadaļas “Tiesību akta projekta izstrādes nepieciešamība” 2. punkts “Pašreizējā situācija un problēmas, kuru risināšanai </w:t>
            </w:r>
            <w:r w:rsidRPr="005F0CD4">
              <w:lastRenderedPageBreak/>
              <w:t>tiesību akta projekts izstrādāts, tiesiskā regulējuma mērķis un būtība”</w:t>
            </w:r>
          </w:p>
        </w:tc>
      </w:tr>
      <w:tr w:rsidR="00E028C9" w:rsidRPr="00C615A2" w14:paraId="738C2EEE"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B8EA090" w14:textId="11823CE2" w:rsidR="00E028C9" w:rsidRPr="00C615A2" w:rsidRDefault="00E028C9" w:rsidP="000F556F">
            <w:pPr>
              <w:pStyle w:val="naisc"/>
              <w:spacing w:before="0" w:after="0"/>
              <w:jc w:val="both"/>
            </w:pPr>
            <w:r w:rsidRPr="00C615A2">
              <w:lastRenderedPageBreak/>
              <w:t>5.</w:t>
            </w:r>
          </w:p>
        </w:tc>
        <w:tc>
          <w:tcPr>
            <w:tcW w:w="2719" w:type="dxa"/>
            <w:gridSpan w:val="2"/>
            <w:tcBorders>
              <w:top w:val="single" w:sz="6" w:space="0" w:color="000000"/>
              <w:left w:val="single" w:sz="6" w:space="0" w:color="000000"/>
              <w:bottom w:val="single" w:sz="6" w:space="0" w:color="000000"/>
              <w:right w:val="single" w:sz="6" w:space="0" w:color="000000"/>
            </w:tcBorders>
          </w:tcPr>
          <w:p w14:paraId="29B2B21E" w14:textId="7E891AB8" w:rsidR="00E028C9" w:rsidRPr="00C615A2" w:rsidRDefault="00E028C9" w:rsidP="006F7BEC">
            <w:pPr>
              <w:pStyle w:val="naisc"/>
              <w:jc w:val="both"/>
            </w:pPr>
            <w:r w:rsidRPr="00C615A2">
              <w:t>MK noteikumu projekts</w:t>
            </w:r>
          </w:p>
        </w:tc>
        <w:tc>
          <w:tcPr>
            <w:tcW w:w="4253" w:type="dxa"/>
            <w:tcBorders>
              <w:top w:val="single" w:sz="6" w:space="0" w:color="000000"/>
              <w:left w:val="single" w:sz="6" w:space="0" w:color="000000"/>
              <w:bottom w:val="single" w:sz="6" w:space="0" w:color="000000"/>
              <w:right w:val="single" w:sz="6" w:space="0" w:color="000000"/>
            </w:tcBorders>
          </w:tcPr>
          <w:p w14:paraId="73278CD0" w14:textId="3A9F711D" w:rsidR="00E028C9" w:rsidRPr="00C615A2" w:rsidRDefault="00E028C9" w:rsidP="00E028C9">
            <w:pPr>
              <w:pStyle w:val="naisc"/>
              <w:spacing w:before="0" w:after="0"/>
              <w:jc w:val="both"/>
              <w:rPr>
                <w:b/>
              </w:rPr>
            </w:pPr>
            <w:r w:rsidRPr="00C615A2">
              <w:rPr>
                <w:b/>
              </w:rPr>
              <w:t>Finanšu ministrijas 10.07.2020. atzinums</w:t>
            </w:r>
          </w:p>
          <w:p w14:paraId="2EB42031" w14:textId="77777777" w:rsidR="00E028C9" w:rsidRPr="00C615A2" w:rsidRDefault="00E028C9" w:rsidP="00E028C9">
            <w:pPr>
              <w:jc w:val="both"/>
              <w:rPr>
                <w:sz w:val="20"/>
                <w:lang w:eastAsia="lv-LV"/>
              </w:rPr>
            </w:pPr>
            <w:r w:rsidRPr="00C615A2">
              <w:rPr>
                <w:szCs w:val="24"/>
              </w:rPr>
              <w:t xml:space="preserve">Ņemot vērā, ka atbalsts 3.2.1.2. pasākuma “Starptautiskās konkurētspējas veicināšana” (turpmāk – 3.2.1.2. pasākums) ietvaros tiek sniegts saskaņā ar regulu Nr. </w:t>
            </w:r>
            <w:hyperlink r:id="rId11" w:tgtFrame="_blank" w:history="1">
              <w:r w:rsidRPr="00C615A2">
                <w:rPr>
                  <w:rStyle w:val="Hyperlink"/>
                  <w:szCs w:val="24"/>
                </w:rPr>
                <w:t>1407/2013</w:t>
              </w:r>
            </w:hyperlink>
            <w:r w:rsidRPr="00C615A2">
              <w:rPr>
                <w:szCs w:val="24"/>
              </w:rPr>
              <w:t xml:space="preserve">, regulu Nr. </w:t>
            </w:r>
            <w:hyperlink r:id="rId12" w:tgtFrame="_blank" w:history="1">
              <w:r w:rsidRPr="00C615A2">
                <w:rPr>
                  <w:rStyle w:val="Hyperlink"/>
                  <w:szCs w:val="24"/>
                </w:rPr>
                <w:t>1408/2013</w:t>
              </w:r>
            </w:hyperlink>
            <w:r w:rsidRPr="00C615A2">
              <w:rPr>
                <w:szCs w:val="24"/>
              </w:rPr>
              <w:t xml:space="preserve"> vai regulu Nr. </w:t>
            </w:r>
            <w:hyperlink r:id="rId13" w:tgtFrame="_blank" w:history="1">
              <w:r w:rsidRPr="00C615A2">
                <w:rPr>
                  <w:rStyle w:val="Hyperlink"/>
                  <w:szCs w:val="24"/>
                </w:rPr>
                <w:t>717/2014</w:t>
              </w:r>
            </w:hyperlink>
            <w:r w:rsidRPr="00C615A2">
              <w:rPr>
                <w:szCs w:val="24"/>
              </w:rPr>
              <w:t xml:space="preserve">, ierosinām papildināt Ministru kabineta 2015.gada 1.decembra noteikumus Nr.678 “Darbības programmas “Izaugsme un nodarbinātība” 3.2.1.specifiskā atbalsta </w:t>
            </w:r>
            <w:r w:rsidRPr="00C615A2">
              <w:rPr>
                <w:szCs w:val="24"/>
              </w:rPr>
              <w:lastRenderedPageBreak/>
              <w:t xml:space="preserve">mērķa “Palielināt augstas pievienotās vērtības produktu un pakalpojumu eksporta proporciju” 3.2.1.2.pasākuma “Starptautiskās konkurētspējas veicināšana” īstenošanas noteikumi” (turpmāk – MK noteikumi Nr. 678)  V nodaļas </w:t>
            </w:r>
            <w:bookmarkStart w:id="6" w:name="_Hlk30516645"/>
            <w:r w:rsidRPr="00C615A2">
              <w:rPr>
                <w:szCs w:val="24"/>
              </w:rPr>
              <w:t>52.</w:t>
            </w:r>
            <w:r w:rsidRPr="00C615A2">
              <w:rPr>
                <w:szCs w:val="24"/>
                <w:vertAlign w:val="superscript"/>
              </w:rPr>
              <w:t>1</w:t>
            </w:r>
            <w:r w:rsidRPr="00C615A2">
              <w:rPr>
                <w:szCs w:val="24"/>
              </w:rPr>
              <w:t xml:space="preserve"> </w:t>
            </w:r>
            <w:bookmarkEnd w:id="6"/>
            <w:r w:rsidRPr="00C615A2">
              <w:rPr>
                <w:szCs w:val="24"/>
              </w:rPr>
              <w:t>punktu šādā redakcijā:</w:t>
            </w:r>
          </w:p>
          <w:p w14:paraId="476801D7" w14:textId="72011D25" w:rsidR="00E028C9" w:rsidRPr="00C615A2" w:rsidRDefault="00E028C9" w:rsidP="005B19B6">
            <w:pPr>
              <w:jc w:val="both"/>
              <w:rPr>
                <w:b/>
              </w:rPr>
            </w:pPr>
            <w:r w:rsidRPr="00C615A2">
              <w:t>"52.</w:t>
            </w:r>
            <w:r w:rsidRPr="00C615A2">
              <w:rPr>
                <w:vertAlign w:val="superscript"/>
              </w:rPr>
              <w:t>1</w:t>
            </w:r>
            <w:r w:rsidRPr="00C615A2">
              <w:t xml:space="preserve"> Ja tiek pārkāptas </w:t>
            </w:r>
            <w:r w:rsidRPr="00C615A2">
              <w:rPr>
                <w:b/>
                <w:bCs/>
              </w:rPr>
              <w:t>regulas Nr.1407/2013, regulas Nr.1408/2013 vai regulas Nr.717/2014</w:t>
            </w:r>
            <w:r w:rsidRPr="00C615A2">
              <w:t xml:space="preserve"> prasības, valsts atbalsta saņēmējs atmaksā finansējuma saņēmējam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valsts atbalsta saņēmējam, līdz tā atgūšanas dienai, ievērojot Komisijas regulas Nr. 794/2004 11. pantā noteikto procentu likmes piemērošanas metodi."</w:t>
            </w:r>
          </w:p>
        </w:tc>
        <w:tc>
          <w:tcPr>
            <w:tcW w:w="3827" w:type="dxa"/>
            <w:gridSpan w:val="2"/>
            <w:tcBorders>
              <w:top w:val="single" w:sz="6" w:space="0" w:color="000000"/>
              <w:left w:val="single" w:sz="6" w:space="0" w:color="000000"/>
              <w:bottom w:val="single" w:sz="6" w:space="0" w:color="000000"/>
              <w:right w:val="single" w:sz="6" w:space="0" w:color="000000"/>
            </w:tcBorders>
          </w:tcPr>
          <w:p w14:paraId="52E04510" w14:textId="77777777" w:rsidR="00E028C9" w:rsidRPr="00C615A2" w:rsidRDefault="00E028C9" w:rsidP="00E028C9">
            <w:pPr>
              <w:pStyle w:val="naisc"/>
              <w:spacing w:before="0" w:after="0"/>
              <w:rPr>
                <w:b/>
              </w:rPr>
            </w:pPr>
            <w:r w:rsidRPr="00C615A2">
              <w:rPr>
                <w:b/>
              </w:rPr>
              <w:lastRenderedPageBreak/>
              <w:t>Ņemts vērā</w:t>
            </w:r>
          </w:p>
          <w:p w14:paraId="7C1B5FE1" w14:textId="77777777" w:rsidR="00E028C9" w:rsidRPr="00C615A2" w:rsidRDefault="00E028C9" w:rsidP="000F556F">
            <w:pPr>
              <w:pStyle w:val="naisc"/>
              <w:spacing w:before="0" w:after="0"/>
              <w:rPr>
                <w:b/>
              </w:rPr>
            </w:pPr>
          </w:p>
        </w:tc>
        <w:tc>
          <w:tcPr>
            <w:tcW w:w="3235" w:type="dxa"/>
            <w:tcBorders>
              <w:top w:val="single" w:sz="4" w:space="0" w:color="auto"/>
              <w:left w:val="single" w:sz="4" w:space="0" w:color="auto"/>
              <w:bottom w:val="single" w:sz="4" w:space="0" w:color="auto"/>
            </w:tcBorders>
          </w:tcPr>
          <w:p w14:paraId="36C0DA26" w14:textId="77777777" w:rsidR="00E028C9" w:rsidRPr="00C615A2" w:rsidRDefault="00E028C9" w:rsidP="006F7BEC">
            <w:pPr>
              <w:jc w:val="both"/>
            </w:pPr>
            <w:r w:rsidRPr="00C615A2">
              <w:t>Precizēts MK noteikumu Nr.678 52.</w:t>
            </w:r>
            <w:r w:rsidRPr="00C615A2">
              <w:rPr>
                <w:vertAlign w:val="superscript"/>
              </w:rPr>
              <w:t>1</w:t>
            </w:r>
            <w:r w:rsidRPr="00C615A2">
              <w:t xml:space="preserve"> punkts šādā redakcijā:</w:t>
            </w:r>
          </w:p>
          <w:p w14:paraId="413A4595" w14:textId="26D225B9" w:rsidR="00E028C9" w:rsidRPr="00C615A2" w:rsidRDefault="00E028C9" w:rsidP="006F7BEC">
            <w:pPr>
              <w:jc w:val="both"/>
            </w:pPr>
            <w:r w:rsidRPr="00C615A2">
              <w:rPr>
                <w:szCs w:val="24"/>
              </w:rPr>
              <w:t>"52.</w:t>
            </w:r>
            <w:r w:rsidRPr="00C615A2">
              <w:rPr>
                <w:szCs w:val="24"/>
                <w:vertAlign w:val="superscript"/>
              </w:rPr>
              <w:t>1</w:t>
            </w:r>
            <w:r w:rsidRPr="00C615A2">
              <w:rPr>
                <w:szCs w:val="24"/>
              </w:rPr>
              <w:t xml:space="preserve"> Ja tiek pārkāptas regulas Nr.1407/2013, regulas Nr.1408/2013 vai regulas Nr.717/2014 prasības, valsts atbalsta saņēmējs atmaksā finansējuma saņēmējam visu projekta ietvaros saņemto valsts atbalstu kopā ar procentiem, kuru likmi publicē </w:t>
            </w:r>
            <w:r w:rsidRPr="00C615A2">
              <w:rPr>
                <w:szCs w:val="24"/>
              </w:rPr>
              <w:lastRenderedPageBreak/>
              <w:t>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valsts atbalsta saņēmējam, līdz tā atgūšanas dienai, ievērojot Komisijas regulas Nr. 794/2004 11. pantā noteikto procentu likmes piemērošanas metodi."</w:t>
            </w:r>
          </w:p>
        </w:tc>
      </w:tr>
      <w:tr w:rsidR="00E028C9" w:rsidRPr="00C615A2" w14:paraId="0079A820"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B30ED5B" w14:textId="285CE03E" w:rsidR="00E028C9" w:rsidRPr="00C615A2" w:rsidRDefault="005B19B6" w:rsidP="000F556F">
            <w:pPr>
              <w:pStyle w:val="naisc"/>
              <w:spacing w:before="0" w:after="0"/>
              <w:jc w:val="both"/>
            </w:pPr>
            <w:r w:rsidRPr="00C615A2">
              <w:lastRenderedPageBreak/>
              <w:t>6.</w:t>
            </w:r>
          </w:p>
        </w:tc>
        <w:tc>
          <w:tcPr>
            <w:tcW w:w="2719" w:type="dxa"/>
            <w:gridSpan w:val="2"/>
            <w:tcBorders>
              <w:top w:val="single" w:sz="6" w:space="0" w:color="000000"/>
              <w:left w:val="single" w:sz="6" w:space="0" w:color="000000"/>
              <w:bottom w:val="single" w:sz="6" w:space="0" w:color="000000"/>
              <w:right w:val="single" w:sz="6" w:space="0" w:color="000000"/>
            </w:tcBorders>
          </w:tcPr>
          <w:p w14:paraId="7F0E9BF7" w14:textId="12ADC14B" w:rsidR="00E028C9" w:rsidRPr="00C615A2" w:rsidRDefault="005B19B6" w:rsidP="006F7BEC">
            <w:pPr>
              <w:pStyle w:val="naisc"/>
              <w:jc w:val="both"/>
            </w:pPr>
            <w:r w:rsidRPr="00C615A2">
              <w:t>MK noteikumi Nr.678</w:t>
            </w:r>
          </w:p>
        </w:tc>
        <w:tc>
          <w:tcPr>
            <w:tcW w:w="4253" w:type="dxa"/>
            <w:tcBorders>
              <w:top w:val="single" w:sz="6" w:space="0" w:color="000000"/>
              <w:left w:val="single" w:sz="6" w:space="0" w:color="000000"/>
              <w:bottom w:val="single" w:sz="6" w:space="0" w:color="000000"/>
              <w:right w:val="single" w:sz="6" w:space="0" w:color="000000"/>
            </w:tcBorders>
          </w:tcPr>
          <w:p w14:paraId="7AEC9FF0" w14:textId="77777777" w:rsidR="005B19B6" w:rsidRPr="00C615A2" w:rsidRDefault="005B19B6" w:rsidP="005B19B6">
            <w:pPr>
              <w:pStyle w:val="naisc"/>
              <w:spacing w:before="0" w:after="0"/>
              <w:jc w:val="both"/>
              <w:rPr>
                <w:b/>
              </w:rPr>
            </w:pPr>
            <w:r w:rsidRPr="00C615A2">
              <w:rPr>
                <w:b/>
              </w:rPr>
              <w:t>Finanšu ministrijas 10.07.2020. atzinums</w:t>
            </w:r>
          </w:p>
          <w:p w14:paraId="34FC2D61" w14:textId="755AF639" w:rsidR="005B19B6" w:rsidRPr="00C615A2" w:rsidRDefault="005B19B6" w:rsidP="005B19B6">
            <w:pPr>
              <w:jc w:val="both"/>
            </w:pPr>
            <w:r w:rsidRPr="00C615A2">
              <w:rPr>
                <w:szCs w:val="24"/>
              </w:rPr>
              <w:t xml:space="preserve">Ievērojot to, ka MK noteikumu Nr. 24.4. apakšpunktā ir ietverts atbalsta apvienošanas nosacījums, lūdzam papildināt noteikumu projektu ar punktu, </w:t>
            </w:r>
            <w:r w:rsidRPr="00C615A2">
              <w:rPr>
                <w:szCs w:val="24"/>
              </w:rPr>
              <w:lastRenderedPageBreak/>
              <w:t>kas noteiktu kārtību, kā atbalsta sniedzējs pārliecināsies par kumulācijas normu korektu izpildi no atbalsta pretendenta puses un kādi dokumenti atbalsta pretendentam būs jāiesniedz, lai attiecīgo izvērtējumu atbalsta sniedzējs varētu veikt. Vēršam uzmanību, ka šādā gadījumā atbalsta saņēmējam ir jāiesniedz visa informācija par plānoto un piešķirto atbalstu par tām pašām attiecināmajām izmaksām, norādot atbalsta piešķiršanas datumu, atbalsta sniedzēju, atbalsta pasākumu un plānoto/piešķirto atbalsta summu.</w:t>
            </w:r>
          </w:p>
          <w:p w14:paraId="6E823FC0" w14:textId="77777777" w:rsidR="00E028C9" w:rsidRPr="00C615A2" w:rsidRDefault="00E028C9" w:rsidP="000F556F">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14629B2F" w14:textId="77777777" w:rsidR="005B19B6" w:rsidRPr="00C615A2" w:rsidRDefault="005B19B6" w:rsidP="005B19B6">
            <w:pPr>
              <w:pStyle w:val="naisc"/>
              <w:spacing w:before="0" w:after="0"/>
              <w:rPr>
                <w:b/>
              </w:rPr>
            </w:pPr>
            <w:r w:rsidRPr="00C615A2">
              <w:rPr>
                <w:b/>
              </w:rPr>
              <w:lastRenderedPageBreak/>
              <w:t>Ņemts vērā</w:t>
            </w:r>
          </w:p>
          <w:p w14:paraId="15D48DAE" w14:textId="77777777" w:rsidR="00E028C9" w:rsidRPr="00C615A2" w:rsidRDefault="00E028C9" w:rsidP="000F556F">
            <w:pPr>
              <w:pStyle w:val="naisc"/>
              <w:spacing w:before="0" w:after="0"/>
              <w:rPr>
                <w:b/>
              </w:rPr>
            </w:pPr>
          </w:p>
        </w:tc>
        <w:tc>
          <w:tcPr>
            <w:tcW w:w="3235" w:type="dxa"/>
            <w:tcBorders>
              <w:top w:val="single" w:sz="4" w:space="0" w:color="auto"/>
              <w:left w:val="single" w:sz="4" w:space="0" w:color="auto"/>
              <w:bottom w:val="single" w:sz="4" w:space="0" w:color="auto"/>
            </w:tcBorders>
          </w:tcPr>
          <w:p w14:paraId="591C0117" w14:textId="77777777" w:rsidR="00E028C9" w:rsidRPr="00C615A2" w:rsidRDefault="005B19B6" w:rsidP="006F7BEC">
            <w:pPr>
              <w:jc w:val="both"/>
            </w:pPr>
            <w:r w:rsidRPr="00C615A2">
              <w:t>Precizēts MK noteikumu Nr.678 24.4. apakšpunkts papildinot to ar šādu teikumu:</w:t>
            </w:r>
          </w:p>
          <w:p w14:paraId="0DD045D3" w14:textId="77777777" w:rsidR="005B19B6" w:rsidRPr="00C615A2" w:rsidRDefault="005B19B6" w:rsidP="005B19B6">
            <w:pPr>
              <w:spacing w:before="120" w:after="120"/>
              <w:jc w:val="both"/>
              <w:rPr>
                <w:szCs w:val="24"/>
              </w:rPr>
            </w:pPr>
            <w:r w:rsidRPr="00C615A2">
              <w:rPr>
                <w:szCs w:val="24"/>
              </w:rPr>
              <w:t xml:space="preserve">“Ja par vienām un tām pašām projekta attiecināmajām </w:t>
            </w:r>
            <w:r w:rsidRPr="00C615A2">
              <w:rPr>
                <w:szCs w:val="24"/>
              </w:rPr>
              <w:lastRenderedPageBreak/>
              <w:t>izmaksām tiek sniegts atbalsts vairāku valsts atbalsta programmu ietvaros, tad gala labuma guvējs pie projekta iesnieguma finansējuma saņēmējam iesniedz apliecinājumu, kurā norādīta informācija par plānoto un piešķirto atbalstu par tām pašām attiecināmajām izmaksām, norādot atbalsta piešķiršanas datumu (t.sk. plānoto atbalsta piešķiršanas datumu), atbalsta sniedzēju, atbalsta pasākumu un plānoto/piešķirto atbalsta summu.”</w:t>
            </w:r>
          </w:p>
          <w:p w14:paraId="164C1977" w14:textId="5775B134" w:rsidR="005B19B6" w:rsidRPr="00C615A2" w:rsidRDefault="005B19B6" w:rsidP="006F7BEC">
            <w:pPr>
              <w:jc w:val="both"/>
            </w:pPr>
          </w:p>
        </w:tc>
      </w:tr>
      <w:tr w:rsidR="00E028C9" w:rsidRPr="00C615A2" w14:paraId="37C88D2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FBFC369" w14:textId="465AF3C2" w:rsidR="00E028C9" w:rsidRPr="00C615A2" w:rsidRDefault="00216EF9" w:rsidP="000F556F">
            <w:pPr>
              <w:pStyle w:val="naisc"/>
              <w:spacing w:before="0" w:after="0"/>
              <w:jc w:val="both"/>
            </w:pPr>
            <w:r w:rsidRPr="00C615A2">
              <w:lastRenderedPageBreak/>
              <w:t>7.</w:t>
            </w:r>
          </w:p>
        </w:tc>
        <w:tc>
          <w:tcPr>
            <w:tcW w:w="2719" w:type="dxa"/>
            <w:gridSpan w:val="2"/>
            <w:tcBorders>
              <w:top w:val="single" w:sz="6" w:space="0" w:color="000000"/>
              <w:left w:val="single" w:sz="6" w:space="0" w:color="000000"/>
              <w:bottom w:val="single" w:sz="6" w:space="0" w:color="000000"/>
              <w:right w:val="single" w:sz="6" w:space="0" w:color="000000"/>
            </w:tcBorders>
          </w:tcPr>
          <w:p w14:paraId="7AB89418" w14:textId="615C8568" w:rsidR="00E028C9" w:rsidRPr="00C615A2" w:rsidRDefault="00216EF9" w:rsidP="006F7BEC">
            <w:pPr>
              <w:pStyle w:val="naisc"/>
              <w:jc w:val="both"/>
            </w:pPr>
            <w:r w:rsidRPr="00C615A2">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0B85C0ED" w14:textId="77777777" w:rsidR="00216EF9" w:rsidRPr="00C615A2" w:rsidRDefault="00216EF9" w:rsidP="00216EF9">
            <w:pPr>
              <w:pStyle w:val="naisc"/>
              <w:spacing w:before="0" w:after="0"/>
              <w:jc w:val="both"/>
              <w:rPr>
                <w:b/>
              </w:rPr>
            </w:pPr>
            <w:r w:rsidRPr="00C615A2">
              <w:rPr>
                <w:b/>
              </w:rPr>
              <w:t>Finanšu ministrijas 10.07.2020. atzinums</w:t>
            </w:r>
          </w:p>
          <w:p w14:paraId="2A30049E" w14:textId="6D9ED008" w:rsidR="00216EF9" w:rsidRPr="00C615A2" w:rsidRDefault="00216EF9" w:rsidP="00216EF9">
            <w:pPr>
              <w:jc w:val="both"/>
              <w:rPr>
                <w:szCs w:val="24"/>
              </w:rPr>
            </w:pPr>
            <w:r w:rsidRPr="00C615A2">
              <w:rPr>
                <w:szCs w:val="24"/>
              </w:rPr>
              <w:t>Lūdzam precizēt anotācijās I. sadaļas 2. punktā sniegto informāciju attiecībā uz intervences kodu kopējo summu, kura nesakrīt ar 3.2.1.2. pasākumam paredzēto papildu finansējumu.</w:t>
            </w:r>
          </w:p>
          <w:p w14:paraId="16164DCA" w14:textId="77777777" w:rsidR="00E028C9" w:rsidRPr="00C615A2" w:rsidRDefault="00E028C9" w:rsidP="000F556F">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59CE0928" w14:textId="77777777" w:rsidR="00E028C9" w:rsidRPr="00C615A2" w:rsidRDefault="00216EF9" w:rsidP="000F556F">
            <w:pPr>
              <w:pStyle w:val="naisc"/>
              <w:spacing w:before="0" w:after="0"/>
              <w:rPr>
                <w:b/>
              </w:rPr>
            </w:pPr>
            <w:r w:rsidRPr="00C615A2">
              <w:rPr>
                <w:b/>
              </w:rPr>
              <w:t>Ņemts vērā</w:t>
            </w:r>
          </w:p>
          <w:p w14:paraId="70B2F59A" w14:textId="1CDB9672" w:rsidR="00BF0A78" w:rsidRPr="00C615A2" w:rsidRDefault="00BF0A78" w:rsidP="000F556F">
            <w:pPr>
              <w:pStyle w:val="naisc"/>
              <w:spacing w:before="0" w:after="0"/>
              <w:rPr>
                <w:bCs/>
              </w:rPr>
            </w:pPr>
            <w:r w:rsidRPr="00C615A2">
              <w:rPr>
                <w:bCs/>
              </w:rPr>
              <w:t>Vienošanās panākta saskaņošanas laikā</w:t>
            </w:r>
          </w:p>
        </w:tc>
        <w:tc>
          <w:tcPr>
            <w:tcW w:w="3235" w:type="dxa"/>
            <w:tcBorders>
              <w:top w:val="single" w:sz="4" w:space="0" w:color="auto"/>
              <w:left w:val="single" w:sz="4" w:space="0" w:color="auto"/>
              <w:bottom w:val="single" w:sz="4" w:space="0" w:color="auto"/>
            </w:tcBorders>
          </w:tcPr>
          <w:p w14:paraId="1C851021" w14:textId="77777777" w:rsidR="00E028C9" w:rsidRPr="00C615A2" w:rsidRDefault="00E028C9" w:rsidP="006F7BEC">
            <w:pPr>
              <w:jc w:val="both"/>
            </w:pPr>
          </w:p>
        </w:tc>
      </w:tr>
      <w:tr w:rsidR="006F7BEC" w:rsidRPr="007E6672" w14:paraId="3BB711FC" w14:textId="77777777" w:rsidTr="00104F07">
        <w:tblPrEx>
          <w:tblBorders>
            <w:top w:val="none" w:sz="0" w:space="0" w:color="auto"/>
            <w:left w:val="none" w:sz="0" w:space="0" w:color="auto"/>
            <w:bottom w:val="none" w:sz="0" w:space="0" w:color="auto"/>
            <w:right w:val="none" w:sz="0" w:space="0" w:color="auto"/>
          </w:tblBorders>
        </w:tblPrEx>
        <w:trPr>
          <w:gridAfter w:val="2"/>
          <w:wAfter w:w="3862" w:type="dxa"/>
        </w:trPr>
        <w:tc>
          <w:tcPr>
            <w:tcW w:w="3108" w:type="dxa"/>
            <w:gridSpan w:val="2"/>
          </w:tcPr>
          <w:p w14:paraId="7D34CF01" w14:textId="77777777" w:rsidR="006F7BEC" w:rsidRPr="00C615A2" w:rsidRDefault="006F7BEC" w:rsidP="006F7BEC">
            <w:pPr>
              <w:pStyle w:val="naiskr"/>
              <w:spacing w:before="0" w:after="0"/>
              <w:jc w:val="center"/>
            </w:pPr>
          </w:p>
          <w:p w14:paraId="6DF643AF" w14:textId="77777777" w:rsidR="006F7BEC" w:rsidRPr="00C615A2" w:rsidRDefault="006F7BEC" w:rsidP="006F7BEC">
            <w:pPr>
              <w:pStyle w:val="naiskr"/>
              <w:spacing w:before="0" w:after="0"/>
              <w:jc w:val="center"/>
            </w:pPr>
          </w:p>
          <w:p w14:paraId="1B8F8730" w14:textId="77777777" w:rsidR="006F7BEC" w:rsidRPr="007E6672" w:rsidRDefault="006F7BEC" w:rsidP="006F7BEC">
            <w:pPr>
              <w:pStyle w:val="naiskr"/>
              <w:spacing w:before="0" w:after="0"/>
            </w:pPr>
            <w:r w:rsidRPr="00C615A2">
              <w:t>Atbildīgā amatpersona</w:t>
            </w:r>
          </w:p>
        </w:tc>
        <w:tc>
          <w:tcPr>
            <w:tcW w:w="7739" w:type="dxa"/>
            <w:gridSpan w:val="3"/>
          </w:tcPr>
          <w:p w14:paraId="6C420497" w14:textId="77777777" w:rsidR="006F7BEC" w:rsidRPr="007E6672" w:rsidRDefault="006F7BEC" w:rsidP="006F7BEC">
            <w:pPr>
              <w:pStyle w:val="naisf"/>
              <w:spacing w:before="0" w:after="0"/>
              <w:ind w:firstLine="0"/>
              <w:jc w:val="center"/>
            </w:pPr>
          </w:p>
        </w:tc>
      </w:tr>
      <w:tr w:rsidR="006F7BEC" w:rsidRPr="007E6672" w14:paraId="12816AF7" w14:textId="77777777" w:rsidTr="00104F07">
        <w:tblPrEx>
          <w:tblBorders>
            <w:top w:val="none" w:sz="0" w:space="0" w:color="auto"/>
            <w:left w:val="none" w:sz="0" w:space="0" w:color="auto"/>
            <w:bottom w:val="none" w:sz="0" w:space="0" w:color="auto"/>
            <w:right w:val="none" w:sz="0" w:space="0" w:color="auto"/>
          </w:tblBorders>
        </w:tblPrEx>
        <w:trPr>
          <w:gridAfter w:val="2"/>
          <w:wAfter w:w="3862" w:type="dxa"/>
        </w:trPr>
        <w:tc>
          <w:tcPr>
            <w:tcW w:w="3108" w:type="dxa"/>
            <w:gridSpan w:val="2"/>
          </w:tcPr>
          <w:p w14:paraId="7939D792" w14:textId="77777777" w:rsidR="006F7BEC" w:rsidRPr="007E6672" w:rsidRDefault="006F7BEC" w:rsidP="006F7BEC">
            <w:pPr>
              <w:pStyle w:val="naiskr"/>
              <w:spacing w:before="0" w:after="0"/>
              <w:ind w:firstLine="720"/>
              <w:jc w:val="center"/>
            </w:pPr>
          </w:p>
        </w:tc>
        <w:tc>
          <w:tcPr>
            <w:tcW w:w="7739" w:type="dxa"/>
            <w:gridSpan w:val="3"/>
            <w:tcBorders>
              <w:top w:val="single" w:sz="6" w:space="0" w:color="000000"/>
            </w:tcBorders>
          </w:tcPr>
          <w:p w14:paraId="3B0FF2E0" w14:textId="77777777" w:rsidR="006F7BEC" w:rsidRPr="007E6672" w:rsidRDefault="006F7BEC" w:rsidP="006F7BEC">
            <w:pPr>
              <w:pStyle w:val="naisc"/>
              <w:spacing w:before="0" w:after="0"/>
              <w:ind w:firstLine="720"/>
            </w:pPr>
            <w:r w:rsidRPr="007E6672">
              <w:t>(paraksts)*</w:t>
            </w:r>
          </w:p>
          <w:p w14:paraId="6DE55882" w14:textId="77777777" w:rsidR="006F7BEC" w:rsidRPr="007E6672" w:rsidRDefault="006F7BEC" w:rsidP="006F7BEC">
            <w:pPr>
              <w:pStyle w:val="naisc"/>
              <w:spacing w:before="0" w:after="0"/>
              <w:ind w:firstLine="720"/>
            </w:pPr>
          </w:p>
        </w:tc>
      </w:tr>
    </w:tbl>
    <w:p w14:paraId="0748D8AB" w14:textId="77777777" w:rsidR="00211A39" w:rsidRPr="00211A39" w:rsidRDefault="00211A39" w:rsidP="00211A39">
      <w:pPr>
        <w:rPr>
          <w:rFonts w:eastAsia="Times New Roman"/>
          <w:szCs w:val="24"/>
          <w:lang w:eastAsia="lv-LV"/>
        </w:rPr>
      </w:pPr>
    </w:p>
    <w:p w14:paraId="10ACD7F3" w14:textId="77777777" w:rsidR="00211A39" w:rsidRPr="00211A39" w:rsidRDefault="00211A39" w:rsidP="00211A39">
      <w:pPr>
        <w:ind w:left="2880"/>
        <w:rPr>
          <w:rFonts w:eastAsia="Times New Roman"/>
          <w:szCs w:val="24"/>
          <w:lang w:eastAsia="lv-LV"/>
        </w:rPr>
      </w:pPr>
      <w:r w:rsidRPr="00211A39">
        <w:rPr>
          <w:rFonts w:eastAsia="Times New Roman"/>
          <w:szCs w:val="24"/>
          <w:lang w:eastAsia="lv-LV"/>
        </w:rPr>
        <w:t>Kristaps Soms</w:t>
      </w:r>
    </w:p>
    <w:tbl>
      <w:tblPr>
        <w:tblW w:w="0" w:type="auto"/>
        <w:tblLook w:val="00A0" w:firstRow="1" w:lastRow="0" w:firstColumn="1" w:lastColumn="0" w:noHBand="0" w:noVBand="0"/>
      </w:tblPr>
      <w:tblGrid>
        <w:gridCol w:w="8268"/>
      </w:tblGrid>
      <w:tr w:rsidR="00211A39" w:rsidRPr="00211A39" w14:paraId="62AC3B1D" w14:textId="77777777" w:rsidTr="000F556F">
        <w:tc>
          <w:tcPr>
            <w:tcW w:w="8268" w:type="dxa"/>
            <w:tcBorders>
              <w:top w:val="single" w:sz="4" w:space="0" w:color="000000"/>
            </w:tcBorders>
          </w:tcPr>
          <w:p w14:paraId="51E53EEF"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(par projektu atbildīgās amatpersonas vārds un uzvārds)</w:t>
            </w:r>
          </w:p>
        </w:tc>
      </w:tr>
      <w:tr w:rsidR="00211A39" w:rsidRPr="00211A39" w14:paraId="20E5E827" w14:textId="77777777" w:rsidTr="000F556F">
        <w:tc>
          <w:tcPr>
            <w:tcW w:w="8268" w:type="dxa"/>
            <w:tcBorders>
              <w:bottom w:val="single" w:sz="4" w:space="0" w:color="000000"/>
            </w:tcBorders>
          </w:tcPr>
          <w:p w14:paraId="0464B96E" w14:textId="77777777" w:rsidR="00211A39" w:rsidRPr="00211A39" w:rsidRDefault="00211A39" w:rsidP="00211A39">
            <w:pPr>
              <w:jc w:val="center"/>
              <w:rPr>
                <w:rFonts w:eastAsia="Times New Roman"/>
                <w:szCs w:val="24"/>
                <w:lang w:eastAsia="lv-LV"/>
              </w:rPr>
            </w:pPr>
          </w:p>
          <w:p w14:paraId="272A6809"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 xml:space="preserve">Ekonomikas ministrijas Uzņēmējdarbības konkurētspējas departamenta direktors </w:t>
            </w:r>
          </w:p>
        </w:tc>
      </w:tr>
      <w:tr w:rsidR="00211A39" w:rsidRPr="00211A39" w14:paraId="5F17BB85" w14:textId="77777777" w:rsidTr="000F556F">
        <w:tc>
          <w:tcPr>
            <w:tcW w:w="8268" w:type="dxa"/>
            <w:tcBorders>
              <w:top w:val="single" w:sz="4" w:space="0" w:color="000000"/>
            </w:tcBorders>
          </w:tcPr>
          <w:p w14:paraId="2F07F391"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(amats)</w:t>
            </w:r>
          </w:p>
        </w:tc>
      </w:tr>
      <w:tr w:rsidR="00211A39" w:rsidRPr="00211A39" w14:paraId="08A9BC34" w14:textId="77777777" w:rsidTr="000F556F">
        <w:tc>
          <w:tcPr>
            <w:tcW w:w="8268" w:type="dxa"/>
            <w:tcBorders>
              <w:bottom w:val="single" w:sz="4" w:space="0" w:color="000000"/>
            </w:tcBorders>
          </w:tcPr>
          <w:p w14:paraId="2C81BFD9"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Tālr. 67013299</w:t>
            </w:r>
          </w:p>
        </w:tc>
      </w:tr>
      <w:tr w:rsidR="00211A39" w:rsidRPr="00211A39" w14:paraId="605966E7" w14:textId="77777777" w:rsidTr="000F556F">
        <w:tc>
          <w:tcPr>
            <w:tcW w:w="8268" w:type="dxa"/>
            <w:tcBorders>
              <w:top w:val="single" w:sz="4" w:space="0" w:color="000000"/>
            </w:tcBorders>
          </w:tcPr>
          <w:p w14:paraId="72A5DE98"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(tālruņa un faksa numurs)</w:t>
            </w:r>
          </w:p>
        </w:tc>
      </w:tr>
      <w:tr w:rsidR="00211A39" w:rsidRPr="00211A39" w14:paraId="477A362F" w14:textId="77777777" w:rsidTr="000F556F">
        <w:tc>
          <w:tcPr>
            <w:tcW w:w="8268" w:type="dxa"/>
            <w:tcBorders>
              <w:bottom w:val="single" w:sz="4" w:space="0" w:color="000000"/>
            </w:tcBorders>
          </w:tcPr>
          <w:p w14:paraId="519B5CAD" w14:textId="77777777" w:rsidR="00211A39" w:rsidRDefault="00211A39" w:rsidP="00211A39">
            <w:pPr>
              <w:jc w:val="center"/>
              <w:rPr>
                <w:rFonts w:eastAsia="Times New Roman"/>
                <w:szCs w:val="24"/>
                <w:lang w:eastAsia="lv-LV"/>
              </w:rPr>
            </w:pPr>
          </w:p>
          <w:p w14:paraId="60CD8528" w14:textId="59B6B71B" w:rsidR="00211A39" w:rsidRPr="00211A39" w:rsidRDefault="00211A39" w:rsidP="00211A39">
            <w:pPr>
              <w:jc w:val="center"/>
              <w:rPr>
                <w:rFonts w:eastAsia="Times New Roman"/>
                <w:szCs w:val="24"/>
                <w:lang w:eastAsia="lv-LV"/>
              </w:rPr>
            </w:pPr>
            <w:r w:rsidRPr="00211A39">
              <w:rPr>
                <w:rFonts w:eastAsia="Times New Roman"/>
                <w:szCs w:val="24"/>
                <w:lang w:eastAsia="lv-LV"/>
              </w:rPr>
              <w:t>Kristaps.Soms@em.gov.lv</w:t>
            </w:r>
          </w:p>
        </w:tc>
      </w:tr>
      <w:tr w:rsidR="00211A39" w:rsidRPr="00211A39" w14:paraId="0733E6C5" w14:textId="77777777" w:rsidTr="000F556F">
        <w:tc>
          <w:tcPr>
            <w:tcW w:w="8268" w:type="dxa"/>
            <w:tcBorders>
              <w:top w:val="single" w:sz="4" w:space="0" w:color="000000"/>
            </w:tcBorders>
          </w:tcPr>
          <w:p w14:paraId="273BFA11" w14:textId="77777777" w:rsidR="00211A39" w:rsidRDefault="00211A39" w:rsidP="00211A39">
            <w:pPr>
              <w:jc w:val="center"/>
              <w:rPr>
                <w:rFonts w:eastAsia="Times New Roman"/>
                <w:szCs w:val="24"/>
                <w:lang w:eastAsia="lv-LV"/>
              </w:rPr>
            </w:pPr>
            <w:r w:rsidRPr="00211A39">
              <w:rPr>
                <w:rFonts w:eastAsia="Times New Roman"/>
                <w:szCs w:val="24"/>
                <w:lang w:eastAsia="lv-LV"/>
              </w:rPr>
              <w:t>(e-pasta adrese)</w:t>
            </w:r>
          </w:p>
          <w:p w14:paraId="5025D4A8" w14:textId="77777777" w:rsidR="00AD45CC" w:rsidRDefault="00AD45CC" w:rsidP="00211A39">
            <w:pPr>
              <w:jc w:val="center"/>
              <w:rPr>
                <w:rFonts w:eastAsia="Times New Roman"/>
                <w:szCs w:val="24"/>
                <w:lang w:eastAsia="lv-LV"/>
              </w:rPr>
            </w:pPr>
          </w:p>
          <w:p w14:paraId="565C0FE4" w14:textId="77777777" w:rsidR="00AD45CC" w:rsidRPr="003B58EB" w:rsidRDefault="00AD45CC" w:rsidP="00AD45CC">
            <w:pPr>
              <w:widowControl w:val="0"/>
              <w:contextualSpacing/>
              <w:jc w:val="both"/>
              <w:rPr>
                <w:rFonts w:eastAsia="Times New Roman"/>
                <w:color w:val="000000" w:themeColor="text1"/>
                <w:sz w:val="20"/>
                <w:szCs w:val="20"/>
              </w:rPr>
            </w:pPr>
            <w:r>
              <w:rPr>
                <w:rFonts w:eastAsia="Times New Roman"/>
                <w:color w:val="000000" w:themeColor="text1"/>
                <w:sz w:val="20"/>
                <w:szCs w:val="20"/>
              </w:rPr>
              <w:t>Kristīne Priedīte</w:t>
            </w:r>
            <w:r w:rsidRPr="003B58EB">
              <w:rPr>
                <w:rFonts w:eastAsia="Times New Roman"/>
                <w:color w:val="000000" w:themeColor="text1"/>
                <w:sz w:val="20"/>
                <w:szCs w:val="20"/>
              </w:rPr>
              <w:t xml:space="preserve"> 67013</w:t>
            </w:r>
            <w:r>
              <w:rPr>
                <w:rFonts w:eastAsia="Times New Roman"/>
                <w:color w:val="000000" w:themeColor="text1"/>
                <w:sz w:val="20"/>
                <w:szCs w:val="20"/>
              </w:rPr>
              <w:t>241</w:t>
            </w:r>
          </w:p>
          <w:p w14:paraId="367D7D12" w14:textId="619D1A26" w:rsidR="00AD45CC" w:rsidRPr="00211A39" w:rsidRDefault="00071E2F" w:rsidP="00AD45CC">
            <w:pPr>
              <w:rPr>
                <w:rFonts w:eastAsia="Times New Roman"/>
                <w:szCs w:val="24"/>
                <w:lang w:eastAsia="lv-LV"/>
              </w:rPr>
            </w:pPr>
            <w:hyperlink r:id="rId14" w:history="1">
              <w:r w:rsidR="00AD45CC" w:rsidRPr="00981E4E">
                <w:rPr>
                  <w:rStyle w:val="Hyperlink"/>
                  <w:rFonts w:eastAsia="Times New Roman"/>
                  <w:sz w:val="20"/>
                  <w:szCs w:val="20"/>
                </w:rPr>
                <w:t>Kristine.Priedite@em.gov.lv</w:t>
              </w:r>
            </w:hyperlink>
          </w:p>
        </w:tc>
      </w:tr>
    </w:tbl>
    <w:p w14:paraId="60DD9C64" w14:textId="77777777" w:rsidR="00DB7FF4" w:rsidRPr="001C6772" w:rsidRDefault="00DB7FF4" w:rsidP="00DB7FF4">
      <w:pPr>
        <w:jc w:val="both"/>
        <w:rPr>
          <w:szCs w:val="24"/>
        </w:rPr>
      </w:pPr>
    </w:p>
    <w:p w14:paraId="30C59833" w14:textId="77777777" w:rsidR="00E83698" w:rsidRPr="001C6772" w:rsidRDefault="00DB7FF4" w:rsidP="00DB7FF4">
      <w:pPr>
        <w:jc w:val="both"/>
        <w:rPr>
          <w:szCs w:val="24"/>
        </w:rPr>
      </w:pPr>
      <w:r w:rsidRPr="001C6772">
        <w:rPr>
          <w:szCs w:val="24"/>
        </w:rPr>
        <w:t xml:space="preserve"> </w:t>
      </w:r>
    </w:p>
    <w:sectPr w:rsidR="00E83698" w:rsidRPr="001C6772" w:rsidSect="00104F07">
      <w:headerReference w:type="even" r:id="rId15"/>
      <w:headerReference w:type="default" r:id="rId16"/>
      <w:footerReference w:type="default" r:id="rId17"/>
      <w:footerReference w:type="first" r:id="rId18"/>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C80B" w14:textId="77777777" w:rsidR="00071E2F" w:rsidRDefault="00071E2F" w:rsidP="004D2F03">
      <w:r>
        <w:separator/>
      </w:r>
    </w:p>
  </w:endnote>
  <w:endnote w:type="continuationSeparator" w:id="0">
    <w:p w14:paraId="44D67B38" w14:textId="77777777" w:rsidR="00071E2F" w:rsidRDefault="00071E2F" w:rsidP="004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0105" w14:textId="768C492F" w:rsidR="002C2EA7" w:rsidRPr="00474161" w:rsidRDefault="002C2EA7" w:rsidP="00E92EFB">
    <w:pPr>
      <w:pStyle w:val="Footer"/>
    </w:pPr>
    <w:r w:rsidRPr="004A5110">
      <w:rPr>
        <w:sz w:val="20"/>
        <w:szCs w:val="20"/>
      </w:rPr>
      <w:t>EMIzz_</w:t>
    </w:r>
    <w:r>
      <w:rPr>
        <w:sz w:val="20"/>
        <w:szCs w:val="20"/>
      </w:rPr>
      <w:t>1</w:t>
    </w:r>
    <w:r w:rsidR="00D63A99">
      <w:rPr>
        <w:sz w:val="20"/>
        <w:szCs w:val="20"/>
      </w:rPr>
      <w:t>5</w:t>
    </w:r>
    <w:r>
      <w:rPr>
        <w:sz w:val="20"/>
        <w:szCs w:val="20"/>
      </w:rPr>
      <w:t>072020_groz678</w:t>
    </w:r>
  </w:p>
  <w:p w14:paraId="10F6D5EA" w14:textId="77777777" w:rsidR="002C2EA7" w:rsidRPr="00E92EFB" w:rsidRDefault="002C2EA7" w:rsidP="00E9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7C90" w14:textId="29BBFCB5" w:rsidR="002C2EA7" w:rsidRPr="00474161" w:rsidRDefault="002C2EA7" w:rsidP="00104F07">
    <w:pPr>
      <w:pStyle w:val="Footer"/>
    </w:pPr>
    <w:bookmarkStart w:id="7" w:name="_Hlk515882858"/>
    <w:bookmarkStart w:id="8" w:name="_Hlk515882859"/>
    <w:r w:rsidRPr="004A5110">
      <w:rPr>
        <w:sz w:val="20"/>
        <w:szCs w:val="20"/>
      </w:rPr>
      <w:t>EMIzz_</w:t>
    </w:r>
    <w:r>
      <w:rPr>
        <w:sz w:val="20"/>
        <w:szCs w:val="20"/>
      </w:rPr>
      <w:t>1</w:t>
    </w:r>
    <w:r w:rsidR="00D63A99">
      <w:rPr>
        <w:sz w:val="20"/>
        <w:szCs w:val="20"/>
      </w:rPr>
      <w:t>5</w:t>
    </w:r>
    <w:r>
      <w:rPr>
        <w:sz w:val="20"/>
        <w:szCs w:val="20"/>
      </w:rPr>
      <w:t>072020_groz</w:t>
    </w:r>
    <w:bookmarkEnd w:id="7"/>
    <w:bookmarkEnd w:id="8"/>
    <w:r>
      <w:rPr>
        <w:sz w:val="20"/>
        <w:szCs w:val="20"/>
      </w:rPr>
      <w:t>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6A07B" w14:textId="77777777" w:rsidR="00071E2F" w:rsidRDefault="00071E2F" w:rsidP="004D2F03">
      <w:r>
        <w:separator/>
      </w:r>
    </w:p>
  </w:footnote>
  <w:footnote w:type="continuationSeparator" w:id="0">
    <w:p w14:paraId="538B8D30" w14:textId="77777777" w:rsidR="00071E2F" w:rsidRDefault="00071E2F" w:rsidP="004D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3F85" w14:textId="77777777" w:rsidR="002C2EA7" w:rsidRDefault="002C2EA7" w:rsidP="00104F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9726" w14:textId="77777777" w:rsidR="002C2EA7" w:rsidRDefault="002C2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995944"/>
      <w:docPartObj>
        <w:docPartGallery w:val="Page Numbers (Top of Page)"/>
        <w:docPartUnique/>
      </w:docPartObj>
    </w:sdtPr>
    <w:sdtEndPr>
      <w:rPr>
        <w:noProof/>
      </w:rPr>
    </w:sdtEndPr>
    <w:sdtContent>
      <w:p w14:paraId="31CE0679" w14:textId="77777777" w:rsidR="002C2EA7" w:rsidRDefault="002C2E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DB2D3E" w14:textId="77777777" w:rsidR="002C2EA7" w:rsidRDefault="002C2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7C06A6"/>
    <w:multiLevelType w:val="hybridMultilevel"/>
    <w:tmpl w:val="297A7576"/>
    <w:lvl w:ilvl="0" w:tplc="FD8CAC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4" w15:restartNumberingAfterBreak="0">
    <w:nsid w:val="0F6F391A"/>
    <w:multiLevelType w:val="hybridMultilevel"/>
    <w:tmpl w:val="4F1AFD84"/>
    <w:lvl w:ilvl="0" w:tplc="ADB45D3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5C107A"/>
    <w:multiLevelType w:val="hybridMultilevel"/>
    <w:tmpl w:val="9B64D380"/>
    <w:lvl w:ilvl="0" w:tplc="04260001">
      <w:start w:val="1"/>
      <w:numFmt w:val="bullet"/>
      <w:lvlText w:val=""/>
      <w:lvlJc w:val="left"/>
      <w:pPr>
        <w:ind w:left="-2572" w:hanging="360"/>
      </w:pPr>
      <w:rPr>
        <w:rFonts w:ascii="Symbol" w:hAnsi="Symbol"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1132" w:hanging="360"/>
      </w:pPr>
      <w:rPr>
        <w:rFonts w:ascii="Wingdings" w:hAnsi="Wingdings" w:hint="default"/>
      </w:rPr>
    </w:lvl>
    <w:lvl w:ilvl="3" w:tplc="04260001" w:tentative="1">
      <w:start w:val="1"/>
      <w:numFmt w:val="bullet"/>
      <w:lvlText w:val=""/>
      <w:lvlJc w:val="left"/>
      <w:pPr>
        <w:ind w:left="-412" w:hanging="360"/>
      </w:pPr>
      <w:rPr>
        <w:rFonts w:ascii="Symbol" w:hAnsi="Symbol" w:hint="default"/>
      </w:rPr>
    </w:lvl>
    <w:lvl w:ilvl="4" w:tplc="04260003" w:tentative="1">
      <w:start w:val="1"/>
      <w:numFmt w:val="bullet"/>
      <w:lvlText w:val="o"/>
      <w:lvlJc w:val="left"/>
      <w:pPr>
        <w:ind w:left="308" w:hanging="360"/>
      </w:pPr>
      <w:rPr>
        <w:rFonts w:ascii="Courier New" w:hAnsi="Courier New" w:cs="Courier New" w:hint="default"/>
      </w:rPr>
    </w:lvl>
    <w:lvl w:ilvl="5" w:tplc="04260005" w:tentative="1">
      <w:start w:val="1"/>
      <w:numFmt w:val="bullet"/>
      <w:lvlText w:val=""/>
      <w:lvlJc w:val="left"/>
      <w:pPr>
        <w:ind w:left="1028" w:hanging="360"/>
      </w:pPr>
      <w:rPr>
        <w:rFonts w:ascii="Wingdings" w:hAnsi="Wingdings" w:hint="default"/>
      </w:rPr>
    </w:lvl>
    <w:lvl w:ilvl="6" w:tplc="04260001" w:tentative="1">
      <w:start w:val="1"/>
      <w:numFmt w:val="bullet"/>
      <w:lvlText w:val=""/>
      <w:lvlJc w:val="left"/>
      <w:pPr>
        <w:ind w:left="1748" w:hanging="360"/>
      </w:pPr>
      <w:rPr>
        <w:rFonts w:ascii="Symbol" w:hAnsi="Symbol" w:hint="default"/>
      </w:rPr>
    </w:lvl>
    <w:lvl w:ilvl="7" w:tplc="04260003" w:tentative="1">
      <w:start w:val="1"/>
      <w:numFmt w:val="bullet"/>
      <w:lvlText w:val="o"/>
      <w:lvlJc w:val="left"/>
      <w:pPr>
        <w:ind w:left="2468" w:hanging="360"/>
      </w:pPr>
      <w:rPr>
        <w:rFonts w:ascii="Courier New" w:hAnsi="Courier New" w:cs="Courier New" w:hint="default"/>
      </w:rPr>
    </w:lvl>
    <w:lvl w:ilvl="8" w:tplc="04260005" w:tentative="1">
      <w:start w:val="1"/>
      <w:numFmt w:val="bullet"/>
      <w:lvlText w:val=""/>
      <w:lvlJc w:val="left"/>
      <w:pPr>
        <w:ind w:left="3188" w:hanging="360"/>
      </w:pPr>
      <w:rPr>
        <w:rFonts w:ascii="Wingdings" w:hAnsi="Wingdings" w:hint="default"/>
      </w:rPr>
    </w:lvl>
  </w:abstractNum>
  <w:abstractNum w:abstractNumId="6" w15:restartNumberingAfterBreak="1">
    <w:nsid w:val="2B853D5A"/>
    <w:multiLevelType w:val="hybridMultilevel"/>
    <w:tmpl w:val="DF08B12A"/>
    <w:lvl w:ilvl="0" w:tplc="F654B70C">
      <w:start w:val="1"/>
      <w:numFmt w:val="upperRoman"/>
      <w:lvlText w:val="%1."/>
      <w:lvlJc w:val="left"/>
      <w:pPr>
        <w:ind w:left="1080" w:hanging="720"/>
      </w:pPr>
      <w:rPr>
        <w:rFonts w:hint="default"/>
      </w:rPr>
    </w:lvl>
    <w:lvl w:ilvl="1" w:tplc="DE90E65E" w:tentative="1">
      <w:start w:val="1"/>
      <w:numFmt w:val="lowerLetter"/>
      <w:lvlText w:val="%2."/>
      <w:lvlJc w:val="left"/>
      <w:pPr>
        <w:ind w:left="1440" w:hanging="360"/>
      </w:pPr>
    </w:lvl>
    <w:lvl w:ilvl="2" w:tplc="5234EE7C" w:tentative="1">
      <w:start w:val="1"/>
      <w:numFmt w:val="lowerRoman"/>
      <w:lvlText w:val="%3."/>
      <w:lvlJc w:val="right"/>
      <w:pPr>
        <w:ind w:left="2160" w:hanging="180"/>
      </w:pPr>
    </w:lvl>
    <w:lvl w:ilvl="3" w:tplc="AB36BBBE" w:tentative="1">
      <w:start w:val="1"/>
      <w:numFmt w:val="decimal"/>
      <w:lvlText w:val="%4."/>
      <w:lvlJc w:val="left"/>
      <w:pPr>
        <w:ind w:left="2880" w:hanging="360"/>
      </w:pPr>
    </w:lvl>
    <w:lvl w:ilvl="4" w:tplc="0590B5C0" w:tentative="1">
      <w:start w:val="1"/>
      <w:numFmt w:val="lowerLetter"/>
      <w:lvlText w:val="%5."/>
      <w:lvlJc w:val="left"/>
      <w:pPr>
        <w:ind w:left="3600" w:hanging="360"/>
      </w:pPr>
    </w:lvl>
    <w:lvl w:ilvl="5" w:tplc="07106922" w:tentative="1">
      <w:start w:val="1"/>
      <w:numFmt w:val="lowerRoman"/>
      <w:lvlText w:val="%6."/>
      <w:lvlJc w:val="right"/>
      <w:pPr>
        <w:ind w:left="4320" w:hanging="180"/>
      </w:pPr>
    </w:lvl>
    <w:lvl w:ilvl="6" w:tplc="B55051C0" w:tentative="1">
      <w:start w:val="1"/>
      <w:numFmt w:val="decimal"/>
      <w:lvlText w:val="%7."/>
      <w:lvlJc w:val="left"/>
      <w:pPr>
        <w:ind w:left="5040" w:hanging="360"/>
      </w:pPr>
    </w:lvl>
    <w:lvl w:ilvl="7" w:tplc="BE8A52BE" w:tentative="1">
      <w:start w:val="1"/>
      <w:numFmt w:val="lowerLetter"/>
      <w:lvlText w:val="%8."/>
      <w:lvlJc w:val="left"/>
      <w:pPr>
        <w:ind w:left="5760" w:hanging="360"/>
      </w:pPr>
    </w:lvl>
    <w:lvl w:ilvl="8" w:tplc="C94E4EC4" w:tentative="1">
      <w:start w:val="1"/>
      <w:numFmt w:val="lowerRoman"/>
      <w:lvlText w:val="%9."/>
      <w:lvlJc w:val="right"/>
      <w:pPr>
        <w:ind w:left="6480" w:hanging="180"/>
      </w:pPr>
    </w:lvl>
  </w:abstractNum>
  <w:abstractNum w:abstractNumId="7" w15:restartNumberingAfterBreak="0">
    <w:nsid w:val="35CE6B78"/>
    <w:multiLevelType w:val="hybridMultilevel"/>
    <w:tmpl w:val="AD4E0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AB216E"/>
    <w:multiLevelType w:val="hybridMultilevel"/>
    <w:tmpl w:val="E7E496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6120E7"/>
    <w:multiLevelType w:val="hybridMultilevel"/>
    <w:tmpl w:val="D252215C"/>
    <w:lvl w:ilvl="0" w:tplc="34A2AF22">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F77C0B"/>
    <w:multiLevelType w:val="hybridMultilevel"/>
    <w:tmpl w:val="01B490E8"/>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3C55CF"/>
    <w:multiLevelType w:val="hybridMultilevel"/>
    <w:tmpl w:val="D2C8F4F6"/>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234CC6"/>
    <w:multiLevelType w:val="hybridMultilevel"/>
    <w:tmpl w:val="0728F5A0"/>
    <w:lvl w:ilvl="0" w:tplc="B99C4D82">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0495FAA"/>
    <w:multiLevelType w:val="hybridMultilevel"/>
    <w:tmpl w:val="6DF499C2"/>
    <w:lvl w:ilvl="0" w:tplc="E86C1E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AE6290B"/>
    <w:multiLevelType w:val="hybridMultilevel"/>
    <w:tmpl w:val="2BA47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964DA2"/>
    <w:multiLevelType w:val="hybridMultilevel"/>
    <w:tmpl w:val="FB30F71E"/>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num>
  <w:num w:numId="2">
    <w:abstractNumId w:val="12"/>
  </w:num>
  <w:num w:numId="3">
    <w:abstractNumId w:val="3"/>
  </w:num>
  <w:num w:numId="4">
    <w:abstractNumId w:val="1"/>
  </w:num>
  <w:num w:numId="5">
    <w:abstractNumId w:val="0"/>
  </w:num>
  <w:num w:numId="6">
    <w:abstractNumId w:val="7"/>
  </w:num>
  <w:num w:numId="7">
    <w:abstractNumId w:val="15"/>
  </w:num>
  <w:num w:numId="8">
    <w:abstractNumId w:val="9"/>
  </w:num>
  <w:num w:numId="9">
    <w:abstractNumId w:val="10"/>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F4"/>
    <w:rsid w:val="00000607"/>
    <w:rsid w:val="00000BA8"/>
    <w:rsid w:val="000011D3"/>
    <w:rsid w:val="00007A62"/>
    <w:rsid w:val="000122B2"/>
    <w:rsid w:val="00015388"/>
    <w:rsid w:val="000165C9"/>
    <w:rsid w:val="00016667"/>
    <w:rsid w:val="00020081"/>
    <w:rsid w:val="0002423B"/>
    <w:rsid w:val="0003186A"/>
    <w:rsid w:val="00035905"/>
    <w:rsid w:val="00035FD2"/>
    <w:rsid w:val="000409AD"/>
    <w:rsid w:val="0004132F"/>
    <w:rsid w:val="000453E8"/>
    <w:rsid w:val="00045E9E"/>
    <w:rsid w:val="0004640F"/>
    <w:rsid w:val="0005042E"/>
    <w:rsid w:val="00052B71"/>
    <w:rsid w:val="00053DF0"/>
    <w:rsid w:val="00054EC9"/>
    <w:rsid w:val="00057277"/>
    <w:rsid w:val="0006192A"/>
    <w:rsid w:val="00064923"/>
    <w:rsid w:val="00070163"/>
    <w:rsid w:val="000715A3"/>
    <w:rsid w:val="0007171C"/>
    <w:rsid w:val="00071E2F"/>
    <w:rsid w:val="00072844"/>
    <w:rsid w:val="00073C44"/>
    <w:rsid w:val="00084575"/>
    <w:rsid w:val="00086B35"/>
    <w:rsid w:val="00091A75"/>
    <w:rsid w:val="00096EDA"/>
    <w:rsid w:val="000A223F"/>
    <w:rsid w:val="000A253C"/>
    <w:rsid w:val="000B5777"/>
    <w:rsid w:val="000B6FD4"/>
    <w:rsid w:val="000C2782"/>
    <w:rsid w:val="000C60B8"/>
    <w:rsid w:val="000D1C34"/>
    <w:rsid w:val="000E041F"/>
    <w:rsid w:val="000E0582"/>
    <w:rsid w:val="000E67F1"/>
    <w:rsid w:val="000E730E"/>
    <w:rsid w:val="000E7FE3"/>
    <w:rsid w:val="000F556F"/>
    <w:rsid w:val="000F5A3C"/>
    <w:rsid w:val="00103743"/>
    <w:rsid w:val="00103E6E"/>
    <w:rsid w:val="00104A22"/>
    <w:rsid w:val="00104F07"/>
    <w:rsid w:val="00105573"/>
    <w:rsid w:val="00105FC1"/>
    <w:rsid w:val="001064CC"/>
    <w:rsid w:val="0011027A"/>
    <w:rsid w:val="00111107"/>
    <w:rsid w:val="00113CE2"/>
    <w:rsid w:val="00114CD7"/>
    <w:rsid w:val="00114DBE"/>
    <w:rsid w:val="00116AD6"/>
    <w:rsid w:val="00120FFA"/>
    <w:rsid w:val="00121FFB"/>
    <w:rsid w:val="00126F6D"/>
    <w:rsid w:val="00130CF4"/>
    <w:rsid w:val="0013339E"/>
    <w:rsid w:val="00141947"/>
    <w:rsid w:val="001457DA"/>
    <w:rsid w:val="001474C6"/>
    <w:rsid w:val="00152D63"/>
    <w:rsid w:val="00162E5A"/>
    <w:rsid w:val="0016530F"/>
    <w:rsid w:val="00170507"/>
    <w:rsid w:val="0017297B"/>
    <w:rsid w:val="001734C9"/>
    <w:rsid w:val="00176834"/>
    <w:rsid w:val="001913A2"/>
    <w:rsid w:val="001941E3"/>
    <w:rsid w:val="001A011A"/>
    <w:rsid w:val="001A5038"/>
    <w:rsid w:val="001A5193"/>
    <w:rsid w:val="001B127C"/>
    <w:rsid w:val="001B4947"/>
    <w:rsid w:val="001C0F92"/>
    <w:rsid w:val="001C2112"/>
    <w:rsid w:val="001C6772"/>
    <w:rsid w:val="001D2E34"/>
    <w:rsid w:val="001D3786"/>
    <w:rsid w:val="001D46BC"/>
    <w:rsid w:val="001D66C5"/>
    <w:rsid w:val="001D6F09"/>
    <w:rsid w:val="001E50EF"/>
    <w:rsid w:val="001F0A82"/>
    <w:rsid w:val="001F19D9"/>
    <w:rsid w:val="00202525"/>
    <w:rsid w:val="002027C6"/>
    <w:rsid w:val="00206F79"/>
    <w:rsid w:val="00207E7A"/>
    <w:rsid w:val="0021073C"/>
    <w:rsid w:val="00211A39"/>
    <w:rsid w:val="00216E80"/>
    <w:rsid w:val="00216EF9"/>
    <w:rsid w:val="002252BA"/>
    <w:rsid w:val="002268DE"/>
    <w:rsid w:val="002332A4"/>
    <w:rsid w:val="00240757"/>
    <w:rsid w:val="00242600"/>
    <w:rsid w:val="002471DB"/>
    <w:rsid w:val="0025456D"/>
    <w:rsid w:val="00254AA3"/>
    <w:rsid w:val="00257CE8"/>
    <w:rsid w:val="00262564"/>
    <w:rsid w:val="00263A58"/>
    <w:rsid w:val="00263D9F"/>
    <w:rsid w:val="002676AC"/>
    <w:rsid w:val="002704E8"/>
    <w:rsid w:val="002734D3"/>
    <w:rsid w:val="00277535"/>
    <w:rsid w:val="0028023E"/>
    <w:rsid w:val="00280955"/>
    <w:rsid w:val="00280B04"/>
    <w:rsid w:val="0028387F"/>
    <w:rsid w:val="00294090"/>
    <w:rsid w:val="00295132"/>
    <w:rsid w:val="00296168"/>
    <w:rsid w:val="002974B1"/>
    <w:rsid w:val="002975DC"/>
    <w:rsid w:val="00297713"/>
    <w:rsid w:val="00297EE8"/>
    <w:rsid w:val="002A04C2"/>
    <w:rsid w:val="002A0FF4"/>
    <w:rsid w:val="002A215D"/>
    <w:rsid w:val="002B0AC5"/>
    <w:rsid w:val="002B103B"/>
    <w:rsid w:val="002B2F95"/>
    <w:rsid w:val="002B345C"/>
    <w:rsid w:val="002B4B71"/>
    <w:rsid w:val="002C0E77"/>
    <w:rsid w:val="002C2EA7"/>
    <w:rsid w:val="002C4ED9"/>
    <w:rsid w:val="002C77CF"/>
    <w:rsid w:val="002D3FCD"/>
    <w:rsid w:val="002D56F8"/>
    <w:rsid w:val="002D6EEE"/>
    <w:rsid w:val="002E0D13"/>
    <w:rsid w:val="002F6D74"/>
    <w:rsid w:val="00300871"/>
    <w:rsid w:val="00300941"/>
    <w:rsid w:val="003036BF"/>
    <w:rsid w:val="003047BD"/>
    <w:rsid w:val="003137B2"/>
    <w:rsid w:val="00315473"/>
    <w:rsid w:val="003169EB"/>
    <w:rsid w:val="0032636E"/>
    <w:rsid w:val="00334386"/>
    <w:rsid w:val="00336833"/>
    <w:rsid w:val="003410F4"/>
    <w:rsid w:val="00344E03"/>
    <w:rsid w:val="00345DC0"/>
    <w:rsid w:val="003465A3"/>
    <w:rsid w:val="00347A39"/>
    <w:rsid w:val="00350AF2"/>
    <w:rsid w:val="00352312"/>
    <w:rsid w:val="0035244C"/>
    <w:rsid w:val="00352762"/>
    <w:rsid w:val="003530A4"/>
    <w:rsid w:val="003549FA"/>
    <w:rsid w:val="003560AA"/>
    <w:rsid w:val="00365668"/>
    <w:rsid w:val="00366177"/>
    <w:rsid w:val="003716F4"/>
    <w:rsid w:val="00374366"/>
    <w:rsid w:val="003765A6"/>
    <w:rsid w:val="00377F00"/>
    <w:rsid w:val="003849BC"/>
    <w:rsid w:val="00386193"/>
    <w:rsid w:val="00392ACB"/>
    <w:rsid w:val="00393598"/>
    <w:rsid w:val="00396DEA"/>
    <w:rsid w:val="003A3F30"/>
    <w:rsid w:val="003A48E9"/>
    <w:rsid w:val="003A5297"/>
    <w:rsid w:val="003B1C78"/>
    <w:rsid w:val="003B2FF9"/>
    <w:rsid w:val="003B6C4E"/>
    <w:rsid w:val="003C1632"/>
    <w:rsid w:val="003C78A3"/>
    <w:rsid w:val="003D0454"/>
    <w:rsid w:val="003D2ACD"/>
    <w:rsid w:val="003D3E5F"/>
    <w:rsid w:val="003D4DBD"/>
    <w:rsid w:val="003D5B5B"/>
    <w:rsid w:val="003D67B3"/>
    <w:rsid w:val="003E20A0"/>
    <w:rsid w:val="003E362A"/>
    <w:rsid w:val="003E76BE"/>
    <w:rsid w:val="003F5022"/>
    <w:rsid w:val="004011EC"/>
    <w:rsid w:val="00401401"/>
    <w:rsid w:val="00405598"/>
    <w:rsid w:val="0040794E"/>
    <w:rsid w:val="00410635"/>
    <w:rsid w:val="00411ACB"/>
    <w:rsid w:val="00413D61"/>
    <w:rsid w:val="004169BD"/>
    <w:rsid w:val="00420D36"/>
    <w:rsid w:val="0042305F"/>
    <w:rsid w:val="00423892"/>
    <w:rsid w:val="00423956"/>
    <w:rsid w:val="0042603E"/>
    <w:rsid w:val="0043028C"/>
    <w:rsid w:val="00432089"/>
    <w:rsid w:val="00441A94"/>
    <w:rsid w:val="004507ED"/>
    <w:rsid w:val="00455110"/>
    <w:rsid w:val="004571E6"/>
    <w:rsid w:val="00461F36"/>
    <w:rsid w:val="00462EBE"/>
    <w:rsid w:val="00465CFE"/>
    <w:rsid w:val="0046799D"/>
    <w:rsid w:val="004729B1"/>
    <w:rsid w:val="004738B0"/>
    <w:rsid w:val="0047469D"/>
    <w:rsid w:val="00484C9B"/>
    <w:rsid w:val="0048745B"/>
    <w:rsid w:val="0049063E"/>
    <w:rsid w:val="004930FB"/>
    <w:rsid w:val="0049347D"/>
    <w:rsid w:val="004A01B7"/>
    <w:rsid w:val="004A0BF9"/>
    <w:rsid w:val="004B07B4"/>
    <w:rsid w:val="004B36F9"/>
    <w:rsid w:val="004B3C83"/>
    <w:rsid w:val="004B4A7C"/>
    <w:rsid w:val="004B5B63"/>
    <w:rsid w:val="004C180F"/>
    <w:rsid w:val="004C29BA"/>
    <w:rsid w:val="004C2E2D"/>
    <w:rsid w:val="004C67B5"/>
    <w:rsid w:val="004D2837"/>
    <w:rsid w:val="004D2F03"/>
    <w:rsid w:val="004D52ED"/>
    <w:rsid w:val="004D66B7"/>
    <w:rsid w:val="004D691C"/>
    <w:rsid w:val="004E1BB1"/>
    <w:rsid w:val="004E2750"/>
    <w:rsid w:val="004E56A6"/>
    <w:rsid w:val="004E70E6"/>
    <w:rsid w:val="004F06C1"/>
    <w:rsid w:val="004F202B"/>
    <w:rsid w:val="004F3927"/>
    <w:rsid w:val="004F4366"/>
    <w:rsid w:val="00500449"/>
    <w:rsid w:val="00502962"/>
    <w:rsid w:val="005030AE"/>
    <w:rsid w:val="005073B2"/>
    <w:rsid w:val="00507AF2"/>
    <w:rsid w:val="00524CAE"/>
    <w:rsid w:val="005259BF"/>
    <w:rsid w:val="0052746A"/>
    <w:rsid w:val="00527AE2"/>
    <w:rsid w:val="0053127B"/>
    <w:rsid w:val="0053271C"/>
    <w:rsid w:val="00533FED"/>
    <w:rsid w:val="0054015A"/>
    <w:rsid w:val="005419DB"/>
    <w:rsid w:val="00543529"/>
    <w:rsid w:val="005453EE"/>
    <w:rsid w:val="0055345A"/>
    <w:rsid w:val="00553DEB"/>
    <w:rsid w:val="00554A68"/>
    <w:rsid w:val="00557D19"/>
    <w:rsid w:val="005614A7"/>
    <w:rsid w:val="00564744"/>
    <w:rsid w:val="0056742E"/>
    <w:rsid w:val="00572667"/>
    <w:rsid w:val="00580445"/>
    <w:rsid w:val="00584154"/>
    <w:rsid w:val="00584436"/>
    <w:rsid w:val="005909E3"/>
    <w:rsid w:val="00592A45"/>
    <w:rsid w:val="005939AE"/>
    <w:rsid w:val="005A1445"/>
    <w:rsid w:val="005A4695"/>
    <w:rsid w:val="005A4CB2"/>
    <w:rsid w:val="005B0EC0"/>
    <w:rsid w:val="005B19B6"/>
    <w:rsid w:val="005B5AAF"/>
    <w:rsid w:val="005C206A"/>
    <w:rsid w:val="005C214F"/>
    <w:rsid w:val="005C27D6"/>
    <w:rsid w:val="005C33DB"/>
    <w:rsid w:val="005E1959"/>
    <w:rsid w:val="005E6294"/>
    <w:rsid w:val="005E7C10"/>
    <w:rsid w:val="005F0CD4"/>
    <w:rsid w:val="005F1C13"/>
    <w:rsid w:val="005F34EB"/>
    <w:rsid w:val="005F7A53"/>
    <w:rsid w:val="00601740"/>
    <w:rsid w:val="00607C9F"/>
    <w:rsid w:val="00611538"/>
    <w:rsid w:val="00613279"/>
    <w:rsid w:val="006253E8"/>
    <w:rsid w:val="00631414"/>
    <w:rsid w:val="006361F8"/>
    <w:rsid w:val="00643E70"/>
    <w:rsid w:val="00644C02"/>
    <w:rsid w:val="00650034"/>
    <w:rsid w:val="00651599"/>
    <w:rsid w:val="006532DE"/>
    <w:rsid w:val="00654A41"/>
    <w:rsid w:val="0065559F"/>
    <w:rsid w:val="006577AC"/>
    <w:rsid w:val="00663122"/>
    <w:rsid w:val="00663C64"/>
    <w:rsid w:val="00672941"/>
    <w:rsid w:val="00674EE2"/>
    <w:rsid w:val="00676C11"/>
    <w:rsid w:val="00681F22"/>
    <w:rsid w:val="006877AB"/>
    <w:rsid w:val="006924F6"/>
    <w:rsid w:val="006928FD"/>
    <w:rsid w:val="006939D0"/>
    <w:rsid w:val="0069584F"/>
    <w:rsid w:val="006A1EA8"/>
    <w:rsid w:val="006A477B"/>
    <w:rsid w:val="006B0A6F"/>
    <w:rsid w:val="006B5B60"/>
    <w:rsid w:val="006C0350"/>
    <w:rsid w:val="006C2002"/>
    <w:rsid w:val="006C4069"/>
    <w:rsid w:val="006C7AC7"/>
    <w:rsid w:val="006C7B83"/>
    <w:rsid w:val="006D0CEA"/>
    <w:rsid w:val="006D570D"/>
    <w:rsid w:val="006D7742"/>
    <w:rsid w:val="006D7A66"/>
    <w:rsid w:val="006E38FF"/>
    <w:rsid w:val="006E3A82"/>
    <w:rsid w:val="006F0D41"/>
    <w:rsid w:val="006F258D"/>
    <w:rsid w:val="006F4E99"/>
    <w:rsid w:val="006F6467"/>
    <w:rsid w:val="006F6490"/>
    <w:rsid w:val="006F6EB1"/>
    <w:rsid w:val="006F70F5"/>
    <w:rsid w:val="006F7BEC"/>
    <w:rsid w:val="007004A8"/>
    <w:rsid w:val="00701995"/>
    <w:rsid w:val="007034A8"/>
    <w:rsid w:val="00706042"/>
    <w:rsid w:val="00707799"/>
    <w:rsid w:val="0071191D"/>
    <w:rsid w:val="00716F81"/>
    <w:rsid w:val="007200A7"/>
    <w:rsid w:val="007201B6"/>
    <w:rsid w:val="00733A85"/>
    <w:rsid w:val="00744A54"/>
    <w:rsid w:val="00747624"/>
    <w:rsid w:val="00750695"/>
    <w:rsid w:val="0075417F"/>
    <w:rsid w:val="00757B51"/>
    <w:rsid w:val="00760EF0"/>
    <w:rsid w:val="00771B3C"/>
    <w:rsid w:val="007736C8"/>
    <w:rsid w:val="00783AFF"/>
    <w:rsid w:val="00784037"/>
    <w:rsid w:val="00786DDD"/>
    <w:rsid w:val="007921A8"/>
    <w:rsid w:val="007A2987"/>
    <w:rsid w:val="007A2BB4"/>
    <w:rsid w:val="007A7356"/>
    <w:rsid w:val="007A7B09"/>
    <w:rsid w:val="007B2863"/>
    <w:rsid w:val="007B313E"/>
    <w:rsid w:val="007B625E"/>
    <w:rsid w:val="007C4ADE"/>
    <w:rsid w:val="007C5250"/>
    <w:rsid w:val="007D18A9"/>
    <w:rsid w:val="007E100B"/>
    <w:rsid w:val="007E319F"/>
    <w:rsid w:val="007E5633"/>
    <w:rsid w:val="007E5A4E"/>
    <w:rsid w:val="007E65E1"/>
    <w:rsid w:val="007E6672"/>
    <w:rsid w:val="007F0CBE"/>
    <w:rsid w:val="007F28C4"/>
    <w:rsid w:val="00805302"/>
    <w:rsid w:val="00814951"/>
    <w:rsid w:val="0083109B"/>
    <w:rsid w:val="00833F87"/>
    <w:rsid w:val="0084010F"/>
    <w:rsid w:val="00844397"/>
    <w:rsid w:val="00851166"/>
    <w:rsid w:val="0085290C"/>
    <w:rsid w:val="008610D6"/>
    <w:rsid w:val="00862BDC"/>
    <w:rsid w:val="00866BB5"/>
    <w:rsid w:val="00870C3D"/>
    <w:rsid w:val="008715F0"/>
    <w:rsid w:val="00873720"/>
    <w:rsid w:val="00873C92"/>
    <w:rsid w:val="00874CBC"/>
    <w:rsid w:val="0088152C"/>
    <w:rsid w:val="00882BD3"/>
    <w:rsid w:val="0088426B"/>
    <w:rsid w:val="00885661"/>
    <w:rsid w:val="00885D50"/>
    <w:rsid w:val="008A47A8"/>
    <w:rsid w:val="008A5B03"/>
    <w:rsid w:val="008A62DE"/>
    <w:rsid w:val="008B2C78"/>
    <w:rsid w:val="008B5A39"/>
    <w:rsid w:val="008C1B74"/>
    <w:rsid w:val="008C6EE1"/>
    <w:rsid w:val="008F3F56"/>
    <w:rsid w:val="00900E87"/>
    <w:rsid w:val="00902FD4"/>
    <w:rsid w:val="009040F1"/>
    <w:rsid w:val="00905E8E"/>
    <w:rsid w:val="0090626E"/>
    <w:rsid w:val="00906F88"/>
    <w:rsid w:val="00911174"/>
    <w:rsid w:val="00913189"/>
    <w:rsid w:val="00914869"/>
    <w:rsid w:val="00920A76"/>
    <w:rsid w:val="0092152D"/>
    <w:rsid w:val="0092185E"/>
    <w:rsid w:val="00930479"/>
    <w:rsid w:val="009314F2"/>
    <w:rsid w:val="00940DEB"/>
    <w:rsid w:val="009427C3"/>
    <w:rsid w:val="009437BD"/>
    <w:rsid w:val="00946289"/>
    <w:rsid w:val="0095303B"/>
    <w:rsid w:val="0095505C"/>
    <w:rsid w:val="00962BCE"/>
    <w:rsid w:val="00963514"/>
    <w:rsid w:val="00982DF2"/>
    <w:rsid w:val="0098736E"/>
    <w:rsid w:val="009938A1"/>
    <w:rsid w:val="00994900"/>
    <w:rsid w:val="009A7DCD"/>
    <w:rsid w:val="009B6DB2"/>
    <w:rsid w:val="009C0BF9"/>
    <w:rsid w:val="009C5C56"/>
    <w:rsid w:val="009D2378"/>
    <w:rsid w:val="009D58D9"/>
    <w:rsid w:val="009D7AE0"/>
    <w:rsid w:val="009E2BC9"/>
    <w:rsid w:val="009E3DA8"/>
    <w:rsid w:val="009E4C07"/>
    <w:rsid w:val="009F1A70"/>
    <w:rsid w:val="009F49B8"/>
    <w:rsid w:val="009F5054"/>
    <w:rsid w:val="00A00039"/>
    <w:rsid w:val="00A009E5"/>
    <w:rsid w:val="00A03CEA"/>
    <w:rsid w:val="00A043FC"/>
    <w:rsid w:val="00A04C61"/>
    <w:rsid w:val="00A06F7E"/>
    <w:rsid w:val="00A107D2"/>
    <w:rsid w:val="00A135F7"/>
    <w:rsid w:val="00A14982"/>
    <w:rsid w:val="00A21B32"/>
    <w:rsid w:val="00A267AA"/>
    <w:rsid w:val="00A27E43"/>
    <w:rsid w:val="00A31A95"/>
    <w:rsid w:val="00A33C7A"/>
    <w:rsid w:val="00A37172"/>
    <w:rsid w:val="00A37DCC"/>
    <w:rsid w:val="00A408E4"/>
    <w:rsid w:val="00A418A3"/>
    <w:rsid w:val="00A45102"/>
    <w:rsid w:val="00A51A09"/>
    <w:rsid w:val="00A555B1"/>
    <w:rsid w:val="00A57D54"/>
    <w:rsid w:val="00A65475"/>
    <w:rsid w:val="00A66A73"/>
    <w:rsid w:val="00A67768"/>
    <w:rsid w:val="00A67D7E"/>
    <w:rsid w:val="00A704B7"/>
    <w:rsid w:val="00A72B36"/>
    <w:rsid w:val="00A75E89"/>
    <w:rsid w:val="00A76993"/>
    <w:rsid w:val="00A80E0C"/>
    <w:rsid w:val="00A82678"/>
    <w:rsid w:val="00A86036"/>
    <w:rsid w:val="00A94547"/>
    <w:rsid w:val="00A94B68"/>
    <w:rsid w:val="00A954F9"/>
    <w:rsid w:val="00A97E5D"/>
    <w:rsid w:val="00AA1454"/>
    <w:rsid w:val="00AA6524"/>
    <w:rsid w:val="00AA65C4"/>
    <w:rsid w:val="00AA771B"/>
    <w:rsid w:val="00AA7E1E"/>
    <w:rsid w:val="00AB3C77"/>
    <w:rsid w:val="00AB797B"/>
    <w:rsid w:val="00AC37C4"/>
    <w:rsid w:val="00AD3B7A"/>
    <w:rsid w:val="00AD45CC"/>
    <w:rsid w:val="00AE0622"/>
    <w:rsid w:val="00AE15B4"/>
    <w:rsid w:val="00AF3EDE"/>
    <w:rsid w:val="00AF4ADB"/>
    <w:rsid w:val="00AF5D08"/>
    <w:rsid w:val="00B07E83"/>
    <w:rsid w:val="00B1578E"/>
    <w:rsid w:val="00B15F59"/>
    <w:rsid w:val="00B27C62"/>
    <w:rsid w:val="00B31714"/>
    <w:rsid w:val="00B31FB1"/>
    <w:rsid w:val="00B36429"/>
    <w:rsid w:val="00B41AC0"/>
    <w:rsid w:val="00B526A9"/>
    <w:rsid w:val="00B572A1"/>
    <w:rsid w:val="00B57567"/>
    <w:rsid w:val="00B57CFA"/>
    <w:rsid w:val="00B60EE6"/>
    <w:rsid w:val="00B61032"/>
    <w:rsid w:val="00B65B3A"/>
    <w:rsid w:val="00B665A4"/>
    <w:rsid w:val="00B72426"/>
    <w:rsid w:val="00B727A1"/>
    <w:rsid w:val="00B75F46"/>
    <w:rsid w:val="00B813A0"/>
    <w:rsid w:val="00B84EFE"/>
    <w:rsid w:val="00B904DD"/>
    <w:rsid w:val="00B917F7"/>
    <w:rsid w:val="00B92EE4"/>
    <w:rsid w:val="00B962C1"/>
    <w:rsid w:val="00BA101F"/>
    <w:rsid w:val="00BA2BAF"/>
    <w:rsid w:val="00BA646A"/>
    <w:rsid w:val="00BA7E1E"/>
    <w:rsid w:val="00BB281E"/>
    <w:rsid w:val="00BB396F"/>
    <w:rsid w:val="00BB54B1"/>
    <w:rsid w:val="00BB5ECD"/>
    <w:rsid w:val="00BC1494"/>
    <w:rsid w:val="00BC1A79"/>
    <w:rsid w:val="00BC38A7"/>
    <w:rsid w:val="00BC5A2C"/>
    <w:rsid w:val="00BD20A0"/>
    <w:rsid w:val="00BD4DE5"/>
    <w:rsid w:val="00BD6A10"/>
    <w:rsid w:val="00BD6BED"/>
    <w:rsid w:val="00BE38D4"/>
    <w:rsid w:val="00BE6B5A"/>
    <w:rsid w:val="00BE6E47"/>
    <w:rsid w:val="00BF0A78"/>
    <w:rsid w:val="00BF34BE"/>
    <w:rsid w:val="00BF505D"/>
    <w:rsid w:val="00C05F61"/>
    <w:rsid w:val="00C06249"/>
    <w:rsid w:val="00C1056C"/>
    <w:rsid w:val="00C20488"/>
    <w:rsid w:val="00C20E59"/>
    <w:rsid w:val="00C2444B"/>
    <w:rsid w:val="00C27CA3"/>
    <w:rsid w:val="00C31F04"/>
    <w:rsid w:val="00C3309A"/>
    <w:rsid w:val="00C34768"/>
    <w:rsid w:val="00C414C6"/>
    <w:rsid w:val="00C46344"/>
    <w:rsid w:val="00C4684F"/>
    <w:rsid w:val="00C50EA6"/>
    <w:rsid w:val="00C52958"/>
    <w:rsid w:val="00C615A2"/>
    <w:rsid w:val="00C61705"/>
    <w:rsid w:val="00C7365E"/>
    <w:rsid w:val="00C739E0"/>
    <w:rsid w:val="00C81039"/>
    <w:rsid w:val="00C83655"/>
    <w:rsid w:val="00C85D0A"/>
    <w:rsid w:val="00C86B0F"/>
    <w:rsid w:val="00CA09D6"/>
    <w:rsid w:val="00CA1BEC"/>
    <w:rsid w:val="00CA241C"/>
    <w:rsid w:val="00CA4551"/>
    <w:rsid w:val="00CA5AAE"/>
    <w:rsid w:val="00CA6C59"/>
    <w:rsid w:val="00CB16DC"/>
    <w:rsid w:val="00CC00BE"/>
    <w:rsid w:val="00CC2F95"/>
    <w:rsid w:val="00CC657A"/>
    <w:rsid w:val="00CD2C26"/>
    <w:rsid w:val="00CD3176"/>
    <w:rsid w:val="00CD3DDA"/>
    <w:rsid w:val="00CD7812"/>
    <w:rsid w:val="00CE5D2A"/>
    <w:rsid w:val="00CE6842"/>
    <w:rsid w:val="00CF320F"/>
    <w:rsid w:val="00CF3747"/>
    <w:rsid w:val="00CF4B4F"/>
    <w:rsid w:val="00D01E35"/>
    <w:rsid w:val="00D03EC5"/>
    <w:rsid w:val="00D0527F"/>
    <w:rsid w:val="00D05590"/>
    <w:rsid w:val="00D06FE4"/>
    <w:rsid w:val="00D15F42"/>
    <w:rsid w:val="00D20371"/>
    <w:rsid w:val="00D23EC3"/>
    <w:rsid w:val="00D25E01"/>
    <w:rsid w:val="00D27F83"/>
    <w:rsid w:val="00D31434"/>
    <w:rsid w:val="00D32BC1"/>
    <w:rsid w:val="00D35189"/>
    <w:rsid w:val="00D35B30"/>
    <w:rsid w:val="00D36D8C"/>
    <w:rsid w:val="00D430D0"/>
    <w:rsid w:val="00D439EE"/>
    <w:rsid w:val="00D43F4C"/>
    <w:rsid w:val="00D46493"/>
    <w:rsid w:val="00D46F68"/>
    <w:rsid w:val="00D52776"/>
    <w:rsid w:val="00D52C71"/>
    <w:rsid w:val="00D53E21"/>
    <w:rsid w:val="00D54165"/>
    <w:rsid w:val="00D54433"/>
    <w:rsid w:val="00D6153D"/>
    <w:rsid w:val="00D62249"/>
    <w:rsid w:val="00D62CB2"/>
    <w:rsid w:val="00D63A99"/>
    <w:rsid w:val="00D65FE6"/>
    <w:rsid w:val="00D73130"/>
    <w:rsid w:val="00D73D51"/>
    <w:rsid w:val="00D85B16"/>
    <w:rsid w:val="00D86B6F"/>
    <w:rsid w:val="00D943E9"/>
    <w:rsid w:val="00DA5266"/>
    <w:rsid w:val="00DA6821"/>
    <w:rsid w:val="00DA71DC"/>
    <w:rsid w:val="00DB4AB8"/>
    <w:rsid w:val="00DB7FF4"/>
    <w:rsid w:val="00DC5D20"/>
    <w:rsid w:val="00DD0A93"/>
    <w:rsid w:val="00DD60A7"/>
    <w:rsid w:val="00DD6BDF"/>
    <w:rsid w:val="00DE0086"/>
    <w:rsid w:val="00DE1D6B"/>
    <w:rsid w:val="00DE3490"/>
    <w:rsid w:val="00DE59DC"/>
    <w:rsid w:val="00DE5D1B"/>
    <w:rsid w:val="00DE79D9"/>
    <w:rsid w:val="00DF196F"/>
    <w:rsid w:val="00E028C9"/>
    <w:rsid w:val="00E02FFE"/>
    <w:rsid w:val="00E03286"/>
    <w:rsid w:val="00E05D72"/>
    <w:rsid w:val="00E2241B"/>
    <w:rsid w:val="00E232D7"/>
    <w:rsid w:val="00E246C8"/>
    <w:rsid w:val="00E249A7"/>
    <w:rsid w:val="00E30AB7"/>
    <w:rsid w:val="00E3136B"/>
    <w:rsid w:val="00E32DA5"/>
    <w:rsid w:val="00E33626"/>
    <w:rsid w:val="00E369D9"/>
    <w:rsid w:val="00E37273"/>
    <w:rsid w:val="00E379D9"/>
    <w:rsid w:val="00E45A37"/>
    <w:rsid w:val="00E4672B"/>
    <w:rsid w:val="00E60F33"/>
    <w:rsid w:val="00E61584"/>
    <w:rsid w:val="00E6164A"/>
    <w:rsid w:val="00E672C5"/>
    <w:rsid w:val="00E72361"/>
    <w:rsid w:val="00E727DF"/>
    <w:rsid w:val="00E75C58"/>
    <w:rsid w:val="00E83698"/>
    <w:rsid w:val="00E83B6F"/>
    <w:rsid w:val="00E92EFB"/>
    <w:rsid w:val="00E97D25"/>
    <w:rsid w:val="00EA4C08"/>
    <w:rsid w:val="00EA600A"/>
    <w:rsid w:val="00EA72FD"/>
    <w:rsid w:val="00EB58BD"/>
    <w:rsid w:val="00EB7AE7"/>
    <w:rsid w:val="00EC27AF"/>
    <w:rsid w:val="00EC4783"/>
    <w:rsid w:val="00ED48A1"/>
    <w:rsid w:val="00ED6AC2"/>
    <w:rsid w:val="00ED7498"/>
    <w:rsid w:val="00EE1A2C"/>
    <w:rsid w:val="00EE2D73"/>
    <w:rsid w:val="00EE3563"/>
    <w:rsid w:val="00EE52B6"/>
    <w:rsid w:val="00EE5E45"/>
    <w:rsid w:val="00EE6576"/>
    <w:rsid w:val="00EE781C"/>
    <w:rsid w:val="00EF1336"/>
    <w:rsid w:val="00EF1372"/>
    <w:rsid w:val="00EF5095"/>
    <w:rsid w:val="00EF58F6"/>
    <w:rsid w:val="00EF6430"/>
    <w:rsid w:val="00F05985"/>
    <w:rsid w:val="00F0634D"/>
    <w:rsid w:val="00F16BA0"/>
    <w:rsid w:val="00F16C34"/>
    <w:rsid w:val="00F174B4"/>
    <w:rsid w:val="00F22898"/>
    <w:rsid w:val="00F238D0"/>
    <w:rsid w:val="00F24602"/>
    <w:rsid w:val="00F24FF3"/>
    <w:rsid w:val="00F258E7"/>
    <w:rsid w:val="00F43A84"/>
    <w:rsid w:val="00F45DFF"/>
    <w:rsid w:val="00F513D7"/>
    <w:rsid w:val="00F5589C"/>
    <w:rsid w:val="00F57B3E"/>
    <w:rsid w:val="00F60198"/>
    <w:rsid w:val="00F604FE"/>
    <w:rsid w:val="00F73C8A"/>
    <w:rsid w:val="00F742AF"/>
    <w:rsid w:val="00F7439A"/>
    <w:rsid w:val="00F80CCA"/>
    <w:rsid w:val="00F82A58"/>
    <w:rsid w:val="00F86C0D"/>
    <w:rsid w:val="00FA5264"/>
    <w:rsid w:val="00FB2226"/>
    <w:rsid w:val="00FB35F7"/>
    <w:rsid w:val="00FC0481"/>
    <w:rsid w:val="00FC213E"/>
    <w:rsid w:val="00FC5A2D"/>
    <w:rsid w:val="00FD1EBB"/>
    <w:rsid w:val="00FD25F4"/>
    <w:rsid w:val="00FD3000"/>
    <w:rsid w:val="00FD5F47"/>
    <w:rsid w:val="00FE6058"/>
    <w:rsid w:val="00FF089D"/>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9B3A"/>
  <w15:chartTrackingRefBased/>
  <w15:docId w15:val="{C979C722-42E4-4B6D-9DAE-0D22E92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F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7FF4"/>
    <w:pPr>
      <w:spacing w:before="100" w:beforeAutospacing="1" w:after="100" w:afterAutospacing="1"/>
    </w:pPr>
    <w:rPr>
      <w:rFonts w:eastAsia="Times New Roman"/>
      <w:szCs w:val="24"/>
      <w:lang w:eastAsia="lv-LV"/>
    </w:rPr>
  </w:style>
  <w:style w:type="paragraph" w:customStyle="1" w:styleId="naisf">
    <w:name w:val="naisf"/>
    <w:basedOn w:val="Normal"/>
    <w:rsid w:val="00DB7FF4"/>
    <w:pPr>
      <w:spacing w:before="75" w:after="75"/>
      <w:ind w:firstLine="375"/>
      <w:jc w:val="both"/>
    </w:pPr>
    <w:rPr>
      <w:rFonts w:eastAsia="Times New Roman"/>
      <w:szCs w:val="24"/>
      <w:lang w:eastAsia="lv-LV"/>
    </w:rPr>
  </w:style>
  <w:style w:type="paragraph" w:customStyle="1" w:styleId="naiskr">
    <w:name w:val="naiskr"/>
    <w:basedOn w:val="Normal"/>
    <w:rsid w:val="00DB7FF4"/>
    <w:pPr>
      <w:spacing w:before="75" w:after="75"/>
    </w:pPr>
    <w:rPr>
      <w:rFonts w:eastAsia="Times New Roman"/>
      <w:szCs w:val="24"/>
      <w:lang w:eastAsia="lv-LV"/>
    </w:rPr>
  </w:style>
  <w:style w:type="paragraph" w:customStyle="1" w:styleId="naisc">
    <w:name w:val="naisc"/>
    <w:basedOn w:val="Normal"/>
    <w:rsid w:val="00DB7FF4"/>
    <w:pPr>
      <w:spacing w:before="75" w:after="75"/>
      <w:jc w:val="center"/>
    </w:pPr>
    <w:rPr>
      <w:rFonts w:eastAsia="Times New Roman"/>
      <w:szCs w:val="24"/>
      <w:lang w:eastAsia="lv-LV"/>
    </w:rPr>
  </w:style>
  <w:style w:type="paragraph" w:styleId="Header">
    <w:name w:val="header"/>
    <w:basedOn w:val="Normal"/>
    <w:link w:val="HeaderChar"/>
    <w:uiPriority w:val="99"/>
    <w:rsid w:val="00DB7FF4"/>
    <w:pPr>
      <w:tabs>
        <w:tab w:val="center" w:pos="4153"/>
        <w:tab w:val="right" w:pos="8306"/>
      </w:tabs>
    </w:pPr>
    <w:rPr>
      <w:rFonts w:eastAsia="Times New Roman"/>
      <w:szCs w:val="24"/>
      <w:lang w:eastAsia="lv-LV"/>
    </w:rPr>
  </w:style>
  <w:style w:type="character" w:customStyle="1" w:styleId="HeaderChar">
    <w:name w:val="Header Char"/>
    <w:basedOn w:val="DefaultParagraphFont"/>
    <w:link w:val="Header"/>
    <w:uiPriority w:val="99"/>
    <w:rsid w:val="00DB7FF4"/>
    <w:rPr>
      <w:rFonts w:ascii="Times New Roman" w:eastAsia="Times New Roman" w:hAnsi="Times New Roman" w:cs="Times New Roman"/>
      <w:sz w:val="24"/>
      <w:szCs w:val="24"/>
      <w:lang w:eastAsia="lv-LV"/>
    </w:rPr>
  </w:style>
  <w:style w:type="character" w:styleId="PageNumber">
    <w:name w:val="page number"/>
    <w:uiPriority w:val="99"/>
    <w:rsid w:val="00DB7FF4"/>
    <w:rPr>
      <w:rFonts w:cs="Times New Roman"/>
    </w:rPr>
  </w:style>
  <w:style w:type="paragraph" w:styleId="Footer">
    <w:name w:val="footer"/>
    <w:basedOn w:val="Normal"/>
    <w:link w:val="FooterChar"/>
    <w:rsid w:val="00DB7FF4"/>
    <w:pPr>
      <w:tabs>
        <w:tab w:val="center" w:pos="4153"/>
        <w:tab w:val="right" w:pos="8306"/>
      </w:tabs>
    </w:pPr>
    <w:rPr>
      <w:rFonts w:eastAsia="Times New Roman"/>
      <w:szCs w:val="24"/>
      <w:lang w:eastAsia="lv-LV"/>
    </w:rPr>
  </w:style>
  <w:style w:type="character" w:customStyle="1" w:styleId="FooterChar">
    <w:name w:val="Footer Char"/>
    <w:basedOn w:val="DefaultParagraphFont"/>
    <w:link w:val="Footer"/>
    <w:rsid w:val="00DB7FF4"/>
    <w:rPr>
      <w:rFonts w:ascii="Times New Roman" w:eastAsia="Times New Roman" w:hAnsi="Times New Roman" w:cs="Times New Roman"/>
      <w:sz w:val="24"/>
      <w:szCs w:val="24"/>
      <w:lang w:eastAsia="lv-LV"/>
    </w:rPr>
  </w:style>
  <w:style w:type="paragraph" w:customStyle="1" w:styleId="Body1">
    <w:name w:val="Body 1"/>
    <w:rsid w:val="00DB7FF4"/>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aliases w:val="1st level - Bullet List Paragraph,Bullet EY,Bullet list,Dot pt,Lettre d'introduction,List Paragraph1,List Paragraph11,Medium Grid 1 - Accent 21,Normal bullet 2,Numbered List,Paragrafo elenco,Paragraph,Paragraphe de liste 2,Reference list"/>
    <w:basedOn w:val="Normal"/>
    <w:link w:val="ListParagraphChar"/>
    <w:uiPriority w:val="34"/>
    <w:qFormat/>
    <w:rsid w:val="00CC00BE"/>
    <w:pPr>
      <w:spacing w:after="160" w:line="259" w:lineRule="auto"/>
      <w:ind w:left="720"/>
      <w:contextualSpacing/>
    </w:pPr>
    <w:rPr>
      <w:rFonts w:asciiTheme="minorHAnsi" w:eastAsiaTheme="minorHAnsi" w:hAnsiTheme="minorHAnsi" w:cstheme="minorBidi"/>
      <w:sz w:val="22"/>
    </w:rPr>
  </w:style>
  <w:style w:type="paragraph" w:customStyle="1" w:styleId="tv213">
    <w:name w:val="tv213"/>
    <w:basedOn w:val="Normal"/>
    <w:rsid w:val="00B962C1"/>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2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7CFA"/>
    <w:rPr>
      <w:sz w:val="16"/>
      <w:szCs w:val="16"/>
    </w:rPr>
  </w:style>
  <w:style w:type="paragraph" w:styleId="CommentText">
    <w:name w:val="annotation text"/>
    <w:basedOn w:val="Normal"/>
    <w:link w:val="CommentTextChar"/>
    <w:uiPriority w:val="99"/>
    <w:semiHidden/>
    <w:unhideWhenUsed/>
    <w:rsid w:val="00B57CFA"/>
    <w:rPr>
      <w:sz w:val="20"/>
      <w:szCs w:val="20"/>
    </w:rPr>
  </w:style>
  <w:style w:type="character" w:customStyle="1" w:styleId="CommentTextChar">
    <w:name w:val="Comment Text Char"/>
    <w:basedOn w:val="DefaultParagraphFont"/>
    <w:link w:val="CommentText"/>
    <w:uiPriority w:val="99"/>
    <w:semiHidden/>
    <w:rsid w:val="00B57CF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CFA"/>
    <w:rPr>
      <w:b/>
      <w:bCs/>
    </w:rPr>
  </w:style>
  <w:style w:type="character" w:customStyle="1" w:styleId="CommentSubjectChar">
    <w:name w:val="Comment Subject Char"/>
    <w:basedOn w:val="CommentTextChar"/>
    <w:link w:val="CommentSubject"/>
    <w:uiPriority w:val="99"/>
    <w:semiHidden/>
    <w:rsid w:val="00B57CFA"/>
    <w:rPr>
      <w:rFonts w:ascii="Times New Roman" w:eastAsia="Calibri" w:hAnsi="Times New Roman" w:cs="Times New Roman"/>
      <w:b/>
      <w:bCs/>
      <w:sz w:val="20"/>
      <w:szCs w:val="20"/>
    </w:rPr>
  </w:style>
  <w:style w:type="character" w:styleId="Hyperlink">
    <w:name w:val="Hyperlink"/>
    <w:basedOn w:val="DefaultParagraphFont"/>
    <w:unhideWhenUsed/>
    <w:rsid w:val="00AD45CC"/>
    <w:rPr>
      <w:color w:val="0000FF"/>
      <w:u w:val="single"/>
    </w:rPr>
  </w:style>
  <w:style w:type="character" w:styleId="UnresolvedMention">
    <w:name w:val="Unresolved Mention"/>
    <w:basedOn w:val="DefaultParagraphFont"/>
    <w:uiPriority w:val="99"/>
    <w:semiHidden/>
    <w:unhideWhenUsed/>
    <w:rsid w:val="00AD45CC"/>
    <w:rPr>
      <w:color w:val="605E5C"/>
      <w:shd w:val="clear" w:color="auto" w:fill="E1DFDD"/>
    </w:rPr>
  </w:style>
  <w:style w:type="character" w:customStyle="1" w:styleId="ListParagraphChar">
    <w:name w:val="List Paragraph Char"/>
    <w:aliases w:val="1st level - Bullet List Paragraph Char,Bullet EY Char,Bullet list Char,Dot pt Char,Lettre d'introduction Char,List Paragraph1 Char,List Paragraph11 Char,Medium Grid 1 - Accent 21 Char,Normal bullet 2 Char,Numbered List Char"/>
    <w:basedOn w:val="DefaultParagraphFont"/>
    <w:link w:val="ListParagraph"/>
    <w:uiPriority w:val="34"/>
    <w:locked/>
    <w:rsid w:val="003A48E9"/>
  </w:style>
  <w:style w:type="paragraph" w:styleId="Caption">
    <w:name w:val="caption"/>
    <w:basedOn w:val="Normal"/>
    <w:next w:val="Normal"/>
    <w:qFormat/>
    <w:rsid w:val="00BF0A78"/>
    <w:pPr>
      <w:framePr w:w="9083" w:hSpace="181" w:wrap="around" w:vAnchor="page" w:hAnchor="page" w:x="1702" w:y="579" w:anchorLock="1"/>
      <w:pBdr>
        <w:bottom w:val="single" w:sz="6" w:space="4" w:color="auto"/>
      </w:pBdr>
      <w:jc w:val="center"/>
    </w:pPr>
    <w:rPr>
      <w:rFonts w:eastAsia="Times New Roman"/>
      <w:spacing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3926">
      <w:bodyDiv w:val="1"/>
      <w:marLeft w:val="0"/>
      <w:marRight w:val="0"/>
      <w:marTop w:val="0"/>
      <w:marBottom w:val="0"/>
      <w:divBdr>
        <w:top w:val="none" w:sz="0" w:space="0" w:color="auto"/>
        <w:left w:val="none" w:sz="0" w:space="0" w:color="auto"/>
        <w:bottom w:val="none" w:sz="0" w:space="0" w:color="auto"/>
        <w:right w:val="none" w:sz="0" w:space="0" w:color="auto"/>
      </w:divBdr>
    </w:div>
    <w:div w:id="481847239">
      <w:bodyDiv w:val="1"/>
      <w:marLeft w:val="0"/>
      <w:marRight w:val="0"/>
      <w:marTop w:val="0"/>
      <w:marBottom w:val="0"/>
      <w:divBdr>
        <w:top w:val="none" w:sz="0" w:space="0" w:color="auto"/>
        <w:left w:val="none" w:sz="0" w:space="0" w:color="auto"/>
        <w:bottom w:val="none" w:sz="0" w:space="0" w:color="auto"/>
        <w:right w:val="none" w:sz="0" w:space="0" w:color="auto"/>
      </w:divBdr>
    </w:div>
    <w:div w:id="542641605">
      <w:bodyDiv w:val="1"/>
      <w:marLeft w:val="0"/>
      <w:marRight w:val="0"/>
      <w:marTop w:val="0"/>
      <w:marBottom w:val="0"/>
      <w:divBdr>
        <w:top w:val="none" w:sz="0" w:space="0" w:color="auto"/>
        <w:left w:val="none" w:sz="0" w:space="0" w:color="auto"/>
        <w:bottom w:val="none" w:sz="0" w:space="0" w:color="auto"/>
        <w:right w:val="none" w:sz="0" w:space="0" w:color="auto"/>
      </w:divBdr>
    </w:div>
    <w:div w:id="1161313124">
      <w:bodyDiv w:val="1"/>
      <w:marLeft w:val="0"/>
      <w:marRight w:val="0"/>
      <w:marTop w:val="0"/>
      <w:marBottom w:val="0"/>
      <w:divBdr>
        <w:top w:val="none" w:sz="0" w:space="0" w:color="auto"/>
        <w:left w:val="none" w:sz="0" w:space="0" w:color="auto"/>
        <w:bottom w:val="none" w:sz="0" w:space="0" w:color="auto"/>
        <w:right w:val="none" w:sz="0" w:space="0" w:color="auto"/>
      </w:divBdr>
    </w:div>
    <w:div w:id="1338193122">
      <w:bodyDiv w:val="1"/>
      <w:marLeft w:val="0"/>
      <w:marRight w:val="0"/>
      <w:marTop w:val="0"/>
      <w:marBottom w:val="0"/>
      <w:divBdr>
        <w:top w:val="none" w:sz="0" w:space="0" w:color="auto"/>
        <w:left w:val="none" w:sz="0" w:space="0" w:color="auto"/>
        <w:bottom w:val="none" w:sz="0" w:space="0" w:color="auto"/>
        <w:right w:val="none" w:sz="0" w:space="0" w:color="auto"/>
      </w:divBdr>
    </w:div>
    <w:div w:id="1689138652">
      <w:bodyDiv w:val="1"/>
      <w:marLeft w:val="0"/>
      <w:marRight w:val="0"/>
      <w:marTop w:val="0"/>
      <w:marBottom w:val="0"/>
      <w:divBdr>
        <w:top w:val="none" w:sz="0" w:space="0" w:color="auto"/>
        <w:left w:val="none" w:sz="0" w:space="0" w:color="auto"/>
        <w:bottom w:val="none" w:sz="0" w:space="0" w:color="auto"/>
        <w:right w:val="none" w:sz="0" w:space="0" w:color="auto"/>
      </w:divBdr>
      <w:divsChild>
        <w:div w:id="1687636616">
          <w:marLeft w:val="0"/>
          <w:marRight w:val="0"/>
          <w:marTop w:val="0"/>
          <w:marBottom w:val="0"/>
          <w:divBdr>
            <w:top w:val="none" w:sz="0" w:space="0" w:color="auto"/>
            <w:left w:val="none" w:sz="0" w:space="0" w:color="auto"/>
            <w:bottom w:val="none" w:sz="0" w:space="0" w:color="auto"/>
            <w:right w:val="none" w:sz="0" w:space="0" w:color="auto"/>
          </w:divBdr>
        </w:div>
      </w:divsChild>
    </w:div>
    <w:div w:id="1829129156">
      <w:bodyDiv w:val="1"/>
      <w:marLeft w:val="0"/>
      <w:marRight w:val="0"/>
      <w:marTop w:val="0"/>
      <w:marBottom w:val="0"/>
      <w:divBdr>
        <w:top w:val="none" w:sz="0" w:space="0" w:color="auto"/>
        <w:left w:val="none" w:sz="0" w:space="0" w:color="auto"/>
        <w:bottom w:val="none" w:sz="0" w:space="0" w:color="auto"/>
        <w:right w:val="none" w:sz="0" w:space="0" w:color="auto"/>
      </w:divBdr>
    </w:div>
    <w:div w:id="1847598265">
      <w:bodyDiv w:val="1"/>
      <w:marLeft w:val="0"/>
      <w:marRight w:val="0"/>
      <w:marTop w:val="0"/>
      <w:marBottom w:val="0"/>
      <w:divBdr>
        <w:top w:val="none" w:sz="0" w:space="0" w:color="auto"/>
        <w:left w:val="none" w:sz="0" w:space="0" w:color="auto"/>
        <w:bottom w:val="none" w:sz="0" w:space="0" w:color="auto"/>
        <w:right w:val="none" w:sz="0" w:space="0" w:color="auto"/>
      </w:divBdr>
    </w:div>
    <w:div w:id="1860581884">
      <w:bodyDiv w:val="1"/>
      <w:marLeft w:val="0"/>
      <w:marRight w:val="0"/>
      <w:marTop w:val="0"/>
      <w:marBottom w:val="0"/>
      <w:divBdr>
        <w:top w:val="none" w:sz="0" w:space="0" w:color="auto"/>
        <w:left w:val="none" w:sz="0" w:space="0" w:color="auto"/>
        <w:bottom w:val="none" w:sz="0" w:space="0" w:color="auto"/>
        <w:right w:val="none" w:sz="0" w:space="0" w:color="auto"/>
      </w:divBdr>
    </w:div>
    <w:div w:id="1870992814">
      <w:bodyDiv w:val="1"/>
      <w:marLeft w:val="0"/>
      <w:marRight w:val="0"/>
      <w:marTop w:val="0"/>
      <w:marBottom w:val="0"/>
      <w:divBdr>
        <w:top w:val="none" w:sz="0" w:space="0" w:color="auto"/>
        <w:left w:val="none" w:sz="0" w:space="0" w:color="auto"/>
        <w:bottom w:val="none" w:sz="0" w:space="0" w:color="auto"/>
        <w:right w:val="none" w:sz="0" w:space="0" w:color="auto"/>
      </w:divBdr>
    </w:div>
    <w:div w:id="2059426701">
      <w:bodyDiv w:val="1"/>
      <w:marLeft w:val="0"/>
      <w:marRight w:val="0"/>
      <w:marTop w:val="0"/>
      <w:marBottom w:val="0"/>
      <w:divBdr>
        <w:top w:val="none" w:sz="0" w:space="0" w:color="auto"/>
        <w:left w:val="none" w:sz="0" w:space="0" w:color="auto"/>
        <w:bottom w:val="none" w:sz="0" w:space="0" w:color="auto"/>
        <w:right w:val="none" w:sz="0" w:space="0" w:color="auto"/>
      </w:divBdr>
    </w:div>
    <w:div w:id="2063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14/717/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4/717/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3/1408/oj/?locale=LV" TargetMode="External"/><Relationship Id="rId14" Type="http://schemas.openxmlformats.org/officeDocument/2006/relationships/hyperlink" Target="mailto:Kristine.Priedit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2CB0-A11A-4CCF-993E-6989F799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37480</Words>
  <Characters>21364</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Nauris Priedītis</cp:lastModifiedBy>
  <cp:revision>206</cp:revision>
  <cp:lastPrinted>2018-06-12T12:46:00Z</cp:lastPrinted>
  <dcterms:created xsi:type="dcterms:W3CDTF">2020-03-10T14:19:00Z</dcterms:created>
  <dcterms:modified xsi:type="dcterms:W3CDTF">2020-07-17T07:05:00Z</dcterms:modified>
</cp:coreProperties>
</file>