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309DAEDF"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059FB" w:rsidRPr="005059FB">
        <w:rPr>
          <w:rFonts w:ascii="Times New Roman" w:eastAsia="Times New Roman" w:hAnsi="Times New Roman" w:cs="Times New Roman"/>
          <w:b/>
          <w:bCs/>
          <w:sz w:val="28"/>
          <w:szCs w:val="28"/>
          <w:lang w:eastAsia="lv-LV"/>
        </w:rPr>
        <w:t>Par valsts nekustamā īpašuma Rīgas ielā 211B, Jēkabpilī, nodošanu Jēkabpils pilsētas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6ED0CBB2" w:rsidR="005E2E4D" w:rsidRPr="005E2E4D"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A47FB5">
              <w:rPr>
                <w:rFonts w:ascii="Times New Roman" w:eastAsia="Times New Roman" w:hAnsi="Times New Roman" w:cs="Times New Roman"/>
                <w:sz w:val="28"/>
                <w:szCs w:val="28"/>
                <w:lang w:eastAsia="lv-LV"/>
              </w:rPr>
              <w:t xml:space="preserve">Jēkabpils pilsētas </w:t>
            </w:r>
            <w:r w:rsidRPr="005E2E4D">
              <w:rPr>
                <w:rFonts w:ascii="Times New Roman" w:eastAsia="Times New Roman" w:hAnsi="Times New Roman" w:cs="Times New Roman"/>
                <w:sz w:val="28"/>
                <w:szCs w:val="28"/>
                <w:lang w:eastAsia="lv-LV"/>
              </w:rPr>
              <w:t xml:space="preserve">pašvaldības īpašumā </w:t>
            </w:r>
            <w:r w:rsidR="00A47FB5">
              <w:rPr>
                <w:rFonts w:ascii="Times New Roman" w:eastAsia="Times New Roman" w:hAnsi="Times New Roman" w:cs="Times New Roman"/>
                <w:sz w:val="28"/>
                <w:szCs w:val="28"/>
                <w:lang w:eastAsia="lv-LV"/>
              </w:rPr>
              <w:t xml:space="preserve">valsts </w:t>
            </w:r>
            <w:r>
              <w:rPr>
                <w:rFonts w:ascii="Times New Roman" w:eastAsia="Times New Roman" w:hAnsi="Times New Roman" w:cs="Times New Roman"/>
                <w:sz w:val="28"/>
                <w:szCs w:val="28"/>
                <w:lang w:eastAsia="lv-LV"/>
              </w:rPr>
              <w:t>nekustamo īpašumu</w:t>
            </w:r>
            <w:r w:rsidR="00A47FB5">
              <w:rPr>
                <w:rFonts w:ascii="Times New Roman" w:eastAsia="Times New Roman" w:hAnsi="Times New Roman" w:cs="Times New Roman"/>
                <w:sz w:val="28"/>
                <w:szCs w:val="28"/>
                <w:lang w:eastAsia="lv-LV"/>
              </w:rPr>
              <w:t xml:space="preserve"> </w:t>
            </w:r>
            <w:r w:rsidR="00A47FB5" w:rsidRPr="00A47FB5">
              <w:rPr>
                <w:rFonts w:ascii="Times New Roman" w:eastAsia="Times New Roman" w:hAnsi="Times New Roman" w:cs="Times New Roman"/>
                <w:sz w:val="28"/>
                <w:szCs w:val="28"/>
                <w:lang w:eastAsia="lv-LV"/>
              </w:rPr>
              <w:t>Rīgas ielā 211B, Jēkabpilī</w:t>
            </w:r>
            <w:r>
              <w:rPr>
                <w:rFonts w:ascii="Times New Roman" w:eastAsia="Times New Roman" w:hAnsi="Times New Roman" w:cs="Times New Roman"/>
                <w:sz w:val="28"/>
                <w:szCs w:val="28"/>
                <w:lang w:eastAsia="lv-LV"/>
              </w:rPr>
              <w:t>,</w:t>
            </w:r>
            <w:r w:rsidRPr="005E2E4D">
              <w:rPr>
                <w:rFonts w:ascii="Times New Roman" w:eastAsia="Times New Roman" w:hAnsi="Times New Roman" w:cs="Times New Roman"/>
                <w:sz w:val="28"/>
                <w:szCs w:val="28"/>
                <w:lang w:eastAsia="lv-LV"/>
              </w:rPr>
              <w:t xml:space="preserve"> lai saskaņā ar likuma "Par pašvaldībām" 15. panta pirmo daļu to izmantotu pašvaldības autonomo funkciju īstenošanai.</w:t>
            </w:r>
          </w:p>
          <w:p w14:paraId="38F812FC" w14:textId="363CB7D7" w:rsidR="00042EA9" w:rsidRPr="00251334"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7045B8AE" w:rsidR="005E2E4D" w:rsidRPr="005E2E4D"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Publiskas personas mantas atsavināšanas likuma (turpmāk – Atsavināšanas likums) 42. panta pirmā daļa, 43.pants un likuma “Par pašvaldībām” 15.panta pirmās daļas 2.</w:t>
            </w:r>
            <w:r w:rsidR="00BE530B">
              <w:rPr>
                <w:rFonts w:ascii="Times New Roman" w:eastAsia="Times New Roman" w:hAnsi="Times New Roman" w:cs="Times New Roman"/>
                <w:sz w:val="28"/>
                <w:szCs w:val="28"/>
                <w:lang w:eastAsia="lv-LV"/>
              </w:rPr>
              <w:t>p</w:t>
            </w:r>
            <w:r w:rsidRPr="005E2E4D">
              <w:rPr>
                <w:rFonts w:ascii="Times New Roman" w:eastAsia="Times New Roman" w:hAnsi="Times New Roman" w:cs="Times New Roman"/>
                <w:sz w:val="28"/>
                <w:szCs w:val="28"/>
                <w:lang w:eastAsia="lv-LV"/>
              </w:rPr>
              <w:t>unkts.</w:t>
            </w:r>
          </w:p>
          <w:p w14:paraId="3B2E2F14" w14:textId="77777777" w:rsidR="00AE5D3E" w:rsidRDefault="00BE530B"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Jēkabpils</w:t>
            </w:r>
            <w:r w:rsidR="004C34D0">
              <w:rPr>
                <w:rFonts w:ascii="Times New Roman" w:eastAsia="Times New Roman" w:hAnsi="Times New Roman" w:cs="Times New Roman"/>
                <w:sz w:val="28"/>
                <w:szCs w:val="28"/>
                <w:lang w:eastAsia="lv-LV"/>
              </w:rPr>
              <w:t xml:space="preserve"> pilsētas </w:t>
            </w:r>
            <w:r w:rsidR="00FE4198">
              <w:rPr>
                <w:rFonts w:ascii="Times New Roman" w:eastAsia="Times New Roman" w:hAnsi="Times New Roman" w:cs="Times New Roman"/>
                <w:sz w:val="28"/>
                <w:szCs w:val="28"/>
                <w:lang w:eastAsia="lv-LV"/>
              </w:rPr>
              <w:t>pašvaldības</w:t>
            </w:r>
            <w:r w:rsidR="007D799F">
              <w:rPr>
                <w:rFonts w:ascii="Times New Roman" w:eastAsia="Times New Roman" w:hAnsi="Times New Roman" w:cs="Times New Roman"/>
                <w:sz w:val="28"/>
                <w:szCs w:val="28"/>
                <w:lang w:eastAsia="lv-LV"/>
              </w:rPr>
              <w:t xml:space="preserve"> 1</w:t>
            </w:r>
            <w:r w:rsidR="00EB7159">
              <w:rPr>
                <w:rFonts w:ascii="Times New Roman" w:eastAsia="Times New Roman" w:hAnsi="Times New Roman" w:cs="Times New Roman"/>
                <w:sz w:val="28"/>
                <w:szCs w:val="28"/>
                <w:lang w:eastAsia="lv-LV"/>
              </w:rPr>
              <w:t>7</w:t>
            </w:r>
            <w:r w:rsidR="007D799F">
              <w:rPr>
                <w:rFonts w:ascii="Times New Roman" w:eastAsia="Times New Roman" w:hAnsi="Times New Roman" w:cs="Times New Roman"/>
                <w:sz w:val="28"/>
                <w:szCs w:val="28"/>
                <w:lang w:eastAsia="lv-LV"/>
              </w:rPr>
              <w:t>.0</w:t>
            </w:r>
            <w:r w:rsidR="007C3F3E">
              <w:rPr>
                <w:rFonts w:ascii="Times New Roman" w:eastAsia="Times New Roman" w:hAnsi="Times New Roman" w:cs="Times New Roman"/>
                <w:sz w:val="28"/>
                <w:szCs w:val="28"/>
                <w:lang w:eastAsia="lv-LV"/>
              </w:rPr>
              <w:t>2</w:t>
            </w:r>
            <w:r w:rsidR="007D799F">
              <w:rPr>
                <w:rFonts w:ascii="Times New Roman" w:eastAsia="Times New Roman" w:hAnsi="Times New Roman" w:cs="Times New Roman"/>
                <w:sz w:val="28"/>
                <w:szCs w:val="28"/>
                <w:lang w:eastAsia="lv-LV"/>
              </w:rPr>
              <w:t>.20</w:t>
            </w:r>
            <w:r w:rsidR="00EB7159">
              <w:rPr>
                <w:rFonts w:ascii="Times New Roman" w:eastAsia="Times New Roman" w:hAnsi="Times New Roman" w:cs="Times New Roman"/>
                <w:sz w:val="28"/>
                <w:szCs w:val="28"/>
                <w:lang w:eastAsia="lv-LV"/>
              </w:rPr>
              <w:t>20</w:t>
            </w:r>
            <w:r w:rsidR="007D799F">
              <w:rPr>
                <w:rFonts w:ascii="Times New Roman" w:eastAsia="Times New Roman" w:hAnsi="Times New Roman" w:cs="Times New Roman"/>
                <w:sz w:val="28"/>
                <w:szCs w:val="28"/>
                <w:lang w:eastAsia="lv-LV"/>
              </w:rPr>
              <w:t>. vēstule Nr.</w:t>
            </w:r>
            <w:r w:rsidR="00D73616">
              <w:rPr>
                <w:rFonts w:ascii="Times New Roman" w:eastAsia="Times New Roman" w:hAnsi="Times New Roman" w:cs="Times New Roman"/>
                <w:sz w:val="28"/>
                <w:szCs w:val="28"/>
                <w:lang w:eastAsia="lv-LV"/>
              </w:rPr>
              <w:t>4.4.12/20/94</w:t>
            </w:r>
            <w:r w:rsidR="007D799F">
              <w:rPr>
                <w:rFonts w:ascii="Times New Roman" w:eastAsia="Times New Roman" w:hAnsi="Times New Roman" w:cs="Times New Roman"/>
                <w:sz w:val="28"/>
                <w:szCs w:val="28"/>
                <w:lang w:eastAsia="lv-LV"/>
              </w:rPr>
              <w:t xml:space="preserve"> </w:t>
            </w:r>
            <w:r w:rsidR="005E2E4D" w:rsidRPr="005E2E4D">
              <w:rPr>
                <w:rFonts w:ascii="Times New Roman" w:eastAsia="Times New Roman" w:hAnsi="Times New Roman" w:cs="Times New Roman"/>
                <w:sz w:val="28"/>
                <w:szCs w:val="28"/>
                <w:lang w:eastAsia="lv-LV"/>
              </w:rPr>
              <w:t xml:space="preserve"> „Par </w:t>
            </w:r>
            <w:r w:rsidR="007D799F">
              <w:rPr>
                <w:rFonts w:ascii="Times New Roman" w:eastAsia="Times New Roman" w:hAnsi="Times New Roman" w:cs="Times New Roman"/>
                <w:sz w:val="28"/>
                <w:szCs w:val="28"/>
                <w:lang w:eastAsia="lv-LV"/>
              </w:rPr>
              <w:t>nekustam</w:t>
            </w:r>
            <w:r w:rsidR="00D73616">
              <w:rPr>
                <w:rFonts w:ascii="Times New Roman" w:eastAsia="Times New Roman" w:hAnsi="Times New Roman" w:cs="Times New Roman"/>
                <w:sz w:val="28"/>
                <w:szCs w:val="28"/>
                <w:lang w:eastAsia="lv-LV"/>
              </w:rPr>
              <w:t>ajiem</w:t>
            </w:r>
            <w:r w:rsidR="007D799F">
              <w:rPr>
                <w:rFonts w:ascii="Times New Roman" w:eastAsia="Times New Roman" w:hAnsi="Times New Roman" w:cs="Times New Roman"/>
                <w:sz w:val="28"/>
                <w:szCs w:val="28"/>
                <w:lang w:eastAsia="lv-LV"/>
              </w:rPr>
              <w:t xml:space="preserve"> īpašum</w:t>
            </w:r>
            <w:r w:rsidR="00D73616">
              <w:rPr>
                <w:rFonts w:ascii="Times New Roman" w:eastAsia="Times New Roman" w:hAnsi="Times New Roman" w:cs="Times New Roman"/>
                <w:sz w:val="28"/>
                <w:szCs w:val="28"/>
                <w:lang w:eastAsia="lv-LV"/>
              </w:rPr>
              <w:t xml:space="preserve">iem </w:t>
            </w:r>
            <w:r w:rsidR="00563112">
              <w:rPr>
                <w:rFonts w:ascii="Times New Roman" w:eastAsia="Times New Roman" w:hAnsi="Times New Roman" w:cs="Times New Roman"/>
                <w:sz w:val="28"/>
                <w:szCs w:val="28"/>
                <w:lang w:eastAsia="lv-LV"/>
              </w:rPr>
              <w:t>Rīgas ielā 211B un Viestura ielā 44, Jēkabpilī”</w:t>
            </w:r>
            <w:r w:rsidR="00AE5D3E">
              <w:rPr>
                <w:rFonts w:ascii="Times New Roman" w:eastAsia="Times New Roman" w:hAnsi="Times New Roman" w:cs="Times New Roman"/>
                <w:sz w:val="28"/>
                <w:szCs w:val="28"/>
                <w:lang w:eastAsia="lv-LV"/>
              </w:rPr>
              <w:t>.</w:t>
            </w:r>
          </w:p>
          <w:p w14:paraId="38F81303" w14:textId="6776B59E" w:rsidR="00437D50" w:rsidRPr="00251334" w:rsidRDefault="00D63CA8"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Jēkabpils </w:t>
            </w:r>
            <w:r w:rsidR="00DB55A9">
              <w:rPr>
                <w:rFonts w:ascii="Times New Roman" w:eastAsia="Times New Roman" w:hAnsi="Times New Roman" w:cs="Times New Roman"/>
                <w:sz w:val="28"/>
                <w:szCs w:val="28"/>
                <w:lang w:eastAsia="lv-LV"/>
              </w:rPr>
              <w:t>pilsētas</w:t>
            </w:r>
            <w:r w:rsidR="00437D50">
              <w:rPr>
                <w:rFonts w:ascii="Times New Roman" w:eastAsia="Times New Roman" w:hAnsi="Times New Roman" w:cs="Times New Roman"/>
                <w:sz w:val="28"/>
                <w:szCs w:val="28"/>
                <w:lang w:eastAsia="lv-LV"/>
              </w:rPr>
              <w:t xml:space="preserve"> domes 20</w:t>
            </w:r>
            <w:r w:rsidR="00F838B5">
              <w:rPr>
                <w:rFonts w:ascii="Times New Roman" w:eastAsia="Times New Roman" w:hAnsi="Times New Roman" w:cs="Times New Roman"/>
                <w:sz w:val="28"/>
                <w:szCs w:val="28"/>
                <w:lang w:eastAsia="lv-LV"/>
              </w:rPr>
              <w:t>20</w:t>
            </w:r>
            <w:r w:rsidR="00437D50">
              <w:rPr>
                <w:rFonts w:ascii="Times New Roman" w:eastAsia="Times New Roman" w:hAnsi="Times New Roman" w:cs="Times New Roman"/>
                <w:sz w:val="28"/>
                <w:szCs w:val="28"/>
                <w:lang w:eastAsia="lv-LV"/>
              </w:rPr>
              <w:t xml:space="preserve">.gada </w:t>
            </w:r>
            <w:r w:rsidR="00F838B5">
              <w:rPr>
                <w:rFonts w:ascii="Times New Roman" w:eastAsia="Times New Roman" w:hAnsi="Times New Roman" w:cs="Times New Roman"/>
                <w:sz w:val="28"/>
                <w:szCs w:val="28"/>
                <w:lang w:eastAsia="lv-LV"/>
              </w:rPr>
              <w:t>1</w:t>
            </w:r>
            <w:r w:rsidR="003743A1">
              <w:rPr>
                <w:rFonts w:ascii="Times New Roman" w:eastAsia="Times New Roman" w:hAnsi="Times New Roman" w:cs="Times New Roman"/>
                <w:sz w:val="28"/>
                <w:szCs w:val="28"/>
                <w:lang w:eastAsia="lv-LV"/>
              </w:rPr>
              <w:t>3</w:t>
            </w:r>
            <w:r w:rsidR="00437D50">
              <w:rPr>
                <w:rFonts w:ascii="Times New Roman" w:eastAsia="Times New Roman" w:hAnsi="Times New Roman" w:cs="Times New Roman"/>
                <w:sz w:val="28"/>
                <w:szCs w:val="28"/>
                <w:lang w:eastAsia="lv-LV"/>
              </w:rPr>
              <w:t>.</w:t>
            </w:r>
            <w:r w:rsidR="00103549">
              <w:rPr>
                <w:rFonts w:ascii="Times New Roman" w:eastAsia="Times New Roman" w:hAnsi="Times New Roman" w:cs="Times New Roman"/>
                <w:sz w:val="28"/>
                <w:szCs w:val="28"/>
                <w:lang w:eastAsia="lv-LV"/>
              </w:rPr>
              <w:t>februāra</w:t>
            </w:r>
            <w:r w:rsidR="00437D50">
              <w:rPr>
                <w:rFonts w:ascii="Times New Roman" w:eastAsia="Times New Roman" w:hAnsi="Times New Roman" w:cs="Times New Roman"/>
                <w:sz w:val="28"/>
                <w:szCs w:val="28"/>
                <w:lang w:eastAsia="lv-LV"/>
              </w:rPr>
              <w:t xml:space="preserve"> lēmums </w:t>
            </w:r>
            <w:r w:rsidR="008E3817">
              <w:rPr>
                <w:rFonts w:ascii="Times New Roman" w:eastAsia="Times New Roman" w:hAnsi="Times New Roman" w:cs="Times New Roman"/>
                <w:sz w:val="28"/>
                <w:szCs w:val="28"/>
                <w:lang w:eastAsia="lv-LV"/>
              </w:rPr>
              <w:t xml:space="preserve">Nr.89 </w:t>
            </w:r>
            <w:r w:rsidR="00437D50">
              <w:rPr>
                <w:rFonts w:ascii="Times New Roman" w:eastAsia="Times New Roman" w:hAnsi="Times New Roman" w:cs="Times New Roman"/>
                <w:sz w:val="28"/>
                <w:szCs w:val="28"/>
                <w:lang w:eastAsia="lv-LV"/>
              </w:rPr>
              <w:t>“</w:t>
            </w:r>
            <w:r w:rsidR="00946476">
              <w:rPr>
                <w:rFonts w:ascii="Times New Roman" w:eastAsia="Times New Roman" w:hAnsi="Times New Roman" w:cs="Times New Roman"/>
                <w:sz w:val="28"/>
                <w:szCs w:val="28"/>
                <w:lang w:eastAsia="lv-LV"/>
              </w:rPr>
              <w:t>Par nekustamā īpašuma pār</w:t>
            </w:r>
            <w:r w:rsidR="00434CA9">
              <w:rPr>
                <w:rFonts w:ascii="Times New Roman" w:eastAsia="Times New Roman" w:hAnsi="Times New Roman" w:cs="Times New Roman"/>
                <w:sz w:val="28"/>
                <w:szCs w:val="28"/>
                <w:lang w:eastAsia="lv-LV"/>
              </w:rPr>
              <w:t xml:space="preserve">ņemšanu </w:t>
            </w:r>
            <w:r w:rsidR="000C214E">
              <w:rPr>
                <w:rFonts w:ascii="Times New Roman" w:eastAsia="Times New Roman" w:hAnsi="Times New Roman" w:cs="Times New Roman"/>
                <w:sz w:val="28"/>
                <w:szCs w:val="28"/>
                <w:lang w:eastAsia="lv-LV"/>
              </w:rPr>
              <w:t xml:space="preserve">īpašumā </w:t>
            </w:r>
            <w:r w:rsidR="00434CA9">
              <w:rPr>
                <w:rFonts w:ascii="Times New Roman" w:eastAsia="Times New Roman" w:hAnsi="Times New Roman" w:cs="Times New Roman"/>
                <w:sz w:val="28"/>
                <w:szCs w:val="28"/>
                <w:lang w:eastAsia="lv-LV"/>
              </w:rPr>
              <w:t>bez atlīdzības”</w:t>
            </w:r>
            <w:r w:rsidR="00437D50">
              <w:rPr>
                <w:rFonts w:ascii="Times New Roman" w:eastAsia="Times New Roman" w:hAnsi="Times New Roman" w:cs="Times New Roman"/>
                <w:sz w:val="28"/>
                <w:szCs w:val="28"/>
                <w:lang w:eastAsia="lv-LV"/>
              </w:rPr>
              <w:t xml:space="preserve">  (Prot.Nr.</w:t>
            </w:r>
            <w:r w:rsidR="00EC3A98">
              <w:rPr>
                <w:rFonts w:ascii="Times New Roman" w:eastAsia="Times New Roman" w:hAnsi="Times New Roman" w:cs="Times New Roman"/>
                <w:sz w:val="28"/>
                <w:szCs w:val="28"/>
                <w:lang w:eastAsia="lv-LV"/>
              </w:rPr>
              <w:t>4</w:t>
            </w:r>
            <w:r w:rsidR="00437D50">
              <w:rPr>
                <w:rFonts w:ascii="Times New Roman" w:eastAsia="Times New Roman" w:hAnsi="Times New Roman" w:cs="Times New Roman"/>
                <w:sz w:val="28"/>
                <w:szCs w:val="28"/>
                <w:lang w:eastAsia="lv-LV"/>
              </w:rPr>
              <w:t xml:space="preserve">, </w:t>
            </w:r>
            <w:r w:rsidR="00EC3A98">
              <w:rPr>
                <w:rFonts w:ascii="Times New Roman" w:eastAsia="Times New Roman" w:hAnsi="Times New Roman" w:cs="Times New Roman"/>
                <w:sz w:val="28"/>
                <w:szCs w:val="28"/>
                <w:lang w:eastAsia="lv-LV"/>
              </w:rPr>
              <w:t>35</w:t>
            </w:r>
            <w:r w:rsidR="00437D50">
              <w:rPr>
                <w:rFonts w:ascii="Times New Roman" w:eastAsia="Times New Roman" w:hAnsi="Times New Roman" w:cs="Times New Roman"/>
                <w:sz w:val="28"/>
                <w:szCs w:val="28"/>
                <w:lang w:eastAsia="lv-LV"/>
              </w:rPr>
              <w:t>.§).</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p w14:paraId="10FB1C09" w14:textId="77777777" w:rsidR="001529B6" w:rsidRPr="001529B6" w:rsidRDefault="001529B6" w:rsidP="001529B6">
            <w:pPr>
              <w:rPr>
                <w:rFonts w:ascii="Times New Roman" w:eastAsia="Times New Roman" w:hAnsi="Times New Roman" w:cs="Times New Roman"/>
                <w:sz w:val="28"/>
                <w:szCs w:val="28"/>
                <w:lang w:eastAsia="lv-LV"/>
              </w:rPr>
            </w:pPr>
          </w:p>
          <w:p w14:paraId="21A18BE8" w14:textId="77777777" w:rsidR="001529B6" w:rsidRPr="001529B6" w:rsidRDefault="001529B6" w:rsidP="001529B6">
            <w:pPr>
              <w:rPr>
                <w:rFonts w:ascii="Times New Roman" w:eastAsia="Times New Roman" w:hAnsi="Times New Roman" w:cs="Times New Roman"/>
                <w:sz w:val="28"/>
                <w:szCs w:val="28"/>
                <w:lang w:eastAsia="lv-LV"/>
              </w:rPr>
            </w:pPr>
          </w:p>
          <w:p w14:paraId="698CAADE" w14:textId="77777777" w:rsidR="001529B6" w:rsidRPr="001529B6" w:rsidRDefault="001529B6" w:rsidP="001529B6">
            <w:pPr>
              <w:rPr>
                <w:rFonts w:ascii="Times New Roman" w:eastAsia="Times New Roman" w:hAnsi="Times New Roman" w:cs="Times New Roman"/>
                <w:sz w:val="28"/>
                <w:szCs w:val="28"/>
                <w:lang w:eastAsia="lv-LV"/>
              </w:rPr>
            </w:pPr>
          </w:p>
          <w:p w14:paraId="660801E3" w14:textId="77777777" w:rsidR="001529B6" w:rsidRPr="001529B6" w:rsidRDefault="001529B6" w:rsidP="001529B6">
            <w:pPr>
              <w:rPr>
                <w:rFonts w:ascii="Times New Roman" w:eastAsia="Times New Roman" w:hAnsi="Times New Roman" w:cs="Times New Roman"/>
                <w:sz w:val="28"/>
                <w:szCs w:val="28"/>
                <w:lang w:eastAsia="lv-LV"/>
              </w:rPr>
            </w:pPr>
          </w:p>
          <w:p w14:paraId="34B9E9C4" w14:textId="77777777" w:rsidR="001529B6" w:rsidRPr="001529B6" w:rsidRDefault="001529B6" w:rsidP="001529B6">
            <w:pPr>
              <w:rPr>
                <w:rFonts w:ascii="Times New Roman" w:eastAsia="Times New Roman" w:hAnsi="Times New Roman" w:cs="Times New Roman"/>
                <w:sz w:val="28"/>
                <w:szCs w:val="28"/>
                <w:lang w:eastAsia="lv-LV"/>
              </w:rPr>
            </w:pPr>
          </w:p>
          <w:p w14:paraId="3BAFDF7B" w14:textId="77777777" w:rsidR="001529B6" w:rsidRPr="001529B6" w:rsidRDefault="001529B6" w:rsidP="001529B6">
            <w:pPr>
              <w:rPr>
                <w:rFonts w:ascii="Times New Roman" w:eastAsia="Times New Roman" w:hAnsi="Times New Roman" w:cs="Times New Roman"/>
                <w:sz w:val="28"/>
                <w:szCs w:val="28"/>
                <w:lang w:eastAsia="lv-LV"/>
              </w:rPr>
            </w:pPr>
          </w:p>
          <w:p w14:paraId="2CFBC6FA" w14:textId="77777777" w:rsidR="001529B6" w:rsidRPr="001529B6" w:rsidRDefault="001529B6" w:rsidP="001529B6">
            <w:pPr>
              <w:rPr>
                <w:rFonts w:ascii="Times New Roman" w:eastAsia="Times New Roman" w:hAnsi="Times New Roman" w:cs="Times New Roman"/>
                <w:sz w:val="28"/>
                <w:szCs w:val="28"/>
                <w:lang w:eastAsia="lv-LV"/>
              </w:rPr>
            </w:pPr>
          </w:p>
          <w:p w14:paraId="60B0F07F" w14:textId="77777777" w:rsidR="001529B6" w:rsidRPr="001529B6" w:rsidRDefault="001529B6" w:rsidP="001529B6">
            <w:pPr>
              <w:rPr>
                <w:rFonts w:ascii="Times New Roman" w:eastAsia="Times New Roman" w:hAnsi="Times New Roman" w:cs="Times New Roman"/>
                <w:sz w:val="28"/>
                <w:szCs w:val="28"/>
                <w:lang w:eastAsia="lv-LV"/>
              </w:rPr>
            </w:pPr>
          </w:p>
          <w:p w14:paraId="38F81305" w14:textId="520D3B83" w:rsidR="001529B6" w:rsidRPr="001529B6"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402391F1" w14:textId="1C13CC99" w:rsidR="00FB0124" w:rsidRDefault="00FB0124" w:rsidP="004455AF">
            <w:pPr>
              <w:pStyle w:val="BodyText"/>
              <w:spacing w:after="0"/>
              <w:ind w:right="113" w:firstLine="567"/>
              <w:jc w:val="both"/>
              <w:rPr>
                <w:sz w:val="28"/>
                <w:szCs w:val="28"/>
              </w:rPr>
            </w:pPr>
            <w:r w:rsidRPr="00FB0124">
              <w:rPr>
                <w:sz w:val="28"/>
                <w:szCs w:val="28"/>
              </w:rPr>
              <w:t>Pamatojoties uz Zemgales rajona tiesas 2018.gada 2</w:t>
            </w:r>
            <w:r w:rsidR="00357DC5">
              <w:rPr>
                <w:sz w:val="28"/>
                <w:szCs w:val="28"/>
              </w:rPr>
              <w:t>8</w:t>
            </w:r>
            <w:r w:rsidRPr="00FB0124">
              <w:rPr>
                <w:sz w:val="28"/>
                <w:szCs w:val="28"/>
              </w:rPr>
              <w:t>.novembra spriedumu lietā Nr.C73418618 un Ministru kabineta 2013.gada 26.novembra noteikum</w:t>
            </w:r>
            <w:r w:rsidR="00221408">
              <w:rPr>
                <w:sz w:val="28"/>
                <w:szCs w:val="28"/>
              </w:rPr>
              <w:t>u</w:t>
            </w:r>
            <w:r w:rsidRPr="00FB0124">
              <w:rPr>
                <w:sz w:val="28"/>
                <w:szCs w:val="28"/>
              </w:rPr>
              <w:t xml:space="preserve"> Nr.1354 “Kārtība, kādā veicama valstij piekritīgās mantas uzskaite, novērtēšana, realizācija, nodošana bez maksas, iznīcināšana un realizācijas ieņēmumu ieskaitīšana valsts budžetā”</w:t>
            </w:r>
            <w:r w:rsidR="00221408">
              <w:rPr>
                <w:sz w:val="28"/>
                <w:szCs w:val="28"/>
              </w:rPr>
              <w:t xml:space="preserve"> 32.3.apakšpunktu</w:t>
            </w:r>
            <w:r w:rsidRPr="00FB0124">
              <w:rPr>
                <w:sz w:val="28"/>
                <w:szCs w:val="28"/>
              </w:rPr>
              <w:t>, nekustamais īpašums</w:t>
            </w:r>
            <w:r w:rsidR="00B75838">
              <w:rPr>
                <w:sz w:val="28"/>
                <w:szCs w:val="28"/>
              </w:rPr>
              <w:t xml:space="preserve"> </w:t>
            </w:r>
            <w:r w:rsidR="00E12D16">
              <w:rPr>
                <w:sz w:val="28"/>
                <w:szCs w:val="28"/>
              </w:rPr>
              <w:t>(nekustamā īpašuma kadastra Nr.</w:t>
            </w:r>
            <w:r w:rsidR="00C53BD4">
              <w:rPr>
                <w:sz w:val="28"/>
                <w:szCs w:val="28"/>
              </w:rPr>
              <w:t>5601 001 3070)</w:t>
            </w:r>
            <w:r w:rsidR="00AE2399">
              <w:rPr>
                <w:sz w:val="28"/>
                <w:szCs w:val="28"/>
              </w:rPr>
              <w:t xml:space="preserve"> </w:t>
            </w:r>
            <w:r w:rsidR="002F0B76">
              <w:rPr>
                <w:sz w:val="28"/>
                <w:szCs w:val="28"/>
              </w:rPr>
              <w:t>Rīgas iel</w:t>
            </w:r>
            <w:r w:rsidR="00D45F42">
              <w:rPr>
                <w:sz w:val="28"/>
                <w:szCs w:val="28"/>
              </w:rPr>
              <w:t>ā 21</w:t>
            </w:r>
            <w:r w:rsidR="00174382">
              <w:rPr>
                <w:sz w:val="28"/>
                <w:szCs w:val="28"/>
              </w:rPr>
              <w:t>1</w:t>
            </w:r>
            <w:r w:rsidR="00D45F42">
              <w:rPr>
                <w:sz w:val="28"/>
                <w:szCs w:val="28"/>
              </w:rPr>
              <w:t>B, Jēkabpilī</w:t>
            </w:r>
            <w:r w:rsidRPr="00FB0124">
              <w:rPr>
                <w:sz w:val="28"/>
                <w:szCs w:val="28"/>
              </w:rPr>
              <w:t xml:space="preserve">, ar Valsts ieņēmumu dienesta 2019.gada 27.septembrī apstiprināto Valstij piekritīgā nekustamā īpašuma nodošanas un pieņemšanas aktu Nr.001602, nodots valsts īpašumā Finanšu ministrijas valdījumā un grāmatvedības uzskaitē un </w:t>
            </w:r>
            <w:r w:rsidR="00295618">
              <w:rPr>
                <w:sz w:val="28"/>
                <w:szCs w:val="28"/>
              </w:rPr>
              <w:t>valsts akciju sabiedrības “Valsts nekustamie īpašumi”</w:t>
            </w:r>
            <w:r w:rsidR="00EC0A19">
              <w:rPr>
                <w:sz w:val="28"/>
                <w:szCs w:val="28"/>
              </w:rPr>
              <w:t xml:space="preserve"> </w:t>
            </w:r>
            <w:r w:rsidR="00295618">
              <w:rPr>
                <w:sz w:val="28"/>
                <w:szCs w:val="28"/>
              </w:rPr>
              <w:t>(</w:t>
            </w:r>
            <w:r w:rsidR="00EC0A19">
              <w:rPr>
                <w:sz w:val="28"/>
                <w:szCs w:val="28"/>
              </w:rPr>
              <w:t xml:space="preserve">turpmāk – </w:t>
            </w:r>
            <w:r w:rsidRPr="00FB0124">
              <w:rPr>
                <w:sz w:val="28"/>
                <w:szCs w:val="28"/>
              </w:rPr>
              <w:t>VNĪ</w:t>
            </w:r>
            <w:r w:rsidR="00EC0A19">
              <w:rPr>
                <w:sz w:val="28"/>
                <w:szCs w:val="28"/>
              </w:rPr>
              <w:t>)</w:t>
            </w:r>
            <w:r w:rsidRPr="00FB0124">
              <w:rPr>
                <w:sz w:val="28"/>
                <w:szCs w:val="28"/>
              </w:rPr>
              <w:t xml:space="preserve"> pārvaldīšanā.</w:t>
            </w:r>
          </w:p>
          <w:p w14:paraId="0A66A582" w14:textId="77777777" w:rsidR="006855EF" w:rsidRDefault="00BE35FB" w:rsidP="004455AF">
            <w:pPr>
              <w:pStyle w:val="BodyText"/>
              <w:spacing w:after="0"/>
              <w:ind w:right="113" w:firstLine="567"/>
              <w:jc w:val="both"/>
              <w:rPr>
                <w:sz w:val="28"/>
                <w:szCs w:val="28"/>
              </w:rPr>
            </w:pPr>
            <w:r>
              <w:rPr>
                <w:sz w:val="28"/>
                <w:szCs w:val="28"/>
              </w:rPr>
              <w:t xml:space="preserve">VNĪ lietvedībā </w:t>
            </w:r>
            <w:r w:rsidR="00E36F81">
              <w:rPr>
                <w:sz w:val="28"/>
                <w:szCs w:val="28"/>
              </w:rPr>
              <w:t xml:space="preserve">iereģistrēta Jēkabpils pilsētas pašvaldības (turpmāk arī – Pašvaldība) 15.11.2019 vēstule </w:t>
            </w:r>
            <w:r w:rsidR="00E36F81">
              <w:rPr>
                <w:sz w:val="28"/>
                <w:szCs w:val="28"/>
              </w:rPr>
              <w:lastRenderedPageBreak/>
              <w:t>Nr.5.2.12/19/826 “Par nekustamiem īpašumiem” (turpmāk</w:t>
            </w:r>
            <w:r w:rsidR="000F3307">
              <w:rPr>
                <w:sz w:val="28"/>
                <w:szCs w:val="28"/>
              </w:rPr>
              <w:t>- vēstule)</w:t>
            </w:r>
            <w:r w:rsidR="00672826">
              <w:rPr>
                <w:sz w:val="28"/>
                <w:szCs w:val="28"/>
              </w:rPr>
              <w:t xml:space="preserve">, ar kuru </w:t>
            </w:r>
            <w:r w:rsidR="003B1EB9">
              <w:rPr>
                <w:sz w:val="28"/>
                <w:szCs w:val="28"/>
              </w:rPr>
              <w:t>Pašvaldība</w:t>
            </w:r>
            <w:r w:rsidR="00B71DE3">
              <w:rPr>
                <w:sz w:val="28"/>
                <w:szCs w:val="28"/>
              </w:rPr>
              <w:t xml:space="preserve"> lūdz </w:t>
            </w:r>
            <w:r w:rsidR="00B71DE3" w:rsidRPr="00B71DE3">
              <w:rPr>
                <w:sz w:val="28"/>
                <w:szCs w:val="28"/>
              </w:rPr>
              <w:t>kompensēt</w:t>
            </w:r>
            <w:r w:rsidR="00DB61C2">
              <w:rPr>
                <w:sz w:val="28"/>
                <w:szCs w:val="28"/>
              </w:rPr>
              <w:t xml:space="preserve"> </w:t>
            </w:r>
            <w:r w:rsidR="003B1EB9">
              <w:rPr>
                <w:sz w:val="28"/>
                <w:szCs w:val="28"/>
              </w:rPr>
              <w:t xml:space="preserve">tās </w:t>
            </w:r>
            <w:r w:rsidR="00DB61C2">
              <w:rPr>
                <w:sz w:val="28"/>
                <w:szCs w:val="28"/>
              </w:rPr>
              <w:t xml:space="preserve"> ieguldītos līdzekļus par </w:t>
            </w:r>
            <w:r w:rsidR="00B71DE3" w:rsidRPr="00B71DE3">
              <w:rPr>
                <w:sz w:val="28"/>
                <w:szCs w:val="28"/>
              </w:rPr>
              <w:t>valstij Finanšu ministrijas personā piederoš</w:t>
            </w:r>
            <w:r w:rsidR="0061074D">
              <w:rPr>
                <w:sz w:val="28"/>
                <w:szCs w:val="28"/>
              </w:rPr>
              <w:t>o</w:t>
            </w:r>
            <w:r w:rsidR="00DD1854">
              <w:rPr>
                <w:sz w:val="28"/>
                <w:szCs w:val="28"/>
              </w:rPr>
              <w:t xml:space="preserve"> </w:t>
            </w:r>
            <w:r w:rsidR="00B71DE3" w:rsidRPr="00B71DE3">
              <w:rPr>
                <w:sz w:val="28"/>
                <w:szCs w:val="28"/>
              </w:rPr>
              <w:t>būv</w:t>
            </w:r>
            <w:r w:rsidR="0061074D">
              <w:rPr>
                <w:sz w:val="28"/>
                <w:szCs w:val="28"/>
              </w:rPr>
              <w:t>ju</w:t>
            </w:r>
            <w:r w:rsidR="007B0C91">
              <w:rPr>
                <w:sz w:val="28"/>
                <w:szCs w:val="28"/>
              </w:rPr>
              <w:t>, tostarp, būves</w:t>
            </w:r>
            <w:r w:rsidR="00B71DE3" w:rsidRPr="00B71DE3">
              <w:rPr>
                <w:sz w:val="28"/>
                <w:szCs w:val="28"/>
              </w:rPr>
              <w:t xml:space="preserve"> Rīgas ielā 211B, Jēkabpilī</w:t>
            </w:r>
            <w:r w:rsidR="00F72472">
              <w:rPr>
                <w:sz w:val="28"/>
                <w:szCs w:val="28"/>
              </w:rPr>
              <w:t>,</w:t>
            </w:r>
            <w:r w:rsidR="00B71DE3" w:rsidRPr="00B71DE3">
              <w:rPr>
                <w:sz w:val="28"/>
                <w:szCs w:val="28"/>
              </w:rPr>
              <w:t xml:space="preserve"> nojaukšanu atbilstoši Jēkabpils pilsētas domes 2018.gada 22.novembra lēmumam Nr.498 “Par būves demontāžu”</w:t>
            </w:r>
            <w:r w:rsidR="00B8618C">
              <w:rPr>
                <w:sz w:val="28"/>
                <w:szCs w:val="28"/>
              </w:rPr>
              <w:t xml:space="preserve">, </w:t>
            </w:r>
            <w:r w:rsidR="006F3BA5">
              <w:rPr>
                <w:sz w:val="28"/>
                <w:szCs w:val="28"/>
              </w:rPr>
              <w:t>vai</w:t>
            </w:r>
            <w:r w:rsidR="006F7A5E">
              <w:rPr>
                <w:sz w:val="28"/>
                <w:szCs w:val="28"/>
              </w:rPr>
              <w:t xml:space="preserve"> gadījumā, ja </w:t>
            </w:r>
            <w:r w:rsidR="001D4D03">
              <w:rPr>
                <w:sz w:val="28"/>
                <w:szCs w:val="28"/>
              </w:rPr>
              <w:t xml:space="preserve">valstij </w:t>
            </w:r>
            <w:r w:rsidR="001D4D03" w:rsidRPr="001D4D03">
              <w:rPr>
                <w:sz w:val="28"/>
                <w:szCs w:val="28"/>
              </w:rPr>
              <w:t xml:space="preserve">Finanšu ministrijas personā nav iespējas pašvaldībai segt būvju demontāžas izdevumus pilnā apjomā, </w:t>
            </w:r>
            <w:r w:rsidR="0079615D">
              <w:rPr>
                <w:sz w:val="28"/>
                <w:szCs w:val="28"/>
              </w:rPr>
              <w:t xml:space="preserve">Pašvaldība </w:t>
            </w:r>
            <w:r w:rsidR="001D4D03" w:rsidRPr="001D4D03">
              <w:rPr>
                <w:sz w:val="28"/>
                <w:szCs w:val="28"/>
              </w:rPr>
              <w:t xml:space="preserve">lūdz nodot tai </w:t>
            </w:r>
            <w:r w:rsidR="001C3D99">
              <w:rPr>
                <w:sz w:val="28"/>
                <w:szCs w:val="28"/>
              </w:rPr>
              <w:t xml:space="preserve">minēto </w:t>
            </w:r>
            <w:r w:rsidR="001D4D03" w:rsidRPr="001D4D03">
              <w:rPr>
                <w:sz w:val="28"/>
                <w:szCs w:val="28"/>
              </w:rPr>
              <w:t xml:space="preserve">nekustamo īpašumu </w:t>
            </w:r>
            <w:r w:rsidR="005D334D">
              <w:rPr>
                <w:sz w:val="28"/>
                <w:szCs w:val="28"/>
              </w:rPr>
              <w:t xml:space="preserve">Pašvaldības </w:t>
            </w:r>
            <w:r w:rsidR="001D4D03" w:rsidRPr="001D4D03">
              <w:rPr>
                <w:sz w:val="28"/>
                <w:szCs w:val="28"/>
              </w:rPr>
              <w:t>īpašumā bez atlīdzības.</w:t>
            </w:r>
            <w:r w:rsidR="007708FA">
              <w:rPr>
                <w:sz w:val="28"/>
                <w:szCs w:val="28"/>
              </w:rPr>
              <w:t xml:space="preserve"> </w:t>
            </w:r>
          </w:p>
          <w:p w14:paraId="660A0ADF" w14:textId="2BAA6B18" w:rsidR="00B71DE3" w:rsidRDefault="00F450C6" w:rsidP="004455AF">
            <w:pPr>
              <w:pStyle w:val="BodyText"/>
              <w:spacing w:after="0"/>
              <w:ind w:right="113" w:firstLine="567"/>
              <w:jc w:val="both"/>
              <w:rPr>
                <w:sz w:val="28"/>
                <w:szCs w:val="28"/>
              </w:rPr>
            </w:pPr>
            <w:r>
              <w:rPr>
                <w:sz w:val="28"/>
                <w:szCs w:val="28"/>
              </w:rPr>
              <w:t>Saskaņā ar vēstulē sniegto informāciju</w:t>
            </w:r>
            <w:r w:rsidR="00313FCA">
              <w:rPr>
                <w:sz w:val="28"/>
                <w:szCs w:val="28"/>
              </w:rPr>
              <w:t xml:space="preserve"> un pievienotajiem dokumentiem</w:t>
            </w:r>
            <w:r>
              <w:rPr>
                <w:sz w:val="28"/>
                <w:szCs w:val="28"/>
              </w:rPr>
              <w:t xml:space="preserve"> i</w:t>
            </w:r>
            <w:r w:rsidR="00905C24" w:rsidRPr="00905C24">
              <w:rPr>
                <w:sz w:val="28"/>
                <w:szCs w:val="28"/>
              </w:rPr>
              <w:t>zdevumi par būves Rīgas ielā 211B, Jēkabpilī</w:t>
            </w:r>
            <w:r w:rsidR="00A4129E">
              <w:rPr>
                <w:sz w:val="28"/>
                <w:szCs w:val="28"/>
              </w:rPr>
              <w:t>,</w:t>
            </w:r>
            <w:r w:rsidR="00905C24" w:rsidRPr="00905C24">
              <w:rPr>
                <w:sz w:val="28"/>
                <w:szCs w:val="28"/>
              </w:rPr>
              <w:t xml:space="preserve"> demontāžu sastāda 26652,70 </w:t>
            </w:r>
            <w:r w:rsidR="00905C24" w:rsidRPr="00A4129E">
              <w:rPr>
                <w:i/>
                <w:iCs/>
                <w:sz w:val="28"/>
                <w:szCs w:val="28"/>
              </w:rPr>
              <w:t>euro</w:t>
            </w:r>
            <w:r w:rsidR="00A4129E">
              <w:rPr>
                <w:i/>
                <w:iCs/>
                <w:sz w:val="28"/>
                <w:szCs w:val="28"/>
              </w:rPr>
              <w:t xml:space="preserve"> </w:t>
            </w:r>
            <w:r w:rsidR="00A4129E" w:rsidRPr="00A4129E">
              <w:rPr>
                <w:sz w:val="28"/>
                <w:szCs w:val="28"/>
              </w:rPr>
              <w:t>(</w:t>
            </w:r>
            <w:r w:rsidR="00905C24" w:rsidRPr="00A4129E">
              <w:rPr>
                <w:sz w:val="28"/>
                <w:szCs w:val="28"/>
              </w:rPr>
              <w:t>ar</w:t>
            </w:r>
            <w:r w:rsidR="00905C24" w:rsidRPr="00905C24">
              <w:rPr>
                <w:sz w:val="28"/>
                <w:szCs w:val="28"/>
              </w:rPr>
              <w:t xml:space="preserve"> PVN 21%</w:t>
            </w:r>
            <w:r w:rsidR="00A4129E">
              <w:rPr>
                <w:sz w:val="28"/>
                <w:szCs w:val="28"/>
              </w:rPr>
              <w:t>).</w:t>
            </w:r>
            <w:r w:rsidR="00905C24" w:rsidRPr="00905C24">
              <w:rPr>
                <w:sz w:val="28"/>
                <w:szCs w:val="28"/>
              </w:rPr>
              <w:t xml:space="preserve"> </w:t>
            </w:r>
            <w:r w:rsidR="007708FA" w:rsidRPr="007708FA">
              <w:rPr>
                <w:sz w:val="28"/>
                <w:szCs w:val="28"/>
              </w:rPr>
              <w:t>Nekustamo īpašumu Rīgas ielā 211B, Jēkabpilī</w:t>
            </w:r>
            <w:r w:rsidR="007708FA">
              <w:rPr>
                <w:sz w:val="28"/>
                <w:szCs w:val="28"/>
              </w:rPr>
              <w:t>, Pašvaldība</w:t>
            </w:r>
            <w:r w:rsidR="007708FA" w:rsidRPr="007708FA">
              <w:rPr>
                <w:sz w:val="28"/>
                <w:szCs w:val="28"/>
              </w:rPr>
              <w:t xml:space="preserve"> lūdz nodot īpašumā bez atlīdzības saskaņā ar </w:t>
            </w:r>
            <w:r w:rsidR="007708FA">
              <w:rPr>
                <w:sz w:val="28"/>
                <w:szCs w:val="28"/>
              </w:rPr>
              <w:t>A</w:t>
            </w:r>
            <w:r w:rsidR="007708FA" w:rsidRPr="007708FA">
              <w:rPr>
                <w:sz w:val="28"/>
                <w:szCs w:val="28"/>
              </w:rPr>
              <w:t>tsavināšanas likuma 42</w:t>
            </w:r>
            <w:r w:rsidR="00D36331">
              <w:rPr>
                <w:sz w:val="28"/>
                <w:szCs w:val="28"/>
              </w:rPr>
              <w:t>.</w:t>
            </w:r>
            <w:r w:rsidR="007708FA" w:rsidRPr="007708FA">
              <w:rPr>
                <w:sz w:val="28"/>
                <w:szCs w:val="28"/>
              </w:rPr>
              <w:t xml:space="preserve"> pantu, likuma “Par pašvaldībām” 15.panta pirmās daļas </w:t>
            </w:r>
            <w:r w:rsidR="00431A31">
              <w:rPr>
                <w:sz w:val="28"/>
                <w:szCs w:val="28"/>
              </w:rPr>
              <w:t>2.</w:t>
            </w:r>
            <w:bookmarkStart w:id="0" w:name="_GoBack"/>
            <w:bookmarkEnd w:id="0"/>
            <w:r w:rsidR="007708FA" w:rsidRPr="007708FA">
              <w:rPr>
                <w:sz w:val="28"/>
                <w:szCs w:val="28"/>
              </w:rPr>
              <w:t>punktā minētās autonomās funkcijas veikšanai</w:t>
            </w:r>
            <w:r w:rsidR="005736BF">
              <w:rPr>
                <w:sz w:val="28"/>
                <w:szCs w:val="28"/>
              </w:rPr>
              <w:t xml:space="preserve"> -</w:t>
            </w:r>
            <w:r w:rsidR="007708FA" w:rsidRPr="007708FA">
              <w:rPr>
                <w:sz w:val="28"/>
                <w:szCs w:val="28"/>
              </w:rPr>
              <w:t xml:space="preserve"> gādāt par savas administratīvās teritorijas labiekārtošanu - parka, skvēra vai zaļās zonas ierīkošanai un uzturēšanai.</w:t>
            </w:r>
          </w:p>
          <w:p w14:paraId="5B3047F0" w14:textId="41505ED0" w:rsidR="0083796B" w:rsidRDefault="00024189" w:rsidP="00197FF2">
            <w:pPr>
              <w:pStyle w:val="BodyText"/>
              <w:spacing w:after="0"/>
              <w:ind w:right="116" w:firstLine="720"/>
              <w:jc w:val="both"/>
              <w:rPr>
                <w:sz w:val="28"/>
                <w:szCs w:val="28"/>
              </w:rPr>
            </w:pPr>
            <w:r>
              <w:rPr>
                <w:sz w:val="28"/>
                <w:szCs w:val="28"/>
              </w:rPr>
              <w:t>Pašvaldība vēstulē norādījusi, ka v</w:t>
            </w:r>
            <w:r w:rsidR="00333DFA" w:rsidRPr="00333DFA">
              <w:rPr>
                <w:sz w:val="28"/>
                <w:szCs w:val="28"/>
              </w:rPr>
              <w:t>airāku gadu garumā nekustamā īpašuma Rīgas ielā 211B, Jēkabpilī</w:t>
            </w:r>
            <w:r w:rsidR="00EB7DFD">
              <w:rPr>
                <w:sz w:val="28"/>
                <w:szCs w:val="28"/>
              </w:rPr>
              <w:t>,</w:t>
            </w:r>
            <w:r w:rsidR="00333DFA" w:rsidRPr="00333DFA">
              <w:rPr>
                <w:sz w:val="28"/>
                <w:szCs w:val="28"/>
              </w:rPr>
              <w:t xml:space="preserve"> sastāvā ietilpstošās būves – skolas stāvoklis neatbilda Būvniecības likuma 9.panta otrajā daļā noteiktajām būtiskajām prasībām attiecībā uz būvju lietošanas drošību, mehānisko stiprību un stabilitāti. Būve bija nonāku</w:t>
            </w:r>
            <w:r w:rsidR="00FC4104">
              <w:rPr>
                <w:sz w:val="28"/>
                <w:szCs w:val="28"/>
              </w:rPr>
              <w:t>si</w:t>
            </w:r>
            <w:r w:rsidR="00333DFA" w:rsidRPr="00333DFA">
              <w:rPr>
                <w:sz w:val="28"/>
                <w:szCs w:val="28"/>
              </w:rPr>
              <w:t xml:space="preserve"> tādā tehniskā stāvoklī, ka bija kļuvu</w:t>
            </w:r>
            <w:r w:rsidR="008331B9">
              <w:rPr>
                <w:sz w:val="28"/>
                <w:szCs w:val="28"/>
              </w:rPr>
              <w:t>si</w:t>
            </w:r>
            <w:r w:rsidR="00333DFA" w:rsidRPr="00333DFA">
              <w:rPr>
                <w:sz w:val="28"/>
                <w:szCs w:val="28"/>
              </w:rPr>
              <w:t xml:space="preserve"> bīstama, tā radīja sabiedriskās drošības un kārtības apdraudējumu un veicināja Jēkabpils pilsētvides degradāciju.</w:t>
            </w:r>
            <w:r w:rsidR="00EB7DFD">
              <w:rPr>
                <w:sz w:val="28"/>
                <w:szCs w:val="28"/>
              </w:rPr>
              <w:t xml:space="preserve"> Ievērojot minēto, ar</w:t>
            </w:r>
            <w:r w:rsidR="00E071D0" w:rsidRPr="00E071D0">
              <w:rPr>
                <w:sz w:val="28"/>
                <w:szCs w:val="28"/>
              </w:rPr>
              <w:t xml:space="preserve"> Jēkabpils pilsētas domes 2018.gada 22.novembra lēmumu Nr.498 “Par būves demontāžu” tika nolemts nojaukt būvi </w:t>
            </w:r>
            <w:r w:rsidR="00BA0130">
              <w:rPr>
                <w:sz w:val="28"/>
                <w:szCs w:val="28"/>
              </w:rPr>
              <w:t xml:space="preserve">(būves </w:t>
            </w:r>
            <w:r w:rsidR="00E071D0" w:rsidRPr="00E071D0">
              <w:rPr>
                <w:sz w:val="28"/>
                <w:szCs w:val="28"/>
              </w:rPr>
              <w:t>kadastra apzīmējums 5601 001 3070 001</w:t>
            </w:r>
            <w:r w:rsidR="00BA0130">
              <w:rPr>
                <w:sz w:val="28"/>
                <w:szCs w:val="28"/>
              </w:rPr>
              <w:t>)</w:t>
            </w:r>
            <w:r w:rsidR="00BA0130" w:rsidRPr="00E071D0">
              <w:rPr>
                <w:sz w:val="28"/>
                <w:szCs w:val="28"/>
              </w:rPr>
              <w:t xml:space="preserve"> Rīgas ielā 211B, Jēkabpilī, </w:t>
            </w:r>
            <w:r w:rsidR="00E071D0" w:rsidRPr="00E071D0">
              <w:rPr>
                <w:sz w:val="28"/>
                <w:szCs w:val="28"/>
              </w:rPr>
              <w:t xml:space="preserve"> tādā apjomā, lai neradītu bīstamību. </w:t>
            </w:r>
          </w:p>
          <w:p w14:paraId="090B8621" w14:textId="77777777" w:rsidR="001A5840" w:rsidRPr="006855EF" w:rsidRDefault="001A5840" w:rsidP="001A5840">
            <w:pPr>
              <w:pStyle w:val="BodyText"/>
              <w:spacing w:after="0"/>
              <w:ind w:right="113" w:firstLine="567"/>
              <w:jc w:val="both"/>
              <w:rPr>
                <w:sz w:val="28"/>
                <w:szCs w:val="28"/>
              </w:rPr>
            </w:pPr>
            <w:r>
              <w:rPr>
                <w:sz w:val="28"/>
                <w:szCs w:val="28"/>
              </w:rPr>
              <w:t xml:space="preserve">Atbilstoši vēstulē norādītajai informācijai </w:t>
            </w:r>
            <w:r w:rsidRPr="006855EF">
              <w:rPr>
                <w:sz w:val="28"/>
                <w:szCs w:val="28"/>
              </w:rPr>
              <w:t>Ministru kabineta 2014</w:t>
            </w:r>
            <w:r>
              <w:rPr>
                <w:sz w:val="28"/>
                <w:szCs w:val="28"/>
              </w:rPr>
              <w:t xml:space="preserve">.gada 19.augusta </w:t>
            </w:r>
            <w:r w:rsidRPr="006855EF">
              <w:rPr>
                <w:sz w:val="28"/>
                <w:szCs w:val="28"/>
              </w:rPr>
              <w:t>noteikumu Nr.500 “Vispārējie būvnoteikumi” 158.1.apakšpunktā noteikts, ka būve ir jāsakārto, jāveic tās konservācija vai jānojauc (atkarībā no konkrētiem apstākļiem), ja tās stāvoklis neatbilst Būvniecības likuma 9.panta otrajā daļā noteiktajām būtiskajām prasībām attiecībā uz būves lietošanas drošību, mehānisko stiprību un stabilitāti.</w:t>
            </w:r>
          </w:p>
          <w:p w14:paraId="1A2542FC" w14:textId="77777777" w:rsidR="001A5840" w:rsidRPr="006855EF" w:rsidRDefault="001A5840" w:rsidP="001A5840">
            <w:pPr>
              <w:pStyle w:val="BodyText"/>
              <w:spacing w:after="0"/>
              <w:ind w:right="113" w:firstLine="567"/>
              <w:jc w:val="both"/>
              <w:rPr>
                <w:sz w:val="28"/>
                <w:szCs w:val="28"/>
              </w:rPr>
            </w:pPr>
            <w:r w:rsidRPr="006855EF">
              <w:rPr>
                <w:sz w:val="28"/>
                <w:szCs w:val="28"/>
              </w:rPr>
              <w:t xml:space="preserve">Atbilstoši Būvniecības likuma 7.panta pirmās daļas 2.punktam pašvaldības kompetencē ir izskatīt jautājumus par pilnīgi vai daļēji sagruvušu, bīstamu vai ainavu bojājošu </w:t>
            </w:r>
            <w:r w:rsidRPr="006855EF">
              <w:rPr>
                <w:sz w:val="28"/>
                <w:szCs w:val="28"/>
              </w:rPr>
              <w:lastRenderedPageBreak/>
              <w:t>būvju sakārtošanu vai nojaukšanu. Tāpat atbilstoši likuma “Par pašvaldībām” 7.panta otrajā daļā un 15.panta pirmās daļas 14.punktā noteiktajam, būvniecības procesa tiesiskuma nodrošināšana pašvaldības administratīvajā teritorijā ir pašvaldības autonomā funkcija, tā šajā jomā darbojas patstāvīgi un pati par to ir atbildīga.</w:t>
            </w:r>
            <w:r>
              <w:rPr>
                <w:sz w:val="28"/>
                <w:szCs w:val="28"/>
              </w:rPr>
              <w:t xml:space="preserve"> </w:t>
            </w:r>
            <w:r w:rsidRPr="00947035">
              <w:rPr>
                <w:sz w:val="28"/>
                <w:szCs w:val="28"/>
              </w:rPr>
              <w:t>Civillikuma 1084.panta trešajā daļā noteikts, ka gadījumos, ja būves īpašnieks vai valdītājs, pretēji varas apdraudējumam, nenovērš draudošās briesmas, tad attiecīgajai iestādei, raugoties pēc apstākļiem, būve jāsaved kārtībā vai arī pavisam jānojauc uz īpašnieka rēķina.</w:t>
            </w:r>
          </w:p>
          <w:p w14:paraId="5269D804" w14:textId="19C11C26" w:rsidR="00745D60" w:rsidRDefault="00745D60" w:rsidP="00197FF2">
            <w:pPr>
              <w:pStyle w:val="BodyText"/>
              <w:spacing w:after="0"/>
              <w:ind w:right="116" w:firstLine="720"/>
              <w:jc w:val="both"/>
              <w:rPr>
                <w:sz w:val="28"/>
                <w:szCs w:val="28"/>
              </w:rPr>
            </w:pPr>
            <w:r w:rsidRPr="00745D60">
              <w:rPr>
                <w:sz w:val="28"/>
                <w:szCs w:val="28"/>
              </w:rPr>
              <w:t>Saskaņā ar Jēkabpils pilsētas būvvaldes 2019.gada 6.novembra Izziņu par būves neesību Nr. BIS-BV-23.1-2019-1527(24-10.06) nekustamais īpašums Rīgas ielā 211B, Jēkabpilī</w:t>
            </w:r>
            <w:r w:rsidR="00A67CA7">
              <w:rPr>
                <w:sz w:val="28"/>
                <w:szCs w:val="28"/>
              </w:rPr>
              <w:t xml:space="preserve"> (nekustamā īpašuma</w:t>
            </w:r>
            <w:r w:rsidRPr="00745D60">
              <w:rPr>
                <w:sz w:val="28"/>
                <w:szCs w:val="28"/>
              </w:rPr>
              <w:t xml:space="preserve"> kadastra numurs 5601 001 3070</w:t>
            </w:r>
            <w:r w:rsidR="00A67CA7">
              <w:rPr>
                <w:sz w:val="28"/>
                <w:szCs w:val="28"/>
              </w:rPr>
              <w:t>)</w:t>
            </w:r>
            <w:r w:rsidRPr="00745D60">
              <w:rPr>
                <w:sz w:val="28"/>
                <w:szCs w:val="28"/>
              </w:rPr>
              <w:t xml:space="preserve"> pēc būves </w:t>
            </w:r>
            <w:r w:rsidR="009F4B9B">
              <w:rPr>
                <w:sz w:val="28"/>
                <w:szCs w:val="28"/>
              </w:rPr>
              <w:t xml:space="preserve">(būves kadastra apzīmējums </w:t>
            </w:r>
            <w:r w:rsidR="00E75430">
              <w:rPr>
                <w:sz w:val="28"/>
                <w:szCs w:val="28"/>
              </w:rPr>
              <w:t xml:space="preserve">5601 </w:t>
            </w:r>
            <w:r w:rsidR="00AE1B91">
              <w:rPr>
                <w:sz w:val="28"/>
                <w:szCs w:val="28"/>
              </w:rPr>
              <w:t>001</w:t>
            </w:r>
            <w:r w:rsidR="00260C5F">
              <w:rPr>
                <w:sz w:val="28"/>
                <w:szCs w:val="28"/>
              </w:rPr>
              <w:t xml:space="preserve"> 3018 001) </w:t>
            </w:r>
            <w:r w:rsidRPr="00745D60">
              <w:rPr>
                <w:sz w:val="28"/>
                <w:szCs w:val="28"/>
              </w:rPr>
              <w:t>nojaukšanas sastāv no zemes vienības ar kadastra apzīmējumu 5601 001 3070.</w:t>
            </w:r>
          </w:p>
          <w:p w14:paraId="795B272D" w14:textId="75DE50CF" w:rsidR="0048191B" w:rsidRDefault="006D2DCA" w:rsidP="00197FF2">
            <w:pPr>
              <w:pStyle w:val="BodyText"/>
              <w:spacing w:after="0"/>
              <w:ind w:right="116" w:firstLine="720"/>
              <w:jc w:val="both"/>
              <w:rPr>
                <w:sz w:val="28"/>
                <w:szCs w:val="28"/>
              </w:rPr>
            </w:pPr>
            <w:r>
              <w:rPr>
                <w:sz w:val="28"/>
                <w:szCs w:val="28"/>
              </w:rPr>
              <w:t>Ievērojot minēto,</w:t>
            </w:r>
            <w:r w:rsidR="00BC7687">
              <w:rPr>
                <w:sz w:val="28"/>
                <w:szCs w:val="28"/>
              </w:rPr>
              <w:t xml:space="preserve"> </w:t>
            </w:r>
            <w:r w:rsidR="002F6922">
              <w:rPr>
                <w:sz w:val="28"/>
                <w:szCs w:val="28"/>
              </w:rPr>
              <w:t xml:space="preserve">12.12.2019. pieņemts </w:t>
            </w:r>
            <w:r>
              <w:rPr>
                <w:sz w:val="28"/>
                <w:szCs w:val="28"/>
              </w:rPr>
              <w:t xml:space="preserve">VNĪ Īpašumu izvērtēšanas </w:t>
            </w:r>
            <w:r w:rsidR="00BC7687">
              <w:rPr>
                <w:sz w:val="28"/>
                <w:szCs w:val="28"/>
              </w:rPr>
              <w:t>komisija</w:t>
            </w:r>
            <w:r w:rsidR="002F6922">
              <w:rPr>
                <w:sz w:val="28"/>
                <w:szCs w:val="28"/>
              </w:rPr>
              <w:t>s lēmums (Prot.</w:t>
            </w:r>
            <w:r w:rsidR="00024B32">
              <w:rPr>
                <w:sz w:val="28"/>
                <w:szCs w:val="28"/>
              </w:rPr>
              <w:t> </w:t>
            </w:r>
            <w:r w:rsidR="002F6922">
              <w:rPr>
                <w:sz w:val="28"/>
                <w:szCs w:val="28"/>
              </w:rPr>
              <w:t>Nr.</w:t>
            </w:r>
            <w:r w:rsidR="00024B32">
              <w:rPr>
                <w:sz w:val="28"/>
                <w:szCs w:val="28"/>
              </w:rPr>
              <w:t> </w:t>
            </w:r>
            <w:r w:rsidR="002F6922">
              <w:rPr>
                <w:sz w:val="28"/>
                <w:szCs w:val="28"/>
              </w:rPr>
              <w:t xml:space="preserve">IZKP </w:t>
            </w:r>
            <w:r w:rsidR="00114B78">
              <w:rPr>
                <w:sz w:val="28"/>
                <w:szCs w:val="28"/>
              </w:rPr>
              <w:t>19</w:t>
            </w:r>
            <w:r w:rsidR="00024B32">
              <w:rPr>
                <w:sz w:val="28"/>
                <w:szCs w:val="28"/>
              </w:rPr>
              <w:t>/</w:t>
            </w:r>
            <w:r w:rsidR="00114B78">
              <w:rPr>
                <w:sz w:val="28"/>
                <w:szCs w:val="28"/>
              </w:rPr>
              <w:t>53, 2.1.apak</w:t>
            </w:r>
            <w:r w:rsidR="00024B32">
              <w:rPr>
                <w:sz w:val="28"/>
                <w:szCs w:val="28"/>
              </w:rPr>
              <w:t>š</w:t>
            </w:r>
            <w:r w:rsidR="00114B78">
              <w:rPr>
                <w:sz w:val="28"/>
                <w:szCs w:val="28"/>
              </w:rPr>
              <w:t>punkts)</w:t>
            </w:r>
            <w:r w:rsidR="00BC7687">
              <w:rPr>
                <w:sz w:val="28"/>
                <w:szCs w:val="28"/>
              </w:rPr>
              <w:t xml:space="preserve"> </w:t>
            </w:r>
            <w:r w:rsidR="00114B78">
              <w:rPr>
                <w:sz w:val="28"/>
                <w:szCs w:val="28"/>
              </w:rPr>
              <w:t>k</w:t>
            </w:r>
            <w:r w:rsidR="00511187" w:rsidRPr="00511187">
              <w:rPr>
                <w:sz w:val="28"/>
                <w:szCs w:val="28"/>
              </w:rPr>
              <w:t>onceptuāli atbalstīt nekustamā īpašuma (kadastra Nr.5601 001 3070) Rīgas ielā 211B, Jēkabpilī, nodošanu bez atlīdzības Jēkabpils pilsētas pašvaldības īpašumā pašvaldības lēmumā noteiktas pašvaldības autonomās funkcijas īstenošanai un divu mēnešu laikā pēc attiecīga pašvaldības lēmuma saņemšanas noteiktā kārtībā sagatavot un virzīt izskatīšanai attiecīgu Ministru kabineta rīkojuma projektu.</w:t>
            </w:r>
          </w:p>
          <w:p w14:paraId="738098E4" w14:textId="65756AEA" w:rsidR="00CF47D3" w:rsidRPr="002D697B" w:rsidRDefault="005A705A" w:rsidP="00CF47D3">
            <w:pPr>
              <w:pStyle w:val="BodyText"/>
              <w:spacing w:after="0"/>
              <w:ind w:right="113" w:firstLine="720"/>
              <w:jc w:val="both"/>
              <w:rPr>
                <w:sz w:val="28"/>
                <w:szCs w:val="28"/>
              </w:rPr>
            </w:pPr>
            <w:r>
              <w:rPr>
                <w:sz w:val="28"/>
                <w:szCs w:val="28"/>
              </w:rPr>
              <w:t xml:space="preserve">Īpašuma tiesības uz </w:t>
            </w:r>
            <w:r w:rsidRPr="00CC26F3">
              <w:rPr>
                <w:b/>
                <w:bCs/>
                <w:sz w:val="28"/>
                <w:szCs w:val="28"/>
              </w:rPr>
              <w:t>nekustamo īpašumu</w:t>
            </w:r>
            <w:r>
              <w:rPr>
                <w:sz w:val="28"/>
                <w:szCs w:val="28"/>
              </w:rPr>
              <w:t xml:space="preserve"> </w:t>
            </w:r>
            <w:r w:rsidR="005E7E8C" w:rsidRPr="005E7E8C">
              <w:rPr>
                <w:sz w:val="28"/>
                <w:szCs w:val="28"/>
              </w:rPr>
              <w:t>(nekustamā īpašuma kadastra Nr.5601 001 3070)</w:t>
            </w:r>
            <w:r w:rsidR="005E7E8C">
              <w:rPr>
                <w:sz w:val="28"/>
                <w:szCs w:val="28"/>
              </w:rPr>
              <w:t xml:space="preserve"> </w:t>
            </w:r>
            <w:r w:rsidR="005E7E8C" w:rsidRPr="00CC26F3">
              <w:rPr>
                <w:b/>
                <w:bCs/>
                <w:sz w:val="28"/>
                <w:szCs w:val="28"/>
              </w:rPr>
              <w:t>Rīgas ielā 211B, Jēkabpilī,</w:t>
            </w:r>
            <w:r w:rsidR="005E7E8C">
              <w:rPr>
                <w:sz w:val="28"/>
                <w:szCs w:val="28"/>
              </w:rPr>
              <w:t xml:space="preserve"> nostiprinātas </w:t>
            </w:r>
            <w:r>
              <w:rPr>
                <w:sz w:val="28"/>
                <w:szCs w:val="28"/>
              </w:rPr>
              <w:t>Jēkabpils pilsētas zemesgrāmatas nodalījumā Nr.100000146049</w:t>
            </w:r>
            <w:r w:rsidR="005E7E8C">
              <w:rPr>
                <w:sz w:val="28"/>
                <w:szCs w:val="28"/>
              </w:rPr>
              <w:t xml:space="preserve"> uz Latvijas valsts vārda Finanšu ministrijas personā</w:t>
            </w:r>
            <w:r w:rsidR="001B5046">
              <w:rPr>
                <w:sz w:val="28"/>
                <w:szCs w:val="28"/>
              </w:rPr>
              <w:t>, lēmuma datums:</w:t>
            </w:r>
            <w:r>
              <w:rPr>
                <w:sz w:val="28"/>
                <w:szCs w:val="28"/>
              </w:rPr>
              <w:t xml:space="preserve"> 03.02.2020.</w:t>
            </w:r>
            <w:r w:rsidR="007E59D3">
              <w:rPr>
                <w:sz w:val="28"/>
                <w:szCs w:val="28"/>
              </w:rPr>
              <w:t xml:space="preserve"> </w:t>
            </w:r>
            <w:r w:rsidR="00DE614D">
              <w:rPr>
                <w:sz w:val="28"/>
                <w:szCs w:val="28"/>
              </w:rPr>
              <w:t xml:space="preserve">Saskaņā ar </w:t>
            </w:r>
            <w:r w:rsidR="00661A11" w:rsidRPr="002D697B">
              <w:rPr>
                <w:sz w:val="28"/>
                <w:szCs w:val="28"/>
              </w:rPr>
              <w:t xml:space="preserve">zemesgrāmatas </w:t>
            </w:r>
            <w:r w:rsidR="00DE614D">
              <w:rPr>
                <w:sz w:val="28"/>
                <w:szCs w:val="28"/>
              </w:rPr>
              <w:t xml:space="preserve">ierakstiem </w:t>
            </w:r>
            <w:r w:rsidR="002D697B">
              <w:rPr>
                <w:sz w:val="28"/>
                <w:szCs w:val="28"/>
              </w:rPr>
              <w:t>n</w:t>
            </w:r>
            <w:r w:rsidR="00CF47D3" w:rsidRPr="002D697B">
              <w:rPr>
                <w:sz w:val="28"/>
                <w:szCs w:val="28"/>
              </w:rPr>
              <w:t xml:space="preserve">ekustamais īpašums </w:t>
            </w:r>
            <w:r w:rsidR="00661A11" w:rsidRPr="002D697B">
              <w:rPr>
                <w:sz w:val="28"/>
                <w:szCs w:val="28"/>
              </w:rPr>
              <w:t xml:space="preserve">Rīgas ielā 211B, Jēkabpilī, </w:t>
            </w:r>
            <w:r w:rsidR="00CF47D3" w:rsidRPr="002D697B">
              <w:rPr>
                <w:sz w:val="28"/>
                <w:szCs w:val="28"/>
              </w:rPr>
              <w:t>sastāv no zemes vienības (zemes vienības kadastra apzīmējums 5601 001 3070)</w:t>
            </w:r>
            <w:r w:rsidR="002D697B" w:rsidRPr="002D697B">
              <w:rPr>
                <w:sz w:val="28"/>
                <w:szCs w:val="28"/>
              </w:rPr>
              <w:t xml:space="preserve"> 5493 m</w:t>
            </w:r>
            <w:r w:rsidR="002D697B" w:rsidRPr="002D697B">
              <w:rPr>
                <w:sz w:val="28"/>
                <w:szCs w:val="28"/>
                <w:vertAlign w:val="superscript"/>
              </w:rPr>
              <w:t>2</w:t>
            </w:r>
            <w:r w:rsidR="002D697B" w:rsidRPr="002D697B">
              <w:rPr>
                <w:sz w:val="28"/>
                <w:szCs w:val="28"/>
              </w:rPr>
              <w:t xml:space="preserve"> platībā</w:t>
            </w:r>
            <w:r w:rsidR="00B451D9">
              <w:rPr>
                <w:sz w:val="28"/>
                <w:szCs w:val="28"/>
              </w:rPr>
              <w:t xml:space="preserve"> (b</w:t>
            </w:r>
            <w:r w:rsidR="00CF47D3" w:rsidRPr="002D697B">
              <w:rPr>
                <w:sz w:val="28"/>
                <w:szCs w:val="28"/>
              </w:rPr>
              <w:t>ūve (būves kadastra apzīmējums 5601 001 3018 001)</w:t>
            </w:r>
            <w:r w:rsidR="002D697B">
              <w:rPr>
                <w:sz w:val="28"/>
                <w:szCs w:val="28"/>
              </w:rPr>
              <w:t xml:space="preserve"> dzēsta no zemesgrāmatas</w:t>
            </w:r>
            <w:r w:rsidR="00B451D9">
              <w:rPr>
                <w:sz w:val="28"/>
                <w:szCs w:val="28"/>
              </w:rPr>
              <w:t xml:space="preserve"> ar </w:t>
            </w:r>
            <w:r w:rsidR="00CD50A2">
              <w:rPr>
                <w:sz w:val="28"/>
                <w:szCs w:val="28"/>
              </w:rPr>
              <w:t>06.05.2020. tiesneša lēmumu)</w:t>
            </w:r>
            <w:r w:rsidR="00CF47D3" w:rsidRPr="002D697B">
              <w:rPr>
                <w:sz w:val="28"/>
                <w:szCs w:val="28"/>
              </w:rPr>
              <w:t>.</w:t>
            </w:r>
          </w:p>
          <w:p w14:paraId="2DA56566" w14:textId="6509616B" w:rsidR="00051E13" w:rsidRDefault="000C227A" w:rsidP="004F34E8">
            <w:pPr>
              <w:pStyle w:val="BodyText"/>
              <w:spacing w:after="0"/>
              <w:ind w:right="116" w:firstLine="720"/>
              <w:jc w:val="both"/>
              <w:rPr>
                <w:sz w:val="28"/>
                <w:szCs w:val="28"/>
              </w:rPr>
            </w:pPr>
            <w:r>
              <w:rPr>
                <w:sz w:val="28"/>
                <w:szCs w:val="28"/>
              </w:rPr>
              <w:t xml:space="preserve">Atbilstoši </w:t>
            </w:r>
            <w:r w:rsidR="005235DC">
              <w:rPr>
                <w:sz w:val="28"/>
                <w:szCs w:val="28"/>
              </w:rPr>
              <w:t xml:space="preserve">Nekustamā īpašuma valsts kadastra informācijas sistēmas datiem (turpmāk – </w:t>
            </w:r>
            <w:r>
              <w:rPr>
                <w:sz w:val="28"/>
                <w:szCs w:val="28"/>
              </w:rPr>
              <w:t>NĪVKIS</w:t>
            </w:r>
            <w:r w:rsidR="005235DC">
              <w:rPr>
                <w:sz w:val="28"/>
                <w:szCs w:val="28"/>
              </w:rPr>
              <w:t xml:space="preserve">) </w:t>
            </w:r>
            <w:r>
              <w:rPr>
                <w:sz w:val="28"/>
                <w:szCs w:val="28"/>
              </w:rPr>
              <w:t>z</w:t>
            </w:r>
            <w:r w:rsidR="00051E13">
              <w:rPr>
                <w:sz w:val="28"/>
                <w:szCs w:val="28"/>
              </w:rPr>
              <w:t xml:space="preserve">emes vienības </w:t>
            </w:r>
            <w:r w:rsidR="00A87D55">
              <w:rPr>
                <w:sz w:val="28"/>
                <w:szCs w:val="28"/>
              </w:rPr>
              <w:t>lietošanas mērķis</w:t>
            </w:r>
            <w:r w:rsidR="001B263A">
              <w:rPr>
                <w:sz w:val="28"/>
                <w:szCs w:val="28"/>
              </w:rPr>
              <w:t xml:space="preserve">: 0501 – </w:t>
            </w:r>
            <w:r w:rsidR="007B0C41">
              <w:rPr>
                <w:sz w:val="28"/>
                <w:szCs w:val="28"/>
              </w:rPr>
              <w:t>d</w:t>
            </w:r>
            <w:r w:rsidR="001B263A">
              <w:rPr>
                <w:sz w:val="28"/>
                <w:szCs w:val="28"/>
              </w:rPr>
              <w:t>abas pamatnes, parki, zaļās zonas un citas rekreācijas nozīmes objektu teritorijas</w:t>
            </w:r>
            <w:r w:rsidR="007C42F6">
              <w:rPr>
                <w:sz w:val="28"/>
                <w:szCs w:val="28"/>
              </w:rPr>
              <w:t xml:space="preserve">, ja tajās atļautā saimnieciskā darbība nav pieskaitāma pie </w:t>
            </w:r>
            <w:r w:rsidR="007C42F6">
              <w:rPr>
                <w:sz w:val="28"/>
                <w:szCs w:val="28"/>
              </w:rPr>
              <w:lastRenderedPageBreak/>
              <w:t>kāda</w:t>
            </w:r>
            <w:r w:rsidR="0092521D">
              <w:rPr>
                <w:sz w:val="28"/>
                <w:szCs w:val="28"/>
              </w:rPr>
              <w:t xml:space="preserve"> cita klasifikācijā norādīt</w:t>
            </w:r>
            <w:r>
              <w:rPr>
                <w:sz w:val="28"/>
                <w:szCs w:val="28"/>
              </w:rPr>
              <w:t>a lietošanas mērķa, 0,5493 ha platībā.</w:t>
            </w:r>
            <w:r w:rsidR="008916CC">
              <w:rPr>
                <w:sz w:val="28"/>
                <w:szCs w:val="28"/>
              </w:rPr>
              <w:t xml:space="preserve"> Zem</w:t>
            </w:r>
            <w:r w:rsidR="00A403D0">
              <w:rPr>
                <w:sz w:val="28"/>
                <w:szCs w:val="28"/>
              </w:rPr>
              <w:t>e</w:t>
            </w:r>
            <w:r w:rsidR="008916CC">
              <w:rPr>
                <w:sz w:val="28"/>
                <w:szCs w:val="28"/>
              </w:rPr>
              <w:t xml:space="preserve">s vienības </w:t>
            </w:r>
            <w:r w:rsidR="00B662D8">
              <w:rPr>
                <w:sz w:val="28"/>
                <w:szCs w:val="28"/>
              </w:rPr>
              <w:t xml:space="preserve">platības </w:t>
            </w:r>
            <w:r w:rsidR="008916CC">
              <w:rPr>
                <w:sz w:val="28"/>
                <w:szCs w:val="28"/>
              </w:rPr>
              <w:t>sadalījums pa</w:t>
            </w:r>
            <w:r w:rsidR="005A773E">
              <w:rPr>
                <w:sz w:val="28"/>
                <w:szCs w:val="28"/>
              </w:rPr>
              <w:t xml:space="preserve"> </w:t>
            </w:r>
            <w:r w:rsidR="009A572C">
              <w:rPr>
                <w:sz w:val="28"/>
                <w:szCs w:val="28"/>
              </w:rPr>
              <w:t xml:space="preserve">lietošanas veidiem: </w:t>
            </w:r>
            <w:r w:rsidR="000A708B">
              <w:rPr>
                <w:sz w:val="28"/>
                <w:szCs w:val="28"/>
              </w:rPr>
              <w:t xml:space="preserve">zemes zem ēkām platība, </w:t>
            </w:r>
            <w:r w:rsidR="007B0C41">
              <w:rPr>
                <w:sz w:val="28"/>
                <w:szCs w:val="28"/>
              </w:rPr>
              <w:t>0,5493 ha platībā.</w:t>
            </w:r>
            <w:r w:rsidR="008916CC">
              <w:rPr>
                <w:sz w:val="28"/>
                <w:szCs w:val="28"/>
              </w:rPr>
              <w:t xml:space="preserve"> </w:t>
            </w:r>
          </w:p>
          <w:p w14:paraId="75C1BE63" w14:textId="40F9C69B" w:rsidR="0038231A" w:rsidRDefault="004F34E8" w:rsidP="004F34E8">
            <w:pPr>
              <w:pStyle w:val="BodyText"/>
              <w:spacing w:after="0"/>
              <w:ind w:right="116" w:firstLine="720"/>
              <w:jc w:val="both"/>
              <w:rPr>
                <w:sz w:val="28"/>
                <w:szCs w:val="28"/>
              </w:rPr>
            </w:pPr>
            <w:r>
              <w:rPr>
                <w:sz w:val="28"/>
                <w:szCs w:val="28"/>
              </w:rPr>
              <w:t>N</w:t>
            </w:r>
            <w:r w:rsidRPr="00241D5D">
              <w:rPr>
                <w:sz w:val="28"/>
                <w:szCs w:val="28"/>
              </w:rPr>
              <w:t xml:space="preserve">ekustamajam īpašumam </w:t>
            </w:r>
            <w:r w:rsidR="0038231A">
              <w:rPr>
                <w:sz w:val="28"/>
                <w:szCs w:val="28"/>
              </w:rPr>
              <w:t xml:space="preserve">NĪVKIS </w:t>
            </w:r>
            <w:r w:rsidRPr="00241D5D">
              <w:rPr>
                <w:sz w:val="28"/>
                <w:szCs w:val="28"/>
              </w:rPr>
              <w:t>reģistrēt</w:t>
            </w:r>
            <w:r>
              <w:rPr>
                <w:sz w:val="28"/>
                <w:szCs w:val="28"/>
              </w:rPr>
              <w:t>s</w:t>
            </w:r>
            <w:r w:rsidRPr="00241D5D">
              <w:rPr>
                <w:sz w:val="28"/>
                <w:szCs w:val="28"/>
              </w:rPr>
              <w:t xml:space="preserve"> apgrūtinājum</w:t>
            </w:r>
            <w:r>
              <w:rPr>
                <w:sz w:val="28"/>
                <w:szCs w:val="28"/>
              </w:rPr>
              <w:t xml:space="preserve">s: </w:t>
            </w:r>
            <w:r w:rsidR="00A9230B">
              <w:rPr>
                <w:sz w:val="28"/>
                <w:szCs w:val="28"/>
              </w:rPr>
              <w:t>dabiskas ūdensteces</w:t>
            </w:r>
            <w:r w:rsidR="00E5759C">
              <w:rPr>
                <w:sz w:val="28"/>
                <w:szCs w:val="28"/>
              </w:rPr>
              <w:t xml:space="preserve"> vides un dabas resursu aizsardzības aizsargjoslas</w:t>
            </w:r>
            <w:r w:rsidR="00561ECE">
              <w:rPr>
                <w:sz w:val="28"/>
                <w:szCs w:val="28"/>
              </w:rPr>
              <w:t xml:space="preserve"> teritorija pilsētās un ciemos</w:t>
            </w:r>
            <w:r w:rsidR="00D27CCD">
              <w:rPr>
                <w:sz w:val="28"/>
                <w:szCs w:val="28"/>
              </w:rPr>
              <w:t>, 0,5397 ha.</w:t>
            </w:r>
            <w:r w:rsidR="00141484">
              <w:rPr>
                <w:sz w:val="28"/>
                <w:szCs w:val="28"/>
              </w:rPr>
              <w:t xml:space="preserve"> </w:t>
            </w:r>
          </w:p>
          <w:p w14:paraId="06F4F3A7" w14:textId="26EBC3DD" w:rsidR="007645B3" w:rsidRPr="00864C25" w:rsidRDefault="00141484" w:rsidP="004F34E8">
            <w:pPr>
              <w:pStyle w:val="BodyText"/>
              <w:spacing w:after="0"/>
              <w:ind w:right="116" w:firstLine="720"/>
              <w:jc w:val="both"/>
              <w:rPr>
                <w:sz w:val="28"/>
                <w:szCs w:val="28"/>
              </w:rPr>
            </w:pPr>
            <w:r>
              <w:rPr>
                <w:sz w:val="28"/>
                <w:szCs w:val="28"/>
              </w:rPr>
              <w:t>Saskaņā ar NĪVKIS datiem n</w:t>
            </w:r>
            <w:r w:rsidR="004F34E8" w:rsidRPr="00864C25">
              <w:rPr>
                <w:sz w:val="28"/>
                <w:szCs w:val="28"/>
              </w:rPr>
              <w:t>ekustamā īpašuma kadastrālā vērtība uz 20</w:t>
            </w:r>
            <w:r w:rsidR="00526486" w:rsidRPr="00864C25">
              <w:rPr>
                <w:sz w:val="28"/>
                <w:szCs w:val="28"/>
              </w:rPr>
              <w:t>20</w:t>
            </w:r>
            <w:r w:rsidR="004F34E8" w:rsidRPr="00864C25">
              <w:rPr>
                <w:sz w:val="28"/>
                <w:szCs w:val="28"/>
              </w:rPr>
              <w:t>.gada 1.janvāri</w:t>
            </w:r>
            <w:r w:rsidR="009E2C82" w:rsidRPr="00864C25">
              <w:rPr>
                <w:sz w:val="28"/>
                <w:szCs w:val="28"/>
              </w:rPr>
              <w:t>:</w:t>
            </w:r>
            <w:r w:rsidR="004F34E8" w:rsidRPr="00864C25">
              <w:rPr>
                <w:sz w:val="28"/>
                <w:szCs w:val="28"/>
              </w:rPr>
              <w:t xml:space="preserve"> </w:t>
            </w:r>
            <w:r w:rsidR="00013657" w:rsidRPr="00864C25">
              <w:rPr>
                <w:sz w:val="28"/>
                <w:szCs w:val="28"/>
              </w:rPr>
              <w:t xml:space="preserve">769 </w:t>
            </w:r>
            <w:r w:rsidR="00013657" w:rsidRPr="00864C25">
              <w:rPr>
                <w:i/>
                <w:iCs/>
                <w:sz w:val="28"/>
                <w:szCs w:val="28"/>
              </w:rPr>
              <w:t>euro</w:t>
            </w:r>
            <w:r w:rsidR="004F34E8" w:rsidRPr="00864C25">
              <w:rPr>
                <w:sz w:val="28"/>
                <w:szCs w:val="28"/>
              </w:rPr>
              <w:t xml:space="preserve">. </w:t>
            </w:r>
          </w:p>
          <w:p w14:paraId="2A5A362E" w14:textId="4422ED33" w:rsidR="00C244AE" w:rsidRPr="000A1879" w:rsidRDefault="00C244AE" w:rsidP="00C244AE">
            <w:pPr>
              <w:pStyle w:val="BodyText"/>
              <w:spacing w:after="0"/>
              <w:ind w:right="116" w:firstLine="720"/>
              <w:jc w:val="both"/>
              <w:rPr>
                <w:sz w:val="28"/>
                <w:szCs w:val="28"/>
              </w:rPr>
            </w:pPr>
            <w:r>
              <w:rPr>
                <w:sz w:val="28"/>
                <w:szCs w:val="28"/>
              </w:rPr>
              <w:t>VNĪ lietvedībā iereģistrēta Pašvaldība</w:t>
            </w:r>
            <w:r w:rsidR="002C16F6">
              <w:rPr>
                <w:sz w:val="28"/>
                <w:szCs w:val="28"/>
              </w:rPr>
              <w:t>s</w:t>
            </w:r>
            <w:r>
              <w:rPr>
                <w:sz w:val="28"/>
                <w:szCs w:val="28"/>
              </w:rPr>
              <w:t xml:space="preserve"> 17.02.2020. vēstule Nr.4.4.12/20/94 </w:t>
            </w:r>
            <w:r w:rsidRPr="005E2E4D">
              <w:rPr>
                <w:sz w:val="28"/>
                <w:szCs w:val="28"/>
              </w:rPr>
              <w:t>„</w:t>
            </w:r>
            <w:r>
              <w:rPr>
                <w:sz w:val="28"/>
                <w:szCs w:val="28"/>
              </w:rPr>
              <w:t xml:space="preserve">Par nekustamajiem īpašumiem Rīgas ielā 211B un Viestura ielā 44, Jēkabpilī”, ar kuru </w:t>
            </w:r>
            <w:r w:rsidR="002F3951">
              <w:rPr>
                <w:sz w:val="28"/>
                <w:szCs w:val="28"/>
              </w:rPr>
              <w:t>pašvaldība lūdz</w:t>
            </w:r>
            <w:r>
              <w:rPr>
                <w:sz w:val="28"/>
                <w:szCs w:val="28"/>
              </w:rPr>
              <w:t xml:space="preserve"> virzīt Ministru kabineta rīkojuma projektu par nekustamā īpašuma </w:t>
            </w:r>
            <w:r w:rsidRPr="00E0384C">
              <w:rPr>
                <w:sz w:val="28"/>
                <w:szCs w:val="28"/>
              </w:rPr>
              <w:t>Rīgas ielā 211B, Jēkabpilī</w:t>
            </w:r>
            <w:r>
              <w:rPr>
                <w:sz w:val="28"/>
                <w:szCs w:val="28"/>
              </w:rPr>
              <w:t>, nodošanu Pašvaldības īpašumā bez atlīdzības un pievienots pašvaldības lēmums. Saskaņā ar 2020.gada 13.februārī pieņemto Jēkabpils pilsētas domes lēmumu Nr.89 (Prot.Nr.4, 35. §) “Par nekustamā īpašuma pārņemšanu īpašumā bez atlīdzības” nolemts pārņemt Pašvaldības īpašumā bez atlīdzības valstij Finanšu ministrijas personā piekrītošo nekustamo īpašumu Rīgas ielā 211B, Jēkabpilī (kadastra Nr.5601 001 3070), visā tā sastāvā, likuma “Par pašvaldībām” 15.panta pirmās daļas 2.punktā minētās autonomās funkcijas veikšanai</w:t>
            </w:r>
            <w:r w:rsidR="004826A5">
              <w:rPr>
                <w:sz w:val="28"/>
                <w:szCs w:val="28"/>
              </w:rPr>
              <w:t>-</w:t>
            </w:r>
            <w:r>
              <w:rPr>
                <w:sz w:val="28"/>
                <w:szCs w:val="28"/>
              </w:rPr>
              <w:t xml:space="preserve"> </w:t>
            </w:r>
            <w:r w:rsidR="00C630A5">
              <w:rPr>
                <w:sz w:val="28"/>
                <w:szCs w:val="28"/>
              </w:rPr>
              <w:t xml:space="preserve">pašvaldības </w:t>
            </w:r>
            <w:r>
              <w:rPr>
                <w:sz w:val="28"/>
                <w:szCs w:val="28"/>
              </w:rPr>
              <w:t>administratīvā</w:t>
            </w:r>
            <w:r w:rsidR="00427932">
              <w:rPr>
                <w:sz w:val="28"/>
                <w:szCs w:val="28"/>
              </w:rPr>
              <w:t>s</w:t>
            </w:r>
            <w:r>
              <w:rPr>
                <w:sz w:val="28"/>
                <w:szCs w:val="28"/>
              </w:rPr>
              <w:t xml:space="preserve"> teritorijas  labiekārtošanai</w:t>
            </w:r>
            <w:r w:rsidR="00427932">
              <w:rPr>
                <w:sz w:val="28"/>
                <w:szCs w:val="28"/>
              </w:rPr>
              <w:t xml:space="preserve">- </w:t>
            </w:r>
            <w:r>
              <w:rPr>
                <w:sz w:val="28"/>
                <w:szCs w:val="28"/>
              </w:rPr>
              <w:t>parka, skvēra vai zaļās zonas ierīkošanai un uzturēšanai</w:t>
            </w:r>
            <w:r w:rsidRPr="00051C33">
              <w:rPr>
                <w:sz w:val="28"/>
                <w:szCs w:val="28"/>
              </w:rPr>
              <w:t>.</w:t>
            </w:r>
            <w:r w:rsidR="007002BE" w:rsidRPr="00051C33">
              <w:rPr>
                <w:sz w:val="28"/>
                <w:szCs w:val="28"/>
              </w:rPr>
              <w:t xml:space="preserve"> </w:t>
            </w:r>
            <w:r w:rsidR="008D3AE6" w:rsidRPr="000A1879">
              <w:rPr>
                <w:sz w:val="28"/>
                <w:szCs w:val="28"/>
              </w:rPr>
              <w:t xml:space="preserve">Ar </w:t>
            </w:r>
            <w:r w:rsidR="00050873" w:rsidRPr="000A1879">
              <w:rPr>
                <w:sz w:val="28"/>
                <w:szCs w:val="28"/>
              </w:rPr>
              <w:t>03.04.2020. vēstuli Nr.</w:t>
            </w:r>
            <w:r w:rsidR="00F90FE8" w:rsidRPr="000A1879">
              <w:t xml:space="preserve"> </w:t>
            </w:r>
            <w:r w:rsidR="00F90FE8" w:rsidRPr="000A1879">
              <w:rPr>
                <w:sz w:val="28"/>
                <w:szCs w:val="28"/>
              </w:rPr>
              <w:t>4.4.12/20/205</w:t>
            </w:r>
            <w:r w:rsidR="00050873" w:rsidRPr="000A1879">
              <w:rPr>
                <w:sz w:val="28"/>
                <w:szCs w:val="28"/>
              </w:rPr>
              <w:t xml:space="preserve"> </w:t>
            </w:r>
            <w:r w:rsidR="00D27F62" w:rsidRPr="000A1879">
              <w:rPr>
                <w:sz w:val="28"/>
                <w:szCs w:val="28"/>
              </w:rPr>
              <w:t>P</w:t>
            </w:r>
            <w:r w:rsidR="007002BE" w:rsidRPr="000A1879">
              <w:rPr>
                <w:sz w:val="28"/>
                <w:szCs w:val="28"/>
              </w:rPr>
              <w:t xml:space="preserve">ašvaldība </w:t>
            </w:r>
            <w:r w:rsidR="006D49FA" w:rsidRPr="000A1879">
              <w:rPr>
                <w:sz w:val="28"/>
                <w:szCs w:val="28"/>
              </w:rPr>
              <w:t>informējusi, ka s</w:t>
            </w:r>
            <w:r w:rsidR="00685684" w:rsidRPr="000A1879">
              <w:rPr>
                <w:sz w:val="28"/>
                <w:szCs w:val="28"/>
              </w:rPr>
              <w:t>askaņā ar Jēkabpils pilsētas domes 2010.gada 4.martā pieņemtajiem saistošiem noteikumiem Nr.6 “Jēkabpils pilsētas teritorijas plānojums ar grozījumiem 2007.-2019.gadam” zemes vienība ar kadastra Nr. 5601 001 3070, Rīgas ielā 211B, Jēkabpil</w:t>
            </w:r>
            <w:r w:rsidR="00AE41D4" w:rsidRPr="000A1879">
              <w:rPr>
                <w:sz w:val="28"/>
                <w:szCs w:val="28"/>
              </w:rPr>
              <w:t>ī,</w:t>
            </w:r>
            <w:r w:rsidR="00685684" w:rsidRPr="000A1879">
              <w:rPr>
                <w:sz w:val="28"/>
                <w:szCs w:val="28"/>
              </w:rPr>
              <w:t xml:space="preserve"> atrodas jauktas dzīvojamās un darījumu iestāžu apbūves teritorijā (J), kur viena no atļautajām izmantošanām ir apstādījumi. Ņemot vērā, ka šī teritorija ir Donaviņas upes krasta teritorija ar stāvu reljefu un esošiem apstādījumiem (koki, krūmi), teritoriju turpmāk paredzēts izmantot atbilstoši atļautai izmantošanai – apstādījumu ierīkošanai un apkopšanai, sākotnēji veicot tikai tur esošo koku un krūmu sakopšanu, teritoriju neizmantojot saimnieciskās darbības veikšanai.</w:t>
            </w:r>
          </w:p>
          <w:p w14:paraId="20F8D722" w14:textId="15011D52" w:rsidR="0091604A" w:rsidRPr="000A1879" w:rsidRDefault="008F1202" w:rsidP="003725E4">
            <w:pPr>
              <w:spacing w:after="0" w:line="240" w:lineRule="auto"/>
              <w:ind w:firstLine="720"/>
              <w:jc w:val="both"/>
              <w:rPr>
                <w:rFonts w:ascii="Times New Roman" w:eastAsia="Times New Roman" w:hAnsi="Times New Roman" w:cs="Times New Roman"/>
                <w:sz w:val="28"/>
                <w:szCs w:val="28"/>
                <w:lang w:eastAsia="lv-LV"/>
              </w:rPr>
            </w:pPr>
            <w:r w:rsidRPr="000A1879">
              <w:rPr>
                <w:rFonts w:ascii="Times New Roman" w:eastAsia="Times New Roman" w:hAnsi="Times New Roman" w:cs="Times New Roman"/>
                <w:sz w:val="28"/>
                <w:szCs w:val="28"/>
                <w:lang w:eastAsia="lv-LV"/>
              </w:rPr>
              <w:t xml:space="preserve">Ievērojot minēto, tā kā </w:t>
            </w:r>
            <w:r w:rsidR="0091604A" w:rsidRPr="000A1879">
              <w:rPr>
                <w:rFonts w:ascii="Times New Roman" w:eastAsia="Times New Roman" w:hAnsi="Times New Roman" w:cs="Times New Roman"/>
                <w:sz w:val="28"/>
                <w:szCs w:val="28"/>
                <w:lang w:eastAsia="lv-LV"/>
              </w:rPr>
              <w:t>nekustamo īpašumu</w:t>
            </w:r>
            <w:r w:rsidR="003725E4" w:rsidRPr="000A1879">
              <w:rPr>
                <w:rFonts w:ascii="Times New Roman" w:eastAsia="Times New Roman" w:hAnsi="Times New Roman" w:cs="Times New Roman"/>
                <w:sz w:val="28"/>
                <w:szCs w:val="28"/>
                <w:lang w:eastAsia="lv-LV"/>
              </w:rPr>
              <w:t xml:space="preserve"> </w:t>
            </w:r>
            <w:r w:rsidR="00D27F62" w:rsidRPr="000A1879">
              <w:rPr>
                <w:rFonts w:ascii="Times New Roman" w:eastAsia="Times New Roman" w:hAnsi="Times New Roman" w:cs="Times New Roman"/>
                <w:sz w:val="28"/>
                <w:szCs w:val="28"/>
                <w:lang w:eastAsia="lv-LV"/>
              </w:rPr>
              <w:t>P</w:t>
            </w:r>
            <w:r w:rsidR="003725E4" w:rsidRPr="000A1879">
              <w:rPr>
                <w:rFonts w:ascii="Times New Roman" w:eastAsia="Times New Roman" w:hAnsi="Times New Roman" w:cs="Times New Roman"/>
                <w:sz w:val="28"/>
                <w:szCs w:val="28"/>
                <w:lang w:eastAsia="lv-LV"/>
              </w:rPr>
              <w:t xml:space="preserve">ašvaldība </w:t>
            </w:r>
            <w:r w:rsidR="0091604A" w:rsidRPr="000A1879">
              <w:rPr>
                <w:rFonts w:ascii="Times New Roman" w:eastAsia="Times New Roman" w:hAnsi="Times New Roman" w:cs="Times New Roman"/>
                <w:sz w:val="28"/>
                <w:szCs w:val="28"/>
                <w:lang w:eastAsia="lv-LV"/>
              </w:rPr>
              <w:t xml:space="preserve"> neplāno izmantot saimnieciskā darbībā</w:t>
            </w:r>
            <w:r w:rsidR="00205705" w:rsidRPr="000A1879">
              <w:rPr>
                <w:rFonts w:ascii="Times New Roman" w:eastAsia="Times New Roman" w:hAnsi="Times New Roman" w:cs="Times New Roman"/>
                <w:sz w:val="28"/>
                <w:szCs w:val="28"/>
                <w:lang w:eastAsia="lv-LV"/>
              </w:rPr>
              <w:t xml:space="preserve">, </w:t>
            </w:r>
            <w:r w:rsidR="0091604A" w:rsidRPr="000A1879">
              <w:rPr>
                <w:rFonts w:ascii="Times New Roman" w:eastAsia="Times New Roman" w:hAnsi="Times New Roman" w:cs="Times New Roman"/>
                <w:sz w:val="28"/>
                <w:szCs w:val="28"/>
                <w:lang w:eastAsia="lv-LV"/>
              </w:rPr>
              <w:t xml:space="preserve"> nekustamā īpašuma nodošana </w:t>
            </w:r>
            <w:r w:rsidR="00105F77" w:rsidRPr="000A1879">
              <w:rPr>
                <w:rFonts w:ascii="Times New Roman" w:eastAsia="Times New Roman" w:hAnsi="Times New Roman" w:cs="Times New Roman"/>
                <w:sz w:val="28"/>
                <w:szCs w:val="28"/>
                <w:lang w:eastAsia="lv-LV"/>
              </w:rPr>
              <w:t>P</w:t>
            </w:r>
            <w:r w:rsidR="0091604A" w:rsidRPr="000A1879">
              <w:rPr>
                <w:rFonts w:ascii="Times New Roman" w:eastAsia="Times New Roman" w:hAnsi="Times New Roman" w:cs="Times New Roman"/>
                <w:sz w:val="28"/>
                <w:szCs w:val="28"/>
                <w:lang w:eastAsia="lv-LV"/>
              </w:rPr>
              <w:t>ašvaldībai nekvalificējas kā atbalsts</w:t>
            </w:r>
            <w:r w:rsidR="00205705" w:rsidRPr="000A1879">
              <w:rPr>
                <w:rFonts w:ascii="Times New Roman" w:eastAsia="Times New Roman" w:hAnsi="Times New Roman" w:cs="Times New Roman"/>
                <w:sz w:val="28"/>
                <w:szCs w:val="28"/>
                <w:lang w:eastAsia="lv-LV"/>
              </w:rPr>
              <w:t xml:space="preserve"> </w:t>
            </w:r>
            <w:r w:rsidR="0091604A" w:rsidRPr="000A1879">
              <w:rPr>
                <w:rFonts w:ascii="Times New Roman" w:eastAsia="Times New Roman" w:hAnsi="Times New Roman" w:cs="Times New Roman"/>
                <w:sz w:val="28"/>
                <w:szCs w:val="28"/>
                <w:lang w:eastAsia="lv-LV"/>
              </w:rPr>
              <w:t>komercdarbībai.</w:t>
            </w:r>
          </w:p>
          <w:p w14:paraId="61707BAB" w14:textId="5515A7A8" w:rsidR="00F12265" w:rsidRDefault="004305EF" w:rsidP="005D2CDE">
            <w:pPr>
              <w:pStyle w:val="BodyText"/>
              <w:spacing w:after="0"/>
              <w:ind w:right="116" w:firstLine="720"/>
              <w:jc w:val="both"/>
              <w:rPr>
                <w:sz w:val="28"/>
                <w:szCs w:val="28"/>
              </w:rPr>
            </w:pPr>
            <w:r>
              <w:rPr>
                <w:sz w:val="28"/>
                <w:szCs w:val="28"/>
              </w:rPr>
              <w:lastRenderedPageBreak/>
              <w:t xml:space="preserve">Saskaņā ar </w:t>
            </w:r>
            <w:r w:rsidR="00F73DBD">
              <w:rPr>
                <w:sz w:val="28"/>
                <w:szCs w:val="28"/>
              </w:rPr>
              <w:t xml:space="preserve">likuma “Par pašvaldībām 15.panta pirmās daļas 2.punktu </w:t>
            </w:r>
            <w:r w:rsidR="008D2808">
              <w:rPr>
                <w:sz w:val="28"/>
                <w:szCs w:val="28"/>
              </w:rPr>
              <w:t xml:space="preserve">pašvaldības autonomā funkcija ir </w:t>
            </w:r>
            <w:r w:rsidRPr="004305EF">
              <w:rPr>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EB3079">
              <w:rPr>
                <w:sz w:val="28"/>
                <w:szCs w:val="28"/>
              </w:rPr>
              <w:t>.</w:t>
            </w:r>
          </w:p>
          <w:p w14:paraId="010B04C6" w14:textId="75B0F415" w:rsidR="001844A2" w:rsidRDefault="00445991" w:rsidP="00916CCC">
            <w:pPr>
              <w:pStyle w:val="BodyText"/>
              <w:spacing w:after="0"/>
              <w:ind w:right="116" w:firstLine="720"/>
              <w:jc w:val="both"/>
              <w:rPr>
                <w:sz w:val="28"/>
                <w:szCs w:val="28"/>
              </w:rPr>
            </w:pPr>
            <w:r>
              <w:rPr>
                <w:sz w:val="28"/>
                <w:szCs w:val="28"/>
              </w:rPr>
              <w:t>Ņemot vērā</w:t>
            </w:r>
            <w:r w:rsidR="00916CCC">
              <w:rPr>
                <w:sz w:val="28"/>
                <w:szCs w:val="28"/>
              </w:rPr>
              <w:t xml:space="preserve"> minēto, sagatavot</w:t>
            </w:r>
            <w:r w:rsidR="003E7C1F">
              <w:rPr>
                <w:sz w:val="28"/>
                <w:szCs w:val="28"/>
              </w:rPr>
              <w:t>ai</w:t>
            </w:r>
            <w:r w:rsidR="00916CCC">
              <w:rPr>
                <w:sz w:val="28"/>
                <w:szCs w:val="28"/>
              </w:rPr>
              <w:t xml:space="preserve">s Ministru kabineta rīkojuma </w:t>
            </w:r>
            <w:r w:rsidR="00916CCC" w:rsidRPr="00BE35FB">
              <w:rPr>
                <w:sz w:val="28"/>
                <w:szCs w:val="28"/>
              </w:rPr>
              <w:t>projekts</w:t>
            </w:r>
            <w:r w:rsidR="00916CCC">
              <w:rPr>
                <w:sz w:val="28"/>
                <w:szCs w:val="28"/>
              </w:rPr>
              <w:t xml:space="preserve"> </w:t>
            </w:r>
            <w:r w:rsidR="00916CCC" w:rsidRPr="00BE35FB">
              <w:rPr>
                <w:sz w:val="28"/>
                <w:szCs w:val="28"/>
              </w:rPr>
              <w:t xml:space="preserve">paredz atļaut Finanšu ministrijai nodot bez atlīdzības </w:t>
            </w:r>
            <w:r w:rsidR="007216B4">
              <w:rPr>
                <w:sz w:val="28"/>
                <w:szCs w:val="28"/>
              </w:rPr>
              <w:t>P</w:t>
            </w:r>
            <w:r w:rsidR="00916CCC" w:rsidRPr="00BE35FB">
              <w:rPr>
                <w:sz w:val="28"/>
                <w:szCs w:val="28"/>
              </w:rPr>
              <w:t>ašvaldības īpašumā valst</w:t>
            </w:r>
            <w:r w:rsidR="006122A9">
              <w:rPr>
                <w:sz w:val="28"/>
                <w:szCs w:val="28"/>
              </w:rPr>
              <w:t>s</w:t>
            </w:r>
            <w:r w:rsidR="00916CCC">
              <w:rPr>
                <w:sz w:val="28"/>
                <w:szCs w:val="28"/>
              </w:rPr>
              <w:t xml:space="preserve"> </w:t>
            </w:r>
            <w:r w:rsidR="00916CCC" w:rsidRPr="00BE35FB">
              <w:rPr>
                <w:sz w:val="28"/>
                <w:szCs w:val="28"/>
              </w:rPr>
              <w:t>nekustamo īpašumu (nekustamā īpašuma kadastra numurs</w:t>
            </w:r>
            <w:r w:rsidR="006122A9">
              <w:rPr>
                <w:sz w:val="28"/>
                <w:szCs w:val="28"/>
              </w:rPr>
              <w:t xml:space="preserve"> </w:t>
            </w:r>
            <w:r w:rsidR="006B74FE">
              <w:rPr>
                <w:sz w:val="28"/>
                <w:szCs w:val="28"/>
              </w:rPr>
              <w:t>5601 001 3070</w:t>
            </w:r>
            <w:r w:rsidR="00916CCC" w:rsidRPr="00BE35FB">
              <w:rPr>
                <w:sz w:val="28"/>
                <w:szCs w:val="28"/>
              </w:rPr>
              <w:t>)</w:t>
            </w:r>
            <w:r w:rsidR="00916CCC">
              <w:rPr>
                <w:sz w:val="28"/>
                <w:szCs w:val="28"/>
              </w:rPr>
              <w:t> – </w:t>
            </w:r>
            <w:r w:rsidR="00916CCC" w:rsidRPr="00BE35FB">
              <w:rPr>
                <w:sz w:val="28"/>
                <w:szCs w:val="28"/>
              </w:rPr>
              <w:t xml:space="preserve">zemes vienību </w:t>
            </w:r>
            <w:r w:rsidR="00947F42" w:rsidRPr="00947F42">
              <w:rPr>
                <w:sz w:val="28"/>
                <w:szCs w:val="28"/>
              </w:rPr>
              <w:t>(zemes vienības kadastra apzīmējums 5601 001 3070) 5493 m</w:t>
            </w:r>
            <w:r w:rsidR="00947F42" w:rsidRPr="00947F42">
              <w:rPr>
                <w:sz w:val="28"/>
                <w:szCs w:val="28"/>
                <w:vertAlign w:val="superscript"/>
              </w:rPr>
              <w:t>2</w:t>
            </w:r>
            <w:r w:rsidR="00947F42" w:rsidRPr="00947F42">
              <w:rPr>
                <w:sz w:val="28"/>
                <w:szCs w:val="28"/>
              </w:rPr>
              <w:t xml:space="preserve"> platībā – Rīgas ielā 211B, Jēkabpilī</w:t>
            </w:r>
            <w:r w:rsidR="00D431B1">
              <w:rPr>
                <w:sz w:val="28"/>
                <w:szCs w:val="28"/>
              </w:rPr>
              <w:t>,</w:t>
            </w:r>
            <w:r w:rsidR="00947F42" w:rsidRPr="00947F42">
              <w:rPr>
                <w:sz w:val="28"/>
                <w:szCs w:val="28"/>
              </w:rPr>
              <w:t xml:space="preserve"> </w:t>
            </w:r>
            <w:r w:rsidR="00916CCC" w:rsidRPr="00BE35FB">
              <w:rPr>
                <w:sz w:val="28"/>
                <w:szCs w:val="28"/>
              </w:rPr>
              <w:t>likuma „Par pašvaldībām” 15.panta pirmajā daļā noteikto pašvaldības autonomo funkciju īstenošanai.</w:t>
            </w:r>
            <w:r w:rsidR="00916CCC">
              <w:rPr>
                <w:sz w:val="28"/>
                <w:szCs w:val="28"/>
              </w:rPr>
              <w:t xml:space="preserve"> </w:t>
            </w:r>
          </w:p>
          <w:p w14:paraId="6316BD22" w14:textId="34998551" w:rsidR="004F6BBA" w:rsidRPr="004F6BBA" w:rsidRDefault="004F6BBA" w:rsidP="004F6BBA">
            <w:pPr>
              <w:pStyle w:val="BodyText"/>
              <w:spacing w:after="0"/>
              <w:ind w:right="116" w:firstLine="720"/>
              <w:jc w:val="both"/>
              <w:rPr>
                <w:sz w:val="28"/>
                <w:szCs w:val="28"/>
              </w:rPr>
            </w:pPr>
            <w:r w:rsidRPr="004C4761">
              <w:rPr>
                <w:sz w:val="28"/>
                <w:szCs w:val="28"/>
              </w:rPr>
              <w:t>Rīkojuma projekta izstrādes, saskaņošanas un pieņemšanas procesā personu datu apstrādes mērķis ir nodrošināt</w:t>
            </w:r>
            <w:r w:rsidR="00A522B4" w:rsidRPr="004C4761">
              <w:rPr>
                <w:sz w:val="28"/>
                <w:szCs w:val="28"/>
              </w:rPr>
              <w:t xml:space="preserve"> institūcijas, kas veic rīkojuma projekta un tā sākotnējās ietekmes novērtējuma ziņojuma (anotācijas) izvērtēšanu, Valsts kanceleju un Ministru kabineta locekļus ar vispusīgu un pilnīgu informāciju Atsavināšanas likuma 42.pant</w:t>
            </w:r>
            <w:r w:rsidR="003D3443" w:rsidRPr="004C4761">
              <w:rPr>
                <w:sz w:val="28"/>
                <w:szCs w:val="28"/>
              </w:rPr>
              <w:t>a pirmajā daļā</w:t>
            </w:r>
            <w:r w:rsidR="00A522B4" w:rsidRPr="004C4761">
              <w:rPr>
                <w:sz w:val="28"/>
                <w:szCs w:val="28"/>
              </w:rPr>
              <w:t xml:space="preserve"> noteiktā Ministru kabineta lēmuma pieņemšanai.</w:t>
            </w:r>
            <w:r w:rsidRPr="004C4761">
              <w:rPr>
                <w:sz w:val="28"/>
                <w:szCs w:val="28"/>
              </w:rPr>
              <w:t xml:space="preserve"> Paskaidrojošie dokum</w:t>
            </w:r>
            <w:r w:rsidR="00542EEF">
              <w:rPr>
                <w:sz w:val="28"/>
                <w:szCs w:val="28"/>
              </w:rPr>
              <w:t>e</w:t>
            </w:r>
            <w:r w:rsidRPr="004C4761">
              <w:rPr>
                <w:sz w:val="28"/>
                <w:szCs w:val="28"/>
              </w:rPr>
              <w:t>nti, kuri satur personas datus, tiek nodoti šauram subjektu lokam - institūcijām, kas veic rīkojuma projekta un tā sākotnējās ietekmes novērtējuma ziņojuma (anotācijas) izvērtēšanu, Valsts kancelejai un Ministru kabineta locekļiem.</w:t>
            </w:r>
          </w:p>
          <w:p w14:paraId="38F81312" w14:textId="6CB78738" w:rsidR="00894C55" w:rsidRPr="00251334" w:rsidRDefault="00C802A6" w:rsidP="00916CCC">
            <w:pPr>
              <w:pStyle w:val="BodyText"/>
              <w:spacing w:after="0"/>
              <w:ind w:right="116" w:firstLine="720"/>
              <w:jc w:val="both"/>
              <w:rPr>
                <w:sz w:val="28"/>
                <w:szCs w:val="28"/>
              </w:rPr>
            </w:pPr>
            <w:r w:rsidRPr="00C802A6">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3A08146C"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2E1086">
              <w:rPr>
                <w:rFonts w:ascii="Times New Roman" w:eastAsia="Times New Roman" w:hAnsi="Times New Roman" w:cs="Times New Roman"/>
                <w:sz w:val="28"/>
                <w:szCs w:val="28"/>
                <w:lang w:eastAsia="lv-LV"/>
              </w:rPr>
              <w:t>Jēkabpils</w:t>
            </w:r>
            <w:r>
              <w:rPr>
                <w:rFonts w:ascii="Times New Roman" w:eastAsia="Times New Roman" w:hAnsi="Times New Roman" w:cs="Times New Roman"/>
                <w:sz w:val="28"/>
                <w:szCs w:val="28"/>
                <w:lang w:eastAsia="lv-LV"/>
              </w:rPr>
              <w:t xml:space="preserve"> </w:t>
            </w:r>
            <w:r w:rsidR="002E1086">
              <w:rPr>
                <w:rFonts w:ascii="Times New Roman" w:eastAsia="Times New Roman" w:hAnsi="Times New Roman" w:cs="Times New Roman"/>
                <w:sz w:val="28"/>
                <w:szCs w:val="28"/>
                <w:lang w:eastAsia="lv-LV"/>
              </w:rPr>
              <w:t xml:space="preserve">pilsētas </w:t>
            </w:r>
            <w:r>
              <w:rPr>
                <w:rFonts w:ascii="Times New Roman" w:eastAsia="Times New Roman" w:hAnsi="Times New Roman" w:cs="Times New Roman"/>
                <w:sz w:val="28"/>
                <w:szCs w:val="28"/>
                <w:lang w:eastAsia="lv-LV"/>
              </w:rPr>
              <w:t>pašvaldība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w:t>
            </w:r>
            <w:r w:rsidRPr="00E21FE8">
              <w:rPr>
                <w:rFonts w:ascii="Times New Roman" w:eastAsia="Times New Roman" w:hAnsi="Times New Roman" w:cs="Times New Roman"/>
                <w:sz w:val="28"/>
                <w:szCs w:val="28"/>
                <w:lang w:eastAsia="lv-LV"/>
              </w:rPr>
              <w:lastRenderedPageBreak/>
              <w:t>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175D4E58" w:rsidR="00A9006E" w:rsidRPr="00251334" w:rsidRDefault="00DB3760"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Jēkabpils pilsētas</w:t>
            </w:r>
            <w:r w:rsidR="00E21FE8">
              <w:rPr>
                <w:rFonts w:ascii="Times New Roman" w:eastAsia="Times New Roman" w:hAnsi="Times New Roman" w:cs="Times New Roman"/>
                <w:sz w:val="28"/>
                <w:szCs w:val="28"/>
                <w:lang w:eastAsia="lv-LV"/>
              </w:rPr>
              <w:t xml:space="preserve"> pašvaldības iedzīvotāji.</w:t>
            </w:r>
            <w:r w:rsidR="00E21FE8">
              <w:t xml:space="preserve"> </w:t>
            </w:r>
          </w:p>
        </w:tc>
      </w:tr>
      <w:tr w:rsidR="00894C55" w:rsidRPr="00251334"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30307D">
            <w:pPr>
              <w:spacing w:after="0" w:line="240" w:lineRule="auto"/>
              <w:ind w:firstLine="567"/>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251334"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432146">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435B07" w:rsidRPr="00251334"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3</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4.Finanšu līdzekļi papildu </w:t>
            </w:r>
            <w:r w:rsidRPr="00251334">
              <w:rPr>
                <w:rFonts w:ascii="Times New Roman" w:eastAsia="Times New Roman" w:hAnsi="Times New Roman" w:cs="Times New Roman"/>
                <w:iCs/>
                <w:sz w:val="28"/>
                <w:szCs w:val="28"/>
                <w:lang w:eastAsia="lv-LV"/>
              </w:rPr>
              <w:lastRenderedPageBreak/>
              <w:t>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lastRenderedPageBreak/>
              <w:t>8.</w:t>
            </w:r>
            <w:r w:rsidR="006C6DB0" w:rsidRPr="00DA57D4">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6B2C76E5"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sidR="00BE47A1">
              <w:rPr>
                <w:rFonts w:ascii="Times New Roman" w:eastAsia="Times New Roman" w:hAnsi="Times New Roman" w:cs="Times New Roman"/>
                <w:iCs/>
                <w:sz w:val="28"/>
                <w:szCs w:val="28"/>
                <w:lang w:eastAsia="lv-LV"/>
              </w:rPr>
              <w:t>Jēkabpils pilsētas</w:t>
            </w:r>
            <w:r>
              <w:rPr>
                <w:rFonts w:ascii="Times New Roman" w:eastAsia="Times New Roman" w:hAnsi="Times New Roman" w:cs="Times New Roman"/>
                <w:iCs/>
                <w:sz w:val="28"/>
                <w:szCs w:val="28"/>
                <w:lang w:eastAsia="lv-LV"/>
              </w:rPr>
              <w:t xml:space="preserve">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 xml:space="preserve">reģistrējot nekustamo īpašumu uz </w:t>
            </w:r>
            <w:r w:rsidRPr="00C316E1">
              <w:rPr>
                <w:rFonts w:ascii="Times New Roman" w:eastAsia="Times New Roman" w:hAnsi="Times New Roman" w:cs="Times New Roman"/>
                <w:iCs/>
                <w:sz w:val="28"/>
                <w:szCs w:val="28"/>
                <w:lang w:eastAsia="lv-LV"/>
              </w:rPr>
              <w:t>sava vārda</w:t>
            </w:r>
            <w:r w:rsidR="00641748">
              <w:rPr>
                <w:rFonts w:ascii="Times New Roman" w:eastAsia="Times New Roman" w:hAnsi="Times New Roman" w:cs="Times New Roman"/>
                <w:iCs/>
                <w:sz w:val="28"/>
                <w:szCs w:val="28"/>
                <w:lang w:eastAsia="lv-LV"/>
              </w:rPr>
              <w:t xml:space="preserve">, kā arī ar </w:t>
            </w:r>
            <w:r w:rsidR="00CF3120">
              <w:rPr>
                <w:rFonts w:ascii="Times New Roman" w:eastAsia="Times New Roman" w:hAnsi="Times New Roman" w:cs="Times New Roman"/>
                <w:iCs/>
                <w:sz w:val="28"/>
                <w:szCs w:val="28"/>
                <w:lang w:eastAsia="lv-LV"/>
              </w:rPr>
              <w:t xml:space="preserve">nekustamā īpašuma uzturēšanu saistītie </w:t>
            </w:r>
            <w:r w:rsidR="008B3714">
              <w:rPr>
                <w:rFonts w:ascii="Times New Roman" w:eastAsia="Times New Roman" w:hAnsi="Times New Roman" w:cs="Times New Roman"/>
                <w:iCs/>
                <w:sz w:val="28"/>
                <w:szCs w:val="28"/>
                <w:lang w:eastAsia="lv-LV"/>
              </w:rPr>
              <w:t>izdevumi</w:t>
            </w:r>
            <w:r w:rsidR="006B47F4">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p w14:paraId="4193C7BF" w14:textId="77777777" w:rsidR="00407A3D" w:rsidRPr="00251334" w:rsidRDefault="00407A3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516B18">
            <w:pPr>
              <w:spacing w:after="0" w:line="240" w:lineRule="auto"/>
              <w:ind w:right="108" w:firstLine="567"/>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55B58B30" w:rsidR="00894C55" w:rsidRPr="00251334"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205A66">
              <w:rPr>
                <w:rFonts w:ascii="Times New Roman" w:eastAsia="Times New Roman" w:hAnsi="Times New Roman" w:cs="Times New Roman"/>
                <w:sz w:val="28"/>
                <w:szCs w:val="28"/>
                <w:lang w:eastAsia="lv-LV"/>
              </w:rPr>
              <w:t xml:space="preserve">Jēkabpils pilsētas </w:t>
            </w:r>
            <w:r>
              <w:rPr>
                <w:rFonts w:ascii="Times New Roman" w:eastAsia="Times New Roman" w:hAnsi="Times New Roman" w:cs="Times New Roman"/>
                <w:sz w:val="28"/>
                <w:szCs w:val="28"/>
                <w:lang w:eastAsia="lv-LV"/>
              </w:rPr>
              <w:t>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EBA6D9D" w14:textId="77777777" w:rsidR="002F2865" w:rsidRPr="00251334" w:rsidRDefault="002F2865"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4642" w14:textId="77777777" w:rsidR="00D0746B" w:rsidRDefault="00D0746B" w:rsidP="00894C55">
      <w:pPr>
        <w:spacing w:after="0" w:line="240" w:lineRule="auto"/>
      </w:pPr>
      <w:r>
        <w:separator/>
      </w:r>
    </w:p>
  </w:endnote>
  <w:endnote w:type="continuationSeparator" w:id="0">
    <w:p w14:paraId="7556E3B4" w14:textId="77777777" w:rsidR="00D0746B" w:rsidRDefault="00D0746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3" w14:textId="22DF4168"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2B564F">
      <w:rPr>
        <w:rFonts w:ascii="Times New Roman" w:hAnsi="Times New Roman" w:cs="Times New Roman"/>
        <w:sz w:val="20"/>
        <w:szCs w:val="20"/>
      </w:rPr>
      <w:t>1</w:t>
    </w:r>
    <w:r w:rsidR="009D1F47">
      <w:rPr>
        <w:rFonts w:ascii="Times New Roman" w:hAnsi="Times New Roman" w:cs="Times New Roman"/>
        <w:sz w:val="20"/>
        <w:szCs w:val="20"/>
      </w:rPr>
      <w:t>4</w:t>
    </w:r>
    <w:r w:rsidR="002B564F">
      <w:rPr>
        <w:rFonts w:ascii="Times New Roman" w:hAnsi="Times New Roman" w:cs="Times New Roman"/>
        <w:sz w:val="20"/>
        <w:szCs w:val="20"/>
      </w:rPr>
      <w:t>0</w:t>
    </w:r>
    <w:r w:rsidR="009D1F47">
      <w:rPr>
        <w:rFonts w:ascii="Times New Roman" w:hAnsi="Times New Roman" w:cs="Times New Roman"/>
        <w:sz w:val="20"/>
        <w:szCs w:val="20"/>
      </w:rPr>
      <w:t>6</w:t>
    </w:r>
    <w:r w:rsidR="001529B6">
      <w:rPr>
        <w:rFonts w:ascii="Times New Roman" w:hAnsi="Times New Roman" w:cs="Times New Roman"/>
        <w:sz w:val="20"/>
        <w:szCs w:val="20"/>
      </w:rPr>
      <w:t>20_pasv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4" w14:textId="2B63CF00"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2B564F">
      <w:rPr>
        <w:rFonts w:ascii="Times New Roman" w:hAnsi="Times New Roman" w:cs="Times New Roman"/>
        <w:sz w:val="20"/>
        <w:szCs w:val="20"/>
      </w:rPr>
      <w:t>1</w:t>
    </w:r>
    <w:r w:rsidR="009D1F47">
      <w:rPr>
        <w:rFonts w:ascii="Times New Roman" w:hAnsi="Times New Roman" w:cs="Times New Roman"/>
        <w:sz w:val="20"/>
        <w:szCs w:val="20"/>
      </w:rPr>
      <w:t>4</w:t>
    </w:r>
    <w:r w:rsidR="002B564F">
      <w:rPr>
        <w:rFonts w:ascii="Times New Roman" w:hAnsi="Times New Roman" w:cs="Times New Roman"/>
        <w:sz w:val="20"/>
        <w:szCs w:val="20"/>
      </w:rPr>
      <w:t>0</w:t>
    </w:r>
    <w:r w:rsidR="009D1F47">
      <w:rPr>
        <w:rFonts w:ascii="Times New Roman" w:hAnsi="Times New Roman" w:cs="Times New Roman"/>
        <w:sz w:val="20"/>
        <w:szCs w:val="20"/>
      </w:rPr>
      <w:t>6</w:t>
    </w:r>
    <w:r w:rsidR="001529B6">
      <w:rPr>
        <w:rFonts w:ascii="Times New Roman" w:hAnsi="Times New Roman" w:cs="Times New Roman"/>
        <w:sz w:val="20"/>
        <w:szCs w:val="20"/>
      </w:rPr>
      <w:t>20</w:t>
    </w:r>
    <w:r>
      <w:rPr>
        <w:rFonts w:ascii="Times New Roman" w:hAnsi="Times New Roman" w:cs="Times New Roman"/>
        <w:sz w:val="20"/>
        <w:szCs w:val="20"/>
      </w:rPr>
      <w:t>_</w:t>
    </w:r>
    <w:r w:rsidR="001529B6">
      <w:rPr>
        <w:rFonts w:ascii="Times New Roman" w:hAnsi="Times New Roman" w:cs="Times New Roman"/>
        <w:sz w:val="20"/>
        <w:szCs w:val="20"/>
      </w:rPr>
      <w:t>pasv</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AB9E" w14:textId="77777777" w:rsidR="00D0746B" w:rsidRDefault="00D0746B" w:rsidP="00894C55">
      <w:pPr>
        <w:spacing w:after="0" w:line="240" w:lineRule="auto"/>
      </w:pPr>
      <w:r>
        <w:separator/>
      </w:r>
    </w:p>
  </w:footnote>
  <w:footnote w:type="continuationSeparator" w:id="0">
    <w:p w14:paraId="350327AC" w14:textId="77777777" w:rsidR="00D0746B" w:rsidRDefault="00D0746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A3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50873"/>
    <w:rsid w:val="00050ED6"/>
    <w:rsid w:val="0005112C"/>
    <w:rsid w:val="00051C33"/>
    <w:rsid w:val="00051E13"/>
    <w:rsid w:val="00072B9F"/>
    <w:rsid w:val="00082B10"/>
    <w:rsid w:val="000859BD"/>
    <w:rsid w:val="00091369"/>
    <w:rsid w:val="00096813"/>
    <w:rsid w:val="000A0221"/>
    <w:rsid w:val="000A1879"/>
    <w:rsid w:val="000A1B3D"/>
    <w:rsid w:val="000A708B"/>
    <w:rsid w:val="000A70D6"/>
    <w:rsid w:val="000B0A5D"/>
    <w:rsid w:val="000B26AB"/>
    <w:rsid w:val="000B3E2E"/>
    <w:rsid w:val="000B5205"/>
    <w:rsid w:val="000B5720"/>
    <w:rsid w:val="000B7696"/>
    <w:rsid w:val="000C0CB6"/>
    <w:rsid w:val="000C214E"/>
    <w:rsid w:val="000C227A"/>
    <w:rsid w:val="000C3296"/>
    <w:rsid w:val="000C69D9"/>
    <w:rsid w:val="000C6FAA"/>
    <w:rsid w:val="000C79E7"/>
    <w:rsid w:val="000C7AC8"/>
    <w:rsid w:val="000D5041"/>
    <w:rsid w:val="000D6C29"/>
    <w:rsid w:val="000D7919"/>
    <w:rsid w:val="000E0DAA"/>
    <w:rsid w:val="000E1E4A"/>
    <w:rsid w:val="000E3B12"/>
    <w:rsid w:val="000E4C0E"/>
    <w:rsid w:val="000E5166"/>
    <w:rsid w:val="000F1341"/>
    <w:rsid w:val="000F1768"/>
    <w:rsid w:val="000F2287"/>
    <w:rsid w:val="000F3307"/>
    <w:rsid w:val="000F3BB0"/>
    <w:rsid w:val="000F3E8E"/>
    <w:rsid w:val="000F423E"/>
    <w:rsid w:val="000F4AF8"/>
    <w:rsid w:val="000F5EC8"/>
    <w:rsid w:val="00101433"/>
    <w:rsid w:val="00101660"/>
    <w:rsid w:val="00101E10"/>
    <w:rsid w:val="00103549"/>
    <w:rsid w:val="001035AA"/>
    <w:rsid w:val="00105538"/>
    <w:rsid w:val="00105672"/>
    <w:rsid w:val="00105F77"/>
    <w:rsid w:val="00105FD7"/>
    <w:rsid w:val="00106E81"/>
    <w:rsid w:val="00112EC4"/>
    <w:rsid w:val="00114976"/>
    <w:rsid w:val="00114B78"/>
    <w:rsid w:val="00115862"/>
    <w:rsid w:val="001165EE"/>
    <w:rsid w:val="001170F3"/>
    <w:rsid w:val="00117584"/>
    <w:rsid w:val="00120CD1"/>
    <w:rsid w:val="0012176A"/>
    <w:rsid w:val="00125879"/>
    <w:rsid w:val="00125C9A"/>
    <w:rsid w:val="00141484"/>
    <w:rsid w:val="00143ED8"/>
    <w:rsid w:val="0014423E"/>
    <w:rsid w:val="001458DF"/>
    <w:rsid w:val="00151E91"/>
    <w:rsid w:val="001529B6"/>
    <w:rsid w:val="00153D9F"/>
    <w:rsid w:val="001560B6"/>
    <w:rsid w:val="00160792"/>
    <w:rsid w:val="0016185C"/>
    <w:rsid w:val="001627A7"/>
    <w:rsid w:val="00162B51"/>
    <w:rsid w:val="0016486A"/>
    <w:rsid w:val="00165451"/>
    <w:rsid w:val="00166B4B"/>
    <w:rsid w:val="00170D0A"/>
    <w:rsid w:val="00171F6F"/>
    <w:rsid w:val="00174382"/>
    <w:rsid w:val="0017511C"/>
    <w:rsid w:val="00176150"/>
    <w:rsid w:val="00176228"/>
    <w:rsid w:val="00180623"/>
    <w:rsid w:val="00180B78"/>
    <w:rsid w:val="001844A2"/>
    <w:rsid w:val="001861EE"/>
    <w:rsid w:val="00193904"/>
    <w:rsid w:val="0019539A"/>
    <w:rsid w:val="001955B5"/>
    <w:rsid w:val="00196208"/>
    <w:rsid w:val="00197FF2"/>
    <w:rsid w:val="001A2570"/>
    <w:rsid w:val="001A3447"/>
    <w:rsid w:val="001A5840"/>
    <w:rsid w:val="001A5950"/>
    <w:rsid w:val="001A5E18"/>
    <w:rsid w:val="001A6D21"/>
    <w:rsid w:val="001A794B"/>
    <w:rsid w:val="001A7E40"/>
    <w:rsid w:val="001B1305"/>
    <w:rsid w:val="001B263A"/>
    <w:rsid w:val="001B5046"/>
    <w:rsid w:val="001B5EE2"/>
    <w:rsid w:val="001B6453"/>
    <w:rsid w:val="001C1208"/>
    <w:rsid w:val="001C1FBB"/>
    <w:rsid w:val="001C2C17"/>
    <w:rsid w:val="001C3D99"/>
    <w:rsid w:val="001C41B7"/>
    <w:rsid w:val="001D2708"/>
    <w:rsid w:val="001D4D03"/>
    <w:rsid w:val="001D6CF7"/>
    <w:rsid w:val="001E3BE3"/>
    <w:rsid w:val="001F174D"/>
    <w:rsid w:val="001F29DA"/>
    <w:rsid w:val="001F3FFB"/>
    <w:rsid w:val="00201ADC"/>
    <w:rsid w:val="00202F0E"/>
    <w:rsid w:val="0020301F"/>
    <w:rsid w:val="00205705"/>
    <w:rsid w:val="00205A66"/>
    <w:rsid w:val="002065F0"/>
    <w:rsid w:val="00206DCA"/>
    <w:rsid w:val="002101BF"/>
    <w:rsid w:val="00211CBC"/>
    <w:rsid w:val="002128BF"/>
    <w:rsid w:val="0021396A"/>
    <w:rsid w:val="00221408"/>
    <w:rsid w:val="002261F5"/>
    <w:rsid w:val="00227AB2"/>
    <w:rsid w:val="0023473B"/>
    <w:rsid w:val="00234B10"/>
    <w:rsid w:val="00235624"/>
    <w:rsid w:val="00240839"/>
    <w:rsid w:val="002418AF"/>
    <w:rsid w:val="00241D5D"/>
    <w:rsid w:val="00243426"/>
    <w:rsid w:val="00243DEC"/>
    <w:rsid w:val="002447DB"/>
    <w:rsid w:val="00245324"/>
    <w:rsid w:val="00251334"/>
    <w:rsid w:val="00260C5F"/>
    <w:rsid w:val="00263059"/>
    <w:rsid w:val="00263EA2"/>
    <w:rsid w:val="00270206"/>
    <w:rsid w:val="00270851"/>
    <w:rsid w:val="002725C8"/>
    <w:rsid w:val="00272AFF"/>
    <w:rsid w:val="00281159"/>
    <w:rsid w:val="00281F88"/>
    <w:rsid w:val="00282F3E"/>
    <w:rsid w:val="00285071"/>
    <w:rsid w:val="00295618"/>
    <w:rsid w:val="002968DE"/>
    <w:rsid w:val="002A3115"/>
    <w:rsid w:val="002B2206"/>
    <w:rsid w:val="002B4CB0"/>
    <w:rsid w:val="002B4ED4"/>
    <w:rsid w:val="002B564F"/>
    <w:rsid w:val="002B78D2"/>
    <w:rsid w:val="002C077F"/>
    <w:rsid w:val="002C16F6"/>
    <w:rsid w:val="002C19AE"/>
    <w:rsid w:val="002C49EE"/>
    <w:rsid w:val="002C4CC8"/>
    <w:rsid w:val="002D018E"/>
    <w:rsid w:val="002D15DF"/>
    <w:rsid w:val="002D49FA"/>
    <w:rsid w:val="002D5500"/>
    <w:rsid w:val="002D6763"/>
    <w:rsid w:val="002D697B"/>
    <w:rsid w:val="002E1086"/>
    <w:rsid w:val="002E3462"/>
    <w:rsid w:val="002E4725"/>
    <w:rsid w:val="002F0B76"/>
    <w:rsid w:val="002F163E"/>
    <w:rsid w:val="002F1D85"/>
    <w:rsid w:val="002F2865"/>
    <w:rsid w:val="002F3951"/>
    <w:rsid w:val="002F44E0"/>
    <w:rsid w:val="002F6922"/>
    <w:rsid w:val="0030307D"/>
    <w:rsid w:val="00303AF7"/>
    <w:rsid w:val="003068AE"/>
    <w:rsid w:val="00313A7E"/>
    <w:rsid w:val="00313FCA"/>
    <w:rsid w:val="00315051"/>
    <w:rsid w:val="0032218B"/>
    <w:rsid w:val="00324CDE"/>
    <w:rsid w:val="00325ECD"/>
    <w:rsid w:val="003300F4"/>
    <w:rsid w:val="0033109D"/>
    <w:rsid w:val="00333DFA"/>
    <w:rsid w:val="00334DBC"/>
    <w:rsid w:val="00337135"/>
    <w:rsid w:val="00337F46"/>
    <w:rsid w:val="00340209"/>
    <w:rsid w:val="003408BF"/>
    <w:rsid w:val="003469A1"/>
    <w:rsid w:val="0034730F"/>
    <w:rsid w:val="003500EC"/>
    <w:rsid w:val="0035115A"/>
    <w:rsid w:val="00351A8D"/>
    <w:rsid w:val="003525A0"/>
    <w:rsid w:val="00356BEC"/>
    <w:rsid w:val="00357DC5"/>
    <w:rsid w:val="00361858"/>
    <w:rsid w:val="0036250F"/>
    <w:rsid w:val="00363819"/>
    <w:rsid w:val="00364B32"/>
    <w:rsid w:val="0036664D"/>
    <w:rsid w:val="0036726F"/>
    <w:rsid w:val="00370552"/>
    <w:rsid w:val="003725E4"/>
    <w:rsid w:val="003743A1"/>
    <w:rsid w:val="00375572"/>
    <w:rsid w:val="00375691"/>
    <w:rsid w:val="00375D20"/>
    <w:rsid w:val="00375E78"/>
    <w:rsid w:val="00381FBB"/>
    <w:rsid w:val="0038231A"/>
    <w:rsid w:val="00382BE1"/>
    <w:rsid w:val="00384876"/>
    <w:rsid w:val="00385B12"/>
    <w:rsid w:val="00386663"/>
    <w:rsid w:val="00387231"/>
    <w:rsid w:val="0039167B"/>
    <w:rsid w:val="00395F2A"/>
    <w:rsid w:val="00396102"/>
    <w:rsid w:val="003A1245"/>
    <w:rsid w:val="003A751E"/>
    <w:rsid w:val="003B0BF9"/>
    <w:rsid w:val="003B1EB9"/>
    <w:rsid w:val="003C2B69"/>
    <w:rsid w:val="003C2CF7"/>
    <w:rsid w:val="003C44C6"/>
    <w:rsid w:val="003D3101"/>
    <w:rsid w:val="003D3443"/>
    <w:rsid w:val="003D74F9"/>
    <w:rsid w:val="003E0791"/>
    <w:rsid w:val="003E2281"/>
    <w:rsid w:val="003E3473"/>
    <w:rsid w:val="003E38BF"/>
    <w:rsid w:val="003E6374"/>
    <w:rsid w:val="003E6D51"/>
    <w:rsid w:val="003E7C1F"/>
    <w:rsid w:val="003F28AC"/>
    <w:rsid w:val="003F2A6A"/>
    <w:rsid w:val="003F493F"/>
    <w:rsid w:val="003F578C"/>
    <w:rsid w:val="003F6982"/>
    <w:rsid w:val="00401E57"/>
    <w:rsid w:val="0040587B"/>
    <w:rsid w:val="00407A3D"/>
    <w:rsid w:val="004121A8"/>
    <w:rsid w:val="00413F7B"/>
    <w:rsid w:val="0041552D"/>
    <w:rsid w:val="00415624"/>
    <w:rsid w:val="00421384"/>
    <w:rsid w:val="00421AAD"/>
    <w:rsid w:val="00423AC2"/>
    <w:rsid w:val="00426E5A"/>
    <w:rsid w:val="00427150"/>
    <w:rsid w:val="00427932"/>
    <w:rsid w:val="004305EF"/>
    <w:rsid w:val="004314A9"/>
    <w:rsid w:val="00431A31"/>
    <w:rsid w:val="00431CAE"/>
    <w:rsid w:val="00432146"/>
    <w:rsid w:val="00433A92"/>
    <w:rsid w:val="00434CA9"/>
    <w:rsid w:val="00434DB9"/>
    <w:rsid w:val="00435B07"/>
    <w:rsid w:val="00437D50"/>
    <w:rsid w:val="00444E2A"/>
    <w:rsid w:val="004454FE"/>
    <w:rsid w:val="004455AF"/>
    <w:rsid w:val="00445991"/>
    <w:rsid w:val="00446171"/>
    <w:rsid w:val="00457264"/>
    <w:rsid w:val="00461A2A"/>
    <w:rsid w:val="00471F27"/>
    <w:rsid w:val="00475B8C"/>
    <w:rsid w:val="00475BFB"/>
    <w:rsid w:val="00477C5F"/>
    <w:rsid w:val="004816E5"/>
    <w:rsid w:val="0048191B"/>
    <w:rsid w:val="004826A5"/>
    <w:rsid w:val="00482E09"/>
    <w:rsid w:val="004848EC"/>
    <w:rsid w:val="00484A15"/>
    <w:rsid w:val="0048776E"/>
    <w:rsid w:val="00492FBF"/>
    <w:rsid w:val="00496C74"/>
    <w:rsid w:val="00497364"/>
    <w:rsid w:val="00497B49"/>
    <w:rsid w:val="004A0218"/>
    <w:rsid w:val="004A4CA5"/>
    <w:rsid w:val="004A567E"/>
    <w:rsid w:val="004B0B1B"/>
    <w:rsid w:val="004B1C05"/>
    <w:rsid w:val="004B570F"/>
    <w:rsid w:val="004C34D0"/>
    <w:rsid w:val="004C4761"/>
    <w:rsid w:val="004C7005"/>
    <w:rsid w:val="004D175F"/>
    <w:rsid w:val="004D2AB4"/>
    <w:rsid w:val="004D2B79"/>
    <w:rsid w:val="004D4BB8"/>
    <w:rsid w:val="004D79A8"/>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34E6"/>
    <w:rsid w:val="00516B18"/>
    <w:rsid w:val="00517A36"/>
    <w:rsid w:val="00520E70"/>
    <w:rsid w:val="00522758"/>
    <w:rsid w:val="00522B86"/>
    <w:rsid w:val="005235DC"/>
    <w:rsid w:val="0052584B"/>
    <w:rsid w:val="00526486"/>
    <w:rsid w:val="00530D2B"/>
    <w:rsid w:val="00532214"/>
    <w:rsid w:val="00533EC3"/>
    <w:rsid w:val="00540032"/>
    <w:rsid w:val="00542EEF"/>
    <w:rsid w:val="005457D0"/>
    <w:rsid w:val="00545D40"/>
    <w:rsid w:val="00554286"/>
    <w:rsid w:val="00555694"/>
    <w:rsid w:val="00555DFE"/>
    <w:rsid w:val="0055690F"/>
    <w:rsid w:val="00556D47"/>
    <w:rsid w:val="00561ECE"/>
    <w:rsid w:val="00563112"/>
    <w:rsid w:val="00564C65"/>
    <w:rsid w:val="00565029"/>
    <w:rsid w:val="00566699"/>
    <w:rsid w:val="00572542"/>
    <w:rsid w:val="005726CE"/>
    <w:rsid w:val="005736BF"/>
    <w:rsid w:val="00583290"/>
    <w:rsid w:val="005833C1"/>
    <w:rsid w:val="00586044"/>
    <w:rsid w:val="0059026D"/>
    <w:rsid w:val="00591082"/>
    <w:rsid w:val="005A04F5"/>
    <w:rsid w:val="005A138C"/>
    <w:rsid w:val="005A2AD4"/>
    <w:rsid w:val="005A2CFD"/>
    <w:rsid w:val="005A2D39"/>
    <w:rsid w:val="005A2DC4"/>
    <w:rsid w:val="005A49B4"/>
    <w:rsid w:val="005A59C5"/>
    <w:rsid w:val="005A6AA6"/>
    <w:rsid w:val="005A705A"/>
    <w:rsid w:val="005A773E"/>
    <w:rsid w:val="005B1EFC"/>
    <w:rsid w:val="005B2063"/>
    <w:rsid w:val="005B37FE"/>
    <w:rsid w:val="005B4F91"/>
    <w:rsid w:val="005B6CA1"/>
    <w:rsid w:val="005B7614"/>
    <w:rsid w:val="005C13A4"/>
    <w:rsid w:val="005C5A47"/>
    <w:rsid w:val="005C61D9"/>
    <w:rsid w:val="005C63E3"/>
    <w:rsid w:val="005D1005"/>
    <w:rsid w:val="005D1538"/>
    <w:rsid w:val="005D2CDE"/>
    <w:rsid w:val="005D334D"/>
    <w:rsid w:val="005E2E4D"/>
    <w:rsid w:val="005E559B"/>
    <w:rsid w:val="005E73A0"/>
    <w:rsid w:val="005E7E8C"/>
    <w:rsid w:val="005F084C"/>
    <w:rsid w:val="005F1304"/>
    <w:rsid w:val="005F31D0"/>
    <w:rsid w:val="005F4D79"/>
    <w:rsid w:val="0060247E"/>
    <w:rsid w:val="00602B6D"/>
    <w:rsid w:val="00606A0E"/>
    <w:rsid w:val="0061074D"/>
    <w:rsid w:val="00610869"/>
    <w:rsid w:val="006122A9"/>
    <w:rsid w:val="00613C8E"/>
    <w:rsid w:val="00614010"/>
    <w:rsid w:val="0061576E"/>
    <w:rsid w:val="006161E5"/>
    <w:rsid w:val="00620816"/>
    <w:rsid w:val="0062453C"/>
    <w:rsid w:val="006257C3"/>
    <w:rsid w:val="006269DF"/>
    <w:rsid w:val="00626DF0"/>
    <w:rsid w:val="00631462"/>
    <w:rsid w:val="00635C5E"/>
    <w:rsid w:val="006360BD"/>
    <w:rsid w:val="00640059"/>
    <w:rsid w:val="00641748"/>
    <w:rsid w:val="00641D23"/>
    <w:rsid w:val="006444EC"/>
    <w:rsid w:val="006477FB"/>
    <w:rsid w:val="00650F96"/>
    <w:rsid w:val="006513A7"/>
    <w:rsid w:val="0065778A"/>
    <w:rsid w:val="00661A11"/>
    <w:rsid w:val="00662334"/>
    <w:rsid w:val="006655AF"/>
    <w:rsid w:val="0066589A"/>
    <w:rsid w:val="006703A3"/>
    <w:rsid w:val="00670B24"/>
    <w:rsid w:val="00670B90"/>
    <w:rsid w:val="006717F8"/>
    <w:rsid w:val="00672826"/>
    <w:rsid w:val="00675E63"/>
    <w:rsid w:val="00681E5C"/>
    <w:rsid w:val="006822E4"/>
    <w:rsid w:val="006830DE"/>
    <w:rsid w:val="006855EF"/>
    <w:rsid w:val="00685684"/>
    <w:rsid w:val="006868F9"/>
    <w:rsid w:val="00690B81"/>
    <w:rsid w:val="00692C69"/>
    <w:rsid w:val="00694288"/>
    <w:rsid w:val="00694454"/>
    <w:rsid w:val="006A090C"/>
    <w:rsid w:val="006A4715"/>
    <w:rsid w:val="006A581A"/>
    <w:rsid w:val="006A591C"/>
    <w:rsid w:val="006A6C03"/>
    <w:rsid w:val="006B12CB"/>
    <w:rsid w:val="006B2289"/>
    <w:rsid w:val="006B47F4"/>
    <w:rsid w:val="006B4C40"/>
    <w:rsid w:val="006B74FE"/>
    <w:rsid w:val="006C18F5"/>
    <w:rsid w:val="006C2007"/>
    <w:rsid w:val="006C20FD"/>
    <w:rsid w:val="006C2A1C"/>
    <w:rsid w:val="006C3006"/>
    <w:rsid w:val="006C69D1"/>
    <w:rsid w:val="006C6DB0"/>
    <w:rsid w:val="006C7D01"/>
    <w:rsid w:val="006D0B89"/>
    <w:rsid w:val="006D2DCA"/>
    <w:rsid w:val="006D49CB"/>
    <w:rsid w:val="006D49FA"/>
    <w:rsid w:val="006D5568"/>
    <w:rsid w:val="006D576C"/>
    <w:rsid w:val="006D659B"/>
    <w:rsid w:val="006D6ACC"/>
    <w:rsid w:val="006E0157"/>
    <w:rsid w:val="006E02DF"/>
    <w:rsid w:val="006E060B"/>
    <w:rsid w:val="006E1081"/>
    <w:rsid w:val="006E1A78"/>
    <w:rsid w:val="006E2687"/>
    <w:rsid w:val="006F0630"/>
    <w:rsid w:val="006F362D"/>
    <w:rsid w:val="006F377A"/>
    <w:rsid w:val="006F3BA5"/>
    <w:rsid w:val="006F6BC4"/>
    <w:rsid w:val="006F7107"/>
    <w:rsid w:val="006F767C"/>
    <w:rsid w:val="006F7A5E"/>
    <w:rsid w:val="007002BE"/>
    <w:rsid w:val="00702A6B"/>
    <w:rsid w:val="00702DDB"/>
    <w:rsid w:val="007109D3"/>
    <w:rsid w:val="007123D1"/>
    <w:rsid w:val="00712402"/>
    <w:rsid w:val="00712521"/>
    <w:rsid w:val="007135D7"/>
    <w:rsid w:val="00713FFD"/>
    <w:rsid w:val="00715D92"/>
    <w:rsid w:val="00720585"/>
    <w:rsid w:val="00721061"/>
    <w:rsid w:val="007216B4"/>
    <w:rsid w:val="00727AAF"/>
    <w:rsid w:val="00727F1F"/>
    <w:rsid w:val="00733970"/>
    <w:rsid w:val="007343B9"/>
    <w:rsid w:val="007346B3"/>
    <w:rsid w:val="00736DA5"/>
    <w:rsid w:val="00736F0B"/>
    <w:rsid w:val="007416F7"/>
    <w:rsid w:val="007425F3"/>
    <w:rsid w:val="00745476"/>
    <w:rsid w:val="00745D60"/>
    <w:rsid w:val="00745EDE"/>
    <w:rsid w:val="00751398"/>
    <w:rsid w:val="0075264E"/>
    <w:rsid w:val="00752E74"/>
    <w:rsid w:val="00762252"/>
    <w:rsid w:val="007643E3"/>
    <w:rsid w:val="007645B3"/>
    <w:rsid w:val="0076585D"/>
    <w:rsid w:val="007708FA"/>
    <w:rsid w:val="00771240"/>
    <w:rsid w:val="00773AF6"/>
    <w:rsid w:val="0077708F"/>
    <w:rsid w:val="007807C1"/>
    <w:rsid w:val="00785ED3"/>
    <w:rsid w:val="0078778E"/>
    <w:rsid w:val="00791670"/>
    <w:rsid w:val="00793841"/>
    <w:rsid w:val="00795F71"/>
    <w:rsid w:val="0079615D"/>
    <w:rsid w:val="00796862"/>
    <w:rsid w:val="007A0DAC"/>
    <w:rsid w:val="007A2D83"/>
    <w:rsid w:val="007A4199"/>
    <w:rsid w:val="007A54C5"/>
    <w:rsid w:val="007B09D0"/>
    <w:rsid w:val="007B0C41"/>
    <w:rsid w:val="007B0C91"/>
    <w:rsid w:val="007B1D9D"/>
    <w:rsid w:val="007B3D35"/>
    <w:rsid w:val="007B4793"/>
    <w:rsid w:val="007B5595"/>
    <w:rsid w:val="007B5BD2"/>
    <w:rsid w:val="007B6FF1"/>
    <w:rsid w:val="007B7AB0"/>
    <w:rsid w:val="007C25DF"/>
    <w:rsid w:val="007C28A8"/>
    <w:rsid w:val="007C3F3E"/>
    <w:rsid w:val="007C42F6"/>
    <w:rsid w:val="007C5A85"/>
    <w:rsid w:val="007C79B5"/>
    <w:rsid w:val="007D0E8D"/>
    <w:rsid w:val="007D2190"/>
    <w:rsid w:val="007D4D32"/>
    <w:rsid w:val="007D5B1A"/>
    <w:rsid w:val="007D799F"/>
    <w:rsid w:val="007E0520"/>
    <w:rsid w:val="007E11FE"/>
    <w:rsid w:val="007E141A"/>
    <w:rsid w:val="007E2B38"/>
    <w:rsid w:val="007E33F0"/>
    <w:rsid w:val="007E4E6C"/>
    <w:rsid w:val="007E59D3"/>
    <w:rsid w:val="007E73AB"/>
    <w:rsid w:val="007F0847"/>
    <w:rsid w:val="007F2674"/>
    <w:rsid w:val="00800250"/>
    <w:rsid w:val="00801159"/>
    <w:rsid w:val="00804370"/>
    <w:rsid w:val="00806210"/>
    <w:rsid w:val="0081132C"/>
    <w:rsid w:val="00811AD1"/>
    <w:rsid w:val="008120F2"/>
    <w:rsid w:val="00816B43"/>
    <w:rsid w:val="00816C11"/>
    <w:rsid w:val="00821081"/>
    <w:rsid w:val="00825A55"/>
    <w:rsid w:val="00826EBA"/>
    <w:rsid w:val="00827E80"/>
    <w:rsid w:val="0083220A"/>
    <w:rsid w:val="008331B9"/>
    <w:rsid w:val="0083796B"/>
    <w:rsid w:val="008400BE"/>
    <w:rsid w:val="008463C9"/>
    <w:rsid w:val="00853C07"/>
    <w:rsid w:val="00860EF3"/>
    <w:rsid w:val="00863113"/>
    <w:rsid w:val="00864C25"/>
    <w:rsid w:val="00864CCB"/>
    <w:rsid w:val="00865078"/>
    <w:rsid w:val="008664C7"/>
    <w:rsid w:val="00866A57"/>
    <w:rsid w:val="0086799A"/>
    <w:rsid w:val="00874755"/>
    <w:rsid w:val="008771B1"/>
    <w:rsid w:val="008812ED"/>
    <w:rsid w:val="008837D0"/>
    <w:rsid w:val="008846B9"/>
    <w:rsid w:val="00890CBF"/>
    <w:rsid w:val="00890F2C"/>
    <w:rsid w:val="008916CC"/>
    <w:rsid w:val="0089330B"/>
    <w:rsid w:val="008934C5"/>
    <w:rsid w:val="008947BC"/>
    <w:rsid w:val="00894C55"/>
    <w:rsid w:val="008A6141"/>
    <w:rsid w:val="008A69AB"/>
    <w:rsid w:val="008A7330"/>
    <w:rsid w:val="008B0CB8"/>
    <w:rsid w:val="008B0CD3"/>
    <w:rsid w:val="008B1C5F"/>
    <w:rsid w:val="008B20D7"/>
    <w:rsid w:val="008B2D32"/>
    <w:rsid w:val="008B3714"/>
    <w:rsid w:val="008B3F1F"/>
    <w:rsid w:val="008B502F"/>
    <w:rsid w:val="008B5C70"/>
    <w:rsid w:val="008C1386"/>
    <w:rsid w:val="008C3AF3"/>
    <w:rsid w:val="008C3FBC"/>
    <w:rsid w:val="008C5359"/>
    <w:rsid w:val="008C65F3"/>
    <w:rsid w:val="008D0F15"/>
    <w:rsid w:val="008D2808"/>
    <w:rsid w:val="008D3AE6"/>
    <w:rsid w:val="008D6CE3"/>
    <w:rsid w:val="008D7340"/>
    <w:rsid w:val="008E112D"/>
    <w:rsid w:val="008E36FA"/>
    <w:rsid w:val="008E3817"/>
    <w:rsid w:val="008E5CED"/>
    <w:rsid w:val="008E6E55"/>
    <w:rsid w:val="008F1202"/>
    <w:rsid w:val="008F2FDB"/>
    <w:rsid w:val="008F7994"/>
    <w:rsid w:val="008F7CF0"/>
    <w:rsid w:val="0090048B"/>
    <w:rsid w:val="00904BFA"/>
    <w:rsid w:val="00905C24"/>
    <w:rsid w:val="009107B9"/>
    <w:rsid w:val="009121A9"/>
    <w:rsid w:val="0091604A"/>
    <w:rsid w:val="00916383"/>
    <w:rsid w:val="00916448"/>
    <w:rsid w:val="009166F1"/>
    <w:rsid w:val="00916CCC"/>
    <w:rsid w:val="00921C6E"/>
    <w:rsid w:val="00922853"/>
    <w:rsid w:val="0092521D"/>
    <w:rsid w:val="00926D4A"/>
    <w:rsid w:val="009272DB"/>
    <w:rsid w:val="00930809"/>
    <w:rsid w:val="00931C3E"/>
    <w:rsid w:val="00932070"/>
    <w:rsid w:val="009322FC"/>
    <w:rsid w:val="009354BC"/>
    <w:rsid w:val="009401CE"/>
    <w:rsid w:val="00943C42"/>
    <w:rsid w:val="00943DD2"/>
    <w:rsid w:val="00946036"/>
    <w:rsid w:val="00946476"/>
    <w:rsid w:val="00947035"/>
    <w:rsid w:val="00947D5F"/>
    <w:rsid w:val="00947F42"/>
    <w:rsid w:val="00950BF7"/>
    <w:rsid w:val="009515EA"/>
    <w:rsid w:val="0095190A"/>
    <w:rsid w:val="00953A23"/>
    <w:rsid w:val="009542A9"/>
    <w:rsid w:val="00957818"/>
    <w:rsid w:val="009608DC"/>
    <w:rsid w:val="00960B97"/>
    <w:rsid w:val="00961F1C"/>
    <w:rsid w:val="009708D5"/>
    <w:rsid w:val="0097272C"/>
    <w:rsid w:val="00975091"/>
    <w:rsid w:val="00976A50"/>
    <w:rsid w:val="009773A5"/>
    <w:rsid w:val="00977962"/>
    <w:rsid w:val="00977B5D"/>
    <w:rsid w:val="00982E53"/>
    <w:rsid w:val="00985EE1"/>
    <w:rsid w:val="00990155"/>
    <w:rsid w:val="009911A8"/>
    <w:rsid w:val="009920AA"/>
    <w:rsid w:val="00992A6F"/>
    <w:rsid w:val="00996362"/>
    <w:rsid w:val="00996744"/>
    <w:rsid w:val="009A2654"/>
    <w:rsid w:val="009A35B1"/>
    <w:rsid w:val="009A572C"/>
    <w:rsid w:val="009A600F"/>
    <w:rsid w:val="009A72D1"/>
    <w:rsid w:val="009B2E56"/>
    <w:rsid w:val="009B502D"/>
    <w:rsid w:val="009B5943"/>
    <w:rsid w:val="009B6303"/>
    <w:rsid w:val="009B6BD5"/>
    <w:rsid w:val="009C3E20"/>
    <w:rsid w:val="009C5AB7"/>
    <w:rsid w:val="009D07D8"/>
    <w:rsid w:val="009D0A52"/>
    <w:rsid w:val="009D1C5D"/>
    <w:rsid w:val="009D1F47"/>
    <w:rsid w:val="009D71CF"/>
    <w:rsid w:val="009D7514"/>
    <w:rsid w:val="009E0525"/>
    <w:rsid w:val="009E0B64"/>
    <w:rsid w:val="009E2C82"/>
    <w:rsid w:val="009F1A6E"/>
    <w:rsid w:val="009F274D"/>
    <w:rsid w:val="009F4027"/>
    <w:rsid w:val="009F4B9B"/>
    <w:rsid w:val="00A002E2"/>
    <w:rsid w:val="00A00775"/>
    <w:rsid w:val="00A0174C"/>
    <w:rsid w:val="00A02717"/>
    <w:rsid w:val="00A03D63"/>
    <w:rsid w:val="00A04714"/>
    <w:rsid w:val="00A054CB"/>
    <w:rsid w:val="00A05A33"/>
    <w:rsid w:val="00A05AB2"/>
    <w:rsid w:val="00A05E1F"/>
    <w:rsid w:val="00A10F21"/>
    <w:rsid w:val="00A11304"/>
    <w:rsid w:val="00A11F29"/>
    <w:rsid w:val="00A1507F"/>
    <w:rsid w:val="00A15FF0"/>
    <w:rsid w:val="00A168D1"/>
    <w:rsid w:val="00A169D2"/>
    <w:rsid w:val="00A17557"/>
    <w:rsid w:val="00A1779A"/>
    <w:rsid w:val="00A20A8E"/>
    <w:rsid w:val="00A21D92"/>
    <w:rsid w:val="00A233D7"/>
    <w:rsid w:val="00A30EFC"/>
    <w:rsid w:val="00A3312C"/>
    <w:rsid w:val="00A369F3"/>
    <w:rsid w:val="00A403D0"/>
    <w:rsid w:val="00A40567"/>
    <w:rsid w:val="00A4129E"/>
    <w:rsid w:val="00A42FD4"/>
    <w:rsid w:val="00A43926"/>
    <w:rsid w:val="00A43ED5"/>
    <w:rsid w:val="00A448BF"/>
    <w:rsid w:val="00A4778E"/>
    <w:rsid w:val="00A4779D"/>
    <w:rsid w:val="00A47FB5"/>
    <w:rsid w:val="00A522B4"/>
    <w:rsid w:val="00A6073E"/>
    <w:rsid w:val="00A65114"/>
    <w:rsid w:val="00A67CA7"/>
    <w:rsid w:val="00A709AE"/>
    <w:rsid w:val="00A7182E"/>
    <w:rsid w:val="00A72756"/>
    <w:rsid w:val="00A73BC9"/>
    <w:rsid w:val="00A74FD2"/>
    <w:rsid w:val="00A75507"/>
    <w:rsid w:val="00A7651B"/>
    <w:rsid w:val="00A80A87"/>
    <w:rsid w:val="00A814C7"/>
    <w:rsid w:val="00A847CA"/>
    <w:rsid w:val="00A87D55"/>
    <w:rsid w:val="00A87FA9"/>
    <w:rsid w:val="00A9006E"/>
    <w:rsid w:val="00A9230B"/>
    <w:rsid w:val="00A93DDF"/>
    <w:rsid w:val="00A94057"/>
    <w:rsid w:val="00A952A0"/>
    <w:rsid w:val="00A96C20"/>
    <w:rsid w:val="00A96C57"/>
    <w:rsid w:val="00A97884"/>
    <w:rsid w:val="00AA50F6"/>
    <w:rsid w:val="00AA53D8"/>
    <w:rsid w:val="00AA665C"/>
    <w:rsid w:val="00AB08B0"/>
    <w:rsid w:val="00AB36FF"/>
    <w:rsid w:val="00AB3F90"/>
    <w:rsid w:val="00AB563D"/>
    <w:rsid w:val="00AC2599"/>
    <w:rsid w:val="00AD4A14"/>
    <w:rsid w:val="00AD5FB2"/>
    <w:rsid w:val="00AD6A40"/>
    <w:rsid w:val="00AD7A56"/>
    <w:rsid w:val="00AE1B91"/>
    <w:rsid w:val="00AE2399"/>
    <w:rsid w:val="00AE30DD"/>
    <w:rsid w:val="00AE32F1"/>
    <w:rsid w:val="00AE41D4"/>
    <w:rsid w:val="00AE4BA7"/>
    <w:rsid w:val="00AE5567"/>
    <w:rsid w:val="00AE5D3E"/>
    <w:rsid w:val="00AE6869"/>
    <w:rsid w:val="00AF0BCF"/>
    <w:rsid w:val="00AF46DF"/>
    <w:rsid w:val="00AF4B50"/>
    <w:rsid w:val="00AF5338"/>
    <w:rsid w:val="00AF6286"/>
    <w:rsid w:val="00B00344"/>
    <w:rsid w:val="00B004D2"/>
    <w:rsid w:val="00B01D68"/>
    <w:rsid w:val="00B03583"/>
    <w:rsid w:val="00B03DD8"/>
    <w:rsid w:val="00B06B5F"/>
    <w:rsid w:val="00B06D50"/>
    <w:rsid w:val="00B072AA"/>
    <w:rsid w:val="00B11459"/>
    <w:rsid w:val="00B1279C"/>
    <w:rsid w:val="00B13A91"/>
    <w:rsid w:val="00B2165C"/>
    <w:rsid w:val="00B403CC"/>
    <w:rsid w:val="00B40B87"/>
    <w:rsid w:val="00B43486"/>
    <w:rsid w:val="00B451D9"/>
    <w:rsid w:val="00B50CEB"/>
    <w:rsid w:val="00B54520"/>
    <w:rsid w:val="00B55415"/>
    <w:rsid w:val="00B5715E"/>
    <w:rsid w:val="00B605EC"/>
    <w:rsid w:val="00B611DD"/>
    <w:rsid w:val="00B62446"/>
    <w:rsid w:val="00B63164"/>
    <w:rsid w:val="00B662D8"/>
    <w:rsid w:val="00B6687C"/>
    <w:rsid w:val="00B6717C"/>
    <w:rsid w:val="00B67A27"/>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EB2"/>
    <w:rsid w:val="00B95B3D"/>
    <w:rsid w:val="00B96645"/>
    <w:rsid w:val="00B97B9A"/>
    <w:rsid w:val="00BA0130"/>
    <w:rsid w:val="00BA0F2F"/>
    <w:rsid w:val="00BA1922"/>
    <w:rsid w:val="00BA20AA"/>
    <w:rsid w:val="00BA7026"/>
    <w:rsid w:val="00BA7FD7"/>
    <w:rsid w:val="00BB259C"/>
    <w:rsid w:val="00BB3CE2"/>
    <w:rsid w:val="00BB42C2"/>
    <w:rsid w:val="00BB5818"/>
    <w:rsid w:val="00BC3838"/>
    <w:rsid w:val="00BC4B76"/>
    <w:rsid w:val="00BC5D94"/>
    <w:rsid w:val="00BC7687"/>
    <w:rsid w:val="00BC786E"/>
    <w:rsid w:val="00BD0D88"/>
    <w:rsid w:val="00BD4348"/>
    <w:rsid w:val="00BD4425"/>
    <w:rsid w:val="00BD6BD5"/>
    <w:rsid w:val="00BD74FB"/>
    <w:rsid w:val="00BE35FB"/>
    <w:rsid w:val="00BE47A1"/>
    <w:rsid w:val="00BE530B"/>
    <w:rsid w:val="00BE57CF"/>
    <w:rsid w:val="00BE5BA0"/>
    <w:rsid w:val="00BE6C6F"/>
    <w:rsid w:val="00BF098C"/>
    <w:rsid w:val="00BF2013"/>
    <w:rsid w:val="00BF5F44"/>
    <w:rsid w:val="00BF6544"/>
    <w:rsid w:val="00BF77A5"/>
    <w:rsid w:val="00C02514"/>
    <w:rsid w:val="00C04A62"/>
    <w:rsid w:val="00C05154"/>
    <w:rsid w:val="00C063A3"/>
    <w:rsid w:val="00C06C80"/>
    <w:rsid w:val="00C10CAC"/>
    <w:rsid w:val="00C13095"/>
    <w:rsid w:val="00C13E83"/>
    <w:rsid w:val="00C14905"/>
    <w:rsid w:val="00C15D4A"/>
    <w:rsid w:val="00C167D9"/>
    <w:rsid w:val="00C16E11"/>
    <w:rsid w:val="00C204CE"/>
    <w:rsid w:val="00C219F7"/>
    <w:rsid w:val="00C244AE"/>
    <w:rsid w:val="00C25014"/>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7D4E"/>
    <w:rsid w:val="00C630A5"/>
    <w:rsid w:val="00C66D2A"/>
    <w:rsid w:val="00C6704B"/>
    <w:rsid w:val="00C72714"/>
    <w:rsid w:val="00C74D06"/>
    <w:rsid w:val="00C75769"/>
    <w:rsid w:val="00C7636A"/>
    <w:rsid w:val="00C802A6"/>
    <w:rsid w:val="00C8148A"/>
    <w:rsid w:val="00C837AD"/>
    <w:rsid w:val="00C86548"/>
    <w:rsid w:val="00C8797F"/>
    <w:rsid w:val="00C879F5"/>
    <w:rsid w:val="00C97CE2"/>
    <w:rsid w:val="00C97D19"/>
    <w:rsid w:val="00CA0819"/>
    <w:rsid w:val="00CA5CAE"/>
    <w:rsid w:val="00CA6C6B"/>
    <w:rsid w:val="00CA7BF7"/>
    <w:rsid w:val="00CB4A21"/>
    <w:rsid w:val="00CB622E"/>
    <w:rsid w:val="00CB67B8"/>
    <w:rsid w:val="00CB6D2B"/>
    <w:rsid w:val="00CB6F74"/>
    <w:rsid w:val="00CC26F3"/>
    <w:rsid w:val="00CC4BB0"/>
    <w:rsid w:val="00CC51CB"/>
    <w:rsid w:val="00CC5638"/>
    <w:rsid w:val="00CC6E4C"/>
    <w:rsid w:val="00CD50A2"/>
    <w:rsid w:val="00CD667E"/>
    <w:rsid w:val="00CE1FCE"/>
    <w:rsid w:val="00CE2A15"/>
    <w:rsid w:val="00CE410D"/>
    <w:rsid w:val="00CE4357"/>
    <w:rsid w:val="00CE5657"/>
    <w:rsid w:val="00CF3120"/>
    <w:rsid w:val="00CF3D6A"/>
    <w:rsid w:val="00CF47D3"/>
    <w:rsid w:val="00CF5CE4"/>
    <w:rsid w:val="00CF659C"/>
    <w:rsid w:val="00CF6A43"/>
    <w:rsid w:val="00CF6EDB"/>
    <w:rsid w:val="00CF7825"/>
    <w:rsid w:val="00D03597"/>
    <w:rsid w:val="00D0622C"/>
    <w:rsid w:val="00D06402"/>
    <w:rsid w:val="00D0650A"/>
    <w:rsid w:val="00D06A7A"/>
    <w:rsid w:val="00D0746B"/>
    <w:rsid w:val="00D104EA"/>
    <w:rsid w:val="00D10E7A"/>
    <w:rsid w:val="00D126E1"/>
    <w:rsid w:val="00D12894"/>
    <w:rsid w:val="00D133F8"/>
    <w:rsid w:val="00D13A80"/>
    <w:rsid w:val="00D156B5"/>
    <w:rsid w:val="00D176ED"/>
    <w:rsid w:val="00D2408E"/>
    <w:rsid w:val="00D27CCD"/>
    <w:rsid w:val="00D27F62"/>
    <w:rsid w:val="00D30A89"/>
    <w:rsid w:val="00D30E82"/>
    <w:rsid w:val="00D32955"/>
    <w:rsid w:val="00D329E8"/>
    <w:rsid w:val="00D338F7"/>
    <w:rsid w:val="00D36331"/>
    <w:rsid w:val="00D37C1A"/>
    <w:rsid w:val="00D41556"/>
    <w:rsid w:val="00D41861"/>
    <w:rsid w:val="00D418E0"/>
    <w:rsid w:val="00D431B1"/>
    <w:rsid w:val="00D44D70"/>
    <w:rsid w:val="00D45F42"/>
    <w:rsid w:val="00D4660C"/>
    <w:rsid w:val="00D47FB7"/>
    <w:rsid w:val="00D54C64"/>
    <w:rsid w:val="00D55045"/>
    <w:rsid w:val="00D55B3D"/>
    <w:rsid w:val="00D55F16"/>
    <w:rsid w:val="00D607E1"/>
    <w:rsid w:val="00D60B43"/>
    <w:rsid w:val="00D62D1B"/>
    <w:rsid w:val="00D637F1"/>
    <w:rsid w:val="00D63CA8"/>
    <w:rsid w:val="00D73616"/>
    <w:rsid w:val="00D80853"/>
    <w:rsid w:val="00D81E91"/>
    <w:rsid w:val="00D85DAA"/>
    <w:rsid w:val="00D928F7"/>
    <w:rsid w:val="00D935CD"/>
    <w:rsid w:val="00D939BB"/>
    <w:rsid w:val="00DA57D4"/>
    <w:rsid w:val="00DB0A1D"/>
    <w:rsid w:val="00DB1D03"/>
    <w:rsid w:val="00DB3760"/>
    <w:rsid w:val="00DB55A9"/>
    <w:rsid w:val="00DB5B2C"/>
    <w:rsid w:val="00DB61C2"/>
    <w:rsid w:val="00DB751E"/>
    <w:rsid w:val="00DD0F14"/>
    <w:rsid w:val="00DD1854"/>
    <w:rsid w:val="00DD1C65"/>
    <w:rsid w:val="00DD242C"/>
    <w:rsid w:val="00DD48B6"/>
    <w:rsid w:val="00DD5E99"/>
    <w:rsid w:val="00DD5FCF"/>
    <w:rsid w:val="00DD635B"/>
    <w:rsid w:val="00DD65EB"/>
    <w:rsid w:val="00DD66A7"/>
    <w:rsid w:val="00DE4662"/>
    <w:rsid w:val="00DE614D"/>
    <w:rsid w:val="00DE7531"/>
    <w:rsid w:val="00DE7E54"/>
    <w:rsid w:val="00DF084F"/>
    <w:rsid w:val="00DF0F94"/>
    <w:rsid w:val="00DF49A7"/>
    <w:rsid w:val="00DF6462"/>
    <w:rsid w:val="00E0384C"/>
    <w:rsid w:val="00E0427E"/>
    <w:rsid w:val="00E0548E"/>
    <w:rsid w:val="00E06D16"/>
    <w:rsid w:val="00E071D0"/>
    <w:rsid w:val="00E11982"/>
    <w:rsid w:val="00E11C35"/>
    <w:rsid w:val="00E12D16"/>
    <w:rsid w:val="00E13A6F"/>
    <w:rsid w:val="00E159A0"/>
    <w:rsid w:val="00E15B81"/>
    <w:rsid w:val="00E21FE8"/>
    <w:rsid w:val="00E23C3F"/>
    <w:rsid w:val="00E2469E"/>
    <w:rsid w:val="00E26AF1"/>
    <w:rsid w:val="00E26B8C"/>
    <w:rsid w:val="00E3022D"/>
    <w:rsid w:val="00E30742"/>
    <w:rsid w:val="00E31D7B"/>
    <w:rsid w:val="00E32173"/>
    <w:rsid w:val="00E32F81"/>
    <w:rsid w:val="00E3348E"/>
    <w:rsid w:val="00E35F86"/>
    <w:rsid w:val="00E36DDE"/>
    <w:rsid w:val="00E36F81"/>
    <w:rsid w:val="00E3716B"/>
    <w:rsid w:val="00E47D6A"/>
    <w:rsid w:val="00E54CC2"/>
    <w:rsid w:val="00E54D16"/>
    <w:rsid w:val="00E55552"/>
    <w:rsid w:val="00E5759C"/>
    <w:rsid w:val="00E602CC"/>
    <w:rsid w:val="00E6079F"/>
    <w:rsid w:val="00E638A8"/>
    <w:rsid w:val="00E639BE"/>
    <w:rsid w:val="00E64DBF"/>
    <w:rsid w:val="00E7202A"/>
    <w:rsid w:val="00E75430"/>
    <w:rsid w:val="00E759B1"/>
    <w:rsid w:val="00E75EAC"/>
    <w:rsid w:val="00E7774A"/>
    <w:rsid w:val="00E8197F"/>
    <w:rsid w:val="00E834FD"/>
    <w:rsid w:val="00E83FEA"/>
    <w:rsid w:val="00E854EF"/>
    <w:rsid w:val="00E90C01"/>
    <w:rsid w:val="00E97C4B"/>
    <w:rsid w:val="00EA03A9"/>
    <w:rsid w:val="00EA486E"/>
    <w:rsid w:val="00EB1482"/>
    <w:rsid w:val="00EB253D"/>
    <w:rsid w:val="00EB2DCB"/>
    <w:rsid w:val="00EB3079"/>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D3B0B"/>
    <w:rsid w:val="00ED731A"/>
    <w:rsid w:val="00EE0B62"/>
    <w:rsid w:val="00EE3B9E"/>
    <w:rsid w:val="00EE5505"/>
    <w:rsid w:val="00EE6FAF"/>
    <w:rsid w:val="00EF2061"/>
    <w:rsid w:val="00EF2740"/>
    <w:rsid w:val="00EF36A4"/>
    <w:rsid w:val="00EF62A3"/>
    <w:rsid w:val="00F028C2"/>
    <w:rsid w:val="00F02E08"/>
    <w:rsid w:val="00F02F8F"/>
    <w:rsid w:val="00F034D0"/>
    <w:rsid w:val="00F05BCC"/>
    <w:rsid w:val="00F10194"/>
    <w:rsid w:val="00F12265"/>
    <w:rsid w:val="00F13045"/>
    <w:rsid w:val="00F13BC9"/>
    <w:rsid w:val="00F149B2"/>
    <w:rsid w:val="00F150D4"/>
    <w:rsid w:val="00F151E9"/>
    <w:rsid w:val="00F15A1B"/>
    <w:rsid w:val="00F16B6F"/>
    <w:rsid w:val="00F22C87"/>
    <w:rsid w:val="00F26F52"/>
    <w:rsid w:val="00F270A9"/>
    <w:rsid w:val="00F366A7"/>
    <w:rsid w:val="00F375C8"/>
    <w:rsid w:val="00F40B02"/>
    <w:rsid w:val="00F416EB"/>
    <w:rsid w:val="00F41DC8"/>
    <w:rsid w:val="00F4245F"/>
    <w:rsid w:val="00F43B0C"/>
    <w:rsid w:val="00F44344"/>
    <w:rsid w:val="00F450C6"/>
    <w:rsid w:val="00F46935"/>
    <w:rsid w:val="00F50436"/>
    <w:rsid w:val="00F509C2"/>
    <w:rsid w:val="00F50E4A"/>
    <w:rsid w:val="00F53363"/>
    <w:rsid w:val="00F5368B"/>
    <w:rsid w:val="00F546DD"/>
    <w:rsid w:val="00F55104"/>
    <w:rsid w:val="00F57B0C"/>
    <w:rsid w:val="00F60410"/>
    <w:rsid w:val="00F66785"/>
    <w:rsid w:val="00F66EFD"/>
    <w:rsid w:val="00F704BA"/>
    <w:rsid w:val="00F72472"/>
    <w:rsid w:val="00F73DBD"/>
    <w:rsid w:val="00F76963"/>
    <w:rsid w:val="00F80D10"/>
    <w:rsid w:val="00F81403"/>
    <w:rsid w:val="00F838B5"/>
    <w:rsid w:val="00F8773B"/>
    <w:rsid w:val="00F87FED"/>
    <w:rsid w:val="00F900D3"/>
    <w:rsid w:val="00F90FE8"/>
    <w:rsid w:val="00F911AA"/>
    <w:rsid w:val="00F91775"/>
    <w:rsid w:val="00F93B29"/>
    <w:rsid w:val="00F93F05"/>
    <w:rsid w:val="00F94610"/>
    <w:rsid w:val="00FA48DC"/>
    <w:rsid w:val="00FA56EC"/>
    <w:rsid w:val="00FB0124"/>
    <w:rsid w:val="00FB097A"/>
    <w:rsid w:val="00FB0FDA"/>
    <w:rsid w:val="00FB3F2C"/>
    <w:rsid w:val="00FB55E9"/>
    <w:rsid w:val="00FC265C"/>
    <w:rsid w:val="00FC4104"/>
    <w:rsid w:val="00FD0370"/>
    <w:rsid w:val="00FD16CB"/>
    <w:rsid w:val="00FD29B7"/>
    <w:rsid w:val="00FE06F6"/>
    <w:rsid w:val="00FE0D73"/>
    <w:rsid w:val="00FE2892"/>
    <w:rsid w:val="00FE308A"/>
    <w:rsid w:val="00FE332C"/>
    <w:rsid w:val="00FE3590"/>
    <w:rsid w:val="00FE4198"/>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A892-5339-41D1-AA90-F93E71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CC32D63-2082-4BBA-A787-7A5A0262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10533</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ru kabineta rīkojuma projekta "Par valsts nekustamā īpašuma Rīgas ielā 211B, Jēkabpilī, nodošanu Jēkabpils pilsētas pašvaldības īpašumā" sākotnējās ietekmes novērtējuma ziņojums (anotācija)</vt:lpstr>
    </vt:vector>
  </TitlesOfParts>
  <Manager/>
  <Company>FM (VNĪ)</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kabineta rīkojuma projekta "Par valsts nekustamā īpašuma Rīgas ielā 211B, Jēkabpilī, nodošanu Jēkabpils pilsētas pašvaldības īpašumā" sākotnējās ietekmes novērtējuma ziņojums (anotācija)</dc:title>
  <dc:subject>Ministru kabineta rīkojuma projekta sākotnējās ietekms novērtējuma ziņojums (anotācija)</dc:subject>
  <dc:creator>Liga.Rozenberga@vni.lv</dc:creator>
  <dc:description>Liga.Rozenberga@vni.lv
67024608</dc:description>
  <cp:lastModifiedBy>Līga Rozenberga</cp:lastModifiedBy>
  <cp:revision>20</cp:revision>
  <cp:lastPrinted>2019-08-21T12:56:00Z</cp:lastPrinted>
  <dcterms:created xsi:type="dcterms:W3CDTF">2020-06-14T17:26:00Z</dcterms:created>
  <dcterms:modified xsi:type="dcterms:W3CDTF">2020-06-15T14:06:00Z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