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2F2" w:rsidRPr="008C62F2" w:rsidRDefault="006B03CB" w:rsidP="00A420A8">
      <w:pPr>
        <w:ind w:left="-284"/>
        <w:jc w:val="center"/>
        <w:rPr>
          <w:b/>
          <w:bCs/>
        </w:rPr>
      </w:pPr>
      <w:r w:rsidRPr="006B03CB">
        <w:rPr>
          <w:b/>
          <w:bCs/>
        </w:rPr>
        <w:t>Izziņa par atzinumos sniegtajiem iebildumiem</w:t>
      </w:r>
    </w:p>
    <w:p w:rsidR="008C62F2" w:rsidRPr="008C62F2" w:rsidRDefault="008C62F2" w:rsidP="008C62F2"/>
    <w:tbl>
      <w:tblPr>
        <w:tblW w:w="0" w:type="auto"/>
        <w:jc w:val="center"/>
        <w:tblLook w:val="00A0" w:firstRow="1" w:lastRow="0" w:firstColumn="1" w:lastColumn="0" w:noHBand="0" w:noVBand="0"/>
      </w:tblPr>
      <w:tblGrid>
        <w:gridCol w:w="10188"/>
      </w:tblGrid>
      <w:tr w:rsidR="008C62F2" w:rsidRPr="008C62F2" w:rsidTr="007C1E2D">
        <w:trPr>
          <w:jc w:val="center"/>
        </w:trPr>
        <w:tc>
          <w:tcPr>
            <w:tcW w:w="10188" w:type="dxa"/>
            <w:tcBorders>
              <w:bottom w:val="single" w:sz="6" w:space="0" w:color="000000"/>
            </w:tcBorders>
          </w:tcPr>
          <w:p w:rsidR="008C62F2" w:rsidRPr="004E077F" w:rsidRDefault="007A4825" w:rsidP="000D457C">
            <w:pPr>
              <w:jc w:val="center"/>
              <w:rPr>
                <w:b/>
              </w:rPr>
            </w:pPr>
            <w:r w:rsidRPr="004E077F">
              <w:rPr>
                <w:b/>
              </w:rPr>
              <w:t>Likumprojekts “</w:t>
            </w:r>
            <w:r w:rsidR="000D457C">
              <w:rPr>
                <w:b/>
              </w:rPr>
              <w:t>Grozījumi Alternatīvo ieguldījumu fondu un to pārvaldnieku likumā”</w:t>
            </w:r>
          </w:p>
        </w:tc>
      </w:tr>
    </w:tbl>
    <w:p w:rsidR="008C62F2" w:rsidRPr="008C62F2" w:rsidRDefault="008C62F2" w:rsidP="008C62F2">
      <w:pPr>
        <w:jc w:val="center"/>
      </w:pPr>
      <w:r w:rsidRPr="008C62F2">
        <w:t>(dokumenta veids un nosaukums)</w:t>
      </w:r>
    </w:p>
    <w:p w:rsidR="008C62F2" w:rsidRPr="008C62F2" w:rsidRDefault="008C62F2" w:rsidP="008C62F2"/>
    <w:p w:rsidR="008C62F2" w:rsidRPr="008C62F2" w:rsidRDefault="008C62F2" w:rsidP="008C62F2">
      <w:pPr>
        <w:rPr>
          <w:b/>
        </w:rPr>
      </w:pPr>
      <w:r w:rsidRPr="008C62F2">
        <w:rPr>
          <w:b/>
        </w:rPr>
        <w:t>I. Jautājumi, par kuriem saskaņošanā vienošanās nav panākta</w:t>
      </w:r>
    </w:p>
    <w:p w:rsidR="008C62F2" w:rsidRPr="008C62F2" w:rsidRDefault="008C62F2" w:rsidP="008C62F2"/>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8C62F2" w:rsidRPr="008C62F2" w:rsidTr="007C1E2D">
        <w:tc>
          <w:tcPr>
            <w:tcW w:w="708" w:type="dxa"/>
            <w:tcBorders>
              <w:top w:val="single" w:sz="6" w:space="0" w:color="000000"/>
              <w:left w:val="single" w:sz="6" w:space="0" w:color="000000"/>
              <w:bottom w:val="single" w:sz="6" w:space="0" w:color="000000"/>
              <w:right w:val="single" w:sz="6" w:space="0" w:color="000000"/>
            </w:tcBorders>
            <w:vAlign w:val="center"/>
          </w:tcPr>
          <w:p w:rsidR="008C62F2" w:rsidRPr="008C62F2" w:rsidRDefault="008C62F2" w:rsidP="008C62F2">
            <w:r w:rsidRPr="008C62F2">
              <w:t>Nr. p. k.</w:t>
            </w:r>
          </w:p>
        </w:tc>
        <w:tc>
          <w:tcPr>
            <w:tcW w:w="3086" w:type="dxa"/>
            <w:tcBorders>
              <w:top w:val="single" w:sz="6" w:space="0" w:color="000000"/>
              <w:left w:val="single" w:sz="6" w:space="0" w:color="000000"/>
              <w:bottom w:val="single" w:sz="6" w:space="0" w:color="000000"/>
              <w:right w:val="single" w:sz="6" w:space="0" w:color="000000"/>
            </w:tcBorders>
            <w:vAlign w:val="center"/>
          </w:tcPr>
          <w:p w:rsidR="008C62F2" w:rsidRPr="008C62F2" w:rsidRDefault="008C62F2" w:rsidP="008C62F2">
            <w:pPr>
              <w:jc w:val="center"/>
            </w:pPr>
            <w:r w:rsidRPr="008C62F2">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rsidR="008C62F2" w:rsidRPr="008C62F2" w:rsidRDefault="008C62F2" w:rsidP="008C62F2">
            <w:pPr>
              <w:jc w:val="center"/>
            </w:pPr>
            <w:r w:rsidRPr="008C62F2">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rsidR="008C62F2" w:rsidRPr="008C62F2" w:rsidRDefault="008C62F2" w:rsidP="008C62F2">
            <w:pPr>
              <w:jc w:val="center"/>
            </w:pPr>
            <w:r w:rsidRPr="008C62F2">
              <w:t>Atbildīgās ministrijas pamatojums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rsidR="008C62F2" w:rsidRPr="008C62F2" w:rsidRDefault="008C62F2" w:rsidP="008C62F2">
            <w:pPr>
              <w:jc w:val="center"/>
            </w:pPr>
            <w:r w:rsidRPr="008C62F2">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rsidR="008C62F2" w:rsidRPr="008C62F2" w:rsidRDefault="008C62F2" w:rsidP="008C62F2">
            <w:pPr>
              <w:jc w:val="center"/>
            </w:pPr>
            <w:r w:rsidRPr="008C62F2">
              <w:t>Projekta attiecīgā punkta (panta) galīgā redakcija</w:t>
            </w:r>
          </w:p>
        </w:tc>
      </w:tr>
      <w:tr w:rsidR="008C62F2" w:rsidRPr="008C62F2" w:rsidTr="007C1E2D">
        <w:tc>
          <w:tcPr>
            <w:tcW w:w="708" w:type="dxa"/>
            <w:tcBorders>
              <w:top w:val="single" w:sz="6" w:space="0" w:color="000000"/>
              <w:left w:val="single" w:sz="6" w:space="0" w:color="000000"/>
              <w:bottom w:val="single" w:sz="6" w:space="0" w:color="000000"/>
              <w:right w:val="single" w:sz="6" w:space="0" w:color="000000"/>
            </w:tcBorders>
          </w:tcPr>
          <w:p w:rsidR="008C62F2" w:rsidRPr="008C62F2" w:rsidRDefault="008C62F2" w:rsidP="008C62F2">
            <w:r w:rsidRPr="008C62F2">
              <w:t>1</w:t>
            </w:r>
          </w:p>
        </w:tc>
        <w:tc>
          <w:tcPr>
            <w:tcW w:w="3086" w:type="dxa"/>
            <w:tcBorders>
              <w:top w:val="single" w:sz="6" w:space="0" w:color="000000"/>
              <w:left w:val="single" w:sz="6" w:space="0" w:color="000000"/>
              <w:bottom w:val="single" w:sz="6" w:space="0" w:color="000000"/>
              <w:right w:val="single" w:sz="6" w:space="0" w:color="000000"/>
            </w:tcBorders>
          </w:tcPr>
          <w:p w:rsidR="008C62F2" w:rsidRPr="008C62F2" w:rsidRDefault="008C62F2" w:rsidP="008C62F2">
            <w:pPr>
              <w:jc w:val="center"/>
            </w:pPr>
            <w:r w:rsidRPr="008C62F2">
              <w:t>2</w:t>
            </w:r>
          </w:p>
        </w:tc>
        <w:tc>
          <w:tcPr>
            <w:tcW w:w="3118" w:type="dxa"/>
            <w:tcBorders>
              <w:top w:val="single" w:sz="6" w:space="0" w:color="000000"/>
              <w:left w:val="single" w:sz="6" w:space="0" w:color="000000"/>
              <w:bottom w:val="single" w:sz="6" w:space="0" w:color="000000"/>
              <w:right w:val="single" w:sz="6" w:space="0" w:color="000000"/>
            </w:tcBorders>
          </w:tcPr>
          <w:p w:rsidR="008C62F2" w:rsidRPr="008C62F2" w:rsidRDefault="008C62F2" w:rsidP="008C62F2">
            <w:pPr>
              <w:jc w:val="center"/>
            </w:pPr>
            <w:r w:rsidRPr="008C62F2">
              <w:t>3</w:t>
            </w:r>
          </w:p>
        </w:tc>
        <w:tc>
          <w:tcPr>
            <w:tcW w:w="2977" w:type="dxa"/>
            <w:tcBorders>
              <w:top w:val="single" w:sz="6" w:space="0" w:color="000000"/>
              <w:left w:val="single" w:sz="6" w:space="0" w:color="000000"/>
              <w:bottom w:val="single" w:sz="6" w:space="0" w:color="000000"/>
              <w:right w:val="single" w:sz="6" w:space="0" w:color="000000"/>
            </w:tcBorders>
          </w:tcPr>
          <w:p w:rsidR="008C62F2" w:rsidRPr="008C62F2" w:rsidRDefault="008C62F2" w:rsidP="008C62F2">
            <w:pPr>
              <w:jc w:val="center"/>
            </w:pPr>
            <w:r w:rsidRPr="008C62F2">
              <w:t>4</w:t>
            </w:r>
          </w:p>
        </w:tc>
        <w:tc>
          <w:tcPr>
            <w:tcW w:w="2459" w:type="dxa"/>
            <w:tcBorders>
              <w:top w:val="single" w:sz="4" w:space="0" w:color="auto"/>
              <w:left w:val="single" w:sz="4" w:space="0" w:color="auto"/>
              <w:bottom w:val="single" w:sz="4" w:space="0" w:color="auto"/>
              <w:right w:val="single" w:sz="4" w:space="0" w:color="auto"/>
            </w:tcBorders>
          </w:tcPr>
          <w:p w:rsidR="008C62F2" w:rsidRPr="008C62F2" w:rsidRDefault="008C62F2" w:rsidP="008C62F2">
            <w:pPr>
              <w:jc w:val="center"/>
            </w:pPr>
            <w:r w:rsidRPr="008C62F2">
              <w:t>5</w:t>
            </w:r>
          </w:p>
        </w:tc>
        <w:tc>
          <w:tcPr>
            <w:tcW w:w="1920" w:type="dxa"/>
            <w:tcBorders>
              <w:top w:val="single" w:sz="4" w:space="0" w:color="auto"/>
              <w:left w:val="single" w:sz="4" w:space="0" w:color="auto"/>
              <w:bottom w:val="single" w:sz="4" w:space="0" w:color="auto"/>
            </w:tcBorders>
          </w:tcPr>
          <w:p w:rsidR="008C62F2" w:rsidRPr="008C62F2" w:rsidRDefault="008C62F2" w:rsidP="008C62F2">
            <w:pPr>
              <w:jc w:val="center"/>
            </w:pPr>
            <w:r w:rsidRPr="008C62F2">
              <w:t>6</w:t>
            </w:r>
          </w:p>
        </w:tc>
      </w:tr>
      <w:tr w:rsidR="00076F00" w:rsidRPr="008C62F2" w:rsidTr="007C1E2D">
        <w:tc>
          <w:tcPr>
            <w:tcW w:w="708" w:type="dxa"/>
            <w:tcBorders>
              <w:left w:val="single" w:sz="6" w:space="0" w:color="000000"/>
              <w:bottom w:val="single" w:sz="4" w:space="0" w:color="auto"/>
              <w:right w:val="single" w:sz="6" w:space="0" w:color="000000"/>
            </w:tcBorders>
          </w:tcPr>
          <w:p w:rsidR="00076F00" w:rsidRDefault="00076F00" w:rsidP="008C62F2"/>
        </w:tc>
        <w:tc>
          <w:tcPr>
            <w:tcW w:w="3086" w:type="dxa"/>
            <w:tcBorders>
              <w:left w:val="single" w:sz="6" w:space="0" w:color="000000"/>
              <w:bottom w:val="single" w:sz="4" w:space="0" w:color="auto"/>
              <w:right w:val="single" w:sz="6" w:space="0" w:color="000000"/>
            </w:tcBorders>
          </w:tcPr>
          <w:p w:rsidR="00076F00" w:rsidRPr="00076F00" w:rsidRDefault="00076F00" w:rsidP="00076F00">
            <w:pPr>
              <w:jc w:val="both"/>
              <w:rPr>
                <w:szCs w:val="24"/>
              </w:rPr>
            </w:pPr>
          </w:p>
        </w:tc>
        <w:tc>
          <w:tcPr>
            <w:tcW w:w="3118" w:type="dxa"/>
            <w:tcBorders>
              <w:left w:val="single" w:sz="6" w:space="0" w:color="000000"/>
              <w:bottom w:val="single" w:sz="4" w:space="0" w:color="auto"/>
              <w:right w:val="single" w:sz="6" w:space="0" w:color="000000"/>
            </w:tcBorders>
          </w:tcPr>
          <w:p w:rsidR="00076F00" w:rsidRDefault="00076F00" w:rsidP="00076F00">
            <w:pPr>
              <w:jc w:val="both"/>
            </w:pPr>
          </w:p>
        </w:tc>
        <w:tc>
          <w:tcPr>
            <w:tcW w:w="2977" w:type="dxa"/>
            <w:tcBorders>
              <w:left w:val="single" w:sz="6" w:space="0" w:color="000000"/>
              <w:bottom w:val="single" w:sz="4" w:space="0" w:color="auto"/>
              <w:right w:val="single" w:sz="6" w:space="0" w:color="000000"/>
            </w:tcBorders>
          </w:tcPr>
          <w:p w:rsidR="00076F00" w:rsidRPr="00076F00" w:rsidRDefault="00076F00" w:rsidP="00076F00">
            <w:pPr>
              <w:jc w:val="both"/>
            </w:pPr>
          </w:p>
        </w:tc>
        <w:tc>
          <w:tcPr>
            <w:tcW w:w="2459" w:type="dxa"/>
            <w:tcBorders>
              <w:top w:val="single" w:sz="4" w:space="0" w:color="auto"/>
              <w:left w:val="single" w:sz="4" w:space="0" w:color="auto"/>
              <w:bottom w:val="single" w:sz="4" w:space="0" w:color="auto"/>
              <w:right w:val="single" w:sz="4" w:space="0" w:color="auto"/>
            </w:tcBorders>
          </w:tcPr>
          <w:p w:rsidR="00076F00" w:rsidRPr="008C62F2" w:rsidRDefault="00076F00" w:rsidP="008C62F2"/>
        </w:tc>
        <w:tc>
          <w:tcPr>
            <w:tcW w:w="1920" w:type="dxa"/>
            <w:tcBorders>
              <w:top w:val="single" w:sz="4" w:space="0" w:color="auto"/>
              <w:left w:val="single" w:sz="4" w:space="0" w:color="auto"/>
              <w:bottom w:val="single" w:sz="4" w:space="0" w:color="auto"/>
            </w:tcBorders>
          </w:tcPr>
          <w:p w:rsidR="00076F00" w:rsidRDefault="00076F00" w:rsidP="00076F00">
            <w:pPr>
              <w:jc w:val="both"/>
            </w:pPr>
          </w:p>
        </w:tc>
      </w:tr>
      <w:tr w:rsidR="00765E9B" w:rsidRPr="008C62F2" w:rsidTr="007C1E2D">
        <w:tc>
          <w:tcPr>
            <w:tcW w:w="708" w:type="dxa"/>
            <w:tcBorders>
              <w:left w:val="single" w:sz="6" w:space="0" w:color="000000"/>
              <w:bottom w:val="single" w:sz="4" w:space="0" w:color="auto"/>
              <w:right w:val="single" w:sz="6" w:space="0" w:color="000000"/>
            </w:tcBorders>
          </w:tcPr>
          <w:p w:rsidR="00765E9B" w:rsidRPr="008C62F2" w:rsidRDefault="00765E9B" w:rsidP="00765E9B"/>
        </w:tc>
        <w:tc>
          <w:tcPr>
            <w:tcW w:w="3086" w:type="dxa"/>
            <w:tcBorders>
              <w:left w:val="single" w:sz="6" w:space="0" w:color="000000"/>
              <w:bottom w:val="single" w:sz="4" w:space="0" w:color="auto"/>
              <w:right w:val="single" w:sz="6" w:space="0" w:color="000000"/>
            </w:tcBorders>
          </w:tcPr>
          <w:p w:rsidR="00765E9B" w:rsidRPr="008C62F2" w:rsidRDefault="00765E9B" w:rsidP="00765E9B"/>
        </w:tc>
        <w:tc>
          <w:tcPr>
            <w:tcW w:w="3118" w:type="dxa"/>
            <w:tcBorders>
              <w:left w:val="single" w:sz="6" w:space="0" w:color="000000"/>
              <w:bottom w:val="single" w:sz="4" w:space="0" w:color="auto"/>
              <w:right w:val="single" w:sz="6" w:space="0" w:color="000000"/>
            </w:tcBorders>
          </w:tcPr>
          <w:p w:rsidR="00765E9B" w:rsidRPr="008C62F2" w:rsidRDefault="00765E9B" w:rsidP="00765E9B"/>
        </w:tc>
        <w:tc>
          <w:tcPr>
            <w:tcW w:w="2977" w:type="dxa"/>
            <w:tcBorders>
              <w:left w:val="single" w:sz="6" w:space="0" w:color="000000"/>
              <w:bottom w:val="single" w:sz="4" w:space="0" w:color="auto"/>
              <w:right w:val="single" w:sz="6" w:space="0" w:color="000000"/>
            </w:tcBorders>
          </w:tcPr>
          <w:p w:rsidR="00765E9B" w:rsidRPr="008C62F2" w:rsidRDefault="00765E9B" w:rsidP="00765E9B"/>
        </w:tc>
        <w:tc>
          <w:tcPr>
            <w:tcW w:w="2459" w:type="dxa"/>
            <w:tcBorders>
              <w:top w:val="single" w:sz="4" w:space="0" w:color="auto"/>
              <w:left w:val="single" w:sz="4" w:space="0" w:color="auto"/>
              <w:bottom w:val="single" w:sz="4" w:space="0" w:color="auto"/>
              <w:right w:val="single" w:sz="4" w:space="0" w:color="auto"/>
            </w:tcBorders>
          </w:tcPr>
          <w:p w:rsidR="00765E9B" w:rsidRPr="008C62F2" w:rsidRDefault="00765E9B" w:rsidP="00765E9B"/>
        </w:tc>
        <w:tc>
          <w:tcPr>
            <w:tcW w:w="1920" w:type="dxa"/>
            <w:tcBorders>
              <w:top w:val="single" w:sz="4" w:space="0" w:color="auto"/>
              <w:left w:val="single" w:sz="4" w:space="0" w:color="auto"/>
              <w:bottom w:val="single" w:sz="4" w:space="0" w:color="auto"/>
              <w:right w:val="single" w:sz="4" w:space="0" w:color="auto"/>
            </w:tcBorders>
          </w:tcPr>
          <w:p w:rsidR="00765E9B" w:rsidRPr="008C62F2" w:rsidRDefault="00765E9B" w:rsidP="00765E9B"/>
        </w:tc>
      </w:tr>
    </w:tbl>
    <w:p w:rsidR="008C62F2" w:rsidRPr="008C62F2" w:rsidRDefault="008C62F2" w:rsidP="008C62F2"/>
    <w:p w:rsidR="008C62F2" w:rsidRPr="008C62F2" w:rsidRDefault="008C62F2" w:rsidP="008C62F2">
      <w:pPr>
        <w:rPr>
          <w:b/>
        </w:rPr>
      </w:pPr>
      <w:r w:rsidRPr="008C62F2">
        <w:rPr>
          <w:b/>
        </w:rPr>
        <w:t>Informācija par starpministriju (starpinstitūciju) sanāksmi vai elektronisko saskaņošanu</w:t>
      </w:r>
    </w:p>
    <w:p w:rsidR="008C62F2" w:rsidRPr="008C62F2" w:rsidRDefault="008C62F2" w:rsidP="008C62F2">
      <w:pPr>
        <w:rPr>
          <w:b/>
        </w:rPr>
      </w:pPr>
    </w:p>
    <w:tbl>
      <w:tblPr>
        <w:tblW w:w="12582" w:type="dxa"/>
        <w:tblLook w:val="00A0" w:firstRow="1" w:lastRow="0" w:firstColumn="1" w:lastColumn="0" w:noHBand="0" w:noVBand="0"/>
      </w:tblPr>
      <w:tblGrid>
        <w:gridCol w:w="6345"/>
        <w:gridCol w:w="6237"/>
      </w:tblGrid>
      <w:tr w:rsidR="008C62F2" w:rsidRPr="008C62F2" w:rsidTr="007C1E2D">
        <w:tc>
          <w:tcPr>
            <w:tcW w:w="6345" w:type="dxa"/>
          </w:tcPr>
          <w:p w:rsidR="008C62F2" w:rsidRPr="008C62F2" w:rsidRDefault="008C62F2" w:rsidP="008C62F2">
            <w:r w:rsidRPr="008C62F2">
              <w:t>Datums</w:t>
            </w:r>
          </w:p>
        </w:tc>
        <w:tc>
          <w:tcPr>
            <w:tcW w:w="6237" w:type="dxa"/>
            <w:tcBorders>
              <w:bottom w:val="single" w:sz="4" w:space="0" w:color="auto"/>
            </w:tcBorders>
          </w:tcPr>
          <w:p w:rsidR="008C62F2" w:rsidRPr="007A4825" w:rsidRDefault="00F75128" w:rsidP="004E077F">
            <w:pPr>
              <w:jc w:val="both"/>
              <w:rPr>
                <w:szCs w:val="24"/>
              </w:rPr>
            </w:pPr>
            <w:r>
              <w:rPr>
                <w:szCs w:val="24"/>
              </w:rPr>
              <w:t>2020.gada 30.aprīlī tika nosūtīts precizētais projekts elektroniskajai saskaņošanai</w:t>
            </w:r>
          </w:p>
        </w:tc>
      </w:tr>
      <w:tr w:rsidR="008C62F2" w:rsidRPr="008C62F2" w:rsidTr="007C1E2D">
        <w:tc>
          <w:tcPr>
            <w:tcW w:w="6345" w:type="dxa"/>
          </w:tcPr>
          <w:p w:rsidR="008C62F2" w:rsidRPr="008C62F2" w:rsidRDefault="008C62F2" w:rsidP="008C62F2"/>
        </w:tc>
        <w:tc>
          <w:tcPr>
            <w:tcW w:w="6237" w:type="dxa"/>
            <w:tcBorders>
              <w:top w:val="single" w:sz="4" w:space="0" w:color="auto"/>
            </w:tcBorders>
          </w:tcPr>
          <w:p w:rsidR="008C62F2" w:rsidRPr="007A4825" w:rsidRDefault="008C62F2" w:rsidP="008C62F2">
            <w:pPr>
              <w:rPr>
                <w:szCs w:val="24"/>
              </w:rPr>
            </w:pPr>
          </w:p>
        </w:tc>
      </w:tr>
      <w:tr w:rsidR="008C62F2" w:rsidRPr="008C62F2" w:rsidTr="007C1E2D">
        <w:tc>
          <w:tcPr>
            <w:tcW w:w="6345" w:type="dxa"/>
          </w:tcPr>
          <w:p w:rsidR="008C62F2" w:rsidRPr="008C62F2" w:rsidRDefault="008C62F2" w:rsidP="008C62F2">
            <w:r w:rsidRPr="008C62F2">
              <w:t>Saskaņošanas dalībnieki</w:t>
            </w:r>
          </w:p>
        </w:tc>
        <w:tc>
          <w:tcPr>
            <w:tcW w:w="6237" w:type="dxa"/>
          </w:tcPr>
          <w:p w:rsidR="008C62F2" w:rsidRPr="007A4825" w:rsidRDefault="00F75128" w:rsidP="007C1E2D">
            <w:pPr>
              <w:jc w:val="both"/>
              <w:rPr>
                <w:szCs w:val="24"/>
              </w:rPr>
            </w:pPr>
            <w:r>
              <w:rPr>
                <w:szCs w:val="24"/>
              </w:rPr>
              <w:t xml:space="preserve">Ekonomikas ministija, Iekšlietu ministrija, </w:t>
            </w:r>
            <w:r w:rsidRPr="00F75128">
              <w:rPr>
                <w:szCs w:val="24"/>
              </w:rPr>
              <w:t>Finanšu un kapitāla tirgus komisijas un Latvijas Privātā un Riska kapitāla asociācijas iebildumus</w:t>
            </w:r>
          </w:p>
        </w:tc>
      </w:tr>
    </w:tbl>
    <w:p w:rsidR="008C62F2" w:rsidRPr="008C62F2" w:rsidRDefault="008C62F2" w:rsidP="008C62F2"/>
    <w:tbl>
      <w:tblPr>
        <w:tblW w:w="12582" w:type="dxa"/>
        <w:tblLook w:val="00A0" w:firstRow="1" w:lastRow="0" w:firstColumn="1" w:lastColumn="0" w:noHBand="0" w:noVBand="0"/>
      </w:tblPr>
      <w:tblGrid>
        <w:gridCol w:w="6290"/>
        <w:gridCol w:w="6292"/>
      </w:tblGrid>
      <w:tr w:rsidR="00830E45" w:rsidRPr="008C62F2" w:rsidTr="00830E45">
        <w:trPr>
          <w:trHeight w:val="285"/>
        </w:trPr>
        <w:tc>
          <w:tcPr>
            <w:tcW w:w="6290" w:type="dxa"/>
          </w:tcPr>
          <w:p w:rsidR="00830E45" w:rsidRPr="008C62F2" w:rsidRDefault="00830E45" w:rsidP="008C62F2">
            <w:r w:rsidRPr="008C62F2">
              <w:t>Saskaņošanas dalībnieki izskatīja šādu ministriju (citu institūciju) iebildumus</w:t>
            </w:r>
          </w:p>
        </w:tc>
        <w:tc>
          <w:tcPr>
            <w:tcW w:w="6292" w:type="dxa"/>
          </w:tcPr>
          <w:p w:rsidR="00830E45" w:rsidRPr="008C62F2" w:rsidRDefault="000D457C" w:rsidP="00830E45">
            <w:pPr>
              <w:jc w:val="both"/>
            </w:pPr>
            <w:r>
              <w:t xml:space="preserve">Finanšu un kapitāla tirgus komisijas un </w:t>
            </w:r>
            <w:r w:rsidRPr="000D457C">
              <w:t>Latvijas Privātā un Riska kapitāla asociācijas</w:t>
            </w:r>
            <w:r>
              <w:t xml:space="preserve"> iebildumus.</w:t>
            </w:r>
          </w:p>
        </w:tc>
      </w:tr>
      <w:tr w:rsidR="008C62F2" w:rsidRPr="008C62F2" w:rsidTr="007C1E2D">
        <w:trPr>
          <w:trHeight w:val="465"/>
        </w:trPr>
        <w:tc>
          <w:tcPr>
            <w:tcW w:w="12582" w:type="dxa"/>
            <w:gridSpan w:val="2"/>
          </w:tcPr>
          <w:p w:rsidR="008C62F2" w:rsidRPr="008C62F2" w:rsidRDefault="008C62F2" w:rsidP="008C62F2"/>
        </w:tc>
      </w:tr>
      <w:tr w:rsidR="008C62F2" w:rsidRPr="008C62F2" w:rsidTr="00830E45">
        <w:tc>
          <w:tcPr>
            <w:tcW w:w="6290" w:type="dxa"/>
          </w:tcPr>
          <w:p w:rsidR="008C62F2" w:rsidRPr="008C62F2" w:rsidRDefault="008C62F2" w:rsidP="008C62F2">
            <w:r w:rsidRPr="008C62F2">
              <w:t>Ministrijas (citas institūcijas), kuras nav ieradušās uz sanāksmi vai kuras nav atbildējušas uz uzaicinājumu piedalīties elektroniskajā saskaņošanā</w:t>
            </w:r>
          </w:p>
        </w:tc>
        <w:tc>
          <w:tcPr>
            <w:tcW w:w="6292" w:type="dxa"/>
          </w:tcPr>
          <w:p w:rsidR="00830E45" w:rsidRPr="008C62F2" w:rsidRDefault="00F75128" w:rsidP="00830E45">
            <w:pPr>
              <w:jc w:val="both"/>
            </w:pPr>
            <w:r>
              <w:t>Nav.</w:t>
            </w:r>
          </w:p>
        </w:tc>
      </w:tr>
      <w:tr w:rsidR="008C62F2" w:rsidRPr="008C62F2" w:rsidTr="00830E45">
        <w:tc>
          <w:tcPr>
            <w:tcW w:w="6290" w:type="dxa"/>
          </w:tcPr>
          <w:p w:rsidR="008C62F2" w:rsidRPr="008C62F2" w:rsidRDefault="008C62F2" w:rsidP="008C62F2">
            <w:r w:rsidRPr="008C62F2">
              <w:t>  </w:t>
            </w:r>
          </w:p>
        </w:tc>
        <w:tc>
          <w:tcPr>
            <w:tcW w:w="6292" w:type="dxa"/>
            <w:tcBorders>
              <w:top w:val="single" w:sz="6" w:space="0" w:color="000000"/>
              <w:bottom w:val="single" w:sz="6" w:space="0" w:color="000000"/>
            </w:tcBorders>
          </w:tcPr>
          <w:p w:rsidR="008C62F2" w:rsidRPr="008C62F2" w:rsidRDefault="008C62F2" w:rsidP="008C62F2"/>
        </w:tc>
      </w:tr>
    </w:tbl>
    <w:p w:rsidR="004E077F" w:rsidRDefault="004E077F" w:rsidP="008C62F2">
      <w:pPr>
        <w:rPr>
          <w:b/>
        </w:rPr>
      </w:pPr>
    </w:p>
    <w:p w:rsidR="00790B9C" w:rsidRDefault="00790B9C" w:rsidP="008C62F2">
      <w:pPr>
        <w:rPr>
          <w:b/>
        </w:rPr>
      </w:pPr>
    </w:p>
    <w:p w:rsidR="00790B9C" w:rsidRDefault="00790B9C" w:rsidP="008C62F2">
      <w:pPr>
        <w:rPr>
          <w:b/>
        </w:rPr>
      </w:pPr>
    </w:p>
    <w:p w:rsidR="008C62F2" w:rsidRPr="008C62F2" w:rsidRDefault="008C62F2" w:rsidP="008C62F2">
      <w:pPr>
        <w:rPr>
          <w:b/>
        </w:rPr>
      </w:pPr>
      <w:r w:rsidRPr="008C62F2">
        <w:rPr>
          <w:b/>
        </w:rPr>
        <w:t>II. Jautājumi, par kuriem saskaņošanā vienošanās ir panākta</w:t>
      </w:r>
    </w:p>
    <w:p w:rsidR="008C62F2" w:rsidRPr="008C62F2" w:rsidRDefault="008C62F2" w:rsidP="008C62F2"/>
    <w:tbl>
      <w:tblPr>
        <w:tblW w:w="14992" w:type="dxa"/>
        <w:tblInd w:w="-2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4394"/>
        <w:gridCol w:w="4111"/>
        <w:gridCol w:w="2693"/>
      </w:tblGrid>
      <w:tr w:rsidR="008C62F2" w:rsidRPr="008C62F2" w:rsidTr="00A420A8">
        <w:tc>
          <w:tcPr>
            <w:tcW w:w="708" w:type="dxa"/>
            <w:tcBorders>
              <w:top w:val="single" w:sz="6" w:space="0" w:color="000000"/>
              <w:left w:val="single" w:sz="6" w:space="0" w:color="000000"/>
              <w:bottom w:val="single" w:sz="6" w:space="0" w:color="000000"/>
              <w:right w:val="single" w:sz="6" w:space="0" w:color="000000"/>
            </w:tcBorders>
            <w:vAlign w:val="center"/>
          </w:tcPr>
          <w:p w:rsidR="008C62F2" w:rsidRPr="008C62F2" w:rsidRDefault="008C62F2" w:rsidP="008C62F2">
            <w:pPr>
              <w:jc w:val="center"/>
            </w:pPr>
            <w:r w:rsidRPr="008C62F2">
              <w:t>Nr. p. k.</w:t>
            </w:r>
          </w:p>
        </w:tc>
        <w:tc>
          <w:tcPr>
            <w:tcW w:w="3086" w:type="dxa"/>
            <w:tcBorders>
              <w:top w:val="single" w:sz="6" w:space="0" w:color="000000"/>
              <w:left w:val="single" w:sz="6" w:space="0" w:color="000000"/>
              <w:bottom w:val="single" w:sz="6" w:space="0" w:color="000000"/>
              <w:right w:val="single" w:sz="6" w:space="0" w:color="000000"/>
            </w:tcBorders>
            <w:vAlign w:val="center"/>
          </w:tcPr>
          <w:p w:rsidR="008C62F2" w:rsidRPr="008C62F2" w:rsidRDefault="008C62F2" w:rsidP="008C62F2">
            <w:pPr>
              <w:jc w:val="center"/>
            </w:pPr>
            <w:r w:rsidRPr="008C62F2">
              <w:t>Saskaņošanai nosūtītā projekta redakcija (konkrēta punkta (panta) redakcija)</w:t>
            </w:r>
          </w:p>
        </w:tc>
        <w:tc>
          <w:tcPr>
            <w:tcW w:w="4394" w:type="dxa"/>
            <w:tcBorders>
              <w:top w:val="single" w:sz="6" w:space="0" w:color="000000"/>
              <w:left w:val="single" w:sz="6" w:space="0" w:color="000000"/>
              <w:bottom w:val="single" w:sz="6" w:space="0" w:color="000000"/>
              <w:right w:val="single" w:sz="6" w:space="0" w:color="000000"/>
            </w:tcBorders>
            <w:vAlign w:val="center"/>
          </w:tcPr>
          <w:p w:rsidR="008C62F2" w:rsidRPr="008C62F2" w:rsidRDefault="008C62F2" w:rsidP="008C62F2">
            <w:pPr>
              <w:jc w:val="center"/>
            </w:pPr>
            <w:r w:rsidRPr="008C62F2">
              <w:t>Atzinumā norādītais ministrijas (citas institūcijas) iebildums, kā arī saskaņošanā papildus izteiktais iebildums par projekta konkrēto punktu (pantu)</w:t>
            </w:r>
          </w:p>
        </w:tc>
        <w:tc>
          <w:tcPr>
            <w:tcW w:w="4111" w:type="dxa"/>
            <w:tcBorders>
              <w:top w:val="single" w:sz="6" w:space="0" w:color="000000"/>
              <w:left w:val="single" w:sz="6" w:space="0" w:color="000000"/>
              <w:bottom w:val="single" w:sz="6" w:space="0" w:color="000000"/>
              <w:right w:val="single" w:sz="6" w:space="0" w:color="000000"/>
            </w:tcBorders>
            <w:vAlign w:val="center"/>
          </w:tcPr>
          <w:p w:rsidR="008C62F2" w:rsidRPr="008C62F2" w:rsidRDefault="008C62F2" w:rsidP="008C62F2">
            <w:pPr>
              <w:jc w:val="center"/>
            </w:pPr>
            <w:r w:rsidRPr="008C62F2">
              <w:t>Atbildīgās ministrijas norāde par to, ka iebildums ir ņemts vērā, vai informācija par saskaņošanā panākto alternatīvo risinājumu</w:t>
            </w:r>
          </w:p>
        </w:tc>
        <w:tc>
          <w:tcPr>
            <w:tcW w:w="2693" w:type="dxa"/>
            <w:tcBorders>
              <w:top w:val="single" w:sz="4" w:space="0" w:color="auto"/>
              <w:left w:val="single" w:sz="4" w:space="0" w:color="auto"/>
              <w:bottom w:val="single" w:sz="4" w:space="0" w:color="auto"/>
            </w:tcBorders>
            <w:vAlign w:val="center"/>
          </w:tcPr>
          <w:p w:rsidR="008C62F2" w:rsidRPr="008C62F2" w:rsidRDefault="008C62F2" w:rsidP="008C62F2">
            <w:pPr>
              <w:jc w:val="center"/>
            </w:pPr>
            <w:r w:rsidRPr="008C62F2">
              <w:t>Projekta attiecīgā punkta (panta) galīgā redakcija</w:t>
            </w:r>
          </w:p>
        </w:tc>
      </w:tr>
      <w:tr w:rsidR="008C62F2" w:rsidRPr="008C62F2" w:rsidTr="00A420A8">
        <w:tc>
          <w:tcPr>
            <w:tcW w:w="708" w:type="dxa"/>
            <w:tcBorders>
              <w:top w:val="single" w:sz="6" w:space="0" w:color="000000"/>
              <w:left w:val="single" w:sz="6" w:space="0" w:color="000000"/>
              <w:bottom w:val="single" w:sz="6" w:space="0" w:color="000000"/>
              <w:right w:val="single" w:sz="6" w:space="0" w:color="000000"/>
            </w:tcBorders>
          </w:tcPr>
          <w:p w:rsidR="008C62F2" w:rsidRPr="008C62F2" w:rsidRDefault="008C62F2" w:rsidP="008C62F2">
            <w:pPr>
              <w:jc w:val="center"/>
            </w:pPr>
            <w:r w:rsidRPr="008C62F2">
              <w:t>1</w:t>
            </w:r>
          </w:p>
        </w:tc>
        <w:tc>
          <w:tcPr>
            <w:tcW w:w="3086" w:type="dxa"/>
            <w:tcBorders>
              <w:top w:val="single" w:sz="6" w:space="0" w:color="000000"/>
              <w:left w:val="single" w:sz="6" w:space="0" w:color="000000"/>
              <w:bottom w:val="single" w:sz="6" w:space="0" w:color="000000"/>
              <w:right w:val="single" w:sz="6" w:space="0" w:color="000000"/>
            </w:tcBorders>
          </w:tcPr>
          <w:p w:rsidR="008C62F2" w:rsidRPr="008C62F2" w:rsidRDefault="008C62F2" w:rsidP="008C62F2">
            <w:pPr>
              <w:jc w:val="center"/>
            </w:pPr>
            <w:r w:rsidRPr="008C62F2">
              <w:t>2</w:t>
            </w:r>
          </w:p>
        </w:tc>
        <w:tc>
          <w:tcPr>
            <w:tcW w:w="4394" w:type="dxa"/>
            <w:tcBorders>
              <w:top w:val="single" w:sz="6" w:space="0" w:color="000000"/>
              <w:left w:val="single" w:sz="6" w:space="0" w:color="000000"/>
              <w:bottom w:val="single" w:sz="6" w:space="0" w:color="000000"/>
              <w:right w:val="single" w:sz="6" w:space="0" w:color="000000"/>
            </w:tcBorders>
          </w:tcPr>
          <w:p w:rsidR="008C62F2" w:rsidRPr="008C62F2" w:rsidRDefault="008C62F2" w:rsidP="008C62F2">
            <w:pPr>
              <w:jc w:val="center"/>
            </w:pPr>
            <w:r w:rsidRPr="008C62F2">
              <w:t>3</w:t>
            </w:r>
          </w:p>
        </w:tc>
        <w:tc>
          <w:tcPr>
            <w:tcW w:w="4111" w:type="dxa"/>
            <w:tcBorders>
              <w:top w:val="single" w:sz="6" w:space="0" w:color="000000"/>
              <w:left w:val="single" w:sz="6" w:space="0" w:color="000000"/>
              <w:bottom w:val="single" w:sz="6" w:space="0" w:color="000000"/>
              <w:right w:val="single" w:sz="6" w:space="0" w:color="000000"/>
            </w:tcBorders>
          </w:tcPr>
          <w:p w:rsidR="008C62F2" w:rsidRPr="008C62F2" w:rsidRDefault="008C62F2" w:rsidP="008C62F2">
            <w:pPr>
              <w:jc w:val="center"/>
            </w:pPr>
            <w:r w:rsidRPr="008C62F2">
              <w:t>4</w:t>
            </w:r>
          </w:p>
        </w:tc>
        <w:tc>
          <w:tcPr>
            <w:tcW w:w="2693" w:type="dxa"/>
            <w:tcBorders>
              <w:top w:val="single" w:sz="4" w:space="0" w:color="auto"/>
              <w:left w:val="single" w:sz="4" w:space="0" w:color="auto"/>
              <w:bottom w:val="single" w:sz="4" w:space="0" w:color="auto"/>
            </w:tcBorders>
          </w:tcPr>
          <w:p w:rsidR="008C62F2" w:rsidRPr="008C62F2" w:rsidRDefault="008C62F2" w:rsidP="008C62F2">
            <w:pPr>
              <w:jc w:val="center"/>
            </w:pPr>
            <w:r w:rsidRPr="008C62F2">
              <w:t>5</w:t>
            </w:r>
          </w:p>
        </w:tc>
      </w:tr>
      <w:tr w:rsidR="007A4825" w:rsidRPr="008C62F2" w:rsidTr="00A420A8">
        <w:tc>
          <w:tcPr>
            <w:tcW w:w="14992" w:type="dxa"/>
            <w:gridSpan w:val="5"/>
            <w:tcBorders>
              <w:left w:val="single" w:sz="6" w:space="0" w:color="000000"/>
              <w:bottom w:val="single" w:sz="4" w:space="0" w:color="auto"/>
            </w:tcBorders>
          </w:tcPr>
          <w:p w:rsidR="007A4825" w:rsidRPr="00917D6E" w:rsidRDefault="00A275CA" w:rsidP="007A4825">
            <w:pPr>
              <w:jc w:val="center"/>
              <w:rPr>
                <w:b/>
              </w:rPr>
            </w:pPr>
            <w:r>
              <w:rPr>
                <w:b/>
              </w:rPr>
              <w:t>Finanšu un kapitāla tirgus komisija</w:t>
            </w:r>
          </w:p>
        </w:tc>
      </w:tr>
      <w:tr w:rsidR="00BA1B88" w:rsidRPr="008C62F2" w:rsidTr="00A420A8">
        <w:tc>
          <w:tcPr>
            <w:tcW w:w="708" w:type="dxa"/>
            <w:tcBorders>
              <w:top w:val="single" w:sz="6" w:space="0" w:color="000000"/>
              <w:left w:val="single" w:sz="6" w:space="0" w:color="000000"/>
              <w:bottom w:val="single" w:sz="6" w:space="0" w:color="000000"/>
              <w:right w:val="single" w:sz="6" w:space="0" w:color="000000"/>
            </w:tcBorders>
          </w:tcPr>
          <w:p w:rsidR="00BA1B88" w:rsidRDefault="00C53991" w:rsidP="00846CA9">
            <w:pPr>
              <w:pStyle w:val="naisc"/>
              <w:spacing w:before="0" w:after="0"/>
              <w:rPr>
                <w:sz w:val="22"/>
                <w:szCs w:val="22"/>
              </w:rPr>
            </w:pPr>
            <w:r>
              <w:rPr>
                <w:sz w:val="22"/>
                <w:szCs w:val="22"/>
              </w:rPr>
              <w:t>1.</w:t>
            </w:r>
          </w:p>
        </w:tc>
        <w:tc>
          <w:tcPr>
            <w:tcW w:w="3086" w:type="dxa"/>
            <w:tcBorders>
              <w:top w:val="single" w:sz="6" w:space="0" w:color="000000"/>
              <w:left w:val="single" w:sz="6" w:space="0" w:color="000000"/>
              <w:bottom w:val="single" w:sz="6" w:space="0" w:color="000000"/>
              <w:right w:val="single" w:sz="6" w:space="0" w:color="000000"/>
            </w:tcBorders>
          </w:tcPr>
          <w:p w:rsidR="00BA1B88" w:rsidRPr="00BA1B88" w:rsidRDefault="00BA1B88" w:rsidP="00BA1B88">
            <w:pPr>
              <w:pStyle w:val="naisc"/>
              <w:jc w:val="both"/>
              <w:rPr>
                <w:sz w:val="22"/>
                <w:szCs w:val="22"/>
              </w:rPr>
            </w:pPr>
            <w:r w:rsidRPr="00BA1B88">
              <w:rPr>
                <w:sz w:val="22"/>
                <w:szCs w:val="22"/>
              </w:rPr>
              <w:t>1. 8.pantā:</w:t>
            </w:r>
          </w:p>
          <w:p w:rsidR="00BA1B88" w:rsidRPr="00BA1B88" w:rsidRDefault="00BA1B88" w:rsidP="00BA1B88">
            <w:pPr>
              <w:pStyle w:val="naisc"/>
              <w:jc w:val="both"/>
              <w:rPr>
                <w:sz w:val="22"/>
                <w:szCs w:val="22"/>
              </w:rPr>
            </w:pPr>
            <w:r w:rsidRPr="00BA1B88">
              <w:rPr>
                <w:sz w:val="22"/>
                <w:szCs w:val="22"/>
              </w:rPr>
              <w:t>papildināt ceturto daļu ar 4., 5. un 6.punktu šādā redakcijā:</w:t>
            </w:r>
          </w:p>
          <w:p w:rsidR="00BA1B88" w:rsidRPr="00BA1B88" w:rsidRDefault="00BA1B88" w:rsidP="00BA1B88">
            <w:pPr>
              <w:pStyle w:val="naisc"/>
              <w:jc w:val="both"/>
              <w:rPr>
                <w:sz w:val="22"/>
                <w:szCs w:val="22"/>
              </w:rPr>
            </w:pPr>
            <w:r w:rsidRPr="00BA1B88">
              <w:rPr>
                <w:sz w:val="22"/>
                <w:szCs w:val="22"/>
              </w:rPr>
              <w:t>“4) pārvaldnieka amatpersonas neatbilst šā likuma prasībām;</w:t>
            </w:r>
          </w:p>
          <w:p w:rsidR="00BA1B88" w:rsidRPr="00BA1B88" w:rsidRDefault="00BA1B88" w:rsidP="00BA1B88">
            <w:pPr>
              <w:pStyle w:val="naisc"/>
              <w:jc w:val="both"/>
              <w:rPr>
                <w:sz w:val="22"/>
                <w:szCs w:val="22"/>
              </w:rPr>
            </w:pPr>
            <w:r w:rsidRPr="00BA1B88">
              <w:rPr>
                <w:sz w:val="22"/>
                <w:szCs w:val="22"/>
              </w:rPr>
              <w:t>5) nav iespējas pārliecināties par to personu identitāti un reputāciju, kurām pārvaldniekā ir būtiska līdzdalība;</w:t>
            </w:r>
          </w:p>
          <w:p w:rsidR="00BA1B88" w:rsidRPr="00A275CA" w:rsidRDefault="00BA1B88" w:rsidP="00BA1B88">
            <w:pPr>
              <w:pStyle w:val="naisc"/>
              <w:spacing w:before="0" w:after="0"/>
              <w:jc w:val="both"/>
              <w:rPr>
                <w:sz w:val="22"/>
                <w:szCs w:val="22"/>
              </w:rPr>
            </w:pPr>
            <w:r w:rsidRPr="00BA1B88">
              <w:rPr>
                <w:sz w:val="22"/>
                <w:szCs w:val="22"/>
              </w:rPr>
              <w:t>6) konstatē, ka finanšu līdzekļi, kurus iegulda pārvaldnieka kapitālā, iegūti aizdomīgos finanšu darījumos vai nav dokumentāri pierādīta šo finanšu līdzekļu tiesiska ieguve.”</w:t>
            </w:r>
          </w:p>
        </w:tc>
        <w:tc>
          <w:tcPr>
            <w:tcW w:w="4394" w:type="dxa"/>
            <w:tcBorders>
              <w:top w:val="single" w:sz="6" w:space="0" w:color="000000"/>
              <w:left w:val="single" w:sz="6" w:space="0" w:color="000000"/>
              <w:bottom w:val="single" w:sz="6" w:space="0" w:color="000000"/>
              <w:right w:val="single" w:sz="6" w:space="0" w:color="000000"/>
            </w:tcBorders>
          </w:tcPr>
          <w:p w:rsidR="00BA1B88" w:rsidRDefault="00BA1B88" w:rsidP="00846CA9">
            <w:pPr>
              <w:pStyle w:val="naisc"/>
              <w:spacing w:before="0" w:after="0"/>
              <w:jc w:val="both"/>
              <w:rPr>
                <w:sz w:val="22"/>
                <w:szCs w:val="22"/>
              </w:rPr>
            </w:pPr>
            <w:r w:rsidRPr="00BA1B88">
              <w:rPr>
                <w:sz w:val="22"/>
                <w:szCs w:val="22"/>
              </w:rPr>
              <w:t>Lūdzam noteikt vienotu līdzdalības kapitālā apmēru, sākot ar kuru personai gan pie reģistrācijas, gan turpmāk būtu jāsniedz Komisijai 10. panta otrās daļas 3. un 4. punktā un 9. panta 5.</w:t>
            </w:r>
            <w:r w:rsidRPr="00BA1B88">
              <w:rPr>
                <w:sz w:val="22"/>
                <w:szCs w:val="22"/>
                <w:vertAlign w:val="superscript"/>
              </w:rPr>
              <w:t>2</w:t>
            </w:r>
            <w:r w:rsidRPr="00BA1B88">
              <w:rPr>
                <w:sz w:val="22"/>
                <w:szCs w:val="22"/>
              </w:rPr>
              <w:t xml:space="preserve"> daļā noteiktā informācija, un veikt attiecīgus precizējumus.</w:t>
            </w:r>
          </w:p>
          <w:p w:rsidR="00BA1B88" w:rsidRPr="00BA1B88" w:rsidRDefault="00BA1B88" w:rsidP="00BA1B88">
            <w:pPr>
              <w:pStyle w:val="naisc"/>
              <w:jc w:val="both"/>
              <w:rPr>
                <w:sz w:val="22"/>
                <w:szCs w:val="22"/>
              </w:rPr>
            </w:pPr>
            <w:r w:rsidRPr="00BA1B88">
              <w:rPr>
                <w:sz w:val="22"/>
                <w:szCs w:val="22"/>
              </w:rPr>
              <w:t>Likuma 10. panta otrās daļas 2. punkta c un d apakšpunktos paredzēta informācijas sniegšana par personām, kurā ir būtiska līdzdalība, attiecīgi veidojās pretruna ar FM uzstādījumu, šā likuma 9. panta 5.</w:t>
            </w:r>
            <w:r w:rsidRPr="001A4114">
              <w:rPr>
                <w:sz w:val="22"/>
                <w:szCs w:val="22"/>
                <w:vertAlign w:val="superscript"/>
              </w:rPr>
              <w:t>2</w:t>
            </w:r>
            <w:r w:rsidRPr="00BA1B88">
              <w:rPr>
                <w:sz w:val="22"/>
                <w:szCs w:val="22"/>
              </w:rPr>
              <w:t xml:space="preserve"> daļu un 12. pantu, kur ir atšķirīgs uzstādījums par to kāda ir tā robežškirtne, kad Komsijai ir nepiciešams sniegt papildus informāciju. </w:t>
            </w:r>
          </w:p>
          <w:p w:rsidR="00BA1B88" w:rsidRDefault="00BA1B88" w:rsidP="00BA1B88">
            <w:pPr>
              <w:pStyle w:val="naisc"/>
              <w:spacing w:before="0" w:after="0"/>
              <w:jc w:val="both"/>
              <w:rPr>
                <w:sz w:val="22"/>
                <w:szCs w:val="22"/>
              </w:rPr>
            </w:pPr>
            <w:r w:rsidRPr="00BA1B88">
              <w:rPr>
                <w:sz w:val="22"/>
                <w:szCs w:val="22"/>
              </w:rPr>
              <w:t>Saskaņā ar 10. panta otrās daļas 2. punkta c un d to skatot kopsakarā ar 12. pantu tie būtu 10%, bet saskaņā ar 9. panta 5.</w:t>
            </w:r>
            <w:r w:rsidRPr="001A4114">
              <w:rPr>
                <w:sz w:val="22"/>
                <w:szCs w:val="22"/>
                <w:vertAlign w:val="superscript"/>
              </w:rPr>
              <w:t>2</w:t>
            </w:r>
            <w:r w:rsidRPr="00BA1B88">
              <w:rPr>
                <w:sz w:val="22"/>
                <w:szCs w:val="22"/>
              </w:rPr>
              <w:t xml:space="preserve"> daļu tie būtu 25%</w:t>
            </w:r>
            <w:r>
              <w:rPr>
                <w:sz w:val="22"/>
                <w:szCs w:val="22"/>
              </w:rPr>
              <w:t>.</w:t>
            </w:r>
          </w:p>
          <w:p w:rsidR="00BA1B88" w:rsidRPr="00A275CA" w:rsidRDefault="00BA1B88" w:rsidP="00BA1B88">
            <w:pPr>
              <w:pStyle w:val="naisc"/>
              <w:spacing w:before="0" w:after="0"/>
              <w:jc w:val="both"/>
              <w:rPr>
                <w:sz w:val="22"/>
                <w:szCs w:val="22"/>
              </w:rPr>
            </w:pPr>
          </w:p>
        </w:tc>
        <w:tc>
          <w:tcPr>
            <w:tcW w:w="4111" w:type="dxa"/>
            <w:tcBorders>
              <w:top w:val="single" w:sz="6" w:space="0" w:color="000000"/>
              <w:left w:val="single" w:sz="6" w:space="0" w:color="000000"/>
              <w:bottom w:val="single" w:sz="6" w:space="0" w:color="000000"/>
              <w:right w:val="single" w:sz="6" w:space="0" w:color="000000"/>
            </w:tcBorders>
          </w:tcPr>
          <w:p w:rsidR="00BA1B88" w:rsidRPr="009C5493" w:rsidRDefault="00BA1B88" w:rsidP="00FB4855">
            <w:pPr>
              <w:pStyle w:val="naisc"/>
              <w:spacing w:before="0" w:after="0"/>
              <w:rPr>
                <w:b/>
                <w:sz w:val="22"/>
                <w:szCs w:val="22"/>
              </w:rPr>
            </w:pPr>
            <w:r w:rsidRPr="00BA1B88">
              <w:rPr>
                <w:b/>
                <w:sz w:val="22"/>
                <w:szCs w:val="22"/>
              </w:rPr>
              <w:t>Iebildums ņemts vērā</w:t>
            </w:r>
          </w:p>
        </w:tc>
        <w:tc>
          <w:tcPr>
            <w:tcW w:w="2693" w:type="dxa"/>
            <w:tcBorders>
              <w:top w:val="single" w:sz="4" w:space="0" w:color="auto"/>
              <w:left w:val="single" w:sz="4" w:space="0" w:color="auto"/>
              <w:bottom w:val="single" w:sz="4" w:space="0" w:color="auto"/>
            </w:tcBorders>
          </w:tcPr>
          <w:p w:rsidR="000D457C" w:rsidRPr="000D457C" w:rsidRDefault="000D457C" w:rsidP="000D457C">
            <w:pPr>
              <w:jc w:val="both"/>
              <w:rPr>
                <w:sz w:val="22"/>
              </w:rPr>
            </w:pPr>
            <w:r w:rsidRPr="000D457C">
              <w:rPr>
                <w:sz w:val="22"/>
              </w:rPr>
              <w:t>1. 8.pantā:</w:t>
            </w:r>
          </w:p>
          <w:p w:rsidR="000D457C" w:rsidRPr="000D457C" w:rsidRDefault="000D457C" w:rsidP="000D457C">
            <w:pPr>
              <w:jc w:val="both"/>
              <w:rPr>
                <w:sz w:val="22"/>
              </w:rPr>
            </w:pPr>
            <w:r w:rsidRPr="000D457C">
              <w:rPr>
                <w:sz w:val="22"/>
              </w:rPr>
              <w:t>papildināt ceturto daļu ar 4., 5. un 6.punktu šādā redakcijā:</w:t>
            </w:r>
          </w:p>
          <w:p w:rsidR="000D457C" w:rsidRPr="000D457C" w:rsidRDefault="000D457C" w:rsidP="000D457C">
            <w:pPr>
              <w:jc w:val="both"/>
              <w:rPr>
                <w:sz w:val="22"/>
              </w:rPr>
            </w:pPr>
          </w:p>
          <w:p w:rsidR="000D457C" w:rsidRPr="000D457C" w:rsidRDefault="000D457C" w:rsidP="000D457C">
            <w:pPr>
              <w:jc w:val="both"/>
              <w:rPr>
                <w:sz w:val="22"/>
              </w:rPr>
            </w:pPr>
            <w:r w:rsidRPr="000D457C">
              <w:rPr>
                <w:sz w:val="22"/>
              </w:rPr>
              <w:t>“4) pārvaldnieka amatpersonas neatbilst 15.panta pirmās, otrās un trešās daļas prasībām;</w:t>
            </w:r>
          </w:p>
          <w:p w:rsidR="000D457C" w:rsidRPr="000D457C" w:rsidRDefault="000D457C" w:rsidP="000D457C">
            <w:pPr>
              <w:jc w:val="both"/>
              <w:rPr>
                <w:sz w:val="22"/>
              </w:rPr>
            </w:pPr>
          </w:p>
          <w:p w:rsidR="000D457C" w:rsidRPr="000D457C" w:rsidRDefault="000D457C" w:rsidP="000D457C">
            <w:pPr>
              <w:jc w:val="both"/>
              <w:rPr>
                <w:sz w:val="22"/>
              </w:rPr>
            </w:pPr>
            <w:r w:rsidRPr="000D457C">
              <w:rPr>
                <w:sz w:val="22"/>
              </w:rPr>
              <w:t xml:space="preserve">5) nav iespējas pārliecināties par to personu identitāti un </w:t>
            </w:r>
            <w:r w:rsidRPr="0043721B">
              <w:rPr>
                <w:b/>
                <w:sz w:val="22"/>
              </w:rPr>
              <w:t>nevainojamu</w:t>
            </w:r>
            <w:r w:rsidRPr="000D457C">
              <w:rPr>
                <w:sz w:val="22"/>
              </w:rPr>
              <w:t xml:space="preserve"> reputāciju, kurām pārvaldniekā </w:t>
            </w:r>
            <w:r w:rsidRPr="000D457C">
              <w:rPr>
                <w:b/>
                <w:sz w:val="22"/>
              </w:rPr>
              <w:t>ir ne mazāks kā 25 procenti no pārvaldnieka pamatkapitāla vai balsstiesīgo akciju skaita</w:t>
            </w:r>
            <w:r w:rsidRPr="000D457C">
              <w:rPr>
                <w:sz w:val="22"/>
              </w:rPr>
              <w:t>;</w:t>
            </w:r>
          </w:p>
          <w:p w:rsidR="000D457C" w:rsidRPr="000D457C" w:rsidRDefault="000D457C" w:rsidP="000D457C">
            <w:pPr>
              <w:jc w:val="both"/>
              <w:rPr>
                <w:sz w:val="22"/>
              </w:rPr>
            </w:pPr>
          </w:p>
          <w:p w:rsidR="00BA1B88" w:rsidRDefault="000D457C" w:rsidP="000D457C">
            <w:pPr>
              <w:jc w:val="both"/>
              <w:rPr>
                <w:sz w:val="22"/>
              </w:rPr>
            </w:pPr>
            <w:r w:rsidRPr="000D457C">
              <w:rPr>
                <w:sz w:val="22"/>
              </w:rPr>
              <w:t xml:space="preserve">6) konstatē, ka finanšu līdzekļi, kurus iegulda pārvaldnieka kapitālā, iegūti aizdomīgos finanšu darījumos vai nav </w:t>
            </w:r>
            <w:r w:rsidRPr="000D457C">
              <w:rPr>
                <w:sz w:val="22"/>
              </w:rPr>
              <w:lastRenderedPageBreak/>
              <w:t>dokumentāri pierādīta šo finanšu līdzekļu tiesiska ieguve.”</w:t>
            </w:r>
          </w:p>
        </w:tc>
      </w:tr>
      <w:tr w:rsidR="00BA1B88" w:rsidRPr="008C62F2" w:rsidTr="00A420A8">
        <w:tc>
          <w:tcPr>
            <w:tcW w:w="708" w:type="dxa"/>
            <w:tcBorders>
              <w:top w:val="single" w:sz="6" w:space="0" w:color="000000"/>
              <w:left w:val="single" w:sz="6" w:space="0" w:color="000000"/>
              <w:bottom w:val="single" w:sz="6" w:space="0" w:color="000000"/>
              <w:right w:val="single" w:sz="6" w:space="0" w:color="000000"/>
            </w:tcBorders>
          </w:tcPr>
          <w:p w:rsidR="00BA1B88" w:rsidRDefault="00C53991" w:rsidP="00846CA9">
            <w:pPr>
              <w:pStyle w:val="naisc"/>
              <w:spacing w:before="0" w:after="0"/>
              <w:rPr>
                <w:sz w:val="22"/>
                <w:szCs w:val="22"/>
              </w:rPr>
            </w:pPr>
            <w:r>
              <w:rPr>
                <w:sz w:val="22"/>
                <w:szCs w:val="22"/>
              </w:rPr>
              <w:lastRenderedPageBreak/>
              <w:t>2.</w:t>
            </w:r>
          </w:p>
        </w:tc>
        <w:tc>
          <w:tcPr>
            <w:tcW w:w="3086" w:type="dxa"/>
            <w:tcBorders>
              <w:top w:val="single" w:sz="6" w:space="0" w:color="000000"/>
              <w:left w:val="single" w:sz="6" w:space="0" w:color="000000"/>
              <w:bottom w:val="single" w:sz="6" w:space="0" w:color="000000"/>
              <w:right w:val="single" w:sz="6" w:space="0" w:color="000000"/>
            </w:tcBorders>
          </w:tcPr>
          <w:p w:rsidR="00BA1B88" w:rsidRPr="00BA1B88" w:rsidRDefault="00BA1B88" w:rsidP="00BA1B88">
            <w:pPr>
              <w:pStyle w:val="naisc"/>
              <w:jc w:val="both"/>
              <w:rPr>
                <w:sz w:val="22"/>
                <w:szCs w:val="22"/>
              </w:rPr>
            </w:pPr>
            <w:r w:rsidRPr="00BA1B88">
              <w:rPr>
                <w:sz w:val="22"/>
                <w:szCs w:val="22"/>
              </w:rPr>
              <w:t>1. 8.pantā:</w:t>
            </w:r>
          </w:p>
          <w:p w:rsidR="00BA1B88" w:rsidRPr="00BA1B88" w:rsidRDefault="00BA1B88" w:rsidP="00BA1B88">
            <w:pPr>
              <w:pStyle w:val="naisc"/>
              <w:jc w:val="both"/>
              <w:rPr>
                <w:sz w:val="22"/>
                <w:szCs w:val="22"/>
              </w:rPr>
            </w:pPr>
            <w:r w:rsidRPr="00BA1B88">
              <w:rPr>
                <w:sz w:val="22"/>
                <w:szCs w:val="22"/>
              </w:rPr>
              <w:t>papildināt pirmo daļu ar 2.1 punktu šādā redakcijā:</w:t>
            </w:r>
          </w:p>
          <w:p w:rsidR="00BA1B88" w:rsidRPr="00BA1B88" w:rsidRDefault="00BA1B88" w:rsidP="00BA1B88">
            <w:pPr>
              <w:pStyle w:val="naisc"/>
              <w:jc w:val="both"/>
              <w:rPr>
                <w:sz w:val="22"/>
                <w:szCs w:val="22"/>
              </w:rPr>
            </w:pPr>
            <w:r w:rsidRPr="00BA1B88">
              <w:rPr>
                <w:sz w:val="22"/>
                <w:szCs w:val="22"/>
              </w:rPr>
              <w:t>“2</w:t>
            </w:r>
            <w:r w:rsidRPr="001779AC">
              <w:rPr>
                <w:sz w:val="22"/>
                <w:szCs w:val="22"/>
                <w:vertAlign w:val="superscript"/>
              </w:rPr>
              <w:t>1</w:t>
            </w:r>
            <w:r w:rsidRPr="00BA1B88">
              <w:rPr>
                <w:sz w:val="22"/>
                <w:szCs w:val="22"/>
              </w:rPr>
              <w:t>) šā likuma 10.panta otrās daļas 2.punktā un trešajā daļā minēto informāciju un dokumentus;”</w:t>
            </w:r>
          </w:p>
          <w:p w:rsidR="00BA1B88" w:rsidRPr="00BA1B88" w:rsidRDefault="00BA1B88" w:rsidP="00BA1B88">
            <w:pPr>
              <w:pStyle w:val="naisc"/>
              <w:jc w:val="both"/>
              <w:rPr>
                <w:sz w:val="22"/>
                <w:szCs w:val="22"/>
              </w:rPr>
            </w:pPr>
            <w:r w:rsidRPr="00BA1B88">
              <w:rPr>
                <w:sz w:val="22"/>
                <w:szCs w:val="22"/>
              </w:rPr>
              <w:t>papildināt ceturto daļu ar 4., 5. un 6.punktu šādā redakcijā:</w:t>
            </w:r>
          </w:p>
          <w:p w:rsidR="00BA1B88" w:rsidRPr="00BA1B88" w:rsidRDefault="00BA1B88" w:rsidP="00BA1B88">
            <w:pPr>
              <w:pStyle w:val="naisc"/>
              <w:jc w:val="both"/>
              <w:rPr>
                <w:sz w:val="22"/>
                <w:szCs w:val="22"/>
              </w:rPr>
            </w:pPr>
            <w:r w:rsidRPr="00BA1B88">
              <w:rPr>
                <w:sz w:val="22"/>
                <w:szCs w:val="22"/>
              </w:rPr>
              <w:t>“4) pārvaldnieka amatpersonas neatbilst šā likuma prasībām;</w:t>
            </w:r>
          </w:p>
          <w:p w:rsidR="00BA1B88" w:rsidRPr="00BA1B88" w:rsidRDefault="00BA1B88" w:rsidP="00BA1B88">
            <w:pPr>
              <w:pStyle w:val="naisc"/>
              <w:jc w:val="both"/>
              <w:rPr>
                <w:sz w:val="22"/>
                <w:szCs w:val="22"/>
              </w:rPr>
            </w:pPr>
            <w:r w:rsidRPr="00BA1B88">
              <w:rPr>
                <w:sz w:val="22"/>
                <w:szCs w:val="22"/>
              </w:rPr>
              <w:t>5) nav iespējas pārliecināties par to personu identitāti un reputāciju, kurām pārvaldniekā ir būtiska līdzdalība;</w:t>
            </w:r>
          </w:p>
          <w:p w:rsidR="00BA1B88" w:rsidRPr="00BA1B88" w:rsidRDefault="00BA1B88" w:rsidP="00BA1B88">
            <w:pPr>
              <w:pStyle w:val="naisc"/>
              <w:jc w:val="both"/>
              <w:rPr>
                <w:sz w:val="22"/>
                <w:szCs w:val="22"/>
              </w:rPr>
            </w:pPr>
            <w:r w:rsidRPr="00BA1B88">
              <w:rPr>
                <w:sz w:val="22"/>
                <w:szCs w:val="22"/>
              </w:rPr>
              <w:t>6) konstatē, ka finanšu līdzekļi, kurus iegulda pārvaldnieka kapitālā, iegūti aizdomīgos finanšu darījumos vai nav dokumentāri pierādīta šo finanšu līdzekļu tiesiska ieguve.”</w:t>
            </w:r>
          </w:p>
        </w:tc>
        <w:tc>
          <w:tcPr>
            <w:tcW w:w="4394" w:type="dxa"/>
            <w:tcBorders>
              <w:top w:val="single" w:sz="6" w:space="0" w:color="000000"/>
              <w:left w:val="single" w:sz="6" w:space="0" w:color="000000"/>
              <w:bottom w:val="single" w:sz="6" w:space="0" w:color="000000"/>
              <w:right w:val="single" w:sz="6" w:space="0" w:color="000000"/>
            </w:tcBorders>
          </w:tcPr>
          <w:p w:rsidR="00BA1B88" w:rsidRPr="00BA1B88" w:rsidRDefault="00BA1B88" w:rsidP="00BA1B88">
            <w:pPr>
              <w:pStyle w:val="naisc"/>
              <w:jc w:val="both"/>
              <w:rPr>
                <w:sz w:val="22"/>
                <w:szCs w:val="22"/>
              </w:rPr>
            </w:pPr>
            <w:r w:rsidRPr="00BA1B88">
              <w:rPr>
                <w:sz w:val="22"/>
                <w:szCs w:val="22"/>
              </w:rPr>
              <w:t xml:space="preserve">Akcionāram (dalībniekam) 11. pantā ir prasība par nevainojumu reputāciju </w:t>
            </w:r>
          </w:p>
          <w:p w:rsidR="00BA1B88" w:rsidRPr="00BA1B88" w:rsidRDefault="00BA1B88" w:rsidP="00BA1B88">
            <w:pPr>
              <w:pStyle w:val="naisc"/>
              <w:spacing w:before="0" w:after="0"/>
              <w:jc w:val="both"/>
              <w:rPr>
                <w:sz w:val="22"/>
                <w:szCs w:val="22"/>
              </w:rPr>
            </w:pPr>
            <w:r w:rsidRPr="00BA1B88">
              <w:rPr>
                <w:sz w:val="22"/>
                <w:szCs w:val="22"/>
              </w:rPr>
              <w:t>Lūdzam labojumu par nevainojamu reputāciju veikt arī attiecībā uz licencētu pārvaldnieku, precziējot gadījumus, kad var atteikties izsniegt licenci (17. panta piektās daļas 6. punkts)</w:t>
            </w:r>
          </w:p>
        </w:tc>
        <w:tc>
          <w:tcPr>
            <w:tcW w:w="4111" w:type="dxa"/>
            <w:tcBorders>
              <w:top w:val="single" w:sz="6" w:space="0" w:color="000000"/>
              <w:left w:val="single" w:sz="6" w:space="0" w:color="000000"/>
              <w:bottom w:val="single" w:sz="6" w:space="0" w:color="000000"/>
              <w:right w:val="single" w:sz="6" w:space="0" w:color="000000"/>
            </w:tcBorders>
          </w:tcPr>
          <w:p w:rsidR="00BA1B88" w:rsidRPr="00BA1B88" w:rsidRDefault="00BA1B88" w:rsidP="00FB4855">
            <w:pPr>
              <w:pStyle w:val="naisc"/>
              <w:spacing w:before="0" w:after="0"/>
              <w:rPr>
                <w:b/>
                <w:sz w:val="22"/>
                <w:szCs w:val="22"/>
              </w:rPr>
            </w:pPr>
            <w:r w:rsidRPr="00BA1B88">
              <w:rPr>
                <w:b/>
                <w:sz w:val="22"/>
                <w:szCs w:val="22"/>
              </w:rPr>
              <w:t>Iebildums ņemts vērā</w:t>
            </w:r>
          </w:p>
        </w:tc>
        <w:tc>
          <w:tcPr>
            <w:tcW w:w="2693" w:type="dxa"/>
            <w:tcBorders>
              <w:top w:val="single" w:sz="4" w:space="0" w:color="auto"/>
              <w:left w:val="single" w:sz="4" w:space="0" w:color="auto"/>
              <w:bottom w:val="single" w:sz="4" w:space="0" w:color="auto"/>
            </w:tcBorders>
          </w:tcPr>
          <w:p w:rsidR="000D457C" w:rsidRPr="000D457C" w:rsidRDefault="000D457C" w:rsidP="000D457C">
            <w:pPr>
              <w:jc w:val="both"/>
              <w:rPr>
                <w:sz w:val="22"/>
              </w:rPr>
            </w:pPr>
            <w:r w:rsidRPr="000D457C">
              <w:rPr>
                <w:sz w:val="22"/>
              </w:rPr>
              <w:t>1. 8.pantā:</w:t>
            </w:r>
          </w:p>
          <w:p w:rsidR="000D457C" w:rsidRPr="000D457C" w:rsidRDefault="000D457C" w:rsidP="000D457C">
            <w:pPr>
              <w:jc w:val="both"/>
              <w:rPr>
                <w:sz w:val="22"/>
              </w:rPr>
            </w:pPr>
            <w:r w:rsidRPr="000D457C">
              <w:rPr>
                <w:sz w:val="22"/>
              </w:rPr>
              <w:t>papildināt ceturto daļu ar 4., 5. un 6.punktu šādā redakcijā:</w:t>
            </w:r>
          </w:p>
          <w:p w:rsidR="000D457C" w:rsidRPr="000D457C" w:rsidRDefault="000D457C" w:rsidP="000D457C">
            <w:pPr>
              <w:jc w:val="both"/>
              <w:rPr>
                <w:sz w:val="22"/>
              </w:rPr>
            </w:pPr>
          </w:p>
          <w:p w:rsidR="000D457C" w:rsidRPr="000D457C" w:rsidRDefault="000D457C" w:rsidP="000D457C">
            <w:pPr>
              <w:jc w:val="both"/>
              <w:rPr>
                <w:sz w:val="22"/>
              </w:rPr>
            </w:pPr>
            <w:r w:rsidRPr="000D457C">
              <w:rPr>
                <w:sz w:val="22"/>
              </w:rPr>
              <w:t>“4) pārvaldnieka amatpersonas neatbilst 15.panta pirmās, otrās un trešās daļas prasībām;</w:t>
            </w:r>
          </w:p>
          <w:p w:rsidR="000D457C" w:rsidRPr="000D457C" w:rsidRDefault="000D457C" w:rsidP="000D457C">
            <w:pPr>
              <w:jc w:val="both"/>
              <w:rPr>
                <w:sz w:val="22"/>
              </w:rPr>
            </w:pPr>
          </w:p>
          <w:p w:rsidR="000D457C" w:rsidRPr="000D457C" w:rsidRDefault="000D457C" w:rsidP="000D457C">
            <w:pPr>
              <w:jc w:val="both"/>
              <w:rPr>
                <w:sz w:val="22"/>
              </w:rPr>
            </w:pPr>
            <w:r w:rsidRPr="000D457C">
              <w:rPr>
                <w:sz w:val="22"/>
              </w:rPr>
              <w:t xml:space="preserve">5) nav iespējas pārliecināties par to personu identitāti un </w:t>
            </w:r>
            <w:r w:rsidRPr="000D457C">
              <w:rPr>
                <w:b/>
                <w:sz w:val="22"/>
              </w:rPr>
              <w:t xml:space="preserve">nevainojamu </w:t>
            </w:r>
            <w:r w:rsidRPr="000D457C">
              <w:rPr>
                <w:sz w:val="22"/>
              </w:rPr>
              <w:t>reputāciju, kurām pārvaldniekā ir ne mazāks kā 25 procenti no pārvaldnieka pamatkapitāla vai balsstiesīgo akciju skaita;</w:t>
            </w:r>
          </w:p>
          <w:p w:rsidR="000D457C" w:rsidRPr="000D457C" w:rsidRDefault="000D457C" w:rsidP="000D457C">
            <w:pPr>
              <w:jc w:val="both"/>
              <w:rPr>
                <w:sz w:val="22"/>
              </w:rPr>
            </w:pPr>
          </w:p>
          <w:p w:rsidR="00BA1B88" w:rsidRDefault="000D457C" w:rsidP="000D457C">
            <w:pPr>
              <w:jc w:val="both"/>
              <w:rPr>
                <w:sz w:val="22"/>
              </w:rPr>
            </w:pPr>
            <w:r w:rsidRPr="000D457C">
              <w:rPr>
                <w:sz w:val="22"/>
              </w:rPr>
              <w:t>6) konstatē, ka finanšu līdzekļi, kurus iegulda pārvaldnieka kapitālā, iegūti aizdomīgos finanšu darījumos vai nav dokumentāri pierādīta šo finanšu līdzekļu tiesiska ieguve.”</w:t>
            </w:r>
          </w:p>
          <w:p w:rsidR="000D457C" w:rsidRDefault="000D457C" w:rsidP="000D457C">
            <w:pPr>
              <w:jc w:val="both"/>
              <w:rPr>
                <w:sz w:val="22"/>
              </w:rPr>
            </w:pPr>
          </w:p>
          <w:p w:rsidR="000D457C" w:rsidRDefault="000D457C" w:rsidP="000D457C">
            <w:pPr>
              <w:jc w:val="both"/>
              <w:rPr>
                <w:sz w:val="22"/>
              </w:rPr>
            </w:pPr>
            <w:r w:rsidRPr="001779AC">
              <w:rPr>
                <w:b/>
                <w:sz w:val="22"/>
              </w:rPr>
              <w:t>4.</w:t>
            </w:r>
            <w:r w:rsidRPr="000D457C">
              <w:rPr>
                <w:sz w:val="22"/>
              </w:rPr>
              <w:t xml:space="preserve"> </w:t>
            </w:r>
            <w:r w:rsidRPr="001779AC">
              <w:rPr>
                <w:b/>
                <w:sz w:val="22"/>
              </w:rPr>
              <w:t>Papildināt 17.panta piektās daļas 6.punktā pirms vārda „reputāciju” ar vārdu „nevainojamu”.</w:t>
            </w:r>
          </w:p>
        </w:tc>
      </w:tr>
      <w:tr w:rsidR="00846CA9" w:rsidRPr="008C62F2" w:rsidTr="00A420A8">
        <w:tc>
          <w:tcPr>
            <w:tcW w:w="708" w:type="dxa"/>
            <w:tcBorders>
              <w:top w:val="single" w:sz="6" w:space="0" w:color="000000"/>
              <w:left w:val="single" w:sz="6" w:space="0" w:color="000000"/>
              <w:bottom w:val="single" w:sz="6" w:space="0" w:color="000000"/>
              <w:right w:val="single" w:sz="6" w:space="0" w:color="000000"/>
            </w:tcBorders>
          </w:tcPr>
          <w:p w:rsidR="00846CA9" w:rsidRPr="006C3CAF" w:rsidRDefault="00C53991" w:rsidP="00846CA9">
            <w:pPr>
              <w:pStyle w:val="naisc"/>
              <w:spacing w:before="0" w:after="0"/>
              <w:rPr>
                <w:sz w:val="22"/>
                <w:szCs w:val="22"/>
              </w:rPr>
            </w:pPr>
            <w:r>
              <w:rPr>
                <w:sz w:val="22"/>
                <w:szCs w:val="22"/>
              </w:rPr>
              <w:lastRenderedPageBreak/>
              <w:t>3</w:t>
            </w:r>
            <w:r w:rsidR="00A275CA">
              <w:rPr>
                <w:sz w:val="22"/>
                <w:szCs w:val="22"/>
              </w:rPr>
              <w:t>.</w:t>
            </w:r>
          </w:p>
        </w:tc>
        <w:tc>
          <w:tcPr>
            <w:tcW w:w="3086" w:type="dxa"/>
            <w:tcBorders>
              <w:top w:val="single" w:sz="6" w:space="0" w:color="000000"/>
              <w:left w:val="single" w:sz="6" w:space="0" w:color="000000"/>
              <w:bottom w:val="single" w:sz="6" w:space="0" w:color="000000"/>
              <w:right w:val="single" w:sz="6" w:space="0" w:color="000000"/>
            </w:tcBorders>
          </w:tcPr>
          <w:p w:rsidR="00846CA9" w:rsidRPr="006C3CAF" w:rsidRDefault="00A275CA" w:rsidP="00A275CA">
            <w:pPr>
              <w:pStyle w:val="naisc"/>
              <w:spacing w:before="0" w:after="0"/>
              <w:jc w:val="both"/>
              <w:rPr>
                <w:sz w:val="22"/>
                <w:szCs w:val="22"/>
              </w:rPr>
            </w:pPr>
            <w:r w:rsidRPr="00A275CA">
              <w:rPr>
                <w:sz w:val="22"/>
                <w:szCs w:val="22"/>
              </w:rPr>
              <w:t>5. Aizstāt 82. panta pirmās daļas 2. punktā vārdus "900 euro gadā" ar vārdiem "1400 euro gadā"</w:t>
            </w:r>
          </w:p>
        </w:tc>
        <w:tc>
          <w:tcPr>
            <w:tcW w:w="4394" w:type="dxa"/>
            <w:tcBorders>
              <w:top w:val="single" w:sz="6" w:space="0" w:color="000000"/>
              <w:left w:val="single" w:sz="6" w:space="0" w:color="000000"/>
              <w:bottom w:val="single" w:sz="6" w:space="0" w:color="000000"/>
              <w:right w:val="single" w:sz="6" w:space="0" w:color="000000"/>
            </w:tcBorders>
          </w:tcPr>
          <w:p w:rsidR="00846CA9" w:rsidRPr="006C3CAF" w:rsidRDefault="00A275CA" w:rsidP="00846CA9">
            <w:pPr>
              <w:pStyle w:val="naisc"/>
              <w:spacing w:before="0" w:after="0"/>
              <w:jc w:val="both"/>
              <w:rPr>
                <w:sz w:val="22"/>
                <w:szCs w:val="22"/>
              </w:rPr>
            </w:pPr>
            <w:r w:rsidRPr="00A275CA">
              <w:rPr>
                <w:sz w:val="22"/>
                <w:szCs w:val="22"/>
              </w:rPr>
              <w:t>Attiecībā uz maksājumu apmēru norādām, ka tam būtu jāsedz  jauno Likuma prasību veikšanas nodrošināšanai nepieciešamās izmaksas. Komisija ierosina nemainīt pastāvīgā maksājuma, kuru  reģistrēts pārvaldnieks veic Komisijas darbības finansēšanai, apmēru, bet pārskatīt maksājuma apmēru Komisijai par pārvaldnieka reģistrācijas pieteikuma izskatīšanu, ņemot vērā, ka papildus nāk klāt reģistrācijas procesa gaitā vērtējamā informācija attiecībā uz amatpersonām un akcionāriem (dalībniekiem), kā arī noteikt atsevišķu maksājumu par iesnieguma izmaiņām pārvaldnieka amatpersonu sastāvā izskatīšanu. Tāpat paredzot, ka personai, kurai ir nodoms iegūt līdzdalību pārvaldniekā,  ir jāveic maksājums Komisijai par iesnieguma līdzdalības iegūšanai izskatīšanu. Ņemot vērā minēto, Komisija ir papildinājusi Likumprojekta 5. panta redakciju ar Komisijas priekšlikumu attiecībā uz maksājumu veidu un apmēru Komsijai.</w:t>
            </w:r>
          </w:p>
        </w:tc>
        <w:tc>
          <w:tcPr>
            <w:tcW w:w="4111" w:type="dxa"/>
            <w:tcBorders>
              <w:top w:val="single" w:sz="6" w:space="0" w:color="000000"/>
              <w:left w:val="single" w:sz="6" w:space="0" w:color="000000"/>
              <w:bottom w:val="single" w:sz="6" w:space="0" w:color="000000"/>
              <w:right w:val="single" w:sz="6" w:space="0" w:color="000000"/>
            </w:tcBorders>
          </w:tcPr>
          <w:p w:rsidR="00846CA9" w:rsidRDefault="009C5493" w:rsidP="00FB4855">
            <w:pPr>
              <w:pStyle w:val="naisc"/>
              <w:spacing w:before="0" w:after="0"/>
              <w:rPr>
                <w:b/>
                <w:sz w:val="22"/>
                <w:szCs w:val="22"/>
              </w:rPr>
            </w:pPr>
            <w:r w:rsidRPr="009C5493">
              <w:rPr>
                <w:b/>
                <w:sz w:val="22"/>
                <w:szCs w:val="22"/>
              </w:rPr>
              <w:t>Iebildums ņemts vērā</w:t>
            </w:r>
          </w:p>
          <w:p w:rsidR="009C5493" w:rsidRPr="009C5493" w:rsidRDefault="009C5493" w:rsidP="009C5493">
            <w:pPr>
              <w:pStyle w:val="naisc"/>
              <w:spacing w:before="0" w:after="0"/>
              <w:jc w:val="both"/>
              <w:rPr>
                <w:sz w:val="22"/>
                <w:szCs w:val="22"/>
              </w:rPr>
            </w:pPr>
            <w:r w:rsidRPr="009C5493">
              <w:rPr>
                <w:sz w:val="22"/>
                <w:szCs w:val="22"/>
              </w:rPr>
              <w:t>Aizstāt 82. panta pirmās daļas 2. punktā vārdus "900 euro gadā" ar vārdiem "1400 euro gadā" ir izslēgts no likumprojekta.</w:t>
            </w:r>
          </w:p>
        </w:tc>
        <w:tc>
          <w:tcPr>
            <w:tcW w:w="2693" w:type="dxa"/>
            <w:tcBorders>
              <w:top w:val="single" w:sz="4" w:space="0" w:color="auto"/>
              <w:left w:val="single" w:sz="4" w:space="0" w:color="auto"/>
              <w:bottom w:val="single" w:sz="4" w:space="0" w:color="auto"/>
            </w:tcBorders>
          </w:tcPr>
          <w:p w:rsidR="009C5493" w:rsidRPr="009C5493" w:rsidRDefault="009C5493" w:rsidP="009C5493">
            <w:pPr>
              <w:jc w:val="both"/>
              <w:rPr>
                <w:sz w:val="22"/>
              </w:rPr>
            </w:pPr>
            <w:r>
              <w:rPr>
                <w:sz w:val="22"/>
              </w:rPr>
              <w:t xml:space="preserve">5. </w:t>
            </w:r>
            <w:r w:rsidRPr="009C5493">
              <w:rPr>
                <w:sz w:val="22"/>
              </w:rPr>
              <w:t>82.pantā:</w:t>
            </w:r>
          </w:p>
          <w:p w:rsidR="009C5493" w:rsidRPr="009C5493" w:rsidRDefault="009C5493" w:rsidP="009C5493">
            <w:pPr>
              <w:jc w:val="both"/>
              <w:rPr>
                <w:sz w:val="22"/>
              </w:rPr>
            </w:pPr>
            <w:r w:rsidRPr="009C5493">
              <w:rPr>
                <w:sz w:val="22"/>
              </w:rPr>
              <w:t>aiztāt 2</w:t>
            </w:r>
            <w:r w:rsidRPr="009C5493">
              <w:rPr>
                <w:sz w:val="22"/>
                <w:vertAlign w:val="superscript"/>
              </w:rPr>
              <w:t>1</w:t>
            </w:r>
            <w:r w:rsidRPr="009C5493">
              <w:rPr>
                <w:sz w:val="22"/>
              </w:rPr>
              <w:t xml:space="preserve"> daļā skaitli un vārdu “250 euro” ar skaitili un vārdu “900 euro”;</w:t>
            </w:r>
          </w:p>
          <w:p w:rsidR="009C5493" w:rsidRPr="009C5493" w:rsidRDefault="009C5493" w:rsidP="009C5493">
            <w:pPr>
              <w:jc w:val="both"/>
              <w:rPr>
                <w:sz w:val="22"/>
              </w:rPr>
            </w:pPr>
          </w:p>
          <w:p w:rsidR="009C5493" w:rsidRPr="009C5493" w:rsidRDefault="009C5493" w:rsidP="009C5493">
            <w:pPr>
              <w:jc w:val="both"/>
              <w:rPr>
                <w:sz w:val="22"/>
              </w:rPr>
            </w:pPr>
            <w:r w:rsidRPr="009C5493">
              <w:rPr>
                <w:sz w:val="22"/>
              </w:rPr>
              <w:t>papildināt ar 2</w:t>
            </w:r>
            <w:r w:rsidRPr="009C5493">
              <w:rPr>
                <w:sz w:val="22"/>
                <w:vertAlign w:val="superscript"/>
              </w:rPr>
              <w:t>2</w:t>
            </w:r>
            <w:r w:rsidRPr="009C5493">
              <w:rPr>
                <w:sz w:val="22"/>
              </w:rPr>
              <w:t xml:space="preserve"> daļu šādā redakcijā: </w:t>
            </w:r>
          </w:p>
          <w:p w:rsidR="009C5493" w:rsidRPr="009C5493" w:rsidRDefault="009C5493" w:rsidP="009C5493">
            <w:pPr>
              <w:jc w:val="both"/>
              <w:rPr>
                <w:sz w:val="22"/>
              </w:rPr>
            </w:pPr>
            <w:r w:rsidRPr="009C5493">
              <w:rPr>
                <w:sz w:val="22"/>
              </w:rPr>
              <w:t xml:space="preserve"> </w:t>
            </w:r>
          </w:p>
          <w:p w:rsidR="009C5493" w:rsidRPr="009C5493" w:rsidRDefault="009C5493" w:rsidP="009C5493">
            <w:pPr>
              <w:jc w:val="both"/>
              <w:rPr>
                <w:sz w:val="22"/>
              </w:rPr>
            </w:pPr>
            <w:r w:rsidRPr="009C5493">
              <w:rPr>
                <w:sz w:val="22"/>
              </w:rPr>
              <w:t>“(2</w:t>
            </w:r>
            <w:r w:rsidRPr="009C5493">
              <w:rPr>
                <w:sz w:val="22"/>
                <w:vertAlign w:val="superscript"/>
              </w:rPr>
              <w:t>2</w:t>
            </w:r>
            <w:r w:rsidRPr="009C5493">
              <w:rPr>
                <w:sz w:val="22"/>
              </w:rPr>
              <w:t>) Persona, kas vēlas iegūt līdzdalību reģistrētā pārvaldniekā saskaņā ar šā likuma 9.panta 5.</w:t>
            </w:r>
            <w:r w:rsidRPr="009C5493">
              <w:rPr>
                <w:sz w:val="22"/>
                <w:vertAlign w:val="superscript"/>
              </w:rPr>
              <w:t>2</w:t>
            </w:r>
            <w:r w:rsidRPr="009C5493">
              <w:rPr>
                <w:sz w:val="22"/>
              </w:rPr>
              <w:t xml:space="preserve"> daļu, par paziņojuma par nodomu iegūt līdzdalību reģistrētā pārvaldniekā izskatīšanu Komisijai maksā 500 euro.”</w:t>
            </w:r>
          </w:p>
          <w:p w:rsidR="009C5493" w:rsidRPr="009C5493" w:rsidRDefault="009C5493" w:rsidP="009C5493">
            <w:pPr>
              <w:jc w:val="both"/>
              <w:rPr>
                <w:sz w:val="22"/>
              </w:rPr>
            </w:pPr>
          </w:p>
          <w:p w:rsidR="009C5493" w:rsidRPr="009C5493" w:rsidRDefault="009C5493" w:rsidP="009C5493">
            <w:pPr>
              <w:jc w:val="both"/>
              <w:rPr>
                <w:sz w:val="22"/>
              </w:rPr>
            </w:pPr>
            <w:r w:rsidRPr="009C5493">
              <w:rPr>
                <w:sz w:val="22"/>
              </w:rPr>
              <w:t>papildināt ar 2</w:t>
            </w:r>
            <w:r w:rsidRPr="009C5493">
              <w:rPr>
                <w:sz w:val="22"/>
                <w:vertAlign w:val="superscript"/>
              </w:rPr>
              <w:t>3</w:t>
            </w:r>
            <w:r w:rsidRPr="009C5493">
              <w:rPr>
                <w:sz w:val="22"/>
              </w:rPr>
              <w:t xml:space="preserve"> daļu šādā redakcijā:</w:t>
            </w:r>
          </w:p>
          <w:p w:rsidR="009C5493" w:rsidRPr="009C5493" w:rsidRDefault="009C5493" w:rsidP="009C5493">
            <w:pPr>
              <w:jc w:val="both"/>
              <w:rPr>
                <w:sz w:val="22"/>
              </w:rPr>
            </w:pPr>
          </w:p>
          <w:p w:rsidR="00846CA9" w:rsidRPr="00A630EA" w:rsidRDefault="009C5493" w:rsidP="009C5493">
            <w:pPr>
              <w:jc w:val="both"/>
              <w:rPr>
                <w:sz w:val="22"/>
              </w:rPr>
            </w:pPr>
            <w:r w:rsidRPr="009C5493">
              <w:rPr>
                <w:sz w:val="22"/>
              </w:rPr>
              <w:t>“(2</w:t>
            </w:r>
            <w:r w:rsidRPr="009C5493">
              <w:rPr>
                <w:sz w:val="22"/>
                <w:vertAlign w:val="superscript"/>
              </w:rPr>
              <w:t>3</w:t>
            </w:r>
            <w:r w:rsidRPr="009C5493">
              <w:rPr>
                <w:sz w:val="22"/>
              </w:rPr>
              <w:t>) Papildu šā panta pirmajā daļā minētajiem maksājumiem šā likuma 9. panta 5</w:t>
            </w:r>
            <w:r w:rsidRPr="009C5493">
              <w:rPr>
                <w:sz w:val="22"/>
                <w:vertAlign w:val="superscript"/>
              </w:rPr>
              <w:t>1</w:t>
            </w:r>
            <w:r w:rsidRPr="009C5493">
              <w:rPr>
                <w:sz w:val="22"/>
              </w:rPr>
              <w:t xml:space="preserve"> daļā noteiktajā gadījumā reģistrēts pārvaldnieks Komisijai maksā par iesnieguma pārvaldnieka amatpersonas kandidātu un tā pielikumu izskatīšanu – 320 euro.”</w:t>
            </w:r>
          </w:p>
        </w:tc>
      </w:tr>
      <w:tr w:rsidR="00846CA9" w:rsidRPr="008C62F2" w:rsidTr="00A420A8">
        <w:tc>
          <w:tcPr>
            <w:tcW w:w="708" w:type="dxa"/>
            <w:tcBorders>
              <w:top w:val="single" w:sz="6" w:space="0" w:color="000000"/>
              <w:left w:val="single" w:sz="6" w:space="0" w:color="000000"/>
              <w:bottom w:val="single" w:sz="6" w:space="0" w:color="000000"/>
              <w:right w:val="single" w:sz="6" w:space="0" w:color="000000"/>
            </w:tcBorders>
          </w:tcPr>
          <w:p w:rsidR="00846CA9" w:rsidRPr="006C3CAF" w:rsidRDefault="00C53991" w:rsidP="00846CA9">
            <w:pPr>
              <w:pStyle w:val="naisc"/>
              <w:spacing w:before="0" w:after="0"/>
              <w:rPr>
                <w:sz w:val="22"/>
                <w:szCs w:val="22"/>
              </w:rPr>
            </w:pPr>
            <w:r>
              <w:rPr>
                <w:sz w:val="22"/>
                <w:szCs w:val="22"/>
              </w:rPr>
              <w:t>4.</w:t>
            </w:r>
          </w:p>
        </w:tc>
        <w:tc>
          <w:tcPr>
            <w:tcW w:w="3086" w:type="dxa"/>
            <w:tcBorders>
              <w:top w:val="single" w:sz="6" w:space="0" w:color="000000"/>
              <w:left w:val="single" w:sz="6" w:space="0" w:color="000000"/>
              <w:bottom w:val="single" w:sz="6" w:space="0" w:color="000000"/>
              <w:right w:val="single" w:sz="6" w:space="0" w:color="000000"/>
            </w:tcBorders>
          </w:tcPr>
          <w:p w:rsidR="00A275CA" w:rsidRPr="00A275CA" w:rsidRDefault="00A275CA" w:rsidP="00A275CA">
            <w:pPr>
              <w:pStyle w:val="naisc"/>
              <w:jc w:val="both"/>
              <w:rPr>
                <w:sz w:val="22"/>
                <w:szCs w:val="22"/>
              </w:rPr>
            </w:pPr>
            <w:r w:rsidRPr="00A275CA">
              <w:rPr>
                <w:sz w:val="22"/>
                <w:szCs w:val="22"/>
              </w:rPr>
              <w:t>6. Papildināt pārejas noteikumus ar 19.punktu šādā redakcijā:</w:t>
            </w:r>
          </w:p>
          <w:p w:rsidR="00A275CA" w:rsidRPr="00A275CA" w:rsidRDefault="00A275CA" w:rsidP="00A275CA">
            <w:pPr>
              <w:pStyle w:val="naisc"/>
              <w:jc w:val="both"/>
              <w:rPr>
                <w:sz w:val="22"/>
                <w:szCs w:val="22"/>
              </w:rPr>
            </w:pPr>
          </w:p>
          <w:p w:rsidR="00846CA9" w:rsidRPr="006C3CAF" w:rsidRDefault="00A275CA" w:rsidP="00A275CA">
            <w:pPr>
              <w:pStyle w:val="naisc"/>
              <w:spacing w:before="0" w:after="0"/>
              <w:jc w:val="both"/>
              <w:rPr>
                <w:sz w:val="22"/>
                <w:szCs w:val="22"/>
              </w:rPr>
            </w:pPr>
            <w:r w:rsidRPr="00A275CA">
              <w:rPr>
                <w:sz w:val="22"/>
                <w:szCs w:val="22"/>
              </w:rPr>
              <w:t xml:space="preserve">“19. Reģistrētie pārvaldnieki līdz 2020.gada 1.decembrim nodrošina atbilstību šā likuma </w:t>
            </w:r>
            <w:r w:rsidRPr="00A275CA">
              <w:rPr>
                <w:sz w:val="22"/>
                <w:szCs w:val="22"/>
              </w:rPr>
              <w:lastRenderedPageBreak/>
              <w:t>11.panta 1.</w:t>
            </w:r>
            <w:r w:rsidRPr="009C5493">
              <w:rPr>
                <w:sz w:val="22"/>
                <w:szCs w:val="22"/>
                <w:vertAlign w:val="superscript"/>
              </w:rPr>
              <w:t>1</w:t>
            </w:r>
            <w:r w:rsidRPr="00A275CA">
              <w:rPr>
                <w:sz w:val="22"/>
                <w:szCs w:val="22"/>
              </w:rPr>
              <w:t xml:space="preserve"> daļas un 15.panta prasībām.”</w:t>
            </w:r>
          </w:p>
        </w:tc>
        <w:tc>
          <w:tcPr>
            <w:tcW w:w="4394" w:type="dxa"/>
            <w:tcBorders>
              <w:top w:val="single" w:sz="6" w:space="0" w:color="000000"/>
              <w:left w:val="single" w:sz="6" w:space="0" w:color="000000"/>
              <w:bottom w:val="single" w:sz="6" w:space="0" w:color="000000"/>
              <w:right w:val="single" w:sz="6" w:space="0" w:color="000000"/>
            </w:tcBorders>
          </w:tcPr>
          <w:p w:rsidR="00846CA9" w:rsidRPr="006C3CAF" w:rsidRDefault="00A275CA" w:rsidP="00846CA9">
            <w:pPr>
              <w:pStyle w:val="naisc"/>
              <w:spacing w:before="0" w:after="0"/>
              <w:jc w:val="both"/>
              <w:rPr>
                <w:sz w:val="22"/>
                <w:szCs w:val="22"/>
              </w:rPr>
            </w:pPr>
            <w:r w:rsidRPr="00A275CA">
              <w:rPr>
                <w:sz w:val="22"/>
                <w:szCs w:val="22"/>
              </w:rPr>
              <w:lastRenderedPageBreak/>
              <w:t xml:space="preserve">Likumprojekta 6. pants paredz papildināt Likuma pārejas noteikumus ar 19. punktu nosakot, ka pārvaldnieki līdz 01.12.2020. nodrošina to amatpersonu un dalībnieku (akcionāru) atbilstību Likuma prasībām. Savukārt Likumprojekta anotācijā ir norādīts, ka 19. punktā noteikts, ka šobrīd esošajiem </w:t>
            </w:r>
            <w:r w:rsidRPr="00A275CA">
              <w:rPr>
                <w:sz w:val="22"/>
                <w:szCs w:val="22"/>
              </w:rPr>
              <w:lastRenderedPageBreak/>
              <w:t>pārvaldniekiem līdz 01.12.2020. ir jāiesniedz visa nepieciešamā informācija un dokumenti, lai Komisija varētu pārliecināties par to, ka pārvaldnieku akcionāru un amatpersonu reputācijas prasības ir ievērotas. Komisija norāda uz anotācijas teksta attiecībā uz Likumprojekta 6. pantu neatbilstību Likumprojektā norādītajam.</w:t>
            </w:r>
          </w:p>
        </w:tc>
        <w:tc>
          <w:tcPr>
            <w:tcW w:w="4111" w:type="dxa"/>
            <w:tcBorders>
              <w:top w:val="single" w:sz="6" w:space="0" w:color="000000"/>
              <w:left w:val="single" w:sz="6" w:space="0" w:color="000000"/>
              <w:bottom w:val="single" w:sz="6" w:space="0" w:color="000000"/>
              <w:right w:val="single" w:sz="6" w:space="0" w:color="000000"/>
            </w:tcBorders>
          </w:tcPr>
          <w:p w:rsidR="000D457C" w:rsidRDefault="000D457C" w:rsidP="000D457C">
            <w:pPr>
              <w:pStyle w:val="naisc"/>
              <w:spacing w:before="0" w:after="0"/>
              <w:rPr>
                <w:b/>
                <w:sz w:val="22"/>
                <w:szCs w:val="22"/>
              </w:rPr>
            </w:pPr>
            <w:r w:rsidRPr="009C5493">
              <w:rPr>
                <w:b/>
                <w:sz w:val="22"/>
                <w:szCs w:val="22"/>
              </w:rPr>
              <w:lastRenderedPageBreak/>
              <w:t>Iebildums ņemts vērā</w:t>
            </w:r>
          </w:p>
          <w:p w:rsidR="00846CA9" w:rsidRPr="000D457C" w:rsidRDefault="00846CA9" w:rsidP="000D457C">
            <w:pPr>
              <w:pStyle w:val="naisc"/>
              <w:spacing w:before="0" w:after="0"/>
              <w:jc w:val="both"/>
              <w:rPr>
                <w:sz w:val="22"/>
                <w:szCs w:val="22"/>
              </w:rPr>
            </w:pPr>
          </w:p>
        </w:tc>
        <w:tc>
          <w:tcPr>
            <w:tcW w:w="2693" w:type="dxa"/>
            <w:tcBorders>
              <w:top w:val="single" w:sz="4" w:space="0" w:color="auto"/>
              <w:left w:val="single" w:sz="4" w:space="0" w:color="auto"/>
              <w:bottom w:val="single" w:sz="4" w:space="0" w:color="auto"/>
            </w:tcBorders>
          </w:tcPr>
          <w:p w:rsidR="00846CA9" w:rsidRPr="00A630EA" w:rsidRDefault="000D457C" w:rsidP="00FB4855">
            <w:pPr>
              <w:jc w:val="both"/>
              <w:rPr>
                <w:sz w:val="22"/>
              </w:rPr>
            </w:pPr>
            <w:r w:rsidRPr="000D457C">
              <w:rPr>
                <w:sz w:val="22"/>
              </w:rPr>
              <w:t>Anotācijā veikti nepieciešamie precizējumi.</w:t>
            </w:r>
          </w:p>
        </w:tc>
      </w:tr>
      <w:tr w:rsidR="007F1C9C" w:rsidRPr="008C62F2" w:rsidTr="00A420A8">
        <w:tc>
          <w:tcPr>
            <w:tcW w:w="14992" w:type="dxa"/>
            <w:gridSpan w:val="5"/>
            <w:tcBorders>
              <w:top w:val="single" w:sz="6" w:space="0" w:color="000000"/>
              <w:left w:val="single" w:sz="6" w:space="0" w:color="000000"/>
              <w:bottom w:val="single" w:sz="6" w:space="0" w:color="000000"/>
            </w:tcBorders>
          </w:tcPr>
          <w:p w:rsidR="007F1C9C" w:rsidRPr="00CA673D" w:rsidRDefault="009E352F" w:rsidP="007F1C9C">
            <w:pPr>
              <w:jc w:val="center"/>
              <w:rPr>
                <w:b/>
                <w:szCs w:val="24"/>
              </w:rPr>
            </w:pPr>
            <w:r w:rsidRPr="009E352F">
              <w:rPr>
                <w:b/>
                <w:szCs w:val="24"/>
              </w:rPr>
              <w:lastRenderedPageBreak/>
              <w:t>Latvijas Privātā un Riska kapitāla asociācijas</w:t>
            </w:r>
          </w:p>
        </w:tc>
      </w:tr>
      <w:tr w:rsidR="007F1C9C" w:rsidRPr="008C62F2" w:rsidTr="00A420A8">
        <w:tc>
          <w:tcPr>
            <w:tcW w:w="708" w:type="dxa"/>
            <w:tcBorders>
              <w:top w:val="single" w:sz="6" w:space="0" w:color="000000"/>
              <w:left w:val="single" w:sz="6" w:space="0" w:color="000000"/>
              <w:bottom w:val="single" w:sz="6" w:space="0" w:color="000000"/>
              <w:right w:val="single" w:sz="6" w:space="0" w:color="000000"/>
            </w:tcBorders>
          </w:tcPr>
          <w:p w:rsidR="007F1C9C" w:rsidRPr="006C3CAF" w:rsidRDefault="00C53991" w:rsidP="00C53991">
            <w:pPr>
              <w:pStyle w:val="naisc"/>
              <w:spacing w:before="0" w:after="0"/>
              <w:rPr>
                <w:sz w:val="22"/>
                <w:szCs w:val="22"/>
              </w:rPr>
            </w:pPr>
            <w:r>
              <w:rPr>
                <w:sz w:val="22"/>
                <w:szCs w:val="22"/>
              </w:rPr>
              <w:t>5.</w:t>
            </w:r>
          </w:p>
        </w:tc>
        <w:tc>
          <w:tcPr>
            <w:tcW w:w="3086" w:type="dxa"/>
            <w:tcBorders>
              <w:top w:val="single" w:sz="6" w:space="0" w:color="000000"/>
              <w:left w:val="single" w:sz="6" w:space="0" w:color="000000"/>
              <w:bottom w:val="single" w:sz="6" w:space="0" w:color="000000"/>
              <w:right w:val="single" w:sz="6" w:space="0" w:color="000000"/>
            </w:tcBorders>
          </w:tcPr>
          <w:p w:rsidR="009E352F" w:rsidRPr="009E352F" w:rsidRDefault="009E352F" w:rsidP="009E352F">
            <w:pPr>
              <w:pStyle w:val="naisc"/>
              <w:jc w:val="both"/>
              <w:rPr>
                <w:sz w:val="22"/>
                <w:szCs w:val="22"/>
              </w:rPr>
            </w:pPr>
            <w:r w:rsidRPr="009E352F">
              <w:rPr>
                <w:sz w:val="22"/>
                <w:szCs w:val="22"/>
              </w:rPr>
              <w:t>1. 8.pantā:</w:t>
            </w:r>
          </w:p>
          <w:p w:rsidR="009E352F" w:rsidRPr="009E352F" w:rsidRDefault="009E352F" w:rsidP="009E352F">
            <w:pPr>
              <w:pStyle w:val="naisc"/>
              <w:jc w:val="both"/>
              <w:rPr>
                <w:sz w:val="22"/>
                <w:szCs w:val="22"/>
              </w:rPr>
            </w:pPr>
            <w:r w:rsidRPr="009E352F">
              <w:rPr>
                <w:sz w:val="22"/>
                <w:szCs w:val="22"/>
              </w:rPr>
              <w:t>papildināt ceturto daļu ar 4., 5. un 6.punktu šādā redakcijā:</w:t>
            </w:r>
          </w:p>
          <w:p w:rsidR="009E352F" w:rsidRPr="009E352F" w:rsidRDefault="009E352F" w:rsidP="009E352F">
            <w:pPr>
              <w:pStyle w:val="naisc"/>
              <w:jc w:val="both"/>
              <w:rPr>
                <w:sz w:val="22"/>
                <w:szCs w:val="22"/>
              </w:rPr>
            </w:pPr>
            <w:r w:rsidRPr="009E352F">
              <w:rPr>
                <w:sz w:val="22"/>
                <w:szCs w:val="22"/>
              </w:rPr>
              <w:t xml:space="preserve">“4) pārvaldnieka amatpersonas </w:t>
            </w:r>
            <w:r w:rsidRPr="00C53991">
              <w:rPr>
                <w:sz w:val="22"/>
                <w:szCs w:val="22"/>
              </w:rPr>
              <w:t>neatbilst šā likuma prasībām</w:t>
            </w:r>
            <w:r w:rsidRPr="009E352F">
              <w:rPr>
                <w:sz w:val="22"/>
                <w:szCs w:val="22"/>
              </w:rPr>
              <w:t>;</w:t>
            </w:r>
          </w:p>
          <w:p w:rsidR="009E352F" w:rsidRPr="009E352F" w:rsidRDefault="009E352F" w:rsidP="009E352F">
            <w:pPr>
              <w:pStyle w:val="naisc"/>
              <w:jc w:val="both"/>
              <w:rPr>
                <w:sz w:val="22"/>
                <w:szCs w:val="22"/>
              </w:rPr>
            </w:pPr>
            <w:r w:rsidRPr="009E352F">
              <w:rPr>
                <w:sz w:val="22"/>
                <w:szCs w:val="22"/>
              </w:rPr>
              <w:t>5) nav iespējas pārliecināties par to personu identitāti un nevainojamu reputāciju, kurām pārvaldniekā ir būtiska līdzdalība;</w:t>
            </w:r>
          </w:p>
          <w:p w:rsidR="007F1C9C" w:rsidRPr="006C3CAF" w:rsidRDefault="009E352F" w:rsidP="009E352F">
            <w:pPr>
              <w:pStyle w:val="naisc"/>
              <w:spacing w:before="0" w:after="0"/>
              <w:jc w:val="both"/>
              <w:rPr>
                <w:sz w:val="22"/>
                <w:szCs w:val="22"/>
              </w:rPr>
            </w:pPr>
            <w:r w:rsidRPr="009E352F">
              <w:rPr>
                <w:sz w:val="22"/>
                <w:szCs w:val="22"/>
              </w:rPr>
              <w:t>6) konstatē, ka finanšu līdzekļi, kurus iegulda pārvaldnieka kapitālā, iegūti aizdomīgos finanšu darījumos vai nav dokumentāri pierādīta šo finanšu līdzekļu tiesiska ieguve.”</w:t>
            </w:r>
          </w:p>
        </w:tc>
        <w:tc>
          <w:tcPr>
            <w:tcW w:w="4394" w:type="dxa"/>
            <w:tcBorders>
              <w:top w:val="single" w:sz="6" w:space="0" w:color="000000"/>
              <w:left w:val="single" w:sz="6" w:space="0" w:color="000000"/>
              <w:bottom w:val="single" w:sz="6" w:space="0" w:color="000000"/>
              <w:right w:val="single" w:sz="6" w:space="0" w:color="000000"/>
            </w:tcBorders>
          </w:tcPr>
          <w:p w:rsidR="009E352F" w:rsidRPr="009E352F" w:rsidRDefault="009E352F" w:rsidP="009E352F">
            <w:pPr>
              <w:jc w:val="both"/>
              <w:rPr>
                <w:sz w:val="22"/>
              </w:rPr>
            </w:pPr>
            <w:r w:rsidRPr="009E352F">
              <w:rPr>
                <w:sz w:val="22"/>
              </w:rPr>
              <w:t>Lai novērstu neskaidrības par uz reģistrēto pārvaldnieku amatpersonām attiecināmajām prasībām, Likumprojekta 1.panta papildinājumu Likuma 8.panta 4.daļas 4.punktam lūdzam izteikt sekojošā redakcijā:</w:t>
            </w:r>
          </w:p>
          <w:p w:rsidR="007F1C9C" w:rsidRPr="006C3CAF" w:rsidRDefault="009E352F" w:rsidP="009E352F">
            <w:pPr>
              <w:jc w:val="both"/>
              <w:rPr>
                <w:sz w:val="22"/>
              </w:rPr>
            </w:pPr>
            <w:r w:rsidRPr="009E352F">
              <w:rPr>
                <w:sz w:val="22"/>
              </w:rPr>
              <w:t xml:space="preserve">“4) pārvaldnieka amatpersonas neatbilst šā likuma 15.panta </w:t>
            </w:r>
            <w:r w:rsidRPr="00C53991">
              <w:rPr>
                <w:sz w:val="22"/>
              </w:rPr>
              <w:t>pirmās, otrās un trešās daļas</w:t>
            </w:r>
            <w:r w:rsidRPr="009E352F">
              <w:rPr>
                <w:sz w:val="22"/>
              </w:rPr>
              <w:t xml:space="preserve"> prasībām.</w:t>
            </w:r>
          </w:p>
        </w:tc>
        <w:tc>
          <w:tcPr>
            <w:tcW w:w="4111" w:type="dxa"/>
            <w:tcBorders>
              <w:top w:val="single" w:sz="6" w:space="0" w:color="000000"/>
              <w:left w:val="single" w:sz="6" w:space="0" w:color="000000"/>
              <w:bottom w:val="single" w:sz="6" w:space="0" w:color="000000"/>
              <w:right w:val="single" w:sz="6" w:space="0" w:color="000000"/>
            </w:tcBorders>
          </w:tcPr>
          <w:p w:rsidR="007F1C9C" w:rsidRPr="000D457C" w:rsidRDefault="000D457C" w:rsidP="007F1C9C">
            <w:pPr>
              <w:pStyle w:val="naisc"/>
              <w:spacing w:before="0" w:after="0"/>
              <w:rPr>
                <w:b/>
                <w:sz w:val="22"/>
                <w:szCs w:val="22"/>
              </w:rPr>
            </w:pPr>
            <w:r w:rsidRPr="000D457C">
              <w:rPr>
                <w:b/>
                <w:sz w:val="22"/>
                <w:szCs w:val="22"/>
              </w:rPr>
              <w:t>Iebildums ņemts vērā</w:t>
            </w:r>
          </w:p>
        </w:tc>
        <w:tc>
          <w:tcPr>
            <w:tcW w:w="2693" w:type="dxa"/>
            <w:tcBorders>
              <w:top w:val="single" w:sz="4" w:space="0" w:color="auto"/>
              <w:left w:val="single" w:sz="4" w:space="0" w:color="auto"/>
              <w:bottom w:val="single" w:sz="4" w:space="0" w:color="auto"/>
            </w:tcBorders>
          </w:tcPr>
          <w:p w:rsidR="00C53991" w:rsidRPr="00C53991" w:rsidRDefault="00C53991" w:rsidP="00C53991">
            <w:pPr>
              <w:jc w:val="both"/>
              <w:rPr>
                <w:sz w:val="22"/>
              </w:rPr>
            </w:pPr>
            <w:r w:rsidRPr="00C53991">
              <w:rPr>
                <w:sz w:val="22"/>
              </w:rPr>
              <w:t>1. 8.pantā:</w:t>
            </w:r>
          </w:p>
          <w:p w:rsidR="00C53991" w:rsidRDefault="00C53991" w:rsidP="00C53991">
            <w:pPr>
              <w:jc w:val="both"/>
              <w:rPr>
                <w:sz w:val="22"/>
              </w:rPr>
            </w:pPr>
            <w:r w:rsidRPr="00C53991">
              <w:rPr>
                <w:sz w:val="22"/>
              </w:rPr>
              <w:t>papildināt ceturto daļu ar 4., 5. un 6.punktu šādā redakcijā:</w:t>
            </w:r>
          </w:p>
          <w:p w:rsidR="000D457C" w:rsidRPr="00C53991" w:rsidRDefault="000D457C" w:rsidP="00C53991">
            <w:pPr>
              <w:jc w:val="both"/>
              <w:rPr>
                <w:sz w:val="22"/>
              </w:rPr>
            </w:pPr>
          </w:p>
          <w:p w:rsidR="00C53991" w:rsidRPr="00C53991" w:rsidRDefault="00C53991" w:rsidP="00C53991">
            <w:pPr>
              <w:jc w:val="both"/>
              <w:rPr>
                <w:sz w:val="22"/>
              </w:rPr>
            </w:pPr>
            <w:r w:rsidRPr="00C53991">
              <w:rPr>
                <w:sz w:val="22"/>
              </w:rPr>
              <w:t xml:space="preserve">“4) pārvaldnieka amatpersonas neatbilst </w:t>
            </w:r>
            <w:r w:rsidRPr="000D457C">
              <w:rPr>
                <w:b/>
                <w:sz w:val="22"/>
              </w:rPr>
              <w:t>15.panta pirmās, otrās un trešās</w:t>
            </w:r>
            <w:r w:rsidRPr="00C53991">
              <w:rPr>
                <w:sz w:val="22"/>
              </w:rPr>
              <w:t xml:space="preserve"> daļas prasībām;</w:t>
            </w:r>
          </w:p>
          <w:p w:rsidR="000D457C" w:rsidRDefault="000D457C" w:rsidP="00C53991">
            <w:pPr>
              <w:jc w:val="both"/>
              <w:rPr>
                <w:sz w:val="22"/>
              </w:rPr>
            </w:pPr>
          </w:p>
          <w:p w:rsidR="00C53991" w:rsidRPr="00C53991" w:rsidRDefault="00C53991" w:rsidP="00C53991">
            <w:pPr>
              <w:jc w:val="both"/>
              <w:rPr>
                <w:sz w:val="22"/>
              </w:rPr>
            </w:pPr>
            <w:r w:rsidRPr="00C53991">
              <w:rPr>
                <w:sz w:val="22"/>
              </w:rPr>
              <w:t>5) nav iespējas pārliecināties par to personu identitāti un nevainojamu reputāciju, kurām pārvaldniekā ir ne mazāks kā 25 procenti no pārvaldnieka pamatkapitāla vai balsstiesīgo akciju skaita;</w:t>
            </w:r>
          </w:p>
          <w:p w:rsidR="00C53991" w:rsidRPr="00C53991" w:rsidRDefault="00C53991" w:rsidP="00C53991">
            <w:pPr>
              <w:jc w:val="both"/>
              <w:rPr>
                <w:sz w:val="22"/>
              </w:rPr>
            </w:pPr>
          </w:p>
          <w:p w:rsidR="007F1C9C" w:rsidRPr="006C3CAF" w:rsidRDefault="00C53991" w:rsidP="00C53991">
            <w:pPr>
              <w:jc w:val="both"/>
              <w:rPr>
                <w:sz w:val="22"/>
              </w:rPr>
            </w:pPr>
            <w:r w:rsidRPr="00C53991">
              <w:rPr>
                <w:sz w:val="22"/>
              </w:rPr>
              <w:t>6) konstatē, ka finanšu līdzekļi, kurus iegulda pārvaldnieka kapitālā, iegūti aizdomīgos finanšu darījumos vai nav dokumentāri pierādīta šo finanšu līdzekļu tiesiska ieguve.”</w:t>
            </w:r>
          </w:p>
        </w:tc>
      </w:tr>
      <w:tr w:rsidR="007F1C9C" w:rsidRPr="008C62F2" w:rsidTr="00A420A8">
        <w:tc>
          <w:tcPr>
            <w:tcW w:w="708" w:type="dxa"/>
            <w:tcBorders>
              <w:top w:val="single" w:sz="6" w:space="0" w:color="000000"/>
              <w:left w:val="single" w:sz="6" w:space="0" w:color="000000"/>
              <w:bottom w:val="single" w:sz="6" w:space="0" w:color="000000"/>
              <w:right w:val="single" w:sz="6" w:space="0" w:color="000000"/>
            </w:tcBorders>
          </w:tcPr>
          <w:p w:rsidR="007F1C9C" w:rsidRPr="006C3CAF" w:rsidRDefault="00C53991" w:rsidP="007F1C9C">
            <w:pPr>
              <w:pStyle w:val="naisc"/>
              <w:spacing w:before="0" w:after="0"/>
              <w:rPr>
                <w:sz w:val="22"/>
                <w:szCs w:val="22"/>
              </w:rPr>
            </w:pPr>
            <w:r>
              <w:rPr>
                <w:sz w:val="22"/>
                <w:szCs w:val="22"/>
              </w:rPr>
              <w:lastRenderedPageBreak/>
              <w:t>6</w:t>
            </w:r>
            <w:r w:rsidR="00790B9C">
              <w:rPr>
                <w:sz w:val="22"/>
                <w:szCs w:val="22"/>
              </w:rPr>
              <w:t>.</w:t>
            </w:r>
          </w:p>
        </w:tc>
        <w:tc>
          <w:tcPr>
            <w:tcW w:w="3086" w:type="dxa"/>
            <w:tcBorders>
              <w:top w:val="single" w:sz="6" w:space="0" w:color="000000"/>
              <w:left w:val="single" w:sz="6" w:space="0" w:color="000000"/>
              <w:bottom w:val="single" w:sz="6" w:space="0" w:color="000000"/>
              <w:right w:val="single" w:sz="6" w:space="0" w:color="000000"/>
            </w:tcBorders>
          </w:tcPr>
          <w:p w:rsidR="007F1C9C" w:rsidRPr="006C3CAF" w:rsidRDefault="004249FB" w:rsidP="009E352F">
            <w:pPr>
              <w:pStyle w:val="naisc"/>
              <w:spacing w:before="0" w:after="0"/>
              <w:jc w:val="both"/>
              <w:rPr>
                <w:sz w:val="22"/>
                <w:szCs w:val="22"/>
              </w:rPr>
            </w:pPr>
            <w:r>
              <w:rPr>
                <w:sz w:val="22"/>
                <w:szCs w:val="22"/>
              </w:rPr>
              <w:t xml:space="preserve">5. </w:t>
            </w:r>
            <w:r w:rsidRPr="00790B9C">
              <w:rPr>
                <w:sz w:val="22"/>
                <w:szCs w:val="22"/>
              </w:rPr>
              <w:t>Aizstāt 82. panta pirmās daļas 2. punktā vārdus "900 euro gadā" ar vārdiem "1400 euro gadā"</w:t>
            </w:r>
          </w:p>
        </w:tc>
        <w:tc>
          <w:tcPr>
            <w:tcW w:w="4394" w:type="dxa"/>
            <w:tcBorders>
              <w:top w:val="single" w:sz="6" w:space="0" w:color="000000"/>
              <w:left w:val="single" w:sz="6" w:space="0" w:color="000000"/>
              <w:bottom w:val="single" w:sz="6" w:space="0" w:color="000000"/>
              <w:right w:val="single" w:sz="6" w:space="0" w:color="000000"/>
            </w:tcBorders>
          </w:tcPr>
          <w:p w:rsidR="004249FB" w:rsidRPr="009E352F" w:rsidRDefault="004249FB" w:rsidP="004249FB">
            <w:pPr>
              <w:pStyle w:val="naisc"/>
              <w:jc w:val="both"/>
              <w:rPr>
                <w:sz w:val="22"/>
                <w:szCs w:val="22"/>
              </w:rPr>
            </w:pPr>
            <w:r w:rsidRPr="009E352F">
              <w:rPr>
                <w:sz w:val="22"/>
                <w:szCs w:val="22"/>
              </w:rPr>
              <w:t xml:space="preserve">Likumprojekta 5.pantā ir paredzēts paaugstināt maksājumu apmēru, ko pārvaldnieks veic Komisijas darbības finansēšanai saistībā ar papildus darbu, ko Komisija veiks, izvērtējot reģistrēto pārvaldnieku akcionārus un vadību un pārvaldniekā ieguldīto līdzekļu izcelsmi. </w:t>
            </w:r>
          </w:p>
          <w:p w:rsidR="004249FB" w:rsidRPr="009E352F" w:rsidRDefault="004249FB" w:rsidP="004249FB">
            <w:pPr>
              <w:pStyle w:val="naisc"/>
              <w:jc w:val="both"/>
              <w:rPr>
                <w:sz w:val="22"/>
                <w:szCs w:val="22"/>
              </w:rPr>
            </w:pPr>
            <w:r w:rsidRPr="009E352F">
              <w:rPr>
                <w:sz w:val="22"/>
                <w:szCs w:val="22"/>
              </w:rPr>
              <w:t>Šajā sakarībā LVCA vērš uzmanību uz sekojošo:</w:t>
            </w:r>
          </w:p>
          <w:p w:rsidR="004249FB" w:rsidRDefault="004249FB" w:rsidP="004249FB">
            <w:pPr>
              <w:pStyle w:val="naisc"/>
              <w:spacing w:before="0" w:after="0"/>
              <w:jc w:val="both"/>
              <w:rPr>
                <w:sz w:val="22"/>
                <w:szCs w:val="22"/>
              </w:rPr>
            </w:pPr>
            <w:r w:rsidRPr="009E352F">
              <w:rPr>
                <w:sz w:val="22"/>
                <w:szCs w:val="22"/>
              </w:rPr>
              <w:t>LVCA apkopotā informācija liecina, ka izmaiņas reģistrēto pārvaldnieku akcionāru un vadības sastāvā ir ļoti retas. Līdz ar to jauno ar Likumprojektu noteikto FKTK pienākumu izpilde tipiskā gadījumā attiecībā uz katru no pārvaldniekiem Komisijai būtu jāveic tikai vienu reizi – izvērtējot tā reģistrācijas dokumentus vai, attiecībā jau uz reģistrētajiem pārvaldniekiem, pārbaudot Likumprojekta Pārejas noteikumu 19.punkta kārtībā iesniegtos dokumentus. Līdz ar to ikgadējas maksas paaugstināšana sakarā ar Komisijai Likumprojektā noteikto jauno pienākumu izpildi nav pamatota.</w:t>
            </w:r>
          </w:p>
          <w:p w:rsidR="007F1C9C" w:rsidRPr="006C3CAF" w:rsidRDefault="004249FB" w:rsidP="004249FB">
            <w:pPr>
              <w:jc w:val="both"/>
              <w:rPr>
                <w:sz w:val="22"/>
              </w:rPr>
            </w:pPr>
            <w:r w:rsidRPr="009E352F">
              <w:rPr>
                <w:sz w:val="22"/>
              </w:rPr>
              <w:t>Attiecībā uz atsevišķa maksājumu noteikšanu par izmaiņu akcionāru un vadības sastāvā pārbaudi jānorāda, ka pagājušā gada vidū (02.07.2019.) Saeimā tika apstiprināti grozījumi Likumā, ar kuriem būtiski tika samazināti reģistrēto pārvaldnieku maksājumi FKTK. Grozījumu mērķis bija Latvijā esošo režīmu šāda veida finanšu institūcijām padarīt konkurētspējīgu ar kaimiņvalstīs esošo</w:t>
            </w:r>
          </w:p>
        </w:tc>
        <w:tc>
          <w:tcPr>
            <w:tcW w:w="4111" w:type="dxa"/>
            <w:tcBorders>
              <w:top w:val="single" w:sz="6" w:space="0" w:color="000000"/>
              <w:left w:val="single" w:sz="6" w:space="0" w:color="000000"/>
              <w:bottom w:val="single" w:sz="6" w:space="0" w:color="000000"/>
              <w:right w:val="single" w:sz="6" w:space="0" w:color="000000"/>
            </w:tcBorders>
          </w:tcPr>
          <w:p w:rsidR="007F1C9C" w:rsidRDefault="00E9797E" w:rsidP="007F1C9C">
            <w:pPr>
              <w:pStyle w:val="naisc"/>
              <w:spacing w:before="0" w:after="0"/>
              <w:rPr>
                <w:b/>
                <w:sz w:val="22"/>
                <w:szCs w:val="22"/>
              </w:rPr>
            </w:pPr>
            <w:r>
              <w:rPr>
                <w:b/>
                <w:sz w:val="22"/>
                <w:szCs w:val="22"/>
              </w:rPr>
              <w:t>Iebildums ņemts vērā</w:t>
            </w:r>
          </w:p>
          <w:p w:rsidR="00E9797E" w:rsidRPr="00E9797E" w:rsidRDefault="00E9797E" w:rsidP="00E9797E">
            <w:pPr>
              <w:pStyle w:val="naisc"/>
              <w:spacing w:before="0" w:after="0"/>
              <w:jc w:val="both"/>
              <w:rPr>
                <w:sz w:val="22"/>
                <w:szCs w:val="22"/>
              </w:rPr>
            </w:pPr>
            <w:r w:rsidRPr="00E9797E">
              <w:rPr>
                <w:sz w:val="22"/>
              </w:rPr>
              <w:t>Aizstāt 82. panta pirmās daļas 2. punktā vārdus "900 euro gadā" ar vārdiem "1400 euro gadā"</w:t>
            </w:r>
            <w:r>
              <w:rPr>
                <w:sz w:val="22"/>
              </w:rPr>
              <w:t xml:space="preserve"> ir izslēgts no likumprojekta.</w:t>
            </w:r>
          </w:p>
        </w:tc>
        <w:tc>
          <w:tcPr>
            <w:tcW w:w="2693" w:type="dxa"/>
            <w:tcBorders>
              <w:top w:val="single" w:sz="4" w:space="0" w:color="auto"/>
              <w:left w:val="single" w:sz="4" w:space="0" w:color="auto"/>
              <w:bottom w:val="single" w:sz="4" w:space="0" w:color="auto"/>
            </w:tcBorders>
          </w:tcPr>
          <w:p w:rsidR="007F1C9C" w:rsidRPr="006C3CAF" w:rsidRDefault="000D457C" w:rsidP="007F1C9C">
            <w:pPr>
              <w:jc w:val="both"/>
              <w:rPr>
                <w:sz w:val="22"/>
              </w:rPr>
            </w:pPr>
            <w:r>
              <w:rPr>
                <w:sz w:val="22"/>
              </w:rPr>
              <w:t>Norma izslēgta no likumprojekta.</w:t>
            </w:r>
          </w:p>
        </w:tc>
      </w:tr>
      <w:tr w:rsidR="007F1C9C" w:rsidRPr="008C62F2" w:rsidTr="00A420A8">
        <w:tc>
          <w:tcPr>
            <w:tcW w:w="708" w:type="dxa"/>
            <w:tcBorders>
              <w:top w:val="single" w:sz="6" w:space="0" w:color="000000"/>
              <w:left w:val="single" w:sz="6" w:space="0" w:color="000000"/>
              <w:bottom w:val="single" w:sz="6" w:space="0" w:color="000000"/>
              <w:right w:val="single" w:sz="6" w:space="0" w:color="000000"/>
            </w:tcBorders>
          </w:tcPr>
          <w:p w:rsidR="007F1C9C" w:rsidRPr="006C3CAF" w:rsidRDefault="00C53991" w:rsidP="007F1C9C">
            <w:pPr>
              <w:pStyle w:val="naisc"/>
              <w:spacing w:before="0" w:after="0"/>
              <w:rPr>
                <w:sz w:val="22"/>
                <w:szCs w:val="22"/>
              </w:rPr>
            </w:pPr>
            <w:r>
              <w:rPr>
                <w:sz w:val="22"/>
                <w:szCs w:val="22"/>
              </w:rPr>
              <w:t>7</w:t>
            </w:r>
            <w:r w:rsidR="004249FB">
              <w:rPr>
                <w:sz w:val="22"/>
                <w:szCs w:val="22"/>
              </w:rPr>
              <w:t>.</w:t>
            </w:r>
          </w:p>
        </w:tc>
        <w:tc>
          <w:tcPr>
            <w:tcW w:w="3086" w:type="dxa"/>
            <w:tcBorders>
              <w:top w:val="single" w:sz="6" w:space="0" w:color="000000"/>
              <w:left w:val="single" w:sz="6" w:space="0" w:color="000000"/>
              <w:bottom w:val="single" w:sz="6" w:space="0" w:color="000000"/>
              <w:right w:val="single" w:sz="6" w:space="0" w:color="000000"/>
            </w:tcBorders>
          </w:tcPr>
          <w:p w:rsidR="004249FB" w:rsidRPr="009E352F" w:rsidRDefault="004249FB" w:rsidP="004249FB">
            <w:pPr>
              <w:pStyle w:val="naisc"/>
              <w:jc w:val="both"/>
              <w:rPr>
                <w:sz w:val="22"/>
                <w:szCs w:val="22"/>
              </w:rPr>
            </w:pPr>
            <w:r>
              <w:rPr>
                <w:sz w:val="22"/>
                <w:szCs w:val="22"/>
              </w:rPr>
              <w:t xml:space="preserve">6. </w:t>
            </w:r>
            <w:r w:rsidRPr="009E352F">
              <w:rPr>
                <w:sz w:val="22"/>
                <w:szCs w:val="22"/>
              </w:rPr>
              <w:t>Papildināt pārejas noteikumus ar 19.punktu šādā redakcijā:</w:t>
            </w:r>
          </w:p>
          <w:p w:rsidR="004249FB" w:rsidRPr="009E352F" w:rsidRDefault="004249FB" w:rsidP="004249FB">
            <w:pPr>
              <w:pStyle w:val="naisc"/>
              <w:jc w:val="both"/>
              <w:rPr>
                <w:sz w:val="22"/>
                <w:szCs w:val="22"/>
              </w:rPr>
            </w:pPr>
          </w:p>
          <w:p w:rsidR="007F1C9C" w:rsidRPr="006C3CAF" w:rsidRDefault="004249FB" w:rsidP="004249FB">
            <w:pPr>
              <w:pStyle w:val="naisc"/>
              <w:spacing w:before="0" w:after="0"/>
              <w:jc w:val="both"/>
              <w:rPr>
                <w:sz w:val="22"/>
                <w:szCs w:val="22"/>
              </w:rPr>
            </w:pPr>
            <w:r w:rsidRPr="009E352F">
              <w:rPr>
                <w:sz w:val="22"/>
                <w:szCs w:val="22"/>
              </w:rPr>
              <w:lastRenderedPageBreak/>
              <w:t>“19. Reģistrētie pārvaldnieki līdz 2020.gada 1.decembrim nodrošina atbilstību šā likuma 11.panta 1.</w:t>
            </w:r>
            <w:r w:rsidRPr="000D457C">
              <w:rPr>
                <w:sz w:val="22"/>
                <w:szCs w:val="22"/>
                <w:vertAlign w:val="superscript"/>
              </w:rPr>
              <w:t>1</w:t>
            </w:r>
            <w:r w:rsidRPr="009E352F">
              <w:rPr>
                <w:sz w:val="22"/>
                <w:szCs w:val="22"/>
              </w:rPr>
              <w:t xml:space="preserve"> daļas un 15.panta prasībām.”</w:t>
            </w:r>
          </w:p>
        </w:tc>
        <w:tc>
          <w:tcPr>
            <w:tcW w:w="4394" w:type="dxa"/>
            <w:tcBorders>
              <w:top w:val="single" w:sz="6" w:space="0" w:color="000000"/>
              <w:left w:val="single" w:sz="6" w:space="0" w:color="000000"/>
              <w:bottom w:val="single" w:sz="6" w:space="0" w:color="000000"/>
              <w:right w:val="single" w:sz="6" w:space="0" w:color="000000"/>
            </w:tcBorders>
          </w:tcPr>
          <w:p w:rsidR="004249FB" w:rsidRPr="004249FB" w:rsidRDefault="004249FB" w:rsidP="004249FB">
            <w:pPr>
              <w:pStyle w:val="naisc"/>
              <w:jc w:val="both"/>
              <w:rPr>
                <w:sz w:val="22"/>
                <w:szCs w:val="22"/>
              </w:rPr>
            </w:pPr>
            <w:r w:rsidRPr="004249FB">
              <w:rPr>
                <w:sz w:val="22"/>
                <w:szCs w:val="22"/>
              </w:rPr>
              <w:lastRenderedPageBreak/>
              <w:t xml:space="preserve">Ņemot vērā to, ka saskaņā ar Likumprojekta 2.punktu uz reģistrētiem pārvaldniekiem neattiecas Likuma 15.panta 4. un 5.daļa, lūdzam Likumprojekta 6.punktu izteikt sekojošā redakcijā. </w:t>
            </w:r>
          </w:p>
          <w:p w:rsidR="004249FB" w:rsidRPr="004249FB" w:rsidRDefault="004249FB" w:rsidP="004249FB">
            <w:pPr>
              <w:pStyle w:val="naisc"/>
              <w:jc w:val="both"/>
              <w:rPr>
                <w:sz w:val="22"/>
                <w:szCs w:val="22"/>
              </w:rPr>
            </w:pPr>
            <w:r w:rsidRPr="004249FB">
              <w:rPr>
                <w:sz w:val="22"/>
                <w:szCs w:val="22"/>
              </w:rPr>
              <w:lastRenderedPageBreak/>
              <w:t>“Papildināt pārejas noteikumus ar 19.punktu šādā redakcijā:</w:t>
            </w:r>
          </w:p>
          <w:p w:rsidR="007F1C9C" w:rsidRPr="006C3CAF" w:rsidRDefault="004249FB" w:rsidP="004249FB">
            <w:pPr>
              <w:pStyle w:val="naisc"/>
              <w:spacing w:before="0" w:after="0"/>
              <w:jc w:val="both"/>
              <w:rPr>
                <w:sz w:val="22"/>
                <w:szCs w:val="22"/>
              </w:rPr>
            </w:pPr>
            <w:r w:rsidRPr="004249FB">
              <w:rPr>
                <w:sz w:val="22"/>
                <w:szCs w:val="22"/>
              </w:rPr>
              <w:t>“19. Reģistrētie pārvaldnieki līdz 2020.gada 1.decembrim nodrošina atbilstību šā likuma 11.panta 1.</w:t>
            </w:r>
            <w:r w:rsidRPr="00C53991">
              <w:rPr>
                <w:sz w:val="22"/>
                <w:szCs w:val="22"/>
                <w:vertAlign w:val="superscript"/>
              </w:rPr>
              <w:t>1</w:t>
            </w:r>
            <w:r w:rsidRPr="004249FB">
              <w:rPr>
                <w:sz w:val="22"/>
                <w:szCs w:val="22"/>
              </w:rPr>
              <w:t xml:space="preserve"> daļas un 15.panta pirmās, otrās un trešās daļas prasībām.</w:t>
            </w:r>
          </w:p>
        </w:tc>
        <w:tc>
          <w:tcPr>
            <w:tcW w:w="4111" w:type="dxa"/>
            <w:tcBorders>
              <w:top w:val="single" w:sz="6" w:space="0" w:color="000000"/>
              <w:left w:val="single" w:sz="6" w:space="0" w:color="000000"/>
              <w:bottom w:val="single" w:sz="6" w:space="0" w:color="000000"/>
              <w:right w:val="single" w:sz="6" w:space="0" w:color="000000"/>
            </w:tcBorders>
          </w:tcPr>
          <w:p w:rsidR="007F1C9C" w:rsidRPr="000D457C" w:rsidRDefault="000D457C" w:rsidP="000D457C">
            <w:pPr>
              <w:pStyle w:val="naisc"/>
              <w:spacing w:before="0" w:after="0"/>
              <w:rPr>
                <w:b/>
                <w:sz w:val="22"/>
                <w:szCs w:val="22"/>
              </w:rPr>
            </w:pPr>
            <w:r w:rsidRPr="000D457C">
              <w:rPr>
                <w:b/>
                <w:sz w:val="22"/>
                <w:szCs w:val="22"/>
              </w:rPr>
              <w:lastRenderedPageBreak/>
              <w:t>Iebildums ņemts vērā</w:t>
            </w:r>
          </w:p>
        </w:tc>
        <w:tc>
          <w:tcPr>
            <w:tcW w:w="2693" w:type="dxa"/>
            <w:tcBorders>
              <w:top w:val="single" w:sz="4" w:space="0" w:color="auto"/>
              <w:left w:val="single" w:sz="4" w:space="0" w:color="auto"/>
              <w:bottom w:val="single" w:sz="4" w:space="0" w:color="auto"/>
            </w:tcBorders>
          </w:tcPr>
          <w:p w:rsidR="000D457C" w:rsidRPr="000D457C" w:rsidRDefault="000D457C" w:rsidP="000D457C">
            <w:pPr>
              <w:jc w:val="both"/>
              <w:rPr>
                <w:sz w:val="22"/>
              </w:rPr>
            </w:pPr>
            <w:r w:rsidRPr="000D457C">
              <w:rPr>
                <w:sz w:val="22"/>
              </w:rPr>
              <w:t>7. Papildināt pārejas noteikumus ar 19.punktu šādā redakcijā:</w:t>
            </w:r>
          </w:p>
          <w:p w:rsidR="000D457C" w:rsidRPr="000D457C" w:rsidRDefault="000D457C" w:rsidP="000D457C">
            <w:pPr>
              <w:jc w:val="both"/>
              <w:rPr>
                <w:sz w:val="22"/>
              </w:rPr>
            </w:pPr>
          </w:p>
          <w:p w:rsidR="007F1C9C" w:rsidRPr="007F1C9C" w:rsidRDefault="000D457C" w:rsidP="000D457C">
            <w:pPr>
              <w:jc w:val="both"/>
              <w:rPr>
                <w:sz w:val="22"/>
              </w:rPr>
            </w:pPr>
            <w:r w:rsidRPr="000D457C">
              <w:rPr>
                <w:sz w:val="22"/>
              </w:rPr>
              <w:lastRenderedPageBreak/>
              <w:t xml:space="preserve">“19. Reģistrētie pārvaldnieki līdz 2020.gada 1.decembrim nodrošina atbilstību šā likuma 11.panta </w:t>
            </w:r>
            <w:r w:rsidR="001779AC" w:rsidRPr="001779AC">
              <w:rPr>
                <w:b/>
                <w:sz w:val="22"/>
              </w:rPr>
              <w:t>pirmās daļas 1.un 2.punktam, trešajai un piektai daļai</w:t>
            </w:r>
            <w:r w:rsidRPr="000D457C">
              <w:rPr>
                <w:sz w:val="22"/>
              </w:rPr>
              <w:t xml:space="preserve"> un </w:t>
            </w:r>
            <w:r w:rsidRPr="000D457C">
              <w:rPr>
                <w:b/>
                <w:sz w:val="22"/>
              </w:rPr>
              <w:t>15.panta pirmās, otrās un trešās daļas</w:t>
            </w:r>
            <w:r w:rsidRPr="000D457C">
              <w:rPr>
                <w:sz w:val="22"/>
              </w:rPr>
              <w:t xml:space="preserve"> prasībām.”</w:t>
            </w:r>
          </w:p>
        </w:tc>
      </w:tr>
    </w:tbl>
    <w:p w:rsidR="008C62F2" w:rsidRPr="008C62F2" w:rsidRDefault="008C62F2" w:rsidP="008C62F2"/>
    <w:p w:rsidR="008C62F2" w:rsidRPr="008C62F2" w:rsidRDefault="008C62F2" w:rsidP="008C62F2"/>
    <w:p w:rsidR="008C62F2" w:rsidRPr="008C62F2" w:rsidRDefault="008C62F2" w:rsidP="008C62F2">
      <w:r w:rsidRPr="008C62F2">
        <w:t>Piezīme. * Dokumenta rekvizītu "paraksts" neaizpilda, ja elektroniskais dokuments ir sagatavots atbilstoši normatīvajiem aktiem par elektronisko dokumentu noformēšanu.</w:t>
      </w:r>
    </w:p>
    <w:p w:rsidR="008C62F2" w:rsidRDefault="008C62F2" w:rsidP="008C62F2"/>
    <w:p w:rsidR="007F1C9C" w:rsidRPr="008C62F2" w:rsidRDefault="007F1C9C" w:rsidP="008C62F2">
      <w:r>
        <w:t>Egita Šķibele</w:t>
      </w:r>
    </w:p>
    <w:tbl>
      <w:tblPr>
        <w:tblW w:w="0" w:type="auto"/>
        <w:tblLook w:val="00A0" w:firstRow="1" w:lastRow="0" w:firstColumn="1" w:lastColumn="0" w:noHBand="0" w:noVBand="0"/>
      </w:tblPr>
      <w:tblGrid>
        <w:gridCol w:w="8268"/>
      </w:tblGrid>
      <w:tr w:rsidR="008C62F2" w:rsidRPr="008C62F2" w:rsidTr="007C1E2D">
        <w:tc>
          <w:tcPr>
            <w:tcW w:w="8268" w:type="dxa"/>
            <w:tcBorders>
              <w:top w:val="single" w:sz="4" w:space="0" w:color="000000"/>
            </w:tcBorders>
          </w:tcPr>
          <w:p w:rsidR="008C62F2" w:rsidRPr="008C62F2" w:rsidRDefault="008C62F2" w:rsidP="008C62F2">
            <w:r w:rsidRPr="008C62F2">
              <w:t>(par projektu atbildīgās amatpersonas vārds un uzvārds)</w:t>
            </w:r>
          </w:p>
        </w:tc>
      </w:tr>
      <w:tr w:rsidR="008C62F2" w:rsidRPr="008C62F2" w:rsidTr="007C1E2D">
        <w:tc>
          <w:tcPr>
            <w:tcW w:w="8268" w:type="dxa"/>
            <w:tcBorders>
              <w:bottom w:val="single" w:sz="4" w:space="0" w:color="000000"/>
            </w:tcBorders>
          </w:tcPr>
          <w:p w:rsidR="008C62F2" w:rsidRPr="008C62F2" w:rsidRDefault="00FD45C0" w:rsidP="008C62F2">
            <w:r>
              <w:t>nodaļas vadītāja</w:t>
            </w:r>
          </w:p>
        </w:tc>
      </w:tr>
      <w:tr w:rsidR="008C62F2" w:rsidRPr="008C62F2" w:rsidTr="007C1E2D">
        <w:tc>
          <w:tcPr>
            <w:tcW w:w="8268" w:type="dxa"/>
            <w:tcBorders>
              <w:top w:val="single" w:sz="4" w:space="0" w:color="000000"/>
            </w:tcBorders>
          </w:tcPr>
          <w:p w:rsidR="008C62F2" w:rsidRPr="008C62F2" w:rsidRDefault="008C62F2" w:rsidP="008C62F2">
            <w:r w:rsidRPr="008C62F2">
              <w:t>(amats)</w:t>
            </w:r>
          </w:p>
        </w:tc>
      </w:tr>
      <w:tr w:rsidR="008C62F2" w:rsidRPr="008C62F2" w:rsidTr="007C1E2D">
        <w:tc>
          <w:tcPr>
            <w:tcW w:w="8268" w:type="dxa"/>
            <w:tcBorders>
              <w:bottom w:val="single" w:sz="4" w:space="0" w:color="000000"/>
            </w:tcBorders>
          </w:tcPr>
          <w:p w:rsidR="008C62F2" w:rsidRPr="008C62F2" w:rsidRDefault="00FD45C0" w:rsidP="008C62F2">
            <w:r>
              <w:t>67083866</w:t>
            </w:r>
          </w:p>
        </w:tc>
      </w:tr>
      <w:tr w:rsidR="008C62F2" w:rsidRPr="008C62F2" w:rsidTr="007C1E2D">
        <w:tc>
          <w:tcPr>
            <w:tcW w:w="8268" w:type="dxa"/>
            <w:tcBorders>
              <w:top w:val="single" w:sz="4" w:space="0" w:color="000000"/>
            </w:tcBorders>
          </w:tcPr>
          <w:p w:rsidR="008C62F2" w:rsidRPr="008C62F2" w:rsidRDefault="008C62F2" w:rsidP="008C62F2">
            <w:r w:rsidRPr="008C62F2">
              <w:t>(tālruņa un faksa numurs)</w:t>
            </w:r>
          </w:p>
        </w:tc>
      </w:tr>
      <w:tr w:rsidR="008C62F2" w:rsidRPr="008C62F2" w:rsidTr="007C1E2D">
        <w:tc>
          <w:tcPr>
            <w:tcW w:w="8268" w:type="dxa"/>
            <w:tcBorders>
              <w:bottom w:val="single" w:sz="4" w:space="0" w:color="000000"/>
            </w:tcBorders>
          </w:tcPr>
          <w:p w:rsidR="008C62F2" w:rsidRPr="008C62F2" w:rsidRDefault="00FD45C0" w:rsidP="008C62F2">
            <w:r>
              <w:t>Egita.Skibele@fm.gov.lv</w:t>
            </w:r>
          </w:p>
        </w:tc>
      </w:tr>
      <w:tr w:rsidR="008C62F2" w:rsidRPr="008C62F2" w:rsidTr="007C1E2D">
        <w:tc>
          <w:tcPr>
            <w:tcW w:w="8268" w:type="dxa"/>
            <w:tcBorders>
              <w:top w:val="single" w:sz="4" w:space="0" w:color="000000"/>
            </w:tcBorders>
          </w:tcPr>
          <w:p w:rsidR="008C62F2" w:rsidRPr="008C62F2" w:rsidRDefault="008C62F2" w:rsidP="008C62F2">
            <w:r w:rsidRPr="008C62F2">
              <w:t>(e-pasta adrese)</w:t>
            </w:r>
          </w:p>
        </w:tc>
      </w:tr>
    </w:tbl>
    <w:p w:rsidR="008C62F2" w:rsidRPr="008C62F2" w:rsidRDefault="008C62F2" w:rsidP="008C62F2"/>
    <w:p w:rsidR="003F0730" w:rsidRDefault="003F0730">
      <w:bookmarkStart w:id="0" w:name="_GoBack"/>
      <w:bookmarkEnd w:id="0"/>
    </w:p>
    <w:sectPr w:rsidR="003F0730" w:rsidSect="008C62F2">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D95" w:rsidRDefault="000E4D95" w:rsidP="008C62F2">
      <w:r>
        <w:separator/>
      </w:r>
    </w:p>
  </w:endnote>
  <w:endnote w:type="continuationSeparator" w:id="0">
    <w:p w:rsidR="000E4D95" w:rsidRDefault="000E4D95" w:rsidP="008C6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128" w:rsidRDefault="00F751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128" w:rsidRDefault="00F75128" w:rsidP="00F75128">
    <w:pPr>
      <w:pStyle w:val="Footer"/>
    </w:pPr>
    <w:r>
      <w:rPr>
        <w:sz w:val="20"/>
        <w:szCs w:val="20"/>
      </w:rPr>
      <w:t>FMizz_150620_AIFPL_reputacija</w:t>
    </w:r>
  </w:p>
  <w:p w:rsidR="00832568" w:rsidRPr="00BA7EE5" w:rsidRDefault="00832568" w:rsidP="00BA7E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C9C" w:rsidRDefault="00BA7EE5" w:rsidP="007F1C9C">
    <w:pPr>
      <w:pStyle w:val="Footer"/>
    </w:pPr>
    <w:r>
      <w:rPr>
        <w:sz w:val="20"/>
        <w:szCs w:val="20"/>
      </w:rPr>
      <w:t>FM</w:t>
    </w:r>
    <w:r w:rsidR="007F1C9C">
      <w:rPr>
        <w:sz w:val="20"/>
        <w:szCs w:val="20"/>
      </w:rPr>
      <w:t>izz_</w:t>
    </w:r>
    <w:r w:rsidR="00F75128">
      <w:rPr>
        <w:sz w:val="20"/>
        <w:szCs w:val="20"/>
      </w:rPr>
      <w:t>150620</w:t>
    </w:r>
    <w:r>
      <w:rPr>
        <w:sz w:val="20"/>
        <w:szCs w:val="20"/>
      </w:rPr>
      <w:t>_AIFPL_reputacija</w:t>
    </w:r>
  </w:p>
  <w:p w:rsidR="00832568" w:rsidRPr="007F1C9C" w:rsidRDefault="00832568" w:rsidP="007F1C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D95" w:rsidRDefault="000E4D95" w:rsidP="008C62F2">
      <w:r>
        <w:separator/>
      </w:r>
    </w:p>
  </w:footnote>
  <w:footnote w:type="continuationSeparator" w:id="0">
    <w:p w:rsidR="000E4D95" w:rsidRDefault="000E4D95" w:rsidP="008C62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568" w:rsidRDefault="00832568" w:rsidP="007C1E2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2568" w:rsidRDefault="008325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568" w:rsidRDefault="00832568" w:rsidP="007C1E2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41BA">
      <w:rPr>
        <w:rStyle w:val="PageNumber"/>
        <w:noProof/>
      </w:rPr>
      <w:t>7</w:t>
    </w:r>
    <w:r>
      <w:rPr>
        <w:rStyle w:val="PageNumber"/>
      </w:rPr>
      <w:fldChar w:fldCharType="end"/>
    </w:r>
  </w:p>
  <w:p w:rsidR="00832568" w:rsidRDefault="008325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128" w:rsidRDefault="00F751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3031E"/>
    <w:multiLevelType w:val="hybridMultilevel"/>
    <w:tmpl w:val="7A942164"/>
    <w:lvl w:ilvl="0" w:tplc="299827E6">
      <w:start w:val="20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5AE3F00"/>
    <w:multiLevelType w:val="multilevel"/>
    <w:tmpl w:val="03120B42"/>
    <w:lvl w:ilvl="0">
      <w:start w:val="1"/>
      <w:numFmt w:val="decimal"/>
      <w:lvlText w:val="%1."/>
      <w:lvlJc w:val="left"/>
      <w:pPr>
        <w:ind w:left="720" w:hanging="360"/>
      </w:pPr>
      <w:rPr>
        <w:rFonts w:ascii="Times New Roman" w:hAnsi="Times New Roman" w:cs="Times New Roman" w:hint="default"/>
        <w:i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9B82CAC"/>
    <w:multiLevelType w:val="hybridMultilevel"/>
    <w:tmpl w:val="0A2C835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23D6DF4"/>
    <w:multiLevelType w:val="multilevel"/>
    <w:tmpl w:val="B9187278"/>
    <w:lvl w:ilvl="0">
      <w:start w:val="1"/>
      <w:numFmt w:val="decimal"/>
      <w:lvlText w:val="%1."/>
      <w:lvlJc w:val="left"/>
      <w:pPr>
        <w:ind w:left="1080" w:hanging="360"/>
      </w:pPr>
      <w:rPr>
        <w:rFonts w:hint="default"/>
        <w:color w:val="auto"/>
      </w:rPr>
    </w:lvl>
    <w:lvl w:ilvl="1">
      <w:start w:val="1"/>
      <w:numFmt w:val="decimal"/>
      <w:isLgl/>
      <w:lvlText w:val="%1.%2."/>
      <w:lvlJc w:val="left"/>
      <w:pPr>
        <w:ind w:left="1068"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2F2"/>
    <w:rsid w:val="00037937"/>
    <w:rsid w:val="00076F00"/>
    <w:rsid w:val="000D457C"/>
    <w:rsid w:val="000E4D95"/>
    <w:rsid w:val="00100315"/>
    <w:rsid w:val="0010195B"/>
    <w:rsid w:val="0012608B"/>
    <w:rsid w:val="001779AC"/>
    <w:rsid w:val="00194938"/>
    <w:rsid w:val="001A4114"/>
    <w:rsid w:val="001A4590"/>
    <w:rsid w:val="001A4BD9"/>
    <w:rsid w:val="001D0F15"/>
    <w:rsid w:val="001D6F2D"/>
    <w:rsid w:val="001E0F7E"/>
    <w:rsid w:val="0020580D"/>
    <w:rsid w:val="00231148"/>
    <w:rsid w:val="002451C3"/>
    <w:rsid w:val="00255E81"/>
    <w:rsid w:val="0026600B"/>
    <w:rsid w:val="002C1508"/>
    <w:rsid w:val="002D46CA"/>
    <w:rsid w:val="0031580D"/>
    <w:rsid w:val="00362BFB"/>
    <w:rsid w:val="003852DD"/>
    <w:rsid w:val="003A0402"/>
    <w:rsid w:val="003B75F4"/>
    <w:rsid w:val="003B79BC"/>
    <w:rsid w:val="003F0730"/>
    <w:rsid w:val="004019F6"/>
    <w:rsid w:val="004030AD"/>
    <w:rsid w:val="00405431"/>
    <w:rsid w:val="004249FB"/>
    <w:rsid w:val="0043721B"/>
    <w:rsid w:val="004609CE"/>
    <w:rsid w:val="004741BA"/>
    <w:rsid w:val="004A1090"/>
    <w:rsid w:val="004E077F"/>
    <w:rsid w:val="005173A6"/>
    <w:rsid w:val="00517CAF"/>
    <w:rsid w:val="0055142F"/>
    <w:rsid w:val="005578BE"/>
    <w:rsid w:val="0056576C"/>
    <w:rsid w:val="00565CF4"/>
    <w:rsid w:val="00572A7C"/>
    <w:rsid w:val="00584E02"/>
    <w:rsid w:val="005879C1"/>
    <w:rsid w:val="00596486"/>
    <w:rsid w:val="005A3510"/>
    <w:rsid w:val="00601BEB"/>
    <w:rsid w:val="006233E2"/>
    <w:rsid w:val="00637405"/>
    <w:rsid w:val="00684D60"/>
    <w:rsid w:val="00696002"/>
    <w:rsid w:val="006A4C97"/>
    <w:rsid w:val="006B03CB"/>
    <w:rsid w:val="00706F1D"/>
    <w:rsid w:val="00712570"/>
    <w:rsid w:val="00724B0F"/>
    <w:rsid w:val="00733A48"/>
    <w:rsid w:val="007506BF"/>
    <w:rsid w:val="00765E9B"/>
    <w:rsid w:val="00775B83"/>
    <w:rsid w:val="007817B1"/>
    <w:rsid w:val="00790B9C"/>
    <w:rsid w:val="007A4825"/>
    <w:rsid w:val="007A5BF2"/>
    <w:rsid w:val="007C1E2D"/>
    <w:rsid w:val="007D72A1"/>
    <w:rsid w:val="007F1C9C"/>
    <w:rsid w:val="007F6957"/>
    <w:rsid w:val="00830E45"/>
    <w:rsid w:val="00832568"/>
    <w:rsid w:val="00846CA9"/>
    <w:rsid w:val="00846DAE"/>
    <w:rsid w:val="008B403A"/>
    <w:rsid w:val="008C62F2"/>
    <w:rsid w:val="00916D86"/>
    <w:rsid w:val="00917D6E"/>
    <w:rsid w:val="00934575"/>
    <w:rsid w:val="00961FDA"/>
    <w:rsid w:val="00972603"/>
    <w:rsid w:val="00990754"/>
    <w:rsid w:val="009C5493"/>
    <w:rsid w:val="009C7CFF"/>
    <w:rsid w:val="009E352F"/>
    <w:rsid w:val="00A275CA"/>
    <w:rsid w:val="00A420A8"/>
    <w:rsid w:val="00A91DE5"/>
    <w:rsid w:val="00A96106"/>
    <w:rsid w:val="00A96C52"/>
    <w:rsid w:val="00AB127F"/>
    <w:rsid w:val="00AC2148"/>
    <w:rsid w:val="00AF3999"/>
    <w:rsid w:val="00AF7A4A"/>
    <w:rsid w:val="00B52B87"/>
    <w:rsid w:val="00B61C64"/>
    <w:rsid w:val="00B804BA"/>
    <w:rsid w:val="00B902B1"/>
    <w:rsid w:val="00B95795"/>
    <w:rsid w:val="00BA1B88"/>
    <w:rsid w:val="00BA7EE5"/>
    <w:rsid w:val="00C10EB3"/>
    <w:rsid w:val="00C12650"/>
    <w:rsid w:val="00C47AF1"/>
    <w:rsid w:val="00C53991"/>
    <w:rsid w:val="00C61C7F"/>
    <w:rsid w:val="00C864B2"/>
    <w:rsid w:val="00C90C42"/>
    <w:rsid w:val="00C95D31"/>
    <w:rsid w:val="00CA673D"/>
    <w:rsid w:val="00CA6A1E"/>
    <w:rsid w:val="00D169E6"/>
    <w:rsid w:val="00D26797"/>
    <w:rsid w:val="00D3122C"/>
    <w:rsid w:val="00D34450"/>
    <w:rsid w:val="00D661C6"/>
    <w:rsid w:val="00D6781A"/>
    <w:rsid w:val="00D85B2B"/>
    <w:rsid w:val="00D941F8"/>
    <w:rsid w:val="00DB6E67"/>
    <w:rsid w:val="00DE7FE0"/>
    <w:rsid w:val="00DF3CE3"/>
    <w:rsid w:val="00E930BE"/>
    <w:rsid w:val="00E975A6"/>
    <w:rsid w:val="00E9797E"/>
    <w:rsid w:val="00EB6DAB"/>
    <w:rsid w:val="00F14A33"/>
    <w:rsid w:val="00F2516A"/>
    <w:rsid w:val="00F33499"/>
    <w:rsid w:val="00F3599F"/>
    <w:rsid w:val="00F3716E"/>
    <w:rsid w:val="00F701FF"/>
    <w:rsid w:val="00F75128"/>
    <w:rsid w:val="00F85375"/>
    <w:rsid w:val="00FA2E88"/>
    <w:rsid w:val="00FB4855"/>
    <w:rsid w:val="00FC3132"/>
    <w:rsid w:val="00FD0719"/>
    <w:rsid w:val="00FD45C0"/>
    <w:rsid w:val="00FE6A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F9E0EF-32FB-409E-853E-EF6A5255C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B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62F2"/>
    <w:pPr>
      <w:tabs>
        <w:tab w:val="center" w:pos="4153"/>
        <w:tab w:val="right" w:pos="8306"/>
      </w:tabs>
    </w:pPr>
    <w:rPr>
      <w:rFonts w:eastAsia="Times New Roman" w:cs="Times New Roman"/>
      <w:szCs w:val="24"/>
      <w:lang w:eastAsia="lv-LV"/>
    </w:rPr>
  </w:style>
  <w:style w:type="character" w:customStyle="1" w:styleId="HeaderChar">
    <w:name w:val="Header Char"/>
    <w:basedOn w:val="DefaultParagraphFont"/>
    <w:link w:val="Header"/>
    <w:uiPriority w:val="99"/>
    <w:rsid w:val="008C62F2"/>
    <w:rPr>
      <w:rFonts w:eastAsia="Times New Roman" w:cs="Times New Roman"/>
      <w:szCs w:val="24"/>
      <w:lang w:eastAsia="lv-LV"/>
    </w:rPr>
  </w:style>
  <w:style w:type="character" w:styleId="PageNumber">
    <w:name w:val="page number"/>
    <w:uiPriority w:val="99"/>
    <w:rsid w:val="008C62F2"/>
    <w:rPr>
      <w:rFonts w:cs="Times New Roman"/>
    </w:rPr>
  </w:style>
  <w:style w:type="paragraph" w:styleId="Footer">
    <w:name w:val="footer"/>
    <w:basedOn w:val="Normal"/>
    <w:link w:val="FooterChar"/>
    <w:uiPriority w:val="99"/>
    <w:rsid w:val="008C62F2"/>
    <w:pPr>
      <w:tabs>
        <w:tab w:val="center" w:pos="4153"/>
        <w:tab w:val="right" w:pos="8306"/>
      </w:tabs>
    </w:pPr>
    <w:rPr>
      <w:rFonts w:eastAsia="Times New Roman" w:cs="Times New Roman"/>
      <w:szCs w:val="24"/>
      <w:lang w:eastAsia="lv-LV"/>
    </w:rPr>
  </w:style>
  <w:style w:type="character" w:customStyle="1" w:styleId="FooterChar">
    <w:name w:val="Footer Char"/>
    <w:basedOn w:val="DefaultParagraphFont"/>
    <w:link w:val="Footer"/>
    <w:uiPriority w:val="99"/>
    <w:rsid w:val="008C62F2"/>
    <w:rPr>
      <w:rFonts w:eastAsia="Times New Roman" w:cs="Times New Roman"/>
      <w:szCs w:val="24"/>
      <w:lang w:eastAsia="lv-LV"/>
    </w:rPr>
  </w:style>
  <w:style w:type="paragraph" w:customStyle="1" w:styleId="naisc">
    <w:name w:val="naisc"/>
    <w:basedOn w:val="Normal"/>
    <w:rsid w:val="007A4825"/>
    <w:pPr>
      <w:spacing w:before="75" w:after="75"/>
      <w:jc w:val="center"/>
    </w:pPr>
    <w:rPr>
      <w:rFonts w:eastAsia="Times New Roman" w:cs="Times New Roman"/>
      <w:szCs w:val="24"/>
      <w:lang w:eastAsia="lv-LV"/>
    </w:rPr>
  </w:style>
  <w:style w:type="character" w:styleId="Hyperlink">
    <w:name w:val="Hyperlink"/>
    <w:uiPriority w:val="99"/>
    <w:semiHidden/>
    <w:rsid w:val="00E930BE"/>
    <w:rPr>
      <w:rFonts w:cs="Times New Roman"/>
      <w:color w:val="0000FF"/>
      <w:u w:val="single"/>
    </w:rPr>
  </w:style>
  <w:style w:type="character" w:styleId="Strong">
    <w:name w:val="Strong"/>
    <w:uiPriority w:val="22"/>
    <w:qFormat/>
    <w:rsid w:val="00E930BE"/>
    <w:rPr>
      <w:rFonts w:cs="Times New Roman"/>
      <w:b/>
      <w:bCs/>
    </w:rPr>
  </w:style>
  <w:style w:type="paragraph" w:styleId="ListParagraph">
    <w:name w:val="List Paragraph"/>
    <w:basedOn w:val="Normal"/>
    <w:uiPriority w:val="34"/>
    <w:qFormat/>
    <w:rsid w:val="00E930BE"/>
    <w:pPr>
      <w:spacing w:after="200" w:line="276" w:lineRule="auto"/>
      <w:ind w:left="720"/>
      <w:contextualSpacing/>
    </w:pPr>
    <w:rPr>
      <w:rFonts w:ascii="Calibri" w:eastAsia="Times New Roman" w:hAnsi="Calibri" w:cs="Times New Roman"/>
      <w:sz w:val="22"/>
    </w:rPr>
  </w:style>
  <w:style w:type="paragraph" w:styleId="FootnoteText">
    <w:name w:val="footnote text"/>
    <w:basedOn w:val="Normal"/>
    <w:link w:val="FootnoteTextChar"/>
    <w:uiPriority w:val="99"/>
    <w:unhideWhenUsed/>
    <w:rsid w:val="00E930BE"/>
    <w:rPr>
      <w:rFonts w:eastAsia="Times New Roman" w:cs="Times New Roman"/>
      <w:sz w:val="20"/>
      <w:szCs w:val="20"/>
    </w:rPr>
  </w:style>
  <w:style w:type="character" w:customStyle="1" w:styleId="FootnoteTextChar">
    <w:name w:val="Footnote Text Char"/>
    <w:basedOn w:val="DefaultParagraphFont"/>
    <w:link w:val="FootnoteText"/>
    <w:uiPriority w:val="99"/>
    <w:rsid w:val="00E930BE"/>
    <w:rPr>
      <w:rFonts w:eastAsia="Times New Roman" w:cs="Times New Roman"/>
      <w:sz w:val="20"/>
      <w:szCs w:val="20"/>
    </w:rPr>
  </w:style>
  <w:style w:type="character" w:styleId="FootnoteReference">
    <w:name w:val="footnote reference"/>
    <w:uiPriority w:val="99"/>
    <w:unhideWhenUsed/>
    <w:rsid w:val="00E930BE"/>
    <w:rPr>
      <w:vertAlign w:val="superscript"/>
    </w:rPr>
  </w:style>
  <w:style w:type="character" w:customStyle="1" w:styleId="apple-converted-space">
    <w:name w:val="apple-converted-space"/>
    <w:rsid w:val="00E930BE"/>
  </w:style>
  <w:style w:type="paragraph" w:customStyle="1" w:styleId="doc-ti">
    <w:name w:val="doc-ti"/>
    <w:basedOn w:val="Normal"/>
    <w:rsid w:val="00E930BE"/>
    <w:pPr>
      <w:spacing w:before="100" w:beforeAutospacing="1" w:after="100" w:afterAutospacing="1"/>
    </w:pPr>
    <w:rPr>
      <w:rFonts w:eastAsia="Times New Roman" w:cs="Times New Roman"/>
      <w:szCs w:val="24"/>
      <w:lang w:eastAsia="lv-LV"/>
    </w:rPr>
  </w:style>
  <w:style w:type="paragraph" w:customStyle="1" w:styleId="Default">
    <w:name w:val="Default"/>
    <w:rsid w:val="005173A6"/>
    <w:pPr>
      <w:autoSpaceDE w:val="0"/>
      <w:autoSpaceDN w:val="0"/>
      <w:adjustRightInd w:val="0"/>
    </w:pPr>
    <w:rPr>
      <w:rFonts w:eastAsia="Times New Roman" w:cs="Times New Roman"/>
      <w:color w:val="000000"/>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287AC-670C-49E3-8AAC-1F9B7FB1C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7570</Words>
  <Characters>4316</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11863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
  <dc:creator>Egita Šķibele</dc:creator>
  <cp:keywords>Izziņa</cp:keywords>
  <dc:description>67083886, Egita.Skibele@fm.gov.lv</dc:description>
  <cp:lastModifiedBy>Egita</cp:lastModifiedBy>
  <cp:revision>3</cp:revision>
  <dcterms:created xsi:type="dcterms:W3CDTF">2020-06-15T12:01:00Z</dcterms:created>
  <dcterms:modified xsi:type="dcterms:W3CDTF">2020-06-16T09:20:00Z</dcterms:modified>
</cp:coreProperties>
</file>