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7C986" w14:textId="77777777" w:rsidR="00BE057E" w:rsidRPr="0001115A" w:rsidRDefault="00BE057E" w:rsidP="00BE057E">
      <w:pPr>
        <w:spacing w:before="0" w:after="0" w:line="240" w:lineRule="auto"/>
        <w:jc w:val="center"/>
        <w:rPr>
          <w:rFonts w:ascii="Times New Roman" w:hAnsi="Times New Roman" w:cs="Times New Roman"/>
          <w:b/>
          <w:color w:val="000000" w:themeColor="text1"/>
          <w:sz w:val="28"/>
          <w:szCs w:val="28"/>
        </w:rPr>
      </w:pPr>
      <w:bookmarkStart w:id="0" w:name="_Hlk38881552"/>
      <w:bookmarkStart w:id="1" w:name="_Hlk38875332"/>
      <w:r w:rsidRPr="0001115A">
        <w:rPr>
          <w:rFonts w:ascii="Times New Roman" w:hAnsi="Times New Roman" w:cs="Times New Roman"/>
          <w:b/>
          <w:color w:val="000000" w:themeColor="text1"/>
          <w:sz w:val="28"/>
          <w:szCs w:val="28"/>
        </w:rPr>
        <w:t>Informatīvais ziņojums</w:t>
      </w:r>
    </w:p>
    <w:p w14:paraId="2E8B24F9" w14:textId="23C2C433" w:rsidR="005A05CF" w:rsidRPr="0001115A" w:rsidRDefault="004D34AF" w:rsidP="005A05CF">
      <w:pPr>
        <w:pStyle w:val="NoSpacing"/>
        <w:spacing w:before="0"/>
        <w:jc w:val="center"/>
        <w:rPr>
          <w:rFonts w:ascii="Times New Roman" w:hAnsi="Times New Roman" w:cs="Times New Roman"/>
          <w:b/>
          <w:color w:val="000000" w:themeColor="text1"/>
          <w:sz w:val="28"/>
          <w:szCs w:val="28"/>
        </w:rPr>
      </w:pPr>
      <w:r w:rsidRPr="0001115A">
        <w:rPr>
          <w:rFonts w:ascii="Times New Roman" w:hAnsi="Times New Roman" w:cs="Times New Roman"/>
          <w:b/>
          <w:color w:val="000000" w:themeColor="text1"/>
          <w:sz w:val="28"/>
          <w:szCs w:val="28"/>
        </w:rPr>
        <w:t>“P</w:t>
      </w:r>
      <w:r w:rsidR="005A05CF" w:rsidRPr="0001115A">
        <w:rPr>
          <w:rFonts w:ascii="Times New Roman" w:hAnsi="Times New Roman" w:cs="Times New Roman"/>
          <w:b/>
          <w:color w:val="000000" w:themeColor="text1"/>
          <w:sz w:val="28"/>
          <w:szCs w:val="28"/>
        </w:rPr>
        <w:t>ar Ministru kabineta 2019.gada 15.janv</w:t>
      </w:r>
      <w:r w:rsidR="00C6120C" w:rsidRPr="0001115A">
        <w:rPr>
          <w:rFonts w:ascii="Times New Roman" w:hAnsi="Times New Roman" w:cs="Times New Roman"/>
          <w:b/>
          <w:color w:val="000000" w:themeColor="text1"/>
          <w:sz w:val="28"/>
          <w:szCs w:val="28"/>
        </w:rPr>
        <w:t>ā</w:t>
      </w:r>
      <w:r w:rsidR="005A05CF" w:rsidRPr="0001115A">
        <w:rPr>
          <w:rFonts w:ascii="Times New Roman" w:hAnsi="Times New Roman" w:cs="Times New Roman"/>
          <w:b/>
          <w:color w:val="000000" w:themeColor="text1"/>
          <w:sz w:val="28"/>
          <w:szCs w:val="28"/>
        </w:rPr>
        <w:t>ra</w:t>
      </w:r>
    </w:p>
    <w:p w14:paraId="2B1631B6" w14:textId="1193CEDE" w:rsidR="005A05CF" w:rsidRDefault="005A05CF" w:rsidP="005A05CF">
      <w:pPr>
        <w:pStyle w:val="NoSpacing"/>
        <w:spacing w:before="0"/>
        <w:jc w:val="center"/>
        <w:rPr>
          <w:rFonts w:ascii="Times New Roman" w:hAnsi="Times New Roman" w:cs="Times New Roman"/>
          <w:b/>
          <w:color w:val="000000" w:themeColor="text1"/>
          <w:sz w:val="28"/>
          <w:szCs w:val="28"/>
        </w:rPr>
      </w:pPr>
      <w:r w:rsidRPr="0001115A">
        <w:rPr>
          <w:rFonts w:ascii="Times New Roman" w:hAnsi="Times New Roman" w:cs="Times New Roman"/>
          <w:b/>
          <w:color w:val="000000" w:themeColor="text1"/>
          <w:sz w:val="28"/>
          <w:szCs w:val="28"/>
        </w:rPr>
        <w:t xml:space="preserve">sēdes </w:t>
      </w:r>
      <w:proofErr w:type="spellStart"/>
      <w:r w:rsidRPr="0001115A">
        <w:rPr>
          <w:rFonts w:ascii="Times New Roman" w:hAnsi="Times New Roman" w:cs="Times New Roman"/>
          <w:b/>
          <w:color w:val="000000" w:themeColor="text1"/>
          <w:sz w:val="28"/>
          <w:szCs w:val="28"/>
        </w:rPr>
        <w:t>protokollēmuma</w:t>
      </w:r>
      <w:proofErr w:type="spellEnd"/>
      <w:r w:rsidRPr="0001115A">
        <w:rPr>
          <w:rFonts w:ascii="Times New Roman" w:hAnsi="Times New Roman" w:cs="Times New Roman"/>
          <w:b/>
          <w:color w:val="000000" w:themeColor="text1"/>
          <w:sz w:val="28"/>
          <w:szCs w:val="28"/>
        </w:rPr>
        <w:t xml:space="preserve"> (prot. Nr.2 62.§ “</w:t>
      </w:r>
      <w:r w:rsidR="00CD1FC5" w:rsidRPr="0001115A">
        <w:rPr>
          <w:rFonts w:ascii="Times New Roman" w:eastAsia="Times New Roman" w:hAnsi="Times New Roman"/>
          <w:b/>
          <w:sz w:val="28"/>
          <w:szCs w:val="28"/>
          <w:lang w:eastAsia="lv-LV"/>
        </w:rPr>
        <w:t>Par Valsts ieņēmumu dienesta un Valsts darba inspekcijas pārbaudēs saistībā ar elektroniskās darba laika uzskaites sistēmas ieviešanu būvniecībā konstatēto</w:t>
      </w:r>
      <w:r w:rsidRPr="0001115A">
        <w:rPr>
          <w:rFonts w:ascii="Times New Roman" w:hAnsi="Times New Roman" w:cs="Times New Roman"/>
          <w:b/>
          <w:color w:val="000000" w:themeColor="text1"/>
          <w:sz w:val="28"/>
          <w:szCs w:val="28"/>
        </w:rPr>
        <w:t>”)</w:t>
      </w:r>
      <w:r w:rsidRPr="005A05CF">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3</w:t>
      </w:r>
      <w:r w:rsidRPr="005A05CF">
        <w:rPr>
          <w:rFonts w:ascii="Times New Roman" w:hAnsi="Times New Roman" w:cs="Times New Roman"/>
          <w:b/>
          <w:color w:val="000000" w:themeColor="text1"/>
          <w:sz w:val="28"/>
          <w:szCs w:val="28"/>
        </w:rPr>
        <w:t>.punktā dotā uzdevuma izpildi</w:t>
      </w:r>
      <w:r w:rsidR="004D34AF">
        <w:rPr>
          <w:rFonts w:ascii="Times New Roman" w:hAnsi="Times New Roman" w:cs="Times New Roman"/>
          <w:b/>
          <w:color w:val="000000" w:themeColor="text1"/>
          <w:sz w:val="28"/>
          <w:szCs w:val="28"/>
        </w:rPr>
        <w:t>”</w:t>
      </w:r>
    </w:p>
    <w:p w14:paraId="0D7DD103" w14:textId="05C1A111" w:rsidR="00BE057E" w:rsidRPr="008E2F64" w:rsidRDefault="00BE057E" w:rsidP="00BE057E">
      <w:pPr>
        <w:pStyle w:val="NoSpacing"/>
        <w:spacing w:before="0"/>
        <w:jc w:val="center"/>
        <w:rPr>
          <w:rFonts w:ascii="Times New Roman" w:hAnsi="Times New Roman" w:cs="Times New Roman"/>
          <w:b/>
          <w:color w:val="000000" w:themeColor="text1"/>
          <w:sz w:val="28"/>
          <w:szCs w:val="28"/>
        </w:rPr>
      </w:pPr>
    </w:p>
    <w:p w14:paraId="2EC814EA" w14:textId="77777777" w:rsidR="00BE057E" w:rsidRPr="008E2F64" w:rsidRDefault="00BE057E" w:rsidP="00BE057E">
      <w:pPr>
        <w:pStyle w:val="NoSpacing"/>
        <w:spacing w:before="0"/>
        <w:ind w:firstLine="720"/>
        <w:jc w:val="both"/>
        <w:rPr>
          <w:rFonts w:ascii="Times New Roman" w:hAnsi="Times New Roman" w:cs="Times New Roman"/>
          <w:color w:val="000000" w:themeColor="text1"/>
          <w:sz w:val="28"/>
          <w:szCs w:val="28"/>
        </w:rPr>
      </w:pPr>
    </w:p>
    <w:p w14:paraId="4CD73105" w14:textId="77777777" w:rsidR="00BE057E" w:rsidRPr="008E2F64" w:rsidRDefault="00BE057E" w:rsidP="00BE057E">
      <w:pPr>
        <w:pStyle w:val="NoSpacing"/>
        <w:spacing w:before="0"/>
        <w:jc w:val="both"/>
        <w:rPr>
          <w:rFonts w:ascii="Times New Roman" w:hAnsi="Times New Roman" w:cs="Times New Roman"/>
          <w:color w:val="000000" w:themeColor="text1"/>
          <w:sz w:val="28"/>
          <w:szCs w:val="28"/>
        </w:rPr>
      </w:pPr>
      <w:r w:rsidRPr="008E2F64">
        <w:rPr>
          <w:rFonts w:ascii="Times New Roman" w:hAnsi="Times New Roman" w:cs="Times New Roman"/>
          <w:color w:val="000000" w:themeColor="text1"/>
          <w:sz w:val="28"/>
          <w:szCs w:val="28"/>
        </w:rPr>
        <w:t>Informatīvajā ziņojumā lietotie saīsinājumi:</w:t>
      </w:r>
    </w:p>
    <w:p w14:paraId="768068C0" w14:textId="77777777" w:rsidR="00BE057E" w:rsidRPr="008E2F64" w:rsidRDefault="00BE057E" w:rsidP="00BE057E">
      <w:pPr>
        <w:pStyle w:val="NoSpacing"/>
        <w:spacing w:before="0"/>
        <w:jc w:val="both"/>
        <w:rPr>
          <w:rFonts w:ascii="Times New Roman" w:hAnsi="Times New Roman" w:cs="Times New Roman"/>
          <w:color w:val="000000" w:themeColor="text1"/>
          <w:sz w:val="28"/>
          <w:szCs w:val="28"/>
        </w:rPr>
      </w:pPr>
      <w:r w:rsidRPr="008E2F64">
        <w:rPr>
          <w:rFonts w:ascii="Times New Roman" w:hAnsi="Times New Roman" w:cs="Times New Roman"/>
          <w:color w:val="000000" w:themeColor="text1"/>
          <w:sz w:val="28"/>
          <w:szCs w:val="28"/>
        </w:rPr>
        <w:t>BIS – Būvniecības informācijas sistēma</w:t>
      </w:r>
    </w:p>
    <w:p w14:paraId="373F8915" w14:textId="77777777" w:rsidR="00BE057E" w:rsidRPr="008E2F64" w:rsidRDefault="00BE057E" w:rsidP="00BE057E">
      <w:pPr>
        <w:pStyle w:val="NoSpacing"/>
        <w:spacing w:before="0"/>
        <w:jc w:val="both"/>
        <w:rPr>
          <w:rFonts w:ascii="Times New Roman" w:hAnsi="Times New Roman" w:cs="Times New Roman"/>
          <w:color w:val="000000" w:themeColor="text1"/>
          <w:sz w:val="28"/>
          <w:szCs w:val="28"/>
        </w:rPr>
      </w:pPr>
      <w:r w:rsidRPr="008E2F64">
        <w:rPr>
          <w:rFonts w:ascii="Times New Roman" w:hAnsi="Times New Roman" w:cs="Times New Roman"/>
          <w:color w:val="000000" w:themeColor="text1"/>
          <w:sz w:val="28"/>
          <w:szCs w:val="28"/>
        </w:rPr>
        <w:t>BVKB – Būvniecības valsts kontroles birojs</w:t>
      </w:r>
    </w:p>
    <w:p w14:paraId="1B7AC3DF" w14:textId="77777777" w:rsidR="00BE057E" w:rsidRPr="008E2F64" w:rsidRDefault="00BE057E" w:rsidP="00BE057E">
      <w:pPr>
        <w:pStyle w:val="NoSpacing"/>
        <w:spacing w:before="0"/>
        <w:jc w:val="both"/>
        <w:rPr>
          <w:rFonts w:ascii="Times New Roman" w:hAnsi="Times New Roman" w:cs="Times New Roman"/>
          <w:color w:val="000000" w:themeColor="text1"/>
          <w:sz w:val="28"/>
          <w:szCs w:val="28"/>
        </w:rPr>
      </w:pPr>
      <w:r w:rsidRPr="008E2F64">
        <w:rPr>
          <w:rFonts w:ascii="Times New Roman" w:hAnsi="Times New Roman" w:cs="Times New Roman"/>
          <w:color w:val="000000" w:themeColor="text1"/>
          <w:sz w:val="28"/>
          <w:szCs w:val="28"/>
        </w:rPr>
        <w:t xml:space="preserve">CSP </w:t>
      </w:r>
      <w:r w:rsidR="009B73B0">
        <w:rPr>
          <w:rFonts w:ascii="Times New Roman" w:hAnsi="Times New Roman" w:cs="Times New Roman"/>
          <w:color w:val="000000" w:themeColor="text1"/>
          <w:sz w:val="28"/>
          <w:szCs w:val="28"/>
        </w:rPr>
        <w:t>–</w:t>
      </w:r>
      <w:r w:rsidRPr="008E2F64">
        <w:rPr>
          <w:rFonts w:ascii="Times New Roman" w:hAnsi="Times New Roman" w:cs="Times New Roman"/>
          <w:color w:val="000000" w:themeColor="text1"/>
          <w:sz w:val="28"/>
          <w:szCs w:val="28"/>
        </w:rPr>
        <w:t xml:space="preserve"> Centrālā statistikas pārvalde</w:t>
      </w:r>
    </w:p>
    <w:p w14:paraId="4FB9024D" w14:textId="77777777" w:rsidR="00BE057E" w:rsidRPr="008E2F64" w:rsidRDefault="00BE057E" w:rsidP="00BE057E">
      <w:pPr>
        <w:pStyle w:val="NoSpacing"/>
        <w:spacing w:before="0"/>
        <w:jc w:val="both"/>
        <w:rPr>
          <w:rFonts w:ascii="Times New Roman" w:hAnsi="Times New Roman" w:cs="Times New Roman"/>
          <w:color w:val="000000" w:themeColor="text1"/>
          <w:sz w:val="28"/>
          <w:szCs w:val="28"/>
        </w:rPr>
      </w:pPr>
      <w:r w:rsidRPr="008E2F64">
        <w:rPr>
          <w:rFonts w:ascii="Times New Roman" w:hAnsi="Times New Roman" w:cs="Times New Roman"/>
          <w:color w:val="000000" w:themeColor="text1"/>
          <w:sz w:val="28"/>
          <w:szCs w:val="28"/>
        </w:rPr>
        <w:t xml:space="preserve">EDLU – </w:t>
      </w:r>
      <w:r w:rsidR="009B73B0">
        <w:rPr>
          <w:rFonts w:ascii="Times New Roman" w:hAnsi="Times New Roman" w:cs="Times New Roman"/>
          <w:color w:val="000000" w:themeColor="text1"/>
          <w:sz w:val="28"/>
          <w:szCs w:val="28"/>
        </w:rPr>
        <w:t>e</w:t>
      </w:r>
      <w:r w:rsidRPr="008E2F64">
        <w:rPr>
          <w:rFonts w:ascii="Times New Roman" w:hAnsi="Times New Roman" w:cs="Times New Roman"/>
          <w:color w:val="000000" w:themeColor="text1"/>
          <w:sz w:val="28"/>
          <w:szCs w:val="28"/>
        </w:rPr>
        <w:t xml:space="preserve">lektroniskā darba laika uzskaite </w:t>
      </w:r>
    </w:p>
    <w:p w14:paraId="079A17F9" w14:textId="77777777" w:rsidR="00BE057E" w:rsidRPr="008E2F64" w:rsidRDefault="00BE057E" w:rsidP="00BE057E">
      <w:pPr>
        <w:pStyle w:val="NoSpacing"/>
        <w:spacing w:before="0"/>
        <w:jc w:val="both"/>
        <w:rPr>
          <w:rFonts w:ascii="Times New Roman" w:hAnsi="Times New Roman" w:cs="Times New Roman"/>
          <w:color w:val="000000" w:themeColor="text1"/>
          <w:sz w:val="28"/>
          <w:szCs w:val="28"/>
        </w:rPr>
      </w:pPr>
      <w:r w:rsidRPr="008E2F64">
        <w:rPr>
          <w:rFonts w:ascii="Times New Roman" w:hAnsi="Times New Roman" w:cs="Times New Roman"/>
          <w:color w:val="000000" w:themeColor="text1"/>
          <w:sz w:val="28"/>
          <w:szCs w:val="28"/>
        </w:rPr>
        <w:t xml:space="preserve">EDLUS – </w:t>
      </w:r>
      <w:r w:rsidR="009B73B0">
        <w:rPr>
          <w:rFonts w:ascii="Times New Roman" w:hAnsi="Times New Roman" w:cs="Times New Roman"/>
          <w:color w:val="000000" w:themeColor="text1"/>
          <w:sz w:val="28"/>
          <w:szCs w:val="28"/>
        </w:rPr>
        <w:t>e</w:t>
      </w:r>
      <w:r w:rsidRPr="008E2F64">
        <w:rPr>
          <w:rFonts w:ascii="Times New Roman" w:hAnsi="Times New Roman" w:cs="Times New Roman"/>
          <w:color w:val="000000" w:themeColor="text1"/>
          <w:sz w:val="28"/>
          <w:szCs w:val="28"/>
        </w:rPr>
        <w:t>lektroniskā</w:t>
      </w:r>
      <w:r w:rsidR="009B73B0">
        <w:rPr>
          <w:rFonts w:ascii="Times New Roman" w:hAnsi="Times New Roman" w:cs="Times New Roman"/>
          <w:color w:val="000000" w:themeColor="text1"/>
          <w:sz w:val="28"/>
          <w:szCs w:val="28"/>
        </w:rPr>
        <w:t>s</w:t>
      </w:r>
      <w:r w:rsidRPr="008E2F64">
        <w:rPr>
          <w:rFonts w:ascii="Times New Roman" w:hAnsi="Times New Roman" w:cs="Times New Roman"/>
          <w:color w:val="000000" w:themeColor="text1"/>
          <w:sz w:val="28"/>
          <w:szCs w:val="28"/>
        </w:rPr>
        <w:t xml:space="preserve"> darba laika uzskaite</w:t>
      </w:r>
      <w:r w:rsidR="002D4B1E">
        <w:rPr>
          <w:rFonts w:ascii="Times New Roman" w:hAnsi="Times New Roman" w:cs="Times New Roman"/>
          <w:color w:val="000000" w:themeColor="text1"/>
          <w:sz w:val="28"/>
          <w:szCs w:val="28"/>
        </w:rPr>
        <w:t>s</w:t>
      </w:r>
      <w:r w:rsidRPr="008E2F64">
        <w:rPr>
          <w:rFonts w:ascii="Times New Roman" w:hAnsi="Times New Roman" w:cs="Times New Roman"/>
          <w:color w:val="000000" w:themeColor="text1"/>
          <w:sz w:val="28"/>
          <w:szCs w:val="28"/>
        </w:rPr>
        <w:t xml:space="preserve"> sistēma</w:t>
      </w:r>
    </w:p>
    <w:p w14:paraId="3D965052" w14:textId="77777777" w:rsidR="00BE057E" w:rsidRPr="008E2F64" w:rsidRDefault="00BE057E" w:rsidP="00BE057E">
      <w:pPr>
        <w:pStyle w:val="NoSpacing"/>
        <w:spacing w:before="0"/>
        <w:jc w:val="both"/>
        <w:rPr>
          <w:rFonts w:ascii="Times New Roman" w:hAnsi="Times New Roman" w:cs="Times New Roman"/>
          <w:color w:val="000000" w:themeColor="text1"/>
          <w:sz w:val="28"/>
          <w:szCs w:val="28"/>
        </w:rPr>
      </w:pPr>
      <w:r w:rsidRPr="008E2F64">
        <w:rPr>
          <w:rFonts w:ascii="Times New Roman" w:hAnsi="Times New Roman" w:cs="Times New Roman"/>
          <w:color w:val="000000" w:themeColor="text1"/>
          <w:sz w:val="28"/>
          <w:szCs w:val="28"/>
        </w:rPr>
        <w:t>VEDLUDB – vienotā elektroniskās darba laika uzskaites datubāze</w:t>
      </w:r>
    </w:p>
    <w:p w14:paraId="4A9441B7" w14:textId="77777777" w:rsidR="00BE057E" w:rsidRPr="008E2F64" w:rsidRDefault="00BE057E" w:rsidP="00BE057E">
      <w:pPr>
        <w:pStyle w:val="NoSpacing"/>
        <w:spacing w:before="0"/>
        <w:jc w:val="both"/>
        <w:rPr>
          <w:rFonts w:ascii="Times New Roman" w:hAnsi="Times New Roman" w:cs="Times New Roman"/>
          <w:color w:val="000000" w:themeColor="text1"/>
          <w:sz w:val="28"/>
          <w:szCs w:val="28"/>
        </w:rPr>
      </w:pPr>
      <w:r w:rsidRPr="008E2F64">
        <w:rPr>
          <w:rFonts w:ascii="Times New Roman" w:hAnsi="Times New Roman" w:cs="Times New Roman"/>
          <w:color w:val="000000" w:themeColor="text1"/>
          <w:sz w:val="28"/>
          <w:szCs w:val="28"/>
        </w:rPr>
        <w:t>VID – Valsts ieņēmumu dienests</w:t>
      </w:r>
    </w:p>
    <w:p w14:paraId="34A9E0D9" w14:textId="77777777" w:rsidR="00BE057E" w:rsidRPr="008E2F64" w:rsidRDefault="00BE057E" w:rsidP="00BE057E">
      <w:pPr>
        <w:pStyle w:val="NoSpacing"/>
        <w:spacing w:before="0"/>
        <w:jc w:val="both"/>
        <w:rPr>
          <w:rFonts w:ascii="Times New Roman" w:hAnsi="Times New Roman" w:cs="Times New Roman"/>
          <w:color w:val="000000" w:themeColor="text1"/>
          <w:sz w:val="28"/>
          <w:szCs w:val="28"/>
        </w:rPr>
      </w:pPr>
      <w:r w:rsidRPr="008E2F64">
        <w:rPr>
          <w:rFonts w:ascii="Times New Roman" w:hAnsi="Times New Roman" w:cs="Times New Roman"/>
          <w:color w:val="000000" w:themeColor="text1"/>
          <w:sz w:val="28"/>
          <w:szCs w:val="28"/>
        </w:rPr>
        <w:t>VDI – Valsts darba inspekcija</w:t>
      </w:r>
    </w:p>
    <w:p w14:paraId="7423B6BA" w14:textId="77777777" w:rsidR="006E266D" w:rsidRPr="008E2F64" w:rsidRDefault="006E266D" w:rsidP="00BE057E">
      <w:pPr>
        <w:pStyle w:val="NoSpacing"/>
        <w:spacing w:before="0"/>
        <w:jc w:val="both"/>
        <w:rPr>
          <w:rFonts w:ascii="Times New Roman" w:hAnsi="Times New Roman" w:cs="Times New Roman"/>
          <w:color w:val="000000" w:themeColor="text1"/>
          <w:sz w:val="28"/>
          <w:szCs w:val="28"/>
        </w:rPr>
      </w:pPr>
    </w:p>
    <w:p w14:paraId="1925EBDE" w14:textId="77777777" w:rsidR="00BE057E" w:rsidRPr="008E2F64" w:rsidRDefault="009B73B0" w:rsidP="005E08CF">
      <w:pPr>
        <w:pStyle w:val="NoSpacing"/>
        <w:tabs>
          <w:tab w:val="left" w:pos="426"/>
        </w:tabs>
        <w:spacing w:before="0"/>
        <w:jc w:val="center"/>
        <w:rPr>
          <w:rFonts w:ascii="Times New Roman" w:hAnsi="Times New Roman" w:cs="Times New Roman"/>
          <w:b/>
          <w:sz w:val="28"/>
          <w:szCs w:val="28"/>
        </w:rPr>
      </w:pPr>
      <w:r>
        <w:rPr>
          <w:rFonts w:ascii="Times New Roman" w:hAnsi="Times New Roman" w:cs="Times New Roman"/>
          <w:b/>
          <w:sz w:val="28"/>
          <w:szCs w:val="28"/>
        </w:rPr>
        <w:t>1. </w:t>
      </w:r>
      <w:r w:rsidR="00BE057E" w:rsidRPr="008E2F64">
        <w:rPr>
          <w:rFonts w:ascii="Times New Roman" w:hAnsi="Times New Roman" w:cs="Times New Roman"/>
          <w:b/>
          <w:sz w:val="28"/>
          <w:szCs w:val="28"/>
        </w:rPr>
        <w:t>Informatīvā ziņojuma izstrādes nepieciešamības pamatojums</w:t>
      </w:r>
    </w:p>
    <w:p w14:paraId="5ED66582" w14:textId="77777777" w:rsidR="00BE057E" w:rsidRPr="008E2F64" w:rsidRDefault="00BE057E" w:rsidP="009B73B0">
      <w:pPr>
        <w:pStyle w:val="NoSpacing"/>
        <w:spacing w:before="0"/>
        <w:ind w:firstLine="720"/>
        <w:jc w:val="both"/>
        <w:rPr>
          <w:rFonts w:ascii="Times New Roman" w:hAnsi="Times New Roman" w:cs="Times New Roman"/>
          <w:sz w:val="28"/>
          <w:szCs w:val="28"/>
        </w:rPr>
      </w:pPr>
    </w:p>
    <w:p w14:paraId="62011F77" w14:textId="65B5C594" w:rsidR="00BE057E" w:rsidRPr="008E2F64" w:rsidRDefault="00BE057E" w:rsidP="00BA1C02">
      <w:pPr>
        <w:pStyle w:val="NoSpacing"/>
        <w:spacing w:before="0"/>
        <w:ind w:firstLine="720"/>
        <w:jc w:val="both"/>
        <w:rPr>
          <w:rFonts w:ascii="Times New Roman" w:hAnsi="Times New Roman" w:cs="Times New Roman"/>
          <w:sz w:val="28"/>
          <w:szCs w:val="28"/>
        </w:rPr>
      </w:pPr>
      <w:bookmarkStart w:id="2" w:name="_Hlk34907465"/>
      <w:r w:rsidRPr="00BE1E5E">
        <w:rPr>
          <w:rFonts w:ascii="Times New Roman" w:hAnsi="Times New Roman" w:cs="Times New Roman"/>
          <w:sz w:val="28"/>
          <w:szCs w:val="28"/>
        </w:rPr>
        <w:t>Ministru kabinet</w:t>
      </w:r>
      <w:r w:rsidR="002974C8">
        <w:rPr>
          <w:rFonts w:ascii="Times New Roman" w:hAnsi="Times New Roman" w:cs="Times New Roman"/>
          <w:sz w:val="28"/>
          <w:szCs w:val="28"/>
        </w:rPr>
        <w:t>s</w:t>
      </w:r>
      <w:r w:rsidRPr="00BE1E5E">
        <w:rPr>
          <w:rFonts w:ascii="Times New Roman" w:hAnsi="Times New Roman" w:cs="Times New Roman"/>
          <w:sz w:val="28"/>
          <w:szCs w:val="28"/>
        </w:rPr>
        <w:t xml:space="preserve"> 2019.gada 15.janvāra sēdē</w:t>
      </w:r>
      <w:r w:rsidRPr="00E6784A">
        <w:rPr>
          <w:rFonts w:ascii="Times New Roman" w:eastAsia="Times New Roman" w:hAnsi="Times New Roman"/>
          <w:sz w:val="28"/>
          <w:szCs w:val="28"/>
          <w:lang w:eastAsia="lv-LV"/>
        </w:rPr>
        <w:t xml:space="preserve"> </w:t>
      </w:r>
      <w:r w:rsidR="002974C8" w:rsidRPr="00BE1E5E">
        <w:rPr>
          <w:rFonts w:ascii="Times New Roman" w:hAnsi="Times New Roman" w:cs="Times New Roman"/>
          <w:sz w:val="28"/>
          <w:szCs w:val="28"/>
        </w:rPr>
        <w:t>pieņēma</w:t>
      </w:r>
      <w:r w:rsidRPr="00BE1E5E">
        <w:rPr>
          <w:rFonts w:ascii="Times New Roman" w:hAnsi="Times New Roman" w:cs="Times New Roman"/>
          <w:sz w:val="28"/>
          <w:szCs w:val="28"/>
        </w:rPr>
        <w:t xml:space="preserve"> zināšanai informatīv</w:t>
      </w:r>
      <w:r w:rsidR="002974C8">
        <w:rPr>
          <w:rFonts w:ascii="Times New Roman" w:hAnsi="Times New Roman" w:cs="Times New Roman"/>
          <w:sz w:val="28"/>
          <w:szCs w:val="28"/>
        </w:rPr>
        <w:t>o</w:t>
      </w:r>
      <w:r w:rsidRPr="00BE1E5E">
        <w:rPr>
          <w:rFonts w:ascii="Times New Roman" w:hAnsi="Times New Roman" w:cs="Times New Roman"/>
          <w:sz w:val="28"/>
          <w:szCs w:val="28"/>
        </w:rPr>
        <w:t xml:space="preserve"> ziņojum</w:t>
      </w:r>
      <w:r w:rsidR="002974C8">
        <w:rPr>
          <w:rFonts w:ascii="Times New Roman" w:hAnsi="Times New Roman" w:cs="Times New Roman"/>
          <w:sz w:val="28"/>
          <w:szCs w:val="28"/>
        </w:rPr>
        <w:t>u</w:t>
      </w:r>
      <w:r w:rsidRPr="00BE1E5E">
        <w:rPr>
          <w:rFonts w:ascii="Times New Roman" w:hAnsi="Times New Roman" w:cs="Times New Roman"/>
          <w:sz w:val="28"/>
          <w:szCs w:val="28"/>
        </w:rPr>
        <w:t xml:space="preserve"> </w:t>
      </w:r>
      <w:r w:rsidR="003E12D1" w:rsidRPr="00BE1E5E">
        <w:rPr>
          <w:rFonts w:ascii="Times New Roman" w:hAnsi="Times New Roman" w:cs="Times New Roman"/>
          <w:sz w:val="28"/>
          <w:szCs w:val="28"/>
        </w:rPr>
        <w:t>“</w:t>
      </w:r>
      <w:r w:rsidRPr="00BE1E5E">
        <w:rPr>
          <w:rFonts w:ascii="Times New Roman" w:hAnsi="Times New Roman" w:cs="Times New Roman"/>
          <w:sz w:val="28"/>
          <w:szCs w:val="28"/>
        </w:rPr>
        <w:t xml:space="preserve">Par Valsts ieņēmumu dienesta </w:t>
      </w:r>
      <w:r w:rsidRPr="008E2F64">
        <w:rPr>
          <w:rFonts w:ascii="Times New Roman" w:hAnsi="Times New Roman" w:cs="Times New Roman"/>
          <w:sz w:val="28"/>
          <w:szCs w:val="28"/>
        </w:rPr>
        <w:t>un Valsts darba inspekcijas pārbaudēs saistībā ar elektroniskās darba laika uzskaites sistēmas ieviešanu būvniecībā konstatēto</w:t>
      </w:r>
      <w:r w:rsidR="003E12D1">
        <w:rPr>
          <w:rFonts w:ascii="Times New Roman" w:hAnsi="Times New Roman" w:cs="Times New Roman"/>
          <w:sz w:val="28"/>
          <w:szCs w:val="28"/>
        </w:rPr>
        <w:t>”</w:t>
      </w:r>
      <w:r w:rsidR="002974C8" w:rsidRPr="002974C8">
        <w:rPr>
          <w:rFonts w:ascii="Times New Roman" w:eastAsia="Times New Roman" w:hAnsi="Times New Roman"/>
          <w:sz w:val="28"/>
          <w:szCs w:val="28"/>
          <w:lang w:eastAsia="lv-LV"/>
        </w:rPr>
        <w:t xml:space="preserve"> </w:t>
      </w:r>
      <w:r w:rsidR="002974C8" w:rsidRPr="00BE1E5E">
        <w:rPr>
          <w:rFonts w:ascii="Times New Roman" w:eastAsia="Times New Roman" w:hAnsi="Times New Roman"/>
          <w:sz w:val="28"/>
          <w:szCs w:val="28"/>
          <w:lang w:eastAsia="lv-LV"/>
        </w:rPr>
        <w:t>(prot. Nr.2 62.§)</w:t>
      </w:r>
      <w:r w:rsidRPr="008E2F64">
        <w:rPr>
          <w:rFonts w:ascii="Times New Roman" w:hAnsi="Times New Roman" w:cs="Times New Roman"/>
          <w:sz w:val="28"/>
          <w:szCs w:val="28"/>
        </w:rPr>
        <w:t>. Vienlai</w:t>
      </w:r>
      <w:r w:rsidR="009B73B0">
        <w:rPr>
          <w:rFonts w:ascii="Times New Roman" w:hAnsi="Times New Roman" w:cs="Times New Roman"/>
          <w:sz w:val="28"/>
          <w:szCs w:val="28"/>
        </w:rPr>
        <w:t>kus</w:t>
      </w:r>
      <w:r w:rsidRPr="008E2F64">
        <w:rPr>
          <w:rFonts w:ascii="Times New Roman" w:hAnsi="Times New Roman" w:cs="Times New Roman"/>
          <w:sz w:val="28"/>
          <w:szCs w:val="28"/>
        </w:rPr>
        <w:t xml:space="preserve">, </w:t>
      </w:r>
      <w:bookmarkEnd w:id="2"/>
      <w:r w:rsidRPr="008E2F64">
        <w:rPr>
          <w:rFonts w:ascii="Times New Roman" w:hAnsi="Times New Roman" w:cs="Times New Roman"/>
          <w:sz w:val="28"/>
          <w:szCs w:val="28"/>
        </w:rPr>
        <w:t>lai izvērtētu EDLU ieviešanu un īstenošanu</w:t>
      </w:r>
      <w:r w:rsidR="009B73B0" w:rsidRPr="009B73B0">
        <w:rPr>
          <w:rFonts w:ascii="Times New Roman" w:hAnsi="Times New Roman" w:cs="Times New Roman"/>
          <w:sz w:val="28"/>
          <w:szCs w:val="28"/>
        </w:rPr>
        <w:t xml:space="preserve"> </w:t>
      </w:r>
      <w:r w:rsidR="009B73B0" w:rsidRPr="008E2F64">
        <w:rPr>
          <w:rFonts w:ascii="Times New Roman" w:hAnsi="Times New Roman" w:cs="Times New Roman"/>
          <w:sz w:val="28"/>
          <w:szCs w:val="28"/>
        </w:rPr>
        <w:t>būvniecībā</w:t>
      </w:r>
      <w:r w:rsidRPr="008E2F64">
        <w:rPr>
          <w:rFonts w:ascii="Times New Roman" w:hAnsi="Times New Roman" w:cs="Times New Roman"/>
          <w:sz w:val="28"/>
          <w:szCs w:val="28"/>
        </w:rPr>
        <w:t xml:space="preserve">, tajā skaitā arī par periodu, kad uzsāk </w:t>
      </w:r>
      <w:r w:rsidR="009B73B0">
        <w:rPr>
          <w:rFonts w:ascii="Times New Roman" w:hAnsi="Times New Roman" w:cs="Times New Roman"/>
          <w:sz w:val="28"/>
          <w:szCs w:val="28"/>
        </w:rPr>
        <w:t>EDLUS</w:t>
      </w:r>
      <w:r w:rsidRPr="008E2F64">
        <w:rPr>
          <w:rFonts w:ascii="Times New Roman" w:hAnsi="Times New Roman" w:cs="Times New Roman"/>
          <w:sz w:val="28"/>
          <w:szCs w:val="28"/>
        </w:rPr>
        <w:t xml:space="preserve"> uzkrāto datu nodošanu VEDLUDB un izmantošanu nodokļu administrēšanā, Finanšu ministrijai (V</w:t>
      </w:r>
      <w:r w:rsidR="009B73B0">
        <w:rPr>
          <w:rFonts w:ascii="Times New Roman" w:hAnsi="Times New Roman" w:cs="Times New Roman"/>
          <w:sz w:val="28"/>
          <w:szCs w:val="28"/>
        </w:rPr>
        <w:t>ID</w:t>
      </w:r>
      <w:r w:rsidRPr="008E2F64">
        <w:rPr>
          <w:rFonts w:ascii="Times New Roman" w:hAnsi="Times New Roman" w:cs="Times New Roman"/>
          <w:sz w:val="28"/>
          <w:szCs w:val="28"/>
        </w:rPr>
        <w:t>) sadarbībā ar Labklājības ministriju (V</w:t>
      </w:r>
      <w:r w:rsidR="009B73B0">
        <w:rPr>
          <w:rFonts w:ascii="Times New Roman" w:hAnsi="Times New Roman" w:cs="Times New Roman"/>
          <w:sz w:val="28"/>
          <w:szCs w:val="28"/>
        </w:rPr>
        <w:t>DI</w:t>
      </w:r>
      <w:r w:rsidRPr="008E2F64">
        <w:rPr>
          <w:rFonts w:ascii="Times New Roman" w:hAnsi="Times New Roman" w:cs="Times New Roman"/>
          <w:sz w:val="28"/>
          <w:szCs w:val="28"/>
        </w:rPr>
        <w:t xml:space="preserve">) un Ekonomikas ministriju tika </w:t>
      </w:r>
      <w:r w:rsidR="002974C8">
        <w:rPr>
          <w:rFonts w:ascii="Times New Roman" w:hAnsi="Times New Roman" w:cs="Times New Roman"/>
          <w:sz w:val="28"/>
          <w:szCs w:val="28"/>
        </w:rPr>
        <w:t>dots uzdevums</w:t>
      </w:r>
      <w:r w:rsidR="002974C8" w:rsidRPr="008E2F64">
        <w:rPr>
          <w:rFonts w:ascii="Times New Roman" w:hAnsi="Times New Roman" w:cs="Times New Roman"/>
          <w:sz w:val="28"/>
          <w:szCs w:val="28"/>
        </w:rPr>
        <w:t xml:space="preserve"> </w:t>
      </w:r>
      <w:r w:rsidRPr="008E2F64">
        <w:rPr>
          <w:rFonts w:ascii="Times New Roman" w:hAnsi="Times New Roman" w:cs="Times New Roman"/>
          <w:sz w:val="28"/>
          <w:szCs w:val="28"/>
        </w:rPr>
        <w:t xml:space="preserve">ne vēlāk kā līdz 2020.gada 1.jūlijam iesniegt izskatīšanai Ministru kabinetā jaunu informatīvo ziņojumu par pārbaudēs saistībā ar </w:t>
      </w:r>
      <w:r w:rsidR="009B73B0">
        <w:rPr>
          <w:rFonts w:ascii="Times New Roman" w:hAnsi="Times New Roman" w:cs="Times New Roman"/>
          <w:sz w:val="28"/>
          <w:szCs w:val="28"/>
        </w:rPr>
        <w:t>EDLU</w:t>
      </w:r>
      <w:r w:rsidRPr="008E2F64">
        <w:rPr>
          <w:rFonts w:ascii="Times New Roman" w:hAnsi="Times New Roman" w:cs="Times New Roman"/>
          <w:sz w:val="28"/>
          <w:szCs w:val="28"/>
        </w:rPr>
        <w:t xml:space="preserve"> būvniecībā konstatēto, nepieciešamības gadījumā sniedzot priekšlikumus </w:t>
      </w:r>
      <w:r w:rsidR="009B73B0">
        <w:rPr>
          <w:rFonts w:ascii="Times New Roman" w:hAnsi="Times New Roman" w:cs="Times New Roman"/>
          <w:sz w:val="28"/>
          <w:szCs w:val="28"/>
        </w:rPr>
        <w:t>EDLU</w:t>
      </w:r>
      <w:r w:rsidRPr="008E2F64">
        <w:rPr>
          <w:rFonts w:ascii="Times New Roman" w:hAnsi="Times New Roman" w:cs="Times New Roman"/>
          <w:sz w:val="28"/>
          <w:szCs w:val="28"/>
        </w:rPr>
        <w:t xml:space="preserve"> būvniecībā pilnveidošanai</w:t>
      </w:r>
      <w:r w:rsidR="002974C8">
        <w:rPr>
          <w:rFonts w:ascii="Times New Roman" w:hAnsi="Times New Roman" w:cs="Times New Roman"/>
          <w:sz w:val="28"/>
          <w:szCs w:val="28"/>
        </w:rPr>
        <w:t xml:space="preserve"> </w:t>
      </w:r>
      <w:r w:rsidR="002974C8" w:rsidRPr="008E2F64">
        <w:rPr>
          <w:rFonts w:ascii="Times New Roman" w:hAnsi="Times New Roman" w:cs="Times New Roman"/>
          <w:sz w:val="28"/>
          <w:szCs w:val="28"/>
        </w:rPr>
        <w:t>(prot. Nr.2 62.§</w:t>
      </w:r>
      <w:r w:rsidR="002974C8">
        <w:rPr>
          <w:rFonts w:ascii="Times New Roman" w:hAnsi="Times New Roman" w:cs="Times New Roman"/>
          <w:sz w:val="28"/>
          <w:szCs w:val="28"/>
        </w:rPr>
        <w:t xml:space="preserve"> 3.punkts</w:t>
      </w:r>
      <w:r w:rsidR="002974C8" w:rsidRPr="008E2F64">
        <w:rPr>
          <w:rFonts w:ascii="Times New Roman" w:hAnsi="Times New Roman" w:cs="Times New Roman"/>
          <w:sz w:val="28"/>
          <w:szCs w:val="28"/>
        </w:rPr>
        <w:t>)</w:t>
      </w:r>
      <w:r w:rsidRPr="008E2F64">
        <w:rPr>
          <w:rFonts w:ascii="Times New Roman" w:hAnsi="Times New Roman" w:cs="Times New Roman"/>
          <w:sz w:val="28"/>
          <w:szCs w:val="28"/>
        </w:rPr>
        <w:t>.</w:t>
      </w:r>
    </w:p>
    <w:p w14:paraId="60210001" w14:textId="77777777" w:rsidR="006E266D" w:rsidRPr="008E2F64" w:rsidRDefault="006E266D" w:rsidP="00BE057E">
      <w:pPr>
        <w:pStyle w:val="NoSpacing"/>
        <w:spacing w:before="0"/>
        <w:ind w:firstLine="720"/>
        <w:jc w:val="both"/>
        <w:rPr>
          <w:rFonts w:ascii="Times New Roman" w:hAnsi="Times New Roman" w:cs="Times New Roman"/>
          <w:sz w:val="28"/>
          <w:szCs w:val="28"/>
        </w:rPr>
      </w:pPr>
      <w:bookmarkStart w:id="3" w:name="_Hlk39824278"/>
    </w:p>
    <w:p w14:paraId="6D0A1627" w14:textId="77777777" w:rsidR="00BE057E" w:rsidRPr="008E2F64" w:rsidRDefault="00BE057E" w:rsidP="00BE057E">
      <w:pPr>
        <w:spacing w:before="0" w:after="0" w:line="240" w:lineRule="auto"/>
        <w:jc w:val="center"/>
        <w:rPr>
          <w:rFonts w:ascii="Times New Roman" w:hAnsi="Times New Roman" w:cs="Times New Roman"/>
          <w:b/>
          <w:sz w:val="28"/>
          <w:szCs w:val="28"/>
        </w:rPr>
      </w:pPr>
      <w:r w:rsidRPr="008E2F64">
        <w:rPr>
          <w:rFonts w:ascii="Times New Roman" w:hAnsi="Times New Roman" w:cs="Times New Roman"/>
          <w:b/>
          <w:sz w:val="28"/>
          <w:szCs w:val="28"/>
        </w:rPr>
        <w:t xml:space="preserve">2. Būvniecības nozares raksturojums </w:t>
      </w:r>
    </w:p>
    <w:p w14:paraId="3700D6AC" w14:textId="77777777" w:rsidR="00BE057E" w:rsidRPr="008E2F64" w:rsidRDefault="00BE057E" w:rsidP="00BE057E">
      <w:pPr>
        <w:spacing w:before="0" w:after="0" w:line="240" w:lineRule="auto"/>
        <w:jc w:val="center"/>
        <w:rPr>
          <w:rFonts w:ascii="Times New Roman" w:hAnsi="Times New Roman" w:cs="Times New Roman"/>
          <w:b/>
          <w:sz w:val="28"/>
          <w:szCs w:val="28"/>
        </w:rPr>
      </w:pPr>
      <w:r w:rsidRPr="008E2F64">
        <w:rPr>
          <w:rFonts w:ascii="Times New Roman" w:hAnsi="Times New Roman" w:cs="Times New Roman"/>
          <w:b/>
          <w:sz w:val="28"/>
          <w:szCs w:val="28"/>
        </w:rPr>
        <w:t>atbilstoši Ekonomikas ministrijas datiem</w:t>
      </w:r>
    </w:p>
    <w:p w14:paraId="36384BBE" w14:textId="77777777" w:rsidR="00BE057E" w:rsidRPr="008E2F64" w:rsidRDefault="00BE057E" w:rsidP="00BE057E">
      <w:pPr>
        <w:spacing w:before="0" w:after="0" w:line="240" w:lineRule="auto"/>
        <w:jc w:val="center"/>
        <w:rPr>
          <w:rFonts w:ascii="Times New Roman" w:hAnsi="Times New Roman" w:cs="Times New Roman"/>
          <w:b/>
          <w:sz w:val="28"/>
          <w:szCs w:val="28"/>
        </w:rPr>
      </w:pPr>
    </w:p>
    <w:p w14:paraId="28BE87E6" w14:textId="1E5188C9" w:rsidR="00BE057E" w:rsidRPr="008E2F64" w:rsidRDefault="0019583D" w:rsidP="00BE057E">
      <w:pPr>
        <w:shd w:val="clear" w:color="auto" w:fill="FFFFFF"/>
        <w:spacing w:before="0" w:after="0" w:line="240" w:lineRule="auto"/>
        <w:ind w:firstLine="720"/>
        <w:jc w:val="both"/>
        <w:rPr>
          <w:rFonts w:ascii="Times New Roman" w:eastAsia="Times New Roman" w:hAnsi="Times New Roman" w:cs="Times New Roman"/>
          <w:sz w:val="28"/>
          <w:szCs w:val="28"/>
          <w:lang w:eastAsia="lv-LV"/>
        </w:rPr>
      </w:pPr>
      <w:bookmarkStart w:id="4" w:name="_Hlk33607988"/>
      <w:r w:rsidRPr="005B429D">
        <w:rPr>
          <w:rFonts w:ascii="Times New Roman" w:eastAsia="Times New Roman" w:hAnsi="Times New Roman" w:cs="Times New Roman"/>
          <w:bCs/>
          <w:sz w:val="28"/>
          <w:szCs w:val="28"/>
          <w:bdr w:val="none" w:sz="0" w:space="0" w:color="auto" w:frame="1"/>
          <w:lang w:eastAsia="lv-LV"/>
        </w:rPr>
        <w:t>Būvniecības nozarei ir nozīmīga loma Latvijas tautsaimniecībā – tās īpatsvars pēc pievienotās vērtības 2020.gadā I ceturksnī bija 5,2% (8. lielākā nozare pēc pievienotās vērtības)</w:t>
      </w:r>
      <w:r w:rsidR="00C9746C">
        <w:rPr>
          <w:rFonts w:ascii="Times New Roman" w:eastAsia="Times New Roman" w:hAnsi="Times New Roman" w:cs="Times New Roman"/>
          <w:bCs/>
          <w:sz w:val="28"/>
          <w:szCs w:val="28"/>
          <w:bdr w:val="none" w:sz="0" w:space="0" w:color="auto" w:frame="1"/>
          <w:lang w:eastAsia="lv-LV"/>
        </w:rPr>
        <w:t>,</w:t>
      </w:r>
      <w:r w:rsidR="008A469D" w:rsidRPr="005B429D">
        <w:rPr>
          <w:rFonts w:ascii="Times New Roman" w:eastAsia="Times New Roman" w:hAnsi="Times New Roman" w:cs="Times New Roman"/>
          <w:bCs/>
          <w:sz w:val="28"/>
          <w:szCs w:val="28"/>
          <w:bdr w:val="none" w:sz="0" w:space="0" w:color="auto" w:frame="1"/>
          <w:lang w:eastAsia="lv-LV"/>
        </w:rPr>
        <w:t xml:space="preserve"> </w:t>
      </w:r>
      <w:r w:rsidR="00BE057E" w:rsidRPr="005B429D">
        <w:rPr>
          <w:rFonts w:ascii="Times New Roman" w:eastAsia="Times New Roman" w:hAnsi="Times New Roman" w:cs="Times New Roman"/>
          <w:sz w:val="28"/>
          <w:szCs w:val="28"/>
          <w:shd w:val="clear" w:color="auto" w:fill="FFFFFF"/>
          <w:lang w:eastAsia="lv-LV"/>
        </w:rPr>
        <w:t>2018.gadā būvniecību kā uzņēmējdarbības veidu bija norādījuši 11</w:t>
      </w:r>
      <w:r w:rsidR="009B73B0" w:rsidRPr="005B429D">
        <w:rPr>
          <w:rFonts w:ascii="Times New Roman" w:eastAsia="Times New Roman" w:hAnsi="Times New Roman" w:cs="Times New Roman"/>
          <w:sz w:val="28"/>
          <w:szCs w:val="28"/>
          <w:shd w:val="clear" w:color="auto" w:fill="FFFFFF"/>
          <w:lang w:eastAsia="lv-LV"/>
        </w:rPr>
        <w:t> </w:t>
      </w:r>
      <w:r w:rsidR="00BE057E" w:rsidRPr="005B429D">
        <w:rPr>
          <w:rFonts w:ascii="Times New Roman" w:eastAsia="Times New Roman" w:hAnsi="Times New Roman" w:cs="Times New Roman"/>
          <w:sz w:val="28"/>
          <w:szCs w:val="28"/>
          <w:shd w:val="clear" w:color="auto" w:fill="FFFFFF"/>
          <w:lang w:eastAsia="lv-LV"/>
        </w:rPr>
        <w:t>606</w:t>
      </w:r>
      <w:r w:rsidR="009B73B0" w:rsidRPr="005B429D">
        <w:rPr>
          <w:rFonts w:ascii="Times New Roman" w:eastAsia="Times New Roman" w:hAnsi="Times New Roman" w:cs="Times New Roman"/>
          <w:sz w:val="28"/>
          <w:szCs w:val="28"/>
          <w:shd w:val="clear" w:color="auto" w:fill="FFFFFF"/>
          <w:lang w:eastAsia="lv-LV"/>
        </w:rPr>
        <w:t> </w:t>
      </w:r>
      <w:r w:rsidR="00BE057E" w:rsidRPr="005B429D">
        <w:rPr>
          <w:rFonts w:ascii="Times New Roman" w:eastAsia="Times New Roman" w:hAnsi="Times New Roman" w:cs="Times New Roman"/>
          <w:sz w:val="28"/>
          <w:szCs w:val="28"/>
          <w:shd w:val="clear" w:color="auto" w:fill="FFFFFF"/>
          <w:lang w:eastAsia="lv-LV"/>
        </w:rPr>
        <w:t>uzņēmumi (no tiem BIS reģistrēti 5</w:t>
      </w:r>
      <w:r w:rsidRPr="005B429D">
        <w:rPr>
          <w:rFonts w:ascii="Times New Roman" w:eastAsia="Times New Roman" w:hAnsi="Times New Roman" w:cs="Times New Roman"/>
          <w:sz w:val="28"/>
          <w:szCs w:val="28"/>
          <w:shd w:val="clear" w:color="auto" w:fill="FFFFFF"/>
          <w:lang w:eastAsia="lv-LV"/>
        </w:rPr>
        <w:t>659</w:t>
      </w:r>
      <w:r w:rsidR="009B73B0" w:rsidRPr="005B429D">
        <w:rPr>
          <w:rFonts w:ascii="Times New Roman" w:eastAsia="Times New Roman" w:hAnsi="Times New Roman" w:cs="Times New Roman"/>
          <w:sz w:val="28"/>
          <w:szCs w:val="28"/>
          <w:shd w:val="clear" w:color="auto" w:fill="FFFFFF"/>
          <w:lang w:eastAsia="lv-LV"/>
        </w:rPr>
        <w:t> </w:t>
      </w:r>
      <w:r w:rsidRPr="005B429D">
        <w:rPr>
          <w:rFonts w:ascii="Times New Roman" w:eastAsia="Times New Roman" w:hAnsi="Times New Roman" w:cs="Times New Roman"/>
          <w:sz w:val="28"/>
          <w:szCs w:val="28"/>
          <w:shd w:val="clear" w:color="auto" w:fill="FFFFFF"/>
          <w:lang w:eastAsia="lv-LV"/>
        </w:rPr>
        <w:t>būvkomersanti</w:t>
      </w:r>
      <w:r w:rsidR="00BE057E" w:rsidRPr="005B429D">
        <w:rPr>
          <w:rFonts w:ascii="Times New Roman" w:eastAsia="Times New Roman" w:hAnsi="Times New Roman" w:cs="Times New Roman"/>
          <w:sz w:val="28"/>
          <w:szCs w:val="28"/>
          <w:shd w:val="clear" w:color="auto" w:fill="FFFFFF"/>
          <w:lang w:eastAsia="lv-LV"/>
        </w:rPr>
        <w:t xml:space="preserve">). </w:t>
      </w:r>
      <w:r w:rsidRPr="005B429D">
        <w:rPr>
          <w:rFonts w:ascii="Times New Roman" w:eastAsia="Times New Roman" w:hAnsi="Times New Roman" w:cs="Times New Roman"/>
          <w:sz w:val="28"/>
          <w:szCs w:val="28"/>
          <w:shd w:val="clear" w:color="auto" w:fill="FFFFFF"/>
          <w:lang w:eastAsia="lv-LV"/>
        </w:rPr>
        <w:t xml:space="preserve">Būvniecības nozarē 2019.gadā bija nodarbināti 81.1 tūkst, jeb 8.9% no kopējā nodarbināto skaita un pēdējos divos gados (kopš 2017.gada) nodarbināto skaits būvniecībā ir pieaudzis par 18 tūkst. </w:t>
      </w:r>
      <w:r w:rsidR="00BE057E" w:rsidRPr="005B429D">
        <w:rPr>
          <w:rFonts w:ascii="Times New Roman" w:eastAsia="Times New Roman" w:hAnsi="Times New Roman" w:cs="Times New Roman"/>
          <w:bCs/>
          <w:color w:val="000000"/>
          <w:sz w:val="28"/>
          <w:szCs w:val="28"/>
          <w:lang w:eastAsia="lv-LV"/>
        </w:rPr>
        <w:t>Būvniecības produkcijas apjomi 2019.gadā turpināja pieaugt trešo gadu pēc kārtas</w:t>
      </w:r>
      <w:r w:rsidR="00BE057E" w:rsidRPr="005B429D">
        <w:rPr>
          <w:rFonts w:ascii="Times New Roman" w:eastAsia="Times New Roman" w:hAnsi="Times New Roman" w:cs="Times New Roman"/>
          <w:color w:val="000000"/>
          <w:sz w:val="28"/>
          <w:szCs w:val="28"/>
          <w:lang w:eastAsia="lv-LV"/>
        </w:rPr>
        <w:t>. Nozare 2019.gadu kopumā noslēdza ar pozitīvu bilanci</w:t>
      </w:r>
      <w:r w:rsidR="009B73B0" w:rsidRPr="005B429D">
        <w:rPr>
          <w:rFonts w:ascii="Times New Roman" w:eastAsia="Times New Roman" w:hAnsi="Times New Roman" w:cs="Times New Roman"/>
          <w:color w:val="000000"/>
          <w:sz w:val="28"/>
          <w:szCs w:val="28"/>
          <w:lang w:eastAsia="lv-LV"/>
        </w:rPr>
        <w:t>,</w:t>
      </w:r>
      <w:r w:rsidR="00BE057E" w:rsidRPr="005B429D">
        <w:rPr>
          <w:rFonts w:ascii="Times New Roman" w:eastAsia="Times New Roman" w:hAnsi="Times New Roman" w:cs="Times New Roman"/>
          <w:color w:val="000000"/>
          <w:sz w:val="28"/>
          <w:szCs w:val="28"/>
          <w:lang w:eastAsia="lv-LV"/>
        </w:rPr>
        <w:t xml:space="preserve"> un produkcijas izlaide bija par 2,9</w:t>
      </w:r>
      <w:r w:rsidR="009B73B0" w:rsidRPr="005B429D">
        <w:rPr>
          <w:rFonts w:ascii="Times New Roman" w:eastAsia="Times New Roman" w:hAnsi="Times New Roman" w:cs="Times New Roman"/>
          <w:color w:val="000000"/>
          <w:sz w:val="28"/>
          <w:szCs w:val="28"/>
          <w:lang w:eastAsia="lv-LV"/>
        </w:rPr>
        <w:t> </w:t>
      </w:r>
      <w:r w:rsidR="00BE057E" w:rsidRPr="005B429D">
        <w:rPr>
          <w:rFonts w:ascii="Times New Roman" w:eastAsia="Times New Roman" w:hAnsi="Times New Roman" w:cs="Times New Roman"/>
          <w:color w:val="000000"/>
          <w:sz w:val="28"/>
          <w:szCs w:val="28"/>
          <w:lang w:eastAsia="lv-LV"/>
        </w:rPr>
        <w:t>% lielāka nekā 2018.gadā.</w:t>
      </w:r>
      <w:r w:rsidR="00BE057E" w:rsidRPr="005B429D">
        <w:rPr>
          <w:rFonts w:ascii="Times New Roman" w:eastAsia="Times New Roman" w:hAnsi="Times New Roman" w:cs="Times New Roman"/>
          <w:sz w:val="28"/>
          <w:szCs w:val="28"/>
          <w:lang w:eastAsia="lv-LV"/>
        </w:rPr>
        <w:t xml:space="preserve"> Būvnie</w:t>
      </w:r>
      <w:bookmarkStart w:id="5" w:name="_GoBack"/>
      <w:bookmarkEnd w:id="5"/>
      <w:r w:rsidR="00BE057E" w:rsidRPr="005B429D">
        <w:rPr>
          <w:rFonts w:ascii="Times New Roman" w:eastAsia="Times New Roman" w:hAnsi="Times New Roman" w:cs="Times New Roman"/>
          <w:sz w:val="28"/>
          <w:szCs w:val="28"/>
          <w:lang w:eastAsia="lv-LV"/>
        </w:rPr>
        <w:t xml:space="preserve">cības nozares produkcijas apjoms faktiskajās cenās 2018.gadā bija </w:t>
      </w:r>
      <w:r w:rsidR="00BE057E" w:rsidRPr="005B429D">
        <w:rPr>
          <w:rFonts w:ascii="Times New Roman" w:eastAsia="Times New Roman" w:hAnsi="Times New Roman" w:cs="Times New Roman"/>
          <w:sz w:val="28"/>
          <w:szCs w:val="28"/>
          <w:lang w:eastAsia="lv-LV"/>
        </w:rPr>
        <w:lastRenderedPageBreak/>
        <w:t>2,2</w:t>
      </w:r>
      <w:r w:rsidR="009B73B0" w:rsidRPr="005B429D">
        <w:rPr>
          <w:rFonts w:ascii="Times New Roman" w:eastAsia="Times New Roman" w:hAnsi="Times New Roman" w:cs="Times New Roman"/>
          <w:sz w:val="28"/>
          <w:szCs w:val="28"/>
          <w:lang w:eastAsia="lv-LV"/>
        </w:rPr>
        <w:t> </w:t>
      </w:r>
      <w:r w:rsidR="00BE057E" w:rsidRPr="005B429D">
        <w:rPr>
          <w:rFonts w:ascii="Times New Roman" w:eastAsia="Times New Roman" w:hAnsi="Times New Roman" w:cs="Times New Roman"/>
          <w:sz w:val="28"/>
          <w:szCs w:val="28"/>
          <w:lang w:eastAsia="lv-LV"/>
        </w:rPr>
        <w:t xml:space="preserve">miljardi </w:t>
      </w:r>
      <w:proofErr w:type="spellStart"/>
      <w:r w:rsidR="00F30009" w:rsidRPr="005B429D">
        <w:rPr>
          <w:rFonts w:ascii="Times New Roman" w:eastAsia="Times New Roman" w:hAnsi="Times New Roman" w:cs="Times New Roman"/>
          <w:i/>
          <w:sz w:val="28"/>
          <w:szCs w:val="28"/>
          <w:lang w:eastAsia="lv-LV"/>
        </w:rPr>
        <w:t>euro</w:t>
      </w:r>
      <w:proofErr w:type="spellEnd"/>
      <w:r w:rsidR="00BE057E" w:rsidRPr="005B429D">
        <w:rPr>
          <w:rFonts w:ascii="Times New Roman" w:eastAsia="Times New Roman" w:hAnsi="Times New Roman" w:cs="Times New Roman"/>
          <w:sz w:val="28"/>
          <w:szCs w:val="28"/>
          <w:lang w:eastAsia="lv-LV"/>
        </w:rPr>
        <w:t>, 2019.gadā</w:t>
      </w:r>
      <w:r w:rsidR="009B73B0" w:rsidRPr="005B429D">
        <w:rPr>
          <w:rFonts w:ascii="Times New Roman" w:eastAsia="Times New Roman" w:hAnsi="Times New Roman" w:cs="Times New Roman"/>
          <w:sz w:val="28"/>
          <w:szCs w:val="28"/>
          <w:lang w:eastAsia="lv-LV"/>
        </w:rPr>
        <w:t> </w:t>
      </w:r>
      <w:r w:rsidR="00BE057E" w:rsidRPr="005B429D">
        <w:rPr>
          <w:rFonts w:ascii="Times New Roman" w:eastAsia="Times New Roman" w:hAnsi="Times New Roman" w:cs="Times New Roman"/>
          <w:sz w:val="28"/>
          <w:szCs w:val="28"/>
          <w:lang w:eastAsia="lv-LV"/>
        </w:rPr>
        <w:t>– 2,3</w:t>
      </w:r>
      <w:r w:rsidR="009B73B0" w:rsidRPr="005B429D">
        <w:rPr>
          <w:rFonts w:ascii="Times New Roman" w:eastAsia="Times New Roman" w:hAnsi="Times New Roman" w:cs="Times New Roman"/>
          <w:sz w:val="28"/>
          <w:szCs w:val="28"/>
          <w:lang w:eastAsia="lv-LV"/>
        </w:rPr>
        <w:t> </w:t>
      </w:r>
      <w:r w:rsidR="00BE057E" w:rsidRPr="005B429D">
        <w:rPr>
          <w:rFonts w:ascii="Times New Roman" w:eastAsia="Times New Roman" w:hAnsi="Times New Roman" w:cs="Times New Roman"/>
          <w:sz w:val="28"/>
          <w:szCs w:val="28"/>
          <w:lang w:eastAsia="lv-LV"/>
        </w:rPr>
        <w:t xml:space="preserve">miljardi </w:t>
      </w:r>
      <w:proofErr w:type="spellStart"/>
      <w:r w:rsidR="00F30009" w:rsidRPr="005B429D">
        <w:rPr>
          <w:rFonts w:ascii="Times New Roman" w:eastAsia="Times New Roman" w:hAnsi="Times New Roman" w:cs="Times New Roman"/>
          <w:i/>
          <w:sz w:val="28"/>
          <w:szCs w:val="28"/>
          <w:lang w:eastAsia="lv-LV"/>
        </w:rPr>
        <w:t>eur</w:t>
      </w:r>
      <w:r w:rsidR="00BE057E" w:rsidRPr="005B429D">
        <w:rPr>
          <w:rFonts w:ascii="Times New Roman" w:eastAsia="Times New Roman" w:hAnsi="Times New Roman" w:cs="Times New Roman"/>
          <w:i/>
          <w:sz w:val="28"/>
          <w:szCs w:val="28"/>
          <w:lang w:eastAsia="lv-LV"/>
        </w:rPr>
        <w:t>o</w:t>
      </w:r>
      <w:proofErr w:type="spellEnd"/>
      <w:r w:rsidR="00BE057E" w:rsidRPr="005B429D">
        <w:rPr>
          <w:rFonts w:ascii="Times New Roman" w:eastAsia="Times New Roman" w:hAnsi="Times New Roman" w:cs="Times New Roman"/>
          <w:sz w:val="28"/>
          <w:szCs w:val="28"/>
          <w:lang w:eastAsia="lv-LV"/>
        </w:rPr>
        <w:t>, pakalpojumu eksports 2018.gadā sasniedza 265</w:t>
      </w:r>
      <w:r w:rsidR="009B73B0" w:rsidRPr="005B429D">
        <w:rPr>
          <w:rFonts w:ascii="Times New Roman" w:eastAsia="Times New Roman" w:hAnsi="Times New Roman" w:cs="Times New Roman"/>
          <w:sz w:val="28"/>
          <w:szCs w:val="28"/>
          <w:lang w:eastAsia="lv-LV"/>
        </w:rPr>
        <w:t> </w:t>
      </w:r>
      <w:r w:rsidR="00BE057E" w:rsidRPr="005B429D">
        <w:rPr>
          <w:rFonts w:ascii="Times New Roman" w:eastAsia="Times New Roman" w:hAnsi="Times New Roman" w:cs="Times New Roman"/>
          <w:sz w:val="28"/>
          <w:szCs w:val="28"/>
          <w:lang w:eastAsia="lv-LV"/>
        </w:rPr>
        <w:t>milj.</w:t>
      </w:r>
      <w:r w:rsidR="0000398B" w:rsidRPr="005B429D">
        <w:rPr>
          <w:rFonts w:ascii="Times New Roman" w:eastAsia="Times New Roman" w:hAnsi="Times New Roman" w:cs="Times New Roman"/>
          <w:sz w:val="28"/>
          <w:szCs w:val="28"/>
          <w:lang w:eastAsia="lv-LV"/>
        </w:rPr>
        <w:t> </w:t>
      </w:r>
      <w:proofErr w:type="spellStart"/>
      <w:r w:rsidR="00F30009" w:rsidRPr="005B429D">
        <w:rPr>
          <w:rFonts w:ascii="Times New Roman" w:eastAsia="Times New Roman" w:hAnsi="Times New Roman" w:cs="Times New Roman"/>
          <w:i/>
          <w:sz w:val="28"/>
          <w:szCs w:val="28"/>
          <w:lang w:eastAsia="lv-LV"/>
        </w:rPr>
        <w:t>euro</w:t>
      </w:r>
      <w:proofErr w:type="spellEnd"/>
      <w:r w:rsidR="00BE057E" w:rsidRPr="005B429D">
        <w:rPr>
          <w:rFonts w:ascii="Times New Roman" w:eastAsia="Times New Roman" w:hAnsi="Times New Roman" w:cs="Times New Roman"/>
          <w:sz w:val="28"/>
          <w:szCs w:val="28"/>
          <w:lang w:eastAsia="lv-LV"/>
        </w:rPr>
        <w:t>, 2019.gadā</w:t>
      </w:r>
      <w:r w:rsidR="009B73B0" w:rsidRPr="005B429D">
        <w:rPr>
          <w:rFonts w:ascii="Times New Roman" w:eastAsia="Times New Roman" w:hAnsi="Times New Roman" w:cs="Times New Roman"/>
          <w:sz w:val="28"/>
          <w:szCs w:val="28"/>
          <w:lang w:eastAsia="lv-LV"/>
        </w:rPr>
        <w:t> </w:t>
      </w:r>
      <w:r w:rsidR="00BE057E" w:rsidRPr="005B429D">
        <w:rPr>
          <w:rFonts w:ascii="Times New Roman" w:eastAsia="Times New Roman" w:hAnsi="Times New Roman" w:cs="Times New Roman"/>
          <w:sz w:val="28"/>
          <w:szCs w:val="28"/>
          <w:lang w:eastAsia="lv-LV"/>
        </w:rPr>
        <w:t>– 337</w:t>
      </w:r>
      <w:r w:rsidR="009B73B0" w:rsidRPr="005B429D">
        <w:rPr>
          <w:rFonts w:ascii="Times New Roman" w:eastAsia="Times New Roman" w:hAnsi="Times New Roman" w:cs="Times New Roman"/>
          <w:sz w:val="28"/>
          <w:szCs w:val="28"/>
          <w:lang w:eastAsia="lv-LV"/>
        </w:rPr>
        <w:t> </w:t>
      </w:r>
      <w:r w:rsidR="00BE057E" w:rsidRPr="005B429D">
        <w:rPr>
          <w:rFonts w:ascii="Times New Roman" w:eastAsia="Times New Roman" w:hAnsi="Times New Roman" w:cs="Times New Roman"/>
          <w:sz w:val="28"/>
          <w:szCs w:val="28"/>
          <w:lang w:eastAsia="lv-LV"/>
        </w:rPr>
        <w:t xml:space="preserve">milj. </w:t>
      </w:r>
      <w:proofErr w:type="spellStart"/>
      <w:r w:rsidR="00F30009" w:rsidRPr="005B429D">
        <w:rPr>
          <w:rFonts w:ascii="Times New Roman" w:eastAsia="Times New Roman" w:hAnsi="Times New Roman" w:cs="Times New Roman"/>
          <w:i/>
          <w:sz w:val="28"/>
          <w:szCs w:val="28"/>
          <w:lang w:eastAsia="lv-LV"/>
        </w:rPr>
        <w:t>euro</w:t>
      </w:r>
      <w:proofErr w:type="spellEnd"/>
      <w:r w:rsidR="00BE057E" w:rsidRPr="005B429D">
        <w:rPr>
          <w:rFonts w:ascii="Times New Roman" w:eastAsia="Times New Roman" w:hAnsi="Times New Roman" w:cs="Times New Roman"/>
          <w:sz w:val="28"/>
          <w:szCs w:val="28"/>
          <w:lang w:eastAsia="lv-LV"/>
        </w:rPr>
        <w:t xml:space="preserve">. </w:t>
      </w:r>
      <w:r w:rsidRPr="005B429D">
        <w:rPr>
          <w:rFonts w:ascii="Times New Roman" w:eastAsia="Times New Roman" w:hAnsi="Times New Roman" w:cs="Times New Roman"/>
          <w:sz w:val="28"/>
          <w:szCs w:val="28"/>
          <w:lang w:eastAsia="lv-LV"/>
        </w:rPr>
        <w:t>Būvniecības nozare</w:t>
      </w:r>
      <w:r w:rsidRPr="0019583D">
        <w:rPr>
          <w:rFonts w:ascii="Times New Roman" w:eastAsia="Times New Roman" w:hAnsi="Times New Roman" w:cs="Times New Roman"/>
          <w:sz w:val="28"/>
          <w:szCs w:val="28"/>
          <w:lang w:eastAsia="lv-LV"/>
        </w:rPr>
        <w:t xml:space="preserve"> 2020.gada I ceturksni kopumā noslēdza ar 14.9% pieaugumu salīdzinot ar 2019.gada I ceturksn</w:t>
      </w:r>
      <w:r w:rsidR="005F52EE">
        <w:rPr>
          <w:rFonts w:ascii="Times New Roman" w:eastAsia="Times New Roman" w:hAnsi="Times New Roman" w:cs="Times New Roman"/>
          <w:sz w:val="28"/>
          <w:szCs w:val="28"/>
          <w:lang w:eastAsia="lv-LV"/>
        </w:rPr>
        <w:t>i</w:t>
      </w:r>
      <w:r w:rsidRPr="0019583D">
        <w:rPr>
          <w:rFonts w:ascii="Times New Roman" w:eastAsia="Times New Roman" w:hAnsi="Times New Roman" w:cs="Times New Roman"/>
          <w:sz w:val="28"/>
          <w:szCs w:val="28"/>
          <w:lang w:eastAsia="lv-LV"/>
        </w:rPr>
        <w:t>, sasniedzot būvniecības produkcijas apjomu 414 milj. eiro. Kā arī būvniecības eksports 2020.gada I ceturksnī pieauga par 25%, sasniedzot 79 milj. eiro. Būvniecības produkcijas pieaugumu ietekmēja labvēlīgie laikapstākļi, kas ļāva turpināt iepriekš uzsāktos būvdarbus un ātrāk uzsākt jaunu projektu izpildi.</w:t>
      </w:r>
    </w:p>
    <w:p w14:paraId="30704E29" w14:textId="77777777" w:rsidR="00BE057E" w:rsidRPr="005E08CF" w:rsidRDefault="00BE057E" w:rsidP="00BE057E">
      <w:pPr>
        <w:widowControl w:val="0"/>
        <w:spacing w:before="0" w:after="0" w:line="240" w:lineRule="auto"/>
        <w:ind w:firstLine="720"/>
        <w:jc w:val="both"/>
        <w:rPr>
          <w:rFonts w:ascii="Times New Roman" w:eastAsia="Calibri" w:hAnsi="Times New Roman" w:cs="Times New Roman"/>
          <w:sz w:val="28"/>
          <w:szCs w:val="28"/>
          <w:shd w:val="clear" w:color="auto" w:fill="FFFFFF"/>
        </w:rPr>
      </w:pPr>
      <w:r w:rsidRPr="008E2F64">
        <w:rPr>
          <w:rFonts w:ascii="Times New Roman" w:eastAsia="Calibri" w:hAnsi="Times New Roman" w:cs="Times New Roman"/>
          <w:sz w:val="28"/>
          <w:szCs w:val="28"/>
        </w:rPr>
        <w:t>Ņemot vērā būvniecības nozares nevienmērīgo attīstību un lielo atkarību no Eiropas</w:t>
      </w:r>
      <w:r w:rsidRPr="008E2F64">
        <w:rPr>
          <w:rFonts w:ascii="Calibri" w:eastAsia="Calibri" w:hAnsi="Calibri" w:cs="Times New Roman"/>
          <w:sz w:val="22"/>
          <w:szCs w:val="22"/>
        </w:rPr>
        <w:t xml:space="preserve"> </w:t>
      </w:r>
      <w:r w:rsidRPr="008E2F64">
        <w:rPr>
          <w:rFonts w:ascii="Times New Roman" w:eastAsia="Calibri" w:hAnsi="Times New Roman" w:cs="Times New Roman"/>
          <w:sz w:val="28"/>
          <w:szCs w:val="28"/>
        </w:rPr>
        <w:t>struktūrfondiem, kas ietekmē arī būvniecības publisko iepirkumu izmaksas un tautsaimniecību kopumā,</w:t>
      </w:r>
      <w:r w:rsidRPr="008E2F64">
        <w:rPr>
          <w:rFonts w:ascii="Calibri" w:eastAsia="Calibri" w:hAnsi="Calibri" w:cs="Times New Roman"/>
          <w:sz w:val="22"/>
          <w:szCs w:val="22"/>
        </w:rPr>
        <w:t xml:space="preserve"> </w:t>
      </w:r>
      <w:r w:rsidRPr="005E08CF">
        <w:rPr>
          <w:rFonts w:ascii="Times New Roman" w:eastAsia="Calibri" w:hAnsi="Times New Roman" w:cs="Times New Roman"/>
          <w:sz w:val="28"/>
          <w:szCs w:val="28"/>
          <w:shd w:val="clear" w:color="auto" w:fill="FFFFFF"/>
        </w:rPr>
        <w:t>Ekonomikas ministrijai ir uzdots katru gadu v</w:t>
      </w:r>
      <w:r w:rsidRPr="009B73B0">
        <w:rPr>
          <w:rFonts w:ascii="Times New Roman" w:eastAsia="Calibri" w:hAnsi="Times New Roman" w:cs="Times New Roman"/>
          <w:sz w:val="28"/>
          <w:szCs w:val="28"/>
        </w:rPr>
        <w:t xml:space="preserve">eikt pētījumu par prognozētām izmaiņām darbaspēka un būvmateriālu izmaksās būvniecības nozarē un </w:t>
      </w:r>
      <w:r w:rsidRPr="00BA1C02">
        <w:rPr>
          <w:rFonts w:ascii="Times New Roman" w:eastAsia="Times New Roman" w:hAnsi="Times New Roman" w:cs="Times New Roman"/>
          <w:sz w:val="28"/>
          <w:szCs w:val="28"/>
          <w:lang w:eastAsia="lv-LV"/>
        </w:rPr>
        <w:t xml:space="preserve">informēt </w:t>
      </w:r>
      <w:r w:rsidRPr="005E08CF">
        <w:rPr>
          <w:rFonts w:ascii="Times New Roman" w:eastAsia="Calibri" w:hAnsi="Times New Roman" w:cs="Times New Roman"/>
          <w:sz w:val="28"/>
          <w:szCs w:val="28"/>
          <w:shd w:val="clear" w:color="auto" w:fill="FFFFFF"/>
        </w:rPr>
        <w:t xml:space="preserve">Ministru kabinetu par </w:t>
      </w:r>
      <w:proofErr w:type="spellStart"/>
      <w:r w:rsidRPr="005E08CF">
        <w:rPr>
          <w:rFonts w:ascii="Times New Roman" w:eastAsia="Calibri" w:hAnsi="Times New Roman" w:cs="Times New Roman"/>
          <w:sz w:val="28"/>
          <w:szCs w:val="28"/>
          <w:shd w:val="clear" w:color="auto" w:fill="FFFFFF"/>
        </w:rPr>
        <w:t>izvērtējuma</w:t>
      </w:r>
      <w:proofErr w:type="spellEnd"/>
      <w:r w:rsidRPr="005E08CF">
        <w:rPr>
          <w:rFonts w:ascii="Times New Roman" w:eastAsia="Calibri" w:hAnsi="Times New Roman" w:cs="Times New Roman"/>
          <w:sz w:val="28"/>
          <w:szCs w:val="28"/>
          <w:shd w:val="clear" w:color="auto" w:fill="FFFFFF"/>
        </w:rPr>
        <w:t xml:space="preserve"> rezultātiem un prognozēto ietekmi uz tautsaimniecību. </w:t>
      </w:r>
    </w:p>
    <w:p w14:paraId="308D8862" w14:textId="7A151E3F" w:rsidR="00A3090E" w:rsidRPr="007C3EF7" w:rsidRDefault="00A3090E" w:rsidP="00A3090E">
      <w:pPr>
        <w:widowControl w:val="0"/>
        <w:spacing w:before="0" w:after="0" w:line="240" w:lineRule="auto"/>
        <w:ind w:firstLine="720"/>
        <w:jc w:val="both"/>
        <w:rPr>
          <w:rFonts w:ascii="Times New Roman" w:eastAsia="Calibri" w:hAnsi="Times New Roman" w:cs="Times New Roman"/>
          <w:bCs/>
          <w:sz w:val="28"/>
          <w:szCs w:val="28"/>
          <w:bdr w:val="none" w:sz="0" w:space="0" w:color="auto" w:frame="1"/>
        </w:rPr>
      </w:pPr>
      <w:r w:rsidRPr="00BB6648">
        <w:rPr>
          <w:rFonts w:ascii="Times New Roman" w:eastAsia="Calibri" w:hAnsi="Times New Roman" w:cs="Times New Roman"/>
          <w:bCs/>
          <w:sz w:val="28"/>
          <w:szCs w:val="28"/>
          <w:bdr w:val="none" w:sz="0" w:space="0" w:color="auto" w:frame="1"/>
        </w:rPr>
        <w:t>Tieši būvniecības nozarē ir arī viens no lielākajiem ēnu ekonomikas apjomiem Latvijā, 2015. gadā ēnu ekonomikas apjoms būvniecības nozarē bija 40%, bet 2019. gadā tas bija krities līdz 30,7%, piecu gadu laikā sarūkot par 9,3%. Ēnu ekonomikas apjoms būvniecības nozarē joprojām ir salīdzinoši liels, tomēr tā pozitīvā izmaiņa mazina atšķirību starp kopējo ēnu ekonomikas rādītāju tautsaimniecībā un rādītāju būvniecības nozarē (pētījuma “Ēnu ekonomika Latvijas būvniecības nozarē 2015 – 2019” rezultāti</w:t>
      </w:r>
      <w:r w:rsidRPr="00BB6648">
        <w:rPr>
          <w:rFonts w:ascii="Times New Roman" w:eastAsia="Calibri" w:hAnsi="Times New Roman" w:cs="Times New Roman"/>
          <w:bCs/>
          <w:sz w:val="28"/>
          <w:szCs w:val="28"/>
          <w:bdr w:val="none" w:sz="0" w:space="0" w:color="auto" w:frame="1"/>
          <w:vertAlign w:val="superscript"/>
        </w:rPr>
        <w:footnoteReference w:id="1"/>
      </w:r>
      <w:r w:rsidRPr="00BB6648">
        <w:rPr>
          <w:rFonts w:ascii="Times New Roman" w:eastAsia="Calibri" w:hAnsi="Times New Roman" w:cs="Times New Roman"/>
          <w:bCs/>
          <w:sz w:val="28"/>
          <w:szCs w:val="28"/>
          <w:bdr w:val="none" w:sz="0" w:space="0" w:color="auto" w:frame="1"/>
        </w:rPr>
        <w:t>). Būtiski, ka ievērojami ir samazinājies “aplokšņu” algu īpatsvars būvniecībā – no 36,3 procentpunktiem 2015.gadā, tas noslīdējis līdz 27 procentpunktiem 2019.gadā.</w:t>
      </w:r>
    </w:p>
    <w:p w14:paraId="625C11F2" w14:textId="77777777" w:rsidR="00BE057E" w:rsidRPr="00F76325" w:rsidRDefault="00BE057E" w:rsidP="00A01205">
      <w:pPr>
        <w:widowControl w:val="0"/>
        <w:spacing w:before="0" w:after="0" w:line="240" w:lineRule="auto"/>
        <w:ind w:firstLine="709"/>
        <w:jc w:val="both"/>
        <w:rPr>
          <w:rFonts w:ascii="Times New Roman" w:eastAsia="Calibri" w:hAnsi="Times New Roman" w:cs="Times New Roman"/>
          <w:sz w:val="28"/>
          <w:szCs w:val="28"/>
        </w:rPr>
      </w:pPr>
      <w:r w:rsidRPr="00F76325">
        <w:rPr>
          <w:rFonts w:ascii="Times New Roman" w:eastAsia="Calibri" w:hAnsi="Times New Roman" w:cs="Times New Roman"/>
          <w:sz w:val="28"/>
          <w:szCs w:val="28"/>
        </w:rPr>
        <w:t xml:space="preserve">Ekonomikas ministrija ir veikusi pētījumu </w:t>
      </w:r>
      <w:r w:rsidR="003E12D1" w:rsidRPr="00F76325">
        <w:rPr>
          <w:rFonts w:ascii="Times New Roman" w:eastAsia="Calibri" w:hAnsi="Times New Roman" w:cs="Times New Roman"/>
          <w:sz w:val="28"/>
          <w:szCs w:val="28"/>
        </w:rPr>
        <w:t>“</w:t>
      </w:r>
      <w:r w:rsidRPr="00F76325">
        <w:rPr>
          <w:rFonts w:ascii="Times New Roman" w:eastAsia="Calibri" w:hAnsi="Times New Roman" w:cs="Times New Roman"/>
          <w:sz w:val="28"/>
          <w:szCs w:val="28"/>
        </w:rPr>
        <w:t>Pētījums par prognozētām izmaiņām darbaspēka un būvmateriālu izmaksās būvniecības nozarē Latvijā</w:t>
      </w:r>
      <w:r w:rsidR="003E12D1" w:rsidRPr="00F76325">
        <w:rPr>
          <w:rFonts w:ascii="Times New Roman" w:eastAsia="Calibri" w:hAnsi="Times New Roman" w:cs="Times New Roman"/>
          <w:sz w:val="28"/>
          <w:szCs w:val="28"/>
        </w:rPr>
        <w:t>”</w:t>
      </w:r>
      <w:r w:rsidRPr="00F76325">
        <w:rPr>
          <w:rFonts w:ascii="Times New Roman" w:eastAsia="Calibri" w:hAnsi="Times New Roman" w:cs="Times New Roman"/>
          <w:sz w:val="28"/>
          <w:szCs w:val="28"/>
        </w:rPr>
        <w:t>. Šāds pētījums ir veikts 2018.</w:t>
      </w:r>
      <w:r w:rsidRPr="00F76325">
        <w:rPr>
          <w:rFonts w:ascii="Times New Roman" w:eastAsia="Calibri" w:hAnsi="Times New Roman" w:cs="Times New Roman"/>
          <w:sz w:val="28"/>
          <w:szCs w:val="28"/>
          <w:vertAlign w:val="superscript"/>
        </w:rPr>
        <w:footnoteReference w:id="2"/>
      </w:r>
      <w:r w:rsidRPr="00F76325">
        <w:rPr>
          <w:rFonts w:ascii="Times New Roman" w:eastAsia="Calibri" w:hAnsi="Times New Roman" w:cs="Times New Roman"/>
          <w:sz w:val="28"/>
          <w:szCs w:val="28"/>
        </w:rPr>
        <w:t xml:space="preserve"> un 2019.gadā</w:t>
      </w:r>
      <w:r w:rsidRPr="00F76325">
        <w:rPr>
          <w:rFonts w:ascii="Times New Roman" w:eastAsia="Calibri" w:hAnsi="Times New Roman" w:cs="Times New Roman"/>
          <w:sz w:val="28"/>
          <w:szCs w:val="28"/>
          <w:vertAlign w:val="superscript"/>
        </w:rPr>
        <w:footnoteReference w:id="3"/>
      </w:r>
      <w:r w:rsidRPr="00F76325">
        <w:rPr>
          <w:rFonts w:ascii="Times New Roman" w:eastAsia="Calibri" w:hAnsi="Times New Roman" w:cs="Times New Roman"/>
          <w:sz w:val="28"/>
          <w:szCs w:val="28"/>
        </w:rPr>
        <w:t>.</w:t>
      </w:r>
      <w:r w:rsidRPr="00F76325">
        <w:rPr>
          <w:rFonts w:ascii="Times New Roman" w:eastAsia="Calibri" w:hAnsi="Times New Roman" w:cs="Times New Roman"/>
          <w:bCs/>
          <w:sz w:val="28"/>
          <w:szCs w:val="28"/>
        </w:rPr>
        <w:t xml:space="preserve"> </w:t>
      </w:r>
      <w:r w:rsidRPr="00F76325">
        <w:rPr>
          <w:rFonts w:ascii="Times New Roman" w:eastAsia="Calibri" w:hAnsi="Times New Roman" w:cs="Times New Roman"/>
          <w:sz w:val="28"/>
          <w:szCs w:val="28"/>
        </w:rPr>
        <w:t xml:space="preserve">Pētījuma izstrādes gaitā pētīta un analizēta arī ēnu ekonomikas apkarošanas pasākumu potenciālā ietekme uz būvniecības nozari, darbaspēka un būvmateriālu izmaksu izmaiņām. </w:t>
      </w:r>
    </w:p>
    <w:p w14:paraId="01296B0D" w14:textId="77777777" w:rsidR="00BE057E" w:rsidRPr="006610D8" w:rsidRDefault="00BE057E" w:rsidP="00BE057E">
      <w:pPr>
        <w:widowControl w:val="0"/>
        <w:spacing w:before="0" w:after="0" w:line="240" w:lineRule="auto"/>
        <w:ind w:firstLine="709"/>
        <w:jc w:val="both"/>
        <w:rPr>
          <w:rFonts w:ascii="Times New Roman" w:eastAsia="Calibri" w:hAnsi="Times New Roman" w:cs="Times New Roman"/>
          <w:sz w:val="28"/>
          <w:szCs w:val="28"/>
        </w:rPr>
      </w:pPr>
      <w:r w:rsidRPr="006610D8">
        <w:rPr>
          <w:rFonts w:ascii="Times New Roman" w:eastAsia="Calibri" w:hAnsi="Times New Roman" w:cs="Times New Roman"/>
          <w:sz w:val="28"/>
          <w:szCs w:val="28"/>
        </w:rPr>
        <w:t xml:space="preserve">Kā būtiskākos ēnu ekonomikas apkarošanas faktorus, kas ietekmēs darbaspēka un būvmateriālu izmaksu izmaiņas, eksperti ar būtisku pārsvaru novērtēja EDLUS ieviešanu, t.sk. datu nodošanu VID un minimālā atalgojuma līmeņa noteikšanu būvniecības nozarē, noslēdzot </w:t>
      </w:r>
      <w:proofErr w:type="spellStart"/>
      <w:r w:rsidRPr="006610D8">
        <w:rPr>
          <w:rFonts w:ascii="Times New Roman" w:eastAsia="Calibri" w:hAnsi="Times New Roman" w:cs="Times New Roman"/>
          <w:sz w:val="28"/>
          <w:szCs w:val="28"/>
        </w:rPr>
        <w:t>ģenerālvienošanos</w:t>
      </w:r>
      <w:proofErr w:type="spellEnd"/>
      <w:r w:rsidRPr="006610D8">
        <w:rPr>
          <w:rFonts w:ascii="Times New Roman" w:eastAsia="Calibri" w:hAnsi="Times New Roman" w:cs="Times New Roman"/>
          <w:sz w:val="28"/>
          <w:szCs w:val="28"/>
        </w:rPr>
        <w:t xml:space="preserve">.  </w:t>
      </w:r>
    </w:p>
    <w:p w14:paraId="2CFC880C" w14:textId="77777777" w:rsidR="00BE057E" w:rsidRPr="006610D8" w:rsidRDefault="00BE057E" w:rsidP="00BE057E">
      <w:pPr>
        <w:widowControl w:val="0"/>
        <w:spacing w:before="0" w:after="0" w:line="240" w:lineRule="auto"/>
        <w:ind w:firstLine="709"/>
        <w:jc w:val="both"/>
        <w:rPr>
          <w:rFonts w:ascii="Times New Roman" w:eastAsia="Calibri" w:hAnsi="Times New Roman" w:cs="Times New Roman"/>
          <w:sz w:val="28"/>
          <w:szCs w:val="28"/>
        </w:rPr>
      </w:pPr>
      <w:r w:rsidRPr="006610D8">
        <w:rPr>
          <w:rFonts w:ascii="Times New Roman" w:eastAsia="Calibri" w:hAnsi="Times New Roman" w:cs="Times New Roman"/>
          <w:sz w:val="28"/>
          <w:szCs w:val="28"/>
        </w:rPr>
        <w:t xml:space="preserve">Pēc ekspertu interviju pirmās un otrās kārtas tika apkopoti kopējie vidējie vērtējumi ēnu ekonomikas apkarošanas pasākumu ietekmei uz darbaspēka (skatīt 1.attēlu) izmaksu izmaiņām. </w:t>
      </w:r>
    </w:p>
    <w:p w14:paraId="6EFC0249" w14:textId="77777777" w:rsidR="00BE057E" w:rsidRPr="00F82004" w:rsidRDefault="00BE057E" w:rsidP="00BE057E">
      <w:pPr>
        <w:widowControl w:val="0"/>
        <w:spacing w:before="0" w:after="0" w:line="240" w:lineRule="auto"/>
        <w:rPr>
          <w:rFonts w:ascii="Calibri" w:eastAsia="Calibri" w:hAnsi="Calibri" w:cs="Times New Roman"/>
          <w:szCs w:val="22"/>
        </w:rPr>
      </w:pPr>
      <w:r w:rsidRPr="005E08CF">
        <w:rPr>
          <w:rFonts w:ascii="Times New Roman" w:eastAsia="Calibri" w:hAnsi="Times New Roman" w:cs="Times New Roman"/>
          <w:noProof/>
          <w:sz w:val="22"/>
          <w:szCs w:val="22"/>
          <w:lang w:eastAsia="lv-LV"/>
        </w:rPr>
        <w:lastRenderedPageBreak/>
        <w:drawing>
          <wp:inline distT="0" distB="0" distL="0" distR="0" wp14:anchorId="53DA4BC7" wp14:editId="7899E8A8">
            <wp:extent cx="5647334" cy="29382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8515" cy="2944026"/>
                    </a:xfrm>
                    <a:prstGeom prst="rect">
                      <a:avLst/>
                    </a:prstGeom>
                    <a:noFill/>
                    <a:ln>
                      <a:noFill/>
                    </a:ln>
                  </pic:spPr>
                </pic:pic>
              </a:graphicData>
            </a:graphic>
          </wp:inline>
        </w:drawing>
      </w:r>
    </w:p>
    <w:p w14:paraId="54F08C43" w14:textId="77777777" w:rsidR="00BE057E" w:rsidRPr="00F82004" w:rsidRDefault="00BE057E" w:rsidP="00BE057E">
      <w:pPr>
        <w:widowControl w:val="0"/>
        <w:spacing w:before="0" w:after="0" w:line="240" w:lineRule="auto"/>
        <w:jc w:val="center"/>
        <w:rPr>
          <w:rFonts w:ascii="Calibri" w:eastAsia="Calibri" w:hAnsi="Calibri" w:cs="Times New Roman"/>
          <w:szCs w:val="18"/>
        </w:rPr>
      </w:pPr>
      <w:r w:rsidRPr="00F82004">
        <w:rPr>
          <w:rFonts w:ascii="Calibri" w:eastAsia="Calibri" w:hAnsi="Calibri" w:cs="Times New Roman"/>
          <w:szCs w:val="18"/>
        </w:rPr>
        <w:t>Avots: Ekspertu intervijas</w:t>
      </w:r>
    </w:p>
    <w:p w14:paraId="2B41D190" w14:textId="77777777" w:rsidR="00BE057E" w:rsidRPr="00F82004" w:rsidRDefault="00BE057E" w:rsidP="00BE057E">
      <w:pPr>
        <w:widowControl w:val="0"/>
        <w:spacing w:before="0" w:after="0" w:line="240" w:lineRule="auto"/>
        <w:jc w:val="both"/>
        <w:rPr>
          <w:rFonts w:ascii="Times New Roman" w:eastAsia="Calibri" w:hAnsi="Times New Roman" w:cs="Times New Roman"/>
          <w:sz w:val="28"/>
          <w:szCs w:val="28"/>
        </w:rPr>
      </w:pPr>
      <w:bookmarkStart w:id="6" w:name="_Hlk13490149"/>
      <w:r w:rsidRPr="00F82004">
        <w:rPr>
          <w:rFonts w:ascii="Times New Roman" w:eastAsia="Calibri" w:hAnsi="Times New Roman" w:cs="Times New Roman"/>
          <w:sz w:val="28"/>
          <w:szCs w:val="28"/>
        </w:rPr>
        <w:t xml:space="preserve">1.attēls. </w:t>
      </w:r>
      <w:r w:rsidRPr="00177D8E">
        <w:rPr>
          <w:rFonts w:ascii="Times New Roman" w:eastAsia="Calibri" w:hAnsi="Times New Roman" w:cs="Times New Roman"/>
          <w:b/>
          <w:sz w:val="28"/>
          <w:szCs w:val="28"/>
        </w:rPr>
        <w:t xml:space="preserve">Ēnu ekonomikas apkarošanas pasākumu ietekmes uz darbaspēka izmaksu izmaiņām būtiskums (no </w:t>
      </w:r>
      <w:r w:rsidR="00BA1C02">
        <w:rPr>
          <w:rFonts w:ascii="Times New Roman" w:eastAsia="Calibri" w:hAnsi="Times New Roman" w:cs="Times New Roman"/>
          <w:b/>
          <w:sz w:val="28"/>
          <w:szCs w:val="28"/>
        </w:rPr>
        <w:t>–</w:t>
      </w:r>
      <w:r w:rsidRPr="00177D8E">
        <w:rPr>
          <w:rFonts w:ascii="Times New Roman" w:eastAsia="Calibri" w:hAnsi="Times New Roman" w:cs="Times New Roman"/>
          <w:b/>
          <w:sz w:val="28"/>
          <w:szCs w:val="28"/>
        </w:rPr>
        <w:t xml:space="preserve">10 līdz +10 </w:t>
      </w:r>
      <w:proofErr w:type="spellStart"/>
      <w:r w:rsidRPr="00177D8E">
        <w:rPr>
          <w:rFonts w:ascii="Times New Roman" w:eastAsia="Calibri" w:hAnsi="Times New Roman" w:cs="Times New Roman"/>
          <w:b/>
          <w:sz w:val="28"/>
          <w:szCs w:val="28"/>
        </w:rPr>
        <w:t>ballu</w:t>
      </w:r>
      <w:proofErr w:type="spellEnd"/>
      <w:r w:rsidRPr="00177D8E">
        <w:rPr>
          <w:rFonts w:ascii="Times New Roman" w:eastAsia="Calibri" w:hAnsi="Times New Roman" w:cs="Times New Roman"/>
          <w:b/>
          <w:sz w:val="28"/>
          <w:szCs w:val="28"/>
        </w:rPr>
        <w:t xml:space="preserve"> skalā) un ekspertu vērtējumu variācija (standartnovirze)</w:t>
      </w:r>
    </w:p>
    <w:p w14:paraId="17115862" w14:textId="77777777" w:rsidR="00BE057E" w:rsidRPr="00F82004" w:rsidRDefault="00BE057E" w:rsidP="005E08CF">
      <w:pPr>
        <w:widowControl w:val="0"/>
        <w:spacing w:before="0" w:after="0" w:line="240" w:lineRule="auto"/>
        <w:ind w:firstLine="720"/>
        <w:jc w:val="both"/>
        <w:rPr>
          <w:rFonts w:ascii="Times New Roman" w:eastAsia="Calibri" w:hAnsi="Times New Roman" w:cs="Times New Roman"/>
          <w:sz w:val="28"/>
          <w:szCs w:val="28"/>
        </w:rPr>
      </w:pPr>
    </w:p>
    <w:p w14:paraId="0F785DA1" w14:textId="77777777" w:rsidR="00BE057E" w:rsidRPr="00F82004" w:rsidRDefault="00BE057E" w:rsidP="005E08CF">
      <w:pPr>
        <w:widowControl w:val="0"/>
        <w:spacing w:before="0" w:after="0" w:line="240" w:lineRule="auto"/>
        <w:ind w:firstLine="720"/>
        <w:jc w:val="both"/>
        <w:rPr>
          <w:rFonts w:ascii="Times New Roman" w:eastAsia="Calibri" w:hAnsi="Times New Roman" w:cs="Times New Roman"/>
          <w:sz w:val="28"/>
          <w:szCs w:val="28"/>
        </w:rPr>
      </w:pPr>
      <w:r w:rsidRPr="00F82004">
        <w:rPr>
          <w:rFonts w:ascii="Times New Roman" w:eastAsia="Calibri" w:hAnsi="Times New Roman" w:cs="Times New Roman"/>
          <w:sz w:val="28"/>
          <w:szCs w:val="28"/>
        </w:rPr>
        <w:t>Darbaspēka izmaksu izmaiņas visvairāk ietekmē divi ēnu ekonomikas apkarošanas pasākumi:</w:t>
      </w:r>
    </w:p>
    <w:p w14:paraId="17AC9B8B" w14:textId="77777777" w:rsidR="00BE057E" w:rsidRPr="00F82004" w:rsidRDefault="00BE057E" w:rsidP="00F02640">
      <w:pPr>
        <w:widowControl w:val="0"/>
        <w:numPr>
          <w:ilvl w:val="0"/>
          <w:numId w:val="1"/>
        </w:numPr>
        <w:tabs>
          <w:tab w:val="left" w:pos="1134"/>
        </w:tabs>
        <w:spacing w:before="0" w:after="0" w:line="240" w:lineRule="auto"/>
        <w:ind w:left="0" w:firstLine="720"/>
        <w:contextualSpacing/>
        <w:jc w:val="both"/>
        <w:rPr>
          <w:rFonts w:ascii="Times New Roman" w:eastAsia="Times New Roman" w:hAnsi="Times New Roman" w:cs="Times New Roman"/>
          <w:sz w:val="28"/>
          <w:szCs w:val="28"/>
        </w:rPr>
      </w:pPr>
      <w:r w:rsidRPr="00F82004">
        <w:rPr>
          <w:rFonts w:ascii="Times New Roman" w:eastAsia="Times New Roman" w:hAnsi="Times New Roman" w:cs="Times New Roman"/>
          <w:sz w:val="28"/>
          <w:szCs w:val="28"/>
        </w:rPr>
        <w:t>EDLUS ieviešana, t.sk. datu nodošana VID, tiek vērtēta ar 5,68</w:t>
      </w:r>
      <w:r w:rsidR="00BA1C02">
        <w:rPr>
          <w:rFonts w:ascii="Times New Roman" w:eastAsia="Times New Roman" w:hAnsi="Times New Roman" w:cs="Times New Roman"/>
          <w:sz w:val="28"/>
          <w:szCs w:val="28"/>
        </w:rPr>
        <w:t> </w:t>
      </w:r>
      <w:r w:rsidRPr="00F82004">
        <w:rPr>
          <w:rFonts w:ascii="Times New Roman" w:eastAsia="Times New Roman" w:hAnsi="Times New Roman" w:cs="Times New Roman"/>
          <w:sz w:val="28"/>
          <w:szCs w:val="28"/>
        </w:rPr>
        <w:t xml:space="preserve">ballēm, kas ir vairāk </w:t>
      </w:r>
      <w:r w:rsidR="00BA1C02">
        <w:rPr>
          <w:rFonts w:ascii="Times New Roman" w:eastAsia="Times New Roman" w:hAnsi="Times New Roman" w:cs="Times New Roman"/>
          <w:sz w:val="28"/>
          <w:szCs w:val="28"/>
        </w:rPr>
        <w:t>ne</w:t>
      </w:r>
      <w:r w:rsidRPr="00F82004">
        <w:rPr>
          <w:rFonts w:ascii="Times New Roman" w:eastAsia="Times New Roman" w:hAnsi="Times New Roman" w:cs="Times New Roman"/>
          <w:sz w:val="28"/>
          <w:szCs w:val="28"/>
        </w:rPr>
        <w:t>kā 2018.gada pētījumā (5,50</w:t>
      </w:r>
      <w:r w:rsidR="00BA1C02">
        <w:rPr>
          <w:rFonts w:ascii="Times New Roman" w:eastAsia="Times New Roman" w:hAnsi="Times New Roman" w:cs="Times New Roman"/>
          <w:sz w:val="28"/>
          <w:szCs w:val="28"/>
        </w:rPr>
        <w:t> </w:t>
      </w:r>
      <w:r w:rsidRPr="00F82004">
        <w:rPr>
          <w:rFonts w:ascii="Times New Roman" w:eastAsia="Times New Roman" w:hAnsi="Times New Roman" w:cs="Times New Roman"/>
          <w:sz w:val="28"/>
          <w:szCs w:val="28"/>
        </w:rPr>
        <w:t>balles);</w:t>
      </w:r>
    </w:p>
    <w:p w14:paraId="53D7E3DC" w14:textId="77777777" w:rsidR="00BE057E" w:rsidRPr="00F82004" w:rsidRDefault="00A01205" w:rsidP="00F02640">
      <w:pPr>
        <w:widowControl w:val="0"/>
        <w:numPr>
          <w:ilvl w:val="0"/>
          <w:numId w:val="1"/>
        </w:numPr>
        <w:tabs>
          <w:tab w:val="left" w:pos="1134"/>
        </w:tabs>
        <w:spacing w:before="0"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w:t>
      </w:r>
      <w:r w:rsidR="00BE057E" w:rsidRPr="00F82004">
        <w:rPr>
          <w:rFonts w:ascii="Times New Roman" w:eastAsia="Times New Roman" w:hAnsi="Times New Roman" w:cs="Times New Roman"/>
          <w:sz w:val="28"/>
          <w:szCs w:val="28"/>
        </w:rPr>
        <w:t xml:space="preserve">inimālā atalgojuma līmeņa noteikšana būvniecības nozarē, noslēdzot </w:t>
      </w:r>
      <w:proofErr w:type="spellStart"/>
      <w:r w:rsidR="00BE057E" w:rsidRPr="00F82004">
        <w:rPr>
          <w:rFonts w:ascii="Times New Roman" w:eastAsia="Times New Roman" w:hAnsi="Times New Roman" w:cs="Times New Roman"/>
          <w:sz w:val="28"/>
          <w:szCs w:val="28"/>
        </w:rPr>
        <w:t>ģenerālvienošanos</w:t>
      </w:r>
      <w:proofErr w:type="spellEnd"/>
      <w:r w:rsidR="00BE057E" w:rsidRPr="00F82004">
        <w:rPr>
          <w:rFonts w:ascii="Times New Roman" w:eastAsia="Times New Roman" w:hAnsi="Times New Roman" w:cs="Times New Roman"/>
          <w:sz w:val="28"/>
          <w:szCs w:val="28"/>
        </w:rPr>
        <w:t>, tiek vērtēta ar 5,56</w:t>
      </w:r>
      <w:r w:rsidR="00BA1C02">
        <w:rPr>
          <w:rFonts w:ascii="Times New Roman" w:eastAsia="Times New Roman" w:hAnsi="Times New Roman" w:cs="Times New Roman"/>
          <w:sz w:val="28"/>
          <w:szCs w:val="28"/>
        </w:rPr>
        <w:t> </w:t>
      </w:r>
      <w:r w:rsidR="00BE057E" w:rsidRPr="00F82004">
        <w:rPr>
          <w:rFonts w:ascii="Times New Roman" w:eastAsia="Times New Roman" w:hAnsi="Times New Roman" w:cs="Times New Roman"/>
          <w:sz w:val="28"/>
          <w:szCs w:val="28"/>
        </w:rPr>
        <w:t>ballēm (2018.gadā 5,22</w:t>
      </w:r>
      <w:r w:rsidR="00BA1C02">
        <w:rPr>
          <w:rFonts w:ascii="Times New Roman" w:eastAsia="Times New Roman" w:hAnsi="Times New Roman" w:cs="Times New Roman"/>
          <w:sz w:val="28"/>
          <w:szCs w:val="28"/>
        </w:rPr>
        <w:t> </w:t>
      </w:r>
      <w:r w:rsidR="00BE057E" w:rsidRPr="00F82004">
        <w:rPr>
          <w:rFonts w:ascii="Times New Roman" w:eastAsia="Times New Roman" w:hAnsi="Times New Roman" w:cs="Times New Roman"/>
          <w:sz w:val="28"/>
          <w:szCs w:val="28"/>
        </w:rPr>
        <w:t>balles).</w:t>
      </w:r>
    </w:p>
    <w:bookmarkEnd w:id="6"/>
    <w:p w14:paraId="1C4D49E3" w14:textId="77777777" w:rsidR="00BE057E" w:rsidRPr="00F82004" w:rsidRDefault="00BE057E" w:rsidP="005E08CF">
      <w:pPr>
        <w:widowControl w:val="0"/>
        <w:spacing w:before="0" w:after="0" w:line="240" w:lineRule="auto"/>
        <w:ind w:firstLine="720"/>
        <w:jc w:val="both"/>
        <w:rPr>
          <w:rFonts w:ascii="Times New Roman" w:eastAsia="Calibri" w:hAnsi="Times New Roman" w:cs="Times New Roman"/>
          <w:sz w:val="28"/>
          <w:szCs w:val="28"/>
        </w:rPr>
      </w:pPr>
      <w:r w:rsidRPr="00F82004">
        <w:rPr>
          <w:rFonts w:ascii="Times New Roman" w:eastAsia="Calibri" w:hAnsi="Times New Roman" w:cs="Times New Roman"/>
          <w:sz w:val="28"/>
          <w:szCs w:val="28"/>
        </w:rPr>
        <w:t xml:space="preserve">Pētnieki norāda, ka darbaspēka izmaksu izmaiņu pieauguma apmērs un dinamika </w:t>
      </w:r>
      <w:r w:rsidR="00BA1C02">
        <w:rPr>
          <w:rFonts w:ascii="Times New Roman" w:eastAsia="Calibri" w:hAnsi="Times New Roman" w:cs="Times New Roman"/>
          <w:sz w:val="28"/>
          <w:szCs w:val="28"/>
        </w:rPr>
        <w:t xml:space="preserve">ir </w:t>
      </w:r>
      <w:r w:rsidRPr="00F82004">
        <w:rPr>
          <w:rFonts w:ascii="Times New Roman" w:eastAsia="Calibri" w:hAnsi="Times New Roman" w:cs="Times New Roman"/>
          <w:sz w:val="28"/>
          <w:szCs w:val="28"/>
        </w:rPr>
        <w:t>atkarīg</w:t>
      </w:r>
      <w:r w:rsidR="0041724B">
        <w:rPr>
          <w:rFonts w:ascii="Times New Roman" w:eastAsia="Calibri" w:hAnsi="Times New Roman" w:cs="Times New Roman"/>
          <w:sz w:val="28"/>
          <w:szCs w:val="28"/>
        </w:rPr>
        <w:t>i</w:t>
      </w:r>
      <w:r w:rsidRPr="00F82004">
        <w:rPr>
          <w:rFonts w:ascii="Times New Roman" w:eastAsia="Calibri" w:hAnsi="Times New Roman" w:cs="Times New Roman"/>
          <w:sz w:val="28"/>
          <w:szCs w:val="28"/>
        </w:rPr>
        <w:t xml:space="preserve"> arī no ēnu ekonomikas apkarošanas pasākumu ieviešanas efektivitātes.</w:t>
      </w:r>
    </w:p>
    <w:bookmarkEnd w:id="3"/>
    <w:bookmarkEnd w:id="4"/>
    <w:p w14:paraId="5C185092" w14:textId="77777777" w:rsidR="006E266D" w:rsidRPr="00F82004" w:rsidRDefault="006E266D" w:rsidP="005E08CF">
      <w:pPr>
        <w:pStyle w:val="NoSpacing"/>
        <w:spacing w:before="0"/>
        <w:ind w:firstLine="720"/>
        <w:jc w:val="both"/>
        <w:rPr>
          <w:rFonts w:ascii="Times New Roman" w:hAnsi="Times New Roman" w:cs="Times New Roman"/>
          <w:b/>
          <w:sz w:val="28"/>
          <w:szCs w:val="28"/>
        </w:rPr>
      </w:pPr>
    </w:p>
    <w:p w14:paraId="2BD7D957" w14:textId="2DA9834E" w:rsidR="00BE057E" w:rsidRPr="00F82004" w:rsidRDefault="00BE057E" w:rsidP="00570BD0">
      <w:pPr>
        <w:pStyle w:val="NoSpacing"/>
        <w:numPr>
          <w:ilvl w:val="0"/>
          <w:numId w:val="11"/>
        </w:numPr>
        <w:spacing w:before="0"/>
        <w:jc w:val="center"/>
        <w:rPr>
          <w:rFonts w:ascii="Times New Roman" w:eastAsia="Times New Roman" w:hAnsi="Times New Roman" w:cs="Times New Roman"/>
          <w:b/>
          <w:sz w:val="28"/>
          <w:szCs w:val="28"/>
          <w:lang w:eastAsia="lv-LV"/>
        </w:rPr>
      </w:pPr>
      <w:bookmarkStart w:id="7" w:name="_Hlk34910428"/>
      <w:r w:rsidRPr="00F82004">
        <w:rPr>
          <w:rFonts w:ascii="Times New Roman" w:eastAsia="Times New Roman" w:hAnsi="Times New Roman" w:cs="Times New Roman"/>
          <w:b/>
          <w:sz w:val="28"/>
          <w:szCs w:val="28"/>
          <w:lang w:eastAsia="lv-LV"/>
        </w:rPr>
        <w:t xml:space="preserve">Elektroniskās informācijas uzskaite </w:t>
      </w:r>
      <w:bookmarkEnd w:id="7"/>
      <w:r w:rsidRPr="00F82004">
        <w:rPr>
          <w:rFonts w:ascii="Times New Roman" w:eastAsia="Times New Roman" w:hAnsi="Times New Roman" w:cs="Times New Roman"/>
          <w:b/>
          <w:sz w:val="28"/>
          <w:szCs w:val="28"/>
          <w:lang w:eastAsia="lv-LV"/>
        </w:rPr>
        <w:t>būvlaukumā</w:t>
      </w:r>
    </w:p>
    <w:p w14:paraId="12B9B274" w14:textId="77777777" w:rsidR="00BE057E" w:rsidRPr="00F82004" w:rsidRDefault="00BE057E" w:rsidP="00BE057E">
      <w:pPr>
        <w:pStyle w:val="NoSpacing"/>
        <w:spacing w:before="0"/>
        <w:ind w:left="720"/>
        <w:jc w:val="center"/>
        <w:rPr>
          <w:rFonts w:ascii="Times New Roman" w:eastAsia="Times New Roman" w:hAnsi="Times New Roman" w:cs="Times New Roman"/>
          <w:b/>
          <w:sz w:val="28"/>
          <w:szCs w:val="28"/>
          <w:lang w:eastAsia="lv-LV"/>
        </w:rPr>
      </w:pPr>
      <w:r w:rsidRPr="00F82004">
        <w:rPr>
          <w:rFonts w:ascii="Times New Roman" w:eastAsia="Times New Roman" w:hAnsi="Times New Roman" w:cs="Times New Roman"/>
          <w:b/>
          <w:sz w:val="28"/>
          <w:szCs w:val="28"/>
          <w:lang w:eastAsia="lv-LV"/>
        </w:rPr>
        <w:t>un normatīvo aktu regulējums</w:t>
      </w:r>
    </w:p>
    <w:p w14:paraId="78FFC96E" w14:textId="77777777" w:rsidR="00BE057E" w:rsidRPr="00F82004" w:rsidRDefault="00BE057E" w:rsidP="00BA1C02">
      <w:pPr>
        <w:pStyle w:val="NoSpacing"/>
        <w:spacing w:before="0"/>
        <w:ind w:firstLine="720"/>
        <w:jc w:val="both"/>
        <w:rPr>
          <w:rFonts w:ascii="Times New Roman" w:eastAsia="Times New Roman" w:hAnsi="Times New Roman" w:cs="Times New Roman"/>
          <w:color w:val="000000"/>
          <w:sz w:val="28"/>
          <w:szCs w:val="28"/>
          <w:lang w:eastAsia="lv-LV"/>
        </w:rPr>
      </w:pPr>
    </w:p>
    <w:p w14:paraId="07DF7122" w14:textId="4824EA40" w:rsidR="00BE057E" w:rsidRPr="00F82004" w:rsidRDefault="00BE057E" w:rsidP="00BA1C02">
      <w:pPr>
        <w:pStyle w:val="NoSpacing"/>
        <w:spacing w:before="0"/>
        <w:ind w:firstLine="720"/>
        <w:jc w:val="both"/>
        <w:rPr>
          <w:rFonts w:ascii="Times New Roman" w:hAnsi="Times New Roman" w:cs="Times New Roman"/>
          <w:strike/>
          <w:sz w:val="28"/>
          <w:szCs w:val="28"/>
        </w:rPr>
      </w:pPr>
      <w:r w:rsidRPr="00F82004">
        <w:rPr>
          <w:rFonts w:ascii="Times New Roman" w:hAnsi="Times New Roman" w:cs="Times New Roman"/>
          <w:sz w:val="28"/>
          <w:szCs w:val="28"/>
        </w:rPr>
        <w:t xml:space="preserve">Galvenie pasākumi ēnu ekonomikas </w:t>
      </w:r>
      <w:r w:rsidR="00146658">
        <w:rPr>
          <w:rFonts w:ascii="Times New Roman" w:hAnsi="Times New Roman" w:cs="Times New Roman"/>
          <w:sz w:val="28"/>
          <w:szCs w:val="28"/>
        </w:rPr>
        <w:t>ierobežošanai</w:t>
      </w:r>
      <w:r w:rsidR="00146658" w:rsidRPr="00F82004">
        <w:rPr>
          <w:rFonts w:ascii="Times New Roman" w:hAnsi="Times New Roman" w:cs="Times New Roman"/>
          <w:sz w:val="28"/>
          <w:szCs w:val="28"/>
        </w:rPr>
        <w:t xml:space="preserve"> </w:t>
      </w:r>
      <w:r w:rsidRPr="00F82004">
        <w:rPr>
          <w:rFonts w:ascii="Times New Roman" w:hAnsi="Times New Roman" w:cs="Times New Roman"/>
          <w:sz w:val="28"/>
          <w:szCs w:val="28"/>
        </w:rPr>
        <w:t xml:space="preserve">būvniecībā vērsti uz darbaspēka nostrādāto stundu uzskaiti, </w:t>
      </w:r>
      <w:r w:rsidRPr="00F82004">
        <w:rPr>
          <w:rFonts w:ascii="Times New Roman" w:eastAsia="Times New Roman" w:hAnsi="Times New Roman" w:cs="Times New Roman"/>
          <w:color w:val="000000"/>
          <w:sz w:val="28"/>
          <w:szCs w:val="28"/>
          <w:lang w:eastAsia="lv-LV"/>
        </w:rPr>
        <w:t>nodokļu nomaksas veicināšanu</w:t>
      </w:r>
      <w:r w:rsidRPr="00F82004">
        <w:rPr>
          <w:rFonts w:ascii="Times New Roman" w:hAnsi="Times New Roman" w:cs="Times New Roman"/>
          <w:sz w:val="28"/>
          <w:szCs w:val="28"/>
        </w:rPr>
        <w:t xml:space="preserve"> un </w:t>
      </w:r>
      <w:r w:rsidRPr="00F82004">
        <w:rPr>
          <w:rFonts w:ascii="Times New Roman" w:eastAsia="Times New Roman" w:hAnsi="Times New Roman" w:cs="Times New Roman"/>
          <w:color w:val="000000"/>
          <w:sz w:val="28"/>
          <w:szCs w:val="28"/>
          <w:lang w:eastAsia="lv-LV"/>
        </w:rPr>
        <w:t xml:space="preserve">saimnieciskās darbības izsekojamības nodrošināšanu. </w:t>
      </w:r>
    </w:p>
    <w:p w14:paraId="2203D5AF" w14:textId="47B1A168" w:rsidR="00BE057E" w:rsidRPr="00F82004" w:rsidRDefault="00BE057E" w:rsidP="00BA1C02">
      <w:pPr>
        <w:pStyle w:val="NoSpacing"/>
        <w:spacing w:before="0"/>
        <w:ind w:firstLine="720"/>
        <w:jc w:val="both"/>
        <w:rPr>
          <w:rFonts w:ascii="Times New Roman" w:hAnsi="Times New Roman" w:cs="Times New Roman"/>
          <w:strike/>
          <w:sz w:val="28"/>
          <w:szCs w:val="28"/>
        </w:rPr>
      </w:pPr>
      <w:r w:rsidRPr="00F82004">
        <w:rPr>
          <w:rFonts w:ascii="Times New Roman" w:hAnsi="Times New Roman" w:cs="Times New Roman"/>
          <w:sz w:val="28"/>
          <w:szCs w:val="28"/>
        </w:rPr>
        <w:t xml:space="preserve">Lai sasniegtu šos mērķus, likumā </w:t>
      </w:r>
      <w:r w:rsidR="003E12D1">
        <w:rPr>
          <w:rFonts w:ascii="Times New Roman" w:hAnsi="Times New Roman" w:cs="Times New Roman"/>
          <w:sz w:val="28"/>
          <w:szCs w:val="28"/>
        </w:rPr>
        <w:t>“</w:t>
      </w:r>
      <w:r w:rsidRPr="00F82004">
        <w:rPr>
          <w:rFonts w:ascii="Times New Roman" w:hAnsi="Times New Roman" w:cs="Times New Roman"/>
          <w:sz w:val="28"/>
          <w:szCs w:val="28"/>
        </w:rPr>
        <w:t>Par nodokļiem un nodevām</w:t>
      </w:r>
      <w:r w:rsidR="003E12D1">
        <w:rPr>
          <w:rFonts w:ascii="Times New Roman" w:hAnsi="Times New Roman" w:cs="Times New Roman"/>
          <w:sz w:val="28"/>
          <w:szCs w:val="28"/>
        </w:rPr>
        <w:t>”</w:t>
      </w:r>
      <w:r w:rsidRPr="00F82004">
        <w:rPr>
          <w:rFonts w:ascii="Times New Roman" w:hAnsi="Times New Roman" w:cs="Times New Roman"/>
          <w:sz w:val="28"/>
          <w:szCs w:val="28"/>
        </w:rPr>
        <w:t xml:space="preserve"> 2017.gada 22.jūnijā </w:t>
      </w:r>
      <w:r w:rsidR="00C37839">
        <w:rPr>
          <w:rFonts w:ascii="Times New Roman" w:hAnsi="Times New Roman" w:cs="Times New Roman"/>
          <w:sz w:val="28"/>
          <w:szCs w:val="28"/>
        </w:rPr>
        <w:t xml:space="preserve">tika </w:t>
      </w:r>
      <w:r w:rsidR="00A01205">
        <w:rPr>
          <w:rFonts w:ascii="Times New Roman" w:hAnsi="Times New Roman" w:cs="Times New Roman"/>
          <w:sz w:val="28"/>
          <w:szCs w:val="28"/>
        </w:rPr>
        <w:t>ietv</w:t>
      </w:r>
      <w:r w:rsidR="00C37839">
        <w:rPr>
          <w:rFonts w:ascii="Times New Roman" w:hAnsi="Times New Roman" w:cs="Times New Roman"/>
          <w:sz w:val="28"/>
          <w:szCs w:val="28"/>
        </w:rPr>
        <w:t>e</w:t>
      </w:r>
      <w:r w:rsidR="00A01205">
        <w:rPr>
          <w:rFonts w:ascii="Times New Roman" w:hAnsi="Times New Roman" w:cs="Times New Roman"/>
          <w:sz w:val="28"/>
          <w:szCs w:val="28"/>
        </w:rPr>
        <w:t>r</w:t>
      </w:r>
      <w:r w:rsidR="00C37839">
        <w:rPr>
          <w:rFonts w:ascii="Times New Roman" w:hAnsi="Times New Roman" w:cs="Times New Roman"/>
          <w:sz w:val="28"/>
          <w:szCs w:val="28"/>
        </w:rPr>
        <w:t>ts</w:t>
      </w:r>
      <w:r w:rsidRPr="00F82004">
        <w:rPr>
          <w:rFonts w:ascii="Times New Roman" w:hAnsi="Times New Roman" w:cs="Times New Roman"/>
          <w:sz w:val="28"/>
          <w:szCs w:val="28"/>
        </w:rPr>
        <w:t xml:space="preserve"> </w:t>
      </w:r>
      <w:bookmarkStart w:id="8" w:name="_Hlk34311337"/>
      <w:r w:rsidRPr="00F82004">
        <w:rPr>
          <w:rFonts w:ascii="Times New Roman" w:hAnsi="Times New Roman" w:cs="Times New Roman"/>
          <w:sz w:val="28"/>
          <w:szCs w:val="28"/>
        </w:rPr>
        <w:t>regulējum</w:t>
      </w:r>
      <w:r w:rsidR="00C37839">
        <w:rPr>
          <w:rFonts w:ascii="Times New Roman" w:hAnsi="Times New Roman" w:cs="Times New Roman"/>
          <w:sz w:val="28"/>
          <w:szCs w:val="28"/>
        </w:rPr>
        <w:t>s</w:t>
      </w:r>
      <w:r w:rsidRPr="00F82004">
        <w:rPr>
          <w:rFonts w:ascii="Times New Roman" w:hAnsi="Times New Roman" w:cs="Times New Roman"/>
          <w:sz w:val="28"/>
          <w:szCs w:val="28"/>
        </w:rPr>
        <w:t xml:space="preserve"> </w:t>
      </w:r>
      <w:bookmarkEnd w:id="8"/>
      <w:r w:rsidRPr="00BA1C02">
        <w:rPr>
          <w:rFonts w:ascii="Times New Roman" w:hAnsi="Times New Roman" w:cs="Times New Roman"/>
          <w:sz w:val="28"/>
          <w:szCs w:val="28"/>
        </w:rPr>
        <w:t xml:space="preserve">par </w:t>
      </w:r>
      <w:r w:rsidRPr="005E08CF">
        <w:rPr>
          <w:rFonts w:ascii="Times New Roman" w:hAnsi="Times New Roman" w:cs="Times New Roman"/>
          <w:bCs/>
          <w:sz w:val="28"/>
          <w:szCs w:val="28"/>
        </w:rPr>
        <w:t>elektroniskās informācijas uzskaiti būvlaukumā un tās izmantošanu</w:t>
      </w:r>
      <w:r w:rsidRPr="00BA1C02">
        <w:rPr>
          <w:rFonts w:ascii="Times New Roman" w:hAnsi="Times New Roman" w:cs="Times New Roman"/>
          <w:sz w:val="28"/>
          <w:szCs w:val="28"/>
        </w:rPr>
        <w:t>, ar 2017.gada 1.ok</w:t>
      </w:r>
      <w:r w:rsidRPr="00F82004">
        <w:rPr>
          <w:rFonts w:ascii="Times New Roman" w:hAnsi="Times New Roman" w:cs="Times New Roman"/>
          <w:sz w:val="28"/>
          <w:szCs w:val="28"/>
        </w:rPr>
        <w:t xml:space="preserve">tobri ieviešot EDLU visos jaunas trešās grupas būves būvlaukumos un būvlaukumos, kuros būvdarbu izmaksas ir virs viena miljona </w:t>
      </w:r>
      <w:proofErr w:type="spellStart"/>
      <w:r w:rsidR="00F30009">
        <w:rPr>
          <w:rFonts w:ascii="Times New Roman" w:hAnsi="Times New Roman" w:cs="Times New Roman"/>
          <w:i/>
          <w:sz w:val="28"/>
          <w:szCs w:val="28"/>
        </w:rPr>
        <w:t>euro</w:t>
      </w:r>
      <w:proofErr w:type="spellEnd"/>
      <w:r w:rsidRPr="00F82004">
        <w:rPr>
          <w:rFonts w:ascii="Times New Roman" w:hAnsi="Times New Roman" w:cs="Times New Roman"/>
          <w:sz w:val="28"/>
          <w:szCs w:val="28"/>
        </w:rPr>
        <w:t xml:space="preserve">. </w:t>
      </w:r>
    </w:p>
    <w:p w14:paraId="0829541F" w14:textId="77777777" w:rsidR="00BE057E" w:rsidRPr="00F82004" w:rsidRDefault="00BE057E" w:rsidP="009C6B1E">
      <w:pPr>
        <w:pStyle w:val="tv213"/>
        <w:spacing w:before="0" w:beforeAutospacing="0" w:after="0" w:afterAutospacing="0"/>
        <w:ind w:firstLine="720"/>
        <w:jc w:val="both"/>
        <w:rPr>
          <w:rFonts w:eastAsiaTheme="minorHAnsi"/>
          <w:sz w:val="28"/>
          <w:szCs w:val="28"/>
          <w:lang w:eastAsia="en-US"/>
        </w:rPr>
      </w:pPr>
      <w:r w:rsidRPr="00F82004">
        <w:rPr>
          <w:rFonts w:eastAsiaTheme="minorHAnsi"/>
          <w:sz w:val="28"/>
          <w:szCs w:val="28"/>
          <w:lang w:eastAsia="en-US"/>
        </w:rPr>
        <w:t xml:space="preserve">Normatīvais regulējums par </w:t>
      </w:r>
      <w:r w:rsidRPr="00F82004">
        <w:rPr>
          <w:bCs/>
          <w:sz w:val="28"/>
          <w:szCs w:val="28"/>
        </w:rPr>
        <w:t>elektroniskās informācijas uzskaiti būvlaukumā un tās izmantošanu</w:t>
      </w:r>
      <w:r w:rsidRPr="00F82004" w:rsidDel="00FD0077">
        <w:rPr>
          <w:rFonts w:eastAsiaTheme="minorHAnsi"/>
          <w:sz w:val="28"/>
          <w:szCs w:val="28"/>
          <w:lang w:eastAsia="en-US"/>
        </w:rPr>
        <w:t xml:space="preserve"> </w:t>
      </w:r>
      <w:r w:rsidRPr="00F82004">
        <w:rPr>
          <w:rFonts w:eastAsiaTheme="minorHAnsi"/>
          <w:sz w:val="28"/>
          <w:szCs w:val="28"/>
          <w:lang w:eastAsia="en-US"/>
        </w:rPr>
        <w:t>nosaka:</w:t>
      </w:r>
    </w:p>
    <w:p w14:paraId="348CEFEC" w14:textId="77777777" w:rsidR="00BE057E" w:rsidRPr="00F82004" w:rsidRDefault="00BE057E" w:rsidP="00F02640">
      <w:pPr>
        <w:pStyle w:val="tv213"/>
        <w:numPr>
          <w:ilvl w:val="0"/>
          <w:numId w:val="9"/>
        </w:numPr>
        <w:tabs>
          <w:tab w:val="left" w:pos="1134"/>
        </w:tabs>
        <w:spacing w:before="0" w:beforeAutospacing="0" w:after="0" w:afterAutospacing="0"/>
        <w:ind w:left="709" w:hanging="283"/>
        <w:jc w:val="both"/>
        <w:rPr>
          <w:rFonts w:eastAsiaTheme="minorHAnsi"/>
          <w:sz w:val="28"/>
          <w:szCs w:val="28"/>
          <w:lang w:eastAsia="en-US"/>
        </w:rPr>
      </w:pPr>
      <w:r w:rsidRPr="00F82004">
        <w:rPr>
          <w:rFonts w:eastAsiaTheme="minorHAnsi"/>
          <w:sz w:val="28"/>
          <w:szCs w:val="28"/>
          <w:lang w:eastAsia="en-US"/>
        </w:rPr>
        <w:t>nodarbinātās personas elektroniskās identifikācijas prasības;</w:t>
      </w:r>
    </w:p>
    <w:p w14:paraId="1DDCEF3A" w14:textId="77777777" w:rsidR="00BE057E" w:rsidRPr="00F82004" w:rsidRDefault="00BE057E" w:rsidP="00F02640">
      <w:pPr>
        <w:pStyle w:val="tv213"/>
        <w:numPr>
          <w:ilvl w:val="0"/>
          <w:numId w:val="9"/>
        </w:numPr>
        <w:tabs>
          <w:tab w:val="left" w:pos="349"/>
          <w:tab w:val="left" w:pos="709"/>
        </w:tabs>
        <w:spacing w:before="0" w:beforeAutospacing="0" w:after="0" w:afterAutospacing="0"/>
        <w:ind w:left="0" w:firstLine="426"/>
        <w:jc w:val="both"/>
        <w:rPr>
          <w:rFonts w:eastAsiaTheme="minorHAnsi"/>
          <w:sz w:val="28"/>
          <w:szCs w:val="28"/>
          <w:lang w:eastAsia="en-US"/>
        </w:rPr>
      </w:pPr>
      <w:r w:rsidRPr="00F82004">
        <w:rPr>
          <w:rFonts w:eastAsiaTheme="minorHAnsi"/>
          <w:sz w:val="28"/>
          <w:szCs w:val="28"/>
          <w:lang w:eastAsia="en-US"/>
        </w:rPr>
        <w:t xml:space="preserve">EDLUS reģistrējamos un uzkrājamos datus par būvlaukumā nodarbinātu personu un tās darba devēju, personu, kas uzturas būvlaukumā un nav nodarbināta </w:t>
      </w:r>
      <w:r w:rsidRPr="00F82004">
        <w:rPr>
          <w:rFonts w:eastAsiaTheme="minorHAnsi"/>
          <w:sz w:val="28"/>
          <w:szCs w:val="28"/>
          <w:lang w:eastAsia="en-US"/>
        </w:rPr>
        <w:lastRenderedPageBreak/>
        <w:t xml:space="preserve">būvdarbu veikšanā būvlaukumā, </w:t>
      </w:r>
      <w:r w:rsidRPr="00D87D57">
        <w:rPr>
          <w:rFonts w:eastAsiaTheme="minorHAnsi"/>
          <w:sz w:val="28"/>
          <w:szCs w:val="28"/>
          <w:lang w:eastAsia="en-US"/>
        </w:rPr>
        <w:t>laiku, kad persona ieradusies būvlaukumā, atstājusi to, kā arī summāro laiku par atrašanos būvlaukumā, galvenā būvdarbu veicēja noslēgto būvdarbu līgumu ar būvniecības ierosinātāju</w:t>
      </w:r>
      <w:r w:rsidRPr="00F82004">
        <w:rPr>
          <w:rFonts w:eastAsiaTheme="minorHAnsi"/>
          <w:sz w:val="28"/>
          <w:szCs w:val="28"/>
          <w:lang w:eastAsia="en-US"/>
        </w:rPr>
        <w:t>;</w:t>
      </w:r>
    </w:p>
    <w:p w14:paraId="3FD24A47" w14:textId="77777777" w:rsidR="00BE057E" w:rsidRPr="00F82004" w:rsidRDefault="00BE057E" w:rsidP="00F02640">
      <w:pPr>
        <w:pStyle w:val="tv213"/>
        <w:numPr>
          <w:ilvl w:val="0"/>
          <w:numId w:val="9"/>
        </w:numPr>
        <w:tabs>
          <w:tab w:val="left" w:pos="709"/>
        </w:tabs>
        <w:spacing w:before="0" w:beforeAutospacing="0" w:after="0" w:afterAutospacing="0"/>
        <w:ind w:left="0" w:firstLine="426"/>
        <w:jc w:val="both"/>
        <w:rPr>
          <w:bCs/>
          <w:color w:val="000000" w:themeColor="text1"/>
          <w:sz w:val="28"/>
          <w:szCs w:val="28"/>
        </w:rPr>
      </w:pPr>
      <w:r w:rsidRPr="00F82004">
        <w:rPr>
          <w:bCs/>
          <w:color w:val="000000" w:themeColor="text1"/>
          <w:sz w:val="28"/>
          <w:szCs w:val="28"/>
        </w:rPr>
        <w:t>galvenā būvdarbu veicēja, apakšuzņēmēja un būvlaukumā nodarbinātas personas pienākumus;</w:t>
      </w:r>
    </w:p>
    <w:p w14:paraId="01786734" w14:textId="0489EFD9" w:rsidR="00BE057E" w:rsidRPr="00F82004" w:rsidRDefault="00BE057E" w:rsidP="00F02640">
      <w:pPr>
        <w:pStyle w:val="tv213"/>
        <w:numPr>
          <w:ilvl w:val="0"/>
          <w:numId w:val="9"/>
        </w:numPr>
        <w:tabs>
          <w:tab w:val="left" w:pos="709"/>
        </w:tabs>
        <w:spacing w:before="0" w:beforeAutospacing="0" w:after="0" w:afterAutospacing="0"/>
        <w:ind w:left="0" w:firstLine="426"/>
        <w:jc w:val="both"/>
        <w:rPr>
          <w:bCs/>
          <w:color w:val="000000" w:themeColor="text1"/>
          <w:sz w:val="28"/>
          <w:szCs w:val="28"/>
        </w:rPr>
      </w:pPr>
      <w:r w:rsidRPr="00F82004">
        <w:rPr>
          <w:bCs/>
          <w:color w:val="000000" w:themeColor="text1"/>
          <w:sz w:val="28"/>
          <w:szCs w:val="28"/>
        </w:rPr>
        <w:t xml:space="preserve">prasības attiecībā uz </w:t>
      </w:r>
      <w:r w:rsidRPr="00F82004">
        <w:rPr>
          <w:bCs/>
          <w:sz w:val="28"/>
          <w:szCs w:val="28"/>
        </w:rPr>
        <w:t>EDLUS un tās datu glabāšan</w:t>
      </w:r>
      <w:r w:rsidR="00BA1C02">
        <w:rPr>
          <w:bCs/>
          <w:sz w:val="28"/>
          <w:szCs w:val="28"/>
        </w:rPr>
        <w:t>u</w:t>
      </w:r>
      <w:r w:rsidRPr="00F82004">
        <w:rPr>
          <w:bCs/>
          <w:sz w:val="28"/>
          <w:szCs w:val="28"/>
        </w:rPr>
        <w:t>, nodošan</w:t>
      </w:r>
      <w:r w:rsidR="00BA1C02">
        <w:rPr>
          <w:bCs/>
          <w:sz w:val="28"/>
          <w:szCs w:val="28"/>
        </w:rPr>
        <w:t>u</w:t>
      </w:r>
      <w:r w:rsidRPr="00F82004">
        <w:rPr>
          <w:bCs/>
          <w:sz w:val="28"/>
          <w:szCs w:val="28"/>
        </w:rPr>
        <w:t xml:space="preserve"> iekļaušanai VEDLUDB un izsniegšan</w:t>
      </w:r>
      <w:r w:rsidR="00BA1C02">
        <w:rPr>
          <w:bCs/>
          <w:sz w:val="28"/>
          <w:szCs w:val="28"/>
        </w:rPr>
        <w:t>u</w:t>
      </w:r>
      <w:r w:rsidRPr="00F82004">
        <w:rPr>
          <w:bCs/>
          <w:sz w:val="28"/>
          <w:szCs w:val="28"/>
        </w:rPr>
        <w:t>;</w:t>
      </w:r>
    </w:p>
    <w:p w14:paraId="031BEE77" w14:textId="77777777" w:rsidR="00BE057E" w:rsidRPr="00F82004" w:rsidRDefault="00BE057E" w:rsidP="00F02640">
      <w:pPr>
        <w:pStyle w:val="tv213"/>
        <w:numPr>
          <w:ilvl w:val="0"/>
          <w:numId w:val="9"/>
        </w:numPr>
        <w:spacing w:before="0" w:beforeAutospacing="0" w:after="0" w:afterAutospacing="0"/>
        <w:ind w:left="0" w:firstLine="426"/>
        <w:jc w:val="both"/>
        <w:rPr>
          <w:bCs/>
          <w:color w:val="000000" w:themeColor="text1"/>
          <w:sz w:val="28"/>
          <w:szCs w:val="28"/>
        </w:rPr>
      </w:pPr>
      <w:r w:rsidRPr="00F82004">
        <w:rPr>
          <w:bCs/>
          <w:color w:val="000000" w:themeColor="text1"/>
          <w:sz w:val="28"/>
          <w:szCs w:val="28"/>
        </w:rPr>
        <w:t>EDLUS datu izmantošanu nodokļu administrēšanā, uzraudzības un kontroles īstenošanā darba tiesisko attiecību jomā, būvdarbu valsts kontroles nodrošināšanā un darba samaksas statistikas analīzē;</w:t>
      </w:r>
    </w:p>
    <w:p w14:paraId="61980407" w14:textId="3B86A260" w:rsidR="00BE057E" w:rsidRPr="00BA1C02" w:rsidRDefault="00BE057E" w:rsidP="00F02640">
      <w:pPr>
        <w:pStyle w:val="tv213"/>
        <w:numPr>
          <w:ilvl w:val="0"/>
          <w:numId w:val="9"/>
        </w:numPr>
        <w:tabs>
          <w:tab w:val="left" w:pos="709"/>
        </w:tabs>
        <w:spacing w:before="0" w:beforeAutospacing="0" w:after="0" w:afterAutospacing="0"/>
        <w:ind w:left="0" w:firstLine="426"/>
        <w:jc w:val="both"/>
        <w:rPr>
          <w:sz w:val="28"/>
          <w:szCs w:val="28"/>
        </w:rPr>
      </w:pPr>
      <w:bookmarkStart w:id="9" w:name="_Hlk39080938"/>
      <w:r w:rsidRPr="00F82004">
        <w:rPr>
          <w:rFonts w:eastAsiaTheme="minorHAnsi"/>
          <w:sz w:val="28"/>
          <w:szCs w:val="28"/>
          <w:lang w:eastAsia="en-US"/>
        </w:rPr>
        <w:t>EDLUS reģistrēto datu novirzi starp faktiski uzskaitītajām darba stundām un darba stundām, kas izmantotas darba samaksas aprēķināšanai par darbu būvlaukumā.</w:t>
      </w:r>
      <w:r w:rsidRPr="00F82004">
        <w:rPr>
          <w:iCs/>
          <w:sz w:val="28"/>
          <w:szCs w:val="28"/>
        </w:rPr>
        <w:t xml:space="preserve"> Atbilstoši </w:t>
      </w:r>
      <w:r w:rsidRPr="00F82004">
        <w:rPr>
          <w:sz w:val="28"/>
          <w:szCs w:val="28"/>
        </w:rPr>
        <w:t xml:space="preserve">likuma </w:t>
      </w:r>
      <w:r w:rsidR="003E12D1">
        <w:rPr>
          <w:sz w:val="28"/>
          <w:szCs w:val="28"/>
        </w:rPr>
        <w:t>“</w:t>
      </w:r>
      <w:r w:rsidRPr="00F82004">
        <w:rPr>
          <w:sz w:val="28"/>
          <w:szCs w:val="28"/>
        </w:rPr>
        <w:t>Par nodokļiem un nodevām</w:t>
      </w:r>
      <w:r w:rsidR="003E12D1">
        <w:rPr>
          <w:sz w:val="28"/>
          <w:szCs w:val="28"/>
        </w:rPr>
        <w:t>”</w:t>
      </w:r>
      <w:r w:rsidRPr="00F82004">
        <w:rPr>
          <w:sz w:val="28"/>
          <w:szCs w:val="28"/>
        </w:rPr>
        <w:t xml:space="preserve"> </w:t>
      </w:r>
      <w:r w:rsidR="008C0921">
        <w:rPr>
          <w:sz w:val="28"/>
          <w:szCs w:val="28"/>
        </w:rPr>
        <w:t xml:space="preserve">115.panta trešajai daļai </w:t>
      </w:r>
      <w:r w:rsidRPr="00F82004">
        <w:rPr>
          <w:iCs/>
          <w:sz w:val="28"/>
          <w:szCs w:val="28"/>
        </w:rPr>
        <w:t>VID</w:t>
      </w:r>
      <w:r w:rsidR="008C0921">
        <w:rPr>
          <w:iCs/>
          <w:sz w:val="28"/>
          <w:szCs w:val="28"/>
        </w:rPr>
        <w:t>,</w:t>
      </w:r>
      <w:r w:rsidRPr="00F82004">
        <w:rPr>
          <w:iCs/>
          <w:sz w:val="28"/>
          <w:szCs w:val="28"/>
        </w:rPr>
        <w:t xml:space="preserve"> konstatē</w:t>
      </w:r>
      <w:r w:rsidR="008C0921">
        <w:rPr>
          <w:iCs/>
          <w:sz w:val="28"/>
          <w:szCs w:val="28"/>
        </w:rPr>
        <w:t>j</w:t>
      </w:r>
      <w:r w:rsidRPr="00F82004">
        <w:rPr>
          <w:iCs/>
          <w:sz w:val="28"/>
          <w:szCs w:val="28"/>
        </w:rPr>
        <w:t>o</w:t>
      </w:r>
      <w:r w:rsidR="008C0921">
        <w:rPr>
          <w:iCs/>
          <w:sz w:val="28"/>
          <w:szCs w:val="28"/>
        </w:rPr>
        <w:t>t</w:t>
      </w:r>
      <w:r w:rsidRPr="00F82004">
        <w:rPr>
          <w:iCs/>
          <w:sz w:val="28"/>
          <w:szCs w:val="28"/>
        </w:rPr>
        <w:t xml:space="preserve"> EDLUS reģistrēto datu novirzi, kas pārsniedz 20</w:t>
      </w:r>
      <w:r w:rsidR="00BA1C02">
        <w:rPr>
          <w:iCs/>
          <w:sz w:val="28"/>
          <w:szCs w:val="28"/>
        </w:rPr>
        <w:t> </w:t>
      </w:r>
      <w:r w:rsidRPr="00F82004">
        <w:rPr>
          <w:iCs/>
          <w:sz w:val="28"/>
          <w:szCs w:val="28"/>
        </w:rPr>
        <w:t>procentus,</w:t>
      </w:r>
      <w:r w:rsidRPr="00F82004">
        <w:rPr>
          <w:rFonts w:eastAsiaTheme="minorHAnsi"/>
          <w:sz w:val="28"/>
          <w:szCs w:val="28"/>
          <w:lang w:eastAsia="en-US"/>
        </w:rPr>
        <w:t xml:space="preserve"> </w:t>
      </w:r>
      <w:r w:rsidR="008C0921">
        <w:rPr>
          <w:rFonts w:eastAsiaTheme="minorHAnsi"/>
          <w:sz w:val="28"/>
          <w:szCs w:val="28"/>
          <w:lang w:eastAsia="en-US"/>
        </w:rPr>
        <w:t xml:space="preserve">EDLUS datus var </w:t>
      </w:r>
      <w:r w:rsidR="00BA1C02">
        <w:rPr>
          <w:rFonts w:eastAsiaTheme="minorHAnsi"/>
          <w:sz w:val="28"/>
          <w:szCs w:val="28"/>
          <w:lang w:eastAsia="en-US"/>
        </w:rPr>
        <w:t>izmanto</w:t>
      </w:r>
      <w:r w:rsidR="008C0921">
        <w:rPr>
          <w:rFonts w:eastAsiaTheme="minorHAnsi"/>
          <w:sz w:val="28"/>
          <w:szCs w:val="28"/>
          <w:lang w:eastAsia="en-US"/>
        </w:rPr>
        <w:t>t</w:t>
      </w:r>
      <w:r w:rsidR="00BA1C02">
        <w:rPr>
          <w:rFonts w:eastAsiaTheme="minorHAnsi"/>
          <w:sz w:val="28"/>
          <w:szCs w:val="28"/>
          <w:lang w:eastAsia="en-US"/>
        </w:rPr>
        <w:t xml:space="preserve"> </w:t>
      </w:r>
      <w:r w:rsidRPr="00F82004">
        <w:rPr>
          <w:sz w:val="28"/>
          <w:szCs w:val="28"/>
        </w:rPr>
        <w:t>samazinātā ar nodokļiem un nodevām apliekamā objekta noteikšanai</w:t>
      </w:r>
      <w:r w:rsidRPr="005E08CF">
        <w:rPr>
          <w:sz w:val="28"/>
          <w:szCs w:val="28"/>
        </w:rPr>
        <w:t>.</w:t>
      </w:r>
    </w:p>
    <w:bookmarkEnd w:id="9"/>
    <w:p w14:paraId="1FDF59BF" w14:textId="445055CD" w:rsidR="00BE057E" w:rsidRPr="00F82004" w:rsidRDefault="00BE057E" w:rsidP="00BA1C02">
      <w:pPr>
        <w:pStyle w:val="NoSpacing"/>
        <w:spacing w:before="0"/>
        <w:ind w:firstLine="720"/>
        <w:jc w:val="both"/>
        <w:rPr>
          <w:rFonts w:ascii="Times New Roman" w:hAnsi="Times New Roman" w:cs="Times New Roman"/>
          <w:sz w:val="28"/>
          <w:szCs w:val="28"/>
        </w:rPr>
      </w:pPr>
      <w:r w:rsidRPr="00F82004">
        <w:rPr>
          <w:rFonts w:ascii="Times New Roman" w:hAnsi="Times New Roman" w:cs="Times New Roman"/>
          <w:sz w:val="28"/>
          <w:szCs w:val="28"/>
        </w:rPr>
        <w:t xml:space="preserve">Sākot ar EDLU ieviešanu būvniecībā, tās efektīvas darbības un </w:t>
      </w:r>
      <w:r w:rsidR="00A01205">
        <w:rPr>
          <w:rFonts w:ascii="Times New Roman" w:hAnsi="Times New Roman" w:cs="Times New Roman"/>
          <w:sz w:val="28"/>
          <w:szCs w:val="28"/>
        </w:rPr>
        <w:t xml:space="preserve">ieviešanas </w:t>
      </w:r>
      <w:r w:rsidRPr="00F82004">
        <w:rPr>
          <w:rFonts w:ascii="Times New Roman" w:hAnsi="Times New Roman" w:cs="Times New Roman"/>
          <w:sz w:val="28"/>
          <w:szCs w:val="28"/>
        </w:rPr>
        <w:t>mērķu sasniegšanas nodrošināšanai tika veikti normatīvā regulējuma grozījumi un papildinājumi, kuru izstrādē piedalījās VID, BVK</w:t>
      </w:r>
      <w:r w:rsidR="003D2EFD">
        <w:rPr>
          <w:rFonts w:ascii="Times New Roman" w:hAnsi="Times New Roman" w:cs="Times New Roman"/>
          <w:sz w:val="28"/>
          <w:szCs w:val="28"/>
        </w:rPr>
        <w:t>B</w:t>
      </w:r>
      <w:r w:rsidRPr="00F82004">
        <w:rPr>
          <w:rFonts w:ascii="Times New Roman" w:hAnsi="Times New Roman" w:cs="Times New Roman"/>
          <w:sz w:val="28"/>
          <w:szCs w:val="28"/>
        </w:rPr>
        <w:t xml:space="preserve">, VDI, būvniecības nozares pārstāvji, tajā skaitā biedrība </w:t>
      </w:r>
      <w:r w:rsidR="003E12D1">
        <w:rPr>
          <w:rFonts w:ascii="Times New Roman" w:hAnsi="Times New Roman" w:cs="Times New Roman"/>
          <w:sz w:val="28"/>
          <w:szCs w:val="28"/>
        </w:rPr>
        <w:t>“</w:t>
      </w:r>
      <w:r w:rsidRPr="00F82004">
        <w:rPr>
          <w:rFonts w:ascii="Times New Roman" w:hAnsi="Times New Roman" w:cs="Times New Roman"/>
          <w:sz w:val="28"/>
          <w:szCs w:val="28"/>
        </w:rPr>
        <w:t>Latvijas Būvuzņēmēju partnerība</w:t>
      </w:r>
      <w:r w:rsidR="003E12D1">
        <w:rPr>
          <w:rFonts w:ascii="Times New Roman" w:hAnsi="Times New Roman" w:cs="Times New Roman"/>
          <w:sz w:val="28"/>
          <w:szCs w:val="28"/>
        </w:rPr>
        <w:t>”</w:t>
      </w:r>
      <w:r w:rsidR="006447A9">
        <w:rPr>
          <w:rFonts w:ascii="Times New Roman" w:hAnsi="Times New Roman" w:cs="Times New Roman"/>
          <w:sz w:val="28"/>
          <w:szCs w:val="28"/>
        </w:rPr>
        <w:t>,</w:t>
      </w:r>
      <w:r w:rsidRPr="00F82004">
        <w:rPr>
          <w:rFonts w:ascii="Times New Roman" w:hAnsi="Times New Roman" w:cs="Times New Roman"/>
          <w:sz w:val="28"/>
          <w:szCs w:val="28"/>
        </w:rPr>
        <w:t xml:space="preserve"> un EDLUS izstrādātāji.</w:t>
      </w:r>
    </w:p>
    <w:p w14:paraId="5682AD68" w14:textId="7864F25C" w:rsidR="00BE057E" w:rsidRPr="00F82004" w:rsidRDefault="006D6A84" w:rsidP="00BA1C02">
      <w:pPr>
        <w:pStyle w:val="NoSpacing"/>
        <w:spacing w:before="0"/>
        <w:ind w:firstLine="720"/>
        <w:jc w:val="both"/>
        <w:rPr>
          <w:rFonts w:ascii="Times New Roman" w:hAnsi="Times New Roman" w:cs="Times New Roman"/>
          <w:sz w:val="28"/>
          <w:szCs w:val="28"/>
        </w:rPr>
      </w:pPr>
      <w:bookmarkStart w:id="10" w:name="_Hlk34319621"/>
      <w:r>
        <w:rPr>
          <w:rFonts w:ascii="Times New Roman" w:hAnsi="Times New Roman" w:cs="Times New Roman"/>
          <w:sz w:val="28"/>
          <w:szCs w:val="28"/>
        </w:rPr>
        <w:t xml:space="preserve">Ar Saeimā </w:t>
      </w:r>
      <w:r w:rsidR="00BE057E" w:rsidRPr="00F82004">
        <w:rPr>
          <w:rFonts w:ascii="Times New Roman" w:hAnsi="Times New Roman" w:cs="Times New Roman"/>
          <w:sz w:val="28"/>
          <w:szCs w:val="28"/>
        </w:rPr>
        <w:t>2019.gada 30.maijā</w:t>
      </w:r>
      <w:bookmarkStart w:id="11" w:name="_Hlk34387160"/>
      <w:r w:rsidR="00BE057E" w:rsidRPr="00F82004">
        <w:rPr>
          <w:rFonts w:ascii="Times New Roman" w:hAnsi="Times New Roman" w:cs="Times New Roman"/>
          <w:sz w:val="28"/>
          <w:szCs w:val="28"/>
        </w:rPr>
        <w:t xml:space="preserve"> pieņemt</w:t>
      </w:r>
      <w:r w:rsidR="008C0921">
        <w:rPr>
          <w:rFonts w:ascii="Times New Roman" w:hAnsi="Times New Roman" w:cs="Times New Roman"/>
          <w:sz w:val="28"/>
          <w:szCs w:val="28"/>
        </w:rPr>
        <w:t>o likumu</w:t>
      </w:r>
      <w:r w:rsidR="00BE057E" w:rsidRPr="00F82004">
        <w:rPr>
          <w:rFonts w:ascii="Times New Roman" w:hAnsi="Times New Roman" w:cs="Times New Roman"/>
          <w:sz w:val="28"/>
          <w:szCs w:val="28"/>
        </w:rPr>
        <w:t xml:space="preserve"> </w:t>
      </w:r>
      <w:r w:rsidR="008C0921">
        <w:rPr>
          <w:rFonts w:ascii="Times New Roman" w:hAnsi="Times New Roman" w:cs="Times New Roman"/>
          <w:sz w:val="28"/>
          <w:szCs w:val="28"/>
        </w:rPr>
        <w:t>“G</w:t>
      </w:r>
      <w:r w:rsidR="00BE057E" w:rsidRPr="00F82004">
        <w:rPr>
          <w:rFonts w:ascii="Times New Roman" w:hAnsi="Times New Roman" w:cs="Times New Roman"/>
          <w:sz w:val="28"/>
          <w:szCs w:val="28"/>
        </w:rPr>
        <w:t xml:space="preserve">rozījumi likumā </w:t>
      </w:r>
      <w:r w:rsidR="003E12D1">
        <w:rPr>
          <w:rFonts w:ascii="Times New Roman" w:hAnsi="Times New Roman" w:cs="Times New Roman"/>
          <w:sz w:val="28"/>
          <w:szCs w:val="28"/>
        </w:rPr>
        <w:t>“</w:t>
      </w:r>
      <w:r w:rsidR="00BE057E" w:rsidRPr="00F82004">
        <w:rPr>
          <w:rFonts w:ascii="Times New Roman" w:hAnsi="Times New Roman" w:cs="Times New Roman"/>
          <w:sz w:val="28"/>
          <w:szCs w:val="28"/>
        </w:rPr>
        <w:t>Par nodokļiem un nodevām</w:t>
      </w:r>
      <w:r w:rsidR="003E12D1">
        <w:rPr>
          <w:rFonts w:ascii="Times New Roman" w:hAnsi="Times New Roman" w:cs="Times New Roman"/>
          <w:sz w:val="28"/>
          <w:szCs w:val="28"/>
        </w:rPr>
        <w:t>”</w:t>
      </w:r>
      <w:r w:rsidR="008C0921">
        <w:rPr>
          <w:rFonts w:ascii="Times New Roman" w:hAnsi="Times New Roman" w:cs="Times New Roman"/>
          <w:sz w:val="28"/>
          <w:szCs w:val="28"/>
        </w:rPr>
        <w:t>”</w:t>
      </w:r>
      <w:r w:rsidR="00BE057E" w:rsidRPr="00F82004">
        <w:rPr>
          <w:rFonts w:ascii="Times New Roman" w:hAnsi="Times New Roman" w:cs="Times New Roman"/>
          <w:sz w:val="28"/>
          <w:szCs w:val="28"/>
        </w:rPr>
        <w:t xml:space="preserve"> </w:t>
      </w:r>
      <w:bookmarkEnd w:id="10"/>
      <w:bookmarkEnd w:id="11"/>
      <w:r>
        <w:rPr>
          <w:rFonts w:ascii="Times New Roman" w:hAnsi="Times New Roman" w:cs="Times New Roman"/>
          <w:sz w:val="28"/>
          <w:szCs w:val="28"/>
        </w:rPr>
        <w:t>precizēts</w:t>
      </w:r>
      <w:r w:rsidR="002C223C">
        <w:rPr>
          <w:rFonts w:ascii="Times New Roman" w:hAnsi="Times New Roman" w:cs="Times New Roman"/>
          <w:sz w:val="28"/>
          <w:szCs w:val="28"/>
        </w:rPr>
        <w:t xml:space="preserve"> un pilnveidots</w:t>
      </w:r>
      <w:r w:rsidRPr="00F82004">
        <w:rPr>
          <w:rFonts w:ascii="Times New Roman" w:hAnsi="Times New Roman" w:cs="Times New Roman"/>
          <w:sz w:val="28"/>
          <w:szCs w:val="28"/>
        </w:rPr>
        <w:t xml:space="preserve"> </w:t>
      </w:r>
      <w:r w:rsidR="00BE057E" w:rsidRPr="00F82004">
        <w:rPr>
          <w:rFonts w:ascii="Times New Roman" w:hAnsi="Times New Roman" w:cs="Times New Roman"/>
          <w:sz w:val="28"/>
          <w:szCs w:val="28"/>
        </w:rPr>
        <w:t xml:space="preserve">elektroniskās informācijas uzskaites </w:t>
      </w:r>
      <w:r>
        <w:rPr>
          <w:rFonts w:ascii="Times New Roman" w:hAnsi="Times New Roman" w:cs="Times New Roman"/>
          <w:sz w:val="28"/>
          <w:szCs w:val="28"/>
        </w:rPr>
        <w:t xml:space="preserve">būvlaukumā </w:t>
      </w:r>
      <w:r w:rsidR="00BE057E" w:rsidRPr="00F82004">
        <w:rPr>
          <w:rFonts w:ascii="Times New Roman" w:hAnsi="Times New Roman" w:cs="Times New Roman"/>
          <w:sz w:val="28"/>
          <w:szCs w:val="28"/>
        </w:rPr>
        <w:t>normatīv</w:t>
      </w:r>
      <w:r>
        <w:rPr>
          <w:rFonts w:ascii="Times New Roman" w:hAnsi="Times New Roman" w:cs="Times New Roman"/>
          <w:sz w:val="28"/>
          <w:szCs w:val="28"/>
        </w:rPr>
        <w:t>ais</w:t>
      </w:r>
      <w:r w:rsidR="00BE057E" w:rsidRPr="00F82004">
        <w:rPr>
          <w:rFonts w:ascii="Times New Roman" w:hAnsi="Times New Roman" w:cs="Times New Roman"/>
          <w:sz w:val="28"/>
          <w:szCs w:val="28"/>
        </w:rPr>
        <w:t xml:space="preserve"> regulējum</w:t>
      </w:r>
      <w:r>
        <w:rPr>
          <w:rFonts w:ascii="Times New Roman" w:hAnsi="Times New Roman" w:cs="Times New Roman"/>
          <w:sz w:val="28"/>
          <w:szCs w:val="28"/>
        </w:rPr>
        <w:t>s</w:t>
      </w:r>
      <w:r w:rsidR="00BE057E" w:rsidRPr="00F82004">
        <w:rPr>
          <w:rFonts w:ascii="Times New Roman" w:hAnsi="Times New Roman" w:cs="Times New Roman"/>
          <w:sz w:val="28"/>
          <w:szCs w:val="28"/>
        </w:rPr>
        <w:t xml:space="preserve">, tajā skaitā </w:t>
      </w:r>
      <w:r w:rsidR="002C223C">
        <w:rPr>
          <w:rFonts w:ascii="Times New Roman" w:hAnsi="Times New Roman" w:cs="Times New Roman"/>
          <w:sz w:val="28"/>
          <w:szCs w:val="28"/>
        </w:rPr>
        <w:t xml:space="preserve">precizēts </w:t>
      </w:r>
      <w:r w:rsidR="00BE057E" w:rsidRPr="00F82004">
        <w:rPr>
          <w:rFonts w:ascii="Times New Roman" w:hAnsi="Times New Roman" w:cs="Times New Roman"/>
          <w:sz w:val="28"/>
          <w:szCs w:val="28"/>
        </w:rPr>
        <w:t xml:space="preserve">EDLU </w:t>
      </w:r>
      <w:r w:rsidR="002C223C">
        <w:rPr>
          <w:rFonts w:ascii="Times New Roman" w:hAnsi="Times New Roman" w:cs="Times New Roman"/>
          <w:sz w:val="28"/>
          <w:szCs w:val="28"/>
        </w:rPr>
        <w:t xml:space="preserve">regulējums, lai novērstu līdz šim </w:t>
      </w:r>
      <w:r w:rsidR="00BE057E" w:rsidRPr="00F82004">
        <w:rPr>
          <w:rFonts w:ascii="Times New Roman" w:hAnsi="Times New Roman" w:cs="Times New Roman"/>
          <w:sz w:val="28"/>
          <w:szCs w:val="28"/>
        </w:rPr>
        <w:t>identificēt</w:t>
      </w:r>
      <w:r w:rsidR="002C223C">
        <w:rPr>
          <w:rFonts w:ascii="Times New Roman" w:hAnsi="Times New Roman" w:cs="Times New Roman"/>
          <w:sz w:val="28"/>
          <w:szCs w:val="28"/>
        </w:rPr>
        <w:t>ās</w:t>
      </w:r>
      <w:r w:rsidR="00BE057E" w:rsidRPr="00F82004">
        <w:rPr>
          <w:rFonts w:ascii="Times New Roman" w:hAnsi="Times New Roman" w:cs="Times New Roman"/>
          <w:sz w:val="28"/>
          <w:szCs w:val="28"/>
        </w:rPr>
        <w:t xml:space="preserve"> problēm</w:t>
      </w:r>
      <w:r w:rsidR="002C223C">
        <w:rPr>
          <w:rFonts w:ascii="Times New Roman" w:hAnsi="Times New Roman" w:cs="Times New Roman"/>
          <w:sz w:val="28"/>
          <w:szCs w:val="28"/>
        </w:rPr>
        <w:t>ās</w:t>
      </w:r>
      <w:r w:rsidR="00BE057E" w:rsidRPr="00F82004">
        <w:rPr>
          <w:rFonts w:ascii="Times New Roman" w:hAnsi="Times New Roman" w:cs="Times New Roman"/>
          <w:sz w:val="28"/>
          <w:szCs w:val="28"/>
        </w:rPr>
        <w:t xml:space="preserve">, daļa no kurām tika atspoguļotas Ministru kabineta 2019.gada 15.janvāra sēdē </w:t>
      </w:r>
      <w:r w:rsidR="00F9406A">
        <w:rPr>
          <w:rFonts w:ascii="Times New Roman" w:hAnsi="Times New Roman" w:cs="Times New Roman"/>
          <w:sz w:val="28"/>
          <w:szCs w:val="28"/>
        </w:rPr>
        <w:t>(</w:t>
      </w:r>
      <w:r w:rsidR="00F9406A" w:rsidRPr="008E2F64">
        <w:rPr>
          <w:rFonts w:ascii="Times New Roman" w:hAnsi="Times New Roman" w:cs="Times New Roman"/>
          <w:sz w:val="28"/>
          <w:szCs w:val="28"/>
        </w:rPr>
        <w:t>prot. Nr.2 62.§</w:t>
      </w:r>
      <w:r w:rsidR="00F9406A">
        <w:rPr>
          <w:rFonts w:ascii="Times New Roman" w:hAnsi="Times New Roman" w:cs="Times New Roman"/>
          <w:sz w:val="28"/>
          <w:szCs w:val="28"/>
        </w:rPr>
        <w:t xml:space="preserve">) </w:t>
      </w:r>
      <w:r w:rsidR="00BE057E" w:rsidRPr="00F82004">
        <w:rPr>
          <w:rFonts w:ascii="Times New Roman" w:hAnsi="Times New Roman" w:cs="Times New Roman"/>
          <w:sz w:val="28"/>
          <w:szCs w:val="28"/>
        </w:rPr>
        <w:t xml:space="preserve">zināšanai pieņemtajā </w:t>
      </w:r>
      <w:r w:rsidR="00BA1C02">
        <w:rPr>
          <w:rFonts w:ascii="Times New Roman" w:hAnsi="Times New Roman" w:cs="Times New Roman"/>
          <w:sz w:val="28"/>
          <w:szCs w:val="28"/>
        </w:rPr>
        <w:t>i</w:t>
      </w:r>
      <w:r w:rsidR="00BE057E" w:rsidRPr="00F82004">
        <w:rPr>
          <w:rFonts w:ascii="Times New Roman" w:hAnsi="Times New Roman" w:cs="Times New Roman"/>
          <w:sz w:val="28"/>
          <w:szCs w:val="28"/>
        </w:rPr>
        <w:t>nformatīvajā ziņojumā</w:t>
      </w:r>
      <w:r w:rsidR="008C0921">
        <w:rPr>
          <w:rFonts w:ascii="Times New Roman" w:hAnsi="Times New Roman" w:cs="Times New Roman"/>
          <w:sz w:val="28"/>
          <w:szCs w:val="28"/>
        </w:rPr>
        <w:t xml:space="preserve"> </w:t>
      </w:r>
      <w:r w:rsidR="008C0921" w:rsidRPr="00BE1E5E">
        <w:rPr>
          <w:rFonts w:ascii="Times New Roman" w:hAnsi="Times New Roman" w:cs="Times New Roman"/>
          <w:sz w:val="28"/>
          <w:szCs w:val="28"/>
        </w:rPr>
        <w:t xml:space="preserve">“Par Valsts ieņēmumu dienesta </w:t>
      </w:r>
      <w:r w:rsidR="008C0921" w:rsidRPr="008E2F64">
        <w:rPr>
          <w:rFonts w:ascii="Times New Roman" w:hAnsi="Times New Roman" w:cs="Times New Roman"/>
          <w:sz w:val="28"/>
          <w:szCs w:val="28"/>
        </w:rPr>
        <w:t>un Valsts darba inspekcijas pārbaudēs saistībā ar elektroniskās darba laika uzskaites sistēmas ieviešanu būvniecībā konstatēto</w:t>
      </w:r>
      <w:r w:rsidR="008C0921">
        <w:rPr>
          <w:rFonts w:ascii="Times New Roman" w:hAnsi="Times New Roman" w:cs="Times New Roman"/>
          <w:sz w:val="28"/>
          <w:szCs w:val="28"/>
        </w:rPr>
        <w:t>”</w:t>
      </w:r>
      <w:r w:rsidR="00BE057E" w:rsidRPr="00F82004">
        <w:rPr>
          <w:rFonts w:ascii="Times New Roman" w:hAnsi="Times New Roman" w:cs="Times New Roman"/>
          <w:sz w:val="28"/>
          <w:szCs w:val="28"/>
        </w:rPr>
        <w:t xml:space="preserve">. Būtiskākie </w:t>
      </w:r>
      <w:r w:rsidR="00C37839">
        <w:rPr>
          <w:rFonts w:ascii="Times New Roman" w:hAnsi="Times New Roman" w:cs="Times New Roman"/>
          <w:sz w:val="28"/>
          <w:szCs w:val="28"/>
        </w:rPr>
        <w:t xml:space="preserve">veiktie </w:t>
      </w:r>
      <w:r w:rsidR="00BE057E" w:rsidRPr="00F82004">
        <w:rPr>
          <w:rFonts w:ascii="Times New Roman" w:hAnsi="Times New Roman" w:cs="Times New Roman"/>
          <w:sz w:val="28"/>
          <w:szCs w:val="28"/>
        </w:rPr>
        <w:t>grozījumi normatīvajā aktā:</w:t>
      </w:r>
    </w:p>
    <w:p w14:paraId="6E435162" w14:textId="77777777" w:rsidR="00BE057E" w:rsidRPr="00F82004" w:rsidRDefault="00BE057E" w:rsidP="00F02640">
      <w:pPr>
        <w:pStyle w:val="NoSpacing"/>
        <w:numPr>
          <w:ilvl w:val="0"/>
          <w:numId w:val="10"/>
        </w:numPr>
        <w:tabs>
          <w:tab w:val="left" w:pos="1134"/>
        </w:tabs>
        <w:spacing w:before="0"/>
        <w:jc w:val="both"/>
        <w:rPr>
          <w:rFonts w:ascii="Times New Roman" w:hAnsi="Times New Roman" w:cs="Times New Roman"/>
          <w:sz w:val="28"/>
          <w:szCs w:val="28"/>
        </w:rPr>
      </w:pPr>
      <w:r w:rsidRPr="00F82004">
        <w:rPr>
          <w:rFonts w:ascii="Times New Roman" w:hAnsi="Times New Roman" w:cs="Times New Roman"/>
          <w:sz w:val="28"/>
          <w:szCs w:val="28"/>
        </w:rPr>
        <w:t>precizētas EDLUS un apakšuzņēmēja definīcija</w:t>
      </w:r>
      <w:r w:rsidR="00026429">
        <w:rPr>
          <w:rFonts w:ascii="Times New Roman" w:hAnsi="Times New Roman" w:cs="Times New Roman"/>
          <w:sz w:val="28"/>
          <w:szCs w:val="28"/>
        </w:rPr>
        <w:t>s</w:t>
      </w:r>
      <w:r w:rsidRPr="00F82004">
        <w:rPr>
          <w:rFonts w:ascii="Times New Roman" w:hAnsi="Times New Roman" w:cs="Times New Roman"/>
          <w:sz w:val="28"/>
          <w:szCs w:val="28"/>
        </w:rPr>
        <w:t>;</w:t>
      </w:r>
    </w:p>
    <w:p w14:paraId="27961E4E" w14:textId="081DC442" w:rsidR="00BE057E" w:rsidRPr="00F82004" w:rsidRDefault="00BE057E" w:rsidP="00F02640">
      <w:pPr>
        <w:pStyle w:val="NoSpacing"/>
        <w:numPr>
          <w:ilvl w:val="0"/>
          <w:numId w:val="10"/>
        </w:numPr>
        <w:tabs>
          <w:tab w:val="left" w:pos="709"/>
        </w:tabs>
        <w:spacing w:before="0"/>
        <w:ind w:left="0" w:firstLine="426"/>
        <w:jc w:val="both"/>
        <w:rPr>
          <w:rFonts w:ascii="Times New Roman" w:hAnsi="Times New Roman" w:cs="Times New Roman"/>
          <w:sz w:val="28"/>
          <w:szCs w:val="28"/>
        </w:rPr>
      </w:pPr>
      <w:r w:rsidRPr="00F82004">
        <w:rPr>
          <w:rFonts w:ascii="Times New Roman" w:hAnsi="Times New Roman" w:cs="Times New Roman"/>
          <w:sz w:val="28"/>
          <w:szCs w:val="28"/>
        </w:rPr>
        <w:t>palielināta sākotnēji noteiktā pieļaujamā novirze no 10</w:t>
      </w:r>
      <w:r w:rsidR="00026429">
        <w:rPr>
          <w:rFonts w:ascii="Times New Roman" w:hAnsi="Times New Roman" w:cs="Times New Roman"/>
          <w:sz w:val="28"/>
          <w:szCs w:val="28"/>
        </w:rPr>
        <w:t> </w:t>
      </w:r>
      <w:r w:rsidRPr="00F82004">
        <w:rPr>
          <w:rFonts w:ascii="Times New Roman" w:hAnsi="Times New Roman" w:cs="Times New Roman"/>
          <w:sz w:val="28"/>
          <w:szCs w:val="28"/>
        </w:rPr>
        <w:t>% līdz 20</w:t>
      </w:r>
      <w:r w:rsidR="00026429">
        <w:rPr>
          <w:rFonts w:ascii="Times New Roman" w:hAnsi="Times New Roman" w:cs="Times New Roman"/>
          <w:sz w:val="28"/>
          <w:szCs w:val="28"/>
        </w:rPr>
        <w:t> </w:t>
      </w:r>
      <w:r w:rsidRPr="00F82004">
        <w:rPr>
          <w:rFonts w:ascii="Times New Roman" w:hAnsi="Times New Roman" w:cs="Times New Roman"/>
          <w:sz w:val="28"/>
          <w:szCs w:val="28"/>
        </w:rPr>
        <w:t>%</w:t>
      </w:r>
      <w:r w:rsidR="002C223C">
        <w:rPr>
          <w:rFonts w:ascii="Times New Roman" w:hAnsi="Times New Roman" w:cs="Times New Roman"/>
          <w:sz w:val="28"/>
          <w:szCs w:val="28"/>
        </w:rPr>
        <w:t>,</w:t>
      </w:r>
      <w:r w:rsidRPr="00F82004">
        <w:rPr>
          <w:rFonts w:ascii="Times New Roman" w:hAnsi="Times New Roman" w:cs="Times New Roman"/>
          <w:sz w:val="28"/>
          <w:szCs w:val="28"/>
        </w:rPr>
        <w:t xml:space="preserve"> </w:t>
      </w:r>
      <w:r w:rsidR="002C223C">
        <w:rPr>
          <w:rFonts w:ascii="Times New Roman" w:hAnsi="Times New Roman" w:cs="Times New Roman"/>
          <w:sz w:val="28"/>
          <w:szCs w:val="28"/>
        </w:rPr>
        <w:t xml:space="preserve">par kādu EDLUS reģistrētās darba stundas var atšķirties </w:t>
      </w:r>
      <w:r w:rsidR="002C223C" w:rsidRPr="002C223C">
        <w:rPr>
          <w:rFonts w:ascii="Times New Roman" w:hAnsi="Times New Roman" w:cs="Times New Roman"/>
          <w:sz w:val="28"/>
          <w:szCs w:val="28"/>
        </w:rPr>
        <w:t>no faktiski uzskaitītajām darba stundām, kas izmantotas darba samaksas aprēķināšanai par darbu būvlaukumā</w:t>
      </w:r>
      <w:r w:rsidRPr="00F82004">
        <w:rPr>
          <w:rFonts w:ascii="Times New Roman" w:hAnsi="Times New Roman" w:cs="Times New Roman"/>
          <w:sz w:val="28"/>
          <w:szCs w:val="28"/>
        </w:rPr>
        <w:t>;</w:t>
      </w:r>
    </w:p>
    <w:p w14:paraId="451559FF" w14:textId="77777777" w:rsidR="00BE057E" w:rsidRPr="00F82004" w:rsidRDefault="00BE057E" w:rsidP="00F02640">
      <w:pPr>
        <w:pStyle w:val="NoSpacing"/>
        <w:numPr>
          <w:ilvl w:val="0"/>
          <w:numId w:val="10"/>
        </w:numPr>
        <w:tabs>
          <w:tab w:val="left" w:pos="709"/>
          <w:tab w:val="left" w:pos="1134"/>
        </w:tabs>
        <w:spacing w:before="0"/>
        <w:ind w:hanging="294"/>
        <w:jc w:val="both"/>
        <w:rPr>
          <w:rFonts w:ascii="Times New Roman" w:hAnsi="Times New Roman" w:cs="Times New Roman"/>
          <w:sz w:val="28"/>
          <w:szCs w:val="28"/>
        </w:rPr>
      </w:pPr>
      <w:r w:rsidRPr="00F82004">
        <w:rPr>
          <w:rFonts w:ascii="Times New Roman" w:hAnsi="Times New Roman" w:cs="Times New Roman"/>
          <w:sz w:val="28"/>
          <w:szCs w:val="28"/>
        </w:rPr>
        <w:t>noteikti EDLUS datu labošanas ierobežojumi;</w:t>
      </w:r>
    </w:p>
    <w:p w14:paraId="5F2A664C" w14:textId="77777777" w:rsidR="00BE057E" w:rsidRPr="00F82004" w:rsidRDefault="00BE057E" w:rsidP="00F02640">
      <w:pPr>
        <w:pStyle w:val="NoSpacing"/>
        <w:numPr>
          <w:ilvl w:val="0"/>
          <w:numId w:val="10"/>
        </w:numPr>
        <w:tabs>
          <w:tab w:val="left" w:pos="1134"/>
        </w:tabs>
        <w:spacing w:before="0"/>
        <w:ind w:hanging="294"/>
        <w:jc w:val="both"/>
        <w:rPr>
          <w:rFonts w:ascii="Times New Roman" w:hAnsi="Times New Roman" w:cs="Times New Roman"/>
          <w:sz w:val="28"/>
          <w:szCs w:val="28"/>
        </w:rPr>
      </w:pPr>
      <w:r w:rsidRPr="00F82004">
        <w:rPr>
          <w:rFonts w:ascii="Times New Roman" w:hAnsi="Times New Roman" w:cs="Times New Roman"/>
          <w:sz w:val="28"/>
          <w:szCs w:val="28"/>
        </w:rPr>
        <w:t>noteikta EDLUS datu glabāšanas vieta Latvijā un termiņi;</w:t>
      </w:r>
    </w:p>
    <w:p w14:paraId="78A36991" w14:textId="77777777" w:rsidR="00BE057E" w:rsidRPr="00F82004" w:rsidRDefault="00BE057E" w:rsidP="00F02640">
      <w:pPr>
        <w:pStyle w:val="NoSpacing"/>
        <w:numPr>
          <w:ilvl w:val="0"/>
          <w:numId w:val="10"/>
        </w:numPr>
        <w:tabs>
          <w:tab w:val="left" w:pos="1134"/>
        </w:tabs>
        <w:spacing w:before="0"/>
        <w:ind w:hanging="294"/>
        <w:jc w:val="both"/>
        <w:rPr>
          <w:rFonts w:ascii="Times New Roman" w:hAnsi="Times New Roman" w:cs="Times New Roman"/>
          <w:sz w:val="28"/>
          <w:szCs w:val="28"/>
        </w:rPr>
      </w:pPr>
      <w:r w:rsidRPr="00F82004">
        <w:rPr>
          <w:rFonts w:ascii="Times New Roman" w:hAnsi="Times New Roman" w:cs="Times New Roman"/>
          <w:sz w:val="28"/>
          <w:szCs w:val="28"/>
        </w:rPr>
        <w:t>noteikti EDLUS ārējās drošības pārbaudes nosacījumi;</w:t>
      </w:r>
    </w:p>
    <w:p w14:paraId="3015D876" w14:textId="77777777" w:rsidR="00BE057E" w:rsidRPr="00F82004" w:rsidRDefault="00BE057E" w:rsidP="00F02640">
      <w:pPr>
        <w:pStyle w:val="NoSpacing"/>
        <w:numPr>
          <w:ilvl w:val="0"/>
          <w:numId w:val="10"/>
        </w:numPr>
        <w:tabs>
          <w:tab w:val="left" w:pos="0"/>
        </w:tabs>
        <w:spacing w:before="0"/>
        <w:ind w:left="0" w:firstLine="426"/>
        <w:jc w:val="both"/>
        <w:rPr>
          <w:rFonts w:ascii="Times New Roman" w:hAnsi="Times New Roman" w:cs="Times New Roman"/>
          <w:sz w:val="28"/>
          <w:szCs w:val="28"/>
        </w:rPr>
      </w:pPr>
      <w:r w:rsidRPr="00F82004">
        <w:rPr>
          <w:rFonts w:ascii="Times New Roman" w:hAnsi="Times New Roman" w:cs="Times New Roman"/>
          <w:sz w:val="28"/>
          <w:szCs w:val="28"/>
        </w:rPr>
        <w:t>definēta galvenā būvdarbu veicēja rīcība EDLUS darbības pārtraukuma gadījumā un noteikti pienākumi nodrošināt EDLUS reģistrēto datu aizsardzību;</w:t>
      </w:r>
    </w:p>
    <w:p w14:paraId="511DF936" w14:textId="7942AEE7" w:rsidR="00BE057E" w:rsidRPr="00F82004" w:rsidRDefault="00BE057E" w:rsidP="00F02640">
      <w:pPr>
        <w:pStyle w:val="NoSpacing"/>
        <w:numPr>
          <w:ilvl w:val="0"/>
          <w:numId w:val="10"/>
        </w:numPr>
        <w:tabs>
          <w:tab w:val="left" w:pos="709"/>
        </w:tabs>
        <w:spacing w:before="0"/>
        <w:ind w:left="0" w:firstLine="426"/>
        <w:jc w:val="both"/>
        <w:rPr>
          <w:rFonts w:ascii="Times New Roman" w:hAnsi="Times New Roman" w:cs="Times New Roman"/>
          <w:sz w:val="28"/>
          <w:szCs w:val="28"/>
        </w:rPr>
      </w:pPr>
      <w:r w:rsidRPr="00F82004">
        <w:rPr>
          <w:rFonts w:ascii="Times New Roman" w:hAnsi="Times New Roman" w:cs="Times New Roman"/>
          <w:sz w:val="28"/>
          <w:szCs w:val="28"/>
        </w:rPr>
        <w:t xml:space="preserve">ar 2020.gada 1.janvāri samazināts </w:t>
      </w:r>
      <w:r w:rsidR="002C223C">
        <w:rPr>
          <w:rFonts w:ascii="Times New Roman" w:hAnsi="Times New Roman" w:cs="Times New Roman"/>
          <w:sz w:val="28"/>
          <w:szCs w:val="28"/>
        </w:rPr>
        <w:t>būvdarbu izmaksu slieksnis (</w:t>
      </w:r>
      <w:r w:rsidR="002C223C" w:rsidRPr="00F82004">
        <w:rPr>
          <w:rFonts w:ascii="Times New Roman" w:hAnsi="Times New Roman" w:cs="Times New Roman"/>
          <w:sz w:val="28"/>
          <w:szCs w:val="28"/>
        </w:rPr>
        <w:t>no 1</w:t>
      </w:r>
      <w:r w:rsidR="002C223C">
        <w:rPr>
          <w:rFonts w:ascii="Times New Roman" w:hAnsi="Times New Roman" w:cs="Times New Roman"/>
          <w:sz w:val="28"/>
          <w:szCs w:val="28"/>
        </w:rPr>
        <w:t> </w:t>
      </w:r>
      <w:r w:rsidR="002C223C" w:rsidRPr="00F82004">
        <w:rPr>
          <w:rFonts w:ascii="Times New Roman" w:hAnsi="Times New Roman" w:cs="Times New Roman"/>
          <w:sz w:val="28"/>
          <w:szCs w:val="28"/>
        </w:rPr>
        <w:t xml:space="preserve">miljona </w:t>
      </w:r>
      <w:proofErr w:type="spellStart"/>
      <w:r w:rsidR="002C223C">
        <w:rPr>
          <w:rFonts w:ascii="Times New Roman" w:hAnsi="Times New Roman" w:cs="Times New Roman"/>
          <w:i/>
          <w:iCs/>
          <w:sz w:val="28"/>
          <w:szCs w:val="28"/>
        </w:rPr>
        <w:t>euro</w:t>
      </w:r>
      <w:proofErr w:type="spellEnd"/>
      <w:r w:rsidR="002C223C" w:rsidRPr="00F82004">
        <w:rPr>
          <w:rFonts w:ascii="Times New Roman" w:hAnsi="Times New Roman" w:cs="Times New Roman"/>
          <w:sz w:val="28"/>
          <w:szCs w:val="28"/>
        </w:rPr>
        <w:t xml:space="preserve"> uz 350</w:t>
      </w:r>
      <w:r w:rsidR="002C223C">
        <w:rPr>
          <w:rFonts w:ascii="Times New Roman" w:hAnsi="Times New Roman" w:cs="Times New Roman"/>
          <w:sz w:val="28"/>
          <w:szCs w:val="28"/>
        </w:rPr>
        <w:t> </w:t>
      </w:r>
      <w:r w:rsidR="002C223C" w:rsidRPr="00F82004">
        <w:rPr>
          <w:rFonts w:ascii="Times New Roman" w:hAnsi="Times New Roman" w:cs="Times New Roman"/>
          <w:sz w:val="28"/>
          <w:szCs w:val="28"/>
        </w:rPr>
        <w:t xml:space="preserve">tūkstošiem </w:t>
      </w:r>
      <w:proofErr w:type="spellStart"/>
      <w:r w:rsidR="002C223C">
        <w:rPr>
          <w:rFonts w:ascii="Times New Roman" w:hAnsi="Times New Roman" w:cs="Times New Roman"/>
          <w:i/>
          <w:sz w:val="28"/>
          <w:szCs w:val="28"/>
        </w:rPr>
        <w:t>euro</w:t>
      </w:r>
      <w:proofErr w:type="spellEnd"/>
      <w:r w:rsidR="002C223C">
        <w:rPr>
          <w:rFonts w:ascii="Times New Roman" w:hAnsi="Times New Roman" w:cs="Times New Roman"/>
          <w:i/>
          <w:sz w:val="28"/>
          <w:szCs w:val="28"/>
        </w:rPr>
        <w:t xml:space="preserve">) </w:t>
      </w:r>
      <w:r w:rsidR="002C223C">
        <w:rPr>
          <w:rFonts w:ascii="Times New Roman" w:hAnsi="Times New Roman" w:cs="Times New Roman"/>
          <w:sz w:val="28"/>
          <w:szCs w:val="28"/>
        </w:rPr>
        <w:t xml:space="preserve">attiecībā uz būvlaukumiem, kuros obligāti ieviešama </w:t>
      </w:r>
      <w:r w:rsidRPr="00F82004">
        <w:rPr>
          <w:rFonts w:ascii="Times New Roman" w:hAnsi="Times New Roman" w:cs="Times New Roman"/>
          <w:sz w:val="28"/>
          <w:szCs w:val="28"/>
        </w:rPr>
        <w:t xml:space="preserve">EDLUS; </w:t>
      </w:r>
    </w:p>
    <w:p w14:paraId="05EE7E5D" w14:textId="4D9FC6A6" w:rsidR="00BE057E" w:rsidRPr="00F82004" w:rsidRDefault="00BE057E" w:rsidP="00F02640">
      <w:pPr>
        <w:pStyle w:val="NoSpacing"/>
        <w:numPr>
          <w:ilvl w:val="0"/>
          <w:numId w:val="10"/>
        </w:numPr>
        <w:tabs>
          <w:tab w:val="left" w:pos="709"/>
        </w:tabs>
        <w:spacing w:before="0"/>
        <w:ind w:left="0" w:firstLine="426"/>
        <w:jc w:val="both"/>
        <w:rPr>
          <w:rFonts w:ascii="Times New Roman" w:hAnsi="Times New Roman" w:cs="Times New Roman"/>
          <w:sz w:val="28"/>
          <w:szCs w:val="28"/>
        </w:rPr>
      </w:pPr>
      <w:r w:rsidRPr="00F82004">
        <w:rPr>
          <w:rFonts w:ascii="Times New Roman" w:hAnsi="Times New Roman" w:cs="Times New Roman"/>
          <w:sz w:val="28"/>
          <w:szCs w:val="28"/>
        </w:rPr>
        <w:t>pārcelt</w:t>
      </w:r>
      <w:r w:rsidR="007B08B4">
        <w:rPr>
          <w:rFonts w:ascii="Times New Roman" w:hAnsi="Times New Roman" w:cs="Times New Roman"/>
          <w:sz w:val="28"/>
          <w:szCs w:val="28"/>
        </w:rPr>
        <w:t>s termiņš</w:t>
      </w:r>
      <w:r w:rsidRPr="00F82004">
        <w:rPr>
          <w:rFonts w:ascii="Times New Roman" w:hAnsi="Times New Roman" w:cs="Times New Roman"/>
          <w:sz w:val="28"/>
          <w:szCs w:val="28"/>
        </w:rPr>
        <w:t xml:space="preserve"> </w:t>
      </w:r>
      <w:r w:rsidR="007B08B4" w:rsidRPr="00F82004">
        <w:rPr>
          <w:rFonts w:ascii="Times New Roman" w:hAnsi="Times New Roman" w:cs="Times New Roman"/>
          <w:sz w:val="28"/>
          <w:szCs w:val="28"/>
        </w:rPr>
        <w:t xml:space="preserve">no 2019.gada 1.janvāra uz 2020.gada 1.februāri </w:t>
      </w:r>
      <w:r w:rsidRPr="00F82004">
        <w:rPr>
          <w:rFonts w:ascii="Times New Roman" w:hAnsi="Times New Roman" w:cs="Times New Roman"/>
          <w:sz w:val="28"/>
          <w:szCs w:val="28"/>
        </w:rPr>
        <w:t>EDLUS uzkrāto datu nodošana</w:t>
      </w:r>
      <w:r w:rsidR="007B08B4">
        <w:rPr>
          <w:rFonts w:ascii="Times New Roman" w:hAnsi="Times New Roman" w:cs="Times New Roman"/>
          <w:sz w:val="28"/>
          <w:szCs w:val="28"/>
        </w:rPr>
        <w:t>i</w:t>
      </w:r>
      <w:r w:rsidRPr="00F82004">
        <w:rPr>
          <w:rFonts w:ascii="Times New Roman" w:hAnsi="Times New Roman" w:cs="Times New Roman"/>
          <w:sz w:val="28"/>
          <w:szCs w:val="28"/>
        </w:rPr>
        <w:t xml:space="preserve"> </w:t>
      </w:r>
      <w:r w:rsidR="007B08B4">
        <w:rPr>
          <w:rFonts w:ascii="Times New Roman" w:hAnsi="Times New Roman" w:cs="Times New Roman"/>
          <w:sz w:val="28"/>
          <w:szCs w:val="28"/>
        </w:rPr>
        <w:t xml:space="preserve">uz </w:t>
      </w:r>
      <w:r w:rsidRPr="00F82004">
        <w:rPr>
          <w:rFonts w:ascii="Times New Roman" w:hAnsi="Times New Roman" w:cs="Times New Roman"/>
          <w:sz w:val="28"/>
          <w:szCs w:val="28"/>
        </w:rPr>
        <w:t>VEDLUDB.</w:t>
      </w:r>
    </w:p>
    <w:p w14:paraId="29725EEC" w14:textId="3ACFECF5" w:rsidR="00BE057E" w:rsidRPr="00F82004" w:rsidRDefault="00BE057E" w:rsidP="00BE057E">
      <w:pPr>
        <w:pStyle w:val="NoSpacing"/>
        <w:spacing w:before="0"/>
        <w:ind w:firstLine="720"/>
        <w:jc w:val="both"/>
        <w:rPr>
          <w:rFonts w:ascii="Times New Roman" w:hAnsi="Times New Roman" w:cs="Times New Roman"/>
          <w:sz w:val="28"/>
          <w:szCs w:val="28"/>
        </w:rPr>
      </w:pPr>
      <w:r w:rsidRPr="00F82004">
        <w:rPr>
          <w:rFonts w:ascii="Times New Roman" w:hAnsi="Times New Roman" w:cs="Times New Roman"/>
          <w:sz w:val="28"/>
          <w:szCs w:val="28"/>
        </w:rPr>
        <w:lastRenderedPageBreak/>
        <w:t xml:space="preserve">2020.gada 7.janvārī </w:t>
      </w:r>
      <w:r w:rsidR="00C37839">
        <w:rPr>
          <w:rFonts w:ascii="Times New Roman" w:hAnsi="Times New Roman" w:cs="Times New Roman"/>
          <w:sz w:val="28"/>
          <w:szCs w:val="28"/>
        </w:rPr>
        <w:t>pieņemti</w:t>
      </w:r>
      <w:r w:rsidR="00C37839" w:rsidRPr="00F82004">
        <w:rPr>
          <w:rFonts w:ascii="Times New Roman" w:hAnsi="Times New Roman" w:cs="Times New Roman"/>
          <w:sz w:val="28"/>
          <w:szCs w:val="28"/>
        </w:rPr>
        <w:t xml:space="preserve"> </w:t>
      </w:r>
      <w:r w:rsidRPr="00F82004">
        <w:rPr>
          <w:rFonts w:ascii="Times New Roman" w:hAnsi="Times New Roman" w:cs="Times New Roman"/>
          <w:sz w:val="28"/>
          <w:szCs w:val="28"/>
        </w:rPr>
        <w:t xml:space="preserve">Ministra kabineta noteikumi Nr.21 </w:t>
      </w:r>
      <w:r w:rsidR="003E12D1">
        <w:rPr>
          <w:rFonts w:ascii="Times New Roman" w:hAnsi="Times New Roman" w:cs="Times New Roman"/>
          <w:sz w:val="28"/>
          <w:szCs w:val="28"/>
        </w:rPr>
        <w:t>“</w:t>
      </w:r>
      <w:r w:rsidRPr="00F82004">
        <w:rPr>
          <w:rFonts w:ascii="Times New Roman" w:hAnsi="Times New Roman" w:cs="Times New Roman"/>
          <w:sz w:val="28"/>
          <w:szCs w:val="28"/>
        </w:rPr>
        <w:t>Kārtība, kādā elektroniskās darba laika uzskaites sistēmas dati sniedzami iekļaušanai vienotajā elektroniskās darba laika uzskaites datubāzē, un prasības elektroniskās darba laika uzskaites sistēmas ārējai drošības pārbaudei un auditācijas pierakstiem</w:t>
      </w:r>
      <w:r w:rsidR="003E12D1">
        <w:rPr>
          <w:rFonts w:ascii="Times New Roman" w:hAnsi="Times New Roman" w:cs="Times New Roman"/>
          <w:sz w:val="28"/>
          <w:szCs w:val="28"/>
        </w:rPr>
        <w:t>”</w:t>
      </w:r>
      <w:r w:rsidRPr="00F82004">
        <w:rPr>
          <w:rFonts w:ascii="Times New Roman" w:hAnsi="Times New Roman" w:cs="Times New Roman"/>
          <w:sz w:val="28"/>
          <w:szCs w:val="28"/>
        </w:rPr>
        <w:t>, kur</w:t>
      </w:r>
      <w:r w:rsidR="005719ED">
        <w:rPr>
          <w:rFonts w:ascii="Times New Roman" w:hAnsi="Times New Roman" w:cs="Times New Roman"/>
          <w:sz w:val="28"/>
          <w:szCs w:val="28"/>
        </w:rPr>
        <w:t>os ir</w:t>
      </w:r>
      <w:r w:rsidRPr="00F82004">
        <w:rPr>
          <w:rFonts w:ascii="Times New Roman" w:hAnsi="Times New Roman" w:cs="Times New Roman"/>
          <w:sz w:val="28"/>
          <w:szCs w:val="28"/>
        </w:rPr>
        <w:t xml:space="preserve"> </w:t>
      </w:r>
      <w:r w:rsidR="007B08B4">
        <w:rPr>
          <w:rFonts w:ascii="Times New Roman" w:hAnsi="Times New Roman" w:cs="Times New Roman"/>
          <w:sz w:val="28"/>
          <w:szCs w:val="28"/>
        </w:rPr>
        <w:t xml:space="preserve">noteikts </w:t>
      </w:r>
      <w:r w:rsidRPr="00F82004">
        <w:rPr>
          <w:rFonts w:ascii="Times New Roman" w:hAnsi="Times New Roman" w:cs="Times New Roman"/>
          <w:sz w:val="28"/>
          <w:szCs w:val="28"/>
        </w:rPr>
        <w:t>detalizēt</w:t>
      </w:r>
      <w:r w:rsidR="005719ED">
        <w:rPr>
          <w:rFonts w:ascii="Times New Roman" w:hAnsi="Times New Roman" w:cs="Times New Roman"/>
          <w:sz w:val="28"/>
          <w:szCs w:val="28"/>
        </w:rPr>
        <w:t>s</w:t>
      </w:r>
      <w:r w:rsidRPr="00F82004">
        <w:rPr>
          <w:rFonts w:ascii="Times New Roman" w:hAnsi="Times New Roman" w:cs="Times New Roman"/>
          <w:sz w:val="28"/>
          <w:szCs w:val="28"/>
        </w:rPr>
        <w:t xml:space="preserve"> regulējum</w:t>
      </w:r>
      <w:r w:rsidR="005719ED">
        <w:rPr>
          <w:rFonts w:ascii="Times New Roman" w:hAnsi="Times New Roman" w:cs="Times New Roman"/>
          <w:sz w:val="28"/>
          <w:szCs w:val="28"/>
        </w:rPr>
        <w:t>s</w:t>
      </w:r>
      <w:r w:rsidRPr="00F82004">
        <w:rPr>
          <w:rFonts w:ascii="Times New Roman" w:hAnsi="Times New Roman" w:cs="Times New Roman"/>
          <w:sz w:val="28"/>
          <w:szCs w:val="28"/>
        </w:rPr>
        <w:t xml:space="preserve"> par </w:t>
      </w:r>
      <w:r w:rsidR="007B08B4">
        <w:rPr>
          <w:rFonts w:ascii="Times New Roman" w:hAnsi="Times New Roman" w:cs="Times New Roman"/>
          <w:sz w:val="28"/>
          <w:szCs w:val="28"/>
        </w:rPr>
        <w:t xml:space="preserve">EDLUS </w:t>
      </w:r>
      <w:r w:rsidRPr="00F82004">
        <w:rPr>
          <w:rFonts w:ascii="Times New Roman" w:hAnsi="Times New Roman" w:cs="Times New Roman"/>
          <w:sz w:val="28"/>
          <w:szCs w:val="28"/>
        </w:rPr>
        <w:t xml:space="preserve">datu nodošanu, nodošanas formātu un kārtību, kādā tiek veikta datu kvalitātes pārbaude un kļūdaino datu labošana. Noteikumi </w:t>
      </w:r>
      <w:r w:rsidR="007B08B4" w:rsidRPr="00F82004">
        <w:rPr>
          <w:rFonts w:ascii="Times New Roman" w:hAnsi="Times New Roman" w:cs="Times New Roman"/>
          <w:sz w:val="28"/>
          <w:szCs w:val="28"/>
        </w:rPr>
        <w:t>nosaka</w:t>
      </w:r>
      <w:r w:rsidR="007B08B4">
        <w:rPr>
          <w:rFonts w:ascii="Times New Roman" w:hAnsi="Times New Roman" w:cs="Times New Roman"/>
          <w:sz w:val="28"/>
          <w:szCs w:val="28"/>
        </w:rPr>
        <w:t xml:space="preserve"> prasības personai, kas var veikt </w:t>
      </w:r>
      <w:r w:rsidRPr="00F82004">
        <w:rPr>
          <w:rFonts w:ascii="Times New Roman" w:hAnsi="Times New Roman" w:cs="Times New Roman"/>
          <w:sz w:val="28"/>
          <w:szCs w:val="28"/>
        </w:rPr>
        <w:t>EDLUS ārējās drošības pārbaud</w:t>
      </w:r>
      <w:r w:rsidR="007B08B4">
        <w:rPr>
          <w:rFonts w:ascii="Times New Roman" w:hAnsi="Times New Roman" w:cs="Times New Roman"/>
          <w:sz w:val="28"/>
          <w:szCs w:val="28"/>
        </w:rPr>
        <w:t xml:space="preserve">i, kā arī nosaka </w:t>
      </w:r>
      <w:r w:rsidRPr="00F82004">
        <w:rPr>
          <w:rFonts w:ascii="Times New Roman" w:hAnsi="Times New Roman" w:cs="Times New Roman"/>
          <w:sz w:val="28"/>
          <w:szCs w:val="28"/>
        </w:rPr>
        <w:t xml:space="preserve">EDLUS auditācijas pierakstu veidošanas, uzglabāšanas un izsniegšanas prasības. </w:t>
      </w:r>
    </w:p>
    <w:p w14:paraId="23B052DC" w14:textId="4088A860" w:rsidR="00BE057E" w:rsidRPr="00F82004" w:rsidRDefault="00BE057E" w:rsidP="00BE057E">
      <w:pPr>
        <w:pStyle w:val="NoSpacing"/>
        <w:spacing w:before="0"/>
        <w:ind w:firstLine="720"/>
        <w:jc w:val="both"/>
        <w:rPr>
          <w:rFonts w:ascii="Times New Roman" w:hAnsi="Times New Roman" w:cs="Times New Roman"/>
          <w:sz w:val="28"/>
          <w:szCs w:val="28"/>
        </w:rPr>
      </w:pPr>
      <w:r w:rsidRPr="00F82004">
        <w:rPr>
          <w:rFonts w:ascii="Times New Roman" w:hAnsi="Times New Roman" w:cs="Times New Roman"/>
          <w:sz w:val="28"/>
          <w:szCs w:val="28"/>
        </w:rPr>
        <w:t>Ar Ministru kabineta 2018.gada 7.augusta</w:t>
      </w:r>
      <w:r w:rsidR="004711CA">
        <w:rPr>
          <w:rFonts w:ascii="Times New Roman" w:hAnsi="Times New Roman" w:cs="Times New Roman"/>
          <w:sz w:val="28"/>
          <w:szCs w:val="28"/>
        </w:rPr>
        <w:t xml:space="preserve"> sēdes</w:t>
      </w:r>
      <w:r w:rsidRPr="00F82004">
        <w:rPr>
          <w:rFonts w:ascii="Times New Roman" w:hAnsi="Times New Roman" w:cs="Times New Roman"/>
          <w:sz w:val="28"/>
          <w:szCs w:val="28"/>
        </w:rPr>
        <w:t xml:space="preserve"> </w:t>
      </w:r>
      <w:proofErr w:type="spellStart"/>
      <w:r w:rsidRPr="00F82004">
        <w:rPr>
          <w:rFonts w:ascii="Times New Roman" w:hAnsi="Times New Roman" w:cs="Times New Roman"/>
          <w:sz w:val="28"/>
          <w:szCs w:val="28"/>
        </w:rPr>
        <w:t>protokollēmumu</w:t>
      </w:r>
      <w:proofErr w:type="spellEnd"/>
      <w:r w:rsidRPr="00F82004">
        <w:rPr>
          <w:rFonts w:ascii="Times New Roman" w:hAnsi="Times New Roman" w:cs="Times New Roman"/>
          <w:sz w:val="28"/>
          <w:szCs w:val="28"/>
        </w:rPr>
        <w:t xml:space="preserve"> (prot. Nr.37 73.§</w:t>
      </w:r>
      <w:r w:rsidR="00D96322">
        <w:rPr>
          <w:rFonts w:ascii="Times New Roman" w:hAnsi="Times New Roman" w:cs="Times New Roman"/>
          <w:sz w:val="28"/>
          <w:szCs w:val="28"/>
        </w:rPr>
        <w:t xml:space="preserve"> 2.punkts</w:t>
      </w:r>
      <w:r w:rsidRPr="00F82004">
        <w:rPr>
          <w:rFonts w:ascii="Times New Roman" w:hAnsi="Times New Roman" w:cs="Times New Roman"/>
          <w:sz w:val="28"/>
          <w:szCs w:val="28"/>
        </w:rPr>
        <w:t xml:space="preserve">) par VEDLUDB pārzini un turētāju noteikts BVKB. 2020.gada 7.janvārī </w:t>
      </w:r>
      <w:r w:rsidR="00C267B6">
        <w:rPr>
          <w:rFonts w:ascii="Times New Roman" w:hAnsi="Times New Roman" w:cs="Times New Roman"/>
          <w:sz w:val="28"/>
          <w:szCs w:val="28"/>
        </w:rPr>
        <w:t>pieņemti</w:t>
      </w:r>
      <w:r w:rsidR="00C267B6" w:rsidRPr="00F82004">
        <w:rPr>
          <w:rFonts w:ascii="Times New Roman" w:hAnsi="Times New Roman" w:cs="Times New Roman"/>
          <w:sz w:val="28"/>
          <w:szCs w:val="28"/>
        </w:rPr>
        <w:t xml:space="preserve"> </w:t>
      </w:r>
      <w:r w:rsidRPr="00F82004">
        <w:rPr>
          <w:rFonts w:ascii="Times New Roman" w:hAnsi="Times New Roman" w:cs="Times New Roman"/>
          <w:sz w:val="28"/>
          <w:szCs w:val="28"/>
        </w:rPr>
        <w:t xml:space="preserve">grozījumi Ministru kabineta 2015.gada 28.jūlija noteikumos Nr.438 </w:t>
      </w:r>
      <w:r w:rsidR="003E12D1">
        <w:rPr>
          <w:rFonts w:ascii="Times New Roman" w:hAnsi="Times New Roman" w:cs="Times New Roman"/>
          <w:sz w:val="28"/>
          <w:szCs w:val="28"/>
        </w:rPr>
        <w:t>“</w:t>
      </w:r>
      <w:r w:rsidRPr="00F82004">
        <w:rPr>
          <w:rFonts w:ascii="Times New Roman" w:hAnsi="Times New Roman" w:cs="Times New Roman"/>
          <w:sz w:val="28"/>
          <w:szCs w:val="28"/>
        </w:rPr>
        <w:t>Būvniecības informācijas sistēmas noteikumi</w:t>
      </w:r>
      <w:r w:rsidR="003E12D1">
        <w:rPr>
          <w:rFonts w:ascii="Times New Roman" w:hAnsi="Times New Roman" w:cs="Times New Roman"/>
          <w:sz w:val="28"/>
          <w:szCs w:val="28"/>
        </w:rPr>
        <w:t>”</w:t>
      </w:r>
      <w:r w:rsidRPr="00F82004">
        <w:rPr>
          <w:rFonts w:ascii="Times New Roman" w:hAnsi="Times New Roman" w:cs="Times New Roman"/>
          <w:sz w:val="28"/>
          <w:szCs w:val="28"/>
        </w:rPr>
        <w:t>, nosakot BIS turētāja tiesības VEDLUDB uzturēšanā un BIS lietotāju VEDLUDB informācijas saņemšanas kārtību.</w:t>
      </w:r>
    </w:p>
    <w:p w14:paraId="3E679491" w14:textId="19143208" w:rsidR="00BE057E" w:rsidRPr="00F82004" w:rsidRDefault="00BE057E" w:rsidP="009C6B1E">
      <w:pPr>
        <w:spacing w:before="0" w:after="0" w:line="240" w:lineRule="auto"/>
        <w:ind w:firstLine="720"/>
        <w:jc w:val="both"/>
        <w:rPr>
          <w:rFonts w:ascii="Times New Roman" w:hAnsi="Times New Roman" w:cs="Times New Roman"/>
          <w:sz w:val="28"/>
          <w:szCs w:val="28"/>
        </w:rPr>
      </w:pPr>
      <w:r w:rsidRPr="00F82004">
        <w:rPr>
          <w:rFonts w:ascii="Times New Roman" w:hAnsi="Times New Roman" w:cs="Times New Roman"/>
          <w:iCs/>
          <w:sz w:val="28"/>
          <w:szCs w:val="28"/>
        </w:rPr>
        <w:t>Ņemot vērā, ka EDLUS ir jauns risinājums ēnu ekonomikas ierobežošanai būvniecībā</w:t>
      </w:r>
      <w:r w:rsidRPr="00F82004">
        <w:rPr>
          <w:rFonts w:ascii="Times New Roman" w:hAnsi="Times New Roman" w:cs="Times New Roman"/>
          <w:sz w:val="28"/>
          <w:szCs w:val="28"/>
        </w:rPr>
        <w:t xml:space="preserve">, pēc tā ieviešanas tika noteikts ilgstošs </w:t>
      </w:r>
      <w:r w:rsidRPr="00F82004">
        <w:rPr>
          <w:rFonts w:ascii="Times New Roman" w:hAnsi="Times New Roman" w:cs="Times New Roman"/>
          <w:color w:val="000000" w:themeColor="text1"/>
          <w:sz w:val="28"/>
          <w:szCs w:val="28"/>
        </w:rPr>
        <w:t>pārejas posms</w:t>
      </w:r>
      <w:r w:rsidR="006D6A84">
        <w:rPr>
          <w:rFonts w:ascii="Times New Roman" w:hAnsi="Times New Roman" w:cs="Times New Roman"/>
          <w:color w:val="000000" w:themeColor="text1"/>
          <w:sz w:val="28"/>
          <w:szCs w:val="28"/>
        </w:rPr>
        <w:t xml:space="preserve"> (vairāk nekā divi gadi)</w:t>
      </w:r>
      <w:r w:rsidRPr="00F82004">
        <w:rPr>
          <w:rFonts w:ascii="Times New Roman" w:hAnsi="Times New Roman" w:cs="Times New Roman"/>
          <w:color w:val="000000" w:themeColor="text1"/>
          <w:sz w:val="28"/>
          <w:szCs w:val="28"/>
        </w:rPr>
        <w:t xml:space="preserve">, kura laikā kontrolējošās iestādes nepiemēroja sodus, ļaujot uzņēmumiem </w:t>
      </w:r>
      <w:r w:rsidR="006D6A84">
        <w:rPr>
          <w:rFonts w:ascii="Times New Roman" w:hAnsi="Times New Roman" w:cs="Times New Roman"/>
          <w:color w:val="000000" w:themeColor="text1"/>
          <w:sz w:val="28"/>
          <w:szCs w:val="28"/>
        </w:rPr>
        <w:t>ieviest</w:t>
      </w:r>
      <w:r w:rsidRPr="00F82004">
        <w:rPr>
          <w:rFonts w:ascii="Times New Roman" w:hAnsi="Times New Roman" w:cs="Times New Roman"/>
          <w:color w:val="000000" w:themeColor="text1"/>
          <w:sz w:val="28"/>
          <w:szCs w:val="28"/>
        </w:rPr>
        <w:t xml:space="preserve"> jauno sistēmu un no tās izrietošo kārtību</w:t>
      </w:r>
      <w:r w:rsidR="006D6A84">
        <w:rPr>
          <w:rFonts w:ascii="Times New Roman" w:hAnsi="Times New Roman" w:cs="Times New Roman"/>
          <w:color w:val="000000" w:themeColor="text1"/>
          <w:sz w:val="28"/>
          <w:szCs w:val="28"/>
        </w:rPr>
        <w:t>,</w:t>
      </w:r>
      <w:r w:rsidR="00D87D57">
        <w:rPr>
          <w:rFonts w:ascii="Times New Roman" w:hAnsi="Times New Roman" w:cs="Times New Roman"/>
          <w:color w:val="000000" w:themeColor="text1"/>
          <w:sz w:val="28"/>
          <w:szCs w:val="28"/>
        </w:rPr>
        <w:t xml:space="preserve"> kā arī nostiprināt pienākumu par reģistrēšano</w:t>
      </w:r>
      <w:r w:rsidR="006D6A84">
        <w:rPr>
          <w:rFonts w:ascii="Times New Roman" w:hAnsi="Times New Roman" w:cs="Times New Roman"/>
          <w:color w:val="000000" w:themeColor="text1"/>
          <w:sz w:val="28"/>
          <w:szCs w:val="28"/>
        </w:rPr>
        <w:t>s EDLUS būvlaukumā nodarbināto personu vidū</w:t>
      </w:r>
      <w:r w:rsidRPr="00F82004">
        <w:rPr>
          <w:rFonts w:ascii="Times New Roman" w:hAnsi="Times New Roman" w:cs="Times New Roman"/>
          <w:color w:val="000000" w:themeColor="text1"/>
          <w:sz w:val="28"/>
          <w:szCs w:val="28"/>
        </w:rPr>
        <w:t>.</w:t>
      </w:r>
    </w:p>
    <w:p w14:paraId="26BB65EE" w14:textId="3B340C91" w:rsidR="00BE057E" w:rsidRPr="00F82004" w:rsidRDefault="00BE057E" w:rsidP="005E08CF">
      <w:pPr>
        <w:pStyle w:val="Default"/>
        <w:ind w:firstLine="720"/>
        <w:jc w:val="both"/>
        <w:rPr>
          <w:sz w:val="28"/>
          <w:szCs w:val="28"/>
        </w:rPr>
      </w:pPr>
      <w:bookmarkStart w:id="12" w:name="_Hlk39081401"/>
      <w:r w:rsidRPr="00F82004">
        <w:rPr>
          <w:sz w:val="28"/>
          <w:szCs w:val="28"/>
        </w:rPr>
        <w:t>2019.gada 19.decembrī pieņemt</w:t>
      </w:r>
      <w:r w:rsidR="004815CB">
        <w:rPr>
          <w:sz w:val="28"/>
          <w:szCs w:val="28"/>
        </w:rPr>
        <w:t>s likums</w:t>
      </w:r>
      <w:r w:rsidRPr="00F82004">
        <w:rPr>
          <w:sz w:val="28"/>
          <w:szCs w:val="28"/>
        </w:rPr>
        <w:t xml:space="preserve"> </w:t>
      </w:r>
      <w:r w:rsidR="004815CB">
        <w:rPr>
          <w:sz w:val="28"/>
          <w:szCs w:val="28"/>
        </w:rPr>
        <w:t>“G</w:t>
      </w:r>
      <w:r w:rsidRPr="00F82004">
        <w:rPr>
          <w:sz w:val="28"/>
          <w:szCs w:val="28"/>
        </w:rPr>
        <w:t xml:space="preserve">rozījumi likumā </w:t>
      </w:r>
      <w:r w:rsidR="003E12D1">
        <w:rPr>
          <w:sz w:val="28"/>
          <w:szCs w:val="28"/>
        </w:rPr>
        <w:t>“</w:t>
      </w:r>
      <w:r w:rsidRPr="00F82004">
        <w:rPr>
          <w:sz w:val="28"/>
          <w:szCs w:val="28"/>
        </w:rPr>
        <w:t>Par nodokļiem un nodevām</w:t>
      </w:r>
      <w:r w:rsidR="003E12D1">
        <w:rPr>
          <w:sz w:val="28"/>
          <w:szCs w:val="28"/>
        </w:rPr>
        <w:t>”</w:t>
      </w:r>
      <w:r w:rsidR="004815CB">
        <w:rPr>
          <w:sz w:val="28"/>
          <w:szCs w:val="28"/>
        </w:rPr>
        <w:t>”</w:t>
      </w:r>
      <w:r w:rsidRPr="00F82004">
        <w:rPr>
          <w:sz w:val="28"/>
          <w:szCs w:val="28"/>
        </w:rPr>
        <w:t xml:space="preserve">, nosakot administratīvo </w:t>
      </w:r>
      <w:r w:rsidR="00D96322">
        <w:rPr>
          <w:sz w:val="28"/>
          <w:szCs w:val="28"/>
        </w:rPr>
        <w:t>atbildību</w:t>
      </w:r>
      <w:r w:rsidR="00D96322" w:rsidRPr="00F82004">
        <w:rPr>
          <w:sz w:val="28"/>
          <w:szCs w:val="28"/>
        </w:rPr>
        <w:t xml:space="preserve"> </w:t>
      </w:r>
      <w:r w:rsidRPr="00F82004">
        <w:rPr>
          <w:sz w:val="28"/>
          <w:szCs w:val="28"/>
        </w:rPr>
        <w:t xml:space="preserve">par regulējuma </w:t>
      </w:r>
      <w:r w:rsidR="00D96322">
        <w:rPr>
          <w:sz w:val="28"/>
          <w:szCs w:val="28"/>
        </w:rPr>
        <w:t xml:space="preserve">attiecībā uz </w:t>
      </w:r>
      <w:r w:rsidRPr="00F82004">
        <w:rPr>
          <w:sz w:val="28"/>
          <w:szCs w:val="28"/>
        </w:rPr>
        <w:t>elektronisk</w:t>
      </w:r>
      <w:r w:rsidR="00C267B6">
        <w:rPr>
          <w:sz w:val="28"/>
          <w:szCs w:val="28"/>
        </w:rPr>
        <w:t>ās</w:t>
      </w:r>
      <w:r w:rsidRPr="00F82004">
        <w:rPr>
          <w:sz w:val="28"/>
          <w:szCs w:val="28"/>
        </w:rPr>
        <w:t xml:space="preserve"> informācijas uzskait</w:t>
      </w:r>
      <w:r w:rsidR="00C267B6">
        <w:rPr>
          <w:sz w:val="28"/>
          <w:szCs w:val="28"/>
        </w:rPr>
        <w:t>es</w:t>
      </w:r>
      <w:r w:rsidRPr="00F82004">
        <w:rPr>
          <w:sz w:val="28"/>
          <w:szCs w:val="28"/>
        </w:rPr>
        <w:t xml:space="preserve"> būvlaukumā </w:t>
      </w:r>
      <w:r w:rsidR="00D96322" w:rsidRPr="00F82004">
        <w:rPr>
          <w:sz w:val="28"/>
          <w:szCs w:val="28"/>
        </w:rPr>
        <w:t>neievērošanu</w:t>
      </w:r>
      <w:r w:rsidR="007F182D" w:rsidRPr="007F182D">
        <w:rPr>
          <w:sz w:val="28"/>
          <w:szCs w:val="28"/>
        </w:rPr>
        <w:t>,</w:t>
      </w:r>
      <w:r w:rsidRPr="007F182D">
        <w:rPr>
          <w:sz w:val="28"/>
          <w:szCs w:val="28"/>
        </w:rPr>
        <w:t xml:space="preserve"> </w:t>
      </w:r>
      <w:r w:rsidRPr="00F82004">
        <w:rPr>
          <w:sz w:val="28"/>
          <w:szCs w:val="28"/>
        </w:rPr>
        <w:t xml:space="preserve">kas piemērojama ar 2020.gada 1.jūliju. Šī normatīvā regulējuma mērķis ir stiprināt galvenā būvdarbu veicēja atbildību par </w:t>
      </w:r>
      <w:r w:rsidR="004C3231">
        <w:rPr>
          <w:sz w:val="28"/>
          <w:szCs w:val="28"/>
        </w:rPr>
        <w:t>būvlaukumā</w:t>
      </w:r>
      <w:r w:rsidR="004C3231" w:rsidRPr="00F82004">
        <w:rPr>
          <w:sz w:val="28"/>
          <w:szCs w:val="28"/>
        </w:rPr>
        <w:t xml:space="preserve"> </w:t>
      </w:r>
      <w:r w:rsidRPr="00F82004">
        <w:rPr>
          <w:sz w:val="28"/>
          <w:szCs w:val="28"/>
        </w:rPr>
        <w:t>notiekošo EDLU nodrošināšanā, datu glabāšanu un nodošanu kontrolējošām institūcijām, kā arī darba devēju un nodarbināto atbildību par objektīvu un precīzu darba laika reģistrāciju</w:t>
      </w:r>
      <w:r w:rsidR="00D96322">
        <w:rPr>
          <w:sz w:val="28"/>
          <w:szCs w:val="28"/>
        </w:rPr>
        <w:t xml:space="preserve"> EDLUS</w:t>
      </w:r>
      <w:r w:rsidRPr="00F82004">
        <w:rPr>
          <w:sz w:val="28"/>
          <w:szCs w:val="28"/>
        </w:rPr>
        <w:t>.</w:t>
      </w:r>
    </w:p>
    <w:bookmarkEnd w:id="12"/>
    <w:p w14:paraId="7E421A79" w14:textId="77777777" w:rsidR="006E266D" w:rsidRPr="00F82004" w:rsidRDefault="006E266D" w:rsidP="00BE057E">
      <w:pPr>
        <w:pStyle w:val="NoSpacing"/>
        <w:spacing w:before="0"/>
        <w:jc w:val="center"/>
        <w:rPr>
          <w:rFonts w:ascii="Times New Roman" w:hAnsi="Times New Roman" w:cs="Times New Roman"/>
          <w:b/>
          <w:sz w:val="28"/>
          <w:szCs w:val="28"/>
        </w:rPr>
      </w:pPr>
    </w:p>
    <w:p w14:paraId="48FE8AF1" w14:textId="77777777" w:rsidR="00BE057E" w:rsidRPr="00F82004" w:rsidRDefault="00BE057E" w:rsidP="00BE057E">
      <w:pPr>
        <w:pStyle w:val="NoSpacing"/>
        <w:spacing w:before="0"/>
        <w:jc w:val="center"/>
        <w:rPr>
          <w:rFonts w:ascii="Times New Roman" w:hAnsi="Times New Roman" w:cs="Times New Roman"/>
          <w:b/>
          <w:color w:val="FF0000"/>
          <w:sz w:val="28"/>
          <w:szCs w:val="28"/>
        </w:rPr>
      </w:pPr>
      <w:r w:rsidRPr="00F82004">
        <w:rPr>
          <w:rFonts w:ascii="Times New Roman" w:hAnsi="Times New Roman" w:cs="Times New Roman"/>
          <w:b/>
          <w:sz w:val="28"/>
          <w:szCs w:val="28"/>
        </w:rPr>
        <w:t xml:space="preserve">4. VID pārbaudēs konstatētais </w:t>
      </w:r>
    </w:p>
    <w:p w14:paraId="68252A79" w14:textId="77777777" w:rsidR="00BE057E" w:rsidRPr="00F82004" w:rsidRDefault="00BE057E" w:rsidP="00BE057E">
      <w:pPr>
        <w:pStyle w:val="NoSpacing"/>
        <w:spacing w:before="0"/>
        <w:ind w:firstLine="720"/>
        <w:rPr>
          <w:rFonts w:ascii="Times New Roman" w:hAnsi="Times New Roman" w:cs="Times New Roman"/>
          <w:b/>
          <w:i/>
          <w:sz w:val="28"/>
          <w:szCs w:val="28"/>
        </w:rPr>
      </w:pPr>
    </w:p>
    <w:p w14:paraId="74DB4583" w14:textId="77777777" w:rsidR="00BE057E" w:rsidRPr="00F82004" w:rsidRDefault="00BE057E" w:rsidP="005E08CF">
      <w:pPr>
        <w:pStyle w:val="NoSpacing"/>
        <w:spacing w:before="0"/>
        <w:ind w:firstLine="720"/>
        <w:jc w:val="both"/>
        <w:rPr>
          <w:rFonts w:ascii="Times New Roman" w:hAnsi="Times New Roman" w:cs="Times New Roman"/>
          <w:b/>
          <w:i/>
          <w:sz w:val="28"/>
          <w:szCs w:val="28"/>
        </w:rPr>
      </w:pPr>
      <w:bookmarkStart w:id="13" w:name="_Hlk39133992"/>
      <w:r w:rsidRPr="00F82004">
        <w:rPr>
          <w:rFonts w:ascii="Times New Roman" w:hAnsi="Times New Roman" w:cs="Times New Roman"/>
          <w:b/>
          <w:i/>
          <w:sz w:val="28"/>
          <w:szCs w:val="28"/>
        </w:rPr>
        <w:t>VID veikto pārbaužu rezultātu apkopojums un konstatētās tendences</w:t>
      </w:r>
    </w:p>
    <w:bookmarkEnd w:id="13"/>
    <w:p w14:paraId="1B069F77" w14:textId="77777777" w:rsidR="00BE057E" w:rsidRPr="00F82004" w:rsidRDefault="00BE057E" w:rsidP="009C6B1E">
      <w:pPr>
        <w:pStyle w:val="NoSpacing"/>
        <w:spacing w:before="0"/>
        <w:ind w:firstLine="720"/>
        <w:jc w:val="both"/>
        <w:rPr>
          <w:rFonts w:ascii="Times New Roman" w:hAnsi="Times New Roman" w:cs="Times New Roman"/>
          <w:sz w:val="28"/>
          <w:szCs w:val="28"/>
        </w:rPr>
      </w:pPr>
      <w:r w:rsidRPr="00F82004">
        <w:rPr>
          <w:rFonts w:ascii="Times New Roman" w:hAnsi="Times New Roman" w:cs="Times New Roman"/>
          <w:sz w:val="28"/>
          <w:szCs w:val="28"/>
        </w:rPr>
        <w:t>Lai sasniegtu EDLU ieviešanas mērķus, sākot ar 2017.gada 1.oktobri</w:t>
      </w:r>
      <w:r w:rsidR="009C6B1E">
        <w:rPr>
          <w:rFonts w:ascii="Times New Roman" w:hAnsi="Times New Roman" w:cs="Times New Roman"/>
          <w:sz w:val="28"/>
          <w:szCs w:val="28"/>
        </w:rPr>
        <w:t>,</w:t>
      </w:r>
      <w:r w:rsidRPr="00F82004">
        <w:rPr>
          <w:rFonts w:ascii="Times New Roman" w:hAnsi="Times New Roman" w:cs="Times New Roman"/>
          <w:sz w:val="28"/>
          <w:szCs w:val="28"/>
        </w:rPr>
        <w:t xml:space="preserve"> VID veica kontroles pasākumus būvlaukumos, tajā skaitā atklātā tipa būvlaukumos, galvenajiem būvdarbu veicējiem, kā arī apakšuzņēmējiem, kuri veic darbu būvlaukumā būvdarbu līguma izpildei vai nodrošina darbaspēku.</w:t>
      </w:r>
    </w:p>
    <w:p w14:paraId="682048DB" w14:textId="4E74E989" w:rsidR="00BE057E" w:rsidRPr="00F82004" w:rsidRDefault="00BE057E" w:rsidP="009C6B1E">
      <w:pPr>
        <w:pStyle w:val="NoSpacing"/>
        <w:spacing w:before="0"/>
        <w:ind w:firstLine="720"/>
        <w:jc w:val="both"/>
        <w:rPr>
          <w:rFonts w:ascii="Times New Roman" w:hAnsi="Times New Roman" w:cs="Times New Roman"/>
          <w:sz w:val="28"/>
          <w:szCs w:val="28"/>
        </w:rPr>
      </w:pPr>
      <w:r w:rsidRPr="00F82004">
        <w:rPr>
          <w:rFonts w:ascii="Times New Roman" w:hAnsi="Times New Roman" w:cs="Times New Roman"/>
          <w:sz w:val="28"/>
          <w:szCs w:val="28"/>
        </w:rPr>
        <w:t>Veicot EDLU ieviešanas uzraudzību būvlaukumos</w:t>
      </w:r>
      <w:r w:rsidR="000C4239">
        <w:rPr>
          <w:rFonts w:ascii="Times New Roman" w:hAnsi="Times New Roman" w:cs="Times New Roman"/>
          <w:sz w:val="28"/>
          <w:szCs w:val="28"/>
        </w:rPr>
        <w:t>,</w:t>
      </w:r>
      <w:r w:rsidRPr="00F82004">
        <w:rPr>
          <w:rFonts w:ascii="Times New Roman" w:hAnsi="Times New Roman" w:cs="Times New Roman"/>
          <w:sz w:val="28"/>
          <w:szCs w:val="28"/>
        </w:rPr>
        <w:t xml:space="preserve"> VID izmantoja reālā laika pārbaudes principu, kas ļāva pārliecināties par likumā </w:t>
      </w:r>
      <w:r w:rsidR="003E12D1">
        <w:rPr>
          <w:rFonts w:ascii="Times New Roman" w:hAnsi="Times New Roman" w:cs="Times New Roman"/>
          <w:sz w:val="28"/>
          <w:szCs w:val="28"/>
        </w:rPr>
        <w:t>“</w:t>
      </w:r>
      <w:r w:rsidRPr="00F82004">
        <w:rPr>
          <w:rFonts w:ascii="Times New Roman" w:hAnsi="Times New Roman" w:cs="Times New Roman"/>
          <w:sz w:val="28"/>
          <w:szCs w:val="28"/>
        </w:rPr>
        <w:t>Par nodokļiem un nodevām</w:t>
      </w:r>
      <w:r w:rsidR="003E12D1">
        <w:rPr>
          <w:rFonts w:ascii="Times New Roman" w:hAnsi="Times New Roman" w:cs="Times New Roman"/>
          <w:sz w:val="28"/>
          <w:szCs w:val="28"/>
        </w:rPr>
        <w:t>”</w:t>
      </w:r>
      <w:r w:rsidRPr="00F82004">
        <w:rPr>
          <w:rFonts w:ascii="Times New Roman" w:hAnsi="Times New Roman" w:cs="Times New Roman"/>
          <w:sz w:val="28"/>
          <w:szCs w:val="28"/>
        </w:rPr>
        <w:t xml:space="preserve"> galvenajam būvdarbu veicējam un apakšuzņēmējam noteikto pienākumu ievērošanu EDLUS ieviešanā un izmantošanā, kā arī </w:t>
      </w:r>
      <w:r w:rsidR="00D614BE">
        <w:rPr>
          <w:rFonts w:ascii="Times New Roman" w:hAnsi="Times New Roman" w:cs="Times New Roman"/>
          <w:sz w:val="28"/>
          <w:szCs w:val="28"/>
        </w:rPr>
        <w:t xml:space="preserve">darba laika </w:t>
      </w:r>
      <w:r w:rsidRPr="00F82004">
        <w:rPr>
          <w:rFonts w:ascii="Times New Roman" w:hAnsi="Times New Roman" w:cs="Times New Roman"/>
          <w:sz w:val="28"/>
          <w:szCs w:val="28"/>
        </w:rPr>
        <w:t xml:space="preserve">reģistrācijas </w:t>
      </w:r>
      <w:r w:rsidR="00D614BE" w:rsidRPr="00F82004">
        <w:rPr>
          <w:rFonts w:ascii="Times New Roman" w:hAnsi="Times New Roman" w:cs="Times New Roman"/>
          <w:sz w:val="28"/>
          <w:szCs w:val="28"/>
        </w:rPr>
        <w:t xml:space="preserve">EDLUS </w:t>
      </w:r>
      <w:r w:rsidRPr="00F82004">
        <w:rPr>
          <w:rFonts w:ascii="Times New Roman" w:hAnsi="Times New Roman" w:cs="Times New Roman"/>
          <w:sz w:val="28"/>
          <w:szCs w:val="28"/>
        </w:rPr>
        <w:t xml:space="preserve">disciplīnas ievērošanu nodarbināto vidū. </w:t>
      </w:r>
    </w:p>
    <w:p w14:paraId="3997F557" w14:textId="77777777" w:rsidR="000C4239" w:rsidRPr="00FF34B6" w:rsidRDefault="00BE057E" w:rsidP="009C6B1E">
      <w:pPr>
        <w:pStyle w:val="NoSpacing"/>
        <w:spacing w:before="0"/>
        <w:ind w:firstLine="720"/>
        <w:jc w:val="both"/>
        <w:rPr>
          <w:rFonts w:ascii="Times New Roman" w:hAnsi="Times New Roman" w:cs="Times New Roman"/>
          <w:sz w:val="28"/>
          <w:szCs w:val="28"/>
        </w:rPr>
      </w:pPr>
      <w:r w:rsidRPr="00F82004">
        <w:rPr>
          <w:rFonts w:ascii="Times New Roman" w:hAnsi="Times New Roman" w:cs="Times New Roman"/>
          <w:sz w:val="28"/>
          <w:szCs w:val="28"/>
        </w:rPr>
        <w:t>Salīdzinot ar 2017.gadu, 2018. un 2019.gadā ir pieaudzis VID veikto kontroles pasākumu kopējais skaits</w:t>
      </w:r>
      <w:r w:rsidRPr="00F82004">
        <w:rPr>
          <w:rStyle w:val="FootnoteReference"/>
          <w:rFonts w:ascii="Times New Roman" w:hAnsi="Times New Roman" w:cs="Times New Roman"/>
          <w:sz w:val="28"/>
          <w:szCs w:val="28"/>
        </w:rPr>
        <w:footnoteReference w:id="4"/>
      </w:r>
      <w:r w:rsidRPr="00F82004">
        <w:rPr>
          <w:rFonts w:ascii="Times New Roman" w:hAnsi="Times New Roman" w:cs="Times New Roman"/>
          <w:sz w:val="28"/>
          <w:szCs w:val="28"/>
        </w:rPr>
        <w:t xml:space="preserve"> būvniecības nozarē strādājošiem uzņēmumiem </w:t>
      </w:r>
      <w:r w:rsidRPr="00FF34B6">
        <w:rPr>
          <w:rFonts w:ascii="Times New Roman" w:hAnsi="Times New Roman" w:cs="Times New Roman"/>
          <w:sz w:val="28"/>
          <w:szCs w:val="28"/>
        </w:rPr>
        <w:lastRenderedPageBreak/>
        <w:t xml:space="preserve">(skatīt </w:t>
      </w:r>
      <w:r w:rsidR="00FF34B6" w:rsidRPr="00FF34B6">
        <w:rPr>
          <w:rFonts w:ascii="Times New Roman" w:hAnsi="Times New Roman" w:cs="Times New Roman"/>
          <w:sz w:val="28"/>
          <w:szCs w:val="28"/>
        </w:rPr>
        <w:t>2</w:t>
      </w:r>
      <w:r w:rsidRPr="00FF34B6">
        <w:rPr>
          <w:rFonts w:ascii="Times New Roman" w:hAnsi="Times New Roman" w:cs="Times New Roman"/>
          <w:sz w:val="28"/>
          <w:szCs w:val="28"/>
        </w:rPr>
        <w:t xml:space="preserve">.attēlu). EDLU ieviešanas uzraudzības ietvaros veikto kontroles pasākumu īpatsvars 2018.gadā </w:t>
      </w:r>
      <w:r w:rsidR="009C6B1E">
        <w:rPr>
          <w:rFonts w:ascii="Times New Roman" w:hAnsi="Times New Roman" w:cs="Times New Roman"/>
          <w:sz w:val="28"/>
          <w:szCs w:val="28"/>
        </w:rPr>
        <w:t>bija</w:t>
      </w:r>
      <w:r w:rsidRPr="00FF34B6">
        <w:rPr>
          <w:rFonts w:ascii="Times New Roman" w:hAnsi="Times New Roman" w:cs="Times New Roman"/>
          <w:sz w:val="28"/>
          <w:szCs w:val="28"/>
        </w:rPr>
        <w:t xml:space="preserve"> 61,8</w:t>
      </w:r>
      <w:r w:rsidR="009C6B1E">
        <w:rPr>
          <w:rFonts w:ascii="Times New Roman" w:hAnsi="Times New Roman" w:cs="Times New Roman"/>
          <w:sz w:val="28"/>
          <w:szCs w:val="28"/>
        </w:rPr>
        <w:t> </w:t>
      </w:r>
      <w:r w:rsidRPr="00FF34B6">
        <w:rPr>
          <w:rFonts w:ascii="Times New Roman" w:hAnsi="Times New Roman" w:cs="Times New Roman"/>
          <w:sz w:val="28"/>
          <w:szCs w:val="28"/>
        </w:rPr>
        <w:t>% un 2019.gadā – 84,7</w:t>
      </w:r>
      <w:r w:rsidR="009C6B1E">
        <w:rPr>
          <w:rFonts w:ascii="Times New Roman" w:hAnsi="Times New Roman" w:cs="Times New Roman"/>
          <w:sz w:val="28"/>
          <w:szCs w:val="28"/>
        </w:rPr>
        <w:t> </w:t>
      </w:r>
      <w:r w:rsidRPr="00FF34B6">
        <w:rPr>
          <w:rFonts w:ascii="Times New Roman" w:hAnsi="Times New Roman" w:cs="Times New Roman"/>
          <w:sz w:val="28"/>
          <w:szCs w:val="28"/>
        </w:rPr>
        <w:t>%.</w:t>
      </w:r>
    </w:p>
    <w:p w14:paraId="15ABE725" w14:textId="77777777" w:rsidR="00BE057E" w:rsidRPr="00FF34B6" w:rsidRDefault="00BE057E" w:rsidP="009C6B1E">
      <w:pPr>
        <w:pStyle w:val="NoSpacing"/>
        <w:spacing w:before="0"/>
        <w:ind w:firstLine="720"/>
        <w:jc w:val="both"/>
        <w:rPr>
          <w:rFonts w:ascii="Times New Roman" w:hAnsi="Times New Roman" w:cs="Times New Roman"/>
          <w:sz w:val="28"/>
          <w:szCs w:val="28"/>
        </w:rPr>
      </w:pPr>
      <w:r w:rsidRPr="00FF34B6">
        <w:rPr>
          <w:rFonts w:ascii="Times New Roman" w:hAnsi="Times New Roman" w:cs="Times New Roman"/>
          <w:sz w:val="28"/>
          <w:szCs w:val="28"/>
        </w:rPr>
        <w:t xml:space="preserve">  </w:t>
      </w:r>
    </w:p>
    <w:p w14:paraId="7ECF366D" w14:textId="77777777" w:rsidR="00252106" w:rsidRPr="00FF34B6" w:rsidRDefault="00252106" w:rsidP="00252106">
      <w:pPr>
        <w:pStyle w:val="NoSpacing"/>
        <w:spacing w:before="0"/>
        <w:jc w:val="center"/>
        <w:rPr>
          <w:rFonts w:ascii="Times New Roman" w:hAnsi="Times New Roman" w:cs="Times New Roman"/>
          <w:sz w:val="28"/>
          <w:szCs w:val="28"/>
        </w:rPr>
      </w:pPr>
      <w:r w:rsidRPr="00FF34B6">
        <w:rPr>
          <w:noProof/>
          <w:lang w:eastAsia="lv-LV"/>
        </w:rPr>
        <w:drawing>
          <wp:inline distT="0" distB="0" distL="0" distR="0" wp14:anchorId="437F6D4B" wp14:editId="0A909E41">
            <wp:extent cx="5369560" cy="1990725"/>
            <wp:effectExtent l="0" t="0" r="2540" b="9525"/>
            <wp:docPr id="3" name="Chart 3">
              <a:extLst xmlns:a="http://schemas.openxmlformats.org/drawingml/2006/main">
                <a:ext uri="{FF2B5EF4-FFF2-40B4-BE49-F238E27FC236}">
                  <a16:creationId xmlns:a16="http://schemas.microsoft.com/office/drawing/2014/main" id="{255B27A9-972F-4EB2-A1E3-8111C15366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67F871" w14:textId="77777777" w:rsidR="00BE057E" w:rsidRPr="00FF34B6" w:rsidRDefault="00BE057E" w:rsidP="00BE057E">
      <w:pPr>
        <w:pStyle w:val="NoSpacing"/>
        <w:spacing w:before="0"/>
        <w:ind w:firstLine="720"/>
        <w:jc w:val="both"/>
        <w:rPr>
          <w:rFonts w:ascii="Times New Roman" w:hAnsi="Times New Roman" w:cs="Times New Roman"/>
          <w:sz w:val="28"/>
          <w:szCs w:val="28"/>
        </w:rPr>
      </w:pPr>
    </w:p>
    <w:p w14:paraId="25B30934" w14:textId="77777777" w:rsidR="00BE057E" w:rsidRPr="00177D8E" w:rsidRDefault="00FF34B6" w:rsidP="00BE057E">
      <w:pPr>
        <w:pStyle w:val="NoSpacing"/>
        <w:spacing w:before="0"/>
        <w:ind w:firstLine="720"/>
        <w:jc w:val="both"/>
        <w:rPr>
          <w:rFonts w:ascii="Times New Roman" w:hAnsi="Times New Roman" w:cs="Times New Roman"/>
          <w:b/>
          <w:sz w:val="28"/>
          <w:szCs w:val="28"/>
        </w:rPr>
      </w:pPr>
      <w:r w:rsidRPr="00FF34B6">
        <w:rPr>
          <w:rFonts w:ascii="Times New Roman" w:hAnsi="Times New Roman" w:cs="Times New Roman"/>
          <w:sz w:val="28"/>
          <w:szCs w:val="28"/>
        </w:rPr>
        <w:t>2</w:t>
      </w:r>
      <w:r w:rsidR="00BE057E" w:rsidRPr="00FF34B6">
        <w:rPr>
          <w:rFonts w:ascii="Times New Roman" w:hAnsi="Times New Roman" w:cs="Times New Roman"/>
          <w:sz w:val="28"/>
          <w:szCs w:val="28"/>
        </w:rPr>
        <w:t xml:space="preserve">.attēls. </w:t>
      </w:r>
      <w:r w:rsidR="00BE057E" w:rsidRPr="00177D8E">
        <w:rPr>
          <w:rFonts w:ascii="Times New Roman" w:hAnsi="Times New Roman" w:cs="Times New Roman"/>
          <w:b/>
          <w:sz w:val="28"/>
          <w:szCs w:val="28"/>
        </w:rPr>
        <w:t xml:space="preserve">Kontroles pasākumu skaita </w:t>
      </w:r>
      <w:r w:rsidR="007F182D">
        <w:rPr>
          <w:rFonts w:ascii="Times New Roman" w:hAnsi="Times New Roman" w:cs="Times New Roman"/>
          <w:b/>
          <w:sz w:val="28"/>
          <w:szCs w:val="28"/>
        </w:rPr>
        <w:t>dinamika</w:t>
      </w:r>
    </w:p>
    <w:p w14:paraId="6074D6FF" w14:textId="77777777" w:rsidR="00BE057E" w:rsidRPr="00FF34B6" w:rsidRDefault="00BE057E" w:rsidP="009C6B1E">
      <w:pPr>
        <w:pStyle w:val="NoSpacing"/>
        <w:spacing w:before="0"/>
        <w:ind w:firstLine="720"/>
        <w:jc w:val="both"/>
        <w:rPr>
          <w:rFonts w:ascii="Times New Roman" w:hAnsi="Times New Roman" w:cs="Times New Roman"/>
          <w:sz w:val="28"/>
          <w:szCs w:val="28"/>
        </w:rPr>
      </w:pPr>
    </w:p>
    <w:p w14:paraId="7D68DCEF" w14:textId="328A89DC" w:rsidR="00BE057E" w:rsidRDefault="00BE057E" w:rsidP="005E08CF">
      <w:pPr>
        <w:pStyle w:val="NoSpacing"/>
        <w:spacing w:before="0"/>
        <w:ind w:firstLine="720"/>
        <w:jc w:val="both"/>
        <w:rPr>
          <w:rFonts w:ascii="Times New Roman" w:hAnsi="Times New Roman" w:cs="Times New Roman"/>
          <w:sz w:val="28"/>
          <w:szCs w:val="28"/>
        </w:rPr>
      </w:pPr>
      <w:r w:rsidRPr="00FF34B6">
        <w:rPr>
          <w:rFonts w:ascii="Times New Roman" w:hAnsi="Times New Roman" w:cs="Times New Roman"/>
          <w:sz w:val="28"/>
          <w:szCs w:val="28"/>
        </w:rPr>
        <w:t xml:space="preserve">VID, sākot </w:t>
      </w:r>
      <w:r w:rsidR="00624E8E">
        <w:rPr>
          <w:rFonts w:ascii="Times New Roman" w:hAnsi="Times New Roman" w:cs="Times New Roman"/>
          <w:sz w:val="28"/>
          <w:szCs w:val="28"/>
        </w:rPr>
        <w:t>no</w:t>
      </w:r>
      <w:r w:rsidR="00624E8E" w:rsidRPr="00FF34B6">
        <w:rPr>
          <w:rFonts w:ascii="Times New Roman" w:hAnsi="Times New Roman" w:cs="Times New Roman"/>
          <w:sz w:val="28"/>
          <w:szCs w:val="28"/>
        </w:rPr>
        <w:t xml:space="preserve"> </w:t>
      </w:r>
      <w:r w:rsidRPr="00FF34B6">
        <w:rPr>
          <w:rFonts w:ascii="Times New Roman" w:hAnsi="Times New Roman" w:cs="Times New Roman"/>
          <w:sz w:val="28"/>
          <w:szCs w:val="28"/>
        </w:rPr>
        <w:t>2017.gada 1.oktobr</w:t>
      </w:r>
      <w:r w:rsidR="004815CB">
        <w:rPr>
          <w:rFonts w:ascii="Times New Roman" w:hAnsi="Times New Roman" w:cs="Times New Roman"/>
          <w:sz w:val="28"/>
          <w:szCs w:val="28"/>
        </w:rPr>
        <w:t>a</w:t>
      </w:r>
      <w:r w:rsidRPr="00FF34B6">
        <w:rPr>
          <w:rFonts w:ascii="Times New Roman" w:hAnsi="Times New Roman" w:cs="Times New Roman"/>
          <w:sz w:val="28"/>
          <w:szCs w:val="28"/>
        </w:rPr>
        <w:t xml:space="preserve"> </w:t>
      </w:r>
      <w:r w:rsidR="004815CB">
        <w:rPr>
          <w:rFonts w:ascii="Times New Roman" w:hAnsi="Times New Roman" w:cs="Times New Roman"/>
          <w:sz w:val="28"/>
          <w:szCs w:val="28"/>
        </w:rPr>
        <w:t>(</w:t>
      </w:r>
      <w:r w:rsidR="004815CB" w:rsidRPr="00FF34B6">
        <w:rPr>
          <w:rFonts w:ascii="Times New Roman" w:hAnsi="Times New Roman" w:cs="Times New Roman"/>
          <w:sz w:val="28"/>
          <w:szCs w:val="28"/>
        </w:rPr>
        <w:t>EDLU ieviešanas</w:t>
      </w:r>
      <w:r w:rsidR="004815CB">
        <w:rPr>
          <w:rFonts w:ascii="Times New Roman" w:hAnsi="Times New Roman" w:cs="Times New Roman"/>
          <w:sz w:val="28"/>
          <w:szCs w:val="28"/>
        </w:rPr>
        <w:t>) līdz</w:t>
      </w:r>
      <w:r w:rsidR="004815CB" w:rsidRPr="00FF34B6">
        <w:rPr>
          <w:rFonts w:ascii="Times New Roman" w:hAnsi="Times New Roman" w:cs="Times New Roman"/>
          <w:sz w:val="28"/>
          <w:szCs w:val="28"/>
        </w:rPr>
        <w:t xml:space="preserve"> </w:t>
      </w:r>
      <w:r w:rsidRPr="00FF34B6">
        <w:rPr>
          <w:rFonts w:ascii="Times New Roman" w:hAnsi="Times New Roman" w:cs="Times New Roman"/>
          <w:sz w:val="28"/>
          <w:szCs w:val="28"/>
        </w:rPr>
        <w:t>2019.gad</w:t>
      </w:r>
      <w:r w:rsidR="004815CB">
        <w:rPr>
          <w:rFonts w:ascii="Times New Roman" w:hAnsi="Times New Roman" w:cs="Times New Roman"/>
          <w:sz w:val="28"/>
          <w:szCs w:val="28"/>
        </w:rPr>
        <w:t>a beigām</w:t>
      </w:r>
      <w:r w:rsidRPr="00FF34B6">
        <w:rPr>
          <w:rFonts w:ascii="Times New Roman" w:hAnsi="Times New Roman" w:cs="Times New Roman"/>
          <w:sz w:val="28"/>
          <w:szCs w:val="28"/>
        </w:rPr>
        <w:t xml:space="preserve"> veica kontroles pasākumus</w:t>
      </w:r>
      <w:r w:rsidR="00437F5F">
        <w:rPr>
          <w:rFonts w:ascii="Times New Roman" w:hAnsi="Times New Roman" w:cs="Times New Roman"/>
          <w:sz w:val="28"/>
          <w:szCs w:val="28"/>
        </w:rPr>
        <w:t xml:space="preserve"> kopumā </w:t>
      </w:r>
      <w:r w:rsidRPr="00FF34B6">
        <w:rPr>
          <w:rFonts w:ascii="Times New Roman" w:hAnsi="Times New Roman" w:cs="Times New Roman"/>
          <w:sz w:val="28"/>
          <w:szCs w:val="28"/>
        </w:rPr>
        <w:t>213</w:t>
      </w:r>
      <w:r w:rsidR="009C6B1E">
        <w:rPr>
          <w:rFonts w:ascii="Times New Roman" w:hAnsi="Times New Roman" w:cs="Times New Roman"/>
          <w:sz w:val="28"/>
          <w:szCs w:val="28"/>
        </w:rPr>
        <w:t> </w:t>
      </w:r>
      <w:r w:rsidRPr="00FF34B6">
        <w:rPr>
          <w:rFonts w:ascii="Times New Roman" w:hAnsi="Times New Roman" w:cs="Times New Roman"/>
          <w:sz w:val="28"/>
          <w:szCs w:val="28"/>
        </w:rPr>
        <w:t xml:space="preserve">būvlaukumos. Galvenajiem būvdarbu </w:t>
      </w:r>
      <w:r w:rsidRPr="00E65335">
        <w:rPr>
          <w:rFonts w:ascii="Times New Roman" w:hAnsi="Times New Roman" w:cs="Times New Roman"/>
          <w:sz w:val="28"/>
          <w:szCs w:val="28"/>
        </w:rPr>
        <w:t>veicējiem veikta</w:t>
      </w:r>
      <w:r w:rsidR="009C6B1E">
        <w:rPr>
          <w:rFonts w:ascii="Times New Roman" w:hAnsi="Times New Roman" w:cs="Times New Roman"/>
          <w:sz w:val="28"/>
          <w:szCs w:val="28"/>
        </w:rPr>
        <w:t>s</w:t>
      </w:r>
      <w:r w:rsidRPr="00E65335">
        <w:rPr>
          <w:rFonts w:ascii="Times New Roman" w:hAnsi="Times New Roman" w:cs="Times New Roman"/>
          <w:sz w:val="28"/>
          <w:szCs w:val="28"/>
        </w:rPr>
        <w:t xml:space="preserve"> </w:t>
      </w:r>
      <w:r w:rsidR="00437F5F">
        <w:rPr>
          <w:rFonts w:ascii="Times New Roman" w:hAnsi="Times New Roman" w:cs="Times New Roman"/>
          <w:sz w:val="28"/>
          <w:szCs w:val="28"/>
        </w:rPr>
        <w:t xml:space="preserve">kopumā </w:t>
      </w:r>
      <w:r w:rsidRPr="00E65335">
        <w:rPr>
          <w:rFonts w:ascii="Times New Roman" w:hAnsi="Times New Roman" w:cs="Times New Roman"/>
          <w:sz w:val="28"/>
          <w:szCs w:val="28"/>
        </w:rPr>
        <w:t>211</w:t>
      </w:r>
      <w:r w:rsidR="009C6B1E">
        <w:rPr>
          <w:rFonts w:ascii="Times New Roman" w:hAnsi="Times New Roman" w:cs="Times New Roman"/>
          <w:sz w:val="28"/>
          <w:szCs w:val="28"/>
        </w:rPr>
        <w:t> </w:t>
      </w:r>
      <w:r w:rsidRPr="00E65335">
        <w:rPr>
          <w:rFonts w:ascii="Times New Roman" w:hAnsi="Times New Roman" w:cs="Times New Roman"/>
          <w:sz w:val="28"/>
          <w:szCs w:val="28"/>
        </w:rPr>
        <w:t>tematiskā</w:t>
      </w:r>
      <w:r w:rsidR="009C6B1E">
        <w:rPr>
          <w:rFonts w:ascii="Times New Roman" w:hAnsi="Times New Roman" w:cs="Times New Roman"/>
          <w:sz w:val="28"/>
          <w:szCs w:val="28"/>
        </w:rPr>
        <w:t>s</w:t>
      </w:r>
      <w:r w:rsidRPr="00E65335">
        <w:rPr>
          <w:rFonts w:ascii="Times New Roman" w:hAnsi="Times New Roman" w:cs="Times New Roman"/>
          <w:sz w:val="28"/>
          <w:szCs w:val="28"/>
        </w:rPr>
        <w:t xml:space="preserve"> pārbaude</w:t>
      </w:r>
      <w:r w:rsidR="009C6B1E">
        <w:rPr>
          <w:rFonts w:ascii="Times New Roman" w:hAnsi="Times New Roman" w:cs="Times New Roman"/>
          <w:sz w:val="28"/>
          <w:szCs w:val="28"/>
        </w:rPr>
        <w:t>s</w:t>
      </w:r>
      <w:r w:rsidRPr="00E65335">
        <w:rPr>
          <w:rFonts w:ascii="Times New Roman" w:hAnsi="Times New Roman" w:cs="Times New Roman"/>
          <w:sz w:val="28"/>
          <w:szCs w:val="28"/>
        </w:rPr>
        <w:t>, apakšuzņēmējiem veiktas</w:t>
      </w:r>
      <w:r w:rsidR="00EA65B2">
        <w:rPr>
          <w:rFonts w:ascii="Times New Roman" w:hAnsi="Times New Roman" w:cs="Times New Roman"/>
          <w:sz w:val="28"/>
          <w:szCs w:val="28"/>
        </w:rPr>
        <w:t xml:space="preserve"> </w:t>
      </w:r>
      <w:r w:rsidRPr="00E65335">
        <w:rPr>
          <w:rFonts w:ascii="Times New Roman" w:hAnsi="Times New Roman" w:cs="Times New Roman"/>
          <w:sz w:val="28"/>
          <w:szCs w:val="28"/>
        </w:rPr>
        <w:t>92</w:t>
      </w:r>
      <w:r w:rsidR="009C6B1E">
        <w:rPr>
          <w:rFonts w:ascii="Times New Roman" w:hAnsi="Times New Roman" w:cs="Times New Roman"/>
          <w:sz w:val="28"/>
          <w:szCs w:val="28"/>
        </w:rPr>
        <w:t> </w:t>
      </w:r>
      <w:r w:rsidRPr="00E65335">
        <w:rPr>
          <w:rFonts w:ascii="Times New Roman" w:hAnsi="Times New Roman" w:cs="Times New Roman"/>
          <w:sz w:val="28"/>
          <w:szCs w:val="28"/>
        </w:rPr>
        <w:t>tematiskās pārbaudes un sastādīti 1405</w:t>
      </w:r>
      <w:r w:rsidR="009C6B1E">
        <w:rPr>
          <w:rFonts w:ascii="Times New Roman" w:hAnsi="Times New Roman" w:cs="Times New Roman"/>
          <w:sz w:val="28"/>
          <w:szCs w:val="28"/>
        </w:rPr>
        <w:t> </w:t>
      </w:r>
      <w:r w:rsidRPr="00E65335">
        <w:rPr>
          <w:rFonts w:ascii="Times New Roman" w:hAnsi="Times New Roman" w:cs="Times New Roman"/>
          <w:sz w:val="28"/>
          <w:szCs w:val="28"/>
        </w:rPr>
        <w:t xml:space="preserve">apsekošanas akti (skatīt </w:t>
      </w:r>
      <w:r w:rsidR="00E65335" w:rsidRPr="00E65335">
        <w:rPr>
          <w:rFonts w:ascii="Times New Roman" w:hAnsi="Times New Roman" w:cs="Times New Roman"/>
          <w:sz w:val="28"/>
          <w:szCs w:val="28"/>
        </w:rPr>
        <w:t>1</w:t>
      </w:r>
      <w:r w:rsidRPr="00E65335">
        <w:rPr>
          <w:rFonts w:ascii="Times New Roman" w:hAnsi="Times New Roman" w:cs="Times New Roman"/>
          <w:sz w:val="28"/>
          <w:szCs w:val="28"/>
        </w:rPr>
        <w:t>.tabulu). Pārbaužu laikā tika salīdzināta EDLUS reģistrētā informācija par 4850 aptaujātajām būvlaukumos nodarbinātajām personām.</w:t>
      </w:r>
      <w:r w:rsidR="0083325E">
        <w:rPr>
          <w:rFonts w:ascii="Times New Roman" w:hAnsi="Times New Roman" w:cs="Times New Roman"/>
          <w:sz w:val="28"/>
          <w:szCs w:val="28"/>
        </w:rPr>
        <w:t xml:space="preserve"> </w:t>
      </w:r>
    </w:p>
    <w:p w14:paraId="3AF0B708" w14:textId="77777777" w:rsidR="001C3730" w:rsidRPr="00E65335" w:rsidRDefault="001C3730" w:rsidP="005E08CF">
      <w:pPr>
        <w:pStyle w:val="NoSpacing"/>
        <w:spacing w:before="0"/>
        <w:ind w:firstLine="720"/>
        <w:jc w:val="both"/>
        <w:rPr>
          <w:rFonts w:ascii="Times New Roman" w:hAnsi="Times New Roman" w:cs="Times New Roman"/>
          <w:sz w:val="28"/>
          <w:szCs w:val="28"/>
        </w:rPr>
      </w:pPr>
    </w:p>
    <w:p w14:paraId="3FAA91A3" w14:textId="77777777" w:rsidR="00BE057E" w:rsidRPr="00E65335" w:rsidRDefault="009C6B1E" w:rsidP="005E08CF">
      <w:pPr>
        <w:pStyle w:val="NoSpacing"/>
        <w:spacing w:before="0"/>
        <w:ind w:left="1080"/>
        <w:jc w:val="right"/>
        <w:rPr>
          <w:rFonts w:ascii="Times New Roman" w:hAnsi="Times New Roman" w:cs="Times New Roman"/>
          <w:sz w:val="28"/>
          <w:szCs w:val="28"/>
        </w:rPr>
      </w:pPr>
      <w:r>
        <w:rPr>
          <w:rFonts w:ascii="Times New Roman" w:hAnsi="Times New Roman" w:cs="Times New Roman"/>
          <w:sz w:val="28"/>
          <w:szCs w:val="28"/>
        </w:rPr>
        <w:t>1.</w:t>
      </w:r>
      <w:r w:rsidR="00BE057E" w:rsidRPr="00E65335">
        <w:rPr>
          <w:rFonts w:ascii="Times New Roman" w:hAnsi="Times New Roman" w:cs="Times New Roman"/>
          <w:sz w:val="28"/>
          <w:szCs w:val="28"/>
        </w:rPr>
        <w:t>tabula</w:t>
      </w:r>
    </w:p>
    <w:p w14:paraId="0DA1EAFE" w14:textId="59755ECC" w:rsidR="00BE057E" w:rsidRPr="00F82004" w:rsidRDefault="00BE057E" w:rsidP="005E08CF">
      <w:pPr>
        <w:pStyle w:val="NoSpacing"/>
        <w:spacing w:before="0"/>
        <w:jc w:val="center"/>
        <w:rPr>
          <w:rFonts w:ascii="Times New Roman" w:hAnsi="Times New Roman" w:cs="Times New Roman"/>
          <w:b/>
          <w:sz w:val="28"/>
          <w:szCs w:val="28"/>
        </w:rPr>
      </w:pPr>
      <w:r w:rsidRPr="00E65335">
        <w:rPr>
          <w:rFonts w:ascii="Times New Roman" w:hAnsi="Times New Roman" w:cs="Times New Roman"/>
          <w:b/>
          <w:sz w:val="28"/>
          <w:szCs w:val="28"/>
        </w:rPr>
        <w:t xml:space="preserve"> EDLU </w:t>
      </w:r>
      <w:r w:rsidR="00D026ED">
        <w:rPr>
          <w:rFonts w:ascii="Times New Roman" w:hAnsi="Times New Roman" w:cs="Times New Roman"/>
          <w:b/>
          <w:sz w:val="28"/>
          <w:szCs w:val="28"/>
        </w:rPr>
        <w:t xml:space="preserve">ieviešanas </w:t>
      </w:r>
      <w:r w:rsidRPr="00E65335">
        <w:rPr>
          <w:rFonts w:ascii="Times New Roman" w:hAnsi="Times New Roman" w:cs="Times New Roman"/>
          <w:b/>
          <w:sz w:val="28"/>
          <w:szCs w:val="28"/>
        </w:rPr>
        <w:t xml:space="preserve">pārbaužu īpatsvars no kopējā </w:t>
      </w:r>
      <w:r w:rsidR="00D026ED">
        <w:rPr>
          <w:rFonts w:ascii="Times New Roman" w:hAnsi="Times New Roman" w:cs="Times New Roman"/>
          <w:b/>
          <w:sz w:val="28"/>
          <w:szCs w:val="28"/>
        </w:rPr>
        <w:t xml:space="preserve">VID </w:t>
      </w:r>
      <w:r w:rsidRPr="00E65335">
        <w:rPr>
          <w:rFonts w:ascii="Times New Roman" w:hAnsi="Times New Roman" w:cs="Times New Roman"/>
          <w:b/>
          <w:sz w:val="28"/>
          <w:szCs w:val="28"/>
        </w:rPr>
        <w:t xml:space="preserve">pārbaužu skaita būvniecības </w:t>
      </w:r>
      <w:r w:rsidRPr="00F82004">
        <w:rPr>
          <w:rFonts w:ascii="Times New Roman" w:hAnsi="Times New Roman" w:cs="Times New Roman"/>
          <w:b/>
          <w:sz w:val="28"/>
          <w:szCs w:val="28"/>
        </w:rPr>
        <w:t>nozares nodokļu maksātājiem</w:t>
      </w:r>
    </w:p>
    <w:p w14:paraId="17C0BE69" w14:textId="77777777" w:rsidR="00BE057E" w:rsidRPr="00F82004" w:rsidRDefault="00BE057E" w:rsidP="00BE057E">
      <w:pPr>
        <w:pStyle w:val="NoSpacing"/>
        <w:spacing w:before="0"/>
        <w:ind w:firstLine="720"/>
        <w:jc w:val="center"/>
        <w:rPr>
          <w:rFonts w:ascii="Times New Roman" w:hAnsi="Times New Roman" w:cs="Times New Roman"/>
          <w:sz w:val="28"/>
          <w:szCs w:val="28"/>
        </w:rPr>
      </w:pPr>
    </w:p>
    <w:tbl>
      <w:tblPr>
        <w:tblW w:w="9753" w:type="dxa"/>
        <w:tblInd w:w="-289" w:type="dxa"/>
        <w:tblLayout w:type="fixed"/>
        <w:tblLook w:val="04A0" w:firstRow="1" w:lastRow="0" w:firstColumn="1" w:lastColumn="0" w:noHBand="0" w:noVBand="1"/>
      </w:tblPr>
      <w:tblGrid>
        <w:gridCol w:w="2127"/>
        <w:gridCol w:w="851"/>
        <w:gridCol w:w="821"/>
        <w:gridCol w:w="851"/>
        <w:gridCol w:w="850"/>
        <w:gridCol w:w="851"/>
        <w:gridCol w:w="850"/>
        <w:gridCol w:w="851"/>
        <w:gridCol w:w="850"/>
        <w:gridCol w:w="851"/>
      </w:tblGrid>
      <w:tr w:rsidR="00437F5F" w:rsidRPr="00C17302" w14:paraId="5D666AEC" w14:textId="77777777" w:rsidTr="00A65015">
        <w:trPr>
          <w:trHeight w:val="26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557518" w14:textId="77777777" w:rsidR="00437F5F" w:rsidRPr="00F82004" w:rsidRDefault="00437F5F" w:rsidP="00BE057E">
            <w:pPr>
              <w:spacing w:before="0" w:after="0" w:line="240" w:lineRule="auto"/>
              <w:jc w:val="center"/>
              <w:rPr>
                <w:rFonts w:ascii="Times New Roman" w:eastAsia="Times New Roman" w:hAnsi="Times New Roman" w:cs="Times New Roman"/>
                <w:sz w:val="16"/>
                <w:szCs w:val="16"/>
                <w:lang w:eastAsia="lv-LV"/>
              </w:rPr>
            </w:pPr>
            <w:r w:rsidRPr="00F82004">
              <w:rPr>
                <w:rFonts w:ascii="Times New Roman" w:eastAsia="Times New Roman" w:hAnsi="Times New Roman" w:cs="Times New Roman"/>
                <w:sz w:val="16"/>
                <w:szCs w:val="16"/>
                <w:lang w:eastAsia="lv-LV"/>
              </w:rPr>
              <w:t>Pārbaudes veids</w:t>
            </w:r>
          </w:p>
        </w:tc>
        <w:tc>
          <w:tcPr>
            <w:tcW w:w="252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17A0756" w14:textId="77777777" w:rsidR="00437F5F" w:rsidRPr="00F82004" w:rsidRDefault="00437F5F" w:rsidP="00BE057E">
            <w:pPr>
              <w:spacing w:before="0" w:after="0" w:line="240" w:lineRule="auto"/>
              <w:jc w:val="center"/>
              <w:rPr>
                <w:rFonts w:ascii="Times New Roman" w:eastAsia="Times New Roman" w:hAnsi="Times New Roman" w:cs="Times New Roman"/>
                <w:sz w:val="16"/>
                <w:szCs w:val="16"/>
                <w:lang w:eastAsia="lv-LV"/>
              </w:rPr>
            </w:pPr>
            <w:r w:rsidRPr="00F82004">
              <w:rPr>
                <w:rFonts w:ascii="Times New Roman" w:eastAsia="Times New Roman" w:hAnsi="Times New Roman" w:cs="Times New Roman"/>
                <w:sz w:val="16"/>
                <w:szCs w:val="16"/>
                <w:lang w:eastAsia="lv-LV"/>
              </w:rPr>
              <w:t>2017.gads</w:t>
            </w:r>
          </w:p>
        </w:tc>
        <w:tc>
          <w:tcPr>
            <w:tcW w:w="255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78647B" w14:textId="77777777" w:rsidR="00437F5F" w:rsidRPr="00F82004" w:rsidRDefault="00437F5F" w:rsidP="00BE057E">
            <w:pPr>
              <w:spacing w:before="0" w:after="0" w:line="240" w:lineRule="auto"/>
              <w:jc w:val="center"/>
              <w:rPr>
                <w:rFonts w:ascii="Times New Roman" w:eastAsia="Times New Roman" w:hAnsi="Times New Roman" w:cs="Times New Roman"/>
                <w:sz w:val="16"/>
                <w:szCs w:val="16"/>
                <w:lang w:eastAsia="lv-LV"/>
              </w:rPr>
            </w:pPr>
            <w:r w:rsidRPr="00F82004">
              <w:rPr>
                <w:rFonts w:ascii="Times New Roman" w:eastAsia="Times New Roman" w:hAnsi="Times New Roman" w:cs="Times New Roman"/>
                <w:sz w:val="16"/>
                <w:szCs w:val="16"/>
                <w:lang w:eastAsia="lv-LV"/>
              </w:rPr>
              <w:t>2018.gads</w:t>
            </w:r>
          </w:p>
        </w:tc>
        <w:tc>
          <w:tcPr>
            <w:tcW w:w="255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2B38E4A" w14:textId="2DA42F04" w:rsidR="00437F5F" w:rsidRPr="00F82004" w:rsidRDefault="00437F5F" w:rsidP="00BE057E">
            <w:pPr>
              <w:spacing w:before="0" w:after="0" w:line="240" w:lineRule="auto"/>
              <w:jc w:val="center"/>
              <w:rPr>
                <w:rFonts w:ascii="Times New Roman" w:eastAsia="Times New Roman" w:hAnsi="Times New Roman" w:cs="Times New Roman"/>
                <w:sz w:val="16"/>
                <w:szCs w:val="16"/>
                <w:lang w:eastAsia="lv-LV"/>
              </w:rPr>
            </w:pPr>
            <w:r w:rsidRPr="00F82004">
              <w:rPr>
                <w:rFonts w:ascii="Times New Roman" w:eastAsia="Times New Roman" w:hAnsi="Times New Roman" w:cs="Times New Roman"/>
                <w:sz w:val="16"/>
                <w:szCs w:val="16"/>
                <w:lang w:eastAsia="lv-LV"/>
              </w:rPr>
              <w:t>2019.gads</w:t>
            </w:r>
          </w:p>
        </w:tc>
      </w:tr>
      <w:tr w:rsidR="008856B9" w:rsidRPr="00C17302" w14:paraId="0068DE63" w14:textId="77777777" w:rsidTr="00A65015">
        <w:trPr>
          <w:cantSplit/>
          <w:trHeight w:val="144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D20C8DC" w14:textId="77777777" w:rsidR="00437F5F" w:rsidRPr="006610D8" w:rsidRDefault="00437F5F" w:rsidP="00BE057E">
            <w:pPr>
              <w:spacing w:before="0" w:after="0" w:line="240" w:lineRule="auto"/>
              <w:rPr>
                <w:rFonts w:ascii="Times New Roman" w:eastAsia="Times New Roman" w:hAnsi="Times New Roman" w:cs="Times New Roman"/>
                <w:sz w:val="16"/>
                <w:szCs w:val="16"/>
                <w:lang w:eastAsia="lv-LV"/>
              </w:rPr>
            </w:pPr>
            <w:bookmarkStart w:id="14" w:name="_Hlk41783143"/>
          </w:p>
        </w:tc>
        <w:tc>
          <w:tcPr>
            <w:tcW w:w="851" w:type="dxa"/>
            <w:tcBorders>
              <w:top w:val="nil"/>
              <w:left w:val="nil"/>
              <w:bottom w:val="single" w:sz="4" w:space="0" w:color="auto"/>
              <w:right w:val="single" w:sz="4" w:space="0" w:color="auto"/>
            </w:tcBorders>
            <w:shd w:val="clear" w:color="auto" w:fill="auto"/>
            <w:textDirection w:val="btLr"/>
            <w:hideMark/>
          </w:tcPr>
          <w:p w14:paraId="2DC673B1" w14:textId="77777777" w:rsidR="00437F5F" w:rsidRPr="006610D8" w:rsidRDefault="00437F5F" w:rsidP="00BE057E">
            <w:pPr>
              <w:spacing w:before="0" w:after="0" w:line="240" w:lineRule="auto"/>
              <w:ind w:left="113" w:right="113"/>
              <w:rPr>
                <w:rFonts w:ascii="Times New Roman" w:eastAsia="Times New Roman" w:hAnsi="Times New Roman" w:cs="Times New Roman"/>
                <w:sz w:val="16"/>
                <w:szCs w:val="16"/>
                <w:lang w:eastAsia="lv-LV"/>
              </w:rPr>
            </w:pPr>
            <w:r w:rsidRPr="006610D8">
              <w:rPr>
                <w:rFonts w:ascii="Times New Roman" w:eastAsia="Times New Roman" w:hAnsi="Times New Roman" w:cs="Times New Roman"/>
                <w:sz w:val="16"/>
                <w:szCs w:val="16"/>
                <w:lang w:eastAsia="lv-LV"/>
              </w:rPr>
              <w:t xml:space="preserve">EDLU pārbaužu skaits </w:t>
            </w:r>
          </w:p>
        </w:tc>
        <w:tc>
          <w:tcPr>
            <w:tcW w:w="821" w:type="dxa"/>
            <w:tcBorders>
              <w:top w:val="nil"/>
              <w:left w:val="nil"/>
              <w:bottom w:val="single" w:sz="4" w:space="0" w:color="auto"/>
              <w:right w:val="single" w:sz="4" w:space="0" w:color="auto"/>
            </w:tcBorders>
            <w:shd w:val="clear" w:color="auto" w:fill="auto"/>
            <w:textDirection w:val="btLr"/>
            <w:hideMark/>
          </w:tcPr>
          <w:p w14:paraId="315129FD" w14:textId="77777777" w:rsidR="00437F5F" w:rsidRPr="006610D8" w:rsidRDefault="00437F5F" w:rsidP="00BE057E">
            <w:pPr>
              <w:spacing w:before="0" w:after="0" w:line="240" w:lineRule="auto"/>
              <w:ind w:left="113" w:right="113"/>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k</w:t>
            </w:r>
            <w:r w:rsidRPr="006610D8">
              <w:rPr>
                <w:rFonts w:ascii="Times New Roman" w:eastAsia="Times New Roman" w:hAnsi="Times New Roman" w:cs="Times New Roman"/>
                <w:sz w:val="16"/>
                <w:szCs w:val="16"/>
                <w:lang w:eastAsia="lv-LV"/>
              </w:rPr>
              <w:t>opējais pārbaužu skaits būvniecībā</w:t>
            </w:r>
          </w:p>
        </w:tc>
        <w:tc>
          <w:tcPr>
            <w:tcW w:w="851" w:type="dxa"/>
            <w:tcBorders>
              <w:top w:val="nil"/>
              <w:left w:val="nil"/>
              <w:bottom w:val="single" w:sz="4" w:space="0" w:color="auto"/>
              <w:right w:val="single" w:sz="4" w:space="0" w:color="auto"/>
            </w:tcBorders>
            <w:shd w:val="clear" w:color="auto" w:fill="auto"/>
            <w:textDirection w:val="btLr"/>
            <w:hideMark/>
          </w:tcPr>
          <w:p w14:paraId="11C49CD7" w14:textId="41AA4E78" w:rsidR="00437F5F" w:rsidRPr="006610D8" w:rsidRDefault="00D026ED" w:rsidP="00BE057E">
            <w:pPr>
              <w:spacing w:before="0" w:after="0" w:line="240" w:lineRule="auto"/>
              <w:ind w:left="113" w:right="113"/>
              <w:rPr>
                <w:rFonts w:ascii="Times New Roman" w:eastAsia="Times New Roman" w:hAnsi="Times New Roman" w:cs="Times New Roman"/>
                <w:sz w:val="16"/>
                <w:szCs w:val="16"/>
                <w:lang w:eastAsia="lv-LV"/>
              </w:rPr>
            </w:pPr>
            <w:r w:rsidRPr="00D026ED">
              <w:rPr>
                <w:rFonts w:ascii="Times New Roman" w:eastAsia="Times New Roman" w:hAnsi="Times New Roman" w:cs="Times New Roman"/>
                <w:sz w:val="16"/>
                <w:szCs w:val="16"/>
                <w:lang w:eastAsia="lv-LV"/>
              </w:rPr>
              <w:t>īpatsvars no kopējā pārbaužu skaita būvniecībā,  (%)</w:t>
            </w:r>
          </w:p>
        </w:tc>
        <w:tc>
          <w:tcPr>
            <w:tcW w:w="850" w:type="dxa"/>
            <w:tcBorders>
              <w:top w:val="nil"/>
              <w:left w:val="nil"/>
              <w:bottom w:val="single" w:sz="4" w:space="0" w:color="auto"/>
              <w:right w:val="single" w:sz="4" w:space="0" w:color="auto"/>
            </w:tcBorders>
            <w:shd w:val="clear" w:color="auto" w:fill="auto"/>
            <w:textDirection w:val="btLr"/>
            <w:hideMark/>
          </w:tcPr>
          <w:p w14:paraId="3EC193FC" w14:textId="77777777" w:rsidR="00437F5F" w:rsidRPr="006610D8" w:rsidRDefault="00437F5F" w:rsidP="00BE057E">
            <w:pPr>
              <w:spacing w:before="0" w:after="0" w:line="240" w:lineRule="auto"/>
              <w:ind w:left="113" w:right="113"/>
              <w:rPr>
                <w:rFonts w:ascii="Times New Roman" w:eastAsia="Times New Roman" w:hAnsi="Times New Roman" w:cs="Times New Roman"/>
                <w:sz w:val="16"/>
                <w:szCs w:val="16"/>
                <w:lang w:eastAsia="lv-LV"/>
              </w:rPr>
            </w:pPr>
            <w:r w:rsidRPr="006610D8">
              <w:rPr>
                <w:rFonts w:ascii="Times New Roman" w:eastAsia="Times New Roman" w:hAnsi="Times New Roman" w:cs="Times New Roman"/>
                <w:sz w:val="16"/>
                <w:szCs w:val="16"/>
                <w:lang w:eastAsia="lv-LV"/>
              </w:rPr>
              <w:t xml:space="preserve">EDLU pārbaužu skaits </w:t>
            </w:r>
          </w:p>
        </w:tc>
        <w:tc>
          <w:tcPr>
            <w:tcW w:w="851" w:type="dxa"/>
            <w:tcBorders>
              <w:top w:val="nil"/>
              <w:left w:val="nil"/>
              <w:bottom w:val="single" w:sz="4" w:space="0" w:color="auto"/>
              <w:right w:val="single" w:sz="4" w:space="0" w:color="auto"/>
            </w:tcBorders>
            <w:shd w:val="clear" w:color="auto" w:fill="auto"/>
            <w:textDirection w:val="btLr"/>
            <w:hideMark/>
          </w:tcPr>
          <w:p w14:paraId="23570703" w14:textId="77777777" w:rsidR="00437F5F" w:rsidRPr="006610D8" w:rsidRDefault="00437F5F" w:rsidP="00BE057E">
            <w:pPr>
              <w:spacing w:before="0" w:after="0" w:line="240" w:lineRule="auto"/>
              <w:ind w:left="113" w:right="113"/>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k</w:t>
            </w:r>
            <w:r w:rsidRPr="006610D8">
              <w:rPr>
                <w:rFonts w:ascii="Times New Roman" w:eastAsia="Times New Roman" w:hAnsi="Times New Roman" w:cs="Times New Roman"/>
                <w:sz w:val="16"/>
                <w:szCs w:val="16"/>
                <w:lang w:eastAsia="lv-LV"/>
              </w:rPr>
              <w:t>opējais pārbaužu skaits būvniecībā</w:t>
            </w:r>
          </w:p>
        </w:tc>
        <w:tc>
          <w:tcPr>
            <w:tcW w:w="850" w:type="dxa"/>
            <w:tcBorders>
              <w:top w:val="nil"/>
              <w:left w:val="nil"/>
              <w:bottom w:val="single" w:sz="4" w:space="0" w:color="auto"/>
              <w:right w:val="single" w:sz="4" w:space="0" w:color="auto"/>
            </w:tcBorders>
            <w:shd w:val="clear" w:color="auto" w:fill="auto"/>
            <w:textDirection w:val="btLr"/>
            <w:hideMark/>
          </w:tcPr>
          <w:p w14:paraId="5CB4B71C" w14:textId="05EE4AFB" w:rsidR="00437F5F" w:rsidRPr="006610D8" w:rsidRDefault="00D026ED" w:rsidP="00BE057E">
            <w:pPr>
              <w:spacing w:before="0" w:after="0" w:line="240" w:lineRule="auto"/>
              <w:ind w:left="113" w:right="113"/>
              <w:rPr>
                <w:rFonts w:ascii="Times New Roman" w:eastAsia="Times New Roman" w:hAnsi="Times New Roman" w:cs="Times New Roman"/>
                <w:sz w:val="16"/>
                <w:szCs w:val="16"/>
                <w:lang w:eastAsia="lv-LV"/>
              </w:rPr>
            </w:pPr>
            <w:r w:rsidRPr="00D026ED">
              <w:rPr>
                <w:rFonts w:ascii="Times New Roman" w:eastAsia="Times New Roman" w:hAnsi="Times New Roman" w:cs="Times New Roman"/>
                <w:sz w:val="16"/>
                <w:szCs w:val="16"/>
                <w:lang w:eastAsia="lv-LV"/>
              </w:rPr>
              <w:t>īpatsvars no kopējā pārbaužu skaita būvniecībā,  (%)</w:t>
            </w:r>
          </w:p>
        </w:tc>
        <w:tc>
          <w:tcPr>
            <w:tcW w:w="851" w:type="dxa"/>
            <w:tcBorders>
              <w:top w:val="nil"/>
              <w:left w:val="nil"/>
              <w:bottom w:val="single" w:sz="4" w:space="0" w:color="auto"/>
              <w:right w:val="single" w:sz="4" w:space="0" w:color="auto"/>
            </w:tcBorders>
            <w:shd w:val="clear" w:color="auto" w:fill="auto"/>
            <w:textDirection w:val="btLr"/>
            <w:hideMark/>
          </w:tcPr>
          <w:p w14:paraId="1BE18FC8" w14:textId="086162AF" w:rsidR="00437F5F" w:rsidRPr="006610D8" w:rsidRDefault="00437F5F" w:rsidP="00BE057E">
            <w:pPr>
              <w:spacing w:before="0" w:after="0" w:line="240" w:lineRule="auto"/>
              <w:ind w:left="113" w:right="113"/>
              <w:rPr>
                <w:rFonts w:ascii="Times New Roman" w:eastAsia="Times New Roman" w:hAnsi="Times New Roman" w:cs="Times New Roman"/>
                <w:sz w:val="16"/>
                <w:szCs w:val="16"/>
                <w:lang w:eastAsia="lv-LV"/>
              </w:rPr>
            </w:pPr>
            <w:r w:rsidRPr="006610D8">
              <w:rPr>
                <w:rFonts w:ascii="Times New Roman" w:eastAsia="Times New Roman" w:hAnsi="Times New Roman" w:cs="Times New Roman"/>
                <w:sz w:val="16"/>
                <w:szCs w:val="16"/>
                <w:lang w:eastAsia="lv-LV"/>
              </w:rPr>
              <w:t xml:space="preserve">EDLU pārbaužu skaits </w:t>
            </w:r>
          </w:p>
        </w:tc>
        <w:tc>
          <w:tcPr>
            <w:tcW w:w="850" w:type="dxa"/>
            <w:tcBorders>
              <w:top w:val="nil"/>
              <w:left w:val="nil"/>
              <w:bottom w:val="single" w:sz="4" w:space="0" w:color="auto"/>
              <w:right w:val="single" w:sz="4" w:space="0" w:color="auto"/>
            </w:tcBorders>
            <w:shd w:val="clear" w:color="auto" w:fill="auto"/>
            <w:textDirection w:val="btLr"/>
            <w:hideMark/>
          </w:tcPr>
          <w:p w14:paraId="3755A0A2" w14:textId="77777777" w:rsidR="00437F5F" w:rsidRPr="006610D8" w:rsidRDefault="00437F5F" w:rsidP="00BE057E">
            <w:pPr>
              <w:spacing w:before="0" w:after="0" w:line="240" w:lineRule="auto"/>
              <w:ind w:left="113" w:right="113"/>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k</w:t>
            </w:r>
            <w:r w:rsidRPr="006610D8">
              <w:rPr>
                <w:rFonts w:ascii="Times New Roman" w:eastAsia="Times New Roman" w:hAnsi="Times New Roman" w:cs="Times New Roman"/>
                <w:sz w:val="16"/>
                <w:szCs w:val="16"/>
                <w:lang w:eastAsia="lv-LV"/>
              </w:rPr>
              <w:t>opējais pārbaužu skaits būvniecībā</w:t>
            </w:r>
          </w:p>
        </w:tc>
        <w:tc>
          <w:tcPr>
            <w:tcW w:w="851" w:type="dxa"/>
            <w:tcBorders>
              <w:top w:val="nil"/>
              <w:left w:val="nil"/>
              <w:bottom w:val="single" w:sz="4" w:space="0" w:color="auto"/>
              <w:right w:val="single" w:sz="4" w:space="0" w:color="auto"/>
            </w:tcBorders>
            <w:shd w:val="clear" w:color="auto" w:fill="auto"/>
            <w:textDirection w:val="btLr"/>
            <w:hideMark/>
          </w:tcPr>
          <w:p w14:paraId="6B002A6F" w14:textId="40EA3957" w:rsidR="00437F5F" w:rsidRPr="006610D8" w:rsidRDefault="00D026ED" w:rsidP="00BE057E">
            <w:pPr>
              <w:spacing w:before="0" w:after="0" w:line="240" w:lineRule="auto"/>
              <w:ind w:left="113" w:right="113"/>
              <w:rPr>
                <w:rFonts w:ascii="Times New Roman" w:eastAsia="Times New Roman" w:hAnsi="Times New Roman" w:cs="Times New Roman"/>
                <w:sz w:val="16"/>
                <w:szCs w:val="16"/>
                <w:lang w:eastAsia="lv-LV"/>
              </w:rPr>
            </w:pPr>
            <w:r w:rsidRPr="00D026ED">
              <w:rPr>
                <w:rFonts w:ascii="Times New Roman" w:eastAsia="Times New Roman" w:hAnsi="Times New Roman" w:cs="Times New Roman"/>
                <w:sz w:val="16"/>
                <w:szCs w:val="16"/>
                <w:lang w:eastAsia="lv-LV"/>
              </w:rPr>
              <w:t>īpatsvars no kopējā pārbaužu skaita būvniecībā,  (%)</w:t>
            </w:r>
          </w:p>
        </w:tc>
      </w:tr>
      <w:bookmarkEnd w:id="14"/>
      <w:tr w:rsidR="00D026ED" w:rsidRPr="00C17302" w14:paraId="2716960A" w14:textId="77777777" w:rsidTr="00A65015">
        <w:trPr>
          <w:trHeight w:val="26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2282B65" w14:textId="77777777" w:rsidR="00437F5F" w:rsidRPr="00F82004" w:rsidRDefault="00437F5F" w:rsidP="00BE057E">
            <w:pPr>
              <w:spacing w:before="0" w:after="0" w:line="240" w:lineRule="auto"/>
              <w:rPr>
                <w:rFonts w:ascii="Times New Roman" w:eastAsia="Times New Roman" w:hAnsi="Times New Roman" w:cs="Times New Roman"/>
                <w:lang w:eastAsia="lv-LV"/>
              </w:rPr>
            </w:pPr>
            <w:r w:rsidRPr="00F82004">
              <w:rPr>
                <w:rFonts w:ascii="Times New Roman" w:eastAsia="Times New Roman" w:hAnsi="Times New Roman" w:cs="Times New Roman"/>
                <w:lang w:eastAsia="lv-LV"/>
              </w:rPr>
              <w:t>Tematiskās pārbaudes būvuzņēmējiem</w:t>
            </w:r>
          </w:p>
        </w:tc>
        <w:tc>
          <w:tcPr>
            <w:tcW w:w="851" w:type="dxa"/>
            <w:tcBorders>
              <w:top w:val="nil"/>
              <w:left w:val="nil"/>
              <w:bottom w:val="single" w:sz="4" w:space="0" w:color="auto"/>
              <w:right w:val="single" w:sz="4" w:space="0" w:color="auto"/>
            </w:tcBorders>
            <w:shd w:val="clear" w:color="auto" w:fill="auto"/>
            <w:hideMark/>
          </w:tcPr>
          <w:p w14:paraId="6A159AB5" w14:textId="77777777" w:rsidR="00437F5F" w:rsidRPr="00F82004" w:rsidRDefault="00437F5F" w:rsidP="00BE057E">
            <w:pPr>
              <w:spacing w:before="0" w:after="0" w:line="240" w:lineRule="auto"/>
              <w:jc w:val="center"/>
              <w:rPr>
                <w:rFonts w:ascii="Times New Roman" w:eastAsia="Times New Roman" w:hAnsi="Times New Roman" w:cs="Times New Roman"/>
                <w:b/>
                <w:lang w:eastAsia="lv-LV"/>
              </w:rPr>
            </w:pPr>
            <w:r w:rsidRPr="00F82004">
              <w:rPr>
                <w:rFonts w:ascii="Times New Roman" w:hAnsi="Times New Roman" w:cs="Times New Roman"/>
                <w:b/>
              </w:rPr>
              <w:t>14</w:t>
            </w:r>
          </w:p>
        </w:tc>
        <w:tc>
          <w:tcPr>
            <w:tcW w:w="821" w:type="dxa"/>
            <w:tcBorders>
              <w:top w:val="nil"/>
              <w:left w:val="nil"/>
              <w:bottom w:val="single" w:sz="4" w:space="0" w:color="auto"/>
              <w:right w:val="single" w:sz="4" w:space="0" w:color="auto"/>
            </w:tcBorders>
            <w:shd w:val="clear" w:color="auto" w:fill="auto"/>
            <w:hideMark/>
          </w:tcPr>
          <w:p w14:paraId="59DCF1E3" w14:textId="77777777" w:rsidR="00437F5F" w:rsidRPr="00F82004" w:rsidRDefault="00437F5F" w:rsidP="00BE057E">
            <w:pPr>
              <w:spacing w:before="0" w:after="0" w:line="240" w:lineRule="auto"/>
              <w:jc w:val="center"/>
              <w:rPr>
                <w:rFonts w:ascii="Times New Roman" w:eastAsia="Times New Roman" w:hAnsi="Times New Roman" w:cs="Times New Roman"/>
                <w:lang w:eastAsia="lv-LV"/>
              </w:rPr>
            </w:pPr>
            <w:r w:rsidRPr="00F82004">
              <w:rPr>
                <w:rFonts w:ascii="Times New Roman" w:hAnsi="Times New Roman" w:cs="Times New Roman"/>
              </w:rPr>
              <w:t>156</w:t>
            </w:r>
          </w:p>
        </w:tc>
        <w:tc>
          <w:tcPr>
            <w:tcW w:w="851" w:type="dxa"/>
            <w:tcBorders>
              <w:top w:val="nil"/>
              <w:left w:val="nil"/>
              <w:bottom w:val="single" w:sz="4" w:space="0" w:color="auto"/>
              <w:right w:val="single" w:sz="4" w:space="0" w:color="auto"/>
            </w:tcBorders>
            <w:shd w:val="clear" w:color="auto" w:fill="auto"/>
            <w:hideMark/>
          </w:tcPr>
          <w:p w14:paraId="0C386D08" w14:textId="77777777" w:rsidR="00437F5F" w:rsidRPr="00F82004" w:rsidRDefault="00437F5F" w:rsidP="00BE057E">
            <w:pPr>
              <w:spacing w:before="0" w:after="0" w:line="240" w:lineRule="auto"/>
              <w:jc w:val="center"/>
              <w:rPr>
                <w:rFonts w:ascii="Times New Roman" w:eastAsia="Times New Roman" w:hAnsi="Times New Roman" w:cs="Times New Roman"/>
                <w:lang w:eastAsia="lv-LV"/>
              </w:rPr>
            </w:pPr>
            <w:r w:rsidRPr="00F82004">
              <w:rPr>
                <w:rFonts w:ascii="Times New Roman" w:hAnsi="Times New Roman" w:cs="Times New Roman"/>
              </w:rPr>
              <w:t>9,0</w:t>
            </w:r>
          </w:p>
        </w:tc>
        <w:tc>
          <w:tcPr>
            <w:tcW w:w="850" w:type="dxa"/>
            <w:tcBorders>
              <w:top w:val="nil"/>
              <w:left w:val="nil"/>
              <w:bottom w:val="single" w:sz="4" w:space="0" w:color="auto"/>
              <w:right w:val="single" w:sz="4" w:space="0" w:color="auto"/>
            </w:tcBorders>
            <w:shd w:val="clear" w:color="auto" w:fill="auto"/>
            <w:hideMark/>
          </w:tcPr>
          <w:p w14:paraId="6BBB7E08" w14:textId="77777777" w:rsidR="00437F5F" w:rsidRPr="00F82004" w:rsidRDefault="00437F5F" w:rsidP="00BE057E">
            <w:pPr>
              <w:spacing w:before="0" w:after="0" w:line="240" w:lineRule="auto"/>
              <w:jc w:val="center"/>
              <w:rPr>
                <w:rFonts w:ascii="Times New Roman" w:eastAsia="Times New Roman" w:hAnsi="Times New Roman" w:cs="Times New Roman"/>
                <w:b/>
                <w:lang w:eastAsia="lv-LV"/>
              </w:rPr>
            </w:pPr>
            <w:r w:rsidRPr="00F82004">
              <w:rPr>
                <w:rFonts w:ascii="Times New Roman" w:hAnsi="Times New Roman" w:cs="Times New Roman"/>
                <w:b/>
              </w:rPr>
              <w:t>112</w:t>
            </w:r>
          </w:p>
        </w:tc>
        <w:tc>
          <w:tcPr>
            <w:tcW w:w="851" w:type="dxa"/>
            <w:tcBorders>
              <w:top w:val="nil"/>
              <w:left w:val="nil"/>
              <w:bottom w:val="single" w:sz="4" w:space="0" w:color="auto"/>
              <w:right w:val="single" w:sz="4" w:space="0" w:color="auto"/>
            </w:tcBorders>
            <w:shd w:val="clear" w:color="auto" w:fill="auto"/>
            <w:hideMark/>
          </w:tcPr>
          <w:p w14:paraId="12DEE69B" w14:textId="77777777" w:rsidR="00437F5F" w:rsidRPr="00F82004" w:rsidRDefault="00437F5F" w:rsidP="00BE057E">
            <w:pPr>
              <w:spacing w:before="0" w:after="0" w:line="240" w:lineRule="auto"/>
              <w:jc w:val="center"/>
              <w:rPr>
                <w:rFonts w:ascii="Times New Roman" w:eastAsia="Times New Roman" w:hAnsi="Times New Roman" w:cs="Times New Roman"/>
                <w:lang w:eastAsia="lv-LV"/>
              </w:rPr>
            </w:pPr>
            <w:r w:rsidRPr="00F82004">
              <w:rPr>
                <w:rFonts w:ascii="Times New Roman" w:hAnsi="Times New Roman" w:cs="Times New Roman"/>
              </w:rPr>
              <w:t>228</w:t>
            </w:r>
          </w:p>
        </w:tc>
        <w:tc>
          <w:tcPr>
            <w:tcW w:w="850" w:type="dxa"/>
            <w:tcBorders>
              <w:top w:val="nil"/>
              <w:left w:val="nil"/>
              <w:bottom w:val="single" w:sz="4" w:space="0" w:color="auto"/>
              <w:right w:val="single" w:sz="4" w:space="0" w:color="auto"/>
            </w:tcBorders>
            <w:shd w:val="clear" w:color="auto" w:fill="auto"/>
            <w:hideMark/>
          </w:tcPr>
          <w:p w14:paraId="0C4178CA" w14:textId="77777777" w:rsidR="00437F5F" w:rsidRPr="00F82004" w:rsidRDefault="00437F5F" w:rsidP="00BE057E">
            <w:pPr>
              <w:spacing w:before="0" w:after="0" w:line="240" w:lineRule="auto"/>
              <w:jc w:val="center"/>
              <w:rPr>
                <w:rFonts w:ascii="Times New Roman" w:eastAsia="Times New Roman" w:hAnsi="Times New Roman" w:cs="Times New Roman"/>
                <w:lang w:eastAsia="lv-LV"/>
              </w:rPr>
            </w:pPr>
            <w:r w:rsidRPr="00F82004">
              <w:rPr>
                <w:rFonts w:ascii="Times New Roman" w:hAnsi="Times New Roman" w:cs="Times New Roman"/>
              </w:rPr>
              <w:t>49,1</w:t>
            </w:r>
          </w:p>
        </w:tc>
        <w:tc>
          <w:tcPr>
            <w:tcW w:w="851" w:type="dxa"/>
            <w:tcBorders>
              <w:top w:val="nil"/>
              <w:left w:val="nil"/>
              <w:bottom w:val="single" w:sz="4" w:space="0" w:color="auto"/>
              <w:right w:val="single" w:sz="4" w:space="0" w:color="auto"/>
            </w:tcBorders>
            <w:shd w:val="clear" w:color="auto" w:fill="auto"/>
            <w:hideMark/>
          </w:tcPr>
          <w:p w14:paraId="46C3A4DD" w14:textId="593BF7DB" w:rsidR="00437F5F" w:rsidRPr="00F82004" w:rsidRDefault="00437F5F" w:rsidP="00BE057E">
            <w:pPr>
              <w:spacing w:before="0" w:after="0" w:line="240" w:lineRule="auto"/>
              <w:jc w:val="center"/>
              <w:rPr>
                <w:rFonts w:ascii="Times New Roman" w:eastAsia="Times New Roman" w:hAnsi="Times New Roman" w:cs="Times New Roman"/>
                <w:b/>
                <w:lang w:eastAsia="lv-LV"/>
              </w:rPr>
            </w:pPr>
            <w:r w:rsidRPr="00F82004">
              <w:rPr>
                <w:rFonts w:ascii="Times New Roman" w:hAnsi="Times New Roman" w:cs="Times New Roman"/>
                <w:b/>
              </w:rPr>
              <w:t>177</w:t>
            </w:r>
          </w:p>
        </w:tc>
        <w:tc>
          <w:tcPr>
            <w:tcW w:w="850" w:type="dxa"/>
            <w:tcBorders>
              <w:top w:val="nil"/>
              <w:left w:val="nil"/>
              <w:bottom w:val="single" w:sz="4" w:space="0" w:color="auto"/>
              <w:right w:val="single" w:sz="4" w:space="0" w:color="auto"/>
            </w:tcBorders>
            <w:shd w:val="clear" w:color="auto" w:fill="auto"/>
            <w:hideMark/>
          </w:tcPr>
          <w:p w14:paraId="5A989710" w14:textId="77777777" w:rsidR="00437F5F" w:rsidRPr="00F82004" w:rsidRDefault="00437F5F" w:rsidP="00BE057E">
            <w:pPr>
              <w:spacing w:before="0" w:after="0" w:line="240" w:lineRule="auto"/>
              <w:jc w:val="center"/>
              <w:rPr>
                <w:rFonts w:ascii="Times New Roman" w:eastAsia="Times New Roman" w:hAnsi="Times New Roman" w:cs="Times New Roman"/>
                <w:lang w:eastAsia="lv-LV"/>
              </w:rPr>
            </w:pPr>
            <w:r w:rsidRPr="00F82004">
              <w:rPr>
                <w:rFonts w:ascii="Times New Roman" w:hAnsi="Times New Roman" w:cs="Times New Roman"/>
              </w:rPr>
              <w:t>235</w:t>
            </w:r>
          </w:p>
        </w:tc>
        <w:tc>
          <w:tcPr>
            <w:tcW w:w="851" w:type="dxa"/>
            <w:tcBorders>
              <w:top w:val="nil"/>
              <w:left w:val="nil"/>
              <w:bottom w:val="single" w:sz="4" w:space="0" w:color="auto"/>
              <w:right w:val="single" w:sz="4" w:space="0" w:color="auto"/>
            </w:tcBorders>
            <w:shd w:val="clear" w:color="auto" w:fill="auto"/>
            <w:hideMark/>
          </w:tcPr>
          <w:p w14:paraId="2AE8266B" w14:textId="77777777" w:rsidR="00437F5F" w:rsidRPr="00F82004" w:rsidRDefault="00437F5F" w:rsidP="00BE057E">
            <w:pPr>
              <w:spacing w:before="0" w:after="0" w:line="240" w:lineRule="auto"/>
              <w:jc w:val="center"/>
              <w:rPr>
                <w:rFonts w:ascii="Times New Roman" w:eastAsia="Times New Roman" w:hAnsi="Times New Roman" w:cs="Times New Roman"/>
                <w:lang w:eastAsia="lv-LV"/>
              </w:rPr>
            </w:pPr>
            <w:r w:rsidRPr="00F82004">
              <w:rPr>
                <w:rFonts w:ascii="Times New Roman" w:hAnsi="Times New Roman" w:cs="Times New Roman"/>
              </w:rPr>
              <w:t>75,3</w:t>
            </w:r>
          </w:p>
        </w:tc>
      </w:tr>
      <w:tr w:rsidR="00D026ED" w:rsidRPr="00C17302" w14:paraId="6BBD6DC4" w14:textId="77777777" w:rsidTr="00A65015">
        <w:trPr>
          <w:trHeight w:val="2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886B5D5" w14:textId="77777777" w:rsidR="00437F5F" w:rsidRPr="00F82004" w:rsidRDefault="00437F5F" w:rsidP="00BE057E">
            <w:pPr>
              <w:spacing w:before="0" w:after="0" w:line="240" w:lineRule="auto"/>
              <w:rPr>
                <w:rFonts w:ascii="Times New Roman" w:eastAsia="Times New Roman" w:hAnsi="Times New Roman" w:cs="Times New Roman"/>
                <w:lang w:eastAsia="lv-LV"/>
              </w:rPr>
            </w:pPr>
            <w:r w:rsidRPr="00F82004">
              <w:rPr>
                <w:rFonts w:ascii="Times New Roman" w:eastAsia="Times New Roman" w:hAnsi="Times New Roman" w:cs="Times New Roman"/>
                <w:lang w:eastAsia="lv-LV"/>
              </w:rPr>
              <w:t xml:space="preserve"> - t.sk. tematiskās pārbaudes galvenajiem būvdarbu veicējiem</w:t>
            </w:r>
          </w:p>
        </w:tc>
        <w:tc>
          <w:tcPr>
            <w:tcW w:w="851" w:type="dxa"/>
            <w:tcBorders>
              <w:top w:val="nil"/>
              <w:left w:val="nil"/>
              <w:bottom w:val="single" w:sz="4" w:space="0" w:color="auto"/>
              <w:right w:val="single" w:sz="4" w:space="0" w:color="auto"/>
            </w:tcBorders>
            <w:shd w:val="clear" w:color="auto" w:fill="auto"/>
            <w:noWrap/>
            <w:hideMark/>
          </w:tcPr>
          <w:p w14:paraId="52FA68B2" w14:textId="77777777" w:rsidR="00437F5F" w:rsidRPr="00F82004" w:rsidRDefault="00437F5F" w:rsidP="00BE057E">
            <w:pPr>
              <w:spacing w:before="0" w:after="0" w:line="240" w:lineRule="auto"/>
              <w:jc w:val="center"/>
              <w:rPr>
                <w:rFonts w:ascii="Times New Roman" w:eastAsia="Times New Roman" w:hAnsi="Times New Roman" w:cs="Times New Roman"/>
                <w:b/>
                <w:lang w:eastAsia="lv-LV"/>
              </w:rPr>
            </w:pPr>
            <w:r w:rsidRPr="00F82004">
              <w:rPr>
                <w:rFonts w:ascii="Times New Roman" w:hAnsi="Times New Roman" w:cs="Times New Roman"/>
                <w:b/>
              </w:rPr>
              <w:t>14</w:t>
            </w:r>
          </w:p>
        </w:tc>
        <w:tc>
          <w:tcPr>
            <w:tcW w:w="821" w:type="dxa"/>
            <w:tcBorders>
              <w:top w:val="nil"/>
              <w:left w:val="nil"/>
              <w:bottom w:val="single" w:sz="4" w:space="0" w:color="auto"/>
              <w:right w:val="single" w:sz="4" w:space="0" w:color="auto"/>
            </w:tcBorders>
            <w:shd w:val="clear" w:color="auto" w:fill="auto"/>
            <w:noWrap/>
            <w:hideMark/>
          </w:tcPr>
          <w:p w14:paraId="6B8F56F8" w14:textId="77777777" w:rsidR="00437F5F" w:rsidRPr="00F82004" w:rsidRDefault="00437F5F" w:rsidP="00BE057E">
            <w:pPr>
              <w:spacing w:before="0" w:after="0" w:line="240" w:lineRule="auto"/>
              <w:jc w:val="center"/>
              <w:rPr>
                <w:rFonts w:ascii="Times New Roman" w:eastAsia="Times New Roman" w:hAnsi="Times New Roman" w:cs="Times New Roman"/>
                <w:lang w:eastAsia="lv-LV"/>
              </w:rPr>
            </w:pPr>
            <w:r w:rsidRPr="00F82004">
              <w:rPr>
                <w:rFonts w:ascii="Times New Roman" w:hAnsi="Times New Roman" w:cs="Times New Roman"/>
              </w:rPr>
              <w:t>x</w:t>
            </w:r>
          </w:p>
        </w:tc>
        <w:tc>
          <w:tcPr>
            <w:tcW w:w="851" w:type="dxa"/>
            <w:tcBorders>
              <w:top w:val="nil"/>
              <w:left w:val="nil"/>
              <w:bottom w:val="single" w:sz="4" w:space="0" w:color="auto"/>
              <w:right w:val="single" w:sz="4" w:space="0" w:color="auto"/>
            </w:tcBorders>
            <w:shd w:val="clear" w:color="auto" w:fill="auto"/>
            <w:noWrap/>
            <w:hideMark/>
          </w:tcPr>
          <w:p w14:paraId="75084DEB" w14:textId="77777777" w:rsidR="00437F5F" w:rsidRPr="00F82004" w:rsidRDefault="00437F5F" w:rsidP="00BE057E">
            <w:pPr>
              <w:spacing w:before="0" w:after="0" w:line="240" w:lineRule="auto"/>
              <w:jc w:val="center"/>
              <w:rPr>
                <w:rFonts w:ascii="Times New Roman" w:eastAsia="Times New Roman" w:hAnsi="Times New Roman" w:cs="Times New Roman"/>
                <w:lang w:eastAsia="lv-LV"/>
              </w:rPr>
            </w:pPr>
            <w:r w:rsidRPr="00F82004">
              <w:rPr>
                <w:rFonts w:ascii="Times New Roman" w:hAnsi="Times New Roman" w:cs="Times New Roman"/>
              </w:rPr>
              <w:t>9,0</w:t>
            </w:r>
          </w:p>
        </w:tc>
        <w:tc>
          <w:tcPr>
            <w:tcW w:w="850" w:type="dxa"/>
            <w:tcBorders>
              <w:top w:val="nil"/>
              <w:left w:val="nil"/>
              <w:bottom w:val="single" w:sz="4" w:space="0" w:color="auto"/>
              <w:right w:val="single" w:sz="4" w:space="0" w:color="auto"/>
            </w:tcBorders>
            <w:shd w:val="clear" w:color="auto" w:fill="auto"/>
            <w:noWrap/>
            <w:hideMark/>
          </w:tcPr>
          <w:p w14:paraId="5AA22AE1" w14:textId="77777777" w:rsidR="00437F5F" w:rsidRPr="00F82004" w:rsidRDefault="00437F5F" w:rsidP="00BE057E">
            <w:pPr>
              <w:spacing w:before="0" w:after="0" w:line="240" w:lineRule="auto"/>
              <w:jc w:val="center"/>
              <w:rPr>
                <w:rFonts w:ascii="Times New Roman" w:eastAsia="Times New Roman" w:hAnsi="Times New Roman" w:cs="Times New Roman"/>
                <w:b/>
                <w:lang w:eastAsia="lv-LV"/>
              </w:rPr>
            </w:pPr>
            <w:r w:rsidRPr="00F82004">
              <w:rPr>
                <w:rFonts w:ascii="Times New Roman" w:hAnsi="Times New Roman" w:cs="Times New Roman"/>
                <w:b/>
              </w:rPr>
              <w:t>100</w:t>
            </w:r>
          </w:p>
        </w:tc>
        <w:tc>
          <w:tcPr>
            <w:tcW w:w="851" w:type="dxa"/>
            <w:tcBorders>
              <w:top w:val="nil"/>
              <w:left w:val="nil"/>
              <w:bottom w:val="single" w:sz="4" w:space="0" w:color="auto"/>
              <w:right w:val="single" w:sz="4" w:space="0" w:color="auto"/>
            </w:tcBorders>
            <w:shd w:val="clear" w:color="auto" w:fill="auto"/>
            <w:noWrap/>
            <w:hideMark/>
          </w:tcPr>
          <w:p w14:paraId="1A53D2FB" w14:textId="77777777" w:rsidR="00437F5F" w:rsidRPr="00F82004" w:rsidRDefault="00437F5F" w:rsidP="00BE057E">
            <w:pPr>
              <w:spacing w:before="0" w:after="0" w:line="240" w:lineRule="auto"/>
              <w:jc w:val="center"/>
              <w:rPr>
                <w:rFonts w:ascii="Times New Roman" w:eastAsia="Times New Roman" w:hAnsi="Times New Roman" w:cs="Times New Roman"/>
                <w:lang w:eastAsia="lv-LV"/>
              </w:rPr>
            </w:pPr>
            <w:r w:rsidRPr="00F82004">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hideMark/>
          </w:tcPr>
          <w:p w14:paraId="1CD1A779" w14:textId="77777777" w:rsidR="00437F5F" w:rsidRPr="00F82004" w:rsidRDefault="00437F5F" w:rsidP="00BE057E">
            <w:pPr>
              <w:spacing w:before="0" w:after="0" w:line="240" w:lineRule="auto"/>
              <w:jc w:val="center"/>
              <w:rPr>
                <w:rFonts w:ascii="Times New Roman" w:eastAsia="Times New Roman" w:hAnsi="Times New Roman" w:cs="Times New Roman"/>
                <w:lang w:eastAsia="lv-LV"/>
              </w:rPr>
            </w:pPr>
            <w:r w:rsidRPr="00F82004">
              <w:rPr>
                <w:rFonts w:ascii="Times New Roman" w:hAnsi="Times New Roman" w:cs="Times New Roman"/>
              </w:rPr>
              <w:t>43,9</w:t>
            </w:r>
          </w:p>
        </w:tc>
        <w:tc>
          <w:tcPr>
            <w:tcW w:w="851" w:type="dxa"/>
            <w:tcBorders>
              <w:top w:val="nil"/>
              <w:left w:val="nil"/>
              <w:bottom w:val="single" w:sz="4" w:space="0" w:color="auto"/>
              <w:right w:val="single" w:sz="4" w:space="0" w:color="auto"/>
            </w:tcBorders>
            <w:shd w:val="clear" w:color="auto" w:fill="auto"/>
            <w:noWrap/>
            <w:hideMark/>
          </w:tcPr>
          <w:p w14:paraId="3212A0F4" w14:textId="63090BC1" w:rsidR="00437F5F" w:rsidRPr="00F82004" w:rsidRDefault="00437F5F" w:rsidP="00BE057E">
            <w:pPr>
              <w:spacing w:before="0" w:after="0" w:line="240" w:lineRule="auto"/>
              <w:jc w:val="center"/>
              <w:rPr>
                <w:rFonts w:ascii="Times New Roman" w:eastAsia="Times New Roman" w:hAnsi="Times New Roman" w:cs="Times New Roman"/>
                <w:b/>
                <w:lang w:eastAsia="lv-LV"/>
              </w:rPr>
            </w:pPr>
            <w:r w:rsidRPr="00F82004">
              <w:rPr>
                <w:rFonts w:ascii="Times New Roman" w:hAnsi="Times New Roman" w:cs="Times New Roman"/>
                <w:b/>
              </w:rPr>
              <w:t>97</w:t>
            </w:r>
          </w:p>
        </w:tc>
        <w:tc>
          <w:tcPr>
            <w:tcW w:w="850" w:type="dxa"/>
            <w:tcBorders>
              <w:top w:val="nil"/>
              <w:left w:val="nil"/>
              <w:bottom w:val="single" w:sz="4" w:space="0" w:color="auto"/>
              <w:right w:val="single" w:sz="4" w:space="0" w:color="auto"/>
            </w:tcBorders>
            <w:shd w:val="clear" w:color="auto" w:fill="auto"/>
            <w:noWrap/>
            <w:hideMark/>
          </w:tcPr>
          <w:p w14:paraId="0FB57BDF" w14:textId="77777777" w:rsidR="00437F5F" w:rsidRPr="00F82004" w:rsidRDefault="00437F5F" w:rsidP="00BE057E">
            <w:pPr>
              <w:spacing w:before="0" w:after="0" w:line="240" w:lineRule="auto"/>
              <w:jc w:val="center"/>
              <w:rPr>
                <w:rFonts w:ascii="Times New Roman" w:eastAsia="Times New Roman" w:hAnsi="Times New Roman" w:cs="Times New Roman"/>
                <w:lang w:eastAsia="lv-LV"/>
              </w:rPr>
            </w:pPr>
            <w:r w:rsidRPr="00F82004">
              <w:rPr>
                <w:rFonts w:ascii="Times New Roman" w:hAnsi="Times New Roman" w:cs="Times New Roman"/>
              </w:rPr>
              <w:t>x</w:t>
            </w:r>
          </w:p>
        </w:tc>
        <w:tc>
          <w:tcPr>
            <w:tcW w:w="851" w:type="dxa"/>
            <w:tcBorders>
              <w:top w:val="nil"/>
              <w:left w:val="nil"/>
              <w:bottom w:val="single" w:sz="4" w:space="0" w:color="auto"/>
              <w:right w:val="single" w:sz="4" w:space="0" w:color="auto"/>
            </w:tcBorders>
            <w:shd w:val="clear" w:color="auto" w:fill="auto"/>
            <w:noWrap/>
            <w:hideMark/>
          </w:tcPr>
          <w:p w14:paraId="405DDB93" w14:textId="77777777" w:rsidR="00437F5F" w:rsidRPr="00F82004" w:rsidRDefault="00437F5F" w:rsidP="00BE057E">
            <w:pPr>
              <w:spacing w:before="0" w:after="0" w:line="240" w:lineRule="auto"/>
              <w:jc w:val="center"/>
              <w:rPr>
                <w:rFonts w:ascii="Times New Roman" w:eastAsia="Times New Roman" w:hAnsi="Times New Roman" w:cs="Times New Roman"/>
                <w:lang w:eastAsia="lv-LV"/>
              </w:rPr>
            </w:pPr>
            <w:r w:rsidRPr="00F82004">
              <w:rPr>
                <w:rFonts w:ascii="Times New Roman" w:hAnsi="Times New Roman" w:cs="Times New Roman"/>
              </w:rPr>
              <w:t>41,3</w:t>
            </w:r>
          </w:p>
        </w:tc>
      </w:tr>
      <w:tr w:rsidR="008856B9" w:rsidRPr="00C17302" w14:paraId="4037966A" w14:textId="77777777" w:rsidTr="00A65015">
        <w:trPr>
          <w:trHeight w:val="2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D28F076" w14:textId="77777777" w:rsidR="00437F5F" w:rsidRPr="00F82004" w:rsidRDefault="00437F5F" w:rsidP="00BE057E">
            <w:pPr>
              <w:spacing w:before="0" w:after="0" w:line="240" w:lineRule="auto"/>
              <w:rPr>
                <w:rFonts w:ascii="Times New Roman" w:eastAsia="Times New Roman" w:hAnsi="Times New Roman" w:cs="Times New Roman"/>
                <w:lang w:eastAsia="lv-LV"/>
              </w:rPr>
            </w:pPr>
            <w:r w:rsidRPr="00F82004">
              <w:rPr>
                <w:rFonts w:ascii="Times New Roman" w:eastAsia="Times New Roman" w:hAnsi="Times New Roman" w:cs="Times New Roman"/>
                <w:lang w:eastAsia="lv-LV"/>
              </w:rPr>
              <w:t xml:space="preserve"> - t.sk. tematiskās pārbaudes apakšuzņēmējiem</w:t>
            </w:r>
          </w:p>
        </w:tc>
        <w:tc>
          <w:tcPr>
            <w:tcW w:w="851" w:type="dxa"/>
            <w:tcBorders>
              <w:top w:val="nil"/>
              <w:left w:val="nil"/>
              <w:bottom w:val="single" w:sz="4" w:space="0" w:color="auto"/>
              <w:right w:val="single" w:sz="4" w:space="0" w:color="auto"/>
            </w:tcBorders>
            <w:shd w:val="clear" w:color="auto" w:fill="auto"/>
            <w:noWrap/>
            <w:hideMark/>
          </w:tcPr>
          <w:p w14:paraId="069DCD3E" w14:textId="77777777" w:rsidR="00437F5F" w:rsidRPr="00F82004" w:rsidRDefault="00437F5F" w:rsidP="00BE057E">
            <w:pPr>
              <w:spacing w:before="0" w:after="0" w:line="240" w:lineRule="auto"/>
              <w:jc w:val="center"/>
              <w:rPr>
                <w:rFonts w:ascii="Times New Roman" w:eastAsia="Times New Roman" w:hAnsi="Times New Roman" w:cs="Times New Roman"/>
                <w:b/>
                <w:lang w:eastAsia="lv-LV"/>
              </w:rPr>
            </w:pPr>
            <w:r w:rsidRPr="00F82004">
              <w:rPr>
                <w:rFonts w:ascii="Times New Roman" w:hAnsi="Times New Roman" w:cs="Times New Roman"/>
                <w:b/>
              </w:rPr>
              <w:t>0</w:t>
            </w:r>
          </w:p>
        </w:tc>
        <w:tc>
          <w:tcPr>
            <w:tcW w:w="821" w:type="dxa"/>
            <w:tcBorders>
              <w:top w:val="nil"/>
              <w:left w:val="nil"/>
              <w:bottom w:val="single" w:sz="4" w:space="0" w:color="auto"/>
              <w:right w:val="single" w:sz="4" w:space="0" w:color="auto"/>
            </w:tcBorders>
            <w:shd w:val="clear" w:color="auto" w:fill="auto"/>
            <w:noWrap/>
            <w:hideMark/>
          </w:tcPr>
          <w:p w14:paraId="6ED765FD" w14:textId="77777777" w:rsidR="00437F5F" w:rsidRPr="00F82004" w:rsidRDefault="00437F5F" w:rsidP="00BE057E">
            <w:pPr>
              <w:spacing w:before="0" w:after="0" w:line="240" w:lineRule="auto"/>
              <w:jc w:val="center"/>
              <w:rPr>
                <w:rFonts w:ascii="Times New Roman" w:eastAsia="Times New Roman" w:hAnsi="Times New Roman" w:cs="Times New Roman"/>
                <w:lang w:eastAsia="lv-LV"/>
              </w:rPr>
            </w:pPr>
            <w:r w:rsidRPr="00F82004">
              <w:rPr>
                <w:rFonts w:ascii="Times New Roman" w:hAnsi="Times New Roman" w:cs="Times New Roman"/>
              </w:rPr>
              <w:t>x</w:t>
            </w:r>
          </w:p>
        </w:tc>
        <w:tc>
          <w:tcPr>
            <w:tcW w:w="851" w:type="dxa"/>
            <w:tcBorders>
              <w:top w:val="nil"/>
              <w:left w:val="nil"/>
              <w:bottom w:val="single" w:sz="4" w:space="0" w:color="auto"/>
              <w:right w:val="single" w:sz="4" w:space="0" w:color="auto"/>
            </w:tcBorders>
            <w:shd w:val="clear" w:color="auto" w:fill="auto"/>
            <w:noWrap/>
            <w:hideMark/>
          </w:tcPr>
          <w:p w14:paraId="58708A07" w14:textId="77777777" w:rsidR="00437F5F" w:rsidRPr="00F82004" w:rsidRDefault="00437F5F" w:rsidP="00BE057E">
            <w:pPr>
              <w:spacing w:before="0" w:after="0" w:line="240" w:lineRule="auto"/>
              <w:jc w:val="center"/>
              <w:rPr>
                <w:rFonts w:ascii="Times New Roman" w:eastAsia="Times New Roman" w:hAnsi="Times New Roman" w:cs="Times New Roman"/>
                <w:lang w:eastAsia="lv-LV"/>
              </w:rPr>
            </w:pPr>
            <w:r w:rsidRPr="00F82004">
              <w:rPr>
                <w:rFonts w:ascii="Times New Roman" w:hAnsi="Times New Roman" w:cs="Times New Roman"/>
              </w:rPr>
              <w:t>0,0</w:t>
            </w:r>
          </w:p>
        </w:tc>
        <w:tc>
          <w:tcPr>
            <w:tcW w:w="850" w:type="dxa"/>
            <w:tcBorders>
              <w:top w:val="nil"/>
              <w:left w:val="nil"/>
              <w:bottom w:val="single" w:sz="4" w:space="0" w:color="auto"/>
              <w:right w:val="single" w:sz="4" w:space="0" w:color="auto"/>
            </w:tcBorders>
            <w:shd w:val="clear" w:color="auto" w:fill="auto"/>
            <w:noWrap/>
            <w:hideMark/>
          </w:tcPr>
          <w:p w14:paraId="706C16C4" w14:textId="77777777" w:rsidR="00437F5F" w:rsidRPr="00F82004" w:rsidRDefault="00437F5F" w:rsidP="00BE057E">
            <w:pPr>
              <w:spacing w:before="0" w:after="0" w:line="240" w:lineRule="auto"/>
              <w:jc w:val="center"/>
              <w:rPr>
                <w:rFonts w:ascii="Times New Roman" w:eastAsia="Times New Roman" w:hAnsi="Times New Roman" w:cs="Times New Roman"/>
                <w:b/>
                <w:lang w:eastAsia="lv-LV"/>
              </w:rPr>
            </w:pPr>
            <w:r w:rsidRPr="00F82004">
              <w:rPr>
                <w:rFonts w:ascii="Times New Roman" w:hAnsi="Times New Roman" w:cs="Times New Roman"/>
                <w:b/>
              </w:rPr>
              <w:t>12</w:t>
            </w:r>
          </w:p>
        </w:tc>
        <w:tc>
          <w:tcPr>
            <w:tcW w:w="851" w:type="dxa"/>
            <w:tcBorders>
              <w:top w:val="nil"/>
              <w:left w:val="nil"/>
              <w:bottom w:val="single" w:sz="4" w:space="0" w:color="auto"/>
              <w:right w:val="single" w:sz="4" w:space="0" w:color="auto"/>
            </w:tcBorders>
            <w:shd w:val="clear" w:color="auto" w:fill="auto"/>
            <w:noWrap/>
            <w:hideMark/>
          </w:tcPr>
          <w:p w14:paraId="7DB25070" w14:textId="77777777" w:rsidR="00437F5F" w:rsidRPr="00F82004" w:rsidRDefault="00437F5F" w:rsidP="00BE057E">
            <w:pPr>
              <w:spacing w:before="0" w:after="0" w:line="240" w:lineRule="auto"/>
              <w:jc w:val="center"/>
              <w:rPr>
                <w:rFonts w:ascii="Times New Roman" w:eastAsia="Times New Roman" w:hAnsi="Times New Roman" w:cs="Times New Roman"/>
                <w:lang w:eastAsia="lv-LV"/>
              </w:rPr>
            </w:pPr>
            <w:r w:rsidRPr="00F82004">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hideMark/>
          </w:tcPr>
          <w:p w14:paraId="3CC4E6FA" w14:textId="77777777" w:rsidR="00437F5F" w:rsidRPr="00F82004" w:rsidRDefault="00437F5F" w:rsidP="00BE057E">
            <w:pPr>
              <w:spacing w:before="0" w:after="0" w:line="240" w:lineRule="auto"/>
              <w:jc w:val="center"/>
              <w:rPr>
                <w:rFonts w:ascii="Times New Roman" w:eastAsia="Times New Roman" w:hAnsi="Times New Roman" w:cs="Times New Roman"/>
                <w:lang w:eastAsia="lv-LV"/>
              </w:rPr>
            </w:pPr>
            <w:r w:rsidRPr="00F82004">
              <w:rPr>
                <w:rFonts w:ascii="Times New Roman" w:hAnsi="Times New Roman" w:cs="Times New Roman"/>
              </w:rPr>
              <w:t>5,3</w:t>
            </w:r>
          </w:p>
        </w:tc>
        <w:tc>
          <w:tcPr>
            <w:tcW w:w="851" w:type="dxa"/>
            <w:tcBorders>
              <w:top w:val="nil"/>
              <w:left w:val="nil"/>
              <w:bottom w:val="single" w:sz="4" w:space="0" w:color="auto"/>
              <w:right w:val="single" w:sz="4" w:space="0" w:color="auto"/>
            </w:tcBorders>
            <w:shd w:val="clear" w:color="auto" w:fill="auto"/>
            <w:noWrap/>
            <w:hideMark/>
          </w:tcPr>
          <w:p w14:paraId="68DDDC42" w14:textId="562CD8C1" w:rsidR="00437F5F" w:rsidRPr="00F82004" w:rsidRDefault="00437F5F" w:rsidP="00BE057E">
            <w:pPr>
              <w:spacing w:before="0" w:after="0" w:line="240" w:lineRule="auto"/>
              <w:jc w:val="center"/>
              <w:rPr>
                <w:rFonts w:ascii="Times New Roman" w:eastAsia="Times New Roman" w:hAnsi="Times New Roman" w:cs="Times New Roman"/>
                <w:b/>
                <w:lang w:eastAsia="lv-LV"/>
              </w:rPr>
            </w:pPr>
            <w:r w:rsidRPr="00F82004">
              <w:rPr>
                <w:rFonts w:ascii="Times New Roman" w:hAnsi="Times New Roman" w:cs="Times New Roman"/>
                <w:b/>
              </w:rPr>
              <w:t>80</w:t>
            </w:r>
          </w:p>
        </w:tc>
        <w:tc>
          <w:tcPr>
            <w:tcW w:w="850" w:type="dxa"/>
            <w:tcBorders>
              <w:top w:val="nil"/>
              <w:left w:val="nil"/>
              <w:bottom w:val="single" w:sz="4" w:space="0" w:color="auto"/>
              <w:right w:val="single" w:sz="4" w:space="0" w:color="auto"/>
            </w:tcBorders>
            <w:shd w:val="clear" w:color="auto" w:fill="auto"/>
            <w:noWrap/>
            <w:hideMark/>
          </w:tcPr>
          <w:p w14:paraId="2257CF35" w14:textId="77777777" w:rsidR="00437F5F" w:rsidRPr="00F82004" w:rsidRDefault="00437F5F" w:rsidP="00BE057E">
            <w:pPr>
              <w:spacing w:before="0" w:after="0" w:line="240" w:lineRule="auto"/>
              <w:jc w:val="center"/>
              <w:rPr>
                <w:rFonts w:ascii="Times New Roman" w:eastAsia="Times New Roman" w:hAnsi="Times New Roman" w:cs="Times New Roman"/>
                <w:lang w:eastAsia="lv-LV"/>
              </w:rPr>
            </w:pPr>
            <w:r w:rsidRPr="00F82004">
              <w:rPr>
                <w:rFonts w:ascii="Times New Roman" w:hAnsi="Times New Roman" w:cs="Times New Roman"/>
              </w:rPr>
              <w:t>x</w:t>
            </w:r>
          </w:p>
        </w:tc>
        <w:tc>
          <w:tcPr>
            <w:tcW w:w="851" w:type="dxa"/>
            <w:tcBorders>
              <w:top w:val="nil"/>
              <w:left w:val="nil"/>
              <w:bottom w:val="single" w:sz="4" w:space="0" w:color="auto"/>
              <w:right w:val="single" w:sz="4" w:space="0" w:color="auto"/>
            </w:tcBorders>
            <w:shd w:val="clear" w:color="auto" w:fill="auto"/>
            <w:noWrap/>
            <w:hideMark/>
          </w:tcPr>
          <w:p w14:paraId="1DB4E811" w14:textId="7975C8AE" w:rsidR="00437F5F" w:rsidRPr="00F82004" w:rsidRDefault="009255C8" w:rsidP="00BE057E">
            <w:pPr>
              <w:spacing w:before="0" w:after="0" w:line="240" w:lineRule="auto"/>
              <w:jc w:val="center"/>
              <w:rPr>
                <w:rFonts w:ascii="Times New Roman" w:eastAsia="Times New Roman" w:hAnsi="Times New Roman" w:cs="Times New Roman"/>
                <w:lang w:eastAsia="lv-LV"/>
              </w:rPr>
            </w:pPr>
            <w:r>
              <w:rPr>
                <w:rFonts w:ascii="Times New Roman" w:hAnsi="Times New Roman" w:cs="Times New Roman"/>
              </w:rPr>
              <w:t>34,0</w:t>
            </w:r>
          </w:p>
        </w:tc>
      </w:tr>
      <w:tr w:rsidR="00D026ED" w:rsidRPr="00C17302" w14:paraId="091D79E6" w14:textId="77777777" w:rsidTr="00A65015">
        <w:trPr>
          <w:trHeight w:val="2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F9229DD" w14:textId="77777777" w:rsidR="00437F5F" w:rsidRPr="00F82004" w:rsidRDefault="00437F5F" w:rsidP="00BE057E">
            <w:pPr>
              <w:spacing w:before="0" w:after="0" w:line="240" w:lineRule="auto"/>
              <w:rPr>
                <w:rFonts w:ascii="Times New Roman" w:eastAsia="Times New Roman" w:hAnsi="Times New Roman" w:cs="Times New Roman"/>
                <w:lang w:eastAsia="lv-LV"/>
              </w:rPr>
            </w:pPr>
            <w:r w:rsidRPr="00F82004">
              <w:rPr>
                <w:rFonts w:ascii="Times New Roman" w:eastAsia="Times New Roman" w:hAnsi="Times New Roman" w:cs="Times New Roman"/>
                <w:lang w:eastAsia="lv-LV"/>
              </w:rPr>
              <w:t>Apsekošanas apakšuzņēmējiem</w:t>
            </w:r>
          </w:p>
        </w:tc>
        <w:tc>
          <w:tcPr>
            <w:tcW w:w="851" w:type="dxa"/>
            <w:tcBorders>
              <w:top w:val="nil"/>
              <w:left w:val="nil"/>
              <w:bottom w:val="single" w:sz="4" w:space="0" w:color="auto"/>
              <w:right w:val="single" w:sz="4" w:space="0" w:color="auto"/>
            </w:tcBorders>
            <w:shd w:val="clear" w:color="auto" w:fill="auto"/>
            <w:noWrap/>
            <w:hideMark/>
          </w:tcPr>
          <w:p w14:paraId="155CD675" w14:textId="77777777" w:rsidR="00437F5F" w:rsidRPr="00F82004" w:rsidRDefault="00437F5F" w:rsidP="00BE057E">
            <w:pPr>
              <w:spacing w:before="0" w:after="0" w:line="240" w:lineRule="auto"/>
              <w:jc w:val="center"/>
              <w:rPr>
                <w:rFonts w:ascii="Times New Roman" w:eastAsia="Times New Roman" w:hAnsi="Times New Roman" w:cs="Times New Roman"/>
                <w:b/>
                <w:lang w:eastAsia="lv-LV"/>
              </w:rPr>
            </w:pPr>
            <w:r w:rsidRPr="00F82004">
              <w:rPr>
                <w:rFonts w:ascii="Times New Roman" w:hAnsi="Times New Roman" w:cs="Times New Roman"/>
                <w:b/>
              </w:rPr>
              <w:t>190</w:t>
            </w:r>
          </w:p>
        </w:tc>
        <w:tc>
          <w:tcPr>
            <w:tcW w:w="821" w:type="dxa"/>
            <w:tcBorders>
              <w:top w:val="nil"/>
              <w:left w:val="nil"/>
              <w:bottom w:val="single" w:sz="4" w:space="0" w:color="auto"/>
              <w:right w:val="single" w:sz="4" w:space="0" w:color="auto"/>
            </w:tcBorders>
            <w:shd w:val="clear" w:color="auto" w:fill="auto"/>
            <w:noWrap/>
            <w:hideMark/>
          </w:tcPr>
          <w:p w14:paraId="259C11CF" w14:textId="77777777" w:rsidR="00437F5F" w:rsidRPr="00F82004" w:rsidRDefault="00437F5F" w:rsidP="00BE057E">
            <w:pPr>
              <w:spacing w:before="0" w:after="0" w:line="240" w:lineRule="auto"/>
              <w:jc w:val="center"/>
              <w:rPr>
                <w:rFonts w:ascii="Times New Roman" w:eastAsia="Times New Roman" w:hAnsi="Times New Roman" w:cs="Times New Roman"/>
                <w:lang w:eastAsia="lv-LV"/>
              </w:rPr>
            </w:pPr>
            <w:r w:rsidRPr="00F82004">
              <w:rPr>
                <w:rFonts w:ascii="Times New Roman" w:hAnsi="Times New Roman" w:cs="Times New Roman"/>
              </w:rPr>
              <w:t>668</w:t>
            </w:r>
          </w:p>
        </w:tc>
        <w:tc>
          <w:tcPr>
            <w:tcW w:w="851" w:type="dxa"/>
            <w:tcBorders>
              <w:top w:val="nil"/>
              <w:left w:val="nil"/>
              <w:bottom w:val="single" w:sz="4" w:space="0" w:color="auto"/>
              <w:right w:val="single" w:sz="4" w:space="0" w:color="auto"/>
            </w:tcBorders>
            <w:shd w:val="clear" w:color="auto" w:fill="auto"/>
            <w:noWrap/>
            <w:hideMark/>
          </w:tcPr>
          <w:p w14:paraId="6F63FABA" w14:textId="77777777" w:rsidR="00437F5F" w:rsidRPr="00F82004" w:rsidRDefault="00437F5F" w:rsidP="00BE057E">
            <w:pPr>
              <w:spacing w:before="0" w:after="0" w:line="240" w:lineRule="auto"/>
              <w:jc w:val="center"/>
              <w:rPr>
                <w:rFonts w:ascii="Times New Roman" w:eastAsia="Times New Roman" w:hAnsi="Times New Roman" w:cs="Times New Roman"/>
                <w:lang w:eastAsia="lv-LV"/>
              </w:rPr>
            </w:pPr>
            <w:r w:rsidRPr="00F82004">
              <w:rPr>
                <w:rFonts w:ascii="Times New Roman" w:hAnsi="Times New Roman" w:cs="Times New Roman"/>
              </w:rPr>
              <w:t>28,4</w:t>
            </w:r>
          </w:p>
        </w:tc>
        <w:tc>
          <w:tcPr>
            <w:tcW w:w="850" w:type="dxa"/>
            <w:tcBorders>
              <w:top w:val="nil"/>
              <w:left w:val="nil"/>
              <w:bottom w:val="single" w:sz="4" w:space="0" w:color="auto"/>
              <w:right w:val="single" w:sz="4" w:space="0" w:color="auto"/>
            </w:tcBorders>
            <w:shd w:val="clear" w:color="auto" w:fill="auto"/>
            <w:noWrap/>
            <w:hideMark/>
          </w:tcPr>
          <w:p w14:paraId="6996AB2D" w14:textId="77777777" w:rsidR="00437F5F" w:rsidRPr="00F82004" w:rsidRDefault="00437F5F" w:rsidP="00BE057E">
            <w:pPr>
              <w:spacing w:before="0" w:after="0" w:line="240" w:lineRule="auto"/>
              <w:jc w:val="center"/>
              <w:rPr>
                <w:rFonts w:ascii="Times New Roman" w:eastAsia="Times New Roman" w:hAnsi="Times New Roman" w:cs="Times New Roman"/>
                <w:b/>
                <w:lang w:eastAsia="lv-LV"/>
              </w:rPr>
            </w:pPr>
            <w:r w:rsidRPr="00F82004">
              <w:rPr>
                <w:rFonts w:ascii="Times New Roman" w:hAnsi="Times New Roman" w:cs="Times New Roman"/>
                <w:b/>
              </w:rPr>
              <w:t>555</w:t>
            </w:r>
          </w:p>
        </w:tc>
        <w:tc>
          <w:tcPr>
            <w:tcW w:w="851" w:type="dxa"/>
            <w:tcBorders>
              <w:top w:val="nil"/>
              <w:left w:val="nil"/>
              <w:bottom w:val="single" w:sz="4" w:space="0" w:color="auto"/>
              <w:right w:val="single" w:sz="4" w:space="0" w:color="auto"/>
            </w:tcBorders>
            <w:shd w:val="clear" w:color="auto" w:fill="auto"/>
            <w:noWrap/>
            <w:hideMark/>
          </w:tcPr>
          <w:p w14:paraId="5431D60E" w14:textId="77777777" w:rsidR="00437F5F" w:rsidRPr="00F82004" w:rsidRDefault="00437F5F" w:rsidP="00BE057E">
            <w:pPr>
              <w:spacing w:before="0" w:after="0" w:line="240" w:lineRule="auto"/>
              <w:jc w:val="center"/>
              <w:rPr>
                <w:rFonts w:ascii="Times New Roman" w:eastAsia="Times New Roman" w:hAnsi="Times New Roman" w:cs="Times New Roman"/>
                <w:lang w:eastAsia="lv-LV"/>
              </w:rPr>
            </w:pPr>
            <w:r w:rsidRPr="00F82004">
              <w:rPr>
                <w:rFonts w:ascii="Times New Roman" w:hAnsi="Times New Roman" w:cs="Times New Roman"/>
              </w:rPr>
              <w:t>852</w:t>
            </w:r>
          </w:p>
        </w:tc>
        <w:tc>
          <w:tcPr>
            <w:tcW w:w="850" w:type="dxa"/>
            <w:tcBorders>
              <w:top w:val="nil"/>
              <w:left w:val="nil"/>
              <w:bottom w:val="single" w:sz="4" w:space="0" w:color="auto"/>
              <w:right w:val="single" w:sz="4" w:space="0" w:color="auto"/>
            </w:tcBorders>
            <w:shd w:val="clear" w:color="auto" w:fill="auto"/>
            <w:noWrap/>
            <w:hideMark/>
          </w:tcPr>
          <w:p w14:paraId="16EDC8D4" w14:textId="77777777" w:rsidR="00437F5F" w:rsidRPr="00F82004" w:rsidRDefault="00437F5F" w:rsidP="00BE057E">
            <w:pPr>
              <w:spacing w:before="0" w:after="0" w:line="240" w:lineRule="auto"/>
              <w:jc w:val="center"/>
              <w:rPr>
                <w:rFonts w:ascii="Times New Roman" w:eastAsia="Times New Roman" w:hAnsi="Times New Roman" w:cs="Times New Roman"/>
                <w:lang w:eastAsia="lv-LV"/>
              </w:rPr>
            </w:pPr>
            <w:r w:rsidRPr="00F82004">
              <w:rPr>
                <w:rFonts w:ascii="Times New Roman" w:hAnsi="Times New Roman" w:cs="Times New Roman"/>
              </w:rPr>
              <w:t>65,1</w:t>
            </w:r>
          </w:p>
        </w:tc>
        <w:tc>
          <w:tcPr>
            <w:tcW w:w="851" w:type="dxa"/>
            <w:tcBorders>
              <w:top w:val="nil"/>
              <w:left w:val="nil"/>
              <w:bottom w:val="single" w:sz="4" w:space="0" w:color="auto"/>
              <w:right w:val="single" w:sz="4" w:space="0" w:color="auto"/>
            </w:tcBorders>
            <w:shd w:val="clear" w:color="auto" w:fill="auto"/>
            <w:noWrap/>
            <w:hideMark/>
          </w:tcPr>
          <w:p w14:paraId="3B3E3C84" w14:textId="187A94A0" w:rsidR="00437F5F" w:rsidRPr="00F82004" w:rsidRDefault="00437F5F" w:rsidP="00BE057E">
            <w:pPr>
              <w:spacing w:before="0" w:after="0" w:line="240" w:lineRule="auto"/>
              <w:jc w:val="center"/>
              <w:rPr>
                <w:rFonts w:ascii="Times New Roman" w:eastAsia="Times New Roman" w:hAnsi="Times New Roman" w:cs="Times New Roman"/>
                <w:b/>
                <w:lang w:eastAsia="lv-LV"/>
              </w:rPr>
            </w:pPr>
            <w:r w:rsidRPr="00F82004">
              <w:rPr>
                <w:rFonts w:ascii="Times New Roman" w:hAnsi="Times New Roman" w:cs="Times New Roman"/>
                <w:b/>
              </w:rPr>
              <w:t>660</w:t>
            </w:r>
          </w:p>
        </w:tc>
        <w:tc>
          <w:tcPr>
            <w:tcW w:w="850" w:type="dxa"/>
            <w:tcBorders>
              <w:top w:val="nil"/>
              <w:left w:val="nil"/>
              <w:bottom w:val="single" w:sz="4" w:space="0" w:color="auto"/>
              <w:right w:val="single" w:sz="4" w:space="0" w:color="auto"/>
            </w:tcBorders>
            <w:shd w:val="clear" w:color="auto" w:fill="auto"/>
            <w:noWrap/>
            <w:hideMark/>
          </w:tcPr>
          <w:p w14:paraId="5DA46313" w14:textId="77777777" w:rsidR="00437F5F" w:rsidRPr="00F82004" w:rsidRDefault="00437F5F" w:rsidP="00BE057E">
            <w:pPr>
              <w:spacing w:before="0" w:after="0" w:line="240" w:lineRule="auto"/>
              <w:jc w:val="center"/>
              <w:rPr>
                <w:rFonts w:ascii="Times New Roman" w:eastAsia="Times New Roman" w:hAnsi="Times New Roman" w:cs="Times New Roman"/>
                <w:lang w:eastAsia="lv-LV"/>
              </w:rPr>
            </w:pPr>
            <w:r w:rsidRPr="00F82004">
              <w:rPr>
                <w:rFonts w:ascii="Times New Roman" w:hAnsi="Times New Roman" w:cs="Times New Roman"/>
              </w:rPr>
              <w:t>753</w:t>
            </w:r>
          </w:p>
        </w:tc>
        <w:tc>
          <w:tcPr>
            <w:tcW w:w="851" w:type="dxa"/>
            <w:tcBorders>
              <w:top w:val="nil"/>
              <w:left w:val="nil"/>
              <w:bottom w:val="single" w:sz="4" w:space="0" w:color="auto"/>
              <w:right w:val="single" w:sz="4" w:space="0" w:color="auto"/>
            </w:tcBorders>
            <w:shd w:val="clear" w:color="auto" w:fill="auto"/>
            <w:noWrap/>
            <w:hideMark/>
          </w:tcPr>
          <w:p w14:paraId="0679C8EA" w14:textId="77777777" w:rsidR="00437F5F" w:rsidRPr="00F82004" w:rsidRDefault="00437F5F" w:rsidP="00BE057E">
            <w:pPr>
              <w:spacing w:before="0" w:after="0" w:line="240" w:lineRule="auto"/>
              <w:jc w:val="center"/>
              <w:rPr>
                <w:rFonts w:ascii="Times New Roman" w:eastAsia="Times New Roman" w:hAnsi="Times New Roman" w:cs="Times New Roman"/>
                <w:lang w:eastAsia="lv-LV"/>
              </w:rPr>
            </w:pPr>
            <w:r w:rsidRPr="00F82004">
              <w:rPr>
                <w:rFonts w:ascii="Times New Roman" w:hAnsi="Times New Roman" w:cs="Times New Roman"/>
              </w:rPr>
              <w:t>87,6</w:t>
            </w:r>
          </w:p>
        </w:tc>
      </w:tr>
    </w:tbl>
    <w:p w14:paraId="4ADA2B92" w14:textId="77777777" w:rsidR="00BE057E" w:rsidRPr="00F82004" w:rsidRDefault="00BE057E" w:rsidP="00BE057E">
      <w:pPr>
        <w:pStyle w:val="NoSpacing"/>
        <w:spacing w:before="0"/>
        <w:ind w:firstLine="720"/>
        <w:jc w:val="center"/>
        <w:rPr>
          <w:rFonts w:ascii="Times New Roman" w:hAnsi="Times New Roman" w:cs="Times New Roman"/>
          <w:sz w:val="28"/>
          <w:szCs w:val="28"/>
        </w:rPr>
      </w:pPr>
    </w:p>
    <w:p w14:paraId="2EC650AA" w14:textId="72FA0E20" w:rsidR="00BE057E" w:rsidRPr="00F82004" w:rsidRDefault="00BE057E" w:rsidP="00BE057E">
      <w:pPr>
        <w:pStyle w:val="NoSpacing"/>
        <w:spacing w:before="0"/>
        <w:ind w:firstLine="720"/>
        <w:jc w:val="both"/>
        <w:rPr>
          <w:rFonts w:ascii="Times New Roman" w:hAnsi="Times New Roman" w:cs="Times New Roman"/>
          <w:sz w:val="28"/>
          <w:szCs w:val="28"/>
        </w:rPr>
      </w:pPr>
      <w:r w:rsidRPr="00F82004">
        <w:rPr>
          <w:rFonts w:ascii="Times New Roman" w:hAnsi="Times New Roman" w:cs="Times New Roman"/>
          <w:sz w:val="28"/>
          <w:szCs w:val="28"/>
        </w:rPr>
        <w:t>Veicot pārbaudes 2017.gada beigās un 2018.gadā</w:t>
      </w:r>
      <w:r w:rsidR="000C4239">
        <w:rPr>
          <w:rFonts w:ascii="Times New Roman" w:hAnsi="Times New Roman" w:cs="Times New Roman"/>
          <w:sz w:val="28"/>
          <w:szCs w:val="28"/>
        </w:rPr>
        <w:t>,</w:t>
      </w:r>
      <w:r w:rsidRPr="00F82004">
        <w:rPr>
          <w:rFonts w:ascii="Times New Roman" w:hAnsi="Times New Roman" w:cs="Times New Roman"/>
          <w:sz w:val="28"/>
          <w:szCs w:val="28"/>
        </w:rPr>
        <w:t xml:space="preserve"> VID kā galvenos uzdevumus izvirzīja konsultatīvā atbalsta sniegšanu nodokļu maksātājiem likuma </w:t>
      </w:r>
      <w:r w:rsidR="003E12D1">
        <w:rPr>
          <w:rFonts w:ascii="Times New Roman" w:hAnsi="Times New Roman" w:cs="Times New Roman"/>
          <w:sz w:val="28"/>
          <w:szCs w:val="28"/>
        </w:rPr>
        <w:t>“</w:t>
      </w:r>
      <w:r w:rsidRPr="00F82004">
        <w:rPr>
          <w:rFonts w:ascii="Times New Roman" w:hAnsi="Times New Roman" w:cs="Times New Roman"/>
          <w:sz w:val="28"/>
          <w:szCs w:val="28"/>
        </w:rPr>
        <w:t>Par nodokļiem un nodevām</w:t>
      </w:r>
      <w:r w:rsidR="003E12D1">
        <w:rPr>
          <w:rFonts w:ascii="Times New Roman" w:hAnsi="Times New Roman" w:cs="Times New Roman"/>
          <w:sz w:val="28"/>
          <w:szCs w:val="28"/>
        </w:rPr>
        <w:t>”</w:t>
      </w:r>
      <w:r w:rsidRPr="00F82004">
        <w:rPr>
          <w:rFonts w:ascii="Times New Roman" w:hAnsi="Times New Roman" w:cs="Times New Roman"/>
          <w:sz w:val="28"/>
          <w:szCs w:val="28"/>
        </w:rPr>
        <w:t xml:space="preserve"> XIV nodaļā </w:t>
      </w:r>
      <w:r w:rsidR="003E12D1">
        <w:rPr>
          <w:rFonts w:ascii="Times New Roman" w:hAnsi="Times New Roman" w:cs="Times New Roman"/>
          <w:sz w:val="28"/>
          <w:szCs w:val="28"/>
        </w:rPr>
        <w:t>“</w:t>
      </w:r>
      <w:r w:rsidRPr="00F82004">
        <w:rPr>
          <w:rFonts w:ascii="Times New Roman" w:hAnsi="Times New Roman" w:cs="Times New Roman"/>
          <w:sz w:val="28"/>
          <w:szCs w:val="28"/>
        </w:rPr>
        <w:t>Elektroniskās informācijas uzskaite būvlaukumā un tās izmantošana</w:t>
      </w:r>
      <w:r w:rsidR="003E12D1">
        <w:rPr>
          <w:rFonts w:ascii="Times New Roman" w:hAnsi="Times New Roman" w:cs="Times New Roman"/>
          <w:sz w:val="28"/>
          <w:szCs w:val="28"/>
        </w:rPr>
        <w:t>”</w:t>
      </w:r>
      <w:r w:rsidRPr="00F82004">
        <w:rPr>
          <w:rFonts w:ascii="Times New Roman" w:hAnsi="Times New Roman" w:cs="Times New Roman"/>
          <w:sz w:val="28"/>
          <w:szCs w:val="28"/>
        </w:rPr>
        <w:t xml:space="preserve"> ietverto normu piemērošanā, identificējot EDLUS informācijas tehnoloģiju risinājumu izplatības tendences, ieviešanas, izmantošanas un datu ticamības problēmas un kļūdas, vienlai</w:t>
      </w:r>
      <w:r w:rsidR="009C6B1E">
        <w:rPr>
          <w:rFonts w:ascii="Times New Roman" w:hAnsi="Times New Roman" w:cs="Times New Roman"/>
          <w:sz w:val="28"/>
          <w:szCs w:val="28"/>
        </w:rPr>
        <w:t>kus</w:t>
      </w:r>
      <w:r w:rsidRPr="00F82004">
        <w:rPr>
          <w:rFonts w:ascii="Times New Roman" w:hAnsi="Times New Roman" w:cs="Times New Roman"/>
          <w:sz w:val="28"/>
          <w:szCs w:val="28"/>
        </w:rPr>
        <w:t xml:space="preserve"> stiprinot EDLUS izmantošanas paradumu būvlaukumā nodarbināto personu vidū.</w:t>
      </w:r>
    </w:p>
    <w:p w14:paraId="09114E52" w14:textId="7DFCE1D3" w:rsidR="00BE057E" w:rsidRPr="006610D8" w:rsidRDefault="00BE057E" w:rsidP="009C6B1E">
      <w:pPr>
        <w:pStyle w:val="NoSpacing"/>
        <w:spacing w:before="0"/>
        <w:ind w:firstLine="720"/>
        <w:jc w:val="both"/>
        <w:rPr>
          <w:rFonts w:ascii="Times New Roman" w:hAnsi="Times New Roman" w:cs="Times New Roman"/>
          <w:sz w:val="28"/>
          <w:szCs w:val="28"/>
        </w:rPr>
      </w:pPr>
      <w:bookmarkStart w:id="15" w:name="_Hlk38892609"/>
      <w:r w:rsidRPr="00F82004">
        <w:rPr>
          <w:rFonts w:ascii="Times New Roman" w:hAnsi="Times New Roman" w:cs="Times New Roman"/>
          <w:sz w:val="28"/>
          <w:szCs w:val="28"/>
        </w:rPr>
        <w:t>Sākot ar 2019.gadu, VID uzdevum</w:t>
      </w:r>
      <w:r w:rsidR="00157607">
        <w:rPr>
          <w:rFonts w:ascii="Times New Roman" w:hAnsi="Times New Roman" w:cs="Times New Roman"/>
          <w:sz w:val="28"/>
          <w:szCs w:val="28"/>
        </w:rPr>
        <w:t>s</w:t>
      </w:r>
      <w:r w:rsidRPr="00F82004">
        <w:rPr>
          <w:rFonts w:ascii="Times New Roman" w:hAnsi="Times New Roman" w:cs="Times New Roman"/>
          <w:sz w:val="28"/>
          <w:szCs w:val="28"/>
        </w:rPr>
        <w:t xml:space="preserve"> ir identificēt elektroniskās informācijas uzskaites </w:t>
      </w:r>
      <w:r w:rsidR="00C24D2A">
        <w:rPr>
          <w:rFonts w:ascii="Times New Roman" w:hAnsi="Times New Roman" w:cs="Times New Roman"/>
          <w:sz w:val="28"/>
          <w:szCs w:val="28"/>
        </w:rPr>
        <w:t xml:space="preserve">būvlaukumā </w:t>
      </w:r>
      <w:r w:rsidRPr="00F82004">
        <w:rPr>
          <w:rFonts w:ascii="Times New Roman" w:hAnsi="Times New Roman" w:cs="Times New Roman"/>
          <w:sz w:val="28"/>
          <w:szCs w:val="28"/>
        </w:rPr>
        <w:t xml:space="preserve">regulējuma neievērošanas gadījumus un neatbilstības </w:t>
      </w:r>
      <w:r w:rsidR="00C24D2A">
        <w:rPr>
          <w:rFonts w:ascii="Times New Roman" w:hAnsi="Times New Roman" w:cs="Times New Roman"/>
          <w:sz w:val="28"/>
          <w:szCs w:val="28"/>
        </w:rPr>
        <w:t xml:space="preserve">būvlaukumā </w:t>
      </w:r>
      <w:r w:rsidRPr="00F82004">
        <w:rPr>
          <w:rFonts w:ascii="Times New Roman" w:hAnsi="Times New Roman" w:cs="Times New Roman"/>
          <w:sz w:val="28"/>
          <w:szCs w:val="28"/>
        </w:rPr>
        <w:t>nodarbināto personu darba ienākumu aprēķināšanā un</w:t>
      </w:r>
      <w:r w:rsidR="009B3B3F">
        <w:rPr>
          <w:rFonts w:ascii="Times New Roman" w:hAnsi="Times New Roman" w:cs="Times New Roman"/>
          <w:sz w:val="28"/>
          <w:szCs w:val="28"/>
        </w:rPr>
        <w:t>,</w:t>
      </w:r>
      <w:r w:rsidRPr="00F82004">
        <w:rPr>
          <w:rFonts w:ascii="Times New Roman" w:hAnsi="Times New Roman" w:cs="Times New Roman"/>
          <w:sz w:val="28"/>
          <w:szCs w:val="28"/>
        </w:rPr>
        <w:t xml:space="preserve"> pielietojot </w:t>
      </w:r>
      <w:r w:rsidR="009C6B1E">
        <w:rPr>
          <w:rFonts w:ascii="Times New Roman" w:hAnsi="Times New Roman" w:cs="Times New Roman"/>
          <w:sz w:val="28"/>
          <w:szCs w:val="28"/>
        </w:rPr>
        <w:t xml:space="preserve">principu </w:t>
      </w:r>
      <w:r w:rsidR="003E12D1">
        <w:rPr>
          <w:rFonts w:ascii="Times New Roman" w:hAnsi="Times New Roman" w:cs="Times New Roman"/>
          <w:sz w:val="28"/>
          <w:szCs w:val="28"/>
        </w:rPr>
        <w:t>“</w:t>
      </w:r>
      <w:r w:rsidRPr="00F82004">
        <w:rPr>
          <w:rFonts w:ascii="Times New Roman" w:hAnsi="Times New Roman" w:cs="Times New Roman"/>
          <w:sz w:val="28"/>
          <w:szCs w:val="28"/>
        </w:rPr>
        <w:t>Konsultē vispirms</w:t>
      </w:r>
      <w:r w:rsidR="003E12D1">
        <w:rPr>
          <w:rFonts w:ascii="Times New Roman" w:hAnsi="Times New Roman" w:cs="Times New Roman"/>
          <w:sz w:val="28"/>
          <w:szCs w:val="28"/>
        </w:rPr>
        <w:t>”</w:t>
      </w:r>
      <w:r w:rsidRPr="006610D8">
        <w:rPr>
          <w:rFonts w:ascii="Times New Roman" w:hAnsi="Times New Roman" w:cs="Times New Roman"/>
          <w:sz w:val="28"/>
          <w:szCs w:val="28"/>
        </w:rPr>
        <w:t>, skaidrot EDLU ieviešanas reglamentējošās normas subjektiem,</w:t>
      </w:r>
      <w:r w:rsidR="00C24D2A">
        <w:rPr>
          <w:rFonts w:ascii="Times New Roman" w:hAnsi="Times New Roman" w:cs="Times New Roman"/>
          <w:sz w:val="28"/>
          <w:szCs w:val="28"/>
        </w:rPr>
        <w:t xml:space="preserve"> uz kuriem attiecas EDLU regulējums,</w:t>
      </w:r>
      <w:r w:rsidRPr="006610D8">
        <w:rPr>
          <w:rFonts w:ascii="Times New Roman" w:hAnsi="Times New Roman" w:cs="Times New Roman"/>
          <w:sz w:val="28"/>
          <w:szCs w:val="28"/>
        </w:rPr>
        <w:t xml:space="preserve"> nosakot termiņus konstatēto neatbilstību novēršanai.</w:t>
      </w:r>
    </w:p>
    <w:bookmarkEnd w:id="15"/>
    <w:p w14:paraId="58C7BF91" w14:textId="77777777" w:rsidR="00544285" w:rsidRPr="006610D8" w:rsidRDefault="00544285" w:rsidP="00544285">
      <w:pPr>
        <w:pStyle w:val="NoSpacing"/>
        <w:spacing w:before="0"/>
        <w:ind w:firstLine="720"/>
        <w:jc w:val="both"/>
        <w:rPr>
          <w:rFonts w:ascii="Times New Roman" w:hAnsi="Times New Roman" w:cs="Times New Roman"/>
          <w:sz w:val="28"/>
          <w:szCs w:val="28"/>
        </w:rPr>
      </w:pPr>
      <w:r w:rsidRPr="006610D8">
        <w:rPr>
          <w:rFonts w:ascii="Times New Roman" w:hAnsi="Times New Roman" w:cs="Times New Roman"/>
          <w:sz w:val="28"/>
          <w:szCs w:val="28"/>
        </w:rPr>
        <w:t>Lai nodrošinātu normatīvo aktu regulējuma ievērošanu, EDLUS ieviešanas un izmantošanas uzraudzības ietvaros VID sniedza konsultācijas:</w:t>
      </w:r>
    </w:p>
    <w:p w14:paraId="020D095A" w14:textId="77777777" w:rsidR="00544285" w:rsidRPr="006610D8" w:rsidRDefault="00544285" w:rsidP="00F02640">
      <w:pPr>
        <w:pStyle w:val="NoSpacing"/>
        <w:numPr>
          <w:ilvl w:val="0"/>
          <w:numId w:val="3"/>
        </w:numPr>
        <w:tabs>
          <w:tab w:val="left" w:pos="1134"/>
        </w:tabs>
        <w:spacing w:before="0"/>
        <w:ind w:left="0" w:firstLine="720"/>
        <w:jc w:val="both"/>
        <w:rPr>
          <w:rFonts w:ascii="Times New Roman" w:hAnsi="Times New Roman" w:cs="Times New Roman"/>
          <w:sz w:val="28"/>
          <w:szCs w:val="28"/>
        </w:rPr>
      </w:pPr>
      <w:r w:rsidRPr="006610D8">
        <w:rPr>
          <w:rFonts w:ascii="Times New Roman" w:hAnsi="Times New Roman" w:cs="Times New Roman"/>
          <w:sz w:val="28"/>
          <w:szCs w:val="28"/>
        </w:rPr>
        <w:t>2018.gadā, pārbaudot 88</w:t>
      </w:r>
      <w:r>
        <w:rPr>
          <w:rFonts w:ascii="Times New Roman" w:hAnsi="Times New Roman" w:cs="Times New Roman"/>
          <w:sz w:val="28"/>
          <w:szCs w:val="28"/>
        </w:rPr>
        <w:t> </w:t>
      </w:r>
      <w:r w:rsidRPr="006610D8">
        <w:rPr>
          <w:rFonts w:ascii="Times New Roman" w:hAnsi="Times New Roman" w:cs="Times New Roman"/>
          <w:sz w:val="28"/>
          <w:szCs w:val="28"/>
        </w:rPr>
        <w:t>galvenos būvdarbu veicējus un 158</w:t>
      </w:r>
      <w:r>
        <w:rPr>
          <w:rFonts w:ascii="Times New Roman" w:hAnsi="Times New Roman" w:cs="Times New Roman"/>
          <w:sz w:val="28"/>
          <w:szCs w:val="28"/>
        </w:rPr>
        <w:t> </w:t>
      </w:r>
      <w:r w:rsidRPr="006610D8">
        <w:rPr>
          <w:rFonts w:ascii="Times New Roman" w:hAnsi="Times New Roman" w:cs="Times New Roman"/>
          <w:sz w:val="28"/>
          <w:szCs w:val="28"/>
        </w:rPr>
        <w:t>apakšuzņēmumus, kopumā 36</w:t>
      </w:r>
      <w:r>
        <w:rPr>
          <w:rFonts w:ascii="Times New Roman" w:hAnsi="Times New Roman" w:cs="Times New Roman"/>
          <w:sz w:val="28"/>
          <w:szCs w:val="28"/>
        </w:rPr>
        <w:t> </w:t>
      </w:r>
      <w:r w:rsidRPr="006610D8">
        <w:rPr>
          <w:rFonts w:ascii="Times New Roman" w:hAnsi="Times New Roman" w:cs="Times New Roman"/>
          <w:sz w:val="28"/>
          <w:szCs w:val="28"/>
        </w:rPr>
        <w:t>% no VID veiktajām EDLU pārbaudēm</w:t>
      </w:r>
      <w:r>
        <w:rPr>
          <w:rFonts w:ascii="Times New Roman" w:hAnsi="Times New Roman" w:cs="Times New Roman"/>
          <w:sz w:val="28"/>
          <w:szCs w:val="28"/>
        </w:rPr>
        <w:t>;</w:t>
      </w:r>
    </w:p>
    <w:p w14:paraId="492C75D8" w14:textId="77777777" w:rsidR="00544285" w:rsidRPr="006610D8" w:rsidRDefault="00544285" w:rsidP="00F02640">
      <w:pPr>
        <w:pStyle w:val="NoSpacing"/>
        <w:numPr>
          <w:ilvl w:val="0"/>
          <w:numId w:val="3"/>
        </w:numPr>
        <w:tabs>
          <w:tab w:val="left" w:pos="1134"/>
        </w:tabs>
        <w:spacing w:before="0"/>
        <w:ind w:left="0" w:firstLine="720"/>
        <w:jc w:val="both"/>
        <w:rPr>
          <w:rFonts w:ascii="Times New Roman" w:hAnsi="Times New Roman" w:cs="Times New Roman"/>
          <w:sz w:val="28"/>
          <w:szCs w:val="28"/>
        </w:rPr>
      </w:pPr>
      <w:r w:rsidRPr="006610D8">
        <w:rPr>
          <w:rFonts w:ascii="Times New Roman" w:hAnsi="Times New Roman" w:cs="Times New Roman"/>
          <w:sz w:val="28"/>
          <w:szCs w:val="28"/>
        </w:rPr>
        <w:t>2019.gadā, pārbaudot 85</w:t>
      </w:r>
      <w:r>
        <w:rPr>
          <w:rFonts w:ascii="Times New Roman" w:hAnsi="Times New Roman" w:cs="Times New Roman"/>
          <w:sz w:val="28"/>
          <w:szCs w:val="28"/>
        </w:rPr>
        <w:t> </w:t>
      </w:r>
      <w:r w:rsidRPr="006610D8">
        <w:rPr>
          <w:rFonts w:ascii="Times New Roman" w:hAnsi="Times New Roman" w:cs="Times New Roman"/>
          <w:sz w:val="28"/>
          <w:szCs w:val="28"/>
        </w:rPr>
        <w:t>galvenos būvdarbu veicējus un 289</w:t>
      </w:r>
      <w:r>
        <w:rPr>
          <w:rFonts w:ascii="Times New Roman" w:hAnsi="Times New Roman" w:cs="Times New Roman"/>
          <w:sz w:val="28"/>
          <w:szCs w:val="28"/>
        </w:rPr>
        <w:t> </w:t>
      </w:r>
      <w:r w:rsidRPr="006610D8">
        <w:rPr>
          <w:rFonts w:ascii="Times New Roman" w:hAnsi="Times New Roman" w:cs="Times New Roman"/>
          <w:sz w:val="28"/>
          <w:szCs w:val="28"/>
        </w:rPr>
        <w:t>apakšuzņēmumus, kopumā 49</w:t>
      </w:r>
      <w:r>
        <w:rPr>
          <w:rFonts w:ascii="Times New Roman" w:hAnsi="Times New Roman" w:cs="Times New Roman"/>
          <w:sz w:val="28"/>
          <w:szCs w:val="28"/>
        </w:rPr>
        <w:t> </w:t>
      </w:r>
      <w:r w:rsidRPr="006610D8">
        <w:rPr>
          <w:rFonts w:ascii="Times New Roman" w:hAnsi="Times New Roman" w:cs="Times New Roman"/>
          <w:sz w:val="28"/>
          <w:szCs w:val="28"/>
        </w:rPr>
        <w:t>% no VID veiktajām EDLU pārbaudēm.</w:t>
      </w:r>
    </w:p>
    <w:p w14:paraId="49B1C97F" w14:textId="77777777" w:rsidR="00544285" w:rsidRPr="00F82004" w:rsidRDefault="00544285" w:rsidP="00544285">
      <w:pPr>
        <w:pStyle w:val="NoSpacing"/>
        <w:spacing w:before="0"/>
        <w:ind w:firstLine="720"/>
        <w:jc w:val="both"/>
        <w:rPr>
          <w:rFonts w:ascii="Times New Roman" w:hAnsi="Times New Roman" w:cs="Times New Roman"/>
          <w:sz w:val="28"/>
          <w:szCs w:val="28"/>
        </w:rPr>
      </w:pPr>
      <w:r w:rsidRPr="006610D8">
        <w:rPr>
          <w:rFonts w:ascii="Times New Roman" w:hAnsi="Times New Roman" w:cs="Times New Roman"/>
          <w:sz w:val="28"/>
          <w:szCs w:val="28"/>
        </w:rPr>
        <w:t xml:space="preserve">Pārkāpumi EDLU netika konstatēti: </w:t>
      </w:r>
    </w:p>
    <w:p w14:paraId="448BD871" w14:textId="77777777" w:rsidR="00544285" w:rsidRPr="00F82004" w:rsidRDefault="00544285" w:rsidP="00F02640">
      <w:pPr>
        <w:pStyle w:val="NoSpacing"/>
        <w:numPr>
          <w:ilvl w:val="0"/>
          <w:numId w:val="4"/>
        </w:numPr>
        <w:tabs>
          <w:tab w:val="left" w:pos="1134"/>
        </w:tabs>
        <w:spacing w:before="0"/>
        <w:ind w:left="0" w:firstLine="720"/>
        <w:jc w:val="both"/>
        <w:rPr>
          <w:rFonts w:ascii="Times New Roman" w:hAnsi="Times New Roman" w:cs="Times New Roman"/>
          <w:sz w:val="28"/>
          <w:szCs w:val="28"/>
        </w:rPr>
      </w:pPr>
      <w:r w:rsidRPr="00F82004">
        <w:rPr>
          <w:rFonts w:ascii="Times New Roman" w:hAnsi="Times New Roman" w:cs="Times New Roman"/>
          <w:sz w:val="28"/>
          <w:szCs w:val="28"/>
        </w:rPr>
        <w:t>2018.gadā 17</w:t>
      </w:r>
      <w:r>
        <w:rPr>
          <w:rFonts w:ascii="Times New Roman" w:hAnsi="Times New Roman" w:cs="Times New Roman"/>
          <w:sz w:val="28"/>
          <w:szCs w:val="28"/>
        </w:rPr>
        <w:t> </w:t>
      </w:r>
      <w:r w:rsidRPr="00F82004">
        <w:rPr>
          <w:rFonts w:ascii="Times New Roman" w:hAnsi="Times New Roman" w:cs="Times New Roman"/>
          <w:sz w:val="28"/>
          <w:szCs w:val="28"/>
        </w:rPr>
        <w:t>% pārbaudīto būvlaukumu;</w:t>
      </w:r>
    </w:p>
    <w:p w14:paraId="43FB2F95" w14:textId="77777777" w:rsidR="00544285" w:rsidRPr="00F82004" w:rsidRDefault="00544285" w:rsidP="00F02640">
      <w:pPr>
        <w:pStyle w:val="NoSpacing"/>
        <w:numPr>
          <w:ilvl w:val="0"/>
          <w:numId w:val="4"/>
        </w:numPr>
        <w:tabs>
          <w:tab w:val="left" w:pos="1134"/>
        </w:tabs>
        <w:spacing w:before="0"/>
        <w:ind w:left="0" w:firstLine="720"/>
        <w:jc w:val="both"/>
        <w:rPr>
          <w:rFonts w:ascii="Times New Roman" w:hAnsi="Times New Roman" w:cs="Times New Roman"/>
          <w:sz w:val="28"/>
          <w:szCs w:val="28"/>
        </w:rPr>
      </w:pPr>
      <w:r w:rsidRPr="00F82004">
        <w:rPr>
          <w:rFonts w:ascii="Times New Roman" w:hAnsi="Times New Roman" w:cs="Times New Roman"/>
          <w:sz w:val="28"/>
          <w:szCs w:val="28"/>
        </w:rPr>
        <w:t>2019.gadā 20,6</w:t>
      </w:r>
      <w:r>
        <w:rPr>
          <w:rFonts w:ascii="Times New Roman" w:hAnsi="Times New Roman" w:cs="Times New Roman"/>
          <w:sz w:val="28"/>
          <w:szCs w:val="28"/>
        </w:rPr>
        <w:t> </w:t>
      </w:r>
      <w:r w:rsidRPr="00F82004">
        <w:rPr>
          <w:rFonts w:ascii="Times New Roman" w:hAnsi="Times New Roman" w:cs="Times New Roman"/>
          <w:sz w:val="28"/>
          <w:szCs w:val="28"/>
        </w:rPr>
        <w:t>% pārbaudīto būvlaukumu.</w:t>
      </w:r>
    </w:p>
    <w:p w14:paraId="165D3A61" w14:textId="77777777" w:rsidR="00544285" w:rsidRDefault="00544285" w:rsidP="00544285">
      <w:pPr>
        <w:pStyle w:val="NoSpacing"/>
        <w:spacing w:before="0"/>
        <w:ind w:firstLine="720"/>
        <w:jc w:val="both"/>
        <w:rPr>
          <w:rFonts w:ascii="Times New Roman" w:hAnsi="Times New Roman" w:cs="Times New Roman"/>
          <w:sz w:val="28"/>
          <w:szCs w:val="28"/>
        </w:rPr>
      </w:pPr>
      <w:r w:rsidRPr="00F82004">
        <w:rPr>
          <w:rFonts w:ascii="Times New Roman" w:hAnsi="Times New Roman" w:cs="Times New Roman"/>
          <w:sz w:val="28"/>
          <w:szCs w:val="28"/>
        </w:rPr>
        <w:t xml:space="preserve">Visbiežāk konstatētie pārkāpumi un tendences ir atspoguļotas </w:t>
      </w:r>
      <w:r>
        <w:rPr>
          <w:rFonts w:ascii="Times New Roman" w:hAnsi="Times New Roman" w:cs="Times New Roman"/>
          <w:sz w:val="28"/>
          <w:szCs w:val="28"/>
        </w:rPr>
        <w:t xml:space="preserve">2. </w:t>
      </w:r>
      <w:r w:rsidRPr="00F82004">
        <w:rPr>
          <w:rFonts w:ascii="Times New Roman" w:hAnsi="Times New Roman" w:cs="Times New Roman"/>
          <w:sz w:val="28"/>
          <w:szCs w:val="28"/>
        </w:rPr>
        <w:t>tabulā.</w:t>
      </w:r>
    </w:p>
    <w:p w14:paraId="368BD3F9" w14:textId="77777777" w:rsidR="001C3730" w:rsidRPr="00F82004" w:rsidRDefault="001C3730" w:rsidP="005E08CF">
      <w:pPr>
        <w:pStyle w:val="NoSpacing"/>
        <w:spacing w:before="0"/>
        <w:ind w:firstLine="720"/>
        <w:jc w:val="both"/>
        <w:rPr>
          <w:rFonts w:ascii="Times New Roman" w:hAnsi="Times New Roman" w:cs="Times New Roman"/>
          <w:sz w:val="28"/>
          <w:szCs w:val="28"/>
        </w:rPr>
      </w:pPr>
    </w:p>
    <w:p w14:paraId="2D4FB786" w14:textId="77777777" w:rsidR="00BE057E" w:rsidRPr="00E65335" w:rsidRDefault="00BC4F3B" w:rsidP="005E08CF">
      <w:pPr>
        <w:pStyle w:val="NoSpacing"/>
        <w:spacing w:before="0"/>
        <w:ind w:left="1080"/>
        <w:jc w:val="right"/>
        <w:rPr>
          <w:rFonts w:ascii="Times New Roman" w:hAnsi="Times New Roman" w:cs="Times New Roman"/>
          <w:sz w:val="28"/>
          <w:szCs w:val="28"/>
        </w:rPr>
      </w:pPr>
      <w:r>
        <w:rPr>
          <w:rFonts w:ascii="Times New Roman" w:hAnsi="Times New Roman" w:cs="Times New Roman"/>
          <w:sz w:val="28"/>
          <w:szCs w:val="28"/>
        </w:rPr>
        <w:t>2.</w:t>
      </w:r>
      <w:r w:rsidR="00BE057E" w:rsidRPr="00E65335">
        <w:rPr>
          <w:rFonts w:ascii="Times New Roman" w:hAnsi="Times New Roman" w:cs="Times New Roman"/>
          <w:sz w:val="28"/>
          <w:szCs w:val="28"/>
        </w:rPr>
        <w:t xml:space="preserve">tabula </w:t>
      </w:r>
    </w:p>
    <w:p w14:paraId="66404EC4" w14:textId="77777777" w:rsidR="00BE057E" w:rsidRPr="008E2F64" w:rsidRDefault="00BE057E" w:rsidP="005E08CF">
      <w:pPr>
        <w:pStyle w:val="NoSpacing"/>
        <w:spacing w:before="0"/>
        <w:jc w:val="center"/>
        <w:rPr>
          <w:rFonts w:ascii="Times New Roman" w:hAnsi="Times New Roman" w:cs="Times New Roman"/>
          <w:b/>
          <w:sz w:val="28"/>
          <w:szCs w:val="28"/>
        </w:rPr>
      </w:pPr>
      <w:r w:rsidRPr="008E2F64">
        <w:rPr>
          <w:rFonts w:ascii="Times New Roman" w:hAnsi="Times New Roman" w:cs="Times New Roman"/>
          <w:b/>
          <w:sz w:val="28"/>
          <w:szCs w:val="28"/>
        </w:rPr>
        <w:t>Elektroniskās informācijas uzskaites pārkāpumi būvlaukumos</w:t>
      </w:r>
    </w:p>
    <w:p w14:paraId="4C1AB328" w14:textId="77777777" w:rsidR="00BE057E" w:rsidRPr="008E2F64" w:rsidRDefault="00BE057E" w:rsidP="00BE057E">
      <w:pPr>
        <w:pStyle w:val="NoSpacing"/>
        <w:spacing w:before="0"/>
        <w:ind w:firstLine="720"/>
        <w:jc w:val="center"/>
        <w:rPr>
          <w:rFonts w:ascii="Times New Roman" w:hAnsi="Times New Roman" w:cs="Times New Roman"/>
          <w:sz w:val="28"/>
          <w:szCs w:val="28"/>
        </w:rPr>
      </w:pPr>
    </w:p>
    <w:tbl>
      <w:tblPr>
        <w:tblW w:w="9327" w:type="dxa"/>
        <w:tblInd w:w="-5" w:type="dxa"/>
        <w:tblLayout w:type="fixed"/>
        <w:tblLook w:val="04A0" w:firstRow="1" w:lastRow="0" w:firstColumn="1" w:lastColumn="0" w:noHBand="0" w:noVBand="1"/>
      </w:tblPr>
      <w:tblGrid>
        <w:gridCol w:w="3828"/>
        <w:gridCol w:w="963"/>
        <w:gridCol w:w="1276"/>
        <w:gridCol w:w="992"/>
        <w:gridCol w:w="1276"/>
        <w:gridCol w:w="992"/>
      </w:tblGrid>
      <w:tr w:rsidR="00BE057E" w:rsidRPr="008E2F64" w14:paraId="28026F18" w14:textId="77777777" w:rsidTr="008F287F">
        <w:trPr>
          <w:trHeight w:val="260"/>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57EC55" w14:textId="77777777" w:rsidR="00BE057E" w:rsidRPr="008E2F64" w:rsidRDefault="00BE057E" w:rsidP="00BE057E">
            <w:pPr>
              <w:spacing w:before="0" w:after="0" w:line="240" w:lineRule="auto"/>
              <w:jc w:val="center"/>
              <w:rPr>
                <w:rFonts w:ascii="Times New Roman" w:eastAsia="Times New Roman" w:hAnsi="Times New Roman" w:cs="Times New Roman"/>
                <w:color w:val="000000"/>
                <w:lang w:eastAsia="lv-LV"/>
              </w:rPr>
            </w:pPr>
            <w:r w:rsidRPr="008E2F64">
              <w:rPr>
                <w:rFonts w:ascii="Times New Roman" w:eastAsia="Times New Roman" w:hAnsi="Times New Roman" w:cs="Times New Roman"/>
                <w:color w:val="000000"/>
                <w:lang w:eastAsia="lv-LV"/>
              </w:rPr>
              <w:t>Konstatētie pārkāpumi</w:t>
            </w:r>
          </w:p>
        </w:tc>
        <w:tc>
          <w:tcPr>
            <w:tcW w:w="2239" w:type="dxa"/>
            <w:gridSpan w:val="2"/>
            <w:tcBorders>
              <w:top w:val="single" w:sz="4" w:space="0" w:color="auto"/>
              <w:left w:val="nil"/>
              <w:bottom w:val="single" w:sz="4" w:space="0" w:color="auto"/>
              <w:right w:val="single" w:sz="4" w:space="0" w:color="000000"/>
            </w:tcBorders>
            <w:shd w:val="clear" w:color="auto" w:fill="auto"/>
            <w:vAlign w:val="center"/>
            <w:hideMark/>
          </w:tcPr>
          <w:p w14:paraId="43125ACF" w14:textId="77777777" w:rsidR="00BE057E" w:rsidRPr="008E2F64" w:rsidRDefault="00BE057E" w:rsidP="00BE057E">
            <w:pPr>
              <w:spacing w:before="0" w:after="0" w:line="240" w:lineRule="auto"/>
              <w:jc w:val="center"/>
              <w:rPr>
                <w:rFonts w:ascii="Times New Roman" w:eastAsia="Times New Roman" w:hAnsi="Times New Roman" w:cs="Times New Roman"/>
                <w:color w:val="000000"/>
                <w:lang w:eastAsia="lv-LV"/>
              </w:rPr>
            </w:pPr>
            <w:r w:rsidRPr="008E2F64">
              <w:rPr>
                <w:rFonts w:ascii="Times New Roman" w:eastAsia="Times New Roman" w:hAnsi="Times New Roman" w:cs="Times New Roman"/>
                <w:color w:val="000000"/>
                <w:lang w:eastAsia="lv-LV"/>
              </w:rPr>
              <w:t>2018.gads</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14:paraId="3232A08D" w14:textId="77777777" w:rsidR="00BE057E" w:rsidRPr="008E2F64" w:rsidRDefault="00BE057E" w:rsidP="00BE057E">
            <w:pPr>
              <w:spacing w:before="0" w:after="0" w:line="240" w:lineRule="auto"/>
              <w:jc w:val="center"/>
              <w:rPr>
                <w:rFonts w:ascii="Times New Roman" w:eastAsia="Times New Roman" w:hAnsi="Times New Roman" w:cs="Times New Roman"/>
                <w:color w:val="000000"/>
                <w:lang w:eastAsia="lv-LV"/>
              </w:rPr>
            </w:pPr>
            <w:r w:rsidRPr="008E2F64">
              <w:rPr>
                <w:rFonts w:ascii="Times New Roman" w:eastAsia="Times New Roman" w:hAnsi="Times New Roman" w:cs="Times New Roman"/>
                <w:color w:val="000000"/>
                <w:lang w:eastAsia="lv-LV"/>
              </w:rPr>
              <w:t>2019.gads</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5B460388" w14:textId="77777777" w:rsidR="00BE057E" w:rsidRPr="008E2F64" w:rsidRDefault="00BE057E" w:rsidP="00BE057E">
            <w:pPr>
              <w:spacing w:before="0" w:after="0" w:line="240" w:lineRule="auto"/>
              <w:jc w:val="center"/>
              <w:rPr>
                <w:rFonts w:ascii="Times New Roman" w:eastAsia="Times New Roman" w:hAnsi="Times New Roman" w:cs="Times New Roman"/>
                <w:lang w:eastAsia="lv-LV"/>
              </w:rPr>
            </w:pPr>
            <w:r w:rsidRPr="008E2F64">
              <w:rPr>
                <w:rFonts w:ascii="Times New Roman" w:eastAsia="Times New Roman" w:hAnsi="Times New Roman" w:cs="Times New Roman"/>
                <w:lang w:eastAsia="lv-LV"/>
              </w:rPr>
              <w:t>Pieaugums/</w:t>
            </w:r>
            <w:r w:rsidR="00BC4F3B">
              <w:rPr>
                <w:rFonts w:ascii="Times New Roman" w:eastAsia="Times New Roman" w:hAnsi="Times New Roman" w:cs="Times New Roman"/>
                <w:lang w:eastAsia="lv-LV"/>
              </w:rPr>
              <w:br/>
            </w:r>
            <w:r w:rsidRPr="008E2F64">
              <w:rPr>
                <w:rFonts w:ascii="Times New Roman" w:eastAsia="Times New Roman" w:hAnsi="Times New Roman" w:cs="Times New Roman"/>
                <w:lang w:eastAsia="lv-LV"/>
              </w:rPr>
              <w:t>samazinājums, %</w:t>
            </w:r>
          </w:p>
        </w:tc>
      </w:tr>
      <w:tr w:rsidR="00443AC9" w:rsidRPr="008E2F64" w14:paraId="6B316774" w14:textId="77777777" w:rsidTr="00443AC9">
        <w:trPr>
          <w:trHeight w:val="639"/>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006CBAC6" w14:textId="77777777" w:rsidR="00BE057E" w:rsidRPr="008E2F64" w:rsidRDefault="00BE057E" w:rsidP="00BE057E">
            <w:pPr>
              <w:spacing w:before="0" w:after="0" w:line="240" w:lineRule="auto"/>
              <w:rPr>
                <w:rFonts w:ascii="Times New Roman" w:eastAsia="Times New Roman" w:hAnsi="Times New Roman" w:cs="Times New Roman"/>
                <w:color w:val="000000"/>
                <w:lang w:eastAsia="lv-LV"/>
              </w:rPr>
            </w:pPr>
          </w:p>
        </w:tc>
        <w:tc>
          <w:tcPr>
            <w:tcW w:w="963" w:type="dxa"/>
            <w:tcBorders>
              <w:top w:val="nil"/>
              <w:left w:val="nil"/>
              <w:bottom w:val="single" w:sz="4" w:space="0" w:color="auto"/>
              <w:right w:val="single" w:sz="4" w:space="0" w:color="auto"/>
            </w:tcBorders>
            <w:shd w:val="clear" w:color="auto" w:fill="auto"/>
            <w:vAlign w:val="center"/>
            <w:hideMark/>
          </w:tcPr>
          <w:p w14:paraId="6645E33E" w14:textId="77777777" w:rsidR="00BE057E" w:rsidRPr="008E2F64" w:rsidRDefault="00BC4F3B" w:rsidP="00BE057E">
            <w:pPr>
              <w:spacing w:before="0"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w:t>
            </w:r>
            <w:r w:rsidR="00BE057E" w:rsidRPr="008E2F64">
              <w:rPr>
                <w:rFonts w:ascii="Times New Roman" w:eastAsia="Times New Roman" w:hAnsi="Times New Roman" w:cs="Times New Roman"/>
                <w:color w:val="000000"/>
                <w:lang w:eastAsia="lv-LV"/>
              </w:rPr>
              <w:t>kaits</w:t>
            </w:r>
          </w:p>
        </w:tc>
        <w:tc>
          <w:tcPr>
            <w:tcW w:w="1276" w:type="dxa"/>
            <w:tcBorders>
              <w:top w:val="nil"/>
              <w:left w:val="nil"/>
              <w:bottom w:val="single" w:sz="4" w:space="0" w:color="auto"/>
              <w:right w:val="single" w:sz="4" w:space="0" w:color="auto"/>
            </w:tcBorders>
            <w:shd w:val="clear" w:color="auto" w:fill="auto"/>
            <w:vAlign w:val="center"/>
            <w:hideMark/>
          </w:tcPr>
          <w:p w14:paraId="222BACE6" w14:textId="1B5717BD" w:rsidR="00BE057E" w:rsidRPr="008E2F64" w:rsidRDefault="00BC4F3B" w:rsidP="00BE057E">
            <w:pPr>
              <w:spacing w:before="0"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ī</w:t>
            </w:r>
            <w:r w:rsidR="00BE057E" w:rsidRPr="008E2F64">
              <w:rPr>
                <w:rFonts w:ascii="Times New Roman" w:eastAsia="Times New Roman" w:hAnsi="Times New Roman" w:cs="Times New Roman"/>
                <w:color w:val="000000"/>
                <w:lang w:eastAsia="lv-LV"/>
              </w:rPr>
              <w:t xml:space="preserve">patsvars no </w:t>
            </w:r>
            <w:r w:rsidR="00BD6D46">
              <w:rPr>
                <w:rFonts w:ascii="Times New Roman" w:eastAsia="Times New Roman" w:hAnsi="Times New Roman" w:cs="Times New Roman"/>
                <w:color w:val="000000"/>
                <w:lang w:eastAsia="lv-LV"/>
              </w:rPr>
              <w:t>būvlaukumu</w:t>
            </w:r>
            <w:r w:rsidR="00BD6D46" w:rsidRPr="008E2F64">
              <w:rPr>
                <w:rFonts w:ascii="Times New Roman" w:eastAsia="Times New Roman" w:hAnsi="Times New Roman" w:cs="Times New Roman"/>
                <w:color w:val="000000"/>
                <w:lang w:eastAsia="lv-LV"/>
              </w:rPr>
              <w:t xml:space="preserve"> </w:t>
            </w:r>
            <w:r w:rsidR="00BE057E" w:rsidRPr="008E2F64">
              <w:rPr>
                <w:rFonts w:ascii="Times New Roman" w:eastAsia="Times New Roman" w:hAnsi="Times New Roman" w:cs="Times New Roman"/>
                <w:color w:val="000000"/>
                <w:lang w:eastAsia="lv-LV"/>
              </w:rPr>
              <w:t>kopējā skaita</w:t>
            </w:r>
            <w:r w:rsidR="00BD6D46">
              <w:rPr>
                <w:rFonts w:ascii="Times New Roman" w:eastAsia="Times New Roman" w:hAnsi="Times New Roman" w:cs="Times New Roman"/>
                <w:color w:val="000000"/>
                <w:lang w:eastAsia="lv-LV"/>
              </w:rPr>
              <w:t>,</w:t>
            </w:r>
            <w:r w:rsidR="00BE057E" w:rsidRPr="008E2F64">
              <w:rPr>
                <w:rFonts w:ascii="Times New Roman" w:eastAsia="Times New Roman" w:hAnsi="Times New Roman" w:cs="Times New Roman"/>
                <w:color w:val="000000"/>
                <w:lang w:eastAsia="lv-LV"/>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094BDAA" w14:textId="77777777" w:rsidR="00BE057E" w:rsidRPr="008E2F64" w:rsidRDefault="00BC4F3B" w:rsidP="00BE057E">
            <w:pPr>
              <w:spacing w:before="0"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w:t>
            </w:r>
            <w:r w:rsidR="00BE057E" w:rsidRPr="008E2F64">
              <w:rPr>
                <w:rFonts w:ascii="Times New Roman" w:eastAsia="Times New Roman" w:hAnsi="Times New Roman" w:cs="Times New Roman"/>
                <w:color w:val="000000"/>
                <w:lang w:eastAsia="lv-LV"/>
              </w:rPr>
              <w:t>kaits</w:t>
            </w:r>
          </w:p>
        </w:tc>
        <w:tc>
          <w:tcPr>
            <w:tcW w:w="1276" w:type="dxa"/>
            <w:tcBorders>
              <w:top w:val="nil"/>
              <w:left w:val="nil"/>
              <w:bottom w:val="single" w:sz="4" w:space="0" w:color="auto"/>
              <w:right w:val="single" w:sz="4" w:space="0" w:color="auto"/>
            </w:tcBorders>
            <w:shd w:val="clear" w:color="auto" w:fill="auto"/>
            <w:vAlign w:val="bottom"/>
            <w:hideMark/>
          </w:tcPr>
          <w:p w14:paraId="653CC885" w14:textId="2A50E863" w:rsidR="00BE057E" w:rsidRPr="008E2F64" w:rsidRDefault="00EA65B2" w:rsidP="00BE057E">
            <w:pPr>
              <w:spacing w:before="0" w:after="0" w:line="240" w:lineRule="auto"/>
              <w:jc w:val="center"/>
              <w:rPr>
                <w:rFonts w:ascii="Times New Roman" w:eastAsia="Times New Roman" w:hAnsi="Times New Roman" w:cs="Times New Roman"/>
                <w:lang w:eastAsia="lv-LV"/>
              </w:rPr>
            </w:pPr>
            <w:r w:rsidRPr="00EA65B2">
              <w:rPr>
                <w:rFonts w:ascii="Times New Roman" w:eastAsia="Times New Roman" w:hAnsi="Times New Roman" w:cs="Times New Roman"/>
                <w:lang w:eastAsia="lv-LV"/>
              </w:rPr>
              <w:t xml:space="preserve">īpatsvars no </w:t>
            </w:r>
            <w:r w:rsidR="00BD6D46" w:rsidRPr="00EA65B2">
              <w:rPr>
                <w:rFonts w:ascii="Times New Roman" w:eastAsia="Times New Roman" w:hAnsi="Times New Roman" w:cs="Times New Roman"/>
                <w:lang w:eastAsia="lv-LV"/>
              </w:rPr>
              <w:t xml:space="preserve">būvlaukumu </w:t>
            </w:r>
            <w:r w:rsidRPr="00EA65B2">
              <w:rPr>
                <w:rFonts w:ascii="Times New Roman" w:eastAsia="Times New Roman" w:hAnsi="Times New Roman" w:cs="Times New Roman"/>
                <w:lang w:eastAsia="lv-LV"/>
              </w:rPr>
              <w:t>kopējā skaita</w:t>
            </w:r>
            <w:r w:rsidR="00BD6D46">
              <w:rPr>
                <w:rFonts w:ascii="Times New Roman" w:eastAsia="Times New Roman" w:hAnsi="Times New Roman" w:cs="Times New Roman"/>
                <w:lang w:eastAsia="lv-LV"/>
              </w:rPr>
              <w:t xml:space="preserve">, </w:t>
            </w:r>
            <w:r w:rsidRPr="00EA65B2">
              <w:rPr>
                <w:rFonts w:ascii="Times New Roman" w:eastAsia="Times New Roman" w:hAnsi="Times New Roman" w:cs="Times New Roman"/>
                <w:lang w:eastAsia="lv-LV"/>
              </w:rPr>
              <w:t>(%)</w:t>
            </w:r>
          </w:p>
        </w:tc>
        <w:tc>
          <w:tcPr>
            <w:tcW w:w="992" w:type="dxa"/>
            <w:vMerge/>
            <w:tcBorders>
              <w:left w:val="single" w:sz="4" w:space="0" w:color="auto"/>
              <w:bottom w:val="single" w:sz="4" w:space="0" w:color="000000"/>
              <w:right w:val="single" w:sz="4" w:space="0" w:color="auto"/>
            </w:tcBorders>
            <w:vAlign w:val="center"/>
            <w:hideMark/>
          </w:tcPr>
          <w:p w14:paraId="67E58522" w14:textId="77777777" w:rsidR="00BE057E" w:rsidRPr="008E2F64" w:rsidRDefault="00BE057E" w:rsidP="00BE057E">
            <w:pPr>
              <w:spacing w:before="0" w:after="0" w:line="240" w:lineRule="auto"/>
              <w:rPr>
                <w:rFonts w:ascii="Times New Roman" w:eastAsia="Times New Roman" w:hAnsi="Times New Roman" w:cs="Times New Roman"/>
                <w:lang w:eastAsia="lv-LV"/>
              </w:rPr>
            </w:pPr>
          </w:p>
        </w:tc>
      </w:tr>
      <w:tr w:rsidR="00443AC9" w:rsidRPr="00EA65B2" w14:paraId="4B44A42B" w14:textId="77777777" w:rsidTr="00443AC9">
        <w:trPr>
          <w:trHeight w:val="48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15AC1E1" w14:textId="77777777" w:rsidR="00BE057E" w:rsidRPr="008E2F64" w:rsidRDefault="00BE057E" w:rsidP="00BE057E">
            <w:pPr>
              <w:spacing w:before="0" w:after="0" w:line="240" w:lineRule="auto"/>
              <w:jc w:val="both"/>
              <w:rPr>
                <w:rFonts w:ascii="Times New Roman" w:eastAsia="Times New Roman" w:hAnsi="Times New Roman" w:cs="Times New Roman"/>
                <w:color w:val="000000"/>
                <w:lang w:eastAsia="lv-LV"/>
              </w:rPr>
            </w:pPr>
            <w:r w:rsidRPr="008E2F64">
              <w:rPr>
                <w:rFonts w:ascii="Times New Roman" w:eastAsia="Times New Roman" w:hAnsi="Times New Roman" w:cs="Times New Roman"/>
                <w:color w:val="000000"/>
                <w:lang w:eastAsia="lv-LV"/>
              </w:rPr>
              <w:t xml:space="preserve">Būvlaukumu kopējais skaits, kuros veiktas EDLU pārbaudes </w:t>
            </w:r>
          </w:p>
        </w:tc>
        <w:tc>
          <w:tcPr>
            <w:tcW w:w="963" w:type="dxa"/>
            <w:tcBorders>
              <w:top w:val="nil"/>
              <w:left w:val="nil"/>
              <w:bottom w:val="single" w:sz="4" w:space="0" w:color="auto"/>
              <w:right w:val="single" w:sz="4" w:space="0" w:color="auto"/>
            </w:tcBorders>
            <w:shd w:val="clear" w:color="auto" w:fill="auto"/>
            <w:noWrap/>
            <w:vAlign w:val="center"/>
            <w:hideMark/>
          </w:tcPr>
          <w:p w14:paraId="71CCAE93" w14:textId="77777777" w:rsidR="00BE057E" w:rsidRPr="008E2F64" w:rsidRDefault="00BE057E" w:rsidP="00BE057E">
            <w:pPr>
              <w:spacing w:before="0" w:after="0" w:line="240" w:lineRule="auto"/>
              <w:jc w:val="center"/>
              <w:rPr>
                <w:rFonts w:ascii="Times New Roman" w:eastAsia="Times New Roman" w:hAnsi="Times New Roman" w:cs="Times New Roman"/>
                <w:color w:val="000000"/>
                <w:lang w:eastAsia="lv-LV"/>
              </w:rPr>
            </w:pPr>
            <w:r w:rsidRPr="008E2F64">
              <w:rPr>
                <w:rFonts w:ascii="Times New Roman" w:eastAsia="Times New Roman" w:hAnsi="Times New Roman" w:cs="Times New Roman"/>
                <w:color w:val="000000"/>
                <w:lang w:eastAsia="lv-LV"/>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54523570" w14:textId="7CEFF7F3" w:rsidR="00BE057E" w:rsidRPr="008E2F64" w:rsidRDefault="00EA65B2" w:rsidP="00BE057E">
            <w:pPr>
              <w:spacing w:before="0"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x</w:t>
            </w:r>
          </w:p>
        </w:tc>
        <w:tc>
          <w:tcPr>
            <w:tcW w:w="992" w:type="dxa"/>
            <w:tcBorders>
              <w:top w:val="nil"/>
              <w:left w:val="nil"/>
              <w:bottom w:val="single" w:sz="4" w:space="0" w:color="auto"/>
              <w:right w:val="single" w:sz="4" w:space="0" w:color="auto"/>
            </w:tcBorders>
            <w:shd w:val="clear" w:color="auto" w:fill="auto"/>
            <w:vAlign w:val="center"/>
            <w:hideMark/>
          </w:tcPr>
          <w:p w14:paraId="70D8E339" w14:textId="77777777" w:rsidR="00BE057E" w:rsidRPr="008E2F64" w:rsidRDefault="00BE057E" w:rsidP="00BE057E">
            <w:pPr>
              <w:spacing w:before="0" w:after="0" w:line="240" w:lineRule="auto"/>
              <w:jc w:val="center"/>
              <w:rPr>
                <w:rFonts w:ascii="Times New Roman" w:eastAsia="Times New Roman" w:hAnsi="Times New Roman" w:cs="Times New Roman"/>
                <w:color w:val="000000"/>
                <w:lang w:eastAsia="lv-LV"/>
              </w:rPr>
            </w:pPr>
            <w:r w:rsidRPr="008E2F64">
              <w:rPr>
                <w:rFonts w:ascii="Times New Roman" w:eastAsia="Times New Roman" w:hAnsi="Times New Roman" w:cs="Times New Roman"/>
                <w:color w:val="000000"/>
                <w:lang w:eastAsia="lv-LV"/>
              </w:rPr>
              <w:t>97</w:t>
            </w:r>
          </w:p>
        </w:tc>
        <w:tc>
          <w:tcPr>
            <w:tcW w:w="1276" w:type="dxa"/>
            <w:tcBorders>
              <w:top w:val="nil"/>
              <w:left w:val="nil"/>
              <w:bottom w:val="single" w:sz="4" w:space="0" w:color="auto"/>
              <w:right w:val="single" w:sz="4" w:space="0" w:color="auto"/>
            </w:tcBorders>
            <w:shd w:val="clear" w:color="auto" w:fill="auto"/>
            <w:noWrap/>
            <w:vAlign w:val="center"/>
            <w:hideMark/>
          </w:tcPr>
          <w:p w14:paraId="4B92043B" w14:textId="77777777" w:rsidR="00BE057E" w:rsidRPr="008E2F64" w:rsidRDefault="00BE057E" w:rsidP="00BE057E">
            <w:pPr>
              <w:spacing w:before="0" w:after="0" w:line="240" w:lineRule="auto"/>
              <w:jc w:val="center"/>
              <w:rPr>
                <w:rFonts w:ascii="Times New Roman" w:eastAsia="Times New Roman" w:hAnsi="Times New Roman" w:cs="Times New Roman"/>
                <w:lang w:eastAsia="lv-LV"/>
              </w:rPr>
            </w:pPr>
            <w:r w:rsidRPr="008E2F64">
              <w:rPr>
                <w:rFonts w:ascii="Times New Roman" w:eastAsia="Times New Roman" w:hAnsi="Times New Roman" w:cs="Times New Roman"/>
                <w:lang w:eastAsia="lv-LV"/>
              </w:rPr>
              <w:t>x</w:t>
            </w:r>
          </w:p>
        </w:tc>
        <w:tc>
          <w:tcPr>
            <w:tcW w:w="992" w:type="dxa"/>
            <w:tcBorders>
              <w:top w:val="nil"/>
              <w:left w:val="nil"/>
              <w:bottom w:val="single" w:sz="4" w:space="0" w:color="auto"/>
              <w:right w:val="single" w:sz="4" w:space="0" w:color="auto"/>
            </w:tcBorders>
            <w:shd w:val="clear" w:color="auto" w:fill="auto"/>
            <w:noWrap/>
            <w:vAlign w:val="center"/>
            <w:hideMark/>
          </w:tcPr>
          <w:p w14:paraId="3BB93575" w14:textId="77777777" w:rsidR="00BE057E" w:rsidRPr="00EA65B2" w:rsidRDefault="00BE057E" w:rsidP="00EA65B2">
            <w:pPr>
              <w:spacing w:before="0" w:after="0" w:line="240" w:lineRule="auto"/>
              <w:jc w:val="center"/>
              <w:rPr>
                <w:rFonts w:ascii="Times New Roman" w:eastAsia="Times New Roman" w:hAnsi="Times New Roman" w:cs="Times New Roman"/>
                <w:lang w:eastAsia="lv-LV"/>
              </w:rPr>
            </w:pPr>
            <w:r w:rsidRPr="00EA65B2">
              <w:rPr>
                <w:rFonts w:ascii="Times New Roman" w:eastAsia="Times New Roman" w:hAnsi="Times New Roman" w:cs="Times New Roman"/>
                <w:lang w:eastAsia="lv-LV"/>
              </w:rPr>
              <w:t>x</w:t>
            </w:r>
          </w:p>
        </w:tc>
      </w:tr>
      <w:tr w:rsidR="00443AC9" w:rsidRPr="00EA65B2" w14:paraId="35F27A0F" w14:textId="77777777" w:rsidTr="00443AC9">
        <w:trPr>
          <w:trHeight w:val="419"/>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235AD738" w14:textId="77777777" w:rsidR="00BE057E" w:rsidRPr="008E2F64" w:rsidRDefault="00BE057E" w:rsidP="00BE057E">
            <w:pPr>
              <w:spacing w:before="0" w:after="0" w:line="240" w:lineRule="auto"/>
              <w:jc w:val="both"/>
              <w:rPr>
                <w:rFonts w:ascii="Times New Roman" w:eastAsia="Times New Roman" w:hAnsi="Times New Roman" w:cs="Times New Roman"/>
                <w:color w:val="000000"/>
                <w:lang w:eastAsia="lv-LV"/>
              </w:rPr>
            </w:pPr>
            <w:r w:rsidRPr="008E2F64">
              <w:rPr>
                <w:rFonts w:ascii="Times New Roman" w:eastAsia="Times New Roman" w:hAnsi="Times New Roman" w:cs="Times New Roman"/>
                <w:color w:val="000000"/>
                <w:lang w:eastAsia="lv-LV"/>
              </w:rPr>
              <w:t>Būvlaukumi, kuros konstatēti pārkāpumi</w:t>
            </w:r>
          </w:p>
        </w:tc>
        <w:tc>
          <w:tcPr>
            <w:tcW w:w="963" w:type="dxa"/>
            <w:tcBorders>
              <w:top w:val="nil"/>
              <w:left w:val="nil"/>
              <w:bottom w:val="single" w:sz="4" w:space="0" w:color="auto"/>
              <w:right w:val="single" w:sz="4" w:space="0" w:color="auto"/>
            </w:tcBorders>
            <w:shd w:val="clear" w:color="auto" w:fill="auto"/>
            <w:noWrap/>
            <w:vAlign w:val="center"/>
            <w:hideMark/>
          </w:tcPr>
          <w:p w14:paraId="6EFF51C3" w14:textId="77777777" w:rsidR="00BE057E" w:rsidRPr="008E2F64" w:rsidRDefault="00BE057E" w:rsidP="00BE057E">
            <w:pPr>
              <w:spacing w:before="0" w:after="0" w:line="240" w:lineRule="auto"/>
              <w:jc w:val="center"/>
              <w:rPr>
                <w:rFonts w:ascii="Times New Roman" w:eastAsia="Times New Roman" w:hAnsi="Times New Roman" w:cs="Times New Roman"/>
                <w:color w:val="000000"/>
                <w:lang w:eastAsia="lv-LV"/>
              </w:rPr>
            </w:pPr>
            <w:r w:rsidRPr="008E2F64">
              <w:rPr>
                <w:rFonts w:ascii="Times New Roman" w:eastAsia="Times New Roman" w:hAnsi="Times New Roman" w:cs="Times New Roman"/>
                <w:color w:val="000000"/>
                <w:lang w:eastAsia="lv-LV"/>
              </w:rPr>
              <w:t>83</w:t>
            </w:r>
          </w:p>
        </w:tc>
        <w:tc>
          <w:tcPr>
            <w:tcW w:w="1276" w:type="dxa"/>
            <w:tcBorders>
              <w:top w:val="nil"/>
              <w:left w:val="nil"/>
              <w:bottom w:val="single" w:sz="4" w:space="0" w:color="auto"/>
              <w:right w:val="single" w:sz="4" w:space="0" w:color="auto"/>
            </w:tcBorders>
            <w:shd w:val="clear" w:color="auto" w:fill="auto"/>
            <w:noWrap/>
            <w:vAlign w:val="center"/>
            <w:hideMark/>
          </w:tcPr>
          <w:p w14:paraId="53F09E8C" w14:textId="77777777" w:rsidR="00BE057E" w:rsidRPr="008E2F64" w:rsidRDefault="00BE057E" w:rsidP="00BE057E">
            <w:pPr>
              <w:spacing w:before="0" w:after="0" w:line="240" w:lineRule="auto"/>
              <w:jc w:val="center"/>
              <w:rPr>
                <w:rFonts w:ascii="Times New Roman" w:eastAsia="Times New Roman" w:hAnsi="Times New Roman" w:cs="Times New Roman"/>
                <w:color w:val="000000"/>
                <w:lang w:eastAsia="lv-LV"/>
              </w:rPr>
            </w:pPr>
            <w:r w:rsidRPr="008E2F64">
              <w:rPr>
                <w:rFonts w:ascii="Times New Roman" w:eastAsia="Times New Roman" w:hAnsi="Times New Roman" w:cs="Times New Roman"/>
                <w:color w:val="000000"/>
                <w:lang w:eastAsia="lv-LV"/>
              </w:rPr>
              <w:t>83,0</w:t>
            </w:r>
          </w:p>
        </w:tc>
        <w:tc>
          <w:tcPr>
            <w:tcW w:w="992" w:type="dxa"/>
            <w:tcBorders>
              <w:top w:val="nil"/>
              <w:left w:val="nil"/>
              <w:bottom w:val="single" w:sz="4" w:space="0" w:color="auto"/>
              <w:right w:val="single" w:sz="4" w:space="0" w:color="auto"/>
            </w:tcBorders>
            <w:shd w:val="clear" w:color="auto" w:fill="auto"/>
            <w:vAlign w:val="center"/>
            <w:hideMark/>
          </w:tcPr>
          <w:p w14:paraId="50FF52AD" w14:textId="77777777" w:rsidR="00BE057E" w:rsidRPr="008E2F64" w:rsidRDefault="00BE057E" w:rsidP="00BE057E">
            <w:pPr>
              <w:spacing w:before="0" w:after="0" w:line="240" w:lineRule="auto"/>
              <w:jc w:val="center"/>
              <w:rPr>
                <w:rFonts w:ascii="Times New Roman" w:eastAsia="Times New Roman" w:hAnsi="Times New Roman" w:cs="Times New Roman"/>
                <w:color w:val="000000"/>
                <w:lang w:eastAsia="lv-LV"/>
              </w:rPr>
            </w:pPr>
            <w:r w:rsidRPr="008E2F64">
              <w:rPr>
                <w:rFonts w:ascii="Times New Roman" w:eastAsia="Times New Roman" w:hAnsi="Times New Roman" w:cs="Times New Roman"/>
                <w:color w:val="000000"/>
                <w:lang w:eastAsia="lv-LV"/>
              </w:rPr>
              <w:t>77</w:t>
            </w:r>
          </w:p>
        </w:tc>
        <w:tc>
          <w:tcPr>
            <w:tcW w:w="1276" w:type="dxa"/>
            <w:tcBorders>
              <w:top w:val="nil"/>
              <w:left w:val="nil"/>
              <w:bottom w:val="single" w:sz="4" w:space="0" w:color="auto"/>
              <w:right w:val="single" w:sz="4" w:space="0" w:color="auto"/>
            </w:tcBorders>
            <w:shd w:val="clear" w:color="auto" w:fill="auto"/>
            <w:noWrap/>
            <w:vAlign w:val="center"/>
            <w:hideMark/>
          </w:tcPr>
          <w:p w14:paraId="6E138D50" w14:textId="77777777" w:rsidR="00BE057E" w:rsidRPr="008E2F64" w:rsidRDefault="00BE057E" w:rsidP="00BE057E">
            <w:pPr>
              <w:spacing w:before="0" w:after="0" w:line="240" w:lineRule="auto"/>
              <w:jc w:val="center"/>
              <w:rPr>
                <w:rFonts w:ascii="Times New Roman" w:eastAsia="Times New Roman" w:hAnsi="Times New Roman" w:cs="Times New Roman"/>
                <w:lang w:eastAsia="lv-LV"/>
              </w:rPr>
            </w:pPr>
            <w:r w:rsidRPr="008E2F64">
              <w:rPr>
                <w:rFonts w:ascii="Times New Roman" w:eastAsia="Times New Roman" w:hAnsi="Times New Roman" w:cs="Times New Roman"/>
                <w:lang w:eastAsia="lv-LV"/>
              </w:rPr>
              <w:t>79,4</w:t>
            </w:r>
          </w:p>
        </w:tc>
        <w:tc>
          <w:tcPr>
            <w:tcW w:w="992" w:type="dxa"/>
            <w:tcBorders>
              <w:top w:val="nil"/>
              <w:left w:val="nil"/>
              <w:bottom w:val="single" w:sz="4" w:space="0" w:color="auto"/>
              <w:right w:val="single" w:sz="4" w:space="0" w:color="auto"/>
            </w:tcBorders>
            <w:shd w:val="clear" w:color="auto" w:fill="auto"/>
            <w:noWrap/>
            <w:vAlign w:val="center"/>
            <w:hideMark/>
          </w:tcPr>
          <w:p w14:paraId="7F21276D" w14:textId="33482837" w:rsidR="00BE057E" w:rsidRPr="00EA65B2" w:rsidRDefault="00BC4F3B" w:rsidP="00EA65B2">
            <w:pPr>
              <w:spacing w:before="0" w:after="0" w:line="240" w:lineRule="auto"/>
              <w:jc w:val="center"/>
              <w:rPr>
                <w:rFonts w:ascii="Times New Roman" w:eastAsia="Times New Roman" w:hAnsi="Times New Roman" w:cs="Times New Roman"/>
                <w:lang w:eastAsia="lv-LV"/>
              </w:rPr>
            </w:pPr>
            <w:r w:rsidRPr="00EA65B2">
              <w:rPr>
                <w:rFonts w:ascii="Times New Roman" w:eastAsia="Times New Roman" w:hAnsi="Times New Roman" w:cs="Times New Roman"/>
                <w:lang w:eastAsia="lv-LV"/>
              </w:rPr>
              <w:t>–</w:t>
            </w:r>
            <w:r w:rsidR="00D804CC" w:rsidRPr="00EA65B2">
              <w:rPr>
                <w:rFonts w:ascii="Times New Roman" w:eastAsia="Times New Roman" w:hAnsi="Times New Roman" w:cs="Times New Roman"/>
                <w:lang w:eastAsia="lv-LV"/>
              </w:rPr>
              <w:t xml:space="preserve"> </w:t>
            </w:r>
            <w:r w:rsidR="00BE057E" w:rsidRPr="00EA65B2">
              <w:rPr>
                <w:rFonts w:ascii="Times New Roman" w:eastAsia="Times New Roman" w:hAnsi="Times New Roman" w:cs="Times New Roman"/>
                <w:lang w:eastAsia="lv-LV"/>
              </w:rPr>
              <w:t>3,6</w:t>
            </w:r>
          </w:p>
        </w:tc>
      </w:tr>
      <w:tr w:rsidR="00443AC9" w:rsidRPr="00EA65B2" w14:paraId="6FA5F64B" w14:textId="77777777" w:rsidTr="00443AC9">
        <w:trPr>
          <w:trHeight w:val="48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24155DC" w14:textId="77777777" w:rsidR="00BE057E" w:rsidRPr="008E2F64" w:rsidRDefault="00BE057E" w:rsidP="00BE057E">
            <w:pPr>
              <w:spacing w:before="0" w:after="0" w:line="240" w:lineRule="auto"/>
              <w:jc w:val="both"/>
              <w:rPr>
                <w:rFonts w:ascii="Times New Roman" w:eastAsia="Times New Roman" w:hAnsi="Times New Roman" w:cs="Times New Roman"/>
                <w:iCs/>
                <w:color w:val="000000"/>
                <w:lang w:eastAsia="lv-LV"/>
              </w:rPr>
            </w:pPr>
            <w:r w:rsidRPr="008E2F64">
              <w:rPr>
                <w:rFonts w:ascii="Times New Roman" w:eastAsia="Times New Roman" w:hAnsi="Times New Roman" w:cs="Times New Roman"/>
                <w:iCs/>
                <w:color w:val="000000"/>
                <w:lang w:eastAsia="lv-LV"/>
              </w:rPr>
              <w:t xml:space="preserve"> - t.sk. </w:t>
            </w:r>
            <w:r w:rsidRPr="008E2F64">
              <w:rPr>
                <w:rFonts w:ascii="Times New Roman" w:eastAsia="Times New Roman" w:hAnsi="Times New Roman" w:cs="Times New Roman"/>
                <w:color w:val="000000"/>
                <w:lang w:eastAsia="lv-LV"/>
              </w:rPr>
              <w:t>būvlaukumi</w:t>
            </w:r>
            <w:r w:rsidRPr="008E2F64">
              <w:rPr>
                <w:rFonts w:ascii="Times New Roman" w:eastAsia="Times New Roman" w:hAnsi="Times New Roman" w:cs="Times New Roman"/>
                <w:iCs/>
                <w:color w:val="000000"/>
                <w:lang w:eastAsia="lv-LV"/>
              </w:rPr>
              <w:t>, kuros nevarēja uzrādīt vai izsniegt EDLUS datus būvobjekta pārbaudes laikā</w:t>
            </w:r>
          </w:p>
        </w:tc>
        <w:tc>
          <w:tcPr>
            <w:tcW w:w="963" w:type="dxa"/>
            <w:tcBorders>
              <w:top w:val="nil"/>
              <w:left w:val="nil"/>
              <w:bottom w:val="single" w:sz="4" w:space="0" w:color="auto"/>
              <w:right w:val="single" w:sz="4" w:space="0" w:color="auto"/>
            </w:tcBorders>
            <w:shd w:val="clear" w:color="auto" w:fill="auto"/>
            <w:noWrap/>
            <w:vAlign w:val="center"/>
            <w:hideMark/>
          </w:tcPr>
          <w:p w14:paraId="0F87AC8C" w14:textId="77777777" w:rsidR="00BE057E" w:rsidRPr="008E2F64" w:rsidRDefault="00BE057E" w:rsidP="00BE057E">
            <w:pPr>
              <w:spacing w:before="0" w:after="0" w:line="240" w:lineRule="auto"/>
              <w:jc w:val="center"/>
              <w:rPr>
                <w:rFonts w:ascii="Times New Roman" w:eastAsia="Times New Roman" w:hAnsi="Times New Roman" w:cs="Times New Roman"/>
                <w:color w:val="000000"/>
                <w:lang w:eastAsia="lv-LV"/>
              </w:rPr>
            </w:pPr>
            <w:r w:rsidRPr="008E2F64">
              <w:rPr>
                <w:rFonts w:ascii="Times New Roman" w:eastAsia="Times New Roman" w:hAnsi="Times New Roman" w:cs="Times New Roman"/>
                <w:color w:val="000000"/>
                <w:lang w:eastAsia="lv-LV"/>
              </w:rPr>
              <w:t>17</w:t>
            </w:r>
          </w:p>
        </w:tc>
        <w:tc>
          <w:tcPr>
            <w:tcW w:w="1276" w:type="dxa"/>
            <w:tcBorders>
              <w:top w:val="nil"/>
              <w:left w:val="nil"/>
              <w:bottom w:val="single" w:sz="4" w:space="0" w:color="auto"/>
              <w:right w:val="single" w:sz="4" w:space="0" w:color="auto"/>
            </w:tcBorders>
            <w:shd w:val="clear" w:color="auto" w:fill="auto"/>
            <w:noWrap/>
            <w:vAlign w:val="center"/>
            <w:hideMark/>
          </w:tcPr>
          <w:p w14:paraId="62F31F3E" w14:textId="77777777" w:rsidR="00BE057E" w:rsidRPr="008E2F64" w:rsidRDefault="00BE057E" w:rsidP="00BE057E">
            <w:pPr>
              <w:spacing w:before="0" w:after="0" w:line="240" w:lineRule="auto"/>
              <w:jc w:val="center"/>
              <w:rPr>
                <w:rFonts w:ascii="Times New Roman" w:eastAsia="Times New Roman" w:hAnsi="Times New Roman" w:cs="Times New Roman"/>
                <w:color w:val="000000"/>
                <w:lang w:eastAsia="lv-LV"/>
              </w:rPr>
            </w:pPr>
            <w:r w:rsidRPr="008E2F64">
              <w:rPr>
                <w:rFonts w:ascii="Times New Roman" w:eastAsia="Times New Roman" w:hAnsi="Times New Roman" w:cs="Times New Roman"/>
                <w:color w:val="000000"/>
                <w:lang w:eastAsia="lv-LV"/>
              </w:rPr>
              <w:t>17,0</w:t>
            </w:r>
          </w:p>
        </w:tc>
        <w:tc>
          <w:tcPr>
            <w:tcW w:w="992" w:type="dxa"/>
            <w:tcBorders>
              <w:top w:val="nil"/>
              <w:left w:val="nil"/>
              <w:bottom w:val="single" w:sz="4" w:space="0" w:color="auto"/>
              <w:right w:val="single" w:sz="4" w:space="0" w:color="auto"/>
            </w:tcBorders>
            <w:shd w:val="clear" w:color="auto" w:fill="auto"/>
            <w:vAlign w:val="center"/>
            <w:hideMark/>
          </w:tcPr>
          <w:p w14:paraId="24028A0E" w14:textId="77777777" w:rsidR="00BE057E" w:rsidRPr="008E2F64" w:rsidRDefault="00BE057E" w:rsidP="00BE057E">
            <w:pPr>
              <w:spacing w:before="0" w:after="0" w:line="240" w:lineRule="auto"/>
              <w:jc w:val="center"/>
              <w:rPr>
                <w:rFonts w:ascii="Times New Roman" w:eastAsia="Times New Roman" w:hAnsi="Times New Roman" w:cs="Times New Roman"/>
                <w:color w:val="000000"/>
                <w:lang w:eastAsia="lv-LV"/>
              </w:rPr>
            </w:pPr>
            <w:r w:rsidRPr="008E2F64">
              <w:rPr>
                <w:rFonts w:ascii="Times New Roman" w:eastAsia="Times New Roman" w:hAnsi="Times New Roman" w:cs="Times New Roman"/>
                <w:color w:val="000000"/>
                <w:lang w:eastAsia="lv-LV"/>
              </w:rPr>
              <w:t>10</w:t>
            </w:r>
          </w:p>
        </w:tc>
        <w:tc>
          <w:tcPr>
            <w:tcW w:w="1276" w:type="dxa"/>
            <w:tcBorders>
              <w:top w:val="nil"/>
              <w:left w:val="nil"/>
              <w:bottom w:val="single" w:sz="4" w:space="0" w:color="auto"/>
              <w:right w:val="single" w:sz="4" w:space="0" w:color="auto"/>
            </w:tcBorders>
            <w:shd w:val="clear" w:color="auto" w:fill="auto"/>
            <w:noWrap/>
            <w:vAlign w:val="center"/>
            <w:hideMark/>
          </w:tcPr>
          <w:p w14:paraId="10771095" w14:textId="77777777" w:rsidR="00BE057E" w:rsidRPr="008E2F64" w:rsidRDefault="00BE057E" w:rsidP="00BE057E">
            <w:pPr>
              <w:spacing w:before="0" w:after="0" w:line="240" w:lineRule="auto"/>
              <w:jc w:val="center"/>
              <w:rPr>
                <w:rFonts w:ascii="Times New Roman" w:eastAsia="Times New Roman" w:hAnsi="Times New Roman" w:cs="Times New Roman"/>
                <w:lang w:eastAsia="lv-LV"/>
              </w:rPr>
            </w:pPr>
            <w:r w:rsidRPr="008E2F64">
              <w:rPr>
                <w:rFonts w:ascii="Times New Roman" w:eastAsia="Times New Roman" w:hAnsi="Times New Roman" w:cs="Times New Roman"/>
                <w:lang w:eastAsia="lv-LV"/>
              </w:rPr>
              <w:t>10,3</w:t>
            </w:r>
          </w:p>
        </w:tc>
        <w:tc>
          <w:tcPr>
            <w:tcW w:w="992" w:type="dxa"/>
            <w:tcBorders>
              <w:top w:val="nil"/>
              <w:left w:val="nil"/>
              <w:bottom w:val="single" w:sz="4" w:space="0" w:color="auto"/>
              <w:right w:val="single" w:sz="4" w:space="0" w:color="auto"/>
            </w:tcBorders>
            <w:shd w:val="clear" w:color="auto" w:fill="auto"/>
            <w:noWrap/>
            <w:vAlign w:val="center"/>
            <w:hideMark/>
          </w:tcPr>
          <w:p w14:paraId="42C3E145" w14:textId="0DB3AFC9" w:rsidR="00BE057E" w:rsidRPr="00EA65B2" w:rsidRDefault="00BC4F3B" w:rsidP="00EA65B2">
            <w:pPr>
              <w:spacing w:before="0" w:after="0" w:line="240" w:lineRule="auto"/>
              <w:jc w:val="center"/>
              <w:rPr>
                <w:rFonts w:ascii="Times New Roman" w:eastAsia="Times New Roman" w:hAnsi="Times New Roman" w:cs="Times New Roman"/>
                <w:lang w:eastAsia="lv-LV"/>
              </w:rPr>
            </w:pPr>
            <w:r w:rsidRPr="00EA65B2">
              <w:rPr>
                <w:rFonts w:ascii="Times New Roman" w:eastAsia="Times New Roman" w:hAnsi="Times New Roman" w:cs="Times New Roman"/>
                <w:lang w:eastAsia="lv-LV"/>
              </w:rPr>
              <w:t>–</w:t>
            </w:r>
            <w:r w:rsidR="00EA65B2" w:rsidRPr="00EA65B2">
              <w:rPr>
                <w:rFonts w:ascii="Times New Roman" w:eastAsia="Times New Roman" w:hAnsi="Times New Roman" w:cs="Times New Roman"/>
                <w:lang w:eastAsia="lv-LV"/>
              </w:rPr>
              <w:t xml:space="preserve"> </w:t>
            </w:r>
            <w:r w:rsidR="00BE057E" w:rsidRPr="00EA65B2">
              <w:rPr>
                <w:rFonts w:ascii="Times New Roman" w:eastAsia="Times New Roman" w:hAnsi="Times New Roman" w:cs="Times New Roman"/>
                <w:lang w:eastAsia="lv-LV"/>
              </w:rPr>
              <w:t>6,7</w:t>
            </w:r>
          </w:p>
        </w:tc>
      </w:tr>
      <w:tr w:rsidR="00443AC9" w:rsidRPr="00EA65B2" w14:paraId="3A9F76A3" w14:textId="77777777" w:rsidTr="00443AC9">
        <w:trPr>
          <w:trHeight w:val="48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CE6A078" w14:textId="77777777" w:rsidR="00BE057E" w:rsidRPr="008E2F64" w:rsidRDefault="00BE057E" w:rsidP="00BE057E">
            <w:pPr>
              <w:spacing w:before="0" w:after="0" w:line="240" w:lineRule="auto"/>
              <w:jc w:val="both"/>
              <w:rPr>
                <w:rFonts w:ascii="Times New Roman" w:eastAsia="Times New Roman" w:hAnsi="Times New Roman" w:cs="Times New Roman"/>
                <w:iCs/>
                <w:color w:val="000000"/>
                <w:lang w:eastAsia="lv-LV"/>
              </w:rPr>
            </w:pPr>
            <w:r w:rsidRPr="008E2F64">
              <w:rPr>
                <w:rFonts w:ascii="Times New Roman" w:eastAsia="Times New Roman" w:hAnsi="Times New Roman" w:cs="Times New Roman"/>
                <w:iCs/>
                <w:color w:val="000000"/>
                <w:lang w:eastAsia="lv-LV"/>
              </w:rPr>
              <w:t xml:space="preserve"> - t.sk. </w:t>
            </w:r>
            <w:r w:rsidRPr="008E2F64">
              <w:rPr>
                <w:rFonts w:ascii="Times New Roman" w:eastAsia="Times New Roman" w:hAnsi="Times New Roman" w:cs="Times New Roman"/>
                <w:color w:val="000000"/>
                <w:lang w:eastAsia="lv-LV"/>
              </w:rPr>
              <w:t>būvlaukumi</w:t>
            </w:r>
            <w:r w:rsidRPr="008E2F64">
              <w:rPr>
                <w:rFonts w:ascii="Times New Roman" w:eastAsia="Times New Roman" w:hAnsi="Times New Roman" w:cs="Times New Roman"/>
                <w:iCs/>
                <w:color w:val="000000"/>
                <w:lang w:eastAsia="lv-LV"/>
              </w:rPr>
              <w:t>, kuros EDLUS nebija nodrošināta pilnīga informācijas reģistrēšana</w:t>
            </w:r>
          </w:p>
        </w:tc>
        <w:tc>
          <w:tcPr>
            <w:tcW w:w="963" w:type="dxa"/>
            <w:tcBorders>
              <w:top w:val="nil"/>
              <w:left w:val="nil"/>
              <w:bottom w:val="single" w:sz="4" w:space="0" w:color="auto"/>
              <w:right w:val="single" w:sz="4" w:space="0" w:color="auto"/>
            </w:tcBorders>
            <w:shd w:val="clear" w:color="auto" w:fill="auto"/>
            <w:noWrap/>
            <w:vAlign w:val="center"/>
            <w:hideMark/>
          </w:tcPr>
          <w:p w14:paraId="46A6F3EF" w14:textId="77777777" w:rsidR="00BE057E" w:rsidRPr="008E2F64" w:rsidRDefault="00BE057E" w:rsidP="00BE057E">
            <w:pPr>
              <w:spacing w:before="0" w:after="0" w:line="240" w:lineRule="auto"/>
              <w:jc w:val="center"/>
              <w:rPr>
                <w:rFonts w:ascii="Times New Roman" w:eastAsia="Times New Roman" w:hAnsi="Times New Roman" w:cs="Times New Roman"/>
                <w:color w:val="000000"/>
                <w:lang w:eastAsia="lv-LV"/>
              </w:rPr>
            </w:pPr>
            <w:r w:rsidRPr="008E2F64">
              <w:rPr>
                <w:rFonts w:ascii="Times New Roman" w:eastAsia="Times New Roman" w:hAnsi="Times New Roman" w:cs="Times New Roman"/>
                <w:color w:val="000000"/>
                <w:lang w:eastAsia="lv-LV"/>
              </w:rPr>
              <w:t>15</w:t>
            </w:r>
          </w:p>
        </w:tc>
        <w:tc>
          <w:tcPr>
            <w:tcW w:w="1276" w:type="dxa"/>
            <w:tcBorders>
              <w:top w:val="nil"/>
              <w:left w:val="nil"/>
              <w:bottom w:val="single" w:sz="4" w:space="0" w:color="auto"/>
              <w:right w:val="single" w:sz="4" w:space="0" w:color="auto"/>
            </w:tcBorders>
            <w:shd w:val="clear" w:color="auto" w:fill="auto"/>
            <w:noWrap/>
            <w:vAlign w:val="center"/>
            <w:hideMark/>
          </w:tcPr>
          <w:p w14:paraId="0DE8F796" w14:textId="77777777" w:rsidR="00BE057E" w:rsidRPr="008E2F64" w:rsidRDefault="00BE057E" w:rsidP="00BE057E">
            <w:pPr>
              <w:spacing w:before="0" w:after="0" w:line="240" w:lineRule="auto"/>
              <w:jc w:val="center"/>
              <w:rPr>
                <w:rFonts w:ascii="Times New Roman" w:eastAsia="Times New Roman" w:hAnsi="Times New Roman" w:cs="Times New Roman"/>
                <w:color w:val="000000"/>
                <w:lang w:eastAsia="lv-LV"/>
              </w:rPr>
            </w:pPr>
            <w:r w:rsidRPr="008E2F64">
              <w:rPr>
                <w:rFonts w:ascii="Times New Roman" w:eastAsia="Times New Roman" w:hAnsi="Times New Roman" w:cs="Times New Roman"/>
                <w:color w:val="000000"/>
                <w:lang w:eastAsia="lv-LV"/>
              </w:rPr>
              <w:t>15,0</w:t>
            </w:r>
          </w:p>
        </w:tc>
        <w:tc>
          <w:tcPr>
            <w:tcW w:w="992" w:type="dxa"/>
            <w:tcBorders>
              <w:top w:val="nil"/>
              <w:left w:val="nil"/>
              <w:bottom w:val="single" w:sz="4" w:space="0" w:color="auto"/>
              <w:right w:val="single" w:sz="4" w:space="0" w:color="auto"/>
            </w:tcBorders>
            <w:shd w:val="clear" w:color="auto" w:fill="auto"/>
            <w:vAlign w:val="center"/>
            <w:hideMark/>
          </w:tcPr>
          <w:p w14:paraId="3D6EEE37" w14:textId="77777777" w:rsidR="00BE057E" w:rsidRPr="008E2F64" w:rsidRDefault="00BE057E" w:rsidP="00BE057E">
            <w:pPr>
              <w:spacing w:before="0" w:after="0" w:line="240" w:lineRule="auto"/>
              <w:jc w:val="center"/>
              <w:rPr>
                <w:rFonts w:ascii="Times New Roman" w:eastAsia="Times New Roman" w:hAnsi="Times New Roman" w:cs="Times New Roman"/>
                <w:color w:val="000000"/>
                <w:lang w:eastAsia="lv-LV"/>
              </w:rPr>
            </w:pPr>
            <w:r w:rsidRPr="008E2F64">
              <w:rPr>
                <w:rFonts w:ascii="Times New Roman" w:eastAsia="Times New Roman" w:hAnsi="Times New Roman" w:cs="Times New Roman"/>
                <w:color w:val="000000"/>
                <w:lang w:eastAsia="lv-LV"/>
              </w:rPr>
              <w:t>13</w:t>
            </w:r>
          </w:p>
        </w:tc>
        <w:tc>
          <w:tcPr>
            <w:tcW w:w="1276" w:type="dxa"/>
            <w:tcBorders>
              <w:top w:val="nil"/>
              <w:left w:val="nil"/>
              <w:bottom w:val="single" w:sz="4" w:space="0" w:color="auto"/>
              <w:right w:val="single" w:sz="4" w:space="0" w:color="auto"/>
            </w:tcBorders>
            <w:shd w:val="clear" w:color="auto" w:fill="auto"/>
            <w:noWrap/>
            <w:vAlign w:val="center"/>
            <w:hideMark/>
          </w:tcPr>
          <w:p w14:paraId="63B57AB6" w14:textId="77777777" w:rsidR="00BE057E" w:rsidRPr="008E2F64" w:rsidRDefault="00BE057E" w:rsidP="00BE057E">
            <w:pPr>
              <w:spacing w:before="0" w:after="0" w:line="240" w:lineRule="auto"/>
              <w:jc w:val="center"/>
              <w:rPr>
                <w:rFonts w:ascii="Times New Roman" w:eastAsia="Times New Roman" w:hAnsi="Times New Roman" w:cs="Times New Roman"/>
                <w:lang w:eastAsia="lv-LV"/>
              </w:rPr>
            </w:pPr>
            <w:r w:rsidRPr="008E2F64">
              <w:rPr>
                <w:rFonts w:ascii="Times New Roman" w:eastAsia="Times New Roman" w:hAnsi="Times New Roman" w:cs="Times New Roman"/>
                <w:lang w:eastAsia="lv-LV"/>
              </w:rPr>
              <w:t>13,4</w:t>
            </w:r>
          </w:p>
        </w:tc>
        <w:tc>
          <w:tcPr>
            <w:tcW w:w="992" w:type="dxa"/>
            <w:tcBorders>
              <w:top w:val="nil"/>
              <w:left w:val="nil"/>
              <w:bottom w:val="single" w:sz="4" w:space="0" w:color="auto"/>
              <w:right w:val="single" w:sz="4" w:space="0" w:color="auto"/>
            </w:tcBorders>
            <w:shd w:val="clear" w:color="auto" w:fill="auto"/>
            <w:noWrap/>
            <w:vAlign w:val="center"/>
            <w:hideMark/>
          </w:tcPr>
          <w:p w14:paraId="443183F0" w14:textId="7C17774C" w:rsidR="00BE057E" w:rsidRPr="00EA65B2" w:rsidRDefault="009F25E1" w:rsidP="00EA65B2">
            <w:pPr>
              <w:spacing w:before="0" w:after="0" w:line="240" w:lineRule="auto"/>
              <w:jc w:val="center"/>
              <w:rPr>
                <w:rFonts w:ascii="Times New Roman" w:eastAsia="Times New Roman" w:hAnsi="Times New Roman" w:cs="Times New Roman"/>
                <w:lang w:eastAsia="lv-LV"/>
              </w:rPr>
            </w:pPr>
            <w:r w:rsidRPr="00EA65B2">
              <w:rPr>
                <w:rFonts w:ascii="Times New Roman" w:eastAsia="Times New Roman" w:hAnsi="Times New Roman" w:cs="Times New Roman"/>
                <w:lang w:eastAsia="lv-LV"/>
              </w:rPr>
              <w:t>–</w:t>
            </w:r>
            <w:r w:rsidR="00EA65B2">
              <w:rPr>
                <w:rFonts w:ascii="Times New Roman" w:eastAsia="Times New Roman" w:hAnsi="Times New Roman" w:cs="Times New Roman"/>
                <w:lang w:eastAsia="lv-LV"/>
              </w:rPr>
              <w:t xml:space="preserve"> </w:t>
            </w:r>
            <w:r w:rsidR="00BE057E" w:rsidRPr="00EA65B2">
              <w:rPr>
                <w:rFonts w:ascii="Times New Roman" w:eastAsia="Times New Roman" w:hAnsi="Times New Roman" w:cs="Times New Roman"/>
                <w:lang w:eastAsia="lv-LV"/>
              </w:rPr>
              <w:t>1,6</w:t>
            </w:r>
          </w:p>
        </w:tc>
      </w:tr>
      <w:tr w:rsidR="00443AC9" w:rsidRPr="00EA65B2" w14:paraId="298E96FD" w14:textId="77777777" w:rsidTr="00443AC9">
        <w:trPr>
          <w:trHeight w:val="71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12972D00" w14:textId="77777777" w:rsidR="00BE057E" w:rsidRPr="008E2F64" w:rsidRDefault="00BE057E" w:rsidP="00BE057E">
            <w:pPr>
              <w:spacing w:before="0" w:after="0" w:line="240" w:lineRule="auto"/>
              <w:jc w:val="both"/>
              <w:rPr>
                <w:rFonts w:ascii="Times New Roman" w:eastAsia="Times New Roman" w:hAnsi="Times New Roman" w:cs="Times New Roman"/>
                <w:iCs/>
                <w:color w:val="000000"/>
                <w:lang w:eastAsia="lv-LV"/>
              </w:rPr>
            </w:pPr>
            <w:r w:rsidRPr="008E2F64">
              <w:rPr>
                <w:rFonts w:ascii="Times New Roman" w:eastAsia="Times New Roman" w:hAnsi="Times New Roman" w:cs="Times New Roman"/>
                <w:iCs/>
                <w:color w:val="000000"/>
                <w:lang w:eastAsia="lv-LV"/>
              </w:rPr>
              <w:t xml:space="preserve"> - t.sk. </w:t>
            </w:r>
            <w:r w:rsidRPr="008E2F64">
              <w:rPr>
                <w:rFonts w:ascii="Times New Roman" w:eastAsia="Times New Roman" w:hAnsi="Times New Roman" w:cs="Times New Roman"/>
                <w:color w:val="000000"/>
                <w:lang w:eastAsia="lv-LV"/>
              </w:rPr>
              <w:t>būvlaukumi</w:t>
            </w:r>
            <w:r w:rsidRPr="008E2F64">
              <w:rPr>
                <w:rFonts w:ascii="Times New Roman" w:eastAsia="Times New Roman" w:hAnsi="Times New Roman" w:cs="Times New Roman"/>
                <w:iCs/>
                <w:color w:val="000000"/>
                <w:lang w:eastAsia="lv-LV"/>
              </w:rPr>
              <w:t xml:space="preserve">, kuros </w:t>
            </w:r>
            <w:bookmarkStart w:id="16" w:name="_Hlk34593250"/>
            <w:r w:rsidRPr="008E2F64">
              <w:rPr>
                <w:rFonts w:ascii="Times New Roman" w:eastAsia="Times New Roman" w:hAnsi="Times New Roman" w:cs="Times New Roman"/>
                <w:iCs/>
                <w:color w:val="000000"/>
                <w:lang w:eastAsia="lv-LV"/>
              </w:rPr>
              <w:t>EDLUS nav reģistrēti vai reģistrēti nepilnīgi dati par līgumu ar būvniecības ierosinātāju</w:t>
            </w:r>
            <w:bookmarkEnd w:id="16"/>
          </w:p>
        </w:tc>
        <w:tc>
          <w:tcPr>
            <w:tcW w:w="963" w:type="dxa"/>
            <w:tcBorders>
              <w:top w:val="nil"/>
              <w:left w:val="nil"/>
              <w:bottom w:val="single" w:sz="4" w:space="0" w:color="auto"/>
              <w:right w:val="single" w:sz="4" w:space="0" w:color="auto"/>
            </w:tcBorders>
            <w:shd w:val="clear" w:color="auto" w:fill="auto"/>
            <w:noWrap/>
            <w:vAlign w:val="center"/>
            <w:hideMark/>
          </w:tcPr>
          <w:p w14:paraId="4CA60E0C" w14:textId="77777777" w:rsidR="00BE057E" w:rsidRPr="008E2F64" w:rsidRDefault="00BE057E" w:rsidP="00BE057E">
            <w:pPr>
              <w:spacing w:before="0" w:after="0" w:line="240" w:lineRule="auto"/>
              <w:jc w:val="center"/>
              <w:rPr>
                <w:rFonts w:ascii="Times New Roman" w:eastAsia="Times New Roman" w:hAnsi="Times New Roman" w:cs="Times New Roman"/>
                <w:color w:val="000000"/>
                <w:lang w:eastAsia="lv-LV"/>
              </w:rPr>
            </w:pPr>
            <w:r w:rsidRPr="008E2F64">
              <w:rPr>
                <w:rFonts w:ascii="Times New Roman" w:eastAsia="Times New Roman" w:hAnsi="Times New Roman" w:cs="Times New Roman"/>
                <w:color w:val="000000"/>
                <w:lang w:eastAsia="lv-LV"/>
              </w:rPr>
              <w:t>27</w:t>
            </w:r>
          </w:p>
        </w:tc>
        <w:tc>
          <w:tcPr>
            <w:tcW w:w="1276" w:type="dxa"/>
            <w:tcBorders>
              <w:top w:val="nil"/>
              <w:left w:val="nil"/>
              <w:bottom w:val="single" w:sz="4" w:space="0" w:color="auto"/>
              <w:right w:val="single" w:sz="4" w:space="0" w:color="auto"/>
            </w:tcBorders>
            <w:shd w:val="clear" w:color="auto" w:fill="auto"/>
            <w:noWrap/>
            <w:vAlign w:val="center"/>
            <w:hideMark/>
          </w:tcPr>
          <w:p w14:paraId="1975D347" w14:textId="77777777" w:rsidR="00BE057E" w:rsidRPr="008E2F64" w:rsidRDefault="00BE057E" w:rsidP="00BE057E">
            <w:pPr>
              <w:spacing w:before="0" w:after="0" w:line="240" w:lineRule="auto"/>
              <w:jc w:val="center"/>
              <w:rPr>
                <w:rFonts w:ascii="Times New Roman" w:eastAsia="Times New Roman" w:hAnsi="Times New Roman" w:cs="Times New Roman"/>
                <w:color w:val="000000"/>
                <w:lang w:eastAsia="lv-LV"/>
              </w:rPr>
            </w:pPr>
            <w:r w:rsidRPr="008E2F64">
              <w:rPr>
                <w:rFonts w:ascii="Times New Roman" w:eastAsia="Times New Roman" w:hAnsi="Times New Roman" w:cs="Times New Roman"/>
                <w:color w:val="000000"/>
                <w:lang w:eastAsia="lv-LV"/>
              </w:rPr>
              <w:t>27,0</w:t>
            </w:r>
          </w:p>
        </w:tc>
        <w:tc>
          <w:tcPr>
            <w:tcW w:w="992" w:type="dxa"/>
            <w:tcBorders>
              <w:top w:val="nil"/>
              <w:left w:val="nil"/>
              <w:bottom w:val="single" w:sz="4" w:space="0" w:color="auto"/>
              <w:right w:val="single" w:sz="4" w:space="0" w:color="auto"/>
            </w:tcBorders>
            <w:shd w:val="clear" w:color="auto" w:fill="auto"/>
            <w:vAlign w:val="center"/>
            <w:hideMark/>
          </w:tcPr>
          <w:p w14:paraId="58371A5E" w14:textId="77777777" w:rsidR="00BE057E" w:rsidRPr="008E2F64" w:rsidRDefault="00BE057E" w:rsidP="00BE057E">
            <w:pPr>
              <w:spacing w:before="0" w:after="0" w:line="240" w:lineRule="auto"/>
              <w:jc w:val="center"/>
              <w:rPr>
                <w:rFonts w:ascii="Times New Roman" w:eastAsia="Times New Roman" w:hAnsi="Times New Roman" w:cs="Times New Roman"/>
                <w:color w:val="000000"/>
                <w:lang w:eastAsia="lv-LV"/>
              </w:rPr>
            </w:pPr>
            <w:r w:rsidRPr="008E2F64">
              <w:rPr>
                <w:rFonts w:ascii="Times New Roman" w:eastAsia="Times New Roman" w:hAnsi="Times New Roman" w:cs="Times New Roman"/>
                <w:color w:val="000000"/>
                <w:lang w:eastAsia="lv-LV"/>
              </w:rPr>
              <w:t>8</w:t>
            </w:r>
          </w:p>
        </w:tc>
        <w:tc>
          <w:tcPr>
            <w:tcW w:w="1276" w:type="dxa"/>
            <w:tcBorders>
              <w:top w:val="nil"/>
              <w:left w:val="nil"/>
              <w:bottom w:val="single" w:sz="4" w:space="0" w:color="auto"/>
              <w:right w:val="single" w:sz="4" w:space="0" w:color="auto"/>
            </w:tcBorders>
            <w:shd w:val="clear" w:color="auto" w:fill="auto"/>
            <w:noWrap/>
            <w:vAlign w:val="center"/>
            <w:hideMark/>
          </w:tcPr>
          <w:p w14:paraId="54FB5E3D" w14:textId="77777777" w:rsidR="00BE057E" w:rsidRPr="008E2F64" w:rsidRDefault="00BE057E" w:rsidP="00BE057E">
            <w:pPr>
              <w:spacing w:before="0" w:after="0" w:line="240" w:lineRule="auto"/>
              <w:jc w:val="center"/>
              <w:rPr>
                <w:rFonts w:ascii="Times New Roman" w:eastAsia="Times New Roman" w:hAnsi="Times New Roman" w:cs="Times New Roman"/>
                <w:lang w:eastAsia="lv-LV"/>
              </w:rPr>
            </w:pPr>
            <w:r w:rsidRPr="008E2F64">
              <w:rPr>
                <w:rFonts w:ascii="Times New Roman" w:eastAsia="Times New Roman" w:hAnsi="Times New Roman" w:cs="Times New Roman"/>
                <w:lang w:eastAsia="lv-LV"/>
              </w:rPr>
              <w:t>8,2</w:t>
            </w:r>
          </w:p>
        </w:tc>
        <w:tc>
          <w:tcPr>
            <w:tcW w:w="992" w:type="dxa"/>
            <w:tcBorders>
              <w:top w:val="nil"/>
              <w:left w:val="nil"/>
              <w:bottom w:val="single" w:sz="4" w:space="0" w:color="auto"/>
              <w:right w:val="single" w:sz="4" w:space="0" w:color="auto"/>
            </w:tcBorders>
            <w:shd w:val="clear" w:color="auto" w:fill="auto"/>
            <w:noWrap/>
            <w:vAlign w:val="center"/>
            <w:hideMark/>
          </w:tcPr>
          <w:p w14:paraId="4A5B3F0C" w14:textId="77777777" w:rsidR="00BE057E" w:rsidRPr="00EA65B2" w:rsidRDefault="009F25E1" w:rsidP="00EA65B2">
            <w:pPr>
              <w:spacing w:before="0" w:after="0" w:line="240" w:lineRule="auto"/>
              <w:jc w:val="center"/>
              <w:rPr>
                <w:rFonts w:ascii="Times New Roman" w:eastAsia="Times New Roman" w:hAnsi="Times New Roman" w:cs="Times New Roman"/>
                <w:lang w:eastAsia="lv-LV"/>
              </w:rPr>
            </w:pPr>
            <w:r w:rsidRPr="00EA65B2">
              <w:rPr>
                <w:rFonts w:ascii="Times New Roman" w:eastAsia="Times New Roman" w:hAnsi="Times New Roman" w:cs="Times New Roman"/>
                <w:lang w:eastAsia="lv-LV"/>
              </w:rPr>
              <w:t>–</w:t>
            </w:r>
            <w:r w:rsidR="00BE057E" w:rsidRPr="00EA65B2">
              <w:rPr>
                <w:rFonts w:ascii="Times New Roman" w:eastAsia="Times New Roman" w:hAnsi="Times New Roman" w:cs="Times New Roman"/>
                <w:lang w:eastAsia="lv-LV"/>
              </w:rPr>
              <w:t>18,8</w:t>
            </w:r>
          </w:p>
        </w:tc>
      </w:tr>
      <w:tr w:rsidR="00443AC9" w:rsidRPr="00EA65B2" w14:paraId="76BC7570" w14:textId="77777777" w:rsidTr="00443AC9">
        <w:trPr>
          <w:trHeight w:val="277"/>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E432367" w14:textId="77777777" w:rsidR="00BE057E" w:rsidRPr="008E2F64" w:rsidRDefault="00BE057E" w:rsidP="00BE057E">
            <w:pPr>
              <w:spacing w:before="0" w:after="0" w:line="240" w:lineRule="auto"/>
              <w:jc w:val="both"/>
              <w:rPr>
                <w:rFonts w:ascii="Times New Roman" w:eastAsia="Times New Roman" w:hAnsi="Times New Roman" w:cs="Times New Roman"/>
                <w:iCs/>
                <w:color w:val="000000"/>
                <w:lang w:eastAsia="lv-LV"/>
              </w:rPr>
            </w:pPr>
            <w:r w:rsidRPr="008E2F64">
              <w:rPr>
                <w:rFonts w:ascii="Times New Roman" w:eastAsia="Times New Roman" w:hAnsi="Times New Roman" w:cs="Times New Roman"/>
                <w:iCs/>
                <w:color w:val="000000"/>
                <w:lang w:eastAsia="lv-LV"/>
              </w:rPr>
              <w:t xml:space="preserve">- t.sk. </w:t>
            </w:r>
            <w:r w:rsidRPr="008E2F64">
              <w:rPr>
                <w:rFonts w:ascii="Times New Roman" w:eastAsia="Times New Roman" w:hAnsi="Times New Roman" w:cs="Times New Roman"/>
                <w:color w:val="000000"/>
                <w:lang w:eastAsia="lv-LV"/>
              </w:rPr>
              <w:t>būvlaukumi</w:t>
            </w:r>
            <w:r w:rsidRPr="008E2F64">
              <w:rPr>
                <w:rFonts w:ascii="Times New Roman" w:eastAsia="Times New Roman" w:hAnsi="Times New Roman" w:cs="Times New Roman"/>
                <w:iCs/>
                <w:color w:val="000000"/>
                <w:lang w:eastAsia="lv-LV"/>
              </w:rPr>
              <w:t>, kuros nebija ieviesta EDLUS</w:t>
            </w:r>
          </w:p>
        </w:tc>
        <w:tc>
          <w:tcPr>
            <w:tcW w:w="963" w:type="dxa"/>
            <w:tcBorders>
              <w:top w:val="nil"/>
              <w:left w:val="nil"/>
              <w:bottom w:val="single" w:sz="4" w:space="0" w:color="auto"/>
              <w:right w:val="single" w:sz="4" w:space="0" w:color="auto"/>
            </w:tcBorders>
            <w:shd w:val="clear" w:color="auto" w:fill="auto"/>
            <w:noWrap/>
            <w:vAlign w:val="center"/>
            <w:hideMark/>
          </w:tcPr>
          <w:p w14:paraId="50B208CC" w14:textId="77777777" w:rsidR="00BE057E" w:rsidRPr="008E2F64" w:rsidRDefault="00BE057E" w:rsidP="00BE057E">
            <w:pPr>
              <w:spacing w:before="0" w:after="0" w:line="240" w:lineRule="auto"/>
              <w:jc w:val="center"/>
              <w:rPr>
                <w:rFonts w:ascii="Times New Roman" w:eastAsia="Times New Roman" w:hAnsi="Times New Roman" w:cs="Times New Roman"/>
                <w:color w:val="000000"/>
                <w:lang w:eastAsia="lv-LV"/>
              </w:rPr>
            </w:pPr>
            <w:r w:rsidRPr="008E2F64">
              <w:rPr>
                <w:rFonts w:ascii="Times New Roman" w:eastAsia="Times New Roman" w:hAnsi="Times New Roman" w:cs="Times New Roman"/>
                <w:color w:val="000000"/>
                <w:lang w:eastAsia="lv-LV"/>
              </w:rPr>
              <w:t>6</w:t>
            </w:r>
          </w:p>
        </w:tc>
        <w:tc>
          <w:tcPr>
            <w:tcW w:w="1276" w:type="dxa"/>
            <w:tcBorders>
              <w:top w:val="nil"/>
              <w:left w:val="nil"/>
              <w:bottom w:val="single" w:sz="4" w:space="0" w:color="auto"/>
              <w:right w:val="single" w:sz="4" w:space="0" w:color="auto"/>
            </w:tcBorders>
            <w:shd w:val="clear" w:color="auto" w:fill="auto"/>
            <w:noWrap/>
            <w:vAlign w:val="center"/>
            <w:hideMark/>
          </w:tcPr>
          <w:p w14:paraId="590866E7" w14:textId="77777777" w:rsidR="00BE057E" w:rsidRPr="008E2F64" w:rsidRDefault="00BE057E" w:rsidP="00BE057E">
            <w:pPr>
              <w:spacing w:before="0" w:after="0" w:line="240" w:lineRule="auto"/>
              <w:jc w:val="center"/>
              <w:rPr>
                <w:rFonts w:ascii="Times New Roman" w:eastAsia="Times New Roman" w:hAnsi="Times New Roman" w:cs="Times New Roman"/>
                <w:color w:val="000000"/>
                <w:lang w:eastAsia="lv-LV"/>
              </w:rPr>
            </w:pPr>
            <w:r w:rsidRPr="008E2F64">
              <w:rPr>
                <w:rFonts w:ascii="Times New Roman" w:eastAsia="Times New Roman" w:hAnsi="Times New Roman" w:cs="Times New Roman"/>
                <w:color w:val="000000"/>
                <w:lang w:eastAsia="lv-LV"/>
              </w:rPr>
              <w:t>6,0</w:t>
            </w:r>
          </w:p>
        </w:tc>
        <w:tc>
          <w:tcPr>
            <w:tcW w:w="992" w:type="dxa"/>
            <w:tcBorders>
              <w:top w:val="nil"/>
              <w:left w:val="nil"/>
              <w:bottom w:val="single" w:sz="4" w:space="0" w:color="auto"/>
              <w:right w:val="single" w:sz="4" w:space="0" w:color="auto"/>
            </w:tcBorders>
            <w:shd w:val="clear" w:color="auto" w:fill="auto"/>
            <w:vAlign w:val="center"/>
            <w:hideMark/>
          </w:tcPr>
          <w:p w14:paraId="3260A23B" w14:textId="77777777" w:rsidR="00BE057E" w:rsidRPr="008E2F64" w:rsidRDefault="00BE057E" w:rsidP="00BE057E">
            <w:pPr>
              <w:spacing w:before="0" w:after="0" w:line="240" w:lineRule="auto"/>
              <w:jc w:val="center"/>
              <w:rPr>
                <w:rFonts w:ascii="Times New Roman" w:eastAsia="Times New Roman" w:hAnsi="Times New Roman" w:cs="Times New Roman"/>
                <w:color w:val="000000"/>
                <w:lang w:eastAsia="lv-LV"/>
              </w:rPr>
            </w:pPr>
            <w:r w:rsidRPr="008E2F64">
              <w:rPr>
                <w:rFonts w:ascii="Times New Roman" w:eastAsia="Times New Roman" w:hAnsi="Times New Roman" w:cs="Times New Roman"/>
                <w:color w:val="000000"/>
                <w:lang w:eastAsia="lv-LV"/>
              </w:rPr>
              <w:t>7</w:t>
            </w:r>
          </w:p>
        </w:tc>
        <w:tc>
          <w:tcPr>
            <w:tcW w:w="1276" w:type="dxa"/>
            <w:tcBorders>
              <w:top w:val="nil"/>
              <w:left w:val="nil"/>
              <w:bottom w:val="single" w:sz="4" w:space="0" w:color="auto"/>
              <w:right w:val="single" w:sz="4" w:space="0" w:color="auto"/>
            </w:tcBorders>
            <w:shd w:val="clear" w:color="auto" w:fill="auto"/>
            <w:noWrap/>
            <w:vAlign w:val="center"/>
            <w:hideMark/>
          </w:tcPr>
          <w:p w14:paraId="403C8401" w14:textId="77777777" w:rsidR="00BE057E" w:rsidRPr="008E2F64" w:rsidRDefault="00BE057E" w:rsidP="00BE057E">
            <w:pPr>
              <w:spacing w:before="0" w:after="0" w:line="240" w:lineRule="auto"/>
              <w:jc w:val="center"/>
              <w:rPr>
                <w:rFonts w:ascii="Times New Roman" w:eastAsia="Times New Roman" w:hAnsi="Times New Roman" w:cs="Times New Roman"/>
                <w:lang w:eastAsia="lv-LV"/>
              </w:rPr>
            </w:pPr>
            <w:r w:rsidRPr="008E2F64">
              <w:rPr>
                <w:rFonts w:ascii="Times New Roman" w:eastAsia="Times New Roman" w:hAnsi="Times New Roman" w:cs="Times New Roman"/>
                <w:lang w:eastAsia="lv-LV"/>
              </w:rPr>
              <w:t>7,2</w:t>
            </w:r>
          </w:p>
        </w:tc>
        <w:tc>
          <w:tcPr>
            <w:tcW w:w="992" w:type="dxa"/>
            <w:tcBorders>
              <w:top w:val="nil"/>
              <w:left w:val="nil"/>
              <w:bottom w:val="single" w:sz="4" w:space="0" w:color="auto"/>
              <w:right w:val="single" w:sz="4" w:space="0" w:color="auto"/>
            </w:tcBorders>
            <w:shd w:val="clear" w:color="auto" w:fill="auto"/>
            <w:noWrap/>
            <w:vAlign w:val="center"/>
            <w:hideMark/>
          </w:tcPr>
          <w:p w14:paraId="6CA0FAA5" w14:textId="5628D9D6" w:rsidR="00BE057E" w:rsidRPr="00EA65B2" w:rsidRDefault="00BE057E" w:rsidP="00EA65B2">
            <w:pPr>
              <w:spacing w:before="0" w:after="0" w:line="240" w:lineRule="auto"/>
              <w:jc w:val="center"/>
              <w:rPr>
                <w:rFonts w:ascii="Times New Roman" w:eastAsia="Times New Roman" w:hAnsi="Times New Roman" w:cs="Times New Roman"/>
                <w:lang w:eastAsia="lv-LV"/>
              </w:rPr>
            </w:pPr>
            <w:r w:rsidRPr="00EA65B2">
              <w:rPr>
                <w:rFonts w:ascii="Times New Roman" w:eastAsia="Times New Roman" w:hAnsi="Times New Roman" w:cs="Times New Roman"/>
                <w:lang w:eastAsia="lv-LV"/>
              </w:rPr>
              <w:t>+1,2</w:t>
            </w:r>
          </w:p>
        </w:tc>
      </w:tr>
    </w:tbl>
    <w:p w14:paraId="36F2404D" w14:textId="77777777" w:rsidR="00BE057E" w:rsidRPr="008E2F64" w:rsidRDefault="00BE057E" w:rsidP="00552C08">
      <w:pPr>
        <w:pStyle w:val="NoSpacing"/>
        <w:spacing w:before="0"/>
        <w:ind w:firstLine="720"/>
        <w:jc w:val="both"/>
        <w:rPr>
          <w:rFonts w:ascii="Times New Roman" w:hAnsi="Times New Roman" w:cs="Times New Roman"/>
          <w:sz w:val="28"/>
          <w:szCs w:val="28"/>
        </w:rPr>
      </w:pPr>
    </w:p>
    <w:p w14:paraId="06999222" w14:textId="56EB0B99" w:rsidR="00BE057E" w:rsidRPr="00F82004" w:rsidRDefault="00BE057E" w:rsidP="00552C08">
      <w:pPr>
        <w:pStyle w:val="NoSpacing"/>
        <w:spacing w:before="0"/>
        <w:ind w:firstLine="720"/>
        <w:jc w:val="both"/>
        <w:rPr>
          <w:rFonts w:ascii="Times New Roman" w:hAnsi="Times New Roman" w:cs="Times New Roman"/>
          <w:sz w:val="28"/>
          <w:szCs w:val="28"/>
        </w:rPr>
      </w:pPr>
      <w:r w:rsidRPr="008E2F64">
        <w:rPr>
          <w:rFonts w:ascii="Times New Roman" w:hAnsi="Times New Roman" w:cs="Times New Roman"/>
          <w:sz w:val="28"/>
          <w:szCs w:val="28"/>
        </w:rPr>
        <w:t>Pārbaužu rezultāti liecina, ka 2019.gadā salīdzinājumā ar iepriekšējo periodu ir samazināj</w:t>
      </w:r>
      <w:r w:rsidR="00C267B6">
        <w:rPr>
          <w:rFonts w:ascii="Times New Roman" w:hAnsi="Times New Roman" w:cs="Times New Roman"/>
          <w:sz w:val="28"/>
          <w:szCs w:val="28"/>
        </w:rPr>
        <w:t>ies</w:t>
      </w:r>
      <w:r w:rsidRPr="008E2F64">
        <w:rPr>
          <w:rFonts w:ascii="Times New Roman" w:hAnsi="Times New Roman" w:cs="Times New Roman"/>
          <w:sz w:val="28"/>
          <w:szCs w:val="28"/>
        </w:rPr>
        <w:t xml:space="preserve"> pārkāpum</w:t>
      </w:r>
      <w:r w:rsidR="00C267B6">
        <w:rPr>
          <w:rFonts w:ascii="Times New Roman" w:hAnsi="Times New Roman" w:cs="Times New Roman"/>
          <w:sz w:val="28"/>
          <w:szCs w:val="28"/>
        </w:rPr>
        <w:t>u</w:t>
      </w:r>
      <w:r w:rsidRPr="008E2F64">
        <w:rPr>
          <w:rFonts w:ascii="Times New Roman" w:hAnsi="Times New Roman" w:cs="Times New Roman"/>
          <w:sz w:val="28"/>
          <w:szCs w:val="28"/>
        </w:rPr>
        <w:t>, kuri attiecas uz būvlaukumā izmantojamo EDLUS risinājumu vai pašu būvuzņēmēju praktisko iemaņu apguvi EDLUS lietošanā</w:t>
      </w:r>
      <w:r w:rsidR="00C267B6">
        <w:rPr>
          <w:rFonts w:ascii="Times New Roman" w:hAnsi="Times New Roman" w:cs="Times New Roman"/>
          <w:sz w:val="28"/>
          <w:szCs w:val="28"/>
        </w:rPr>
        <w:t>, skaits</w:t>
      </w:r>
      <w:r w:rsidR="00552C08">
        <w:rPr>
          <w:rFonts w:ascii="Times New Roman" w:hAnsi="Times New Roman" w:cs="Times New Roman"/>
          <w:sz w:val="28"/>
          <w:szCs w:val="28"/>
        </w:rPr>
        <w:t>.</w:t>
      </w:r>
      <w:r w:rsidRPr="00F82004">
        <w:rPr>
          <w:rFonts w:ascii="Times New Roman" w:hAnsi="Times New Roman" w:cs="Times New Roman"/>
          <w:sz w:val="28"/>
          <w:szCs w:val="28"/>
        </w:rPr>
        <w:t xml:space="preserve"> </w:t>
      </w:r>
      <w:r w:rsidR="00552C08">
        <w:rPr>
          <w:rFonts w:ascii="Times New Roman" w:hAnsi="Times New Roman" w:cs="Times New Roman"/>
          <w:sz w:val="28"/>
          <w:szCs w:val="28"/>
        </w:rPr>
        <w:t>P</w:t>
      </w:r>
      <w:r w:rsidRPr="00F82004">
        <w:rPr>
          <w:rFonts w:ascii="Times New Roman" w:hAnsi="Times New Roman" w:cs="Times New Roman"/>
          <w:sz w:val="28"/>
          <w:szCs w:val="28"/>
        </w:rPr>
        <w:t xml:space="preserve">iemēram, ir samazinājies būvlaukumu skaits, kuros nevarēja uzrādīt vai izsniegt EDLUS datus, EDLUS nebija nodrošināta pilnīga informācijas reģistrēšana par darba devēju vai darba ņēmēju, kā arī EDLUS nebija reģistrēti </w:t>
      </w:r>
      <w:r w:rsidR="00DF5BDF">
        <w:rPr>
          <w:rFonts w:ascii="Times New Roman" w:hAnsi="Times New Roman" w:cs="Times New Roman"/>
          <w:sz w:val="28"/>
          <w:szCs w:val="28"/>
        </w:rPr>
        <w:t xml:space="preserve">vai </w:t>
      </w:r>
      <w:r w:rsidRPr="00F82004">
        <w:rPr>
          <w:rFonts w:ascii="Times New Roman" w:hAnsi="Times New Roman" w:cs="Times New Roman"/>
          <w:sz w:val="28"/>
          <w:szCs w:val="28"/>
        </w:rPr>
        <w:t>bija reģistrēti nepilnīgi dati par</w:t>
      </w:r>
      <w:r w:rsidRPr="00F82004">
        <w:rPr>
          <w:rFonts w:ascii="Times New Roman" w:hAnsi="Times New Roman" w:cs="Times New Roman"/>
          <w:sz w:val="32"/>
          <w:szCs w:val="28"/>
        </w:rPr>
        <w:t xml:space="preserve"> </w:t>
      </w:r>
      <w:r w:rsidRPr="00F82004">
        <w:rPr>
          <w:rFonts w:ascii="Times New Roman" w:hAnsi="Times New Roman" w:cs="Times New Roman"/>
          <w:sz w:val="28"/>
          <w:szCs w:val="28"/>
        </w:rPr>
        <w:t>līgumu ar būvniecības ierosinātāju.</w:t>
      </w:r>
    </w:p>
    <w:p w14:paraId="4C87D2C1" w14:textId="77777777" w:rsidR="00BE057E" w:rsidRPr="00F82004" w:rsidRDefault="00BE057E" w:rsidP="003D2EFD">
      <w:pPr>
        <w:pStyle w:val="NoSpacing"/>
        <w:spacing w:before="0"/>
        <w:ind w:firstLine="720"/>
        <w:jc w:val="both"/>
        <w:rPr>
          <w:rFonts w:ascii="Times New Roman" w:hAnsi="Times New Roman" w:cs="Times New Roman"/>
          <w:sz w:val="28"/>
          <w:szCs w:val="28"/>
        </w:rPr>
      </w:pPr>
      <w:r w:rsidRPr="00F82004">
        <w:rPr>
          <w:rFonts w:ascii="Times New Roman" w:hAnsi="Times New Roman" w:cs="Times New Roman"/>
          <w:sz w:val="28"/>
          <w:szCs w:val="28"/>
        </w:rPr>
        <w:t>2019.gadā, tāpat kā 2018.gadā, konstatēti būvlaukumi, kuri atbilst EDLUS ieviešanas kritērijiem, bet EDLU</w:t>
      </w:r>
      <w:r w:rsidR="00E52F9C">
        <w:rPr>
          <w:rFonts w:ascii="Times New Roman" w:hAnsi="Times New Roman" w:cs="Times New Roman"/>
          <w:sz w:val="28"/>
          <w:szCs w:val="28"/>
        </w:rPr>
        <w:t>S</w:t>
      </w:r>
      <w:r w:rsidRPr="00F82004">
        <w:rPr>
          <w:rFonts w:ascii="Times New Roman" w:hAnsi="Times New Roman" w:cs="Times New Roman"/>
          <w:sz w:val="28"/>
          <w:szCs w:val="28"/>
        </w:rPr>
        <w:t xml:space="preserve"> būvlaukumā uz pārbaudes brīdi nebija ieviesta. Pretēji konstatētajam 2018.gadā, 2019.gadā EDLU</w:t>
      </w:r>
      <w:r w:rsidR="00E52F9C">
        <w:rPr>
          <w:rFonts w:ascii="Times New Roman" w:hAnsi="Times New Roman" w:cs="Times New Roman"/>
          <w:sz w:val="28"/>
          <w:szCs w:val="28"/>
        </w:rPr>
        <w:t>S</w:t>
      </w:r>
      <w:r w:rsidRPr="00F82004">
        <w:rPr>
          <w:rFonts w:ascii="Times New Roman" w:hAnsi="Times New Roman" w:cs="Times New Roman"/>
          <w:sz w:val="28"/>
          <w:szCs w:val="28"/>
        </w:rPr>
        <w:t xml:space="preserve"> neieviešanas gadījumi konstatēti būvlaukumos, kuri atrodas ārpus Rīgas un kuru galvenajiem būvdarbu veicējiem pārsvarā līdz šim nebija pieredzes EDLUS ieviešanā.</w:t>
      </w:r>
    </w:p>
    <w:p w14:paraId="11AD1CFE" w14:textId="1228C633" w:rsidR="00BE057E" w:rsidRDefault="00BE057E" w:rsidP="003D2EFD">
      <w:pPr>
        <w:pStyle w:val="NoSpacing"/>
        <w:spacing w:before="0"/>
        <w:ind w:firstLine="720"/>
        <w:jc w:val="both"/>
        <w:rPr>
          <w:rFonts w:ascii="Times New Roman" w:hAnsi="Times New Roman" w:cs="Times New Roman"/>
          <w:sz w:val="28"/>
          <w:szCs w:val="28"/>
        </w:rPr>
      </w:pPr>
      <w:r w:rsidRPr="00F82004">
        <w:rPr>
          <w:rFonts w:ascii="Times New Roman" w:hAnsi="Times New Roman" w:cs="Times New Roman"/>
          <w:sz w:val="28"/>
          <w:szCs w:val="28"/>
        </w:rPr>
        <w:t xml:space="preserve">Joprojām būvlaukumos konstatētas nodarbinātās personas, kuras nepilda likumā </w:t>
      </w:r>
      <w:r w:rsidR="003E12D1">
        <w:rPr>
          <w:rFonts w:ascii="Times New Roman" w:hAnsi="Times New Roman" w:cs="Times New Roman"/>
          <w:sz w:val="28"/>
          <w:szCs w:val="28"/>
        </w:rPr>
        <w:t>“</w:t>
      </w:r>
      <w:r w:rsidRPr="00F82004">
        <w:rPr>
          <w:rFonts w:ascii="Times New Roman" w:hAnsi="Times New Roman" w:cs="Times New Roman"/>
          <w:sz w:val="28"/>
          <w:szCs w:val="28"/>
        </w:rPr>
        <w:t>Par nodokļiem un nodevām</w:t>
      </w:r>
      <w:r w:rsidR="003E12D1">
        <w:rPr>
          <w:rFonts w:ascii="Times New Roman" w:hAnsi="Times New Roman" w:cs="Times New Roman"/>
          <w:sz w:val="28"/>
          <w:szCs w:val="28"/>
        </w:rPr>
        <w:t>”</w:t>
      </w:r>
      <w:r w:rsidRPr="00F82004">
        <w:rPr>
          <w:rFonts w:ascii="Times New Roman" w:hAnsi="Times New Roman" w:cs="Times New Roman"/>
          <w:sz w:val="28"/>
          <w:szCs w:val="28"/>
        </w:rPr>
        <w:t xml:space="preserve"> noteikto pienākumu veikt darba laika reģistrāciju EDLUS – ieejot būvlaukumā, reģistrēt darba laika sākumu un, izejot no būvlaukuma, reģistrēt darba laika beigas. Izvērtējot nereģistrēto nodarbināto personu vidējo skaitu uz vienu būvlaukumu, kuros konstatēti nodarbināto nereģistrēšanās gadījumi, kā arī uz vienu pārbaudīto apakšuzņēmēju, konstatētas nelielas pozitīvas tendences, kas liecina par </w:t>
      </w:r>
      <w:r w:rsidR="00E52F9C" w:rsidRPr="00F82004">
        <w:rPr>
          <w:rFonts w:ascii="Times New Roman" w:hAnsi="Times New Roman" w:cs="Times New Roman"/>
          <w:sz w:val="28"/>
          <w:szCs w:val="28"/>
        </w:rPr>
        <w:t xml:space="preserve">reģistrācijas </w:t>
      </w:r>
      <w:r w:rsidRPr="00F82004">
        <w:rPr>
          <w:rFonts w:ascii="Times New Roman" w:hAnsi="Times New Roman" w:cs="Times New Roman"/>
          <w:sz w:val="28"/>
          <w:szCs w:val="28"/>
        </w:rPr>
        <w:t>EDLU</w:t>
      </w:r>
      <w:r w:rsidR="00E52F9C">
        <w:rPr>
          <w:rFonts w:ascii="Times New Roman" w:hAnsi="Times New Roman" w:cs="Times New Roman"/>
          <w:sz w:val="28"/>
          <w:szCs w:val="28"/>
        </w:rPr>
        <w:t>S</w:t>
      </w:r>
      <w:r w:rsidRPr="00F82004">
        <w:rPr>
          <w:rFonts w:ascii="Times New Roman" w:hAnsi="Times New Roman" w:cs="Times New Roman"/>
          <w:sz w:val="28"/>
          <w:szCs w:val="28"/>
        </w:rPr>
        <w:t xml:space="preserve"> paraduma nostiprināšanu nodarbināto vidū un uzlabojumiem apakšuzņēmēju vidū, nodrošinot savu darba ņēmēju reģistrēšanos EDLUS (skatīt </w:t>
      </w:r>
      <w:r w:rsidR="00E65335">
        <w:rPr>
          <w:rFonts w:ascii="Times New Roman" w:hAnsi="Times New Roman" w:cs="Times New Roman"/>
          <w:sz w:val="28"/>
          <w:szCs w:val="28"/>
        </w:rPr>
        <w:t>3.</w:t>
      </w:r>
      <w:r w:rsidRPr="00F82004">
        <w:rPr>
          <w:rFonts w:ascii="Times New Roman" w:hAnsi="Times New Roman" w:cs="Times New Roman"/>
          <w:sz w:val="28"/>
          <w:szCs w:val="28"/>
        </w:rPr>
        <w:t xml:space="preserve">tabulu). </w:t>
      </w:r>
    </w:p>
    <w:p w14:paraId="393DFECF" w14:textId="77777777" w:rsidR="001C3730" w:rsidRPr="00F82004" w:rsidRDefault="001C3730" w:rsidP="00FA5A60">
      <w:pPr>
        <w:pStyle w:val="NoSpacing"/>
        <w:spacing w:before="0"/>
        <w:ind w:firstLine="720"/>
        <w:jc w:val="both"/>
        <w:rPr>
          <w:rFonts w:ascii="Times New Roman" w:hAnsi="Times New Roman" w:cs="Times New Roman"/>
          <w:sz w:val="28"/>
          <w:szCs w:val="28"/>
        </w:rPr>
      </w:pPr>
    </w:p>
    <w:p w14:paraId="1A65306E" w14:textId="77777777" w:rsidR="00BE057E" w:rsidRPr="00F82004" w:rsidRDefault="00E65335" w:rsidP="00BE057E">
      <w:pPr>
        <w:pStyle w:val="NoSpacing"/>
        <w:spacing w:before="0"/>
        <w:ind w:firstLine="720"/>
        <w:jc w:val="right"/>
        <w:rPr>
          <w:rFonts w:ascii="Times New Roman" w:hAnsi="Times New Roman" w:cs="Times New Roman"/>
          <w:sz w:val="28"/>
          <w:szCs w:val="28"/>
        </w:rPr>
      </w:pPr>
      <w:r w:rsidRPr="00E65335">
        <w:rPr>
          <w:rFonts w:ascii="Times New Roman" w:hAnsi="Times New Roman" w:cs="Times New Roman"/>
          <w:sz w:val="28"/>
          <w:szCs w:val="28"/>
        </w:rPr>
        <w:t>3</w:t>
      </w:r>
      <w:r w:rsidR="00BE057E" w:rsidRPr="00E65335">
        <w:rPr>
          <w:rFonts w:ascii="Times New Roman" w:hAnsi="Times New Roman" w:cs="Times New Roman"/>
          <w:sz w:val="28"/>
          <w:szCs w:val="28"/>
        </w:rPr>
        <w:t>.ta</w:t>
      </w:r>
      <w:r w:rsidR="00BE057E" w:rsidRPr="00F82004">
        <w:rPr>
          <w:rFonts w:ascii="Times New Roman" w:hAnsi="Times New Roman" w:cs="Times New Roman"/>
          <w:sz w:val="28"/>
          <w:szCs w:val="28"/>
        </w:rPr>
        <w:t>bula</w:t>
      </w:r>
    </w:p>
    <w:p w14:paraId="36FFAEA6" w14:textId="77777777" w:rsidR="00BE057E" w:rsidRPr="00F82004" w:rsidRDefault="00BE057E" w:rsidP="00BE057E">
      <w:pPr>
        <w:pStyle w:val="NoSpacing"/>
        <w:spacing w:before="0"/>
        <w:jc w:val="center"/>
        <w:rPr>
          <w:rFonts w:ascii="Times New Roman" w:hAnsi="Times New Roman" w:cs="Times New Roman"/>
          <w:b/>
          <w:sz w:val="28"/>
          <w:szCs w:val="28"/>
        </w:rPr>
      </w:pPr>
      <w:r w:rsidRPr="00F82004">
        <w:rPr>
          <w:rFonts w:ascii="Times New Roman" w:hAnsi="Times New Roman" w:cs="Times New Roman"/>
          <w:b/>
          <w:sz w:val="28"/>
          <w:szCs w:val="28"/>
        </w:rPr>
        <w:t>Informācija par darba ņēmēju nereģistrēšanos EDLUS</w:t>
      </w:r>
    </w:p>
    <w:p w14:paraId="09DBE31C" w14:textId="77777777" w:rsidR="00BE057E" w:rsidRPr="00F82004" w:rsidRDefault="00BE057E" w:rsidP="00BE057E">
      <w:pPr>
        <w:pStyle w:val="NoSpacing"/>
        <w:spacing w:before="0"/>
        <w:jc w:val="center"/>
        <w:rPr>
          <w:rFonts w:ascii="Times New Roman" w:hAnsi="Times New Roman" w:cs="Times New Roman"/>
          <w:b/>
        </w:rPr>
      </w:pPr>
    </w:p>
    <w:tbl>
      <w:tblPr>
        <w:tblW w:w="8926" w:type="dxa"/>
        <w:tblInd w:w="-5" w:type="dxa"/>
        <w:tblLook w:val="04A0" w:firstRow="1" w:lastRow="0" w:firstColumn="1" w:lastColumn="0" w:noHBand="0" w:noVBand="1"/>
      </w:tblPr>
      <w:tblGrid>
        <w:gridCol w:w="4018"/>
        <w:gridCol w:w="1511"/>
        <w:gridCol w:w="1559"/>
        <w:gridCol w:w="1838"/>
      </w:tblGrid>
      <w:tr w:rsidR="00BE057E" w:rsidRPr="00C17302" w14:paraId="6AF8F989" w14:textId="77777777" w:rsidTr="00BE057E">
        <w:trPr>
          <w:trHeight w:val="600"/>
        </w:trPr>
        <w:tc>
          <w:tcPr>
            <w:tcW w:w="4018" w:type="dxa"/>
            <w:tcBorders>
              <w:top w:val="single" w:sz="4" w:space="0" w:color="auto"/>
              <w:left w:val="single" w:sz="4" w:space="0" w:color="auto"/>
              <w:bottom w:val="nil"/>
              <w:right w:val="single" w:sz="4" w:space="0" w:color="auto"/>
            </w:tcBorders>
            <w:shd w:val="clear" w:color="auto" w:fill="auto"/>
            <w:vAlign w:val="center"/>
            <w:hideMark/>
          </w:tcPr>
          <w:p w14:paraId="53A4639D" w14:textId="77777777" w:rsidR="00BE057E" w:rsidRPr="00F82004" w:rsidRDefault="00BE057E" w:rsidP="00BE057E">
            <w:pPr>
              <w:spacing w:before="0" w:after="0" w:line="240" w:lineRule="auto"/>
              <w:jc w:val="center"/>
              <w:rPr>
                <w:rFonts w:ascii="Times New Roman" w:eastAsia="Times New Roman" w:hAnsi="Times New Roman" w:cs="Times New Roman"/>
                <w:iCs/>
                <w:color w:val="000000"/>
                <w:lang w:eastAsia="lv-LV"/>
              </w:rPr>
            </w:pPr>
            <w:r w:rsidRPr="00F82004">
              <w:rPr>
                <w:rFonts w:ascii="Times New Roman" w:eastAsia="Times New Roman" w:hAnsi="Times New Roman" w:cs="Times New Roman"/>
                <w:iCs/>
                <w:color w:val="000000"/>
                <w:lang w:eastAsia="lv-LV"/>
              </w:rPr>
              <w:t>Konstatētie pārkāpumi</w:t>
            </w:r>
          </w:p>
        </w:tc>
        <w:tc>
          <w:tcPr>
            <w:tcW w:w="1511" w:type="dxa"/>
            <w:tcBorders>
              <w:top w:val="single" w:sz="4" w:space="0" w:color="auto"/>
              <w:left w:val="nil"/>
              <w:bottom w:val="nil"/>
              <w:right w:val="single" w:sz="4" w:space="0" w:color="auto"/>
            </w:tcBorders>
            <w:shd w:val="clear" w:color="auto" w:fill="auto"/>
            <w:vAlign w:val="center"/>
            <w:hideMark/>
          </w:tcPr>
          <w:p w14:paraId="648E71F3" w14:textId="77777777" w:rsidR="00BE057E" w:rsidRPr="00F82004" w:rsidRDefault="00BE057E" w:rsidP="00BE057E">
            <w:pPr>
              <w:spacing w:before="0" w:after="0" w:line="240" w:lineRule="auto"/>
              <w:jc w:val="center"/>
              <w:rPr>
                <w:rFonts w:ascii="Times New Roman" w:eastAsia="Times New Roman" w:hAnsi="Times New Roman" w:cs="Times New Roman"/>
                <w:color w:val="000000"/>
                <w:lang w:eastAsia="lv-LV"/>
              </w:rPr>
            </w:pPr>
            <w:r w:rsidRPr="00F82004">
              <w:rPr>
                <w:rFonts w:ascii="Times New Roman" w:eastAsia="Times New Roman" w:hAnsi="Times New Roman" w:cs="Times New Roman"/>
                <w:color w:val="000000"/>
                <w:lang w:eastAsia="lv-LV"/>
              </w:rPr>
              <w:t>2018.gads</w:t>
            </w:r>
          </w:p>
        </w:tc>
        <w:tc>
          <w:tcPr>
            <w:tcW w:w="1559" w:type="dxa"/>
            <w:tcBorders>
              <w:top w:val="single" w:sz="4" w:space="0" w:color="auto"/>
              <w:left w:val="nil"/>
              <w:bottom w:val="nil"/>
              <w:right w:val="single" w:sz="4" w:space="0" w:color="auto"/>
            </w:tcBorders>
            <w:shd w:val="clear" w:color="auto" w:fill="auto"/>
            <w:vAlign w:val="center"/>
            <w:hideMark/>
          </w:tcPr>
          <w:p w14:paraId="47B6510B" w14:textId="77777777" w:rsidR="00BE057E" w:rsidRPr="00F82004" w:rsidRDefault="00BE057E" w:rsidP="00BE057E">
            <w:pPr>
              <w:spacing w:before="0" w:after="0" w:line="240" w:lineRule="auto"/>
              <w:jc w:val="center"/>
              <w:rPr>
                <w:rFonts w:ascii="Times New Roman" w:eastAsia="Times New Roman" w:hAnsi="Times New Roman" w:cs="Times New Roman"/>
                <w:color w:val="000000"/>
                <w:lang w:eastAsia="lv-LV"/>
              </w:rPr>
            </w:pPr>
            <w:r w:rsidRPr="00F82004">
              <w:rPr>
                <w:rFonts w:ascii="Times New Roman" w:eastAsia="Times New Roman" w:hAnsi="Times New Roman" w:cs="Times New Roman"/>
                <w:color w:val="000000"/>
                <w:lang w:eastAsia="lv-LV"/>
              </w:rPr>
              <w:t>2019.gads</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14:paraId="384FDDB3" w14:textId="77777777" w:rsidR="00BE057E" w:rsidRPr="00F82004" w:rsidRDefault="00BE057E" w:rsidP="00BE057E">
            <w:pPr>
              <w:spacing w:before="0" w:after="0" w:line="240" w:lineRule="auto"/>
              <w:jc w:val="center"/>
              <w:rPr>
                <w:rFonts w:ascii="Times New Roman" w:eastAsia="Times New Roman" w:hAnsi="Times New Roman" w:cs="Times New Roman"/>
                <w:lang w:eastAsia="lv-LV"/>
              </w:rPr>
            </w:pPr>
            <w:r w:rsidRPr="00F82004">
              <w:rPr>
                <w:rFonts w:ascii="Times New Roman" w:eastAsia="Times New Roman" w:hAnsi="Times New Roman" w:cs="Times New Roman"/>
                <w:lang w:eastAsia="lv-LV"/>
              </w:rPr>
              <w:t>Samazinājums, vidēj</w:t>
            </w:r>
            <w:r w:rsidR="007A4387">
              <w:rPr>
                <w:rFonts w:ascii="Times New Roman" w:eastAsia="Times New Roman" w:hAnsi="Times New Roman" w:cs="Times New Roman"/>
                <w:lang w:eastAsia="lv-LV"/>
              </w:rPr>
              <w:t>ais</w:t>
            </w:r>
            <w:r w:rsidRPr="00F82004">
              <w:rPr>
                <w:rFonts w:ascii="Times New Roman" w:eastAsia="Times New Roman" w:hAnsi="Times New Roman" w:cs="Times New Roman"/>
                <w:lang w:eastAsia="lv-LV"/>
              </w:rPr>
              <w:t xml:space="preserve"> skaits</w:t>
            </w:r>
          </w:p>
        </w:tc>
      </w:tr>
      <w:tr w:rsidR="00BE057E" w:rsidRPr="00C17302" w14:paraId="02703B0B" w14:textId="77777777" w:rsidTr="00BE057E">
        <w:trPr>
          <w:trHeight w:val="575"/>
        </w:trPr>
        <w:tc>
          <w:tcPr>
            <w:tcW w:w="4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9F0FB" w14:textId="77777777" w:rsidR="00BE057E" w:rsidRPr="00F82004" w:rsidRDefault="00BE057E" w:rsidP="00BE057E">
            <w:pPr>
              <w:spacing w:before="0" w:after="0" w:line="240" w:lineRule="auto"/>
              <w:jc w:val="both"/>
              <w:rPr>
                <w:rFonts w:ascii="Times New Roman" w:eastAsia="Times New Roman" w:hAnsi="Times New Roman" w:cs="Times New Roman"/>
                <w:iCs/>
                <w:color w:val="000000"/>
                <w:lang w:eastAsia="lv-LV"/>
              </w:rPr>
            </w:pPr>
            <w:r w:rsidRPr="00F82004">
              <w:rPr>
                <w:rFonts w:ascii="Times New Roman" w:eastAsia="Times New Roman" w:hAnsi="Times New Roman" w:cs="Times New Roman"/>
                <w:iCs/>
                <w:color w:val="000000"/>
                <w:lang w:eastAsia="lv-LV"/>
              </w:rPr>
              <w:t>Vidēj</w:t>
            </w:r>
            <w:r w:rsidR="007A4387">
              <w:rPr>
                <w:rFonts w:ascii="Times New Roman" w:eastAsia="Times New Roman" w:hAnsi="Times New Roman" w:cs="Times New Roman"/>
                <w:iCs/>
                <w:color w:val="000000"/>
                <w:lang w:eastAsia="lv-LV"/>
              </w:rPr>
              <w:t>ais</w:t>
            </w:r>
            <w:r w:rsidRPr="00F82004">
              <w:rPr>
                <w:rFonts w:ascii="Times New Roman" w:eastAsia="Times New Roman" w:hAnsi="Times New Roman" w:cs="Times New Roman"/>
                <w:iCs/>
                <w:color w:val="000000"/>
                <w:lang w:eastAsia="lv-LV"/>
              </w:rPr>
              <w:t xml:space="preserve"> nereģistrēto darba ņēmēju skaits uz vienu būvlaukumu</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02EEC2E6" w14:textId="77777777" w:rsidR="00BE057E" w:rsidRPr="00F82004" w:rsidRDefault="00BE057E" w:rsidP="00BE057E">
            <w:pPr>
              <w:spacing w:before="0" w:after="0" w:line="240" w:lineRule="auto"/>
              <w:jc w:val="center"/>
              <w:rPr>
                <w:rFonts w:ascii="Times New Roman" w:eastAsia="Times New Roman" w:hAnsi="Times New Roman" w:cs="Times New Roman"/>
                <w:lang w:eastAsia="lv-LV"/>
              </w:rPr>
            </w:pPr>
            <w:r w:rsidRPr="00F82004">
              <w:rPr>
                <w:rFonts w:ascii="Times New Roman" w:eastAsia="Times New Roman" w:hAnsi="Times New Roman" w:cs="Times New Roman"/>
                <w:lang w:eastAsia="lv-LV"/>
              </w:rPr>
              <w:t>4,63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B7B2D2" w14:textId="77777777" w:rsidR="00BE057E" w:rsidRPr="00F82004" w:rsidRDefault="00BE057E" w:rsidP="00BE057E">
            <w:pPr>
              <w:spacing w:before="0" w:after="0" w:line="240" w:lineRule="auto"/>
              <w:jc w:val="center"/>
              <w:rPr>
                <w:rFonts w:ascii="Times New Roman" w:eastAsia="Times New Roman" w:hAnsi="Times New Roman" w:cs="Times New Roman"/>
                <w:color w:val="000000"/>
                <w:lang w:eastAsia="lv-LV"/>
              </w:rPr>
            </w:pPr>
            <w:r w:rsidRPr="00F82004">
              <w:rPr>
                <w:rFonts w:ascii="Times New Roman" w:eastAsia="Times New Roman" w:hAnsi="Times New Roman" w:cs="Times New Roman"/>
                <w:color w:val="000000"/>
                <w:lang w:eastAsia="lv-LV"/>
              </w:rPr>
              <w:t>4,34</w:t>
            </w:r>
          </w:p>
        </w:tc>
        <w:tc>
          <w:tcPr>
            <w:tcW w:w="1838" w:type="dxa"/>
            <w:tcBorders>
              <w:top w:val="nil"/>
              <w:left w:val="nil"/>
              <w:bottom w:val="single" w:sz="4" w:space="0" w:color="auto"/>
              <w:right w:val="single" w:sz="4" w:space="0" w:color="auto"/>
            </w:tcBorders>
            <w:shd w:val="clear" w:color="auto" w:fill="auto"/>
            <w:vAlign w:val="center"/>
            <w:hideMark/>
          </w:tcPr>
          <w:p w14:paraId="4E53DDC9" w14:textId="77777777" w:rsidR="00BE057E" w:rsidRPr="00F82004" w:rsidRDefault="007A4387" w:rsidP="00BE057E">
            <w:pPr>
              <w:spacing w:before="0"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BE057E" w:rsidRPr="00F82004">
              <w:rPr>
                <w:rFonts w:ascii="Times New Roman" w:eastAsia="Times New Roman" w:hAnsi="Times New Roman" w:cs="Times New Roman"/>
                <w:lang w:eastAsia="lv-LV"/>
              </w:rPr>
              <w:t>0,3</w:t>
            </w:r>
          </w:p>
        </w:tc>
      </w:tr>
      <w:tr w:rsidR="00BE057E" w:rsidRPr="00C17302" w14:paraId="3145B1A1" w14:textId="77777777" w:rsidTr="00BE057E">
        <w:trPr>
          <w:trHeight w:val="480"/>
        </w:trPr>
        <w:tc>
          <w:tcPr>
            <w:tcW w:w="4018" w:type="dxa"/>
            <w:tcBorders>
              <w:top w:val="nil"/>
              <w:left w:val="single" w:sz="4" w:space="0" w:color="auto"/>
              <w:bottom w:val="single" w:sz="4" w:space="0" w:color="auto"/>
              <w:right w:val="single" w:sz="4" w:space="0" w:color="auto"/>
            </w:tcBorders>
            <w:shd w:val="clear" w:color="auto" w:fill="auto"/>
            <w:noWrap/>
            <w:vAlign w:val="center"/>
            <w:hideMark/>
          </w:tcPr>
          <w:p w14:paraId="2695D25D" w14:textId="77777777" w:rsidR="00BE057E" w:rsidRPr="00F82004" w:rsidRDefault="00BE057E" w:rsidP="00BE057E">
            <w:pPr>
              <w:spacing w:before="0" w:after="0" w:line="240" w:lineRule="auto"/>
              <w:jc w:val="both"/>
              <w:rPr>
                <w:rFonts w:ascii="Times New Roman" w:eastAsia="Times New Roman" w:hAnsi="Times New Roman" w:cs="Times New Roman"/>
                <w:iCs/>
                <w:color w:val="000000"/>
                <w:lang w:eastAsia="lv-LV"/>
              </w:rPr>
            </w:pPr>
            <w:r w:rsidRPr="00F82004">
              <w:rPr>
                <w:rFonts w:ascii="Times New Roman" w:eastAsia="Times New Roman" w:hAnsi="Times New Roman" w:cs="Times New Roman"/>
                <w:iCs/>
                <w:color w:val="000000"/>
                <w:lang w:eastAsia="lv-LV"/>
              </w:rPr>
              <w:t>Vidēj</w:t>
            </w:r>
            <w:r w:rsidR="007A4387">
              <w:rPr>
                <w:rFonts w:ascii="Times New Roman" w:eastAsia="Times New Roman" w:hAnsi="Times New Roman" w:cs="Times New Roman"/>
                <w:iCs/>
                <w:color w:val="000000"/>
                <w:lang w:eastAsia="lv-LV"/>
              </w:rPr>
              <w:t>ais</w:t>
            </w:r>
            <w:r w:rsidRPr="00F82004">
              <w:rPr>
                <w:rFonts w:ascii="Times New Roman" w:eastAsia="Times New Roman" w:hAnsi="Times New Roman" w:cs="Times New Roman"/>
                <w:iCs/>
                <w:color w:val="000000"/>
                <w:lang w:eastAsia="lv-LV"/>
              </w:rPr>
              <w:t xml:space="preserve"> nereģistrēto apakšuzņēmumu darba ņēmēju skaits uz vienu būvlaukumu</w:t>
            </w:r>
          </w:p>
        </w:tc>
        <w:tc>
          <w:tcPr>
            <w:tcW w:w="1511" w:type="dxa"/>
            <w:tcBorders>
              <w:top w:val="nil"/>
              <w:left w:val="nil"/>
              <w:bottom w:val="single" w:sz="4" w:space="0" w:color="auto"/>
              <w:right w:val="single" w:sz="4" w:space="0" w:color="auto"/>
            </w:tcBorders>
            <w:shd w:val="clear" w:color="auto" w:fill="auto"/>
            <w:vAlign w:val="center"/>
            <w:hideMark/>
          </w:tcPr>
          <w:p w14:paraId="5CB40A8F" w14:textId="77777777" w:rsidR="00BE057E" w:rsidRPr="00F82004" w:rsidRDefault="00BE057E" w:rsidP="00BE057E">
            <w:pPr>
              <w:spacing w:before="0" w:after="0" w:line="240" w:lineRule="auto"/>
              <w:jc w:val="center"/>
              <w:rPr>
                <w:rFonts w:ascii="Times New Roman" w:eastAsia="Times New Roman" w:hAnsi="Times New Roman" w:cs="Times New Roman"/>
                <w:color w:val="000000"/>
                <w:lang w:eastAsia="lv-LV"/>
              </w:rPr>
            </w:pPr>
            <w:r w:rsidRPr="00F82004">
              <w:rPr>
                <w:rFonts w:ascii="Times New Roman" w:eastAsia="Times New Roman" w:hAnsi="Times New Roman" w:cs="Times New Roman"/>
                <w:color w:val="000000"/>
                <w:lang w:eastAsia="lv-LV"/>
              </w:rPr>
              <w:t>4,71</w:t>
            </w:r>
          </w:p>
        </w:tc>
        <w:tc>
          <w:tcPr>
            <w:tcW w:w="1559" w:type="dxa"/>
            <w:tcBorders>
              <w:top w:val="nil"/>
              <w:left w:val="nil"/>
              <w:bottom w:val="single" w:sz="4" w:space="0" w:color="auto"/>
              <w:right w:val="single" w:sz="4" w:space="0" w:color="auto"/>
            </w:tcBorders>
            <w:shd w:val="clear" w:color="auto" w:fill="auto"/>
            <w:noWrap/>
            <w:vAlign w:val="center"/>
            <w:hideMark/>
          </w:tcPr>
          <w:p w14:paraId="0205F974" w14:textId="77777777" w:rsidR="00BE057E" w:rsidRPr="00F82004" w:rsidRDefault="00BE057E" w:rsidP="00BE057E">
            <w:pPr>
              <w:spacing w:before="0" w:after="0" w:line="240" w:lineRule="auto"/>
              <w:jc w:val="center"/>
              <w:rPr>
                <w:rFonts w:ascii="Times New Roman" w:eastAsia="Times New Roman" w:hAnsi="Times New Roman" w:cs="Times New Roman"/>
                <w:lang w:eastAsia="lv-LV"/>
              </w:rPr>
            </w:pPr>
            <w:r w:rsidRPr="00F82004">
              <w:rPr>
                <w:rFonts w:ascii="Times New Roman" w:eastAsia="Times New Roman" w:hAnsi="Times New Roman" w:cs="Times New Roman"/>
                <w:lang w:eastAsia="lv-LV"/>
              </w:rPr>
              <w:t>4,32</w:t>
            </w:r>
          </w:p>
        </w:tc>
        <w:tc>
          <w:tcPr>
            <w:tcW w:w="1838" w:type="dxa"/>
            <w:tcBorders>
              <w:top w:val="nil"/>
              <w:left w:val="nil"/>
              <w:bottom w:val="single" w:sz="4" w:space="0" w:color="auto"/>
              <w:right w:val="single" w:sz="4" w:space="0" w:color="auto"/>
            </w:tcBorders>
            <w:shd w:val="clear" w:color="auto" w:fill="auto"/>
            <w:noWrap/>
            <w:vAlign w:val="center"/>
            <w:hideMark/>
          </w:tcPr>
          <w:p w14:paraId="3A3F8107" w14:textId="77777777" w:rsidR="00BE057E" w:rsidRPr="00F82004" w:rsidRDefault="007A4387" w:rsidP="00BE057E">
            <w:pPr>
              <w:spacing w:before="0"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BE057E" w:rsidRPr="00F82004">
              <w:rPr>
                <w:rFonts w:ascii="Times New Roman" w:eastAsia="Times New Roman" w:hAnsi="Times New Roman" w:cs="Times New Roman"/>
                <w:lang w:eastAsia="lv-LV"/>
              </w:rPr>
              <w:t>0,4</w:t>
            </w:r>
          </w:p>
        </w:tc>
      </w:tr>
      <w:tr w:rsidR="00BE057E" w:rsidRPr="00C17302" w14:paraId="51402430" w14:textId="77777777" w:rsidTr="00BE057E">
        <w:trPr>
          <w:trHeight w:val="480"/>
        </w:trPr>
        <w:tc>
          <w:tcPr>
            <w:tcW w:w="4018" w:type="dxa"/>
            <w:tcBorders>
              <w:top w:val="nil"/>
              <w:left w:val="single" w:sz="4" w:space="0" w:color="auto"/>
              <w:bottom w:val="single" w:sz="4" w:space="0" w:color="auto"/>
              <w:right w:val="single" w:sz="4" w:space="0" w:color="auto"/>
            </w:tcBorders>
            <w:shd w:val="clear" w:color="auto" w:fill="auto"/>
            <w:noWrap/>
            <w:vAlign w:val="center"/>
            <w:hideMark/>
          </w:tcPr>
          <w:p w14:paraId="59BC2DED" w14:textId="77777777" w:rsidR="00BE057E" w:rsidRPr="00F82004" w:rsidRDefault="00BE057E" w:rsidP="00BE057E">
            <w:pPr>
              <w:spacing w:before="0" w:after="0" w:line="240" w:lineRule="auto"/>
              <w:jc w:val="both"/>
              <w:rPr>
                <w:rFonts w:ascii="Times New Roman" w:eastAsia="Times New Roman" w:hAnsi="Times New Roman" w:cs="Times New Roman"/>
                <w:iCs/>
                <w:color w:val="000000"/>
                <w:lang w:eastAsia="lv-LV"/>
              </w:rPr>
            </w:pPr>
            <w:r w:rsidRPr="00F82004">
              <w:rPr>
                <w:rFonts w:ascii="Times New Roman" w:eastAsia="Times New Roman" w:hAnsi="Times New Roman" w:cs="Times New Roman"/>
                <w:iCs/>
                <w:color w:val="000000"/>
                <w:lang w:eastAsia="lv-LV"/>
              </w:rPr>
              <w:t>Vidēj</w:t>
            </w:r>
            <w:r w:rsidR="007A4387">
              <w:rPr>
                <w:rFonts w:ascii="Times New Roman" w:eastAsia="Times New Roman" w:hAnsi="Times New Roman" w:cs="Times New Roman"/>
                <w:iCs/>
                <w:color w:val="000000"/>
                <w:lang w:eastAsia="lv-LV"/>
              </w:rPr>
              <w:t>ais</w:t>
            </w:r>
            <w:r w:rsidRPr="00F82004">
              <w:rPr>
                <w:rFonts w:ascii="Times New Roman" w:eastAsia="Times New Roman" w:hAnsi="Times New Roman" w:cs="Times New Roman"/>
                <w:iCs/>
                <w:color w:val="000000"/>
                <w:lang w:eastAsia="lv-LV"/>
              </w:rPr>
              <w:t xml:space="preserve"> nereģistrēto apakšuzņēmumu darba ņēmēju skaits uz vienu apakšuzņēmumu</w:t>
            </w:r>
          </w:p>
        </w:tc>
        <w:tc>
          <w:tcPr>
            <w:tcW w:w="1511" w:type="dxa"/>
            <w:tcBorders>
              <w:top w:val="nil"/>
              <w:left w:val="nil"/>
              <w:bottom w:val="single" w:sz="4" w:space="0" w:color="auto"/>
              <w:right w:val="single" w:sz="4" w:space="0" w:color="auto"/>
            </w:tcBorders>
            <w:shd w:val="clear" w:color="auto" w:fill="auto"/>
            <w:noWrap/>
            <w:vAlign w:val="center"/>
            <w:hideMark/>
          </w:tcPr>
          <w:p w14:paraId="233ABF08" w14:textId="77777777" w:rsidR="00BE057E" w:rsidRPr="00F82004" w:rsidRDefault="00BE057E" w:rsidP="00BE057E">
            <w:pPr>
              <w:spacing w:before="0" w:after="0" w:line="240" w:lineRule="auto"/>
              <w:jc w:val="center"/>
              <w:rPr>
                <w:rFonts w:ascii="Times New Roman" w:eastAsia="Times New Roman" w:hAnsi="Times New Roman" w:cs="Times New Roman"/>
                <w:lang w:eastAsia="lv-LV"/>
              </w:rPr>
            </w:pPr>
            <w:r w:rsidRPr="00F82004">
              <w:rPr>
                <w:rFonts w:ascii="Times New Roman" w:eastAsia="Times New Roman" w:hAnsi="Times New Roman" w:cs="Times New Roman"/>
                <w:lang w:eastAsia="lv-LV"/>
              </w:rPr>
              <w:t>0,35</w:t>
            </w:r>
          </w:p>
        </w:tc>
        <w:tc>
          <w:tcPr>
            <w:tcW w:w="1559" w:type="dxa"/>
            <w:tcBorders>
              <w:top w:val="nil"/>
              <w:left w:val="nil"/>
              <w:bottom w:val="single" w:sz="4" w:space="0" w:color="auto"/>
              <w:right w:val="single" w:sz="4" w:space="0" w:color="auto"/>
            </w:tcBorders>
            <w:shd w:val="clear" w:color="auto" w:fill="auto"/>
            <w:noWrap/>
            <w:vAlign w:val="center"/>
            <w:hideMark/>
          </w:tcPr>
          <w:p w14:paraId="1FBF58E5" w14:textId="77777777" w:rsidR="00BE057E" w:rsidRPr="00F82004" w:rsidRDefault="00BE057E" w:rsidP="00BE057E">
            <w:pPr>
              <w:spacing w:before="0" w:after="0" w:line="240" w:lineRule="auto"/>
              <w:jc w:val="center"/>
              <w:rPr>
                <w:rFonts w:ascii="Times New Roman" w:eastAsia="Times New Roman" w:hAnsi="Times New Roman" w:cs="Times New Roman"/>
                <w:lang w:eastAsia="lv-LV"/>
              </w:rPr>
            </w:pPr>
            <w:r w:rsidRPr="00F82004">
              <w:rPr>
                <w:rFonts w:ascii="Times New Roman" w:eastAsia="Times New Roman" w:hAnsi="Times New Roman" w:cs="Times New Roman"/>
                <w:lang w:eastAsia="lv-LV"/>
              </w:rPr>
              <w:t>0,07</w:t>
            </w:r>
          </w:p>
        </w:tc>
        <w:tc>
          <w:tcPr>
            <w:tcW w:w="1838" w:type="dxa"/>
            <w:tcBorders>
              <w:top w:val="nil"/>
              <w:left w:val="nil"/>
              <w:bottom w:val="single" w:sz="4" w:space="0" w:color="auto"/>
              <w:right w:val="single" w:sz="4" w:space="0" w:color="auto"/>
            </w:tcBorders>
            <w:shd w:val="clear" w:color="auto" w:fill="auto"/>
            <w:noWrap/>
            <w:vAlign w:val="center"/>
            <w:hideMark/>
          </w:tcPr>
          <w:p w14:paraId="0AC20B82" w14:textId="77777777" w:rsidR="00BE057E" w:rsidRPr="00F82004" w:rsidRDefault="007A4387" w:rsidP="00BE057E">
            <w:pPr>
              <w:spacing w:before="0"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BE057E" w:rsidRPr="00F82004">
              <w:rPr>
                <w:rFonts w:ascii="Times New Roman" w:eastAsia="Times New Roman" w:hAnsi="Times New Roman" w:cs="Times New Roman"/>
                <w:lang w:eastAsia="lv-LV"/>
              </w:rPr>
              <w:t>0,3</w:t>
            </w:r>
          </w:p>
        </w:tc>
      </w:tr>
    </w:tbl>
    <w:p w14:paraId="24B9147D" w14:textId="77777777" w:rsidR="001C3730" w:rsidRDefault="001C3730" w:rsidP="00BE057E">
      <w:pPr>
        <w:spacing w:before="0" w:after="0" w:line="240" w:lineRule="auto"/>
        <w:ind w:firstLine="720"/>
        <w:jc w:val="both"/>
        <w:rPr>
          <w:rFonts w:ascii="Times New Roman" w:hAnsi="Times New Roman" w:cs="Times New Roman"/>
          <w:sz w:val="28"/>
          <w:szCs w:val="28"/>
        </w:rPr>
      </w:pPr>
    </w:p>
    <w:p w14:paraId="6B53CB16" w14:textId="77777777" w:rsidR="00BE057E" w:rsidRDefault="00BE057E" w:rsidP="007A4387">
      <w:pPr>
        <w:spacing w:before="0" w:after="0" w:line="240" w:lineRule="auto"/>
        <w:ind w:firstLine="720"/>
        <w:jc w:val="both"/>
        <w:rPr>
          <w:rFonts w:ascii="Times New Roman" w:hAnsi="Times New Roman" w:cs="Times New Roman"/>
          <w:sz w:val="28"/>
          <w:szCs w:val="28"/>
        </w:rPr>
      </w:pPr>
      <w:r w:rsidRPr="00F82004">
        <w:rPr>
          <w:rFonts w:ascii="Times New Roman" w:hAnsi="Times New Roman" w:cs="Times New Roman"/>
          <w:sz w:val="28"/>
          <w:szCs w:val="28"/>
        </w:rPr>
        <w:t>Salīdzinot 2018.</w:t>
      </w:r>
      <w:r w:rsidR="000C4239">
        <w:rPr>
          <w:rFonts w:ascii="Times New Roman" w:hAnsi="Times New Roman" w:cs="Times New Roman"/>
          <w:sz w:val="28"/>
          <w:szCs w:val="28"/>
        </w:rPr>
        <w:t xml:space="preserve"> un</w:t>
      </w:r>
      <w:r w:rsidRPr="00F82004">
        <w:rPr>
          <w:rFonts w:ascii="Times New Roman" w:hAnsi="Times New Roman" w:cs="Times New Roman"/>
          <w:sz w:val="28"/>
          <w:szCs w:val="28"/>
        </w:rPr>
        <w:t xml:space="preserve"> 2019.gada rādītājus par pienākuma reģistrēt darba laiku EDLUS</w:t>
      </w:r>
      <w:r w:rsidR="007A4387" w:rsidRPr="007A4387">
        <w:rPr>
          <w:rFonts w:ascii="Times New Roman" w:hAnsi="Times New Roman" w:cs="Times New Roman"/>
          <w:sz w:val="28"/>
          <w:szCs w:val="28"/>
        </w:rPr>
        <w:t xml:space="preserve"> </w:t>
      </w:r>
      <w:r w:rsidR="007A4387" w:rsidRPr="00F82004">
        <w:rPr>
          <w:rFonts w:ascii="Times New Roman" w:hAnsi="Times New Roman" w:cs="Times New Roman"/>
          <w:sz w:val="28"/>
          <w:szCs w:val="28"/>
        </w:rPr>
        <w:t>nepildīšanu</w:t>
      </w:r>
      <w:r w:rsidR="000C4239">
        <w:rPr>
          <w:rFonts w:ascii="Times New Roman" w:hAnsi="Times New Roman" w:cs="Times New Roman"/>
          <w:sz w:val="28"/>
          <w:szCs w:val="28"/>
        </w:rPr>
        <w:t>,</w:t>
      </w:r>
      <w:r w:rsidRPr="00F82004">
        <w:rPr>
          <w:rFonts w:ascii="Times New Roman" w:hAnsi="Times New Roman" w:cs="Times New Roman"/>
          <w:sz w:val="28"/>
          <w:szCs w:val="28"/>
        </w:rPr>
        <w:t xml:space="preserve"> secināts, ka galvenajiem būvdarbu veicējiem un apakšuzņēmējiem jāstiprina kontrole, lai t</w:t>
      </w:r>
      <w:r w:rsidR="007A4387">
        <w:rPr>
          <w:rFonts w:ascii="Times New Roman" w:hAnsi="Times New Roman" w:cs="Times New Roman"/>
          <w:sz w:val="28"/>
          <w:szCs w:val="28"/>
        </w:rPr>
        <w:t>o</w:t>
      </w:r>
      <w:r w:rsidRPr="00F82004">
        <w:rPr>
          <w:rFonts w:ascii="Times New Roman" w:hAnsi="Times New Roman" w:cs="Times New Roman"/>
          <w:sz w:val="28"/>
          <w:szCs w:val="28"/>
        </w:rPr>
        <w:t xml:space="preserve"> darba ņēmēji un piesaistītās personas, kas būvlaukumā veic darbus būvdarbu līguma izpildei, reģistrētu savu darba laiku EDLUS. VID, aptaujājot būvlaukumā nodarbinātos, kas nav reģistrējušies EDLUS, pielietojot </w:t>
      </w:r>
      <w:r w:rsidR="007A4387">
        <w:rPr>
          <w:rFonts w:ascii="Times New Roman" w:hAnsi="Times New Roman" w:cs="Times New Roman"/>
          <w:sz w:val="28"/>
          <w:szCs w:val="28"/>
        </w:rPr>
        <w:t xml:space="preserve">principu </w:t>
      </w:r>
      <w:r w:rsidR="003E12D1">
        <w:rPr>
          <w:rFonts w:ascii="Times New Roman" w:hAnsi="Times New Roman" w:cs="Times New Roman"/>
          <w:sz w:val="28"/>
          <w:szCs w:val="28"/>
        </w:rPr>
        <w:t>“</w:t>
      </w:r>
      <w:r w:rsidRPr="00F82004">
        <w:rPr>
          <w:rFonts w:ascii="Times New Roman" w:hAnsi="Times New Roman" w:cs="Times New Roman"/>
          <w:sz w:val="28"/>
          <w:szCs w:val="28"/>
        </w:rPr>
        <w:t>Konsultē vispirms</w:t>
      </w:r>
      <w:r w:rsidR="003E12D1">
        <w:rPr>
          <w:rFonts w:ascii="Times New Roman" w:hAnsi="Times New Roman" w:cs="Times New Roman"/>
          <w:sz w:val="28"/>
          <w:szCs w:val="28"/>
        </w:rPr>
        <w:t>”</w:t>
      </w:r>
      <w:r w:rsidRPr="00F82004">
        <w:rPr>
          <w:rFonts w:ascii="Times New Roman" w:hAnsi="Times New Roman" w:cs="Times New Roman"/>
          <w:sz w:val="28"/>
          <w:szCs w:val="28"/>
        </w:rPr>
        <w:t>,</w:t>
      </w:r>
      <w:r w:rsidRPr="00F82004" w:rsidDel="002621C0">
        <w:rPr>
          <w:rFonts w:ascii="Times New Roman" w:hAnsi="Times New Roman" w:cs="Times New Roman"/>
          <w:sz w:val="28"/>
          <w:szCs w:val="28"/>
        </w:rPr>
        <w:t xml:space="preserve"> </w:t>
      </w:r>
      <w:r w:rsidRPr="00F82004">
        <w:rPr>
          <w:rFonts w:ascii="Times New Roman" w:hAnsi="Times New Roman" w:cs="Times New Roman"/>
          <w:sz w:val="28"/>
          <w:szCs w:val="28"/>
        </w:rPr>
        <w:t>informēja galvenos būvdarbu veicējus un apakšuzņēmējus par konstatētajām neatbilstībām.</w:t>
      </w:r>
      <w:r>
        <w:rPr>
          <w:rFonts w:ascii="Times New Roman" w:hAnsi="Times New Roman" w:cs="Times New Roman"/>
          <w:sz w:val="28"/>
          <w:szCs w:val="28"/>
        </w:rPr>
        <w:t xml:space="preserve">  </w:t>
      </w:r>
    </w:p>
    <w:p w14:paraId="08A2F65E" w14:textId="77777777" w:rsidR="00D937B6" w:rsidRDefault="00A64E73" w:rsidP="007A4387">
      <w:pPr>
        <w:spacing w:before="0" w:after="0" w:line="240" w:lineRule="auto"/>
        <w:ind w:firstLine="720"/>
        <w:jc w:val="both"/>
        <w:rPr>
          <w:rFonts w:ascii="Times New Roman" w:hAnsi="Times New Roman" w:cs="Times New Roman"/>
          <w:sz w:val="28"/>
          <w:szCs w:val="28"/>
        </w:rPr>
      </w:pPr>
      <w:r w:rsidRPr="009933C1">
        <w:rPr>
          <w:rFonts w:ascii="Times New Roman" w:hAnsi="Times New Roman" w:cs="Times New Roman"/>
          <w:sz w:val="28"/>
          <w:szCs w:val="28"/>
        </w:rPr>
        <w:t xml:space="preserve">Lai novērtētu būvuzņēmēju </w:t>
      </w:r>
      <w:r w:rsidR="007A4387">
        <w:rPr>
          <w:rFonts w:ascii="Times New Roman" w:hAnsi="Times New Roman" w:cs="Times New Roman"/>
          <w:sz w:val="28"/>
          <w:szCs w:val="28"/>
        </w:rPr>
        <w:t>EDLU</w:t>
      </w:r>
      <w:r w:rsidR="00252106">
        <w:rPr>
          <w:rFonts w:ascii="Times New Roman" w:hAnsi="Times New Roman" w:cs="Times New Roman"/>
          <w:sz w:val="28"/>
          <w:szCs w:val="28"/>
        </w:rPr>
        <w:t xml:space="preserve"> regulējuma </w:t>
      </w:r>
      <w:r w:rsidRPr="009933C1">
        <w:rPr>
          <w:rFonts w:ascii="Times New Roman" w:hAnsi="Times New Roman" w:cs="Times New Roman"/>
          <w:sz w:val="28"/>
          <w:szCs w:val="28"/>
        </w:rPr>
        <w:t xml:space="preserve">ievērošanu, tajā skaitā pienākumu reģistrēties </w:t>
      </w:r>
      <w:r w:rsidR="00E742C4">
        <w:rPr>
          <w:rFonts w:ascii="Times New Roman" w:hAnsi="Times New Roman" w:cs="Times New Roman"/>
          <w:sz w:val="28"/>
          <w:szCs w:val="28"/>
        </w:rPr>
        <w:t>EDLUS,</w:t>
      </w:r>
      <w:r w:rsidRPr="009933C1">
        <w:rPr>
          <w:rFonts w:ascii="Times New Roman" w:hAnsi="Times New Roman" w:cs="Times New Roman"/>
          <w:sz w:val="28"/>
          <w:szCs w:val="28"/>
        </w:rPr>
        <w:t xml:space="preserve"> ieejot būvlaukumā, </w:t>
      </w:r>
      <w:r w:rsidR="00E742C4">
        <w:rPr>
          <w:rFonts w:ascii="Times New Roman" w:hAnsi="Times New Roman" w:cs="Times New Roman"/>
          <w:sz w:val="28"/>
          <w:szCs w:val="28"/>
        </w:rPr>
        <w:t>apkopota</w:t>
      </w:r>
      <w:r w:rsidRPr="009933C1">
        <w:rPr>
          <w:rFonts w:ascii="Times New Roman" w:hAnsi="Times New Roman" w:cs="Times New Roman"/>
          <w:sz w:val="28"/>
          <w:szCs w:val="28"/>
        </w:rPr>
        <w:t xml:space="preserve"> informācija par 2018.</w:t>
      </w:r>
      <w:r w:rsidR="007A4387">
        <w:rPr>
          <w:rFonts w:ascii="Times New Roman" w:hAnsi="Times New Roman" w:cs="Times New Roman"/>
          <w:sz w:val="28"/>
          <w:szCs w:val="28"/>
        </w:rPr>
        <w:t> </w:t>
      </w:r>
      <w:r w:rsidRPr="009933C1">
        <w:rPr>
          <w:rFonts w:ascii="Times New Roman" w:hAnsi="Times New Roman" w:cs="Times New Roman"/>
          <w:sz w:val="28"/>
          <w:szCs w:val="28"/>
        </w:rPr>
        <w:t xml:space="preserve">un 2019.gadā būvobjektos konstatēto nereģistrēto nodarbināto personu skaitu uz pārbaudes uzsākšanas brīdi. </w:t>
      </w:r>
    </w:p>
    <w:p w14:paraId="6ED232DC" w14:textId="77777777" w:rsidR="007650A2" w:rsidRPr="00FE5BF9" w:rsidRDefault="00A64E73" w:rsidP="003D2EFD">
      <w:pPr>
        <w:spacing w:before="0" w:after="0" w:line="240" w:lineRule="auto"/>
        <w:ind w:firstLine="720"/>
        <w:jc w:val="both"/>
        <w:rPr>
          <w:rFonts w:ascii="Times New Roman" w:hAnsi="Times New Roman" w:cs="Times New Roman"/>
          <w:color w:val="FF0000"/>
          <w:sz w:val="28"/>
          <w:szCs w:val="28"/>
        </w:rPr>
      </w:pPr>
      <w:r w:rsidRPr="009933C1">
        <w:rPr>
          <w:rFonts w:ascii="Times New Roman" w:hAnsi="Times New Roman" w:cs="Times New Roman"/>
          <w:sz w:val="28"/>
          <w:szCs w:val="28"/>
        </w:rPr>
        <w:t>Salīdzinot EDLUS nereģistrēto personu skaitu būvobjektos, kuros bija nodrošināta EDLUS informācijas uzrādīšana vai izsniegšana, ar EDLUS reģistrēto personu skaitu, konstatēts, ka minēto rādītāju dinamika būtiski nav mainījusies</w:t>
      </w:r>
      <w:r w:rsidR="00D937B6">
        <w:rPr>
          <w:rFonts w:ascii="Times New Roman" w:hAnsi="Times New Roman" w:cs="Times New Roman"/>
          <w:sz w:val="28"/>
          <w:szCs w:val="28"/>
        </w:rPr>
        <w:t xml:space="preserve"> (skatīt</w:t>
      </w:r>
      <w:r w:rsidR="00E65335">
        <w:rPr>
          <w:rFonts w:ascii="Times New Roman" w:hAnsi="Times New Roman" w:cs="Times New Roman"/>
          <w:sz w:val="28"/>
          <w:szCs w:val="28"/>
        </w:rPr>
        <w:t xml:space="preserve"> 3</w:t>
      </w:r>
      <w:r w:rsidR="00D937B6">
        <w:rPr>
          <w:rFonts w:ascii="Times New Roman" w:hAnsi="Times New Roman" w:cs="Times New Roman"/>
          <w:sz w:val="28"/>
          <w:szCs w:val="28"/>
        </w:rPr>
        <w:t>.attēlu)</w:t>
      </w:r>
      <w:r w:rsidRPr="009933C1">
        <w:rPr>
          <w:rFonts w:ascii="Times New Roman" w:hAnsi="Times New Roman" w:cs="Times New Roman"/>
          <w:sz w:val="28"/>
          <w:szCs w:val="28"/>
        </w:rPr>
        <w:t xml:space="preserve">. </w:t>
      </w:r>
    </w:p>
    <w:p w14:paraId="10F62367" w14:textId="77777777" w:rsidR="007650A2" w:rsidRDefault="002346AC" w:rsidP="002346AC">
      <w:pPr>
        <w:spacing w:before="0" w:after="0" w:line="240" w:lineRule="auto"/>
        <w:ind w:left="284" w:firstLine="436"/>
        <w:jc w:val="both"/>
        <w:rPr>
          <w:rFonts w:ascii="Times New Roman" w:hAnsi="Times New Roman" w:cs="Times New Roman"/>
          <w:sz w:val="28"/>
          <w:szCs w:val="28"/>
        </w:rPr>
      </w:pPr>
      <w:r w:rsidRPr="002346AC">
        <w:rPr>
          <w:noProof/>
        </w:rPr>
        <w:t xml:space="preserve"> </w:t>
      </w:r>
      <w:r>
        <w:rPr>
          <w:noProof/>
          <w:lang w:eastAsia="lv-LV"/>
        </w:rPr>
        <w:drawing>
          <wp:inline distT="0" distB="0" distL="0" distR="0" wp14:anchorId="6913EC71" wp14:editId="3C629A2C">
            <wp:extent cx="4874011" cy="2721997"/>
            <wp:effectExtent l="0" t="0" r="3175" b="2540"/>
            <wp:docPr id="10" name="Chart 10">
              <a:extLst xmlns:a="http://schemas.openxmlformats.org/drawingml/2006/main">
                <a:ext uri="{FF2B5EF4-FFF2-40B4-BE49-F238E27FC236}">
                  <a16:creationId xmlns:a16="http://schemas.microsoft.com/office/drawing/2014/main" id="{4385199D-04CB-4ABA-86CB-A58685C758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B8D519" w14:textId="77777777" w:rsidR="00FC4E90" w:rsidRPr="00177D8E" w:rsidRDefault="00E65335" w:rsidP="005E680E">
      <w:pPr>
        <w:spacing w:before="0" w:after="0" w:line="240" w:lineRule="auto"/>
        <w:ind w:firstLine="720"/>
        <w:jc w:val="both"/>
        <w:rPr>
          <w:rFonts w:ascii="Times New Roman" w:hAnsi="Times New Roman" w:cs="Times New Roman"/>
          <w:b/>
          <w:sz w:val="28"/>
          <w:szCs w:val="28"/>
        </w:rPr>
      </w:pPr>
      <w:r w:rsidRPr="00177D8E">
        <w:rPr>
          <w:rFonts w:ascii="Times New Roman" w:hAnsi="Times New Roman" w:cs="Times New Roman"/>
          <w:sz w:val="28"/>
          <w:szCs w:val="28"/>
        </w:rPr>
        <w:t>3</w:t>
      </w:r>
      <w:r w:rsidR="00816593" w:rsidRPr="00177D8E">
        <w:rPr>
          <w:rFonts w:ascii="Times New Roman" w:hAnsi="Times New Roman" w:cs="Times New Roman"/>
          <w:sz w:val="28"/>
          <w:szCs w:val="28"/>
        </w:rPr>
        <w:t>.attēls</w:t>
      </w:r>
      <w:r w:rsidR="00177D8E" w:rsidRPr="00177D8E">
        <w:rPr>
          <w:rFonts w:ascii="Times New Roman" w:hAnsi="Times New Roman" w:cs="Times New Roman"/>
          <w:sz w:val="28"/>
          <w:szCs w:val="28"/>
        </w:rPr>
        <w:t>.</w:t>
      </w:r>
      <w:r w:rsidR="00816593" w:rsidRPr="00177D8E">
        <w:rPr>
          <w:rFonts w:ascii="Times New Roman" w:hAnsi="Times New Roman" w:cs="Times New Roman"/>
          <w:sz w:val="28"/>
          <w:szCs w:val="28"/>
        </w:rPr>
        <w:t xml:space="preserve"> </w:t>
      </w:r>
      <w:bookmarkStart w:id="17" w:name="_Hlk40167557"/>
      <w:r w:rsidR="005E680E" w:rsidRPr="00177D8E">
        <w:rPr>
          <w:rFonts w:ascii="Times New Roman" w:hAnsi="Times New Roman" w:cs="Times New Roman"/>
          <w:b/>
          <w:sz w:val="28"/>
          <w:szCs w:val="28"/>
        </w:rPr>
        <w:t>EDLUS nereģistrēto personu skaits pārbaudēs</w:t>
      </w:r>
    </w:p>
    <w:bookmarkEnd w:id="17"/>
    <w:p w14:paraId="46D40024" w14:textId="77777777" w:rsidR="00816593" w:rsidRPr="00816593" w:rsidRDefault="00816593" w:rsidP="007A4387">
      <w:pPr>
        <w:spacing w:before="0" w:after="0" w:line="240" w:lineRule="auto"/>
        <w:ind w:firstLine="720"/>
        <w:jc w:val="both"/>
        <w:rPr>
          <w:rFonts w:ascii="Times New Roman" w:hAnsi="Times New Roman" w:cs="Times New Roman"/>
          <w:b/>
          <w:sz w:val="28"/>
          <w:szCs w:val="28"/>
        </w:rPr>
      </w:pPr>
    </w:p>
    <w:p w14:paraId="4E1639AC" w14:textId="73D650D1" w:rsidR="00FE5BF9" w:rsidRPr="00EE110C" w:rsidRDefault="00733E67" w:rsidP="007A4387">
      <w:pPr>
        <w:spacing w:before="0" w:after="0" w:line="240" w:lineRule="auto"/>
        <w:ind w:firstLine="720"/>
        <w:jc w:val="both"/>
        <w:rPr>
          <w:rFonts w:ascii="Times New Roman" w:hAnsi="Times New Roman" w:cs="Times New Roman"/>
          <w:sz w:val="28"/>
          <w:szCs w:val="28"/>
        </w:rPr>
      </w:pPr>
      <w:r w:rsidRPr="00733E67">
        <w:rPr>
          <w:rFonts w:ascii="Times New Roman" w:hAnsi="Times New Roman" w:cs="Times New Roman"/>
          <w:sz w:val="28"/>
          <w:szCs w:val="28"/>
        </w:rPr>
        <w:t>Apkopojot rādītājus par darba ņēmējiem būvlaukumos, kuri nav reģistrējuši darba laika uzsākšanu EDLUS</w:t>
      </w:r>
      <w:r>
        <w:rPr>
          <w:rFonts w:ascii="Times New Roman" w:hAnsi="Times New Roman" w:cs="Times New Roman"/>
          <w:sz w:val="28"/>
          <w:szCs w:val="28"/>
        </w:rPr>
        <w:t>, k</w:t>
      </w:r>
      <w:r w:rsidR="00FE5BF9" w:rsidRPr="000067E2">
        <w:rPr>
          <w:rFonts w:ascii="Times New Roman" w:hAnsi="Times New Roman" w:cs="Times New Roman"/>
          <w:sz w:val="28"/>
          <w:szCs w:val="28"/>
        </w:rPr>
        <w:t xml:space="preserve">opumā 2018.gadā konstatēti </w:t>
      </w:r>
      <w:r w:rsidR="007A4387">
        <w:rPr>
          <w:rFonts w:ascii="Times New Roman" w:hAnsi="Times New Roman" w:cs="Times New Roman"/>
          <w:sz w:val="28"/>
          <w:szCs w:val="28"/>
        </w:rPr>
        <w:t>astoņi</w:t>
      </w:r>
      <w:r w:rsidR="00FE5BF9" w:rsidRPr="000067E2">
        <w:rPr>
          <w:rFonts w:ascii="Times New Roman" w:hAnsi="Times New Roman" w:cs="Times New Roman"/>
          <w:sz w:val="28"/>
          <w:szCs w:val="28"/>
        </w:rPr>
        <w:t xml:space="preserve"> būvobjekti</w:t>
      </w:r>
      <w:r w:rsidR="000D21C3" w:rsidRPr="000067E2">
        <w:rPr>
          <w:rFonts w:ascii="Times New Roman" w:hAnsi="Times New Roman" w:cs="Times New Roman"/>
          <w:sz w:val="28"/>
          <w:szCs w:val="28"/>
        </w:rPr>
        <w:t xml:space="preserve"> </w:t>
      </w:r>
      <w:r w:rsidR="00FE5BF9" w:rsidRPr="000067E2">
        <w:rPr>
          <w:rFonts w:ascii="Times New Roman" w:hAnsi="Times New Roman" w:cs="Times New Roman"/>
          <w:sz w:val="28"/>
          <w:szCs w:val="28"/>
        </w:rPr>
        <w:t xml:space="preserve">un 2019.gadā – </w:t>
      </w:r>
      <w:r w:rsidR="007A4387">
        <w:rPr>
          <w:rFonts w:ascii="Times New Roman" w:hAnsi="Times New Roman" w:cs="Times New Roman"/>
          <w:sz w:val="28"/>
          <w:szCs w:val="28"/>
        </w:rPr>
        <w:t>deviņi</w:t>
      </w:r>
      <w:r w:rsidR="00FE5BF9" w:rsidRPr="000067E2">
        <w:rPr>
          <w:rFonts w:ascii="Times New Roman" w:hAnsi="Times New Roman" w:cs="Times New Roman"/>
          <w:sz w:val="28"/>
          <w:szCs w:val="28"/>
        </w:rPr>
        <w:t xml:space="preserve"> būvobjekti </w:t>
      </w:r>
      <w:r w:rsidR="00E742C4">
        <w:rPr>
          <w:rFonts w:ascii="Times New Roman" w:hAnsi="Times New Roman" w:cs="Times New Roman"/>
          <w:sz w:val="28"/>
          <w:szCs w:val="28"/>
        </w:rPr>
        <w:t>(t</w:t>
      </w:r>
      <w:r w:rsidR="00E742C4" w:rsidRPr="000067E2">
        <w:rPr>
          <w:rFonts w:ascii="Times New Roman" w:hAnsi="Times New Roman" w:cs="Times New Roman"/>
          <w:sz w:val="28"/>
          <w:szCs w:val="28"/>
        </w:rPr>
        <w:t xml:space="preserve">as </w:t>
      </w:r>
      <w:r w:rsidR="00E742C4">
        <w:rPr>
          <w:rFonts w:ascii="Times New Roman" w:hAnsi="Times New Roman" w:cs="Times New Roman"/>
          <w:sz w:val="28"/>
          <w:szCs w:val="28"/>
        </w:rPr>
        <w:t>veido</w:t>
      </w:r>
      <w:r w:rsidR="00E742C4" w:rsidRPr="000067E2">
        <w:rPr>
          <w:rFonts w:ascii="Times New Roman" w:hAnsi="Times New Roman" w:cs="Times New Roman"/>
          <w:sz w:val="28"/>
          <w:szCs w:val="28"/>
        </w:rPr>
        <w:t xml:space="preserve"> </w:t>
      </w:r>
      <w:r w:rsidR="00FE5BF9" w:rsidRPr="000067E2">
        <w:rPr>
          <w:rFonts w:ascii="Times New Roman" w:hAnsi="Times New Roman" w:cs="Times New Roman"/>
          <w:sz w:val="28"/>
          <w:szCs w:val="28"/>
        </w:rPr>
        <w:t>10</w:t>
      </w:r>
      <w:r w:rsidR="007A4387">
        <w:rPr>
          <w:rFonts w:ascii="Times New Roman" w:hAnsi="Times New Roman" w:cs="Times New Roman"/>
          <w:sz w:val="28"/>
          <w:szCs w:val="28"/>
        </w:rPr>
        <w:t> </w:t>
      </w:r>
      <w:r w:rsidR="00FE5BF9" w:rsidRPr="000067E2">
        <w:rPr>
          <w:rFonts w:ascii="Times New Roman" w:hAnsi="Times New Roman" w:cs="Times New Roman"/>
          <w:sz w:val="28"/>
          <w:szCs w:val="28"/>
        </w:rPr>
        <w:t>% no būvlaukumu skait</w:t>
      </w:r>
      <w:r w:rsidR="00CC697A" w:rsidRPr="000067E2">
        <w:rPr>
          <w:rFonts w:ascii="Times New Roman" w:hAnsi="Times New Roman" w:cs="Times New Roman"/>
          <w:sz w:val="28"/>
          <w:szCs w:val="28"/>
        </w:rPr>
        <w:t>a</w:t>
      </w:r>
      <w:r w:rsidR="00E742C4">
        <w:rPr>
          <w:rFonts w:ascii="Times New Roman" w:hAnsi="Times New Roman" w:cs="Times New Roman"/>
          <w:sz w:val="28"/>
          <w:szCs w:val="28"/>
        </w:rPr>
        <w:t>)</w:t>
      </w:r>
      <w:r w:rsidR="00FE5BF9" w:rsidRPr="000067E2">
        <w:rPr>
          <w:rFonts w:ascii="Times New Roman" w:hAnsi="Times New Roman" w:cs="Times New Roman"/>
          <w:sz w:val="28"/>
          <w:szCs w:val="28"/>
        </w:rPr>
        <w:t xml:space="preserve">, kuros uz pārbaudes </w:t>
      </w:r>
      <w:r w:rsidR="00D46384" w:rsidRPr="00D46384">
        <w:rPr>
          <w:rFonts w:ascii="Times New Roman" w:hAnsi="Times New Roman" w:cs="Times New Roman"/>
          <w:sz w:val="28"/>
          <w:szCs w:val="28"/>
        </w:rPr>
        <w:t xml:space="preserve">uzsākšanas </w:t>
      </w:r>
      <w:r w:rsidR="00FE5BF9" w:rsidRPr="000067E2">
        <w:rPr>
          <w:rFonts w:ascii="Times New Roman" w:hAnsi="Times New Roman" w:cs="Times New Roman"/>
          <w:sz w:val="28"/>
          <w:szCs w:val="28"/>
        </w:rPr>
        <w:t>brīdi nebija reģistrēju</w:t>
      </w:r>
      <w:r w:rsidR="00CC697A" w:rsidRPr="000067E2">
        <w:rPr>
          <w:rFonts w:ascii="Times New Roman" w:hAnsi="Times New Roman" w:cs="Times New Roman"/>
          <w:sz w:val="28"/>
          <w:szCs w:val="28"/>
        </w:rPr>
        <w:t>š</w:t>
      </w:r>
      <w:r w:rsidR="00FE5BF9" w:rsidRPr="000067E2">
        <w:rPr>
          <w:rFonts w:ascii="Times New Roman" w:hAnsi="Times New Roman" w:cs="Times New Roman"/>
          <w:sz w:val="28"/>
          <w:szCs w:val="28"/>
        </w:rPr>
        <w:t xml:space="preserve">ies vairāk </w:t>
      </w:r>
      <w:r w:rsidR="007A4387">
        <w:rPr>
          <w:rFonts w:ascii="Times New Roman" w:hAnsi="Times New Roman" w:cs="Times New Roman"/>
          <w:sz w:val="28"/>
          <w:szCs w:val="28"/>
        </w:rPr>
        <w:t>ne</w:t>
      </w:r>
      <w:r w:rsidR="00FE5BF9" w:rsidRPr="000067E2">
        <w:rPr>
          <w:rFonts w:ascii="Times New Roman" w:hAnsi="Times New Roman" w:cs="Times New Roman"/>
          <w:sz w:val="28"/>
          <w:szCs w:val="28"/>
        </w:rPr>
        <w:t>k</w:t>
      </w:r>
      <w:r w:rsidR="00CC697A" w:rsidRPr="000067E2">
        <w:rPr>
          <w:rFonts w:ascii="Times New Roman" w:hAnsi="Times New Roman" w:cs="Times New Roman"/>
          <w:sz w:val="28"/>
          <w:szCs w:val="28"/>
        </w:rPr>
        <w:t>ā</w:t>
      </w:r>
      <w:r w:rsidR="00FE5BF9" w:rsidRPr="000067E2">
        <w:rPr>
          <w:rFonts w:ascii="Times New Roman" w:hAnsi="Times New Roman" w:cs="Times New Roman"/>
          <w:sz w:val="28"/>
          <w:szCs w:val="28"/>
        </w:rPr>
        <w:t xml:space="preserve"> 30</w:t>
      </w:r>
      <w:r w:rsidR="007A4387">
        <w:rPr>
          <w:rFonts w:ascii="Times New Roman" w:hAnsi="Times New Roman" w:cs="Times New Roman"/>
          <w:sz w:val="28"/>
          <w:szCs w:val="28"/>
        </w:rPr>
        <w:t> </w:t>
      </w:r>
      <w:r w:rsidR="00FE5BF9" w:rsidRPr="000067E2">
        <w:rPr>
          <w:rFonts w:ascii="Times New Roman" w:hAnsi="Times New Roman" w:cs="Times New Roman"/>
          <w:sz w:val="28"/>
          <w:szCs w:val="28"/>
        </w:rPr>
        <w:t>% no EDLUS reģistrētā nodarbināto skaita.</w:t>
      </w:r>
      <w:bookmarkEnd w:id="0"/>
      <w:bookmarkEnd w:id="1"/>
      <w:r w:rsidR="00FE5BF9" w:rsidRPr="00EE110C">
        <w:rPr>
          <w:rFonts w:ascii="Times New Roman" w:hAnsi="Times New Roman" w:cs="Times New Roman"/>
          <w:sz w:val="28"/>
          <w:szCs w:val="28"/>
        </w:rPr>
        <w:t xml:space="preserve"> </w:t>
      </w:r>
    </w:p>
    <w:p w14:paraId="45AF5819" w14:textId="23432B6E" w:rsidR="00373270" w:rsidRPr="00FD3B55" w:rsidRDefault="00373270" w:rsidP="007A4387">
      <w:pPr>
        <w:spacing w:before="0" w:after="0" w:line="240" w:lineRule="auto"/>
        <w:ind w:firstLine="720"/>
        <w:jc w:val="both"/>
        <w:rPr>
          <w:rFonts w:ascii="Times New Roman" w:hAnsi="Times New Roman" w:cs="Times New Roman"/>
          <w:sz w:val="28"/>
          <w:szCs w:val="28"/>
        </w:rPr>
      </w:pPr>
      <w:r w:rsidRPr="00373270">
        <w:rPr>
          <w:rFonts w:ascii="Times New Roman" w:hAnsi="Times New Roman" w:cs="Times New Roman"/>
          <w:sz w:val="28"/>
          <w:szCs w:val="28"/>
        </w:rPr>
        <w:t xml:space="preserve">2019.gadā tikai </w:t>
      </w:r>
      <w:r w:rsidR="00E742C4">
        <w:rPr>
          <w:rFonts w:ascii="Times New Roman" w:hAnsi="Times New Roman" w:cs="Times New Roman"/>
          <w:sz w:val="28"/>
          <w:szCs w:val="28"/>
        </w:rPr>
        <w:t>vienā</w:t>
      </w:r>
      <w:r w:rsidR="00E742C4" w:rsidRPr="00373270">
        <w:rPr>
          <w:rFonts w:ascii="Times New Roman" w:hAnsi="Times New Roman" w:cs="Times New Roman"/>
          <w:sz w:val="28"/>
          <w:szCs w:val="28"/>
        </w:rPr>
        <w:t xml:space="preserve"> </w:t>
      </w:r>
      <w:r w:rsidRPr="00373270">
        <w:rPr>
          <w:rFonts w:ascii="Times New Roman" w:hAnsi="Times New Roman" w:cs="Times New Roman"/>
          <w:sz w:val="28"/>
          <w:szCs w:val="28"/>
        </w:rPr>
        <w:t xml:space="preserve">no </w:t>
      </w:r>
      <w:r w:rsidR="00183298">
        <w:rPr>
          <w:rFonts w:ascii="Times New Roman" w:hAnsi="Times New Roman" w:cs="Times New Roman"/>
          <w:sz w:val="28"/>
          <w:szCs w:val="28"/>
        </w:rPr>
        <w:t>pārbaudītajiem</w:t>
      </w:r>
      <w:r w:rsidR="002C3F41">
        <w:rPr>
          <w:rFonts w:ascii="Times New Roman" w:hAnsi="Times New Roman" w:cs="Times New Roman"/>
          <w:sz w:val="28"/>
          <w:szCs w:val="28"/>
        </w:rPr>
        <w:t xml:space="preserve"> 97</w:t>
      </w:r>
      <w:r w:rsidR="00183298" w:rsidRPr="00373270">
        <w:rPr>
          <w:rFonts w:ascii="Times New Roman" w:hAnsi="Times New Roman" w:cs="Times New Roman"/>
          <w:sz w:val="28"/>
          <w:szCs w:val="28"/>
        </w:rPr>
        <w:t xml:space="preserve"> </w:t>
      </w:r>
      <w:r w:rsidRPr="00373270">
        <w:rPr>
          <w:rFonts w:ascii="Times New Roman" w:hAnsi="Times New Roman" w:cs="Times New Roman"/>
          <w:sz w:val="28"/>
          <w:szCs w:val="28"/>
        </w:rPr>
        <w:t>būvlaukumiem pienākumu reģistrēties EDLUS uz pārbaudes brīdi nebija izpildījuši vairāk par 20</w:t>
      </w:r>
      <w:r w:rsidR="007A4387">
        <w:rPr>
          <w:rFonts w:ascii="Times New Roman" w:hAnsi="Times New Roman" w:cs="Times New Roman"/>
          <w:sz w:val="28"/>
          <w:szCs w:val="28"/>
        </w:rPr>
        <w:t> </w:t>
      </w:r>
      <w:r w:rsidRPr="00373270">
        <w:rPr>
          <w:rFonts w:ascii="Times New Roman" w:hAnsi="Times New Roman" w:cs="Times New Roman"/>
          <w:sz w:val="28"/>
          <w:szCs w:val="28"/>
        </w:rPr>
        <w:t>nodarbinātajiem, kas vienlai</w:t>
      </w:r>
      <w:r w:rsidR="007A4387">
        <w:rPr>
          <w:rFonts w:ascii="Times New Roman" w:hAnsi="Times New Roman" w:cs="Times New Roman"/>
          <w:sz w:val="28"/>
          <w:szCs w:val="28"/>
        </w:rPr>
        <w:t>kus bija</w:t>
      </w:r>
      <w:r w:rsidRPr="00373270">
        <w:rPr>
          <w:rFonts w:ascii="Times New Roman" w:hAnsi="Times New Roman" w:cs="Times New Roman"/>
          <w:sz w:val="28"/>
          <w:szCs w:val="28"/>
        </w:rPr>
        <w:t xml:space="preserve"> vismaz 30</w:t>
      </w:r>
      <w:r w:rsidR="007A4387">
        <w:rPr>
          <w:rFonts w:ascii="Times New Roman" w:hAnsi="Times New Roman" w:cs="Times New Roman"/>
          <w:sz w:val="28"/>
          <w:szCs w:val="28"/>
        </w:rPr>
        <w:t> %</w:t>
      </w:r>
      <w:r w:rsidRPr="00373270">
        <w:rPr>
          <w:rFonts w:ascii="Times New Roman" w:hAnsi="Times New Roman" w:cs="Times New Roman"/>
          <w:sz w:val="28"/>
          <w:szCs w:val="28"/>
        </w:rPr>
        <w:t xml:space="preserve"> no EDLUS reģistrēt</w:t>
      </w:r>
      <w:r w:rsidR="00D46384">
        <w:rPr>
          <w:rFonts w:ascii="Times New Roman" w:hAnsi="Times New Roman" w:cs="Times New Roman"/>
          <w:sz w:val="28"/>
          <w:szCs w:val="28"/>
        </w:rPr>
        <w:t>ā</w:t>
      </w:r>
      <w:r w:rsidRPr="00373270">
        <w:rPr>
          <w:rFonts w:ascii="Times New Roman" w:hAnsi="Times New Roman" w:cs="Times New Roman"/>
          <w:sz w:val="28"/>
          <w:szCs w:val="28"/>
        </w:rPr>
        <w:t xml:space="preserve"> darba ņēmēju skaita. Salīdzinoši 2018.gadā šādi gadījumi tika konstatēti </w:t>
      </w:r>
      <w:r w:rsidR="00E742C4">
        <w:rPr>
          <w:rFonts w:ascii="Times New Roman" w:hAnsi="Times New Roman" w:cs="Times New Roman"/>
          <w:sz w:val="28"/>
          <w:szCs w:val="28"/>
        </w:rPr>
        <w:t>četros</w:t>
      </w:r>
      <w:r w:rsidR="00E742C4" w:rsidRPr="00373270">
        <w:rPr>
          <w:rFonts w:ascii="Times New Roman" w:hAnsi="Times New Roman" w:cs="Times New Roman"/>
          <w:sz w:val="28"/>
          <w:szCs w:val="28"/>
        </w:rPr>
        <w:t xml:space="preserve"> </w:t>
      </w:r>
      <w:r w:rsidRPr="00373270">
        <w:rPr>
          <w:rFonts w:ascii="Times New Roman" w:hAnsi="Times New Roman" w:cs="Times New Roman"/>
          <w:sz w:val="28"/>
          <w:szCs w:val="28"/>
        </w:rPr>
        <w:t xml:space="preserve">no </w:t>
      </w:r>
      <w:r w:rsidR="002C3F41">
        <w:rPr>
          <w:rFonts w:ascii="Times New Roman" w:hAnsi="Times New Roman" w:cs="Times New Roman"/>
          <w:sz w:val="28"/>
          <w:szCs w:val="28"/>
        </w:rPr>
        <w:t>pārbaudītajiem 100</w:t>
      </w:r>
      <w:r w:rsidR="002C3F41" w:rsidRPr="00373270">
        <w:rPr>
          <w:rFonts w:ascii="Times New Roman" w:hAnsi="Times New Roman" w:cs="Times New Roman"/>
          <w:sz w:val="28"/>
          <w:szCs w:val="28"/>
        </w:rPr>
        <w:t xml:space="preserve"> </w:t>
      </w:r>
      <w:r w:rsidRPr="00373270">
        <w:rPr>
          <w:rFonts w:ascii="Times New Roman" w:hAnsi="Times New Roman" w:cs="Times New Roman"/>
          <w:sz w:val="28"/>
          <w:szCs w:val="28"/>
        </w:rPr>
        <w:t xml:space="preserve">būvlaukumiem. </w:t>
      </w:r>
      <w:r w:rsidR="00E742C4">
        <w:rPr>
          <w:rFonts w:ascii="Times New Roman" w:hAnsi="Times New Roman" w:cs="Times New Roman"/>
          <w:sz w:val="28"/>
          <w:szCs w:val="28"/>
        </w:rPr>
        <w:t>Tādējādi</w:t>
      </w:r>
      <w:r w:rsidRPr="00373270">
        <w:rPr>
          <w:rFonts w:ascii="Times New Roman" w:hAnsi="Times New Roman" w:cs="Times New Roman"/>
          <w:sz w:val="28"/>
          <w:szCs w:val="28"/>
        </w:rPr>
        <w:t xml:space="preserve"> 2019.gadā ir samazinājies </w:t>
      </w:r>
      <w:r w:rsidR="007A4387">
        <w:rPr>
          <w:rFonts w:ascii="Times New Roman" w:hAnsi="Times New Roman" w:cs="Times New Roman"/>
          <w:sz w:val="28"/>
          <w:szCs w:val="28"/>
        </w:rPr>
        <w:t xml:space="preserve">to </w:t>
      </w:r>
      <w:r w:rsidRPr="00373270">
        <w:rPr>
          <w:rFonts w:ascii="Times New Roman" w:hAnsi="Times New Roman" w:cs="Times New Roman"/>
          <w:sz w:val="28"/>
          <w:szCs w:val="28"/>
        </w:rPr>
        <w:t xml:space="preserve">būvlaukumu skaits, </w:t>
      </w:r>
      <w:r w:rsidR="00E742C4" w:rsidRPr="00373270">
        <w:rPr>
          <w:rFonts w:ascii="Times New Roman" w:hAnsi="Times New Roman" w:cs="Times New Roman"/>
          <w:sz w:val="28"/>
          <w:szCs w:val="28"/>
        </w:rPr>
        <w:t>kur</w:t>
      </w:r>
      <w:r w:rsidR="00E742C4">
        <w:rPr>
          <w:rFonts w:ascii="Times New Roman" w:hAnsi="Times New Roman" w:cs="Times New Roman"/>
          <w:sz w:val="28"/>
          <w:szCs w:val="28"/>
        </w:rPr>
        <w:t>os</w:t>
      </w:r>
      <w:r w:rsidR="00E742C4" w:rsidRPr="00373270">
        <w:rPr>
          <w:rFonts w:ascii="Times New Roman" w:hAnsi="Times New Roman" w:cs="Times New Roman"/>
          <w:sz w:val="28"/>
          <w:szCs w:val="28"/>
        </w:rPr>
        <w:t xml:space="preserve"> </w:t>
      </w:r>
      <w:r w:rsidRPr="00373270">
        <w:rPr>
          <w:rFonts w:ascii="Times New Roman" w:hAnsi="Times New Roman" w:cs="Times New Roman"/>
          <w:sz w:val="28"/>
          <w:szCs w:val="28"/>
        </w:rPr>
        <w:t xml:space="preserve">galvenajam būvdarbu veicējam par elektroniskās informācijas reģistrēšanas regulējuma neievērošanu provizoriski varētu piemērot </w:t>
      </w:r>
      <w:r w:rsidR="00E742C4" w:rsidRPr="00373270">
        <w:rPr>
          <w:rFonts w:ascii="Times New Roman" w:hAnsi="Times New Roman" w:cs="Times New Roman"/>
          <w:sz w:val="28"/>
          <w:szCs w:val="28"/>
        </w:rPr>
        <w:t>administratīv</w:t>
      </w:r>
      <w:r w:rsidR="00E742C4">
        <w:rPr>
          <w:rFonts w:ascii="Times New Roman" w:hAnsi="Times New Roman" w:cs="Times New Roman"/>
          <w:sz w:val="28"/>
          <w:szCs w:val="28"/>
        </w:rPr>
        <w:t>o</w:t>
      </w:r>
      <w:r w:rsidR="00E742C4" w:rsidRPr="00373270">
        <w:rPr>
          <w:rFonts w:ascii="Times New Roman" w:hAnsi="Times New Roman" w:cs="Times New Roman"/>
          <w:sz w:val="28"/>
          <w:szCs w:val="28"/>
        </w:rPr>
        <w:t xml:space="preserve"> </w:t>
      </w:r>
      <w:r w:rsidRPr="00373270">
        <w:rPr>
          <w:rFonts w:ascii="Times New Roman" w:hAnsi="Times New Roman" w:cs="Times New Roman"/>
          <w:sz w:val="28"/>
          <w:szCs w:val="28"/>
        </w:rPr>
        <w:t>sod</w:t>
      </w:r>
      <w:r w:rsidR="00E742C4">
        <w:rPr>
          <w:rFonts w:ascii="Times New Roman" w:hAnsi="Times New Roman" w:cs="Times New Roman"/>
          <w:sz w:val="28"/>
          <w:szCs w:val="28"/>
        </w:rPr>
        <w:t xml:space="preserve">u </w:t>
      </w:r>
      <w:r w:rsidRPr="00373270">
        <w:rPr>
          <w:rFonts w:ascii="Times New Roman" w:hAnsi="Times New Roman" w:cs="Times New Roman"/>
          <w:sz w:val="28"/>
          <w:szCs w:val="28"/>
        </w:rPr>
        <w:t>no 0,1</w:t>
      </w:r>
      <w:r w:rsidR="007A4387">
        <w:rPr>
          <w:rFonts w:ascii="Times New Roman" w:hAnsi="Times New Roman" w:cs="Times New Roman"/>
          <w:sz w:val="28"/>
          <w:szCs w:val="28"/>
        </w:rPr>
        <w:t> </w:t>
      </w:r>
      <w:r w:rsidRPr="00373270">
        <w:rPr>
          <w:rFonts w:ascii="Times New Roman" w:hAnsi="Times New Roman" w:cs="Times New Roman"/>
          <w:sz w:val="28"/>
          <w:szCs w:val="28"/>
        </w:rPr>
        <w:t>% līdz 5</w:t>
      </w:r>
      <w:r w:rsidR="007A4387">
        <w:rPr>
          <w:rFonts w:ascii="Times New Roman" w:hAnsi="Times New Roman" w:cs="Times New Roman"/>
          <w:sz w:val="28"/>
          <w:szCs w:val="28"/>
        </w:rPr>
        <w:t> </w:t>
      </w:r>
      <w:r w:rsidRPr="00373270">
        <w:rPr>
          <w:rFonts w:ascii="Times New Roman" w:hAnsi="Times New Roman" w:cs="Times New Roman"/>
          <w:sz w:val="28"/>
          <w:szCs w:val="28"/>
        </w:rPr>
        <w:t>% no būvdarbu līguma summas</w:t>
      </w:r>
      <w:r w:rsidR="003C74B7">
        <w:rPr>
          <w:rFonts w:ascii="Times New Roman" w:hAnsi="Times New Roman" w:cs="Times New Roman"/>
          <w:sz w:val="28"/>
          <w:szCs w:val="28"/>
        </w:rPr>
        <w:t xml:space="preserve"> un m</w:t>
      </w:r>
      <w:r w:rsidR="00B63431">
        <w:rPr>
          <w:rFonts w:ascii="Times New Roman" w:hAnsi="Times New Roman" w:cs="Times New Roman"/>
          <w:sz w:val="28"/>
          <w:szCs w:val="28"/>
        </w:rPr>
        <w:t xml:space="preserve">inētā atbildība </w:t>
      </w:r>
      <w:r w:rsidR="00D46384">
        <w:rPr>
          <w:rFonts w:ascii="Times New Roman" w:hAnsi="Times New Roman" w:cs="Times New Roman"/>
          <w:sz w:val="28"/>
          <w:szCs w:val="28"/>
        </w:rPr>
        <w:t xml:space="preserve">2019.gadā </w:t>
      </w:r>
      <w:r w:rsidR="00B63431">
        <w:rPr>
          <w:rFonts w:ascii="Times New Roman" w:hAnsi="Times New Roman" w:cs="Times New Roman"/>
          <w:sz w:val="28"/>
          <w:szCs w:val="28"/>
        </w:rPr>
        <w:t xml:space="preserve">būtu piemērojama </w:t>
      </w:r>
      <w:r w:rsidRPr="00FD3B55">
        <w:rPr>
          <w:rFonts w:ascii="Times New Roman" w:hAnsi="Times New Roman" w:cs="Times New Roman"/>
          <w:sz w:val="28"/>
          <w:szCs w:val="28"/>
        </w:rPr>
        <w:t>tikai 1</w:t>
      </w:r>
      <w:r w:rsidR="007A4387" w:rsidRPr="00FD3B55">
        <w:rPr>
          <w:rFonts w:ascii="Times New Roman" w:hAnsi="Times New Roman" w:cs="Times New Roman"/>
          <w:sz w:val="28"/>
          <w:szCs w:val="28"/>
        </w:rPr>
        <w:t> </w:t>
      </w:r>
      <w:r w:rsidR="003C74B7">
        <w:rPr>
          <w:rFonts w:ascii="Times New Roman" w:hAnsi="Times New Roman" w:cs="Times New Roman"/>
          <w:sz w:val="28"/>
          <w:szCs w:val="28"/>
        </w:rPr>
        <w:t>gadījumā</w:t>
      </w:r>
      <w:r w:rsidRPr="00FD3B55">
        <w:rPr>
          <w:rFonts w:ascii="Times New Roman" w:hAnsi="Times New Roman" w:cs="Times New Roman"/>
          <w:sz w:val="28"/>
          <w:szCs w:val="28"/>
        </w:rPr>
        <w:t>.</w:t>
      </w:r>
    </w:p>
    <w:p w14:paraId="72D37E09" w14:textId="77777777" w:rsidR="00373270" w:rsidRDefault="00373270" w:rsidP="007A4387">
      <w:pPr>
        <w:spacing w:before="0" w:after="0" w:line="240" w:lineRule="auto"/>
        <w:ind w:firstLine="720"/>
        <w:jc w:val="both"/>
        <w:rPr>
          <w:rFonts w:ascii="Times New Roman" w:hAnsi="Times New Roman" w:cs="Times New Roman"/>
          <w:sz w:val="28"/>
          <w:szCs w:val="28"/>
        </w:rPr>
      </w:pPr>
    </w:p>
    <w:p w14:paraId="36971FFF" w14:textId="77777777" w:rsidR="00562C69" w:rsidRPr="00E25833" w:rsidRDefault="00B76BE4" w:rsidP="003D2EFD">
      <w:pPr>
        <w:spacing w:before="0" w:after="0" w:line="240" w:lineRule="auto"/>
        <w:ind w:firstLine="720"/>
        <w:jc w:val="both"/>
        <w:rPr>
          <w:rFonts w:ascii="Times New Roman" w:hAnsi="Times New Roman" w:cs="Times New Roman"/>
          <w:sz w:val="28"/>
          <w:szCs w:val="28"/>
        </w:rPr>
      </w:pPr>
      <w:r w:rsidRPr="00E25833">
        <w:rPr>
          <w:rFonts w:ascii="Times New Roman" w:hAnsi="Times New Roman" w:cs="Times New Roman"/>
          <w:sz w:val="28"/>
          <w:szCs w:val="28"/>
        </w:rPr>
        <w:t>P</w:t>
      </w:r>
      <w:r w:rsidR="00562C69" w:rsidRPr="00E25833">
        <w:rPr>
          <w:rFonts w:ascii="Times New Roman" w:hAnsi="Times New Roman" w:cs="Times New Roman"/>
          <w:sz w:val="28"/>
          <w:szCs w:val="28"/>
        </w:rPr>
        <w:t xml:space="preserve">ārbaužu laikā </w:t>
      </w:r>
      <w:r w:rsidR="009F5976">
        <w:rPr>
          <w:rFonts w:ascii="Times New Roman" w:hAnsi="Times New Roman" w:cs="Times New Roman"/>
          <w:sz w:val="28"/>
          <w:szCs w:val="28"/>
        </w:rPr>
        <w:t>īpaši vērsta uzmanība</w:t>
      </w:r>
      <w:r w:rsidR="00C267B6">
        <w:rPr>
          <w:rFonts w:ascii="Times New Roman" w:hAnsi="Times New Roman" w:cs="Times New Roman"/>
          <w:sz w:val="28"/>
          <w:szCs w:val="28"/>
        </w:rPr>
        <w:t xml:space="preserve"> uz to</w:t>
      </w:r>
      <w:r w:rsidR="009F5976">
        <w:rPr>
          <w:rFonts w:ascii="Times New Roman" w:hAnsi="Times New Roman" w:cs="Times New Roman"/>
          <w:sz w:val="28"/>
          <w:szCs w:val="28"/>
        </w:rPr>
        <w:t xml:space="preserve">, vai </w:t>
      </w:r>
      <w:r w:rsidR="00562C69" w:rsidRPr="00E25833">
        <w:rPr>
          <w:rFonts w:ascii="Times New Roman" w:hAnsi="Times New Roman" w:cs="Times New Roman"/>
          <w:sz w:val="28"/>
          <w:szCs w:val="28"/>
        </w:rPr>
        <w:t>b</w:t>
      </w:r>
      <w:r w:rsidR="009F5976">
        <w:rPr>
          <w:rFonts w:ascii="Times New Roman" w:hAnsi="Times New Roman" w:cs="Times New Roman"/>
          <w:sz w:val="28"/>
          <w:szCs w:val="28"/>
        </w:rPr>
        <w:t>ūvlauku</w:t>
      </w:r>
      <w:r w:rsidR="00455132">
        <w:rPr>
          <w:rFonts w:ascii="Times New Roman" w:hAnsi="Times New Roman" w:cs="Times New Roman"/>
          <w:sz w:val="28"/>
          <w:szCs w:val="28"/>
        </w:rPr>
        <w:t xml:space="preserve">mā </w:t>
      </w:r>
      <w:r w:rsidR="009F5976">
        <w:rPr>
          <w:rFonts w:ascii="Times New Roman" w:hAnsi="Times New Roman" w:cs="Times New Roman"/>
          <w:sz w:val="28"/>
          <w:szCs w:val="28"/>
        </w:rPr>
        <w:t>EDLUS reģistrētās</w:t>
      </w:r>
      <w:r w:rsidR="000B00DA">
        <w:rPr>
          <w:rFonts w:ascii="Times New Roman" w:hAnsi="Times New Roman" w:cs="Times New Roman"/>
          <w:sz w:val="28"/>
          <w:szCs w:val="28"/>
        </w:rPr>
        <w:t>,</w:t>
      </w:r>
      <w:r w:rsidR="009F5976">
        <w:rPr>
          <w:rFonts w:ascii="Times New Roman" w:hAnsi="Times New Roman" w:cs="Times New Roman"/>
          <w:sz w:val="28"/>
          <w:szCs w:val="28"/>
        </w:rPr>
        <w:t xml:space="preserve"> </w:t>
      </w:r>
      <w:r w:rsidR="00455132">
        <w:rPr>
          <w:rFonts w:ascii="Times New Roman" w:hAnsi="Times New Roman" w:cs="Times New Roman"/>
          <w:sz w:val="28"/>
          <w:szCs w:val="28"/>
        </w:rPr>
        <w:t xml:space="preserve">kā arī aptaujātās </w:t>
      </w:r>
      <w:r w:rsidR="009F5976">
        <w:rPr>
          <w:rFonts w:ascii="Times New Roman" w:hAnsi="Times New Roman" w:cs="Times New Roman"/>
          <w:sz w:val="28"/>
          <w:szCs w:val="28"/>
        </w:rPr>
        <w:t>nodarbinātās personas</w:t>
      </w:r>
      <w:r w:rsidR="00562C69" w:rsidRPr="00E25833">
        <w:rPr>
          <w:rFonts w:ascii="Times New Roman" w:hAnsi="Times New Roman" w:cs="Times New Roman"/>
          <w:sz w:val="28"/>
          <w:szCs w:val="28"/>
        </w:rPr>
        <w:t xml:space="preserve"> </w:t>
      </w:r>
      <w:r w:rsidR="007A4387">
        <w:rPr>
          <w:rFonts w:ascii="Times New Roman" w:hAnsi="Times New Roman" w:cs="Times New Roman"/>
          <w:sz w:val="28"/>
          <w:szCs w:val="28"/>
        </w:rPr>
        <w:t xml:space="preserve">ir </w:t>
      </w:r>
      <w:r w:rsidR="00562C69" w:rsidRPr="00E25833">
        <w:rPr>
          <w:rFonts w:ascii="Times New Roman" w:hAnsi="Times New Roman" w:cs="Times New Roman"/>
          <w:sz w:val="28"/>
          <w:szCs w:val="28"/>
        </w:rPr>
        <w:t xml:space="preserve">deklarētas VID kā darba ņēmēji un </w:t>
      </w:r>
      <w:r w:rsidR="00C267B6">
        <w:rPr>
          <w:rFonts w:ascii="Times New Roman" w:hAnsi="Times New Roman" w:cs="Times New Roman"/>
          <w:sz w:val="28"/>
          <w:szCs w:val="28"/>
        </w:rPr>
        <w:t xml:space="preserve">vai </w:t>
      </w:r>
      <w:r w:rsidR="00562C69" w:rsidRPr="00E25833">
        <w:rPr>
          <w:rFonts w:ascii="Times New Roman" w:hAnsi="Times New Roman" w:cs="Times New Roman"/>
          <w:sz w:val="28"/>
          <w:szCs w:val="28"/>
        </w:rPr>
        <w:t>ziņas VID par konkrētas personas darb</w:t>
      </w:r>
      <w:r w:rsidR="00B63431">
        <w:rPr>
          <w:rFonts w:ascii="Times New Roman" w:hAnsi="Times New Roman" w:cs="Times New Roman"/>
          <w:sz w:val="28"/>
          <w:szCs w:val="28"/>
        </w:rPr>
        <w:t>a</w:t>
      </w:r>
      <w:r w:rsidR="00562C69" w:rsidRPr="00E25833">
        <w:rPr>
          <w:rFonts w:ascii="Times New Roman" w:hAnsi="Times New Roman" w:cs="Times New Roman"/>
          <w:sz w:val="28"/>
          <w:szCs w:val="28"/>
        </w:rPr>
        <w:t xml:space="preserve"> uzsākšanu ir iesniegtas savlaicīgi</w:t>
      </w:r>
      <w:r w:rsidR="00A45E16">
        <w:rPr>
          <w:rFonts w:ascii="Times New Roman" w:hAnsi="Times New Roman" w:cs="Times New Roman"/>
          <w:sz w:val="28"/>
          <w:szCs w:val="28"/>
        </w:rPr>
        <w:t xml:space="preserve"> </w:t>
      </w:r>
      <w:r w:rsidR="00A45E16" w:rsidRPr="00E25833">
        <w:rPr>
          <w:rFonts w:ascii="Times New Roman" w:hAnsi="Times New Roman" w:cs="Times New Roman"/>
          <w:sz w:val="28"/>
          <w:szCs w:val="28"/>
        </w:rPr>
        <w:t>(sk</w:t>
      </w:r>
      <w:r w:rsidR="00B63431">
        <w:rPr>
          <w:rFonts w:ascii="Times New Roman" w:hAnsi="Times New Roman" w:cs="Times New Roman"/>
          <w:sz w:val="28"/>
          <w:szCs w:val="28"/>
        </w:rPr>
        <w:t xml:space="preserve">atīt </w:t>
      </w:r>
      <w:r w:rsidR="00E65335">
        <w:rPr>
          <w:rFonts w:ascii="Times New Roman" w:hAnsi="Times New Roman" w:cs="Times New Roman"/>
          <w:sz w:val="28"/>
          <w:szCs w:val="28"/>
        </w:rPr>
        <w:t>4.</w:t>
      </w:r>
      <w:r w:rsidR="00A45E16" w:rsidRPr="00E25833">
        <w:rPr>
          <w:rFonts w:ascii="Times New Roman" w:hAnsi="Times New Roman" w:cs="Times New Roman"/>
          <w:sz w:val="28"/>
          <w:szCs w:val="28"/>
        </w:rPr>
        <w:t>attēl</w:t>
      </w:r>
      <w:r w:rsidR="00B63431">
        <w:rPr>
          <w:rFonts w:ascii="Times New Roman" w:hAnsi="Times New Roman" w:cs="Times New Roman"/>
          <w:sz w:val="28"/>
          <w:szCs w:val="28"/>
        </w:rPr>
        <w:t>u</w:t>
      </w:r>
      <w:r w:rsidR="00A45E16" w:rsidRPr="00E25833">
        <w:rPr>
          <w:rFonts w:ascii="Times New Roman" w:hAnsi="Times New Roman" w:cs="Times New Roman"/>
          <w:sz w:val="28"/>
          <w:szCs w:val="28"/>
        </w:rPr>
        <w:t>).</w:t>
      </w:r>
      <w:r w:rsidR="00562C69" w:rsidRPr="00E25833">
        <w:rPr>
          <w:rFonts w:ascii="Times New Roman" w:hAnsi="Times New Roman" w:cs="Times New Roman"/>
          <w:sz w:val="28"/>
          <w:szCs w:val="28"/>
        </w:rPr>
        <w:t xml:space="preserve"> </w:t>
      </w:r>
    </w:p>
    <w:p w14:paraId="5EB355DF" w14:textId="0D57A15F" w:rsidR="00FC7F51" w:rsidRPr="00E25833" w:rsidRDefault="00FC7F51" w:rsidP="00FA5A60">
      <w:pPr>
        <w:spacing w:before="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K</w:t>
      </w:r>
      <w:r w:rsidRPr="00E25833">
        <w:rPr>
          <w:rFonts w:ascii="Times New Roman" w:hAnsi="Times New Roman" w:cs="Times New Roman"/>
          <w:sz w:val="28"/>
          <w:szCs w:val="28"/>
        </w:rPr>
        <w:t>opumā pārbaudēs</w:t>
      </w:r>
      <w:r>
        <w:rPr>
          <w:rFonts w:ascii="Times New Roman" w:hAnsi="Times New Roman" w:cs="Times New Roman"/>
          <w:sz w:val="28"/>
          <w:szCs w:val="28"/>
        </w:rPr>
        <w:t xml:space="preserve"> būvlaukumos </w:t>
      </w:r>
      <w:r w:rsidRPr="00E25833">
        <w:rPr>
          <w:rFonts w:ascii="Times New Roman" w:hAnsi="Times New Roman" w:cs="Times New Roman"/>
          <w:sz w:val="28"/>
          <w:szCs w:val="28"/>
        </w:rPr>
        <w:t>konstatēto VID</w:t>
      </w:r>
      <w:r>
        <w:rPr>
          <w:rFonts w:ascii="Times New Roman" w:hAnsi="Times New Roman" w:cs="Times New Roman"/>
          <w:sz w:val="28"/>
          <w:szCs w:val="28"/>
        </w:rPr>
        <w:t xml:space="preserve"> </w:t>
      </w:r>
      <w:r w:rsidRPr="00E25833">
        <w:rPr>
          <w:rFonts w:ascii="Times New Roman" w:hAnsi="Times New Roman" w:cs="Times New Roman"/>
          <w:sz w:val="28"/>
          <w:szCs w:val="28"/>
        </w:rPr>
        <w:t>nedeklarēto darbinieku skaits 2019.gadā salīdzinājumā ar 2018.gadu</w:t>
      </w:r>
      <w:r w:rsidR="007A4387">
        <w:rPr>
          <w:rFonts w:ascii="Times New Roman" w:hAnsi="Times New Roman" w:cs="Times New Roman"/>
          <w:sz w:val="28"/>
          <w:szCs w:val="28"/>
        </w:rPr>
        <w:t xml:space="preserve"> ir</w:t>
      </w:r>
      <w:r w:rsidRPr="00E25833">
        <w:rPr>
          <w:rFonts w:ascii="Times New Roman" w:hAnsi="Times New Roman" w:cs="Times New Roman"/>
          <w:sz w:val="28"/>
          <w:szCs w:val="28"/>
        </w:rPr>
        <w:t xml:space="preserve"> samazinājies vairāk nekā </w:t>
      </w:r>
      <w:r>
        <w:rPr>
          <w:rFonts w:ascii="Times New Roman" w:hAnsi="Times New Roman" w:cs="Times New Roman"/>
          <w:sz w:val="28"/>
          <w:szCs w:val="28"/>
        </w:rPr>
        <w:t>divas</w:t>
      </w:r>
      <w:r w:rsidRPr="00E25833">
        <w:rPr>
          <w:rFonts w:ascii="Times New Roman" w:hAnsi="Times New Roman" w:cs="Times New Roman"/>
          <w:sz w:val="28"/>
          <w:szCs w:val="28"/>
        </w:rPr>
        <w:t xml:space="preserve"> reizes, kas liecina par nelegālās nodarbinātības samazinājumu būvniecības nozarē un vērtējam</w:t>
      </w:r>
      <w:r w:rsidR="00EC1292">
        <w:rPr>
          <w:rFonts w:ascii="Times New Roman" w:hAnsi="Times New Roman" w:cs="Times New Roman"/>
          <w:sz w:val="28"/>
          <w:szCs w:val="28"/>
        </w:rPr>
        <w:t>a</w:t>
      </w:r>
      <w:r w:rsidRPr="00E25833">
        <w:rPr>
          <w:rFonts w:ascii="Times New Roman" w:hAnsi="Times New Roman" w:cs="Times New Roman"/>
          <w:sz w:val="28"/>
          <w:szCs w:val="28"/>
        </w:rPr>
        <w:t xml:space="preserve"> kā vien</w:t>
      </w:r>
      <w:r w:rsidR="007A4387">
        <w:rPr>
          <w:rFonts w:ascii="Times New Roman" w:hAnsi="Times New Roman" w:cs="Times New Roman"/>
          <w:sz w:val="28"/>
          <w:szCs w:val="28"/>
        </w:rPr>
        <w:t>a</w:t>
      </w:r>
      <w:r w:rsidRPr="00E25833">
        <w:rPr>
          <w:rFonts w:ascii="Times New Roman" w:hAnsi="Times New Roman" w:cs="Times New Roman"/>
          <w:sz w:val="28"/>
          <w:szCs w:val="28"/>
        </w:rPr>
        <w:t xml:space="preserve"> no EDLUS ieviešanas pozitīv</w:t>
      </w:r>
      <w:r w:rsidR="00767076">
        <w:rPr>
          <w:rFonts w:ascii="Times New Roman" w:hAnsi="Times New Roman" w:cs="Times New Roman"/>
          <w:sz w:val="28"/>
          <w:szCs w:val="28"/>
        </w:rPr>
        <w:t>ajām tendencēm</w:t>
      </w:r>
      <w:r w:rsidRPr="00E25833">
        <w:rPr>
          <w:rFonts w:ascii="Times New Roman" w:hAnsi="Times New Roman" w:cs="Times New Roman"/>
          <w:sz w:val="28"/>
          <w:szCs w:val="28"/>
        </w:rPr>
        <w:t>.</w:t>
      </w:r>
    </w:p>
    <w:p w14:paraId="20F23CDB" w14:textId="77777777" w:rsidR="00562C69" w:rsidRPr="00E25833" w:rsidRDefault="00562C69" w:rsidP="00FA5A60">
      <w:pPr>
        <w:spacing w:before="0" w:after="0" w:line="240" w:lineRule="auto"/>
        <w:ind w:firstLine="720"/>
        <w:jc w:val="both"/>
        <w:rPr>
          <w:rFonts w:ascii="Times New Roman" w:hAnsi="Times New Roman" w:cs="Times New Roman"/>
          <w:sz w:val="28"/>
          <w:szCs w:val="28"/>
        </w:rPr>
      </w:pPr>
    </w:p>
    <w:p w14:paraId="0815662B" w14:textId="77777777" w:rsidR="00562C69" w:rsidRPr="00E25833" w:rsidRDefault="00562C69" w:rsidP="00562C69">
      <w:pPr>
        <w:spacing w:before="0" w:after="0" w:line="240" w:lineRule="auto"/>
        <w:ind w:firstLine="567"/>
        <w:jc w:val="both"/>
        <w:rPr>
          <w:rFonts w:ascii="Times New Roman" w:hAnsi="Times New Roman" w:cs="Times New Roman"/>
          <w:sz w:val="28"/>
          <w:szCs w:val="28"/>
        </w:rPr>
      </w:pPr>
      <w:r w:rsidRPr="00E25833">
        <w:rPr>
          <w:noProof/>
          <w:lang w:eastAsia="lv-LV"/>
        </w:rPr>
        <w:drawing>
          <wp:inline distT="0" distB="0" distL="0" distR="0" wp14:anchorId="2DC14BC6" wp14:editId="6B84B0D6">
            <wp:extent cx="4756150" cy="2482850"/>
            <wp:effectExtent l="0" t="0" r="6350" b="12700"/>
            <wp:docPr id="6" name="Chart 6">
              <a:extLst xmlns:a="http://schemas.openxmlformats.org/drawingml/2006/main">
                <a:ext uri="{FF2B5EF4-FFF2-40B4-BE49-F238E27FC236}">
                  <a16:creationId xmlns:a16="http://schemas.microsoft.com/office/drawing/2014/main" id="{75F8972D-C2B4-4A24-AFB2-7274140CCE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FD3379" w14:textId="77777777" w:rsidR="00562C69" w:rsidRPr="00E3265B" w:rsidRDefault="00E65335" w:rsidP="005E08CF">
      <w:pPr>
        <w:spacing w:before="0" w:after="0" w:line="240" w:lineRule="auto"/>
        <w:jc w:val="center"/>
        <w:rPr>
          <w:rFonts w:ascii="Times New Roman" w:hAnsi="Times New Roman" w:cs="Times New Roman"/>
          <w:b/>
          <w:sz w:val="28"/>
          <w:szCs w:val="28"/>
        </w:rPr>
      </w:pPr>
      <w:r w:rsidRPr="00177D8E">
        <w:rPr>
          <w:rFonts w:ascii="Times New Roman" w:hAnsi="Times New Roman" w:cs="Times New Roman"/>
          <w:sz w:val="28"/>
          <w:szCs w:val="28"/>
        </w:rPr>
        <w:t>4</w:t>
      </w:r>
      <w:r w:rsidR="00562C69" w:rsidRPr="00177D8E">
        <w:rPr>
          <w:rFonts w:ascii="Times New Roman" w:hAnsi="Times New Roman" w:cs="Times New Roman"/>
          <w:sz w:val="28"/>
          <w:szCs w:val="28"/>
        </w:rPr>
        <w:t>.attēls.</w:t>
      </w:r>
      <w:r w:rsidR="00562C69" w:rsidRPr="00E65335">
        <w:rPr>
          <w:rFonts w:ascii="Times New Roman" w:hAnsi="Times New Roman" w:cs="Times New Roman"/>
          <w:b/>
          <w:sz w:val="28"/>
          <w:szCs w:val="28"/>
        </w:rPr>
        <w:t xml:space="preserve"> </w:t>
      </w:r>
      <w:r w:rsidR="00AE4CA6">
        <w:rPr>
          <w:rFonts w:ascii="Times New Roman" w:hAnsi="Times New Roman" w:cs="Times New Roman"/>
          <w:b/>
          <w:sz w:val="28"/>
          <w:szCs w:val="28"/>
        </w:rPr>
        <w:t>Z</w:t>
      </w:r>
      <w:r w:rsidR="00AE4CA6" w:rsidRPr="00E65335">
        <w:rPr>
          <w:rFonts w:ascii="Times New Roman" w:hAnsi="Times New Roman" w:cs="Times New Roman"/>
          <w:b/>
          <w:sz w:val="28"/>
          <w:szCs w:val="28"/>
        </w:rPr>
        <w:t>iņ</w:t>
      </w:r>
      <w:r w:rsidR="00AE4CA6">
        <w:rPr>
          <w:rFonts w:ascii="Times New Roman" w:hAnsi="Times New Roman" w:cs="Times New Roman"/>
          <w:b/>
          <w:sz w:val="28"/>
          <w:szCs w:val="28"/>
        </w:rPr>
        <w:t>u p</w:t>
      </w:r>
      <w:r w:rsidR="00645540">
        <w:rPr>
          <w:rFonts w:ascii="Times New Roman" w:hAnsi="Times New Roman" w:cs="Times New Roman"/>
          <w:b/>
          <w:sz w:val="28"/>
          <w:szCs w:val="28"/>
        </w:rPr>
        <w:t xml:space="preserve">ar </w:t>
      </w:r>
      <w:r w:rsidR="00AE4CA6">
        <w:rPr>
          <w:rFonts w:ascii="Times New Roman" w:hAnsi="Times New Roman" w:cs="Times New Roman"/>
          <w:b/>
          <w:sz w:val="28"/>
          <w:szCs w:val="28"/>
        </w:rPr>
        <w:t>b</w:t>
      </w:r>
      <w:r w:rsidR="00A35AFD" w:rsidRPr="00E65335">
        <w:rPr>
          <w:rFonts w:ascii="Times New Roman" w:hAnsi="Times New Roman" w:cs="Times New Roman"/>
          <w:b/>
          <w:sz w:val="28"/>
          <w:szCs w:val="28"/>
        </w:rPr>
        <w:t>ūvlaukumā n</w:t>
      </w:r>
      <w:r w:rsidR="00562C69" w:rsidRPr="00E65335">
        <w:rPr>
          <w:rFonts w:ascii="Times New Roman" w:hAnsi="Times New Roman" w:cs="Times New Roman"/>
          <w:b/>
          <w:sz w:val="28"/>
          <w:szCs w:val="28"/>
        </w:rPr>
        <w:t>odarbināt</w:t>
      </w:r>
      <w:r w:rsidR="00956569">
        <w:rPr>
          <w:rFonts w:ascii="Times New Roman" w:hAnsi="Times New Roman" w:cs="Times New Roman"/>
          <w:b/>
          <w:sz w:val="28"/>
          <w:szCs w:val="28"/>
        </w:rPr>
        <w:t>ajām</w:t>
      </w:r>
      <w:r w:rsidR="00562C69" w:rsidRPr="00E65335">
        <w:rPr>
          <w:rFonts w:ascii="Times New Roman" w:hAnsi="Times New Roman" w:cs="Times New Roman"/>
          <w:b/>
          <w:sz w:val="28"/>
          <w:szCs w:val="28"/>
        </w:rPr>
        <w:t xml:space="preserve"> person</w:t>
      </w:r>
      <w:r w:rsidR="00956569">
        <w:rPr>
          <w:rFonts w:ascii="Times New Roman" w:hAnsi="Times New Roman" w:cs="Times New Roman"/>
          <w:b/>
          <w:sz w:val="28"/>
          <w:szCs w:val="28"/>
        </w:rPr>
        <w:t>ām</w:t>
      </w:r>
      <w:r w:rsidR="00562C69" w:rsidRPr="00E65335">
        <w:rPr>
          <w:rFonts w:ascii="Times New Roman" w:hAnsi="Times New Roman" w:cs="Times New Roman"/>
          <w:b/>
          <w:sz w:val="28"/>
          <w:szCs w:val="28"/>
        </w:rPr>
        <w:t xml:space="preserve"> </w:t>
      </w:r>
      <w:r w:rsidR="00645540">
        <w:rPr>
          <w:rFonts w:ascii="Times New Roman" w:hAnsi="Times New Roman" w:cs="Times New Roman"/>
          <w:b/>
          <w:sz w:val="28"/>
          <w:szCs w:val="28"/>
        </w:rPr>
        <w:t xml:space="preserve">sniegšanas </w:t>
      </w:r>
      <w:r w:rsidR="00AE4CA6">
        <w:rPr>
          <w:rFonts w:ascii="Times New Roman" w:hAnsi="Times New Roman" w:cs="Times New Roman"/>
          <w:b/>
          <w:sz w:val="28"/>
          <w:szCs w:val="28"/>
        </w:rPr>
        <w:t xml:space="preserve">VID </w:t>
      </w:r>
      <w:r w:rsidR="00645540">
        <w:rPr>
          <w:rFonts w:ascii="Times New Roman" w:hAnsi="Times New Roman" w:cs="Times New Roman"/>
          <w:b/>
          <w:sz w:val="28"/>
          <w:szCs w:val="28"/>
        </w:rPr>
        <w:t>savlaicīgum</w:t>
      </w:r>
      <w:r w:rsidR="00AE4CA6">
        <w:rPr>
          <w:rFonts w:ascii="Times New Roman" w:hAnsi="Times New Roman" w:cs="Times New Roman"/>
          <w:b/>
          <w:sz w:val="28"/>
          <w:szCs w:val="28"/>
        </w:rPr>
        <w:t>s</w:t>
      </w:r>
      <w:r w:rsidR="00645540">
        <w:rPr>
          <w:rFonts w:ascii="Times New Roman" w:hAnsi="Times New Roman" w:cs="Times New Roman"/>
          <w:b/>
          <w:sz w:val="28"/>
          <w:szCs w:val="28"/>
        </w:rPr>
        <w:t xml:space="preserve"> </w:t>
      </w:r>
    </w:p>
    <w:p w14:paraId="07AC771C" w14:textId="77777777" w:rsidR="00B963A4" w:rsidRPr="00E25833" w:rsidRDefault="00B963A4" w:rsidP="00956569">
      <w:pPr>
        <w:spacing w:before="0" w:after="0" w:line="240" w:lineRule="auto"/>
        <w:ind w:firstLine="720"/>
        <w:jc w:val="both"/>
        <w:rPr>
          <w:rFonts w:ascii="Times New Roman" w:hAnsi="Times New Roman" w:cs="Times New Roman"/>
          <w:sz w:val="28"/>
          <w:szCs w:val="28"/>
        </w:rPr>
      </w:pPr>
    </w:p>
    <w:p w14:paraId="7E6231F4" w14:textId="77777777" w:rsidR="00A20EC7" w:rsidRPr="004543AB" w:rsidRDefault="00F94459" w:rsidP="005E08CF">
      <w:pPr>
        <w:pStyle w:val="NoSpacing"/>
        <w:spacing w:before="0"/>
        <w:ind w:firstLine="720"/>
        <w:jc w:val="both"/>
        <w:rPr>
          <w:rFonts w:ascii="Times New Roman" w:hAnsi="Times New Roman" w:cs="Times New Roman"/>
          <w:b/>
          <w:i/>
          <w:color w:val="000000" w:themeColor="text1"/>
          <w:sz w:val="28"/>
          <w:szCs w:val="28"/>
        </w:rPr>
      </w:pPr>
      <w:r w:rsidRPr="004543AB">
        <w:rPr>
          <w:rFonts w:ascii="Times New Roman" w:hAnsi="Times New Roman" w:cs="Times New Roman"/>
          <w:b/>
          <w:i/>
          <w:color w:val="000000" w:themeColor="text1"/>
          <w:sz w:val="28"/>
          <w:szCs w:val="28"/>
        </w:rPr>
        <w:t>N</w:t>
      </w:r>
      <w:r w:rsidR="00A20EC7" w:rsidRPr="004543AB">
        <w:rPr>
          <w:rFonts w:ascii="Times New Roman" w:hAnsi="Times New Roman" w:cs="Times New Roman"/>
          <w:b/>
          <w:i/>
          <w:color w:val="000000" w:themeColor="text1"/>
          <w:sz w:val="28"/>
          <w:szCs w:val="28"/>
        </w:rPr>
        <w:t>eatbilstības darba laika uzskaitē</w:t>
      </w:r>
      <w:r w:rsidRPr="004543AB">
        <w:rPr>
          <w:color w:val="000000" w:themeColor="text1"/>
        </w:rPr>
        <w:t xml:space="preserve"> </w:t>
      </w:r>
      <w:r w:rsidRPr="004543AB">
        <w:rPr>
          <w:rFonts w:ascii="Times New Roman" w:hAnsi="Times New Roman" w:cs="Times New Roman"/>
          <w:b/>
          <w:i/>
          <w:color w:val="000000" w:themeColor="text1"/>
          <w:sz w:val="28"/>
          <w:szCs w:val="28"/>
        </w:rPr>
        <w:t>un konstatētās tendences</w:t>
      </w:r>
    </w:p>
    <w:p w14:paraId="1823541B" w14:textId="77777777" w:rsidR="00E26BBB" w:rsidRPr="00E25833" w:rsidRDefault="004A7B26" w:rsidP="00956569">
      <w:pPr>
        <w:pStyle w:val="NoSpacing"/>
        <w:spacing w:before="0"/>
        <w:ind w:firstLine="720"/>
        <w:jc w:val="both"/>
        <w:rPr>
          <w:rFonts w:ascii="Times New Roman" w:hAnsi="Times New Roman" w:cs="Times New Roman"/>
          <w:sz w:val="28"/>
          <w:szCs w:val="28"/>
        </w:rPr>
      </w:pPr>
      <w:r>
        <w:rPr>
          <w:rFonts w:ascii="Times New Roman" w:hAnsi="Times New Roman" w:cs="Times New Roman"/>
          <w:sz w:val="28"/>
          <w:szCs w:val="28"/>
        </w:rPr>
        <w:t>P</w:t>
      </w:r>
      <w:r w:rsidRPr="00E25833">
        <w:rPr>
          <w:rFonts w:ascii="Times New Roman" w:hAnsi="Times New Roman" w:cs="Times New Roman"/>
          <w:sz w:val="28"/>
          <w:szCs w:val="28"/>
        </w:rPr>
        <w:t xml:space="preserve">ārbaužu </w:t>
      </w:r>
      <w:r w:rsidR="00B63431">
        <w:rPr>
          <w:rFonts w:ascii="Times New Roman" w:hAnsi="Times New Roman" w:cs="Times New Roman"/>
          <w:sz w:val="28"/>
          <w:szCs w:val="28"/>
        </w:rPr>
        <w:t>laikā</w:t>
      </w:r>
      <w:r w:rsidR="00B63431" w:rsidRPr="00E25833">
        <w:rPr>
          <w:rFonts w:ascii="Times New Roman" w:hAnsi="Times New Roman" w:cs="Times New Roman"/>
          <w:sz w:val="28"/>
          <w:szCs w:val="28"/>
        </w:rPr>
        <w:t xml:space="preserve"> </w:t>
      </w:r>
      <w:r>
        <w:rPr>
          <w:rFonts w:ascii="Times New Roman" w:hAnsi="Times New Roman" w:cs="Times New Roman"/>
          <w:sz w:val="28"/>
          <w:szCs w:val="28"/>
        </w:rPr>
        <w:t>b</w:t>
      </w:r>
      <w:r w:rsidR="00A20EC7" w:rsidRPr="00E25833">
        <w:rPr>
          <w:rFonts w:ascii="Times New Roman" w:hAnsi="Times New Roman" w:cs="Times New Roman"/>
          <w:sz w:val="28"/>
          <w:szCs w:val="28"/>
        </w:rPr>
        <w:t>ūv</w:t>
      </w:r>
      <w:r>
        <w:rPr>
          <w:rFonts w:ascii="Times New Roman" w:hAnsi="Times New Roman" w:cs="Times New Roman"/>
          <w:sz w:val="28"/>
          <w:szCs w:val="28"/>
        </w:rPr>
        <w:t xml:space="preserve">laukumos </w:t>
      </w:r>
      <w:r w:rsidR="00562C69" w:rsidRPr="00E25833">
        <w:rPr>
          <w:rFonts w:ascii="Times New Roman" w:hAnsi="Times New Roman" w:cs="Times New Roman"/>
          <w:sz w:val="28"/>
          <w:szCs w:val="28"/>
        </w:rPr>
        <w:t>2018.</w:t>
      </w:r>
      <w:r w:rsidR="000C4239">
        <w:rPr>
          <w:rFonts w:ascii="Times New Roman" w:hAnsi="Times New Roman" w:cs="Times New Roman"/>
          <w:sz w:val="28"/>
          <w:szCs w:val="28"/>
        </w:rPr>
        <w:t xml:space="preserve"> un</w:t>
      </w:r>
      <w:r w:rsidR="00562C69" w:rsidRPr="00E25833">
        <w:rPr>
          <w:rFonts w:ascii="Times New Roman" w:hAnsi="Times New Roman" w:cs="Times New Roman"/>
          <w:sz w:val="28"/>
          <w:szCs w:val="28"/>
        </w:rPr>
        <w:t xml:space="preserve"> 2019.gadā</w:t>
      </w:r>
      <w:r w:rsidR="00B63431">
        <w:rPr>
          <w:rFonts w:ascii="Times New Roman" w:hAnsi="Times New Roman" w:cs="Times New Roman"/>
          <w:sz w:val="28"/>
          <w:szCs w:val="28"/>
        </w:rPr>
        <w:t xml:space="preserve"> salīdzināts </w:t>
      </w:r>
      <w:r w:rsidR="00562C69" w:rsidRPr="00E25833">
        <w:rPr>
          <w:rFonts w:ascii="Times New Roman" w:hAnsi="Times New Roman" w:cs="Times New Roman"/>
          <w:sz w:val="28"/>
          <w:szCs w:val="28"/>
        </w:rPr>
        <w:t>darba ņēmēju EDLUS reģistrēt</w:t>
      </w:r>
      <w:r w:rsidR="00B63431">
        <w:rPr>
          <w:rFonts w:ascii="Times New Roman" w:hAnsi="Times New Roman" w:cs="Times New Roman"/>
          <w:sz w:val="28"/>
          <w:szCs w:val="28"/>
        </w:rPr>
        <w:t>ais</w:t>
      </w:r>
      <w:r w:rsidR="00E8511A">
        <w:rPr>
          <w:rFonts w:ascii="Times New Roman" w:hAnsi="Times New Roman" w:cs="Times New Roman"/>
          <w:sz w:val="28"/>
          <w:szCs w:val="28"/>
        </w:rPr>
        <w:t xml:space="preserve"> </w:t>
      </w:r>
      <w:r w:rsidR="0020237C">
        <w:rPr>
          <w:rFonts w:ascii="Times New Roman" w:hAnsi="Times New Roman" w:cs="Times New Roman"/>
          <w:sz w:val="28"/>
          <w:szCs w:val="28"/>
        </w:rPr>
        <w:t xml:space="preserve">diennakts </w:t>
      </w:r>
      <w:r w:rsidR="00E8511A">
        <w:rPr>
          <w:rFonts w:ascii="Times New Roman" w:hAnsi="Times New Roman" w:cs="Times New Roman"/>
          <w:sz w:val="28"/>
          <w:szCs w:val="28"/>
        </w:rPr>
        <w:t>summār</w:t>
      </w:r>
      <w:r w:rsidR="00B63431">
        <w:rPr>
          <w:rFonts w:ascii="Times New Roman" w:hAnsi="Times New Roman" w:cs="Times New Roman"/>
          <w:sz w:val="28"/>
          <w:szCs w:val="28"/>
        </w:rPr>
        <w:t>ais</w:t>
      </w:r>
      <w:r w:rsidR="00E8511A">
        <w:rPr>
          <w:rFonts w:ascii="Times New Roman" w:hAnsi="Times New Roman" w:cs="Times New Roman"/>
          <w:sz w:val="28"/>
          <w:szCs w:val="28"/>
        </w:rPr>
        <w:t xml:space="preserve"> darba laik</w:t>
      </w:r>
      <w:r w:rsidR="00B63431">
        <w:rPr>
          <w:rFonts w:ascii="Times New Roman" w:hAnsi="Times New Roman" w:cs="Times New Roman"/>
          <w:sz w:val="28"/>
          <w:szCs w:val="28"/>
        </w:rPr>
        <w:t>s</w:t>
      </w:r>
      <w:r w:rsidR="00562C69" w:rsidRPr="00E25833">
        <w:rPr>
          <w:rFonts w:ascii="Times New Roman" w:hAnsi="Times New Roman" w:cs="Times New Roman"/>
          <w:sz w:val="28"/>
          <w:szCs w:val="28"/>
        </w:rPr>
        <w:t xml:space="preserve"> ar </w:t>
      </w:r>
      <w:r w:rsidR="00E8511A">
        <w:rPr>
          <w:rFonts w:ascii="Times New Roman" w:hAnsi="Times New Roman" w:cs="Times New Roman"/>
          <w:sz w:val="28"/>
          <w:szCs w:val="28"/>
        </w:rPr>
        <w:t xml:space="preserve">darba devēja </w:t>
      </w:r>
      <w:r w:rsidR="00562C69" w:rsidRPr="00E25833">
        <w:rPr>
          <w:rFonts w:ascii="Times New Roman" w:hAnsi="Times New Roman" w:cs="Times New Roman"/>
          <w:sz w:val="28"/>
          <w:szCs w:val="28"/>
        </w:rPr>
        <w:t xml:space="preserve">faktiski uzskaitītajām darba stundām, kuras izmantotas darba samaksas aprēķināšanai un ir deklarētas VID. </w:t>
      </w:r>
    </w:p>
    <w:p w14:paraId="1E5E4A08" w14:textId="77777777" w:rsidR="00A20EC7" w:rsidRPr="00E25833" w:rsidRDefault="00A20EC7" w:rsidP="00956569">
      <w:pPr>
        <w:pStyle w:val="NoSpacing"/>
        <w:spacing w:before="0"/>
        <w:ind w:firstLine="720"/>
        <w:jc w:val="both"/>
        <w:rPr>
          <w:rFonts w:ascii="Times New Roman" w:hAnsi="Times New Roman" w:cs="Times New Roman"/>
          <w:sz w:val="28"/>
          <w:szCs w:val="28"/>
        </w:rPr>
      </w:pPr>
      <w:r w:rsidRPr="00E25833">
        <w:rPr>
          <w:rFonts w:ascii="Times New Roman" w:hAnsi="Times New Roman" w:cs="Times New Roman"/>
          <w:sz w:val="28"/>
          <w:szCs w:val="28"/>
        </w:rPr>
        <w:t xml:space="preserve">2018.gada 13.jūnijā EDLUS ieviešanas ietvaros Finanšu ministrija, VID un </w:t>
      </w:r>
      <w:r w:rsidR="0024445F">
        <w:rPr>
          <w:rFonts w:ascii="Times New Roman" w:hAnsi="Times New Roman" w:cs="Times New Roman"/>
          <w:sz w:val="28"/>
          <w:szCs w:val="28"/>
        </w:rPr>
        <w:t xml:space="preserve">biedrība </w:t>
      </w:r>
      <w:r w:rsidR="003E12D1">
        <w:rPr>
          <w:rFonts w:ascii="Times New Roman" w:hAnsi="Times New Roman" w:cs="Times New Roman"/>
          <w:sz w:val="28"/>
          <w:szCs w:val="28"/>
        </w:rPr>
        <w:t>“</w:t>
      </w:r>
      <w:r w:rsidRPr="00E25833">
        <w:rPr>
          <w:rFonts w:ascii="Times New Roman" w:hAnsi="Times New Roman" w:cs="Times New Roman"/>
          <w:sz w:val="28"/>
          <w:szCs w:val="28"/>
        </w:rPr>
        <w:t xml:space="preserve">Latvijas </w:t>
      </w:r>
      <w:r w:rsidR="00956569">
        <w:rPr>
          <w:rFonts w:ascii="Times New Roman" w:hAnsi="Times New Roman" w:cs="Times New Roman"/>
          <w:sz w:val="28"/>
          <w:szCs w:val="28"/>
        </w:rPr>
        <w:t>B</w:t>
      </w:r>
      <w:r w:rsidRPr="00E25833">
        <w:rPr>
          <w:rFonts w:ascii="Times New Roman" w:hAnsi="Times New Roman" w:cs="Times New Roman"/>
          <w:sz w:val="28"/>
          <w:szCs w:val="28"/>
        </w:rPr>
        <w:t>ūvuzņēm</w:t>
      </w:r>
      <w:r w:rsidR="00956569">
        <w:rPr>
          <w:rFonts w:ascii="Times New Roman" w:hAnsi="Times New Roman" w:cs="Times New Roman"/>
          <w:sz w:val="28"/>
          <w:szCs w:val="28"/>
        </w:rPr>
        <w:t xml:space="preserve">ēju </w:t>
      </w:r>
      <w:r w:rsidRPr="00E25833">
        <w:rPr>
          <w:rFonts w:ascii="Times New Roman" w:hAnsi="Times New Roman" w:cs="Times New Roman"/>
          <w:sz w:val="28"/>
          <w:szCs w:val="28"/>
        </w:rPr>
        <w:t>partnerība</w:t>
      </w:r>
      <w:r w:rsidR="003E12D1">
        <w:rPr>
          <w:rFonts w:ascii="Times New Roman" w:hAnsi="Times New Roman" w:cs="Times New Roman"/>
          <w:sz w:val="28"/>
          <w:szCs w:val="28"/>
        </w:rPr>
        <w:t>”</w:t>
      </w:r>
      <w:r w:rsidRPr="00E25833">
        <w:rPr>
          <w:rFonts w:ascii="Times New Roman" w:hAnsi="Times New Roman" w:cs="Times New Roman"/>
          <w:sz w:val="28"/>
          <w:szCs w:val="28"/>
        </w:rPr>
        <w:t xml:space="preserve"> parakstīja sadarbības memorandu par </w:t>
      </w:r>
      <w:r w:rsidRPr="006E22E5">
        <w:rPr>
          <w:rFonts w:ascii="Times New Roman" w:hAnsi="Times New Roman" w:cs="Times New Roman"/>
          <w:sz w:val="28"/>
          <w:szCs w:val="28"/>
        </w:rPr>
        <w:t>EDLUS reģistrēto datu nodošanu VID</w:t>
      </w:r>
      <w:r w:rsidR="006C015E" w:rsidRPr="006E22E5">
        <w:rPr>
          <w:rFonts w:ascii="Times New Roman" w:hAnsi="Times New Roman" w:cs="Times New Roman"/>
          <w:sz w:val="28"/>
          <w:szCs w:val="28"/>
        </w:rPr>
        <w:t xml:space="preserve">. </w:t>
      </w:r>
      <w:r w:rsidRPr="006E22E5">
        <w:rPr>
          <w:rFonts w:ascii="Times New Roman" w:hAnsi="Times New Roman" w:cs="Times New Roman"/>
          <w:sz w:val="28"/>
          <w:szCs w:val="28"/>
        </w:rPr>
        <w:t>2019.gadā 25</w:t>
      </w:r>
      <w:r w:rsidR="006C2DDC">
        <w:rPr>
          <w:rFonts w:ascii="Times New Roman" w:hAnsi="Times New Roman" w:cs="Times New Roman"/>
          <w:sz w:val="28"/>
          <w:szCs w:val="28"/>
        </w:rPr>
        <w:t> </w:t>
      </w:r>
      <w:r w:rsidRPr="006E22E5">
        <w:rPr>
          <w:rFonts w:ascii="Times New Roman" w:hAnsi="Times New Roman" w:cs="Times New Roman"/>
          <w:sz w:val="28"/>
          <w:szCs w:val="28"/>
        </w:rPr>
        <w:t xml:space="preserve">būvuzņēmēji </w:t>
      </w:r>
      <w:r w:rsidR="00B63431">
        <w:rPr>
          <w:rFonts w:ascii="Times New Roman" w:hAnsi="Times New Roman" w:cs="Times New Roman"/>
          <w:sz w:val="28"/>
          <w:szCs w:val="28"/>
        </w:rPr>
        <w:t xml:space="preserve">nodeva </w:t>
      </w:r>
      <w:r w:rsidRPr="006E22E5">
        <w:rPr>
          <w:rFonts w:ascii="Times New Roman" w:hAnsi="Times New Roman" w:cs="Times New Roman"/>
          <w:sz w:val="28"/>
          <w:szCs w:val="28"/>
        </w:rPr>
        <w:t xml:space="preserve">EDLUS </w:t>
      </w:r>
      <w:r w:rsidR="002A2CAD" w:rsidRPr="006E22E5">
        <w:rPr>
          <w:rFonts w:ascii="Times New Roman" w:hAnsi="Times New Roman" w:cs="Times New Roman"/>
          <w:sz w:val="28"/>
          <w:szCs w:val="28"/>
        </w:rPr>
        <w:t xml:space="preserve">reģistrēto </w:t>
      </w:r>
      <w:r w:rsidRPr="006E22E5">
        <w:rPr>
          <w:rFonts w:ascii="Times New Roman" w:hAnsi="Times New Roman" w:cs="Times New Roman"/>
          <w:sz w:val="28"/>
          <w:szCs w:val="28"/>
        </w:rPr>
        <w:t>nodarbināto personu datu</w:t>
      </w:r>
      <w:r w:rsidR="00B63431">
        <w:rPr>
          <w:rFonts w:ascii="Times New Roman" w:hAnsi="Times New Roman" w:cs="Times New Roman"/>
          <w:sz w:val="28"/>
          <w:szCs w:val="28"/>
        </w:rPr>
        <w:t>s</w:t>
      </w:r>
      <w:r w:rsidR="006C015E" w:rsidRPr="006E22E5">
        <w:rPr>
          <w:rFonts w:ascii="Times New Roman" w:hAnsi="Times New Roman" w:cs="Times New Roman"/>
          <w:sz w:val="28"/>
          <w:szCs w:val="28"/>
        </w:rPr>
        <w:t>, ko</w:t>
      </w:r>
      <w:r w:rsidRPr="006E22E5">
        <w:rPr>
          <w:rFonts w:ascii="Times New Roman" w:hAnsi="Times New Roman" w:cs="Times New Roman"/>
          <w:sz w:val="28"/>
          <w:szCs w:val="28"/>
        </w:rPr>
        <w:t xml:space="preserve"> </w:t>
      </w:r>
      <w:r w:rsidR="00645857" w:rsidRPr="006E22E5">
        <w:rPr>
          <w:rFonts w:ascii="Times New Roman" w:hAnsi="Times New Roman" w:cs="Times New Roman"/>
          <w:sz w:val="28"/>
          <w:szCs w:val="28"/>
        </w:rPr>
        <w:t xml:space="preserve">VID </w:t>
      </w:r>
      <w:r w:rsidR="00B63431">
        <w:rPr>
          <w:rFonts w:ascii="Times New Roman" w:hAnsi="Times New Roman" w:cs="Times New Roman"/>
          <w:sz w:val="28"/>
          <w:szCs w:val="28"/>
        </w:rPr>
        <w:t>no</w:t>
      </w:r>
      <w:r w:rsidR="00645857" w:rsidRPr="006E22E5">
        <w:rPr>
          <w:rFonts w:ascii="Times New Roman" w:hAnsi="Times New Roman" w:cs="Times New Roman"/>
          <w:sz w:val="28"/>
          <w:szCs w:val="28"/>
        </w:rPr>
        <w:t>vēr</w:t>
      </w:r>
      <w:r w:rsidR="006C015E" w:rsidRPr="006E22E5">
        <w:rPr>
          <w:rFonts w:ascii="Times New Roman" w:hAnsi="Times New Roman" w:cs="Times New Roman"/>
          <w:sz w:val="28"/>
          <w:szCs w:val="28"/>
        </w:rPr>
        <w:t>tē kā pozitīvu iniciatīvu</w:t>
      </w:r>
      <w:r w:rsidR="00C335A3" w:rsidRPr="006E22E5">
        <w:rPr>
          <w:rFonts w:ascii="Times New Roman" w:hAnsi="Times New Roman" w:cs="Times New Roman"/>
          <w:sz w:val="28"/>
          <w:szCs w:val="28"/>
        </w:rPr>
        <w:t>.</w:t>
      </w:r>
      <w:r w:rsidR="00D70384" w:rsidRPr="006E22E5">
        <w:rPr>
          <w:rFonts w:ascii="Times New Roman" w:hAnsi="Times New Roman" w:cs="Times New Roman"/>
          <w:sz w:val="28"/>
          <w:szCs w:val="28"/>
        </w:rPr>
        <w:t xml:space="preserve"> </w:t>
      </w:r>
      <w:r w:rsidR="00B63431">
        <w:rPr>
          <w:rFonts w:ascii="Times New Roman" w:hAnsi="Times New Roman" w:cs="Times New Roman"/>
          <w:sz w:val="28"/>
          <w:szCs w:val="28"/>
        </w:rPr>
        <w:t>Saņemtā i</w:t>
      </w:r>
      <w:r w:rsidRPr="006E22E5">
        <w:rPr>
          <w:rFonts w:ascii="Times New Roman" w:hAnsi="Times New Roman" w:cs="Times New Roman"/>
          <w:sz w:val="28"/>
          <w:szCs w:val="28"/>
        </w:rPr>
        <w:t xml:space="preserve">nformācija izmantota </w:t>
      </w:r>
      <w:r w:rsidR="006E22E5" w:rsidRPr="006E22E5">
        <w:rPr>
          <w:rFonts w:ascii="Times New Roman" w:hAnsi="Times New Roman" w:cs="Times New Roman"/>
          <w:sz w:val="28"/>
          <w:szCs w:val="28"/>
        </w:rPr>
        <w:t>būvniecības nozarē strādājošo uzņēmumu pārbaudēs</w:t>
      </w:r>
      <w:r w:rsidR="00063D8E" w:rsidRPr="006E22E5">
        <w:rPr>
          <w:rFonts w:ascii="Times New Roman" w:hAnsi="Times New Roman" w:cs="Times New Roman"/>
          <w:sz w:val="28"/>
          <w:szCs w:val="28"/>
        </w:rPr>
        <w:t>.</w:t>
      </w:r>
      <w:r w:rsidRPr="006E22E5">
        <w:rPr>
          <w:rFonts w:ascii="Times New Roman" w:hAnsi="Times New Roman" w:cs="Times New Roman"/>
          <w:sz w:val="28"/>
          <w:szCs w:val="28"/>
        </w:rPr>
        <w:t xml:space="preserve"> </w:t>
      </w:r>
    </w:p>
    <w:p w14:paraId="224ACD8E" w14:textId="30D24BCD" w:rsidR="00FF39FF" w:rsidRPr="00E65335" w:rsidRDefault="00A20EC7" w:rsidP="006C2DDC">
      <w:pPr>
        <w:pStyle w:val="NoSpacing"/>
        <w:spacing w:before="0"/>
        <w:ind w:firstLine="720"/>
        <w:jc w:val="both"/>
        <w:rPr>
          <w:rFonts w:ascii="Times New Roman" w:hAnsi="Times New Roman" w:cs="Times New Roman"/>
          <w:sz w:val="28"/>
          <w:szCs w:val="28"/>
        </w:rPr>
      </w:pPr>
      <w:r w:rsidRPr="00E25833">
        <w:rPr>
          <w:rFonts w:ascii="Times New Roman" w:hAnsi="Times New Roman" w:cs="Times New Roman"/>
          <w:sz w:val="28"/>
          <w:szCs w:val="28"/>
        </w:rPr>
        <w:t>Kopumā par p</w:t>
      </w:r>
      <w:r w:rsidR="00FF39FF" w:rsidRPr="00E25833">
        <w:rPr>
          <w:rFonts w:ascii="Times New Roman" w:hAnsi="Times New Roman" w:cs="Times New Roman"/>
          <w:sz w:val="28"/>
          <w:szCs w:val="28"/>
        </w:rPr>
        <w:t>ārbau</w:t>
      </w:r>
      <w:r w:rsidR="00071B13">
        <w:rPr>
          <w:rFonts w:ascii="Times New Roman" w:hAnsi="Times New Roman" w:cs="Times New Roman"/>
          <w:sz w:val="28"/>
          <w:szCs w:val="28"/>
        </w:rPr>
        <w:t>žu</w:t>
      </w:r>
      <w:r w:rsidR="00FF39FF" w:rsidRPr="00E25833">
        <w:rPr>
          <w:rFonts w:ascii="Times New Roman" w:hAnsi="Times New Roman" w:cs="Times New Roman"/>
          <w:sz w:val="28"/>
          <w:szCs w:val="28"/>
        </w:rPr>
        <w:t xml:space="preserve"> laikā konstatētajām neatbilstīb</w:t>
      </w:r>
      <w:r w:rsidR="00071B13">
        <w:rPr>
          <w:rFonts w:ascii="Times New Roman" w:hAnsi="Times New Roman" w:cs="Times New Roman"/>
          <w:sz w:val="28"/>
          <w:szCs w:val="28"/>
        </w:rPr>
        <w:t>ām</w:t>
      </w:r>
      <w:r w:rsidR="000C2D64">
        <w:rPr>
          <w:rFonts w:ascii="Times New Roman" w:hAnsi="Times New Roman" w:cs="Times New Roman"/>
          <w:sz w:val="28"/>
          <w:szCs w:val="28"/>
        </w:rPr>
        <w:t>, konstatējot</w:t>
      </w:r>
      <w:r w:rsidR="004D5E59">
        <w:rPr>
          <w:rFonts w:ascii="Times New Roman" w:hAnsi="Times New Roman" w:cs="Times New Roman"/>
          <w:sz w:val="28"/>
          <w:szCs w:val="28"/>
        </w:rPr>
        <w:t xml:space="preserve"> gadījumus, kad pārsniegta </w:t>
      </w:r>
      <w:r w:rsidR="000C2D64" w:rsidRPr="003D116B">
        <w:rPr>
          <w:rFonts w:ascii="Times New Roman" w:hAnsi="Times New Roman" w:cs="Times New Roman"/>
          <w:sz w:val="28"/>
          <w:szCs w:val="28"/>
        </w:rPr>
        <w:t>EDLUS reģistrēto</w:t>
      </w:r>
      <w:r w:rsidR="00EC1292">
        <w:rPr>
          <w:rFonts w:ascii="Times New Roman" w:hAnsi="Times New Roman" w:cs="Times New Roman"/>
          <w:sz w:val="28"/>
          <w:szCs w:val="28"/>
        </w:rPr>
        <w:t xml:space="preserve"> darba stundu</w:t>
      </w:r>
      <w:r w:rsidR="000C2D64" w:rsidRPr="003D116B">
        <w:rPr>
          <w:rFonts w:ascii="Times New Roman" w:hAnsi="Times New Roman" w:cs="Times New Roman"/>
          <w:sz w:val="28"/>
          <w:szCs w:val="28"/>
        </w:rPr>
        <w:t xml:space="preserve"> </w:t>
      </w:r>
      <w:r w:rsidR="00631B52">
        <w:rPr>
          <w:rFonts w:ascii="Times New Roman" w:hAnsi="Times New Roman" w:cs="Times New Roman"/>
          <w:sz w:val="28"/>
          <w:szCs w:val="28"/>
        </w:rPr>
        <w:t xml:space="preserve">pieļaujamā </w:t>
      </w:r>
      <w:r w:rsidR="000C2D64" w:rsidRPr="003D116B">
        <w:rPr>
          <w:rFonts w:ascii="Times New Roman" w:hAnsi="Times New Roman" w:cs="Times New Roman"/>
          <w:sz w:val="28"/>
          <w:szCs w:val="28"/>
        </w:rPr>
        <w:t>novirz</w:t>
      </w:r>
      <w:r w:rsidR="004D5E59">
        <w:rPr>
          <w:rFonts w:ascii="Times New Roman" w:hAnsi="Times New Roman" w:cs="Times New Roman"/>
          <w:sz w:val="28"/>
          <w:szCs w:val="28"/>
        </w:rPr>
        <w:t>e</w:t>
      </w:r>
      <w:r w:rsidR="000C2D64" w:rsidRPr="003D116B">
        <w:rPr>
          <w:rFonts w:ascii="Times New Roman" w:hAnsi="Times New Roman" w:cs="Times New Roman"/>
          <w:sz w:val="28"/>
          <w:szCs w:val="28"/>
        </w:rPr>
        <w:t xml:space="preserve"> </w:t>
      </w:r>
      <w:r w:rsidR="00EC1292">
        <w:rPr>
          <w:rFonts w:ascii="Times New Roman" w:hAnsi="Times New Roman" w:cs="Times New Roman"/>
          <w:sz w:val="28"/>
          <w:szCs w:val="28"/>
        </w:rPr>
        <w:t>no</w:t>
      </w:r>
      <w:r w:rsidR="00EC1292" w:rsidRPr="003D116B">
        <w:rPr>
          <w:rFonts w:ascii="Times New Roman" w:hAnsi="Times New Roman" w:cs="Times New Roman"/>
          <w:sz w:val="28"/>
          <w:szCs w:val="28"/>
        </w:rPr>
        <w:t xml:space="preserve"> </w:t>
      </w:r>
      <w:r w:rsidR="000C2D64" w:rsidRPr="003D116B">
        <w:rPr>
          <w:rFonts w:ascii="Times New Roman" w:hAnsi="Times New Roman" w:cs="Times New Roman"/>
          <w:sz w:val="28"/>
          <w:szCs w:val="28"/>
        </w:rPr>
        <w:t>faktiski uzskaitītajām darba stundām, kas izmantotas darba samaksas aprēķināšanai par darbu būvlaukumā</w:t>
      </w:r>
      <w:r w:rsidR="00F33C67">
        <w:rPr>
          <w:rFonts w:ascii="Times New Roman" w:hAnsi="Times New Roman" w:cs="Times New Roman"/>
          <w:sz w:val="28"/>
          <w:szCs w:val="28"/>
        </w:rPr>
        <w:t xml:space="preserve">, </w:t>
      </w:r>
      <w:r w:rsidR="00FF39FF" w:rsidRPr="005C73D5">
        <w:rPr>
          <w:rFonts w:ascii="Times New Roman" w:hAnsi="Times New Roman" w:cs="Times New Roman"/>
          <w:color w:val="000000" w:themeColor="text1"/>
          <w:sz w:val="28"/>
          <w:szCs w:val="28"/>
        </w:rPr>
        <w:t xml:space="preserve">2018.gadā </w:t>
      </w:r>
      <w:r w:rsidR="00552650" w:rsidRPr="00DB39B9">
        <w:rPr>
          <w:rFonts w:ascii="Times New Roman" w:hAnsi="Times New Roman" w:cs="Times New Roman"/>
          <w:color w:val="000000" w:themeColor="text1"/>
          <w:sz w:val="28"/>
          <w:szCs w:val="28"/>
        </w:rPr>
        <w:t>10</w:t>
      </w:r>
      <w:r w:rsidR="006C2DDC">
        <w:rPr>
          <w:rFonts w:ascii="Times New Roman" w:hAnsi="Times New Roman" w:cs="Times New Roman"/>
          <w:color w:val="000000" w:themeColor="text1"/>
          <w:sz w:val="28"/>
          <w:szCs w:val="28"/>
        </w:rPr>
        <w:t> </w:t>
      </w:r>
      <w:r w:rsidR="00552650" w:rsidRPr="00DB39B9">
        <w:rPr>
          <w:rFonts w:ascii="Times New Roman" w:hAnsi="Times New Roman" w:cs="Times New Roman"/>
          <w:color w:val="000000" w:themeColor="text1"/>
          <w:sz w:val="28"/>
          <w:szCs w:val="28"/>
        </w:rPr>
        <w:t xml:space="preserve">% </w:t>
      </w:r>
      <w:r w:rsidR="00552650">
        <w:rPr>
          <w:rFonts w:ascii="Times New Roman" w:hAnsi="Times New Roman" w:cs="Times New Roman"/>
          <w:color w:val="000000" w:themeColor="text1"/>
          <w:sz w:val="28"/>
          <w:szCs w:val="28"/>
        </w:rPr>
        <w:t>no veiktajām pārbaudēm</w:t>
      </w:r>
      <w:r w:rsidR="00552650" w:rsidRPr="005C73D5" w:rsidDel="00552650">
        <w:rPr>
          <w:rFonts w:ascii="Times New Roman" w:hAnsi="Times New Roman" w:cs="Times New Roman"/>
          <w:color w:val="000000" w:themeColor="text1"/>
          <w:sz w:val="28"/>
          <w:szCs w:val="28"/>
        </w:rPr>
        <w:t xml:space="preserve"> </w:t>
      </w:r>
      <w:r w:rsidR="00FF39FF" w:rsidRPr="005C73D5">
        <w:rPr>
          <w:rFonts w:ascii="Times New Roman" w:hAnsi="Times New Roman" w:cs="Times New Roman"/>
          <w:color w:val="000000" w:themeColor="text1"/>
          <w:sz w:val="28"/>
          <w:szCs w:val="28"/>
        </w:rPr>
        <w:t xml:space="preserve">informēti </w:t>
      </w:r>
      <w:r w:rsidR="00FF39FF" w:rsidRPr="006610D8">
        <w:rPr>
          <w:rFonts w:ascii="Times New Roman" w:hAnsi="Times New Roman" w:cs="Times New Roman"/>
          <w:color w:val="000000" w:themeColor="text1"/>
          <w:sz w:val="28"/>
          <w:szCs w:val="28"/>
        </w:rPr>
        <w:t>68</w:t>
      </w:r>
      <w:r w:rsidR="006C2DDC">
        <w:rPr>
          <w:rFonts w:ascii="Times New Roman" w:hAnsi="Times New Roman" w:cs="Times New Roman"/>
          <w:color w:val="000000" w:themeColor="text1"/>
          <w:sz w:val="28"/>
          <w:szCs w:val="28"/>
        </w:rPr>
        <w:t> </w:t>
      </w:r>
      <w:r w:rsidR="00FF39FF" w:rsidRPr="00DB39B9">
        <w:rPr>
          <w:rFonts w:ascii="Times New Roman" w:hAnsi="Times New Roman" w:cs="Times New Roman"/>
          <w:color w:val="000000" w:themeColor="text1"/>
          <w:sz w:val="28"/>
          <w:szCs w:val="28"/>
        </w:rPr>
        <w:t xml:space="preserve">nodokļu maksātāji, 2019.gadā </w:t>
      </w:r>
      <w:r w:rsidR="00552650" w:rsidRPr="005C73D5">
        <w:rPr>
          <w:rFonts w:ascii="Times New Roman" w:hAnsi="Times New Roman" w:cs="Times New Roman"/>
          <w:color w:val="000000" w:themeColor="text1"/>
          <w:sz w:val="28"/>
          <w:szCs w:val="28"/>
        </w:rPr>
        <w:t>6</w:t>
      </w:r>
      <w:r w:rsidR="006C2DDC">
        <w:rPr>
          <w:rFonts w:ascii="Times New Roman" w:hAnsi="Times New Roman" w:cs="Times New Roman"/>
          <w:color w:val="000000" w:themeColor="text1"/>
          <w:sz w:val="28"/>
          <w:szCs w:val="28"/>
        </w:rPr>
        <w:t> </w:t>
      </w:r>
      <w:r w:rsidR="00552650" w:rsidRPr="005C73D5">
        <w:rPr>
          <w:rFonts w:ascii="Times New Roman" w:hAnsi="Times New Roman" w:cs="Times New Roman"/>
          <w:color w:val="000000" w:themeColor="text1"/>
          <w:sz w:val="28"/>
          <w:szCs w:val="28"/>
        </w:rPr>
        <w:t xml:space="preserve">% </w:t>
      </w:r>
      <w:r w:rsidR="00552650">
        <w:rPr>
          <w:rFonts w:ascii="Times New Roman" w:hAnsi="Times New Roman" w:cs="Times New Roman"/>
          <w:color w:val="000000" w:themeColor="text1"/>
          <w:sz w:val="28"/>
          <w:szCs w:val="28"/>
        </w:rPr>
        <w:t>no veiktajām pārbaudēm informēti</w:t>
      </w:r>
      <w:r w:rsidR="00552650" w:rsidRPr="00674F09">
        <w:rPr>
          <w:rFonts w:ascii="Times New Roman" w:hAnsi="Times New Roman" w:cs="Times New Roman"/>
          <w:color w:val="FF0000"/>
          <w:sz w:val="28"/>
          <w:szCs w:val="28"/>
        </w:rPr>
        <w:t xml:space="preserve"> </w:t>
      </w:r>
      <w:r w:rsidR="00FF39FF" w:rsidRPr="00E65335">
        <w:rPr>
          <w:rFonts w:ascii="Times New Roman" w:hAnsi="Times New Roman" w:cs="Times New Roman"/>
          <w:sz w:val="28"/>
          <w:szCs w:val="28"/>
        </w:rPr>
        <w:t>50</w:t>
      </w:r>
      <w:r w:rsidR="006C2DDC">
        <w:rPr>
          <w:rFonts w:ascii="Times New Roman" w:hAnsi="Times New Roman" w:cs="Times New Roman"/>
          <w:sz w:val="28"/>
          <w:szCs w:val="28"/>
        </w:rPr>
        <w:t> </w:t>
      </w:r>
      <w:r w:rsidR="00FF39FF" w:rsidRPr="00E65335">
        <w:rPr>
          <w:rFonts w:ascii="Times New Roman" w:hAnsi="Times New Roman" w:cs="Times New Roman"/>
          <w:sz w:val="28"/>
          <w:szCs w:val="28"/>
        </w:rPr>
        <w:t xml:space="preserve">nodokļu maksātāji. </w:t>
      </w:r>
    </w:p>
    <w:p w14:paraId="2ABC805A" w14:textId="77777777" w:rsidR="00A4206D" w:rsidRPr="00DC193A" w:rsidRDefault="00EC2B9F" w:rsidP="005E08CF">
      <w:pPr>
        <w:spacing w:before="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Izvērtējot pārbaužu </w:t>
      </w:r>
      <w:r w:rsidR="00EF2FC0">
        <w:rPr>
          <w:rFonts w:ascii="Times New Roman" w:hAnsi="Times New Roman" w:cs="Times New Roman"/>
          <w:sz w:val="28"/>
          <w:szCs w:val="28"/>
        </w:rPr>
        <w:t xml:space="preserve">laikā </w:t>
      </w:r>
      <w:r>
        <w:rPr>
          <w:rFonts w:ascii="Times New Roman" w:hAnsi="Times New Roman" w:cs="Times New Roman"/>
          <w:sz w:val="28"/>
          <w:szCs w:val="28"/>
        </w:rPr>
        <w:t>iesniegtos EDLUS</w:t>
      </w:r>
      <w:r w:rsidR="00FF2395">
        <w:rPr>
          <w:rFonts w:ascii="Times New Roman" w:hAnsi="Times New Roman" w:cs="Times New Roman"/>
          <w:sz w:val="28"/>
          <w:szCs w:val="28"/>
        </w:rPr>
        <w:t xml:space="preserve"> datus</w:t>
      </w:r>
      <w:r>
        <w:rPr>
          <w:rFonts w:ascii="Times New Roman" w:hAnsi="Times New Roman" w:cs="Times New Roman"/>
          <w:sz w:val="28"/>
          <w:szCs w:val="28"/>
        </w:rPr>
        <w:t xml:space="preserve">, konstatēts, ka </w:t>
      </w:r>
      <w:r w:rsidR="00EF2FC0">
        <w:rPr>
          <w:rFonts w:ascii="Times New Roman" w:hAnsi="Times New Roman" w:cs="Times New Roman"/>
          <w:sz w:val="28"/>
          <w:szCs w:val="28"/>
        </w:rPr>
        <w:t xml:space="preserve">tos var izmantot </w:t>
      </w:r>
      <w:r w:rsidR="00C80F07">
        <w:rPr>
          <w:rFonts w:ascii="Times New Roman" w:hAnsi="Times New Roman" w:cs="Times New Roman"/>
          <w:sz w:val="28"/>
          <w:szCs w:val="28"/>
        </w:rPr>
        <w:t>arī</w:t>
      </w:r>
      <w:r w:rsidR="00EF2FC0">
        <w:rPr>
          <w:rFonts w:ascii="Times New Roman" w:hAnsi="Times New Roman" w:cs="Times New Roman"/>
          <w:sz w:val="28"/>
          <w:szCs w:val="28"/>
        </w:rPr>
        <w:t>, lai</w:t>
      </w:r>
      <w:r w:rsidR="00C80F07">
        <w:rPr>
          <w:rFonts w:ascii="Times New Roman" w:hAnsi="Times New Roman" w:cs="Times New Roman"/>
          <w:sz w:val="28"/>
          <w:szCs w:val="28"/>
        </w:rPr>
        <w:t xml:space="preserve"> </w:t>
      </w:r>
      <w:r>
        <w:rPr>
          <w:rFonts w:ascii="Times New Roman" w:hAnsi="Times New Roman" w:cs="Times New Roman"/>
          <w:sz w:val="28"/>
          <w:szCs w:val="28"/>
        </w:rPr>
        <w:t>atklā</w:t>
      </w:r>
      <w:r w:rsidR="00EF2FC0">
        <w:rPr>
          <w:rFonts w:ascii="Times New Roman" w:hAnsi="Times New Roman" w:cs="Times New Roman"/>
          <w:sz w:val="28"/>
          <w:szCs w:val="28"/>
        </w:rPr>
        <w:t>tu</w:t>
      </w:r>
      <w:r>
        <w:rPr>
          <w:rFonts w:ascii="Times New Roman" w:hAnsi="Times New Roman" w:cs="Times New Roman"/>
          <w:sz w:val="28"/>
          <w:szCs w:val="28"/>
        </w:rPr>
        <w:t xml:space="preserve"> pārkāpumus</w:t>
      </w:r>
      <w:r w:rsidR="00C80F07">
        <w:rPr>
          <w:rFonts w:ascii="Times New Roman" w:hAnsi="Times New Roman" w:cs="Times New Roman"/>
          <w:sz w:val="28"/>
          <w:szCs w:val="28"/>
        </w:rPr>
        <w:t xml:space="preserve"> </w:t>
      </w:r>
      <w:r w:rsidR="006829B8">
        <w:rPr>
          <w:rFonts w:ascii="Times New Roman" w:hAnsi="Times New Roman" w:cs="Times New Roman"/>
          <w:sz w:val="28"/>
          <w:szCs w:val="28"/>
        </w:rPr>
        <w:t xml:space="preserve">darba </w:t>
      </w:r>
      <w:r>
        <w:rPr>
          <w:rFonts w:ascii="Times New Roman" w:hAnsi="Times New Roman" w:cs="Times New Roman"/>
          <w:sz w:val="28"/>
          <w:szCs w:val="28"/>
        </w:rPr>
        <w:t xml:space="preserve">devējiem, kuri </w:t>
      </w:r>
      <w:r w:rsidR="009B53BB">
        <w:rPr>
          <w:rFonts w:ascii="Times New Roman" w:hAnsi="Times New Roman" w:cs="Times New Roman"/>
          <w:sz w:val="28"/>
          <w:szCs w:val="28"/>
        </w:rPr>
        <w:t xml:space="preserve">VID iesniegtajos darba devēja ziņojumos </w:t>
      </w:r>
      <w:r w:rsidR="00C80F07">
        <w:rPr>
          <w:rFonts w:ascii="Times New Roman" w:hAnsi="Times New Roman" w:cs="Times New Roman"/>
          <w:sz w:val="28"/>
          <w:szCs w:val="28"/>
        </w:rPr>
        <w:t xml:space="preserve">vispār nedeklarē darba ņēmējiem nostrādātās stundas un aprēķinātos nodokļus no darba algas. </w:t>
      </w:r>
      <w:r w:rsidR="00A4206D" w:rsidRPr="00DC193A">
        <w:rPr>
          <w:rFonts w:ascii="Times New Roman" w:hAnsi="Times New Roman" w:cs="Times New Roman"/>
          <w:color w:val="000000" w:themeColor="text1"/>
          <w:sz w:val="28"/>
          <w:szCs w:val="28"/>
        </w:rPr>
        <w:t xml:space="preserve">2019.gadā </w:t>
      </w:r>
      <w:r w:rsidR="00C80F07" w:rsidRPr="00DC193A">
        <w:rPr>
          <w:rFonts w:ascii="Times New Roman" w:hAnsi="Times New Roman" w:cs="Times New Roman"/>
          <w:color w:val="000000" w:themeColor="text1"/>
          <w:sz w:val="28"/>
          <w:szCs w:val="28"/>
        </w:rPr>
        <w:t xml:space="preserve">šādi pārkāpumi </w:t>
      </w:r>
      <w:r w:rsidR="00A4206D" w:rsidRPr="00DC193A">
        <w:rPr>
          <w:rFonts w:ascii="Times New Roman" w:hAnsi="Times New Roman" w:cs="Times New Roman"/>
          <w:color w:val="000000" w:themeColor="text1"/>
          <w:sz w:val="28"/>
          <w:szCs w:val="28"/>
        </w:rPr>
        <w:t>konstatēt</w:t>
      </w:r>
      <w:r w:rsidR="00C80F07" w:rsidRPr="00DC193A">
        <w:rPr>
          <w:rFonts w:ascii="Times New Roman" w:hAnsi="Times New Roman" w:cs="Times New Roman"/>
          <w:color w:val="000000" w:themeColor="text1"/>
          <w:sz w:val="28"/>
          <w:szCs w:val="28"/>
        </w:rPr>
        <w:t>i</w:t>
      </w:r>
      <w:r w:rsidR="00A4206D" w:rsidRPr="00DC193A">
        <w:rPr>
          <w:rFonts w:ascii="Times New Roman" w:hAnsi="Times New Roman" w:cs="Times New Roman"/>
          <w:color w:val="000000" w:themeColor="text1"/>
          <w:sz w:val="28"/>
          <w:szCs w:val="28"/>
        </w:rPr>
        <w:t xml:space="preserve"> </w:t>
      </w:r>
      <w:r w:rsidR="00EF2FC0">
        <w:rPr>
          <w:rFonts w:ascii="Times New Roman" w:hAnsi="Times New Roman" w:cs="Times New Roman"/>
          <w:color w:val="000000" w:themeColor="text1"/>
          <w:sz w:val="28"/>
          <w:szCs w:val="28"/>
        </w:rPr>
        <w:t>astoņiem</w:t>
      </w:r>
      <w:r w:rsidR="00EF2FC0" w:rsidRPr="00DC193A">
        <w:rPr>
          <w:rFonts w:ascii="Times New Roman" w:hAnsi="Times New Roman" w:cs="Times New Roman"/>
          <w:color w:val="000000" w:themeColor="text1"/>
          <w:sz w:val="28"/>
          <w:szCs w:val="28"/>
        </w:rPr>
        <w:t xml:space="preserve"> </w:t>
      </w:r>
      <w:r w:rsidR="00C80F07" w:rsidRPr="00DC193A">
        <w:rPr>
          <w:rFonts w:ascii="Times New Roman" w:hAnsi="Times New Roman" w:cs="Times New Roman"/>
          <w:color w:val="000000" w:themeColor="text1"/>
          <w:sz w:val="28"/>
          <w:szCs w:val="28"/>
        </w:rPr>
        <w:t>darba devējiem</w:t>
      </w:r>
      <w:r w:rsidR="00A4206D" w:rsidRPr="00DC193A">
        <w:rPr>
          <w:rFonts w:ascii="Times New Roman" w:hAnsi="Times New Roman" w:cs="Times New Roman"/>
          <w:color w:val="000000" w:themeColor="text1"/>
          <w:sz w:val="28"/>
          <w:szCs w:val="28"/>
        </w:rPr>
        <w:t xml:space="preserve">, </w:t>
      </w:r>
      <w:r w:rsidR="00C80F07" w:rsidRPr="00DC193A">
        <w:rPr>
          <w:rFonts w:ascii="Times New Roman" w:hAnsi="Times New Roman" w:cs="Times New Roman"/>
          <w:color w:val="000000" w:themeColor="text1"/>
          <w:sz w:val="28"/>
          <w:szCs w:val="28"/>
        </w:rPr>
        <w:t>no tiem</w:t>
      </w:r>
      <w:r w:rsidR="00A4206D" w:rsidRPr="00DC193A">
        <w:rPr>
          <w:rFonts w:ascii="Times New Roman" w:hAnsi="Times New Roman" w:cs="Times New Roman"/>
          <w:color w:val="000000" w:themeColor="text1"/>
          <w:sz w:val="28"/>
          <w:szCs w:val="28"/>
        </w:rPr>
        <w:t xml:space="preserve"> </w:t>
      </w:r>
      <w:r w:rsidR="00EF2FC0">
        <w:rPr>
          <w:rFonts w:ascii="Times New Roman" w:hAnsi="Times New Roman" w:cs="Times New Roman"/>
          <w:color w:val="000000" w:themeColor="text1"/>
          <w:sz w:val="28"/>
          <w:szCs w:val="28"/>
        </w:rPr>
        <w:t>diviem</w:t>
      </w:r>
      <w:r w:rsidR="00EF2FC0" w:rsidRPr="00DC193A">
        <w:rPr>
          <w:rFonts w:ascii="Times New Roman" w:hAnsi="Times New Roman" w:cs="Times New Roman"/>
          <w:color w:val="000000" w:themeColor="text1"/>
          <w:sz w:val="28"/>
          <w:szCs w:val="28"/>
        </w:rPr>
        <w:t xml:space="preserve"> </w:t>
      </w:r>
      <w:r w:rsidR="00A4206D" w:rsidRPr="00DC193A">
        <w:rPr>
          <w:rFonts w:ascii="Times New Roman" w:hAnsi="Times New Roman" w:cs="Times New Roman"/>
          <w:color w:val="000000" w:themeColor="text1"/>
          <w:sz w:val="28"/>
          <w:szCs w:val="28"/>
        </w:rPr>
        <w:t xml:space="preserve">būvuzņēmējiem </w:t>
      </w:r>
      <w:r w:rsidR="00F74452" w:rsidRPr="00DC193A">
        <w:rPr>
          <w:rFonts w:ascii="Times New Roman" w:hAnsi="Times New Roman" w:cs="Times New Roman"/>
          <w:color w:val="000000" w:themeColor="text1"/>
          <w:sz w:val="28"/>
          <w:szCs w:val="28"/>
        </w:rPr>
        <w:t xml:space="preserve">veikto kontroles pasākumu rezultātā </w:t>
      </w:r>
      <w:r w:rsidR="00A4206D" w:rsidRPr="00DC193A">
        <w:rPr>
          <w:rFonts w:ascii="Times New Roman" w:hAnsi="Times New Roman" w:cs="Times New Roman"/>
          <w:color w:val="000000" w:themeColor="text1"/>
          <w:sz w:val="28"/>
          <w:szCs w:val="28"/>
        </w:rPr>
        <w:t xml:space="preserve">apturēta saimnieciskā </w:t>
      </w:r>
      <w:r w:rsidR="00C80F07" w:rsidRPr="00DC193A">
        <w:rPr>
          <w:rFonts w:ascii="Times New Roman" w:hAnsi="Times New Roman" w:cs="Times New Roman"/>
          <w:color w:val="000000" w:themeColor="text1"/>
          <w:sz w:val="28"/>
          <w:szCs w:val="28"/>
        </w:rPr>
        <w:t>d</w:t>
      </w:r>
      <w:r w:rsidR="00A4206D" w:rsidRPr="00DC193A">
        <w:rPr>
          <w:rFonts w:ascii="Times New Roman" w:hAnsi="Times New Roman" w:cs="Times New Roman"/>
          <w:color w:val="000000" w:themeColor="text1"/>
          <w:sz w:val="28"/>
          <w:szCs w:val="28"/>
        </w:rPr>
        <w:t>arbība.</w:t>
      </w:r>
      <w:r w:rsidR="00E566EF" w:rsidRPr="00DC193A">
        <w:rPr>
          <w:rFonts w:ascii="Times New Roman" w:hAnsi="Times New Roman" w:cs="Times New Roman"/>
          <w:color w:val="000000" w:themeColor="text1"/>
          <w:sz w:val="28"/>
          <w:szCs w:val="28"/>
        </w:rPr>
        <w:t xml:space="preserve"> </w:t>
      </w:r>
    </w:p>
    <w:p w14:paraId="1C94C647" w14:textId="77777777" w:rsidR="00562C69" w:rsidRPr="00E25833" w:rsidRDefault="00804402" w:rsidP="005E08CF">
      <w:pPr>
        <w:spacing w:before="0"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Tomēr k</w:t>
      </w:r>
      <w:r w:rsidR="007957C8" w:rsidRPr="00E25833">
        <w:rPr>
          <w:rFonts w:ascii="Times New Roman" w:hAnsi="Times New Roman" w:cs="Times New Roman"/>
          <w:sz w:val="28"/>
          <w:szCs w:val="28"/>
        </w:rPr>
        <w:t xml:space="preserve">opumā secināts, ka pārbaudes ietvaros </w:t>
      </w:r>
      <w:r w:rsidR="00EF2FC0">
        <w:rPr>
          <w:rFonts w:ascii="Times New Roman" w:hAnsi="Times New Roman" w:cs="Times New Roman"/>
          <w:sz w:val="28"/>
          <w:szCs w:val="28"/>
        </w:rPr>
        <w:t xml:space="preserve">veiktais </w:t>
      </w:r>
      <w:r w:rsidR="007957C8" w:rsidRPr="00E25833">
        <w:rPr>
          <w:rFonts w:ascii="Times New Roman" w:hAnsi="Times New Roman" w:cs="Times New Roman"/>
          <w:sz w:val="28"/>
          <w:szCs w:val="28"/>
        </w:rPr>
        <w:t xml:space="preserve">viena būvlaukuma EDLUS datu salīdzinājums ar darbinieku deklarēto darba laiku neļauj objektīvi novērtēt </w:t>
      </w:r>
      <w:r w:rsidR="002F3831" w:rsidRPr="00E25833">
        <w:rPr>
          <w:rFonts w:ascii="Times New Roman" w:hAnsi="Times New Roman" w:cs="Times New Roman"/>
          <w:sz w:val="28"/>
          <w:szCs w:val="28"/>
        </w:rPr>
        <w:t>konkrēt</w:t>
      </w:r>
      <w:r w:rsidR="00EF2FC0">
        <w:rPr>
          <w:rFonts w:ascii="Times New Roman" w:hAnsi="Times New Roman" w:cs="Times New Roman"/>
          <w:sz w:val="28"/>
          <w:szCs w:val="28"/>
        </w:rPr>
        <w:t>ā</w:t>
      </w:r>
      <w:r w:rsidR="002F3831" w:rsidRPr="00E25833">
        <w:rPr>
          <w:rFonts w:ascii="Times New Roman" w:hAnsi="Times New Roman" w:cs="Times New Roman"/>
          <w:sz w:val="28"/>
          <w:szCs w:val="28"/>
        </w:rPr>
        <w:t xml:space="preserve"> būvuzņēmēja iespējamo </w:t>
      </w:r>
      <w:r w:rsidR="007957C8" w:rsidRPr="00E25833">
        <w:rPr>
          <w:rFonts w:ascii="Times New Roman" w:hAnsi="Times New Roman" w:cs="Times New Roman"/>
          <w:sz w:val="28"/>
          <w:szCs w:val="28"/>
        </w:rPr>
        <w:t>faktisk</w:t>
      </w:r>
      <w:r w:rsidR="00EF2FC0">
        <w:rPr>
          <w:rFonts w:ascii="Times New Roman" w:hAnsi="Times New Roman" w:cs="Times New Roman"/>
          <w:sz w:val="28"/>
          <w:szCs w:val="28"/>
        </w:rPr>
        <w:t>i</w:t>
      </w:r>
      <w:r w:rsidR="007957C8" w:rsidRPr="00E25833">
        <w:rPr>
          <w:rFonts w:ascii="Times New Roman" w:hAnsi="Times New Roman" w:cs="Times New Roman"/>
          <w:sz w:val="28"/>
          <w:szCs w:val="28"/>
        </w:rPr>
        <w:t xml:space="preserve"> nedeklarēto darba laika apmēru</w:t>
      </w:r>
      <w:r w:rsidR="00CA1DE7">
        <w:rPr>
          <w:rFonts w:ascii="Times New Roman" w:hAnsi="Times New Roman" w:cs="Times New Roman"/>
          <w:sz w:val="28"/>
          <w:szCs w:val="28"/>
        </w:rPr>
        <w:t xml:space="preserve">. </w:t>
      </w:r>
      <w:r w:rsidR="006C2DDC">
        <w:rPr>
          <w:rFonts w:ascii="Times New Roman" w:hAnsi="Times New Roman" w:cs="Times New Roman"/>
          <w:sz w:val="28"/>
          <w:szCs w:val="28"/>
        </w:rPr>
        <w:t>I</w:t>
      </w:r>
      <w:r w:rsidR="007957C8" w:rsidRPr="00E25833">
        <w:rPr>
          <w:rFonts w:ascii="Times New Roman" w:hAnsi="Times New Roman" w:cs="Times New Roman"/>
          <w:sz w:val="28"/>
          <w:szCs w:val="28"/>
        </w:rPr>
        <w:t>emesl</w:t>
      </w:r>
      <w:r w:rsidR="000E2C9D">
        <w:rPr>
          <w:rFonts w:ascii="Times New Roman" w:hAnsi="Times New Roman" w:cs="Times New Roman"/>
          <w:sz w:val="28"/>
          <w:szCs w:val="28"/>
        </w:rPr>
        <w:t>s</w:t>
      </w:r>
      <w:r w:rsidR="00E04210">
        <w:rPr>
          <w:rFonts w:ascii="Times New Roman" w:hAnsi="Times New Roman" w:cs="Times New Roman"/>
          <w:sz w:val="28"/>
          <w:szCs w:val="28"/>
        </w:rPr>
        <w:t xml:space="preserve"> tam</w:t>
      </w:r>
      <w:r w:rsidR="007957C8" w:rsidRPr="00E25833">
        <w:rPr>
          <w:rFonts w:ascii="Times New Roman" w:hAnsi="Times New Roman" w:cs="Times New Roman"/>
          <w:sz w:val="28"/>
          <w:szCs w:val="28"/>
        </w:rPr>
        <w:t xml:space="preserve"> ir darbinieku nodarbinātība vairākos </w:t>
      </w:r>
      <w:r w:rsidR="00E04210" w:rsidRPr="00E25833">
        <w:rPr>
          <w:rFonts w:ascii="Times New Roman" w:hAnsi="Times New Roman" w:cs="Times New Roman"/>
          <w:sz w:val="28"/>
          <w:szCs w:val="28"/>
        </w:rPr>
        <w:t>būv</w:t>
      </w:r>
      <w:r w:rsidR="00E04210">
        <w:rPr>
          <w:rFonts w:ascii="Times New Roman" w:hAnsi="Times New Roman" w:cs="Times New Roman"/>
          <w:sz w:val="28"/>
          <w:szCs w:val="28"/>
        </w:rPr>
        <w:t>laukumos</w:t>
      </w:r>
      <w:r w:rsidR="00185B87" w:rsidRPr="00E25833">
        <w:rPr>
          <w:rFonts w:ascii="Times New Roman" w:hAnsi="Times New Roman" w:cs="Times New Roman"/>
          <w:sz w:val="28"/>
          <w:szCs w:val="28"/>
        </w:rPr>
        <w:t>,</w:t>
      </w:r>
      <w:r w:rsidR="00E04210">
        <w:rPr>
          <w:rFonts w:ascii="Times New Roman" w:hAnsi="Times New Roman" w:cs="Times New Roman"/>
          <w:sz w:val="28"/>
          <w:szCs w:val="28"/>
        </w:rPr>
        <w:t xml:space="preserve"> tai skaitā</w:t>
      </w:r>
      <w:r w:rsidR="007957C8" w:rsidRPr="00E25833">
        <w:rPr>
          <w:rFonts w:ascii="Times New Roman" w:hAnsi="Times New Roman" w:cs="Times New Roman"/>
          <w:sz w:val="28"/>
          <w:szCs w:val="28"/>
        </w:rPr>
        <w:t xml:space="preserve"> </w:t>
      </w:r>
      <w:r w:rsidR="00EF2FC0">
        <w:rPr>
          <w:rFonts w:ascii="Times New Roman" w:hAnsi="Times New Roman" w:cs="Times New Roman"/>
          <w:sz w:val="28"/>
          <w:szCs w:val="28"/>
        </w:rPr>
        <w:t xml:space="preserve">tādos, </w:t>
      </w:r>
      <w:r w:rsidR="00E04210">
        <w:rPr>
          <w:rFonts w:ascii="Times New Roman" w:hAnsi="Times New Roman" w:cs="Times New Roman"/>
          <w:sz w:val="28"/>
          <w:szCs w:val="28"/>
        </w:rPr>
        <w:t xml:space="preserve">kuri neatbilst EDLUS ieviešanas kritērijiem, </w:t>
      </w:r>
      <w:r w:rsidR="000E2C9D">
        <w:rPr>
          <w:rFonts w:ascii="Times New Roman" w:hAnsi="Times New Roman" w:cs="Times New Roman"/>
          <w:sz w:val="28"/>
          <w:szCs w:val="28"/>
        </w:rPr>
        <w:t>jo</w:t>
      </w:r>
      <w:r w:rsidR="000E2C9D" w:rsidRPr="00E25833">
        <w:rPr>
          <w:rFonts w:ascii="Times New Roman" w:hAnsi="Times New Roman" w:cs="Times New Roman"/>
          <w:sz w:val="28"/>
          <w:szCs w:val="28"/>
        </w:rPr>
        <w:t xml:space="preserve"> EDLUS </w:t>
      </w:r>
      <w:r w:rsidR="00EF2FC0">
        <w:rPr>
          <w:rFonts w:ascii="Times New Roman" w:hAnsi="Times New Roman" w:cs="Times New Roman"/>
          <w:sz w:val="28"/>
          <w:szCs w:val="28"/>
        </w:rPr>
        <w:t xml:space="preserve">ieviešana </w:t>
      </w:r>
      <w:r w:rsidR="000E2C9D" w:rsidRPr="00E25833">
        <w:rPr>
          <w:rFonts w:ascii="Times New Roman" w:hAnsi="Times New Roman" w:cs="Times New Roman"/>
          <w:sz w:val="28"/>
          <w:szCs w:val="28"/>
        </w:rPr>
        <w:t>2018.</w:t>
      </w:r>
      <w:r w:rsidR="00EF2FC0">
        <w:rPr>
          <w:rFonts w:ascii="Times New Roman" w:hAnsi="Times New Roman" w:cs="Times New Roman"/>
          <w:sz w:val="28"/>
          <w:szCs w:val="28"/>
        </w:rPr>
        <w:t xml:space="preserve"> </w:t>
      </w:r>
      <w:r w:rsidR="006C2DDC">
        <w:rPr>
          <w:rFonts w:ascii="Times New Roman" w:hAnsi="Times New Roman" w:cs="Times New Roman"/>
          <w:sz w:val="28"/>
          <w:szCs w:val="28"/>
        </w:rPr>
        <w:t>un</w:t>
      </w:r>
      <w:r w:rsidR="000E2C9D" w:rsidRPr="00E25833">
        <w:rPr>
          <w:rFonts w:ascii="Times New Roman" w:hAnsi="Times New Roman" w:cs="Times New Roman"/>
          <w:sz w:val="28"/>
          <w:szCs w:val="28"/>
        </w:rPr>
        <w:t xml:space="preserve"> 2019.gad</w:t>
      </w:r>
      <w:r w:rsidR="00EF2FC0">
        <w:rPr>
          <w:rFonts w:ascii="Times New Roman" w:hAnsi="Times New Roman" w:cs="Times New Roman"/>
          <w:sz w:val="28"/>
          <w:szCs w:val="28"/>
        </w:rPr>
        <w:t>ā</w:t>
      </w:r>
      <w:r w:rsidR="000E2C9D" w:rsidRPr="00E25833">
        <w:rPr>
          <w:rFonts w:ascii="Times New Roman" w:hAnsi="Times New Roman" w:cs="Times New Roman"/>
          <w:sz w:val="28"/>
          <w:szCs w:val="28"/>
        </w:rPr>
        <w:t xml:space="preserve"> </w:t>
      </w:r>
      <w:r w:rsidR="00EF2FC0">
        <w:rPr>
          <w:rFonts w:ascii="Times New Roman" w:hAnsi="Times New Roman" w:cs="Times New Roman"/>
          <w:sz w:val="28"/>
          <w:szCs w:val="28"/>
        </w:rPr>
        <w:t xml:space="preserve">bija noteikta kā obligāta prasība </w:t>
      </w:r>
      <w:r w:rsidR="000E2C9D" w:rsidRPr="00E25833">
        <w:rPr>
          <w:rFonts w:ascii="Times New Roman" w:hAnsi="Times New Roman" w:cs="Times New Roman"/>
          <w:sz w:val="28"/>
          <w:szCs w:val="28"/>
        </w:rPr>
        <w:t>tikai liel</w:t>
      </w:r>
      <w:r w:rsidR="00EF2FC0">
        <w:rPr>
          <w:rFonts w:ascii="Times New Roman" w:hAnsi="Times New Roman" w:cs="Times New Roman"/>
          <w:sz w:val="28"/>
          <w:szCs w:val="28"/>
        </w:rPr>
        <w:t>ajos</w:t>
      </w:r>
      <w:r w:rsidR="00EC1292">
        <w:rPr>
          <w:rFonts w:ascii="Times New Roman" w:hAnsi="Times New Roman" w:cs="Times New Roman"/>
          <w:sz w:val="28"/>
          <w:szCs w:val="28"/>
        </w:rPr>
        <w:t xml:space="preserve"> (t.i., kuros būvdarbu izmaksas bija 1 miljons </w:t>
      </w:r>
      <w:proofErr w:type="spellStart"/>
      <w:r w:rsidR="00EC1292" w:rsidRPr="00C4379B">
        <w:rPr>
          <w:rFonts w:ascii="Times New Roman" w:hAnsi="Times New Roman" w:cs="Times New Roman"/>
          <w:i/>
          <w:sz w:val="28"/>
          <w:szCs w:val="28"/>
        </w:rPr>
        <w:t>euro</w:t>
      </w:r>
      <w:proofErr w:type="spellEnd"/>
      <w:r w:rsidR="00EC1292">
        <w:rPr>
          <w:rFonts w:ascii="Times New Roman" w:hAnsi="Times New Roman" w:cs="Times New Roman"/>
          <w:sz w:val="28"/>
          <w:szCs w:val="28"/>
        </w:rPr>
        <w:t xml:space="preserve"> vai vairāk)</w:t>
      </w:r>
      <w:r w:rsidR="000E2C9D" w:rsidRPr="00E25833">
        <w:rPr>
          <w:rFonts w:ascii="Times New Roman" w:hAnsi="Times New Roman" w:cs="Times New Roman"/>
          <w:sz w:val="28"/>
          <w:szCs w:val="28"/>
        </w:rPr>
        <w:t xml:space="preserve"> būvlaukum</w:t>
      </w:r>
      <w:r w:rsidR="00EF2FC0">
        <w:rPr>
          <w:rFonts w:ascii="Times New Roman" w:hAnsi="Times New Roman" w:cs="Times New Roman"/>
          <w:sz w:val="28"/>
          <w:szCs w:val="28"/>
        </w:rPr>
        <w:t>o</w:t>
      </w:r>
      <w:r w:rsidR="000E2C9D" w:rsidRPr="00E25833">
        <w:rPr>
          <w:rFonts w:ascii="Times New Roman" w:hAnsi="Times New Roman" w:cs="Times New Roman"/>
          <w:sz w:val="28"/>
          <w:szCs w:val="28"/>
        </w:rPr>
        <w:t>s</w:t>
      </w:r>
      <w:r w:rsidR="000E2C9D" w:rsidRPr="00E25833">
        <w:rPr>
          <w:rFonts w:ascii="Times New Roman" w:eastAsia="Times New Roman" w:hAnsi="Times New Roman" w:cs="Times New Roman"/>
          <w:sz w:val="28"/>
          <w:szCs w:val="28"/>
          <w:lang w:eastAsia="lv-LV"/>
        </w:rPr>
        <w:t>.</w:t>
      </w:r>
      <w:r w:rsidR="000E2C9D" w:rsidRPr="00E25833" w:rsidDel="000E2C9D">
        <w:rPr>
          <w:rFonts w:ascii="Times New Roman" w:hAnsi="Times New Roman" w:cs="Times New Roman"/>
          <w:sz w:val="28"/>
          <w:szCs w:val="28"/>
        </w:rPr>
        <w:t xml:space="preserve"> </w:t>
      </w:r>
    </w:p>
    <w:p w14:paraId="12875382" w14:textId="77777777" w:rsidR="00F819AB" w:rsidRPr="00E25833" w:rsidRDefault="003A5E37" w:rsidP="005E08CF">
      <w:pPr>
        <w:spacing w:before="0" w:after="0" w:line="240" w:lineRule="auto"/>
        <w:ind w:firstLine="720"/>
        <w:jc w:val="both"/>
        <w:rPr>
          <w:rFonts w:ascii="Times New Roman" w:eastAsia="Times New Roman" w:hAnsi="Times New Roman" w:cs="Times New Roman"/>
          <w:sz w:val="28"/>
          <w:szCs w:val="28"/>
          <w:lang w:eastAsia="lv-LV"/>
        </w:rPr>
      </w:pPr>
      <w:r w:rsidRPr="00E25833">
        <w:rPr>
          <w:rFonts w:ascii="Times New Roman" w:eastAsia="Times New Roman" w:hAnsi="Times New Roman" w:cs="Times New Roman"/>
          <w:sz w:val="28"/>
          <w:szCs w:val="28"/>
          <w:lang w:eastAsia="lv-LV"/>
        </w:rPr>
        <w:t>Pārbaudēs novērot</w:t>
      </w:r>
      <w:r w:rsidR="00783ECE">
        <w:rPr>
          <w:rFonts w:ascii="Times New Roman" w:eastAsia="Times New Roman" w:hAnsi="Times New Roman" w:cs="Times New Roman"/>
          <w:sz w:val="28"/>
          <w:szCs w:val="28"/>
          <w:lang w:eastAsia="lv-LV"/>
        </w:rPr>
        <w:t>a pozitīva tendence</w:t>
      </w:r>
      <w:r w:rsidR="006E2CDC">
        <w:rPr>
          <w:rFonts w:ascii="Times New Roman" w:eastAsia="Times New Roman" w:hAnsi="Times New Roman" w:cs="Times New Roman"/>
          <w:sz w:val="28"/>
          <w:szCs w:val="28"/>
          <w:lang w:eastAsia="lv-LV"/>
        </w:rPr>
        <w:t>,</w:t>
      </w:r>
      <w:r w:rsidR="0063671D" w:rsidRPr="00E25833">
        <w:rPr>
          <w:rFonts w:ascii="Times New Roman" w:eastAsia="Times New Roman" w:hAnsi="Times New Roman" w:cs="Times New Roman"/>
          <w:sz w:val="28"/>
          <w:szCs w:val="28"/>
          <w:lang w:eastAsia="lv-LV"/>
        </w:rPr>
        <w:t xml:space="preserve"> ka</w:t>
      </w:r>
      <w:r w:rsidR="00957476" w:rsidRPr="00E25833">
        <w:rPr>
          <w:rFonts w:ascii="Times New Roman" w:eastAsia="Times New Roman" w:hAnsi="Times New Roman" w:cs="Times New Roman"/>
          <w:sz w:val="28"/>
          <w:szCs w:val="28"/>
          <w:lang w:eastAsia="lv-LV"/>
        </w:rPr>
        <w:t xml:space="preserve"> apakšuzņēmēj</w:t>
      </w:r>
      <w:r w:rsidR="0063671D" w:rsidRPr="00E25833">
        <w:rPr>
          <w:rFonts w:ascii="Times New Roman" w:eastAsia="Times New Roman" w:hAnsi="Times New Roman" w:cs="Times New Roman"/>
          <w:sz w:val="28"/>
          <w:szCs w:val="28"/>
          <w:lang w:eastAsia="lv-LV"/>
        </w:rPr>
        <w:t xml:space="preserve">i </w:t>
      </w:r>
      <w:r w:rsidR="00957476" w:rsidRPr="00E25833">
        <w:rPr>
          <w:rFonts w:ascii="Times New Roman" w:eastAsia="Times New Roman" w:hAnsi="Times New Roman" w:cs="Times New Roman"/>
          <w:sz w:val="28"/>
          <w:szCs w:val="28"/>
          <w:lang w:eastAsia="lv-LV"/>
        </w:rPr>
        <w:t>sāk izmantot būv</w:t>
      </w:r>
      <w:r w:rsidR="006E2CDC">
        <w:rPr>
          <w:rFonts w:ascii="Times New Roman" w:eastAsia="Times New Roman" w:hAnsi="Times New Roman" w:cs="Times New Roman"/>
          <w:sz w:val="28"/>
          <w:szCs w:val="28"/>
          <w:lang w:eastAsia="lv-LV"/>
        </w:rPr>
        <w:t>laukumos</w:t>
      </w:r>
      <w:r w:rsidR="00CA1DE7">
        <w:rPr>
          <w:rFonts w:ascii="Times New Roman" w:eastAsia="Times New Roman" w:hAnsi="Times New Roman" w:cs="Times New Roman"/>
          <w:sz w:val="28"/>
          <w:szCs w:val="28"/>
          <w:lang w:eastAsia="lv-LV"/>
        </w:rPr>
        <w:t xml:space="preserve"> </w:t>
      </w:r>
      <w:r w:rsidR="00957476" w:rsidRPr="00E25833">
        <w:rPr>
          <w:rFonts w:ascii="Times New Roman" w:eastAsia="Times New Roman" w:hAnsi="Times New Roman" w:cs="Times New Roman"/>
          <w:sz w:val="28"/>
          <w:szCs w:val="28"/>
          <w:lang w:eastAsia="lv-LV"/>
        </w:rPr>
        <w:t>EDLUS uzskaitīto darba laiku darbinieku atalgojuma aprēķināšanai</w:t>
      </w:r>
      <w:r w:rsidR="005E680E">
        <w:rPr>
          <w:rFonts w:ascii="Times New Roman" w:eastAsia="Times New Roman" w:hAnsi="Times New Roman" w:cs="Times New Roman"/>
          <w:color w:val="000000" w:themeColor="text1"/>
          <w:sz w:val="28"/>
          <w:szCs w:val="28"/>
          <w:lang w:eastAsia="lv-LV"/>
        </w:rPr>
        <w:t>.</w:t>
      </w:r>
      <w:r w:rsidR="00957476" w:rsidRPr="00616AF0">
        <w:rPr>
          <w:rFonts w:ascii="Times New Roman" w:eastAsia="Times New Roman" w:hAnsi="Times New Roman" w:cs="Times New Roman"/>
          <w:color w:val="000000" w:themeColor="text1"/>
          <w:sz w:val="28"/>
          <w:szCs w:val="28"/>
          <w:lang w:eastAsia="lv-LV"/>
        </w:rPr>
        <w:t xml:space="preserve"> </w:t>
      </w:r>
      <w:r w:rsidR="005E680E">
        <w:rPr>
          <w:rFonts w:ascii="Times New Roman" w:eastAsia="Times New Roman" w:hAnsi="Times New Roman" w:cs="Times New Roman"/>
          <w:color w:val="000000" w:themeColor="text1"/>
          <w:sz w:val="28"/>
          <w:szCs w:val="28"/>
          <w:lang w:eastAsia="lv-LV"/>
        </w:rPr>
        <w:t>Vienlai</w:t>
      </w:r>
      <w:r w:rsidR="00DD2E93">
        <w:rPr>
          <w:rFonts w:ascii="Times New Roman" w:eastAsia="Times New Roman" w:hAnsi="Times New Roman" w:cs="Times New Roman"/>
          <w:color w:val="000000" w:themeColor="text1"/>
          <w:sz w:val="28"/>
          <w:szCs w:val="28"/>
          <w:lang w:eastAsia="lv-LV"/>
        </w:rPr>
        <w:t>kus</w:t>
      </w:r>
      <w:r w:rsidR="00957476" w:rsidRPr="00616AF0">
        <w:rPr>
          <w:rFonts w:ascii="Times New Roman" w:eastAsia="Times New Roman" w:hAnsi="Times New Roman" w:cs="Times New Roman"/>
          <w:color w:val="000000" w:themeColor="text1"/>
          <w:sz w:val="28"/>
          <w:szCs w:val="28"/>
          <w:lang w:eastAsia="lv-LV"/>
        </w:rPr>
        <w:t xml:space="preserve"> </w:t>
      </w:r>
      <w:r w:rsidRPr="00616AF0">
        <w:rPr>
          <w:rFonts w:ascii="Times New Roman" w:eastAsia="Times New Roman" w:hAnsi="Times New Roman" w:cs="Times New Roman"/>
          <w:color w:val="000000" w:themeColor="text1"/>
          <w:sz w:val="28"/>
          <w:szCs w:val="28"/>
          <w:lang w:eastAsia="lv-LV"/>
        </w:rPr>
        <w:t xml:space="preserve">galvenie </w:t>
      </w:r>
      <w:r w:rsidRPr="00E25833">
        <w:rPr>
          <w:rFonts w:ascii="Times New Roman" w:eastAsia="Times New Roman" w:hAnsi="Times New Roman" w:cs="Times New Roman"/>
          <w:sz w:val="28"/>
          <w:szCs w:val="28"/>
          <w:lang w:eastAsia="lv-LV"/>
        </w:rPr>
        <w:t>būvdarbu veicēji pievēr</w:t>
      </w:r>
      <w:r w:rsidR="0063671D" w:rsidRPr="00E25833">
        <w:rPr>
          <w:rFonts w:ascii="Times New Roman" w:eastAsia="Times New Roman" w:hAnsi="Times New Roman" w:cs="Times New Roman"/>
          <w:sz w:val="28"/>
          <w:szCs w:val="28"/>
          <w:lang w:eastAsia="lv-LV"/>
        </w:rPr>
        <w:t>š uzmanību</w:t>
      </w:r>
      <w:r w:rsidRPr="00E25833">
        <w:rPr>
          <w:rFonts w:ascii="Times New Roman" w:eastAsia="Times New Roman" w:hAnsi="Times New Roman" w:cs="Times New Roman"/>
          <w:sz w:val="28"/>
          <w:szCs w:val="28"/>
          <w:lang w:eastAsia="lv-LV"/>
        </w:rPr>
        <w:t xml:space="preserve"> EDLU tehniskiem</w:t>
      </w:r>
      <w:r w:rsidR="00F819AB" w:rsidRPr="00E25833">
        <w:rPr>
          <w:rFonts w:ascii="Times New Roman" w:eastAsia="Times New Roman" w:hAnsi="Times New Roman" w:cs="Times New Roman"/>
          <w:sz w:val="28"/>
          <w:szCs w:val="28"/>
          <w:lang w:eastAsia="lv-LV"/>
        </w:rPr>
        <w:t xml:space="preserve"> un</w:t>
      </w:r>
      <w:r w:rsidRPr="00E25833">
        <w:rPr>
          <w:rFonts w:ascii="Times New Roman" w:eastAsia="Times New Roman" w:hAnsi="Times New Roman" w:cs="Times New Roman"/>
          <w:sz w:val="28"/>
          <w:szCs w:val="28"/>
          <w:lang w:eastAsia="lv-LV"/>
        </w:rPr>
        <w:t xml:space="preserve"> </w:t>
      </w:r>
      <w:r w:rsidR="00F819AB" w:rsidRPr="00E25833">
        <w:rPr>
          <w:rFonts w:ascii="Times New Roman" w:eastAsia="Times New Roman" w:hAnsi="Times New Roman" w:cs="Times New Roman"/>
          <w:sz w:val="28"/>
          <w:szCs w:val="28"/>
          <w:lang w:eastAsia="lv-LV"/>
        </w:rPr>
        <w:t xml:space="preserve">organizatoriskiem </w:t>
      </w:r>
      <w:r w:rsidR="0063671D" w:rsidRPr="00E25833">
        <w:rPr>
          <w:rFonts w:ascii="Times New Roman" w:eastAsia="Times New Roman" w:hAnsi="Times New Roman" w:cs="Times New Roman"/>
          <w:sz w:val="28"/>
          <w:szCs w:val="28"/>
          <w:lang w:eastAsia="lv-LV"/>
        </w:rPr>
        <w:t>aspektiem</w:t>
      </w:r>
      <w:r w:rsidRPr="00E25833">
        <w:rPr>
          <w:rFonts w:ascii="Times New Roman" w:eastAsia="Times New Roman" w:hAnsi="Times New Roman" w:cs="Times New Roman"/>
          <w:sz w:val="28"/>
          <w:szCs w:val="28"/>
          <w:lang w:eastAsia="lv-LV"/>
        </w:rPr>
        <w:t xml:space="preserve">, tajā skaitā būvlaukuma teritorijas plānošanai, </w:t>
      </w:r>
      <w:r w:rsidR="0063671D" w:rsidRPr="00E25833">
        <w:rPr>
          <w:rFonts w:ascii="Times New Roman" w:eastAsia="Times New Roman" w:hAnsi="Times New Roman" w:cs="Times New Roman"/>
          <w:sz w:val="28"/>
          <w:szCs w:val="28"/>
          <w:lang w:eastAsia="lv-LV"/>
        </w:rPr>
        <w:t>kas ļauj samazināt</w:t>
      </w:r>
      <w:r w:rsidRPr="00E25833">
        <w:rPr>
          <w:rFonts w:ascii="Times New Roman" w:eastAsia="Times New Roman" w:hAnsi="Times New Roman" w:cs="Times New Roman"/>
          <w:sz w:val="28"/>
          <w:szCs w:val="28"/>
          <w:lang w:eastAsia="lv-LV"/>
        </w:rPr>
        <w:t xml:space="preserve"> darba laika reģistrēšanas neatbilstības. </w:t>
      </w:r>
    </w:p>
    <w:p w14:paraId="6C9B612A" w14:textId="77777777" w:rsidR="003A5E37" w:rsidRDefault="00796DF1" w:rsidP="005E08CF">
      <w:pPr>
        <w:spacing w:before="0"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2019</w:t>
      </w:r>
      <w:r w:rsidR="003A5E37" w:rsidRPr="00E25833">
        <w:rPr>
          <w:rFonts w:ascii="Times New Roman" w:eastAsia="Times New Roman" w:hAnsi="Times New Roman" w:cs="Times New Roman"/>
          <w:sz w:val="28"/>
          <w:szCs w:val="28"/>
          <w:lang w:eastAsia="lv-LV"/>
        </w:rPr>
        <w:t xml:space="preserve">.gada </w:t>
      </w:r>
      <w:r>
        <w:rPr>
          <w:rFonts w:ascii="Times New Roman" w:eastAsia="Times New Roman" w:hAnsi="Times New Roman" w:cs="Times New Roman"/>
          <w:sz w:val="28"/>
          <w:szCs w:val="28"/>
          <w:lang w:eastAsia="lv-LV"/>
        </w:rPr>
        <w:t>13.</w:t>
      </w:r>
      <w:r w:rsidR="003A5E37" w:rsidRPr="00E25833">
        <w:rPr>
          <w:rFonts w:ascii="Times New Roman" w:eastAsia="Times New Roman" w:hAnsi="Times New Roman" w:cs="Times New Roman"/>
          <w:sz w:val="28"/>
          <w:szCs w:val="28"/>
          <w:lang w:eastAsia="lv-LV"/>
        </w:rPr>
        <w:t>jū</w:t>
      </w:r>
      <w:r>
        <w:rPr>
          <w:rFonts w:ascii="Times New Roman" w:eastAsia="Times New Roman" w:hAnsi="Times New Roman" w:cs="Times New Roman"/>
          <w:sz w:val="28"/>
          <w:szCs w:val="28"/>
          <w:lang w:eastAsia="lv-LV"/>
        </w:rPr>
        <w:t>n</w:t>
      </w:r>
      <w:r w:rsidR="003A5E37" w:rsidRPr="00E25833">
        <w:rPr>
          <w:rFonts w:ascii="Times New Roman" w:eastAsia="Times New Roman" w:hAnsi="Times New Roman" w:cs="Times New Roman"/>
          <w:sz w:val="28"/>
          <w:szCs w:val="28"/>
          <w:lang w:eastAsia="lv-LV"/>
        </w:rPr>
        <w:t>ij</w:t>
      </w:r>
      <w:r w:rsidR="00CA1DE7">
        <w:rPr>
          <w:rFonts w:ascii="Times New Roman" w:eastAsia="Times New Roman" w:hAnsi="Times New Roman" w:cs="Times New Roman"/>
          <w:sz w:val="28"/>
          <w:szCs w:val="28"/>
          <w:lang w:eastAsia="lv-LV"/>
        </w:rPr>
        <w:t>ā</w:t>
      </w:r>
      <w:r w:rsidR="003A5E37" w:rsidRPr="00E25833">
        <w:rPr>
          <w:rFonts w:ascii="Times New Roman" w:eastAsia="Times New Roman" w:hAnsi="Times New Roman" w:cs="Times New Roman"/>
          <w:sz w:val="28"/>
          <w:szCs w:val="28"/>
          <w:lang w:eastAsia="lv-LV"/>
        </w:rPr>
        <w:t xml:space="preserve"> stāj</w:t>
      </w:r>
      <w:r w:rsidR="00185B87" w:rsidRPr="00E25833">
        <w:rPr>
          <w:rFonts w:ascii="Times New Roman" w:eastAsia="Times New Roman" w:hAnsi="Times New Roman" w:cs="Times New Roman"/>
          <w:sz w:val="28"/>
          <w:szCs w:val="28"/>
          <w:lang w:eastAsia="lv-LV"/>
        </w:rPr>
        <w:t>ā</w:t>
      </w:r>
      <w:r w:rsidR="003A5E37" w:rsidRPr="00E25833">
        <w:rPr>
          <w:rFonts w:ascii="Times New Roman" w:eastAsia="Times New Roman" w:hAnsi="Times New Roman" w:cs="Times New Roman"/>
          <w:sz w:val="28"/>
          <w:szCs w:val="28"/>
          <w:lang w:eastAsia="lv-LV"/>
        </w:rPr>
        <w:t xml:space="preserve">s spēkā </w:t>
      </w:r>
      <w:r w:rsidR="00EF69FE">
        <w:rPr>
          <w:rFonts w:ascii="Times New Roman" w:eastAsia="Times New Roman" w:hAnsi="Times New Roman" w:cs="Times New Roman"/>
          <w:sz w:val="28"/>
          <w:szCs w:val="28"/>
          <w:lang w:eastAsia="lv-LV"/>
        </w:rPr>
        <w:t xml:space="preserve">likuma </w:t>
      </w:r>
      <w:r w:rsidR="003E12D1">
        <w:rPr>
          <w:rFonts w:ascii="Times New Roman" w:eastAsia="Times New Roman" w:hAnsi="Times New Roman" w:cs="Times New Roman"/>
          <w:sz w:val="28"/>
          <w:szCs w:val="28"/>
          <w:lang w:eastAsia="lv-LV"/>
        </w:rPr>
        <w:t>“</w:t>
      </w:r>
      <w:r w:rsidR="00EF69FE">
        <w:rPr>
          <w:rFonts w:ascii="Times New Roman" w:eastAsia="Times New Roman" w:hAnsi="Times New Roman" w:cs="Times New Roman"/>
          <w:sz w:val="28"/>
          <w:szCs w:val="28"/>
          <w:lang w:eastAsia="lv-LV"/>
        </w:rPr>
        <w:t>Par nodokļiem un nodevām</w:t>
      </w:r>
      <w:r w:rsidR="003E12D1">
        <w:rPr>
          <w:rFonts w:ascii="Times New Roman" w:eastAsia="Times New Roman" w:hAnsi="Times New Roman" w:cs="Times New Roman"/>
          <w:sz w:val="28"/>
          <w:szCs w:val="28"/>
          <w:lang w:eastAsia="lv-LV"/>
        </w:rPr>
        <w:t>”</w:t>
      </w:r>
      <w:r w:rsidR="003A5E37" w:rsidRPr="00E25833">
        <w:rPr>
          <w:rFonts w:ascii="Times New Roman" w:eastAsia="Times New Roman" w:hAnsi="Times New Roman" w:cs="Times New Roman"/>
          <w:sz w:val="28"/>
          <w:szCs w:val="28"/>
          <w:lang w:eastAsia="lv-LV"/>
        </w:rPr>
        <w:t xml:space="preserve"> grozījumi, </w:t>
      </w:r>
      <w:r w:rsidR="00A17017" w:rsidRPr="00E25833">
        <w:rPr>
          <w:rFonts w:ascii="Times New Roman" w:eastAsia="Times New Roman" w:hAnsi="Times New Roman" w:cs="Times New Roman"/>
          <w:sz w:val="28"/>
          <w:szCs w:val="28"/>
          <w:lang w:eastAsia="lv-LV"/>
        </w:rPr>
        <w:t xml:space="preserve">nosakot, ka summārais </w:t>
      </w:r>
      <w:r w:rsidR="00A17017">
        <w:rPr>
          <w:rFonts w:ascii="Times New Roman" w:eastAsia="Times New Roman" w:hAnsi="Times New Roman" w:cs="Times New Roman"/>
          <w:sz w:val="28"/>
          <w:szCs w:val="28"/>
          <w:lang w:eastAsia="lv-LV"/>
        </w:rPr>
        <w:t xml:space="preserve">darba </w:t>
      </w:r>
      <w:r w:rsidR="00A17017" w:rsidRPr="00E25833">
        <w:rPr>
          <w:rFonts w:ascii="Times New Roman" w:eastAsia="Times New Roman" w:hAnsi="Times New Roman" w:cs="Times New Roman"/>
          <w:sz w:val="28"/>
          <w:szCs w:val="28"/>
          <w:lang w:eastAsia="lv-LV"/>
        </w:rPr>
        <w:t>laiks ietver darba tiesiskās attiecības reglamentējošos normatīvajos aktos noteiktos pārtraukumus darbā</w:t>
      </w:r>
      <w:r w:rsidR="00A17017">
        <w:rPr>
          <w:rFonts w:ascii="Times New Roman" w:eastAsia="Times New Roman" w:hAnsi="Times New Roman" w:cs="Times New Roman"/>
          <w:sz w:val="28"/>
          <w:szCs w:val="28"/>
          <w:lang w:eastAsia="lv-LV"/>
        </w:rPr>
        <w:t>, vienlai</w:t>
      </w:r>
      <w:r w:rsidR="00DD2E93">
        <w:rPr>
          <w:rFonts w:ascii="Times New Roman" w:eastAsia="Times New Roman" w:hAnsi="Times New Roman" w:cs="Times New Roman"/>
          <w:sz w:val="28"/>
          <w:szCs w:val="28"/>
          <w:lang w:eastAsia="lv-LV"/>
        </w:rPr>
        <w:t>kus</w:t>
      </w:r>
      <w:r w:rsidR="00A17017">
        <w:rPr>
          <w:rFonts w:ascii="Times New Roman" w:eastAsia="Times New Roman" w:hAnsi="Times New Roman" w:cs="Times New Roman"/>
          <w:sz w:val="28"/>
          <w:szCs w:val="28"/>
          <w:lang w:eastAsia="lv-LV"/>
        </w:rPr>
        <w:t xml:space="preserve"> likumā </w:t>
      </w:r>
      <w:r w:rsidR="00B35CFE">
        <w:rPr>
          <w:rFonts w:ascii="Times New Roman" w:eastAsia="Times New Roman" w:hAnsi="Times New Roman" w:cs="Times New Roman"/>
          <w:sz w:val="28"/>
          <w:szCs w:val="28"/>
          <w:lang w:eastAsia="lv-LV"/>
        </w:rPr>
        <w:t xml:space="preserve">tika </w:t>
      </w:r>
      <w:r w:rsidR="00A17017">
        <w:rPr>
          <w:rFonts w:ascii="Times New Roman" w:eastAsia="Times New Roman" w:hAnsi="Times New Roman" w:cs="Times New Roman"/>
          <w:sz w:val="28"/>
          <w:szCs w:val="28"/>
          <w:lang w:eastAsia="lv-LV"/>
        </w:rPr>
        <w:t>paredzēt</w:t>
      </w:r>
      <w:r w:rsidR="00B35CFE">
        <w:rPr>
          <w:rFonts w:ascii="Times New Roman" w:eastAsia="Times New Roman" w:hAnsi="Times New Roman" w:cs="Times New Roman"/>
          <w:sz w:val="28"/>
          <w:szCs w:val="28"/>
          <w:lang w:eastAsia="lv-LV"/>
        </w:rPr>
        <w:t>s</w:t>
      </w:r>
      <w:r w:rsidR="00A17017">
        <w:rPr>
          <w:rFonts w:ascii="Times New Roman" w:eastAsia="Times New Roman" w:hAnsi="Times New Roman" w:cs="Times New Roman"/>
          <w:sz w:val="28"/>
          <w:szCs w:val="28"/>
          <w:lang w:eastAsia="lv-LV"/>
        </w:rPr>
        <w:t xml:space="preserve"> labvēlīgāk</w:t>
      </w:r>
      <w:r w:rsidR="00B35CFE">
        <w:rPr>
          <w:rFonts w:ascii="Times New Roman" w:eastAsia="Times New Roman" w:hAnsi="Times New Roman" w:cs="Times New Roman"/>
          <w:sz w:val="28"/>
          <w:szCs w:val="28"/>
          <w:lang w:eastAsia="lv-LV"/>
        </w:rPr>
        <w:t xml:space="preserve">s </w:t>
      </w:r>
      <w:r w:rsidR="00A17017">
        <w:rPr>
          <w:rFonts w:ascii="Times New Roman" w:eastAsia="Times New Roman" w:hAnsi="Times New Roman" w:cs="Times New Roman"/>
          <w:sz w:val="28"/>
          <w:szCs w:val="28"/>
          <w:lang w:eastAsia="lv-LV"/>
        </w:rPr>
        <w:t xml:space="preserve">nosacījums, </w:t>
      </w:r>
      <w:r w:rsidR="003A5E37" w:rsidRPr="00E25833">
        <w:rPr>
          <w:rFonts w:ascii="Times New Roman" w:eastAsia="Times New Roman" w:hAnsi="Times New Roman" w:cs="Times New Roman"/>
          <w:sz w:val="28"/>
          <w:szCs w:val="28"/>
          <w:lang w:eastAsia="lv-LV"/>
        </w:rPr>
        <w:t>palielinot sākotnēji noteikt</w:t>
      </w:r>
      <w:r w:rsidR="0063671D" w:rsidRPr="00E25833">
        <w:rPr>
          <w:rFonts w:ascii="Times New Roman" w:eastAsia="Times New Roman" w:hAnsi="Times New Roman" w:cs="Times New Roman"/>
          <w:sz w:val="28"/>
          <w:szCs w:val="28"/>
          <w:lang w:eastAsia="lv-LV"/>
        </w:rPr>
        <w:t>o</w:t>
      </w:r>
      <w:r w:rsidR="003A5E37" w:rsidRPr="00E25833">
        <w:rPr>
          <w:rFonts w:ascii="Times New Roman" w:eastAsia="Times New Roman" w:hAnsi="Times New Roman" w:cs="Times New Roman"/>
          <w:sz w:val="28"/>
          <w:szCs w:val="28"/>
          <w:lang w:eastAsia="lv-LV"/>
        </w:rPr>
        <w:t xml:space="preserve"> pieļaujam</w:t>
      </w:r>
      <w:r w:rsidR="0063671D" w:rsidRPr="00E25833">
        <w:rPr>
          <w:rFonts w:ascii="Times New Roman" w:eastAsia="Times New Roman" w:hAnsi="Times New Roman" w:cs="Times New Roman"/>
          <w:sz w:val="28"/>
          <w:szCs w:val="28"/>
          <w:lang w:eastAsia="lv-LV"/>
        </w:rPr>
        <w:t>o</w:t>
      </w:r>
      <w:r w:rsidR="003A5E37" w:rsidRPr="00E25833">
        <w:rPr>
          <w:rFonts w:ascii="Times New Roman" w:eastAsia="Times New Roman" w:hAnsi="Times New Roman" w:cs="Times New Roman"/>
          <w:sz w:val="28"/>
          <w:szCs w:val="28"/>
          <w:lang w:eastAsia="lv-LV"/>
        </w:rPr>
        <w:t xml:space="preserve"> novirz</w:t>
      </w:r>
      <w:r w:rsidR="0063671D" w:rsidRPr="00E25833">
        <w:rPr>
          <w:rFonts w:ascii="Times New Roman" w:eastAsia="Times New Roman" w:hAnsi="Times New Roman" w:cs="Times New Roman"/>
          <w:sz w:val="28"/>
          <w:szCs w:val="28"/>
          <w:lang w:eastAsia="lv-LV"/>
        </w:rPr>
        <w:t>i</w:t>
      </w:r>
      <w:r w:rsidR="003A5E37" w:rsidRPr="00E25833">
        <w:rPr>
          <w:rFonts w:ascii="Times New Roman" w:eastAsia="Times New Roman" w:hAnsi="Times New Roman" w:cs="Times New Roman"/>
          <w:sz w:val="28"/>
          <w:szCs w:val="28"/>
          <w:lang w:eastAsia="lv-LV"/>
        </w:rPr>
        <w:t xml:space="preserve"> starp nodarbināto personu EDLUS reģistrēt</w:t>
      </w:r>
      <w:r w:rsidR="0063671D" w:rsidRPr="00E25833">
        <w:rPr>
          <w:rFonts w:ascii="Times New Roman" w:eastAsia="Times New Roman" w:hAnsi="Times New Roman" w:cs="Times New Roman"/>
          <w:sz w:val="28"/>
          <w:szCs w:val="28"/>
          <w:lang w:eastAsia="lv-LV"/>
        </w:rPr>
        <w:t>o</w:t>
      </w:r>
      <w:r w:rsidR="003A5E37" w:rsidRPr="00E25833">
        <w:rPr>
          <w:rFonts w:ascii="Times New Roman" w:eastAsia="Times New Roman" w:hAnsi="Times New Roman" w:cs="Times New Roman"/>
          <w:sz w:val="28"/>
          <w:szCs w:val="28"/>
          <w:lang w:eastAsia="lv-LV"/>
        </w:rPr>
        <w:t xml:space="preserve"> un faktiski uzskaitīt</w:t>
      </w:r>
      <w:r w:rsidR="0063671D" w:rsidRPr="00E25833">
        <w:rPr>
          <w:rFonts w:ascii="Times New Roman" w:eastAsia="Times New Roman" w:hAnsi="Times New Roman" w:cs="Times New Roman"/>
          <w:sz w:val="28"/>
          <w:szCs w:val="28"/>
          <w:lang w:eastAsia="lv-LV"/>
        </w:rPr>
        <w:t xml:space="preserve">o </w:t>
      </w:r>
      <w:r w:rsidR="003A5E37" w:rsidRPr="00E25833">
        <w:rPr>
          <w:rFonts w:ascii="Times New Roman" w:eastAsia="Times New Roman" w:hAnsi="Times New Roman" w:cs="Times New Roman"/>
          <w:sz w:val="28"/>
          <w:szCs w:val="28"/>
          <w:lang w:eastAsia="lv-LV"/>
        </w:rPr>
        <w:t xml:space="preserve">darba </w:t>
      </w:r>
      <w:r w:rsidR="0063671D" w:rsidRPr="00E25833">
        <w:rPr>
          <w:rFonts w:ascii="Times New Roman" w:eastAsia="Times New Roman" w:hAnsi="Times New Roman" w:cs="Times New Roman"/>
          <w:sz w:val="28"/>
          <w:szCs w:val="28"/>
          <w:lang w:eastAsia="lv-LV"/>
        </w:rPr>
        <w:t>laiku</w:t>
      </w:r>
      <w:r w:rsidR="003A5E37" w:rsidRPr="00E25833">
        <w:rPr>
          <w:rFonts w:ascii="Times New Roman" w:eastAsia="Times New Roman" w:hAnsi="Times New Roman" w:cs="Times New Roman"/>
          <w:sz w:val="28"/>
          <w:szCs w:val="28"/>
          <w:lang w:eastAsia="lv-LV"/>
        </w:rPr>
        <w:t xml:space="preserve"> </w:t>
      </w:r>
      <w:r w:rsidR="00CA00A6">
        <w:rPr>
          <w:rFonts w:ascii="Times New Roman" w:eastAsia="Times New Roman" w:hAnsi="Times New Roman" w:cs="Times New Roman"/>
          <w:sz w:val="28"/>
          <w:szCs w:val="28"/>
          <w:lang w:eastAsia="lv-LV"/>
        </w:rPr>
        <w:t>no 10</w:t>
      </w:r>
      <w:r w:rsidR="00DD2E93">
        <w:rPr>
          <w:rFonts w:ascii="Times New Roman" w:eastAsia="Times New Roman" w:hAnsi="Times New Roman" w:cs="Times New Roman"/>
          <w:sz w:val="28"/>
          <w:szCs w:val="28"/>
          <w:lang w:eastAsia="lv-LV"/>
        </w:rPr>
        <w:t> </w:t>
      </w:r>
      <w:r w:rsidR="00CA00A6">
        <w:rPr>
          <w:rFonts w:ascii="Times New Roman" w:eastAsia="Times New Roman" w:hAnsi="Times New Roman" w:cs="Times New Roman"/>
          <w:sz w:val="28"/>
          <w:szCs w:val="28"/>
          <w:lang w:eastAsia="lv-LV"/>
        </w:rPr>
        <w:t xml:space="preserve">% </w:t>
      </w:r>
      <w:r w:rsidR="003A5E37" w:rsidRPr="00E25833">
        <w:rPr>
          <w:rFonts w:ascii="Times New Roman" w:eastAsia="Times New Roman" w:hAnsi="Times New Roman" w:cs="Times New Roman"/>
          <w:sz w:val="28"/>
          <w:szCs w:val="28"/>
          <w:lang w:eastAsia="lv-LV"/>
        </w:rPr>
        <w:t>līdz 20</w:t>
      </w:r>
      <w:r w:rsidR="00DD2E93">
        <w:rPr>
          <w:rFonts w:ascii="Times New Roman" w:eastAsia="Times New Roman" w:hAnsi="Times New Roman" w:cs="Times New Roman"/>
          <w:sz w:val="28"/>
          <w:szCs w:val="28"/>
          <w:lang w:eastAsia="lv-LV"/>
        </w:rPr>
        <w:t> </w:t>
      </w:r>
      <w:r w:rsidR="003A5E37" w:rsidRPr="00E25833">
        <w:rPr>
          <w:rFonts w:ascii="Times New Roman" w:eastAsia="Times New Roman" w:hAnsi="Times New Roman" w:cs="Times New Roman"/>
          <w:sz w:val="28"/>
          <w:szCs w:val="28"/>
          <w:lang w:eastAsia="lv-LV"/>
        </w:rPr>
        <w:t>%</w:t>
      </w:r>
      <w:r w:rsidR="00A17017">
        <w:rPr>
          <w:rFonts w:ascii="Times New Roman" w:eastAsia="Times New Roman" w:hAnsi="Times New Roman" w:cs="Times New Roman"/>
          <w:sz w:val="28"/>
          <w:szCs w:val="28"/>
          <w:lang w:eastAsia="lv-LV"/>
        </w:rPr>
        <w:t>.</w:t>
      </w:r>
      <w:r w:rsidR="003A5E37" w:rsidRPr="00E25833">
        <w:rPr>
          <w:rFonts w:ascii="Times New Roman" w:eastAsia="Times New Roman" w:hAnsi="Times New Roman" w:cs="Times New Roman"/>
          <w:sz w:val="28"/>
          <w:szCs w:val="28"/>
          <w:lang w:eastAsia="lv-LV"/>
        </w:rPr>
        <w:t xml:space="preserve"> </w:t>
      </w:r>
    </w:p>
    <w:p w14:paraId="263ED053" w14:textId="46FFF8D5" w:rsidR="00683C07" w:rsidRDefault="00683C07" w:rsidP="005E08CF">
      <w:pPr>
        <w:spacing w:before="0" w:after="0" w:line="240" w:lineRule="auto"/>
        <w:ind w:firstLine="720"/>
        <w:jc w:val="both"/>
        <w:rPr>
          <w:rFonts w:ascii="Times New Roman" w:eastAsia="Times New Roman" w:hAnsi="Times New Roman" w:cs="Times New Roman"/>
          <w:sz w:val="28"/>
          <w:szCs w:val="28"/>
          <w:lang w:eastAsia="lv-LV"/>
        </w:rPr>
      </w:pPr>
      <w:r w:rsidRPr="00683C07">
        <w:rPr>
          <w:rFonts w:ascii="Times New Roman" w:eastAsia="Times New Roman" w:hAnsi="Times New Roman" w:cs="Times New Roman"/>
          <w:sz w:val="28"/>
          <w:szCs w:val="28"/>
          <w:lang w:eastAsia="lv-LV"/>
        </w:rPr>
        <w:t>2019.gada nogalē konstatēti būvlaukumi</w:t>
      </w:r>
      <w:r>
        <w:rPr>
          <w:rFonts w:ascii="Times New Roman" w:eastAsia="Times New Roman" w:hAnsi="Times New Roman" w:cs="Times New Roman"/>
          <w:sz w:val="28"/>
          <w:szCs w:val="28"/>
          <w:lang w:eastAsia="lv-LV"/>
        </w:rPr>
        <w:t xml:space="preserve"> </w:t>
      </w:r>
      <w:r w:rsidRPr="00683C07">
        <w:rPr>
          <w:rFonts w:ascii="Times New Roman" w:eastAsia="Times New Roman" w:hAnsi="Times New Roman" w:cs="Times New Roman"/>
          <w:sz w:val="28"/>
          <w:szCs w:val="28"/>
          <w:lang w:eastAsia="lv-LV"/>
        </w:rPr>
        <w:t>(ar norobežotu teritoriju), kuros EDLUS</w:t>
      </w:r>
      <w:r>
        <w:rPr>
          <w:rFonts w:ascii="Times New Roman" w:eastAsia="Times New Roman" w:hAnsi="Times New Roman" w:cs="Times New Roman"/>
          <w:sz w:val="28"/>
          <w:szCs w:val="28"/>
          <w:lang w:eastAsia="lv-LV"/>
        </w:rPr>
        <w:t>,</w:t>
      </w:r>
      <w:r w:rsidRPr="00E2583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pretēji likuma “Par nodokļiem un nodevām</w:t>
      </w:r>
      <w:r w:rsidRPr="00F44B6D">
        <w:rPr>
          <w:rFonts w:ascii="Times New Roman" w:eastAsia="Times New Roman" w:hAnsi="Times New Roman" w:cs="Times New Roman"/>
          <w:sz w:val="28"/>
          <w:szCs w:val="28"/>
          <w:lang w:eastAsia="lv-LV"/>
        </w:rPr>
        <w:t>” 110.pantā</w:t>
      </w:r>
      <w:r>
        <w:rPr>
          <w:rFonts w:ascii="Times New Roman" w:eastAsia="Times New Roman" w:hAnsi="Times New Roman" w:cs="Times New Roman"/>
          <w:sz w:val="28"/>
          <w:szCs w:val="28"/>
          <w:lang w:eastAsia="lv-LV"/>
        </w:rPr>
        <w:t xml:space="preserve"> noteiktajam,</w:t>
      </w:r>
      <w:r w:rsidRPr="00E25833">
        <w:rPr>
          <w:rFonts w:ascii="Times New Roman" w:eastAsia="Times New Roman" w:hAnsi="Times New Roman" w:cs="Times New Roman"/>
          <w:sz w:val="28"/>
          <w:szCs w:val="28"/>
          <w:lang w:eastAsia="lv-LV"/>
        </w:rPr>
        <w:t xml:space="preserve"> </w:t>
      </w:r>
      <w:r w:rsidRPr="00683C07">
        <w:rPr>
          <w:rFonts w:ascii="Times New Roman" w:eastAsia="Times New Roman" w:hAnsi="Times New Roman" w:cs="Times New Roman"/>
          <w:sz w:val="28"/>
          <w:szCs w:val="28"/>
          <w:lang w:eastAsia="lv-LV"/>
        </w:rPr>
        <w:t xml:space="preserve">ieviests </w:t>
      </w:r>
      <w:r>
        <w:rPr>
          <w:rFonts w:ascii="Times New Roman" w:eastAsia="Times New Roman" w:hAnsi="Times New Roman" w:cs="Times New Roman"/>
          <w:sz w:val="28"/>
          <w:szCs w:val="28"/>
          <w:lang w:eastAsia="lv-LV"/>
        </w:rPr>
        <w:t>ne visā būvlaukuma teritorijā, proti,</w:t>
      </w:r>
      <w:r w:rsidRPr="00164F8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EDLUS uzskaite netiek veikta speciāli </w:t>
      </w:r>
      <w:r w:rsidRPr="00683C07">
        <w:rPr>
          <w:rFonts w:ascii="Times New Roman" w:eastAsia="Times New Roman" w:hAnsi="Times New Roman" w:cs="Times New Roman"/>
          <w:sz w:val="28"/>
          <w:szCs w:val="28"/>
          <w:lang w:eastAsia="lv-LV"/>
        </w:rPr>
        <w:t xml:space="preserve"> izveidotā un nodalītā būvlaukuma teritorijā, kas tiek izmantota kā atpūtas un/vai administratīv</w:t>
      </w:r>
      <w:r>
        <w:rPr>
          <w:rFonts w:ascii="Times New Roman" w:eastAsia="Times New Roman" w:hAnsi="Times New Roman" w:cs="Times New Roman"/>
          <w:sz w:val="28"/>
          <w:szCs w:val="28"/>
          <w:lang w:eastAsia="lv-LV"/>
        </w:rPr>
        <w:t>ā</w:t>
      </w:r>
      <w:r w:rsidRPr="00683C07">
        <w:rPr>
          <w:rFonts w:ascii="Times New Roman" w:eastAsia="Times New Roman" w:hAnsi="Times New Roman" w:cs="Times New Roman"/>
          <w:sz w:val="28"/>
          <w:szCs w:val="28"/>
          <w:lang w:eastAsia="lv-LV"/>
        </w:rPr>
        <w:t xml:space="preserve"> zon</w:t>
      </w:r>
      <w:r>
        <w:rPr>
          <w:rFonts w:ascii="Times New Roman" w:eastAsia="Times New Roman" w:hAnsi="Times New Roman" w:cs="Times New Roman"/>
          <w:sz w:val="28"/>
          <w:szCs w:val="28"/>
          <w:lang w:eastAsia="lv-LV"/>
        </w:rPr>
        <w:t>a.</w:t>
      </w:r>
      <w:r w:rsidRPr="00683C07">
        <w:rPr>
          <w:rFonts w:ascii="Times New Roman" w:eastAsia="Times New Roman" w:hAnsi="Times New Roman" w:cs="Times New Roman"/>
          <w:sz w:val="28"/>
          <w:szCs w:val="28"/>
          <w:lang w:eastAsia="lv-LV"/>
        </w:rPr>
        <w:t xml:space="preserve"> </w:t>
      </w:r>
    </w:p>
    <w:p w14:paraId="2772048D" w14:textId="3958FF16" w:rsidR="0074645A" w:rsidRPr="005E08CF" w:rsidRDefault="00840886" w:rsidP="005E08CF">
      <w:pPr>
        <w:spacing w:before="0"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Apkopojot pārbaužu rezultātus</w:t>
      </w:r>
      <w:r w:rsidR="00CA00A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553E49">
        <w:rPr>
          <w:rFonts w:ascii="Times New Roman" w:eastAsia="Times New Roman" w:hAnsi="Times New Roman" w:cs="Times New Roman"/>
          <w:sz w:val="28"/>
          <w:szCs w:val="28"/>
          <w:lang w:eastAsia="lv-LV"/>
        </w:rPr>
        <w:t>secināts, ka</w:t>
      </w:r>
      <w:r w:rsidR="003A5E37" w:rsidRPr="00E25833">
        <w:rPr>
          <w:rFonts w:ascii="Times New Roman" w:eastAsia="Times New Roman" w:hAnsi="Times New Roman" w:cs="Times New Roman"/>
          <w:sz w:val="28"/>
          <w:szCs w:val="28"/>
          <w:lang w:eastAsia="lv-LV"/>
        </w:rPr>
        <w:t xml:space="preserve"> 2019.gad</w:t>
      </w:r>
      <w:r w:rsidR="00347956" w:rsidRPr="00E25833">
        <w:rPr>
          <w:rFonts w:ascii="Times New Roman" w:eastAsia="Times New Roman" w:hAnsi="Times New Roman" w:cs="Times New Roman"/>
          <w:sz w:val="28"/>
          <w:szCs w:val="28"/>
          <w:lang w:eastAsia="lv-LV"/>
        </w:rPr>
        <w:t>a laikā</w:t>
      </w:r>
      <w:r w:rsidRPr="00840886">
        <w:rPr>
          <w:rFonts w:ascii="Times New Roman" w:eastAsia="Times New Roman" w:hAnsi="Times New Roman" w:cs="Times New Roman"/>
          <w:sz w:val="28"/>
          <w:szCs w:val="28"/>
          <w:lang w:eastAsia="lv-LV"/>
        </w:rPr>
        <w:t xml:space="preserve"> konstatētās neatbilstības darba laika, kas pārsniedz pieļaujamo novirzi, </w:t>
      </w:r>
      <w:r w:rsidR="00CA00A6" w:rsidRPr="00840886">
        <w:rPr>
          <w:rFonts w:ascii="Times New Roman" w:eastAsia="Times New Roman" w:hAnsi="Times New Roman" w:cs="Times New Roman"/>
          <w:sz w:val="28"/>
          <w:szCs w:val="28"/>
          <w:lang w:eastAsia="lv-LV"/>
        </w:rPr>
        <w:t>uzskaitē</w:t>
      </w:r>
      <w:r w:rsidR="00CA00A6" w:rsidRPr="00E25833">
        <w:rPr>
          <w:rFonts w:ascii="Times New Roman" w:eastAsia="Times New Roman" w:hAnsi="Times New Roman" w:cs="Times New Roman"/>
          <w:sz w:val="28"/>
          <w:szCs w:val="28"/>
          <w:lang w:eastAsia="lv-LV"/>
        </w:rPr>
        <w:t xml:space="preserve"> </w:t>
      </w:r>
      <w:r w:rsidR="00347956" w:rsidRPr="00E25833">
        <w:rPr>
          <w:rFonts w:ascii="Times New Roman" w:eastAsia="Times New Roman" w:hAnsi="Times New Roman" w:cs="Times New Roman"/>
          <w:sz w:val="28"/>
          <w:szCs w:val="28"/>
          <w:lang w:eastAsia="lv-LV"/>
        </w:rPr>
        <w:t>ievērojami samazināj</w:t>
      </w:r>
      <w:r w:rsidR="00553E49">
        <w:rPr>
          <w:rFonts w:ascii="Times New Roman" w:eastAsia="Times New Roman" w:hAnsi="Times New Roman" w:cs="Times New Roman"/>
          <w:sz w:val="28"/>
          <w:szCs w:val="28"/>
          <w:lang w:eastAsia="lv-LV"/>
        </w:rPr>
        <w:t>ušās</w:t>
      </w:r>
      <w:r w:rsidR="00790313">
        <w:rPr>
          <w:rFonts w:ascii="Times New Roman" w:eastAsia="Times New Roman" w:hAnsi="Times New Roman" w:cs="Times New Roman"/>
          <w:sz w:val="28"/>
          <w:szCs w:val="28"/>
          <w:lang w:eastAsia="lv-LV"/>
        </w:rPr>
        <w:t xml:space="preserve">: </w:t>
      </w:r>
      <w:r w:rsidR="00347956" w:rsidRPr="00E25833">
        <w:rPr>
          <w:rFonts w:ascii="Times New Roman" w:eastAsia="Times New Roman" w:hAnsi="Times New Roman" w:cs="Times New Roman"/>
          <w:sz w:val="28"/>
          <w:szCs w:val="28"/>
          <w:lang w:eastAsia="lv-LV"/>
        </w:rPr>
        <w:t>2019.gad</w:t>
      </w:r>
      <w:r w:rsidR="00DD2E93">
        <w:rPr>
          <w:rFonts w:ascii="Times New Roman" w:eastAsia="Times New Roman" w:hAnsi="Times New Roman" w:cs="Times New Roman"/>
          <w:sz w:val="28"/>
          <w:szCs w:val="28"/>
          <w:lang w:eastAsia="lv-LV"/>
        </w:rPr>
        <w:t>a</w:t>
      </w:r>
      <w:r w:rsidR="00347956" w:rsidRPr="00E25833">
        <w:rPr>
          <w:rFonts w:ascii="Times New Roman" w:eastAsia="Times New Roman" w:hAnsi="Times New Roman" w:cs="Times New Roman"/>
          <w:sz w:val="28"/>
          <w:szCs w:val="28"/>
          <w:lang w:eastAsia="lv-LV"/>
        </w:rPr>
        <w:t xml:space="preserve"> 1.pusgadā</w:t>
      </w:r>
      <w:r w:rsidR="00E019FB">
        <w:rPr>
          <w:rFonts w:ascii="Times New Roman" w:eastAsia="Times New Roman" w:hAnsi="Times New Roman" w:cs="Times New Roman"/>
          <w:sz w:val="28"/>
          <w:szCs w:val="28"/>
          <w:lang w:eastAsia="lv-LV"/>
        </w:rPr>
        <w:t xml:space="preserve"> minētais</w:t>
      </w:r>
      <w:r w:rsidR="00347956" w:rsidRPr="00E25833">
        <w:rPr>
          <w:rFonts w:ascii="Times New Roman" w:eastAsia="Times New Roman" w:hAnsi="Times New Roman" w:cs="Times New Roman"/>
          <w:sz w:val="28"/>
          <w:szCs w:val="28"/>
          <w:lang w:eastAsia="lv-LV"/>
        </w:rPr>
        <w:t xml:space="preserve"> konstatēts 33</w:t>
      </w:r>
      <w:r w:rsidR="00DD2E93">
        <w:rPr>
          <w:rFonts w:ascii="Times New Roman" w:eastAsia="Times New Roman" w:hAnsi="Times New Roman" w:cs="Times New Roman"/>
          <w:sz w:val="28"/>
          <w:szCs w:val="28"/>
          <w:lang w:eastAsia="lv-LV"/>
        </w:rPr>
        <w:t> </w:t>
      </w:r>
      <w:r w:rsidR="00347956" w:rsidRPr="00E25833">
        <w:rPr>
          <w:rFonts w:ascii="Times New Roman" w:eastAsia="Times New Roman" w:hAnsi="Times New Roman" w:cs="Times New Roman"/>
          <w:sz w:val="28"/>
          <w:szCs w:val="28"/>
          <w:lang w:eastAsia="lv-LV"/>
        </w:rPr>
        <w:t>pārbaudēs, 2019.gad</w:t>
      </w:r>
      <w:r w:rsidR="00DD2E93">
        <w:rPr>
          <w:rFonts w:ascii="Times New Roman" w:eastAsia="Times New Roman" w:hAnsi="Times New Roman" w:cs="Times New Roman"/>
          <w:sz w:val="28"/>
          <w:szCs w:val="28"/>
          <w:lang w:eastAsia="lv-LV"/>
        </w:rPr>
        <w:t>a</w:t>
      </w:r>
      <w:r w:rsidR="00F861EE">
        <w:rPr>
          <w:rFonts w:ascii="Times New Roman" w:eastAsia="Times New Roman" w:hAnsi="Times New Roman" w:cs="Times New Roman"/>
          <w:sz w:val="28"/>
          <w:szCs w:val="28"/>
          <w:lang w:eastAsia="lv-LV"/>
        </w:rPr>
        <w:t xml:space="preserve"> </w:t>
      </w:r>
      <w:r w:rsidR="00347956" w:rsidRPr="00E25833">
        <w:rPr>
          <w:rFonts w:ascii="Times New Roman" w:eastAsia="Times New Roman" w:hAnsi="Times New Roman" w:cs="Times New Roman"/>
          <w:sz w:val="28"/>
          <w:szCs w:val="28"/>
          <w:lang w:eastAsia="lv-LV"/>
        </w:rPr>
        <w:t>2.pusgadā</w:t>
      </w:r>
      <w:r w:rsidR="00DD2E93">
        <w:rPr>
          <w:rFonts w:ascii="Times New Roman" w:eastAsia="Times New Roman" w:hAnsi="Times New Roman" w:cs="Times New Roman"/>
          <w:sz w:val="28"/>
          <w:szCs w:val="28"/>
          <w:lang w:eastAsia="lv-LV"/>
        </w:rPr>
        <w:t> –</w:t>
      </w:r>
      <w:r w:rsidR="00347956" w:rsidRPr="00E25833">
        <w:rPr>
          <w:rFonts w:ascii="Times New Roman" w:eastAsia="Times New Roman" w:hAnsi="Times New Roman" w:cs="Times New Roman"/>
          <w:sz w:val="28"/>
          <w:szCs w:val="28"/>
          <w:lang w:eastAsia="lv-LV"/>
        </w:rPr>
        <w:t xml:space="preserve"> 17</w:t>
      </w:r>
      <w:r w:rsidR="00DD2E93">
        <w:rPr>
          <w:rFonts w:ascii="Times New Roman" w:eastAsia="Times New Roman" w:hAnsi="Times New Roman" w:cs="Times New Roman"/>
          <w:sz w:val="28"/>
          <w:szCs w:val="28"/>
          <w:lang w:eastAsia="lv-LV"/>
        </w:rPr>
        <w:t> </w:t>
      </w:r>
      <w:r w:rsidR="00347956" w:rsidRPr="00E25833">
        <w:rPr>
          <w:rFonts w:ascii="Times New Roman" w:eastAsia="Times New Roman" w:hAnsi="Times New Roman" w:cs="Times New Roman"/>
          <w:sz w:val="28"/>
          <w:szCs w:val="28"/>
          <w:lang w:eastAsia="lv-LV"/>
        </w:rPr>
        <w:t>pārbaudēs</w:t>
      </w:r>
      <w:r w:rsidR="00347956" w:rsidRPr="00DD2E93">
        <w:rPr>
          <w:rFonts w:ascii="Times New Roman" w:eastAsia="Times New Roman" w:hAnsi="Times New Roman" w:cs="Times New Roman"/>
          <w:sz w:val="28"/>
          <w:szCs w:val="28"/>
          <w:lang w:eastAsia="lv-LV"/>
        </w:rPr>
        <w:t xml:space="preserve">. </w:t>
      </w:r>
      <w:r w:rsidR="006974C7" w:rsidRPr="005E08CF">
        <w:rPr>
          <w:rFonts w:ascii="Times New Roman" w:hAnsi="Times New Roman" w:cs="Times New Roman"/>
          <w:sz w:val="28"/>
          <w:szCs w:val="28"/>
        </w:rPr>
        <w:t xml:space="preserve"> </w:t>
      </w:r>
    </w:p>
    <w:p w14:paraId="5C255702" w14:textId="77777777" w:rsidR="002D16F5" w:rsidRPr="006610D8" w:rsidRDefault="00251275" w:rsidP="005E08CF">
      <w:pPr>
        <w:spacing w:before="0" w:after="0" w:line="240" w:lineRule="auto"/>
        <w:ind w:firstLine="720"/>
        <w:jc w:val="both"/>
        <w:rPr>
          <w:rFonts w:ascii="Times New Roman" w:eastAsia="Calibri" w:hAnsi="Times New Roman" w:cs="Times New Roman"/>
          <w:color w:val="000000" w:themeColor="text1"/>
          <w:sz w:val="28"/>
          <w:szCs w:val="28"/>
          <w:lang w:eastAsia="lv-LV"/>
        </w:rPr>
      </w:pPr>
      <w:r w:rsidRPr="006610D8">
        <w:rPr>
          <w:rFonts w:ascii="Times New Roman" w:eastAsia="Calibri" w:hAnsi="Times New Roman" w:cs="Times New Roman"/>
          <w:color w:val="000000" w:themeColor="text1"/>
          <w:sz w:val="28"/>
          <w:szCs w:val="28"/>
          <w:lang w:eastAsia="lv-LV"/>
        </w:rPr>
        <w:t xml:space="preserve">VID secinājis, ka nodokļu maksātājiem, </w:t>
      </w:r>
      <w:r w:rsidR="003E5A4A">
        <w:rPr>
          <w:rFonts w:ascii="Times New Roman" w:eastAsia="Calibri" w:hAnsi="Times New Roman" w:cs="Times New Roman"/>
          <w:color w:val="000000" w:themeColor="text1"/>
          <w:sz w:val="28"/>
          <w:szCs w:val="28"/>
          <w:lang w:eastAsia="lv-LV"/>
        </w:rPr>
        <w:t xml:space="preserve">kas </w:t>
      </w:r>
      <w:r w:rsidRPr="006610D8">
        <w:rPr>
          <w:rFonts w:ascii="Times New Roman" w:eastAsia="Calibri" w:hAnsi="Times New Roman" w:cs="Times New Roman"/>
          <w:color w:val="000000" w:themeColor="text1"/>
          <w:sz w:val="28"/>
          <w:szCs w:val="28"/>
          <w:lang w:eastAsia="lv-LV"/>
        </w:rPr>
        <w:t xml:space="preserve">veic darbus būvlaukumos, kuru teritorijā ir nodalīta administratīvā un/vai atpūtas zona, var veidoties labvēlīgāki apstākļi darba laika uzskaitē, salīdzinot ar nodokļu maksātājiem, kuriem šāda teritorijas nodalīšana nav organizēta </w:t>
      </w:r>
      <w:r w:rsidR="00DD2E93">
        <w:rPr>
          <w:rFonts w:ascii="Times New Roman" w:eastAsia="Calibri" w:hAnsi="Times New Roman" w:cs="Times New Roman"/>
          <w:color w:val="000000" w:themeColor="text1"/>
          <w:sz w:val="28"/>
          <w:szCs w:val="28"/>
          <w:lang w:eastAsia="lv-LV"/>
        </w:rPr>
        <w:t>vai</w:t>
      </w:r>
      <w:r w:rsidRPr="006610D8">
        <w:rPr>
          <w:rFonts w:ascii="Times New Roman" w:eastAsia="Calibri" w:hAnsi="Times New Roman" w:cs="Times New Roman"/>
          <w:color w:val="000000" w:themeColor="text1"/>
          <w:sz w:val="28"/>
          <w:szCs w:val="28"/>
          <w:lang w:eastAsia="lv-LV"/>
        </w:rPr>
        <w:t xml:space="preserve"> to nav iespējams ieviest, kā tas ir atklāta tipa būvlaukumos.</w:t>
      </w:r>
      <w:r w:rsidR="00D7509F" w:rsidRPr="006610D8">
        <w:rPr>
          <w:rFonts w:ascii="Times New Roman" w:eastAsia="Calibri" w:hAnsi="Times New Roman" w:cs="Times New Roman"/>
          <w:color w:val="000000" w:themeColor="text1"/>
          <w:sz w:val="28"/>
          <w:szCs w:val="28"/>
          <w:lang w:eastAsia="lv-LV"/>
        </w:rPr>
        <w:t xml:space="preserve"> Šobrīd </w:t>
      </w:r>
      <w:r w:rsidR="00DD2E93">
        <w:rPr>
          <w:rFonts w:ascii="Times New Roman" w:eastAsia="Calibri" w:hAnsi="Times New Roman" w:cs="Times New Roman"/>
          <w:color w:val="000000" w:themeColor="text1"/>
          <w:sz w:val="28"/>
          <w:szCs w:val="28"/>
          <w:lang w:eastAsia="lv-LV"/>
        </w:rPr>
        <w:t xml:space="preserve">nav </w:t>
      </w:r>
      <w:r w:rsidR="00D7509F" w:rsidRPr="006610D8">
        <w:rPr>
          <w:rFonts w:ascii="Times New Roman" w:eastAsia="Calibri" w:hAnsi="Times New Roman" w:cs="Times New Roman"/>
          <w:color w:val="000000" w:themeColor="text1"/>
          <w:sz w:val="28"/>
          <w:szCs w:val="28"/>
          <w:lang w:eastAsia="lv-LV"/>
        </w:rPr>
        <w:t>viennozīmīgu secinājum</w:t>
      </w:r>
      <w:r w:rsidR="00DD2E93">
        <w:rPr>
          <w:rFonts w:ascii="Times New Roman" w:eastAsia="Calibri" w:hAnsi="Times New Roman" w:cs="Times New Roman"/>
          <w:color w:val="000000" w:themeColor="text1"/>
          <w:sz w:val="28"/>
          <w:szCs w:val="28"/>
          <w:lang w:eastAsia="lv-LV"/>
        </w:rPr>
        <w:t>u</w:t>
      </w:r>
      <w:r w:rsidR="00D7509F" w:rsidRPr="006610D8">
        <w:rPr>
          <w:rFonts w:ascii="Times New Roman" w:eastAsia="Calibri" w:hAnsi="Times New Roman" w:cs="Times New Roman"/>
          <w:color w:val="000000" w:themeColor="text1"/>
          <w:sz w:val="28"/>
          <w:szCs w:val="28"/>
          <w:lang w:eastAsia="lv-LV"/>
        </w:rPr>
        <w:t>, vai konstatētā tendence ietekmēs vienlīdzības principu, nosakot pieļaujamo novirzi</w:t>
      </w:r>
      <w:r w:rsidRPr="006610D8">
        <w:rPr>
          <w:rFonts w:ascii="Times New Roman" w:eastAsia="Calibri" w:hAnsi="Times New Roman" w:cs="Times New Roman"/>
          <w:color w:val="000000" w:themeColor="text1"/>
          <w:sz w:val="28"/>
          <w:szCs w:val="28"/>
          <w:lang w:eastAsia="lv-LV"/>
        </w:rPr>
        <w:t xml:space="preserve"> starp EDLUS reģistrētajām un faktiski uzskaitītajām darba stundām nodokļu administrēšanas vajadzībām</w:t>
      </w:r>
      <w:r w:rsidR="00D7509F" w:rsidRPr="006610D8">
        <w:rPr>
          <w:rFonts w:ascii="Times New Roman" w:eastAsia="Calibri" w:hAnsi="Times New Roman" w:cs="Times New Roman"/>
          <w:color w:val="000000" w:themeColor="text1"/>
          <w:sz w:val="28"/>
          <w:szCs w:val="28"/>
          <w:lang w:eastAsia="lv-LV"/>
        </w:rPr>
        <w:t>.</w:t>
      </w:r>
    </w:p>
    <w:p w14:paraId="1F87D400" w14:textId="77777777" w:rsidR="004D3B7B" w:rsidRDefault="004D3B7B" w:rsidP="005E08CF">
      <w:pPr>
        <w:spacing w:before="0" w:after="0" w:line="240" w:lineRule="auto"/>
        <w:ind w:firstLine="720"/>
        <w:jc w:val="both"/>
        <w:rPr>
          <w:rFonts w:ascii="Times New Roman" w:hAnsi="Times New Roman" w:cs="Times New Roman"/>
          <w:sz w:val="28"/>
          <w:szCs w:val="28"/>
        </w:rPr>
      </w:pPr>
    </w:p>
    <w:p w14:paraId="38DCC989" w14:textId="77777777" w:rsidR="00562C69" w:rsidRPr="006610D8" w:rsidRDefault="00562C69" w:rsidP="005E08CF">
      <w:pPr>
        <w:spacing w:before="0" w:after="0" w:line="240" w:lineRule="auto"/>
        <w:ind w:firstLine="720"/>
        <w:jc w:val="both"/>
        <w:rPr>
          <w:rFonts w:ascii="Times New Roman" w:hAnsi="Times New Roman" w:cs="Times New Roman"/>
          <w:sz w:val="28"/>
          <w:szCs w:val="28"/>
        </w:rPr>
      </w:pPr>
      <w:r w:rsidRPr="006610D8">
        <w:rPr>
          <w:rFonts w:ascii="Times New Roman" w:hAnsi="Times New Roman" w:cs="Times New Roman"/>
          <w:sz w:val="28"/>
          <w:szCs w:val="28"/>
        </w:rPr>
        <w:t xml:space="preserve">Veicot pārbaudes būvniecības nozarē strādājošiem uzņēmējiem, </w:t>
      </w:r>
      <w:r w:rsidR="00F861EE" w:rsidRPr="006610D8">
        <w:rPr>
          <w:rFonts w:ascii="Times New Roman" w:hAnsi="Times New Roman" w:cs="Times New Roman"/>
          <w:sz w:val="28"/>
          <w:szCs w:val="28"/>
        </w:rPr>
        <w:t xml:space="preserve">konstatētas </w:t>
      </w:r>
      <w:r w:rsidRPr="006610D8">
        <w:rPr>
          <w:rFonts w:ascii="Times New Roman" w:hAnsi="Times New Roman" w:cs="Times New Roman"/>
          <w:sz w:val="28"/>
          <w:szCs w:val="28"/>
        </w:rPr>
        <w:t>nodarbinātības form</w:t>
      </w:r>
      <w:r w:rsidR="00EE7AFE" w:rsidRPr="006610D8">
        <w:rPr>
          <w:rFonts w:ascii="Times New Roman" w:hAnsi="Times New Roman" w:cs="Times New Roman"/>
          <w:sz w:val="28"/>
          <w:szCs w:val="28"/>
        </w:rPr>
        <w:t>as</w:t>
      </w:r>
      <w:r w:rsidRPr="006610D8">
        <w:rPr>
          <w:rFonts w:ascii="Times New Roman" w:hAnsi="Times New Roman" w:cs="Times New Roman"/>
          <w:sz w:val="28"/>
          <w:szCs w:val="28"/>
        </w:rPr>
        <w:t xml:space="preserve">, kuras tiek izmantotas </w:t>
      </w:r>
      <w:r w:rsidR="0037065C" w:rsidRPr="006610D8">
        <w:rPr>
          <w:rFonts w:ascii="Times New Roman" w:hAnsi="Times New Roman" w:cs="Times New Roman"/>
          <w:sz w:val="28"/>
          <w:szCs w:val="28"/>
        </w:rPr>
        <w:t>nodokļu optimizēšanas nolūk</w:t>
      </w:r>
      <w:r w:rsidR="00CA636D">
        <w:rPr>
          <w:rFonts w:ascii="Times New Roman" w:hAnsi="Times New Roman" w:cs="Times New Roman"/>
          <w:sz w:val="28"/>
          <w:szCs w:val="28"/>
        </w:rPr>
        <w:t>ā</w:t>
      </w:r>
      <w:r w:rsidR="0001398F">
        <w:rPr>
          <w:rFonts w:ascii="Times New Roman" w:hAnsi="Times New Roman" w:cs="Times New Roman"/>
          <w:sz w:val="28"/>
          <w:szCs w:val="28"/>
        </w:rPr>
        <w:t>, lai</w:t>
      </w:r>
      <w:r w:rsidRPr="006610D8">
        <w:rPr>
          <w:rFonts w:ascii="Times New Roman" w:hAnsi="Times New Roman" w:cs="Times New Roman"/>
          <w:sz w:val="28"/>
          <w:szCs w:val="28"/>
        </w:rPr>
        <w:t xml:space="preserve"> samazināt</w:t>
      </w:r>
      <w:r w:rsidR="0001398F">
        <w:rPr>
          <w:rFonts w:ascii="Times New Roman" w:hAnsi="Times New Roman" w:cs="Times New Roman"/>
          <w:sz w:val="28"/>
          <w:szCs w:val="28"/>
        </w:rPr>
        <w:t>u</w:t>
      </w:r>
      <w:r w:rsidRPr="006610D8">
        <w:rPr>
          <w:rFonts w:ascii="Times New Roman" w:hAnsi="Times New Roman" w:cs="Times New Roman"/>
          <w:sz w:val="28"/>
          <w:szCs w:val="28"/>
        </w:rPr>
        <w:t xml:space="preserve"> algas nodokļu</w:t>
      </w:r>
      <w:r w:rsidR="000F1C75" w:rsidRPr="006610D8">
        <w:rPr>
          <w:rFonts w:ascii="Times New Roman" w:hAnsi="Times New Roman" w:cs="Times New Roman"/>
          <w:sz w:val="28"/>
          <w:szCs w:val="28"/>
        </w:rPr>
        <w:t>s</w:t>
      </w:r>
      <w:r w:rsidRPr="006610D8">
        <w:rPr>
          <w:rFonts w:ascii="Times New Roman" w:hAnsi="Times New Roman" w:cs="Times New Roman"/>
          <w:sz w:val="28"/>
          <w:szCs w:val="28"/>
        </w:rPr>
        <w:t xml:space="preserve">, tajā skaitā slēpjot vai legalizējot nereģistrēto nodarbinātību, piemēram, izmantojot </w:t>
      </w:r>
      <w:proofErr w:type="spellStart"/>
      <w:r w:rsidRPr="006610D8">
        <w:rPr>
          <w:rFonts w:ascii="Times New Roman" w:hAnsi="Times New Roman" w:cs="Times New Roman"/>
          <w:sz w:val="28"/>
          <w:szCs w:val="28"/>
        </w:rPr>
        <w:t>pašnodarbinātas</w:t>
      </w:r>
      <w:proofErr w:type="spellEnd"/>
      <w:r w:rsidRPr="006610D8">
        <w:rPr>
          <w:rFonts w:ascii="Times New Roman" w:hAnsi="Times New Roman" w:cs="Times New Roman"/>
          <w:sz w:val="28"/>
          <w:szCs w:val="28"/>
        </w:rPr>
        <w:t xml:space="preserve"> personas pakalpojumus, saņemot pakalpojumus no </w:t>
      </w:r>
      <w:proofErr w:type="spellStart"/>
      <w:r w:rsidRPr="006610D8">
        <w:rPr>
          <w:rFonts w:ascii="Times New Roman" w:hAnsi="Times New Roman" w:cs="Times New Roman"/>
          <w:sz w:val="28"/>
          <w:szCs w:val="28"/>
        </w:rPr>
        <w:t>mikrouzņēmumu</w:t>
      </w:r>
      <w:proofErr w:type="spellEnd"/>
      <w:r w:rsidRPr="006610D8">
        <w:rPr>
          <w:rFonts w:ascii="Times New Roman" w:hAnsi="Times New Roman" w:cs="Times New Roman"/>
          <w:sz w:val="28"/>
          <w:szCs w:val="28"/>
        </w:rPr>
        <w:t xml:space="preserve"> nodokļ</w:t>
      </w:r>
      <w:r w:rsidR="004E2FA6">
        <w:rPr>
          <w:rFonts w:ascii="Times New Roman" w:hAnsi="Times New Roman" w:cs="Times New Roman"/>
          <w:sz w:val="28"/>
          <w:szCs w:val="28"/>
        </w:rPr>
        <w:t>a</w:t>
      </w:r>
      <w:r w:rsidRPr="006610D8">
        <w:rPr>
          <w:rFonts w:ascii="Times New Roman" w:hAnsi="Times New Roman" w:cs="Times New Roman"/>
          <w:sz w:val="28"/>
          <w:szCs w:val="28"/>
        </w:rPr>
        <w:t xml:space="preserve"> maksātājiem un ārvalstu komersantiem</w:t>
      </w:r>
      <w:r w:rsidR="00276C76" w:rsidRPr="006610D8">
        <w:rPr>
          <w:rFonts w:ascii="Times New Roman" w:hAnsi="Times New Roman" w:cs="Times New Roman"/>
          <w:sz w:val="28"/>
          <w:szCs w:val="28"/>
        </w:rPr>
        <w:t xml:space="preserve">, kuri nav </w:t>
      </w:r>
      <w:r w:rsidR="00F32905" w:rsidRPr="006610D8">
        <w:rPr>
          <w:rFonts w:ascii="Times New Roman" w:hAnsi="Times New Roman" w:cs="Times New Roman"/>
          <w:sz w:val="28"/>
          <w:szCs w:val="28"/>
        </w:rPr>
        <w:t>reģistrējuši pastāvīgo pārstāvniecību Latvijā</w:t>
      </w:r>
      <w:r w:rsidRPr="006610D8">
        <w:rPr>
          <w:rFonts w:ascii="Times New Roman" w:hAnsi="Times New Roman" w:cs="Times New Roman"/>
          <w:sz w:val="28"/>
          <w:szCs w:val="28"/>
        </w:rPr>
        <w:t>.</w:t>
      </w:r>
    </w:p>
    <w:p w14:paraId="092C55D4" w14:textId="77777777" w:rsidR="00562C69" w:rsidRPr="006610D8" w:rsidRDefault="00162768" w:rsidP="00956569">
      <w:pPr>
        <w:pStyle w:val="NoSpacing"/>
        <w:spacing w:before="0"/>
        <w:ind w:firstLine="720"/>
        <w:jc w:val="both"/>
        <w:rPr>
          <w:rFonts w:ascii="Times New Roman" w:hAnsi="Times New Roman" w:cs="Times New Roman"/>
          <w:sz w:val="28"/>
          <w:szCs w:val="28"/>
        </w:rPr>
      </w:pPr>
      <w:r w:rsidRPr="006610D8">
        <w:rPr>
          <w:rFonts w:ascii="Times New Roman" w:hAnsi="Times New Roman" w:cs="Times New Roman"/>
          <w:sz w:val="28"/>
          <w:szCs w:val="28"/>
        </w:rPr>
        <w:t>Turklāt</w:t>
      </w:r>
      <w:r w:rsidR="00562C69" w:rsidRPr="006610D8">
        <w:rPr>
          <w:rFonts w:ascii="Times New Roman" w:hAnsi="Times New Roman" w:cs="Times New Roman"/>
          <w:sz w:val="28"/>
          <w:szCs w:val="28"/>
        </w:rPr>
        <w:t xml:space="preserve"> </w:t>
      </w:r>
      <w:proofErr w:type="spellStart"/>
      <w:r w:rsidRPr="006610D8">
        <w:rPr>
          <w:rFonts w:ascii="Times New Roman" w:hAnsi="Times New Roman" w:cs="Times New Roman"/>
          <w:sz w:val="28"/>
          <w:szCs w:val="28"/>
        </w:rPr>
        <w:t>mikrouzņēmumu</w:t>
      </w:r>
      <w:proofErr w:type="spellEnd"/>
      <w:r w:rsidRPr="006610D8">
        <w:rPr>
          <w:rFonts w:ascii="Times New Roman" w:hAnsi="Times New Roman" w:cs="Times New Roman"/>
          <w:sz w:val="28"/>
          <w:szCs w:val="28"/>
        </w:rPr>
        <w:t xml:space="preserve"> nodokļ</w:t>
      </w:r>
      <w:r w:rsidR="008E2F64" w:rsidRPr="006610D8">
        <w:rPr>
          <w:rFonts w:ascii="Times New Roman" w:hAnsi="Times New Roman" w:cs="Times New Roman"/>
          <w:sz w:val="28"/>
          <w:szCs w:val="28"/>
        </w:rPr>
        <w:t>a</w:t>
      </w:r>
      <w:r w:rsidRPr="006610D8">
        <w:rPr>
          <w:rFonts w:ascii="Times New Roman" w:hAnsi="Times New Roman" w:cs="Times New Roman"/>
          <w:sz w:val="28"/>
          <w:szCs w:val="28"/>
        </w:rPr>
        <w:t xml:space="preserve"> maksātājiem vai </w:t>
      </w:r>
      <w:proofErr w:type="spellStart"/>
      <w:r w:rsidRPr="006610D8">
        <w:rPr>
          <w:rFonts w:ascii="Times New Roman" w:hAnsi="Times New Roman" w:cs="Times New Roman"/>
          <w:sz w:val="28"/>
          <w:szCs w:val="28"/>
        </w:rPr>
        <w:t>pašnodarbinātām</w:t>
      </w:r>
      <w:proofErr w:type="spellEnd"/>
      <w:r w:rsidRPr="006610D8">
        <w:rPr>
          <w:rFonts w:ascii="Times New Roman" w:hAnsi="Times New Roman" w:cs="Times New Roman"/>
          <w:sz w:val="28"/>
          <w:szCs w:val="28"/>
        </w:rPr>
        <w:t xml:space="preserve"> personām nostrādātais darba laiks VID </w:t>
      </w:r>
      <w:r w:rsidR="0083284E" w:rsidRPr="006610D8">
        <w:rPr>
          <w:rFonts w:ascii="Times New Roman" w:hAnsi="Times New Roman" w:cs="Times New Roman"/>
          <w:sz w:val="28"/>
          <w:szCs w:val="28"/>
        </w:rPr>
        <w:t xml:space="preserve">nav </w:t>
      </w:r>
      <w:r w:rsidRPr="006610D8">
        <w:rPr>
          <w:rFonts w:ascii="Times New Roman" w:hAnsi="Times New Roman" w:cs="Times New Roman"/>
          <w:sz w:val="28"/>
          <w:szCs w:val="28"/>
        </w:rPr>
        <w:t>jādeklarē</w:t>
      </w:r>
      <w:r w:rsidR="005260E0">
        <w:rPr>
          <w:rFonts w:ascii="Times New Roman" w:hAnsi="Times New Roman" w:cs="Times New Roman"/>
          <w:sz w:val="28"/>
          <w:szCs w:val="28"/>
        </w:rPr>
        <w:t>,</w:t>
      </w:r>
      <w:r w:rsidR="00F861EE" w:rsidRPr="006610D8">
        <w:rPr>
          <w:rFonts w:ascii="Times New Roman" w:hAnsi="Times New Roman" w:cs="Times New Roman"/>
          <w:sz w:val="28"/>
          <w:szCs w:val="28"/>
        </w:rPr>
        <w:t xml:space="preserve"> un </w:t>
      </w:r>
      <w:r w:rsidR="00562C69" w:rsidRPr="006610D8">
        <w:rPr>
          <w:rFonts w:ascii="Times New Roman" w:hAnsi="Times New Roman" w:cs="Times New Roman"/>
          <w:sz w:val="28"/>
          <w:szCs w:val="28"/>
        </w:rPr>
        <w:t>EDLUS informācijas izmantošan</w:t>
      </w:r>
      <w:r w:rsidRPr="006610D8">
        <w:rPr>
          <w:rFonts w:ascii="Times New Roman" w:hAnsi="Times New Roman" w:cs="Times New Roman"/>
          <w:sz w:val="28"/>
          <w:szCs w:val="28"/>
        </w:rPr>
        <w:t>a</w:t>
      </w:r>
      <w:r w:rsidR="00302CD3" w:rsidRPr="006610D8">
        <w:rPr>
          <w:rFonts w:ascii="Times New Roman" w:hAnsi="Times New Roman" w:cs="Times New Roman"/>
          <w:sz w:val="28"/>
          <w:szCs w:val="28"/>
        </w:rPr>
        <w:t xml:space="preserve"> </w:t>
      </w:r>
      <w:r w:rsidR="00562C69" w:rsidRPr="006610D8">
        <w:rPr>
          <w:rFonts w:ascii="Times New Roman" w:hAnsi="Times New Roman" w:cs="Times New Roman"/>
          <w:sz w:val="28"/>
          <w:szCs w:val="28"/>
        </w:rPr>
        <w:t xml:space="preserve">darba </w:t>
      </w:r>
      <w:r w:rsidR="00302CD3" w:rsidRPr="006610D8">
        <w:rPr>
          <w:rFonts w:ascii="Times New Roman" w:hAnsi="Times New Roman" w:cs="Times New Roman"/>
          <w:sz w:val="28"/>
          <w:szCs w:val="28"/>
        </w:rPr>
        <w:t>laika uzskaite</w:t>
      </w:r>
      <w:r w:rsidRPr="006610D8">
        <w:rPr>
          <w:rFonts w:ascii="Times New Roman" w:hAnsi="Times New Roman" w:cs="Times New Roman"/>
          <w:sz w:val="28"/>
          <w:szCs w:val="28"/>
        </w:rPr>
        <w:t xml:space="preserve">s datu salīdzināšanai par šiem būvuzņēmējiem </w:t>
      </w:r>
      <w:r w:rsidR="00AF68D8" w:rsidRPr="006610D8">
        <w:rPr>
          <w:rFonts w:ascii="Times New Roman" w:hAnsi="Times New Roman" w:cs="Times New Roman"/>
          <w:sz w:val="28"/>
          <w:szCs w:val="28"/>
        </w:rPr>
        <w:t>ir ierobežota.</w:t>
      </w:r>
    </w:p>
    <w:p w14:paraId="04E55D51" w14:textId="77777777" w:rsidR="00562C69" w:rsidRPr="006610D8" w:rsidRDefault="00562C69" w:rsidP="00C9787F">
      <w:pPr>
        <w:pStyle w:val="NoSpacing"/>
        <w:spacing w:before="0"/>
        <w:ind w:firstLine="720"/>
        <w:jc w:val="both"/>
        <w:rPr>
          <w:rFonts w:ascii="Times New Roman" w:hAnsi="Times New Roman" w:cs="Times New Roman"/>
          <w:color w:val="000000" w:themeColor="text1"/>
          <w:sz w:val="28"/>
          <w:szCs w:val="28"/>
        </w:rPr>
      </w:pPr>
      <w:r w:rsidRPr="006610D8">
        <w:rPr>
          <w:rFonts w:ascii="Times New Roman" w:hAnsi="Times New Roman" w:cs="Times New Roman"/>
          <w:sz w:val="28"/>
          <w:szCs w:val="28"/>
        </w:rPr>
        <w:t xml:space="preserve">Pārbaudēs konstatēto apakšuzņēmēju </w:t>
      </w:r>
      <w:r w:rsidR="0083284E" w:rsidRPr="006610D8">
        <w:rPr>
          <w:rFonts w:ascii="Times New Roman" w:hAnsi="Times New Roman" w:cs="Times New Roman"/>
          <w:sz w:val="28"/>
          <w:szCs w:val="28"/>
        </w:rPr>
        <w:t>–</w:t>
      </w:r>
      <w:r w:rsidRPr="006610D8">
        <w:rPr>
          <w:rFonts w:ascii="Times New Roman" w:hAnsi="Times New Roman" w:cs="Times New Roman"/>
          <w:sz w:val="28"/>
          <w:szCs w:val="28"/>
        </w:rPr>
        <w:t xml:space="preserve"> </w:t>
      </w:r>
      <w:proofErr w:type="spellStart"/>
      <w:r w:rsidRPr="006610D8">
        <w:rPr>
          <w:rFonts w:ascii="Times New Roman" w:hAnsi="Times New Roman" w:cs="Times New Roman"/>
          <w:sz w:val="28"/>
          <w:szCs w:val="28"/>
        </w:rPr>
        <w:t>mikrouzņēmumu</w:t>
      </w:r>
      <w:proofErr w:type="spellEnd"/>
      <w:r w:rsidRPr="006610D8">
        <w:rPr>
          <w:rFonts w:ascii="Times New Roman" w:hAnsi="Times New Roman" w:cs="Times New Roman"/>
          <w:sz w:val="28"/>
          <w:szCs w:val="28"/>
        </w:rPr>
        <w:t xml:space="preserve"> nodokļ</w:t>
      </w:r>
      <w:r w:rsidR="008E2F64" w:rsidRPr="006610D8">
        <w:rPr>
          <w:rFonts w:ascii="Times New Roman" w:hAnsi="Times New Roman" w:cs="Times New Roman"/>
          <w:sz w:val="28"/>
          <w:szCs w:val="28"/>
        </w:rPr>
        <w:t>a</w:t>
      </w:r>
      <w:r w:rsidRPr="006610D8">
        <w:rPr>
          <w:rFonts w:ascii="Times New Roman" w:hAnsi="Times New Roman" w:cs="Times New Roman"/>
          <w:sz w:val="28"/>
          <w:szCs w:val="28"/>
        </w:rPr>
        <w:t xml:space="preserve"> maksātāju</w:t>
      </w:r>
      <w:r w:rsidR="00C9787F">
        <w:rPr>
          <w:rFonts w:ascii="Times New Roman" w:hAnsi="Times New Roman" w:cs="Times New Roman"/>
          <w:sz w:val="28"/>
          <w:szCs w:val="28"/>
        </w:rPr>
        <w:t> –</w:t>
      </w:r>
      <w:r w:rsidRPr="006610D8">
        <w:rPr>
          <w:rFonts w:ascii="Times New Roman" w:hAnsi="Times New Roman" w:cs="Times New Roman"/>
          <w:sz w:val="28"/>
          <w:szCs w:val="28"/>
        </w:rPr>
        <w:t xml:space="preserve">, kuru darba ņēmēji aptaujāti </w:t>
      </w:r>
      <w:r w:rsidR="00444048" w:rsidRPr="006610D8">
        <w:rPr>
          <w:rFonts w:ascii="Times New Roman" w:hAnsi="Times New Roman" w:cs="Times New Roman"/>
          <w:sz w:val="28"/>
          <w:szCs w:val="28"/>
        </w:rPr>
        <w:t>būvlaukumos</w:t>
      </w:r>
      <w:r w:rsidR="0083284E" w:rsidRPr="006610D8">
        <w:rPr>
          <w:rFonts w:ascii="Times New Roman" w:hAnsi="Times New Roman" w:cs="Times New Roman"/>
          <w:sz w:val="28"/>
          <w:szCs w:val="28"/>
        </w:rPr>
        <w:t>,</w:t>
      </w:r>
      <w:r w:rsidRPr="006610D8">
        <w:rPr>
          <w:rFonts w:ascii="Times New Roman" w:hAnsi="Times New Roman" w:cs="Times New Roman"/>
          <w:sz w:val="28"/>
          <w:szCs w:val="28"/>
        </w:rPr>
        <w:t xml:space="preserve"> </w:t>
      </w:r>
      <w:r w:rsidR="0083284E" w:rsidRPr="006610D8">
        <w:rPr>
          <w:rFonts w:ascii="Times New Roman" w:hAnsi="Times New Roman" w:cs="Times New Roman"/>
          <w:sz w:val="28"/>
          <w:szCs w:val="28"/>
        </w:rPr>
        <w:t xml:space="preserve">skaits </w:t>
      </w:r>
      <w:r w:rsidRPr="006610D8">
        <w:rPr>
          <w:rFonts w:ascii="Times New Roman" w:hAnsi="Times New Roman" w:cs="Times New Roman"/>
          <w:sz w:val="28"/>
          <w:szCs w:val="28"/>
        </w:rPr>
        <w:t xml:space="preserve">2018.gadā bija </w:t>
      </w:r>
      <w:r w:rsidR="00251275" w:rsidRPr="006610D8">
        <w:rPr>
          <w:rFonts w:ascii="Times New Roman" w:hAnsi="Times New Roman" w:cs="Times New Roman"/>
          <w:sz w:val="28"/>
          <w:szCs w:val="28"/>
        </w:rPr>
        <w:t>8,4</w:t>
      </w:r>
      <w:r w:rsidR="00C9787F">
        <w:rPr>
          <w:rFonts w:ascii="Times New Roman" w:hAnsi="Times New Roman" w:cs="Times New Roman"/>
          <w:sz w:val="28"/>
          <w:szCs w:val="28"/>
        </w:rPr>
        <w:t> </w:t>
      </w:r>
      <w:r w:rsidRPr="006610D8">
        <w:rPr>
          <w:rFonts w:ascii="Times New Roman" w:hAnsi="Times New Roman" w:cs="Times New Roman"/>
          <w:sz w:val="28"/>
          <w:szCs w:val="28"/>
        </w:rPr>
        <w:t xml:space="preserve">% un 2019.gadā </w:t>
      </w:r>
      <w:r w:rsidR="00251275" w:rsidRPr="006610D8">
        <w:rPr>
          <w:rFonts w:ascii="Times New Roman" w:hAnsi="Times New Roman" w:cs="Times New Roman"/>
          <w:sz w:val="28"/>
          <w:szCs w:val="28"/>
        </w:rPr>
        <w:t>9,6</w:t>
      </w:r>
      <w:r w:rsidR="00C9787F">
        <w:rPr>
          <w:rFonts w:ascii="Times New Roman" w:hAnsi="Times New Roman" w:cs="Times New Roman"/>
          <w:sz w:val="28"/>
          <w:szCs w:val="28"/>
        </w:rPr>
        <w:t> </w:t>
      </w:r>
      <w:r w:rsidRPr="006610D8">
        <w:rPr>
          <w:rFonts w:ascii="Times New Roman" w:hAnsi="Times New Roman" w:cs="Times New Roman"/>
          <w:sz w:val="28"/>
          <w:szCs w:val="28"/>
        </w:rPr>
        <w:t xml:space="preserve">% no kopējā </w:t>
      </w:r>
      <w:r w:rsidR="0083284E" w:rsidRPr="006610D8">
        <w:rPr>
          <w:rFonts w:ascii="Times New Roman" w:hAnsi="Times New Roman" w:cs="Times New Roman"/>
          <w:sz w:val="28"/>
          <w:szCs w:val="28"/>
        </w:rPr>
        <w:t xml:space="preserve">pārbaudīto </w:t>
      </w:r>
      <w:r w:rsidRPr="006610D8">
        <w:rPr>
          <w:rFonts w:ascii="Times New Roman" w:hAnsi="Times New Roman" w:cs="Times New Roman"/>
          <w:sz w:val="28"/>
          <w:szCs w:val="28"/>
        </w:rPr>
        <w:t xml:space="preserve">apakšuzņēmumu skaita. </w:t>
      </w:r>
      <w:r w:rsidRPr="006610D8">
        <w:rPr>
          <w:rFonts w:ascii="Times New Roman" w:hAnsi="Times New Roman" w:cs="Times New Roman"/>
          <w:color w:val="000000" w:themeColor="text1"/>
          <w:sz w:val="28"/>
          <w:szCs w:val="28"/>
        </w:rPr>
        <w:t xml:space="preserve">Minētās tendences </w:t>
      </w:r>
      <w:r w:rsidR="00EE3654" w:rsidRPr="006610D8">
        <w:rPr>
          <w:rFonts w:ascii="Times New Roman" w:hAnsi="Times New Roman" w:cs="Times New Roman"/>
          <w:color w:val="000000" w:themeColor="text1"/>
          <w:sz w:val="28"/>
          <w:szCs w:val="28"/>
        </w:rPr>
        <w:t xml:space="preserve">liecina par nepieciešamību </w:t>
      </w:r>
      <w:r w:rsidR="00142D3F" w:rsidRPr="006610D8">
        <w:rPr>
          <w:rFonts w:ascii="Times New Roman" w:hAnsi="Times New Roman" w:cs="Times New Roman"/>
          <w:color w:val="000000" w:themeColor="text1"/>
          <w:sz w:val="28"/>
          <w:szCs w:val="28"/>
        </w:rPr>
        <w:t>pievērs</w:t>
      </w:r>
      <w:r w:rsidR="00886268" w:rsidRPr="006610D8">
        <w:rPr>
          <w:rFonts w:ascii="Times New Roman" w:hAnsi="Times New Roman" w:cs="Times New Roman"/>
          <w:color w:val="000000" w:themeColor="text1"/>
          <w:sz w:val="28"/>
          <w:szCs w:val="28"/>
        </w:rPr>
        <w:t>t</w:t>
      </w:r>
      <w:r w:rsidR="00142D3F" w:rsidRPr="006610D8">
        <w:rPr>
          <w:rFonts w:ascii="Times New Roman" w:hAnsi="Times New Roman" w:cs="Times New Roman"/>
          <w:color w:val="000000" w:themeColor="text1"/>
          <w:sz w:val="28"/>
          <w:szCs w:val="28"/>
        </w:rPr>
        <w:t xml:space="preserve"> uzmanību EDLUS ieviešanas ietekmei uz </w:t>
      </w:r>
      <w:proofErr w:type="spellStart"/>
      <w:r w:rsidRPr="006610D8">
        <w:rPr>
          <w:rFonts w:ascii="Times New Roman" w:hAnsi="Times New Roman" w:cs="Times New Roman"/>
          <w:color w:val="000000" w:themeColor="text1"/>
          <w:sz w:val="28"/>
          <w:szCs w:val="28"/>
        </w:rPr>
        <w:t>mikrouzņēmum</w:t>
      </w:r>
      <w:r w:rsidR="00EE3654" w:rsidRPr="006610D8">
        <w:rPr>
          <w:rFonts w:ascii="Times New Roman" w:hAnsi="Times New Roman" w:cs="Times New Roman"/>
          <w:color w:val="000000" w:themeColor="text1"/>
          <w:sz w:val="28"/>
          <w:szCs w:val="28"/>
        </w:rPr>
        <w:t>iem</w:t>
      </w:r>
      <w:proofErr w:type="spellEnd"/>
      <w:r w:rsidRPr="006610D8">
        <w:rPr>
          <w:rFonts w:ascii="Times New Roman" w:hAnsi="Times New Roman" w:cs="Times New Roman"/>
          <w:color w:val="000000" w:themeColor="text1"/>
          <w:sz w:val="28"/>
          <w:szCs w:val="28"/>
        </w:rPr>
        <w:t xml:space="preserve"> būvniecības nozarē</w:t>
      </w:r>
      <w:r w:rsidR="00EE3654" w:rsidRPr="006610D8">
        <w:rPr>
          <w:rFonts w:ascii="Times New Roman" w:hAnsi="Times New Roman" w:cs="Times New Roman"/>
          <w:color w:val="000000" w:themeColor="text1"/>
          <w:sz w:val="28"/>
          <w:szCs w:val="28"/>
        </w:rPr>
        <w:t>.</w:t>
      </w:r>
    </w:p>
    <w:p w14:paraId="6E39A1D9" w14:textId="77777777" w:rsidR="004D3B7B" w:rsidRDefault="004D3B7B" w:rsidP="00FA5A60">
      <w:pPr>
        <w:pStyle w:val="NoSpacing"/>
        <w:spacing w:before="0"/>
        <w:ind w:firstLine="720"/>
        <w:jc w:val="both"/>
        <w:rPr>
          <w:rFonts w:ascii="Times New Roman" w:hAnsi="Times New Roman" w:cs="Times New Roman"/>
          <w:sz w:val="28"/>
          <w:szCs w:val="28"/>
        </w:rPr>
      </w:pPr>
    </w:p>
    <w:p w14:paraId="3402EF3A" w14:textId="77777777" w:rsidR="00A402D6" w:rsidRPr="006610D8" w:rsidRDefault="00201414" w:rsidP="003977E6">
      <w:pPr>
        <w:pStyle w:val="NoSpacing"/>
        <w:spacing w:before="0"/>
        <w:ind w:firstLine="720"/>
        <w:jc w:val="both"/>
        <w:rPr>
          <w:rFonts w:ascii="Times New Roman" w:hAnsi="Times New Roman" w:cs="Times New Roman"/>
          <w:sz w:val="28"/>
          <w:szCs w:val="28"/>
        </w:rPr>
      </w:pPr>
      <w:r w:rsidRPr="006610D8">
        <w:rPr>
          <w:rFonts w:ascii="Times New Roman" w:hAnsi="Times New Roman" w:cs="Times New Roman"/>
          <w:sz w:val="28"/>
          <w:szCs w:val="28"/>
        </w:rPr>
        <w:t>Veicot pārbaudes EDLU ieviešanas uzraudzības ietvaros</w:t>
      </w:r>
      <w:r w:rsidR="00C17302" w:rsidRPr="006610D8">
        <w:rPr>
          <w:rFonts w:ascii="Times New Roman" w:hAnsi="Times New Roman" w:cs="Times New Roman"/>
          <w:sz w:val="28"/>
          <w:szCs w:val="28"/>
        </w:rPr>
        <w:t>,</w:t>
      </w:r>
      <w:r w:rsidR="00A402D6" w:rsidRPr="006610D8">
        <w:rPr>
          <w:rFonts w:ascii="Times New Roman" w:hAnsi="Times New Roman" w:cs="Times New Roman"/>
          <w:sz w:val="28"/>
          <w:szCs w:val="28"/>
        </w:rPr>
        <w:t xml:space="preserve"> konstatēts, ka </w:t>
      </w:r>
      <w:r w:rsidR="007E3927" w:rsidRPr="006610D8">
        <w:rPr>
          <w:rFonts w:ascii="Times New Roman" w:hAnsi="Times New Roman" w:cs="Times New Roman"/>
          <w:sz w:val="28"/>
          <w:szCs w:val="28"/>
        </w:rPr>
        <w:t xml:space="preserve">2019.gada laikā </w:t>
      </w:r>
      <w:r w:rsidR="00A402D6" w:rsidRPr="006610D8">
        <w:rPr>
          <w:rFonts w:ascii="Times New Roman" w:hAnsi="Times New Roman" w:cs="Times New Roman"/>
          <w:sz w:val="28"/>
          <w:szCs w:val="28"/>
        </w:rPr>
        <w:t>ievērojami pieaug</w:t>
      </w:r>
      <w:r w:rsidR="007E3927" w:rsidRPr="006610D8">
        <w:rPr>
          <w:rFonts w:ascii="Times New Roman" w:hAnsi="Times New Roman" w:cs="Times New Roman"/>
          <w:sz w:val="28"/>
          <w:szCs w:val="28"/>
        </w:rPr>
        <w:t>usi</w:t>
      </w:r>
      <w:r w:rsidR="00A402D6" w:rsidRPr="006610D8">
        <w:rPr>
          <w:rFonts w:ascii="Times New Roman" w:hAnsi="Times New Roman" w:cs="Times New Roman"/>
          <w:sz w:val="28"/>
          <w:szCs w:val="28"/>
        </w:rPr>
        <w:t xml:space="preserve"> </w:t>
      </w:r>
      <w:r w:rsidR="007E3927" w:rsidRPr="006610D8">
        <w:rPr>
          <w:rFonts w:ascii="Times New Roman" w:hAnsi="Times New Roman" w:cs="Times New Roman"/>
          <w:sz w:val="28"/>
          <w:szCs w:val="28"/>
        </w:rPr>
        <w:t xml:space="preserve">viesstrādnieku </w:t>
      </w:r>
      <w:r w:rsidR="000C4239" w:rsidRPr="006610D8">
        <w:rPr>
          <w:rFonts w:ascii="Times New Roman" w:hAnsi="Times New Roman" w:cs="Times New Roman"/>
          <w:sz w:val="28"/>
          <w:szCs w:val="28"/>
        </w:rPr>
        <w:t>nodarbināšana</w:t>
      </w:r>
      <w:r w:rsidR="007E3927" w:rsidRPr="006610D8">
        <w:rPr>
          <w:rFonts w:ascii="Times New Roman" w:hAnsi="Times New Roman" w:cs="Times New Roman"/>
          <w:sz w:val="28"/>
          <w:szCs w:val="28"/>
        </w:rPr>
        <w:t xml:space="preserve"> būvdarb</w:t>
      </w:r>
      <w:r w:rsidR="000C4239" w:rsidRPr="006610D8">
        <w:rPr>
          <w:rFonts w:ascii="Times New Roman" w:hAnsi="Times New Roman" w:cs="Times New Roman"/>
          <w:sz w:val="28"/>
          <w:szCs w:val="28"/>
        </w:rPr>
        <w:t>os</w:t>
      </w:r>
      <w:r w:rsidR="007E3927" w:rsidRPr="006610D8">
        <w:rPr>
          <w:rFonts w:ascii="Times New Roman" w:hAnsi="Times New Roman" w:cs="Times New Roman"/>
          <w:sz w:val="28"/>
          <w:szCs w:val="28"/>
        </w:rPr>
        <w:t xml:space="preserve"> Latvijā, kas var </w:t>
      </w:r>
      <w:r w:rsidR="00C9787F">
        <w:rPr>
          <w:rFonts w:ascii="Times New Roman" w:hAnsi="Times New Roman" w:cs="Times New Roman"/>
          <w:sz w:val="28"/>
          <w:szCs w:val="28"/>
        </w:rPr>
        <w:t>būt</w:t>
      </w:r>
      <w:r w:rsidR="007E3927" w:rsidRPr="006610D8">
        <w:rPr>
          <w:rFonts w:ascii="Times New Roman" w:hAnsi="Times New Roman" w:cs="Times New Roman"/>
          <w:sz w:val="28"/>
          <w:szCs w:val="28"/>
        </w:rPr>
        <w:t xml:space="preserve"> ēnu ekonomiku būvniecības nozarē ietekmējošs faktors.</w:t>
      </w:r>
      <w:r w:rsidR="00A402D6" w:rsidRPr="006610D8">
        <w:rPr>
          <w:rFonts w:ascii="Times New Roman" w:hAnsi="Times New Roman" w:cs="Times New Roman"/>
          <w:sz w:val="28"/>
          <w:szCs w:val="28"/>
        </w:rPr>
        <w:t xml:space="preserve"> </w:t>
      </w:r>
      <w:r w:rsidR="00592EE8" w:rsidRPr="006610D8">
        <w:rPr>
          <w:rFonts w:ascii="Times New Roman" w:hAnsi="Times New Roman" w:cs="Times New Roman"/>
          <w:sz w:val="28"/>
          <w:szCs w:val="28"/>
        </w:rPr>
        <w:t xml:space="preserve">Vērtējot </w:t>
      </w:r>
      <w:r w:rsidR="0091693F" w:rsidRPr="006610D8">
        <w:rPr>
          <w:rFonts w:ascii="Times New Roman" w:hAnsi="Times New Roman" w:cs="Times New Roman"/>
          <w:sz w:val="28"/>
          <w:szCs w:val="28"/>
        </w:rPr>
        <w:t xml:space="preserve">izlases veidā </w:t>
      </w:r>
      <w:r w:rsidR="00592EE8" w:rsidRPr="006610D8">
        <w:rPr>
          <w:rFonts w:ascii="Times New Roman" w:hAnsi="Times New Roman" w:cs="Times New Roman"/>
          <w:sz w:val="28"/>
          <w:szCs w:val="28"/>
        </w:rPr>
        <w:t>pārbaudēs iesniegtos EDLU</w:t>
      </w:r>
      <w:r w:rsidR="00E019FB">
        <w:rPr>
          <w:rFonts w:ascii="Times New Roman" w:hAnsi="Times New Roman" w:cs="Times New Roman"/>
          <w:sz w:val="28"/>
          <w:szCs w:val="28"/>
        </w:rPr>
        <w:t>S</w:t>
      </w:r>
      <w:r w:rsidR="00592EE8" w:rsidRPr="006610D8">
        <w:rPr>
          <w:rFonts w:ascii="Times New Roman" w:hAnsi="Times New Roman" w:cs="Times New Roman"/>
          <w:sz w:val="28"/>
          <w:szCs w:val="28"/>
        </w:rPr>
        <w:t xml:space="preserve"> datus, k</w:t>
      </w:r>
      <w:r w:rsidR="004966AA" w:rsidRPr="006610D8">
        <w:rPr>
          <w:rFonts w:ascii="Times New Roman" w:hAnsi="Times New Roman" w:cs="Times New Roman"/>
          <w:sz w:val="28"/>
          <w:szCs w:val="28"/>
        </w:rPr>
        <w:t>onstatēts, ka ap</w:t>
      </w:r>
      <w:r w:rsidR="008F3012">
        <w:rPr>
          <w:rFonts w:ascii="Times New Roman" w:hAnsi="Times New Roman" w:cs="Times New Roman"/>
          <w:sz w:val="28"/>
          <w:szCs w:val="28"/>
        </w:rPr>
        <w:t>tuveni</w:t>
      </w:r>
      <w:r w:rsidR="004966AA" w:rsidRPr="006610D8">
        <w:rPr>
          <w:rFonts w:ascii="Times New Roman" w:hAnsi="Times New Roman" w:cs="Times New Roman"/>
          <w:sz w:val="28"/>
          <w:szCs w:val="28"/>
        </w:rPr>
        <w:t xml:space="preserve"> 10</w:t>
      </w:r>
      <w:r w:rsidR="00C17302" w:rsidRPr="006610D8">
        <w:rPr>
          <w:rFonts w:ascii="Times New Roman" w:hAnsi="Times New Roman" w:cs="Times New Roman"/>
          <w:sz w:val="28"/>
          <w:szCs w:val="28"/>
        </w:rPr>
        <w:t> </w:t>
      </w:r>
      <w:r w:rsidR="004966AA" w:rsidRPr="006610D8">
        <w:rPr>
          <w:rFonts w:ascii="Times New Roman" w:hAnsi="Times New Roman" w:cs="Times New Roman"/>
          <w:sz w:val="28"/>
          <w:szCs w:val="28"/>
        </w:rPr>
        <w:t xml:space="preserve">% no </w:t>
      </w:r>
      <w:r w:rsidR="00592EE8" w:rsidRPr="006610D8">
        <w:rPr>
          <w:rFonts w:ascii="Times New Roman" w:hAnsi="Times New Roman" w:cs="Times New Roman"/>
          <w:sz w:val="28"/>
          <w:szCs w:val="28"/>
        </w:rPr>
        <w:t>pārbaudītajos</w:t>
      </w:r>
      <w:r w:rsidR="004966AA" w:rsidRPr="006610D8">
        <w:rPr>
          <w:rFonts w:ascii="Times New Roman" w:hAnsi="Times New Roman" w:cs="Times New Roman"/>
          <w:sz w:val="28"/>
          <w:szCs w:val="28"/>
        </w:rPr>
        <w:t xml:space="preserve"> būvlaukumos nodarbināt</w:t>
      </w:r>
      <w:r w:rsidR="008F3012">
        <w:rPr>
          <w:rFonts w:ascii="Times New Roman" w:hAnsi="Times New Roman" w:cs="Times New Roman"/>
          <w:sz w:val="28"/>
          <w:szCs w:val="28"/>
        </w:rPr>
        <w:t>aj</w:t>
      </w:r>
      <w:r w:rsidR="007912E4" w:rsidRPr="006610D8">
        <w:rPr>
          <w:rFonts w:ascii="Times New Roman" w:hAnsi="Times New Roman" w:cs="Times New Roman"/>
          <w:sz w:val="28"/>
          <w:szCs w:val="28"/>
        </w:rPr>
        <w:t>iem viesstrādniekiem</w:t>
      </w:r>
      <w:r w:rsidR="004966AA" w:rsidRPr="006610D8">
        <w:rPr>
          <w:rFonts w:ascii="Times New Roman" w:hAnsi="Times New Roman" w:cs="Times New Roman"/>
          <w:sz w:val="28"/>
          <w:szCs w:val="28"/>
        </w:rPr>
        <w:t xml:space="preserve"> ir nerezidenti no Ukrainas, Baltkrievijas, Uzbekistānas, Moldovas u.c. </w:t>
      </w:r>
      <w:r w:rsidR="007912E4" w:rsidRPr="006610D8">
        <w:rPr>
          <w:rFonts w:ascii="Times New Roman" w:hAnsi="Times New Roman" w:cs="Times New Roman"/>
          <w:sz w:val="28"/>
          <w:szCs w:val="28"/>
        </w:rPr>
        <w:t>Ap</w:t>
      </w:r>
      <w:r w:rsidR="008F3012">
        <w:rPr>
          <w:rFonts w:ascii="Times New Roman" w:hAnsi="Times New Roman" w:cs="Times New Roman"/>
          <w:sz w:val="28"/>
          <w:szCs w:val="28"/>
        </w:rPr>
        <w:t>tuveni</w:t>
      </w:r>
      <w:r w:rsidR="007912E4" w:rsidRPr="006610D8">
        <w:rPr>
          <w:rFonts w:ascii="Times New Roman" w:hAnsi="Times New Roman" w:cs="Times New Roman"/>
          <w:sz w:val="28"/>
          <w:szCs w:val="28"/>
        </w:rPr>
        <w:t xml:space="preserve"> 3</w:t>
      </w:r>
      <w:r w:rsidR="008F3012">
        <w:rPr>
          <w:rFonts w:ascii="Times New Roman" w:hAnsi="Times New Roman" w:cs="Times New Roman"/>
          <w:sz w:val="28"/>
          <w:szCs w:val="28"/>
        </w:rPr>
        <w:t> </w:t>
      </w:r>
      <w:r w:rsidR="007912E4" w:rsidRPr="006610D8">
        <w:rPr>
          <w:rFonts w:ascii="Times New Roman" w:hAnsi="Times New Roman" w:cs="Times New Roman"/>
          <w:sz w:val="28"/>
          <w:szCs w:val="28"/>
        </w:rPr>
        <w:t>% no v</w:t>
      </w:r>
      <w:r w:rsidR="00562C69" w:rsidRPr="006610D8">
        <w:rPr>
          <w:rFonts w:ascii="Times New Roman" w:hAnsi="Times New Roman" w:cs="Times New Roman"/>
          <w:sz w:val="28"/>
          <w:szCs w:val="28"/>
        </w:rPr>
        <w:t>iesstrādnieki</w:t>
      </w:r>
      <w:r w:rsidR="007912E4" w:rsidRPr="006610D8">
        <w:rPr>
          <w:rFonts w:ascii="Times New Roman" w:hAnsi="Times New Roman" w:cs="Times New Roman"/>
          <w:sz w:val="28"/>
          <w:szCs w:val="28"/>
        </w:rPr>
        <w:t xml:space="preserve">em </w:t>
      </w:r>
      <w:r w:rsidR="005D45BC" w:rsidRPr="006610D8">
        <w:rPr>
          <w:rFonts w:ascii="Times New Roman" w:hAnsi="Times New Roman" w:cs="Times New Roman"/>
          <w:sz w:val="28"/>
          <w:szCs w:val="28"/>
        </w:rPr>
        <w:t xml:space="preserve">darbam </w:t>
      </w:r>
      <w:r w:rsidR="00C17302" w:rsidRPr="006610D8">
        <w:rPr>
          <w:rFonts w:ascii="Times New Roman" w:hAnsi="Times New Roman" w:cs="Times New Roman"/>
          <w:sz w:val="28"/>
          <w:szCs w:val="28"/>
        </w:rPr>
        <w:t xml:space="preserve">piesaistīti, </w:t>
      </w:r>
      <w:r w:rsidR="00562C69" w:rsidRPr="006610D8">
        <w:rPr>
          <w:rFonts w:ascii="Times New Roman" w:hAnsi="Times New Roman" w:cs="Times New Roman"/>
          <w:sz w:val="28"/>
          <w:szCs w:val="28"/>
        </w:rPr>
        <w:t>pamatojoties uz darba tiesiskajām attiecībām ar Latvijas būvuzņēmējiem</w:t>
      </w:r>
      <w:r w:rsidR="007912E4" w:rsidRPr="006610D8">
        <w:rPr>
          <w:rFonts w:ascii="Times New Roman" w:hAnsi="Times New Roman" w:cs="Times New Roman"/>
          <w:sz w:val="28"/>
          <w:szCs w:val="28"/>
        </w:rPr>
        <w:t>. Taču l</w:t>
      </w:r>
      <w:r w:rsidR="00A402D6" w:rsidRPr="006610D8">
        <w:rPr>
          <w:rFonts w:ascii="Times New Roman" w:hAnsi="Times New Roman" w:cs="Times New Roman"/>
          <w:sz w:val="28"/>
          <w:szCs w:val="28"/>
        </w:rPr>
        <w:t xml:space="preserve">ielākā daļa no tiem </w:t>
      </w:r>
      <w:r w:rsidR="00C17302" w:rsidRPr="006610D8">
        <w:rPr>
          <w:rFonts w:ascii="Times New Roman" w:hAnsi="Times New Roman" w:cs="Times New Roman"/>
          <w:sz w:val="28"/>
          <w:szCs w:val="28"/>
        </w:rPr>
        <w:t>–</w:t>
      </w:r>
      <w:r w:rsidR="00A402D6" w:rsidRPr="006610D8">
        <w:rPr>
          <w:rFonts w:ascii="Times New Roman" w:hAnsi="Times New Roman" w:cs="Times New Roman"/>
          <w:sz w:val="28"/>
          <w:szCs w:val="28"/>
        </w:rPr>
        <w:t xml:space="preserve"> ap</w:t>
      </w:r>
      <w:r w:rsidR="008F3012">
        <w:rPr>
          <w:rFonts w:ascii="Times New Roman" w:hAnsi="Times New Roman" w:cs="Times New Roman"/>
          <w:sz w:val="28"/>
          <w:szCs w:val="28"/>
        </w:rPr>
        <w:t>tuveni</w:t>
      </w:r>
      <w:r w:rsidR="00A402D6" w:rsidRPr="006610D8">
        <w:rPr>
          <w:rFonts w:ascii="Times New Roman" w:hAnsi="Times New Roman" w:cs="Times New Roman"/>
          <w:sz w:val="28"/>
          <w:szCs w:val="28"/>
        </w:rPr>
        <w:t xml:space="preserve"> 7</w:t>
      </w:r>
      <w:r w:rsidR="008F3012">
        <w:rPr>
          <w:rFonts w:ascii="Times New Roman" w:hAnsi="Times New Roman" w:cs="Times New Roman"/>
          <w:sz w:val="28"/>
          <w:szCs w:val="28"/>
        </w:rPr>
        <w:t> </w:t>
      </w:r>
      <w:r w:rsidR="00A402D6" w:rsidRPr="006610D8">
        <w:rPr>
          <w:rFonts w:ascii="Times New Roman" w:hAnsi="Times New Roman" w:cs="Times New Roman"/>
          <w:sz w:val="28"/>
          <w:szCs w:val="28"/>
        </w:rPr>
        <w:t>%</w:t>
      </w:r>
      <w:r w:rsidR="008F3012">
        <w:rPr>
          <w:rFonts w:ascii="Times New Roman" w:hAnsi="Times New Roman" w:cs="Times New Roman"/>
          <w:sz w:val="28"/>
          <w:szCs w:val="28"/>
        </w:rPr>
        <w:t> –</w:t>
      </w:r>
      <w:r w:rsidR="00A402D6" w:rsidRPr="006610D8">
        <w:rPr>
          <w:rFonts w:ascii="Times New Roman" w:hAnsi="Times New Roman" w:cs="Times New Roman"/>
          <w:sz w:val="28"/>
          <w:szCs w:val="28"/>
        </w:rPr>
        <w:t xml:space="preserve"> nodarbināt</w:t>
      </w:r>
      <w:r w:rsidR="00BD5CE2" w:rsidRPr="006610D8">
        <w:rPr>
          <w:rFonts w:ascii="Times New Roman" w:hAnsi="Times New Roman" w:cs="Times New Roman"/>
          <w:sz w:val="28"/>
          <w:szCs w:val="28"/>
        </w:rPr>
        <w:t>i</w:t>
      </w:r>
      <w:r w:rsidR="00C17302" w:rsidRPr="006610D8">
        <w:rPr>
          <w:rFonts w:ascii="Times New Roman" w:hAnsi="Times New Roman" w:cs="Times New Roman"/>
          <w:sz w:val="28"/>
          <w:szCs w:val="28"/>
        </w:rPr>
        <w:t>,</w:t>
      </w:r>
      <w:r w:rsidR="00A402D6" w:rsidRPr="006610D8">
        <w:rPr>
          <w:rFonts w:ascii="Times New Roman" w:hAnsi="Times New Roman" w:cs="Times New Roman"/>
          <w:sz w:val="28"/>
          <w:szCs w:val="28"/>
        </w:rPr>
        <w:t xml:space="preserve"> pamatojoties uz </w:t>
      </w:r>
      <w:r w:rsidR="007912E4" w:rsidRPr="006610D8">
        <w:rPr>
          <w:rFonts w:ascii="Times New Roman" w:hAnsi="Times New Roman" w:cs="Times New Roman"/>
          <w:sz w:val="28"/>
          <w:szCs w:val="28"/>
        </w:rPr>
        <w:t xml:space="preserve">Latvijas būvuzņēmēju noslēgtajiem pakalpojuma līgumiem </w:t>
      </w:r>
      <w:r w:rsidR="00A402D6" w:rsidRPr="006610D8">
        <w:rPr>
          <w:rFonts w:ascii="Times New Roman" w:hAnsi="Times New Roman" w:cs="Times New Roman"/>
          <w:sz w:val="28"/>
          <w:szCs w:val="28"/>
        </w:rPr>
        <w:t xml:space="preserve">ar ārvalstu komersantiem, pārsvarā </w:t>
      </w:r>
      <w:r w:rsidR="00C84802">
        <w:rPr>
          <w:rFonts w:ascii="Times New Roman" w:hAnsi="Times New Roman" w:cs="Times New Roman"/>
          <w:sz w:val="28"/>
          <w:szCs w:val="28"/>
        </w:rPr>
        <w:t xml:space="preserve">līgums slēgts ar </w:t>
      </w:r>
      <w:r w:rsidR="00A402D6" w:rsidRPr="006610D8">
        <w:rPr>
          <w:rFonts w:ascii="Times New Roman" w:hAnsi="Times New Roman" w:cs="Times New Roman"/>
          <w:sz w:val="28"/>
          <w:szCs w:val="28"/>
        </w:rPr>
        <w:t>Polijas vai Lietuvas</w:t>
      </w:r>
      <w:r w:rsidR="00C84802">
        <w:rPr>
          <w:rFonts w:ascii="Times New Roman" w:hAnsi="Times New Roman" w:cs="Times New Roman"/>
          <w:sz w:val="28"/>
          <w:szCs w:val="28"/>
        </w:rPr>
        <w:t xml:space="preserve"> uzņēmējiem, un tie arī ir trešo valstu pilsoņi</w:t>
      </w:r>
      <w:r w:rsidR="00A402D6" w:rsidRPr="006610D8">
        <w:rPr>
          <w:rFonts w:ascii="Times New Roman" w:hAnsi="Times New Roman" w:cs="Times New Roman"/>
          <w:sz w:val="28"/>
          <w:szCs w:val="28"/>
        </w:rPr>
        <w:t xml:space="preserve">. 2019.gadā viesstrādnieki, </w:t>
      </w:r>
      <w:r w:rsidR="00CD26AD" w:rsidRPr="006610D8">
        <w:rPr>
          <w:rFonts w:ascii="Times New Roman" w:hAnsi="Times New Roman" w:cs="Times New Roman"/>
          <w:sz w:val="28"/>
          <w:szCs w:val="28"/>
        </w:rPr>
        <w:t xml:space="preserve">kas </w:t>
      </w:r>
      <w:r w:rsidR="00A402D6" w:rsidRPr="006610D8">
        <w:rPr>
          <w:rFonts w:ascii="Times New Roman" w:hAnsi="Times New Roman" w:cs="Times New Roman"/>
          <w:sz w:val="28"/>
          <w:szCs w:val="28"/>
        </w:rPr>
        <w:t>nodarbināti uz pakalpojuma līguma pamata ar ārvalstu komersantu</w:t>
      </w:r>
      <w:r w:rsidR="00C17302" w:rsidRPr="006610D8">
        <w:rPr>
          <w:rFonts w:ascii="Times New Roman" w:hAnsi="Times New Roman" w:cs="Times New Roman"/>
          <w:sz w:val="28"/>
          <w:szCs w:val="28"/>
        </w:rPr>
        <w:t>,</w:t>
      </w:r>
      <w:r w:rsidR="00A402D6" w:rsidRPr="006610D8">
        <w:rPr>
          <w:rFonts w:ascii="Times New Roman" w:hAnsi="Times New Roman" w:cs="Times New Roman"/>
          <w:sz w:val="28"/>
          <w:szCs w:val="28"/>
        </w:rPr>
        <w:t xml:space="preserve"> konstatēti </w:t>
      </w:r>
      <w:r w:rsidR="00B94E05" w:rsidRPr="006610D8">
        <w:rPr>
          <w:rFonts w:ascii="Times New Roman" w:hAnsi="Times New Roman" w:cs="Times New Roman"/>
          <w:sz w:val="28"/>
          <w:szCs w:val="28"/>
        </w:rPr>
        <w:t>ap</w:t>
      </w:r>
      <w:r w:rsidR="008F3012">
        <w:rPr>
          <w:rFonts w:ascii="Times New Roman" w:hAnsi="Times New Roman" w:cs="Times New Roman"/>
          <w:sz w:val="28"/>
          <w:szCs w:val="28"/>
        </w:rPr>
        <w:t>tuveni</w:t>
      </w:r>
      <w:r w:rsidR="00B94E05" w:rsidRPr="006610D8">
        <w:rPr>
          <w:rFonts w:ascii="Times New Roman" w:hAnsi="Times New Roman" w:cs="Times New Roman"/>
          <w:sz w:val="28"/>
          <w:szCs w:val="28"/>
        </w:rPr>
        <w:t xml:space="preserve"> </w:t>
      </w:r>
      <w:r w:rsidR="00A402D6" w:rsidRPr="006610D8">
        <w:rPr>
          <w:rFonts w:ascii="Times New Roman" w:hAnsi="Times New Roman" w:cs="Times New Roman"/>
          <w:sz w:val="28"/>
          <w:szCs w:val="28"/>
        </w:rPr>
        <w:t>20</w:t>
      </w:r>
      <w:r w:rsidR="008F3012">
        <w:rPr>
          <w:rFonts w:ascii="Times New Roman" w:hAnsi="Times New Roman" w:cs="Times New Roman"/>
          <w:sz w:val="28"/>
          <w:szCs w:val="28"/>
        </w:rPr>
        <w:t> </w:t>
      </w:r>
      <w:r w:rsidR="00A402D6" w:rsidRPr="006610D8">
        <w:rPr>
          <w:rFonts w:ascii="Times New Roman" w:hAnsi="Times New Roman" w:cs="Times New Roman"/>
          <w:sz w:val="28"/>
          <w:szCs w:val="28"/>
        </w:rPr>
        <w:t xml:space="preserve">% </w:t>
      </w:r>
      <w:r w:rsidR="00B94E05" w:rsidRPr="006610D8">
        <w:rPr>
          <w:rFonts w:ascii="Times New Roman" w:hAnsi="Times New Roman" w:cs="Times New Roman"/>
          <w:sz w:val="28"/>
          <w:szCs w:val="28"/>
        </w:rPr>
        <w:t>pārbaudīt</w:t>
      </w:r>
      <w:r w:rsidR="008F3012">
        <w:rPr>
          <w:rFonts w:ascii="Times New Roman" w:hAnsi="Times New Roman" w:cs="Times New Roman"/>
          <w:sz w:val="28"/>
          <w:szCs w:val="28"/>
        </w:rPr>
        <w:t>o</w:t>
      </w:r>
      <w:r w:rsidR="00B94E05" w:rsidRPr="006610D8">
        <w:rPr>
          <w:rFonts w:ascii="Times New Roman" w:hAnsi="Times New Roman" w:cs="Times New Roman"/>
          <w:sz w:val="28"/>
          <w:szCs w:val="28"/>
        </w:rPr>
        <w:t xml:space="preserve"> </w:t>
      </w:r>
      <w:r w:rsidR="00CD26AD" w:rsidRPr="006610D8">
        <w:rPr>
          <w:rFonts w:ascii="Times New Roman" w:hAnsi="Times New Roman" w:cs="Times New Roman"/>
          <w:sz w:val="28"/>
          <w:szCs w:val="28"/>
        </w:rPr>
        <w:t>būvlaukum</w:t>
      </w:r>
      <w:r w:rsidR="009E6B9F">
        <w:rPr>
          <w:rFonts w:ascii="Times New Roman" w:hAnsi="Times New Roman" w:cs="Times New Roman"/>
          <w:sz w:val="28"/>
          <w:szCs w:val="28"/>
        </w:rPr>
        <w:t>u</w:t>
      </w:r>
      <w:r w:rsidR="00A402D6" w:rsidRPr="006610D8">
        <w:rPr>
          <w:rFonts w:ascii="Times New Roman" w:hAnsi="Times New Roman" w:cs="Times New Roman"/>
          <w:sz w:val="28"/>
          <w:szCs w:val="28"/>
        </w:rPr>
        <w:t>.</w:t>
      </w:r>
    </w:p>
    <w:p w14:paraId="6FA06566" w14:textId="77777777" w:rsidR="00562C69" w:rsidRPr="006610D8" w:rsidRDefault="00C17302" w:rsidP="003977E6">
      <w:pPr>
        <w:spacing w:before="0" w:after="0" w:line="240" w:lineRule="auto"/>
        <w:ind w:firstLine="720"/>
        <w:jc w:val="both"/>
        <w:rPr>
          <w:rFonts w:ascii="Times New Roman" w:hAnsi="Times New Roman" w:cs="Times New Roman"/>
          <w:sz w:val="28"/>
          <w:szCs w:val="28"/>
        </w:rPr>
      </w:pPr>
      <w:r w:rsidRPr="006610D8">
        <w:rPr>
          <w:rFonts w:ascii="Times New Roman" w:hAnsi="Times New Roman" w:cs="Times New Roman"/>
          <w:sz w:val="28"/>
          <w:szCs w:val="28"/>
        </w:rPr>
        <w:t>I</w:t>
      </w:r>
      <w:r w:rsidR="00960E59" w:rsidRPr="006610D8">
        <w:rPr>
          <w:rFonts w:ascii="Times New Roman" w:hAnsi="Times New Roman" w:cs="Times New Roman"/>
          <w:sz w:val="28"/>
          <w:szCs w:val="28"/>
        </w:rPr>
        <w:t xml:space="preserve">zvērtējot </w:t>
      </w:r>
      <w:r w:rsidRPr="006610D8">
        <w:rPr>
          <w:rFonts w:ascii="Times New Roman" w:hAnsi="Times New Roman" w:cs="Times New Roman"/>
          <w:sz w:val="28"/>
          <w:szCs w:val="28"/>
        </w:rPr>
        <w:t xml:space="preserve">pārbaudēs iegūtos </w:t>
      </w:r>
      <w:r w:rsidR="00960E59" w:rsidRPr="006610D8">
        <w:rPr>
          <w:rFonts w:ascii="Times New Roman" w:hAnsi="Times New Roman" w:cs="Times New Roman"/>
          <w:sz w:val="28"/>
          <w:szCs w:val="28"/>
        </w:rPr>
        <w:t>EDLU</w:t>
      </w:r>
      <w:r w:rsidR="004216BF">
        <w:rPr>
          <w:rFonts w:ascii="Times New Roman" w:hAnsi="Times New Roman" w:cs="Times New Roman"/>
          <w:sz w:val="28"/>
          <w:szCs w:val="28"/>
        </w:rPr>
        <w:t>S</w:t>
      </w:r>
      <w:r w:rsidR="00960E59" w:rsidRPr="006610D8">
        <w:rPr>
          <w:rFonts w:ascii="Times New Roman" w:hAnsi="Times New Roman" w:cs="Times New Roman"/>
          <w:sz w:val="28"/>
          <w:szCs w:val="28"/>
        </w:rPr>
        <w:t xml:space="preserve"> datus</w:t>
      </w:r>
      <w:r w:rsidRPr="006610D8">
        <w:rPr>
          <w:rFonts w:ascii="Times New Roman" w:hAnsi="Times New Roman" w:cs="Times New Roman"/>
          <w:sz w:val="28"/>
          <w:szCs w:val="28"/>
        </w:rPr>
        <w:t>,</w:t>
      </w:r>
      <w:r w:rsidR="00960E59" w:rsidRPr="006610D8">
        <w:rPr>
          <w:rFonts w:ascii="Times New Roman" w:hAnsi="Times New Roman" w:cs="Times New Roman"/>
          <w:sz w:val="28"/>
          <w:szCs w:val="28"/>
        </w:rPr>
        <w:t xml:space="preserve"> </w:t>
      </w:r>
      <w:r w:rsidR="00562C69" w:rsidRPr="006610D8">
        <w:rPr>
          <w:rFonts w:ascii="Times New Roman" w:hAnsi="Times New Roman" w:cs="Times New Roman"/>
          <w:sz w:val="28"/>
          <w:szCs w:val="28"/>
        </w:rPr>
        <w:t>2019.gadā identificēti</w:t>
      </w:r>
      <w:r w:rsidR="00846AF0" w:rsidRPr="006610D8">
        <w:rPr>
          <w:rFonts w:ascii="Times New Roman" w:hAnsi="Times New Roman" w:cs="Times New Roman"/>
          <w:sz w:val="28"/>
          <w:szCs w:val="28"/>
        </w:rPr>
        <w:t xml:space="preserve"> četri</w:t>
      </w:r>
      <w:r w:rsidR="00562C69" w:rsidRPr="006610D8">
        <w:rPr>
          <w:rFonts w:ascii="Times New Roman" w:hAnsi="Times New Roman" w:cs="Times New Roman"/>
          <w:sz w:val="28"/>
          <w:szCs w:val="28"/>
        </w:rPr>
        <w:t xml:space="preserve"> ārvalstu uzņēmēji, </w:t>
      </w:r>
      <w:r w:rsidR="00A402D6" w:rsidRPr="006610D8">
        <w:rPr>
          <w:rFonts w:ascii="Times New Roman" w:hAnsi="Times New Roman" w:cs="Times New Roman"/>
          <w:sz w:val="28"/>
          <w:szCs w:val="28"/>
        </w:rPr>
        <w:t xml:space="preserve">kuri nav reģistrējuši pastāvīgo pārstāvniecību Latvijā un par savām nodarbinātajām personām </w:t>
      </w:r>
      <w:r w:rsidR="007807F8" w:rsidRPr="006610D8">
        <w:rPr>
          <w:rFonts w:ascii="Times New Roman" w:hAnsi="Times New Roman" w:cs="Times New Roman"/>
          <w:sz w:val="28"/>
          <w:szCs w:val="28"/>
        </w:rPr>
        <w:t xml:space="preserve">nav maksājuši </w:t>
      </w:r>
      <w:r w:rsidR="00A402D6" w:rsidRPr="006610D8">
        <w:rPr>
          <w:rFonts w:ascii="Times New Roman" w:hAnsi="Times New Roman" w:cs="Times New Roman"/>
          <w:sz w:val="28"/>
          <w:szCs w:val="28"/>
        </w:rPr>
        <w:t xml:space="preserve">algas nodokļus Latvijas budžetā, kā arī </w:t>
      </w:r>
      <w:r w:rsidR="00F56A49">
        <w:rPr>
          <w:rFonts w:ascii="Times New Roman" w:hAnsi="Times New Roman" w:cs="Times New Roman"/>
          <w:sz w:val="28"/>
          <w:szCs w:val="28"/>
        </w:rPr>
        <w:t>16 </w:t>
      </w:r>
      <w:r w:rsidR="00251275" w:rsidRPr="006610D8">
        <w:rPr>
          <w:rFonts w:ascii="Times New Roman" w:hAnsi="Times New Roman" w:cs="Times New Roman"/>
          <w:sz w:val="28"/>
          <w:szCs w:val="28"/>
        </w:rPr>
        <w:t xml:space="preserve">Latvijas būvuzņēmējiem identificēti algas nodokļu </w:t>
      </w:r>
      <w:proofErr w:type="spellStart"/>
      <w:r w:rsidR="00251275" w:rsidRPr="006610D8">
        <w:rPr>
          <w:rFonts w:ascii="Times New Roman" w:hAnsi="Times New Roman" w:cs="Times New Roman"/>
          <w:sz w:val="28"/>
          <w:szCs w:val="28"/>
        </w:rPr>
        <w:t>nenomaksas</w:t>
      </w:r>
      <w:proofErr w:type="spellEnd"/>
      <w:r w:rsidR="00251275" w:rsidRPr="006610D8">
        <w:rPr>
          <w:rFonts w:ascii="Times New Roman" w:hAnsi="Times New Roman" w:cs="Times New Roman"/>
          <w:sz w:val="28"/>
          <w:szCs w:val="28"/>
        </w:rPr>
        <w:t xml:space="preserve"> riski par būvlaukumos izmantojamo ārvalstu uzņēmēju personālu, tajā skaitā četros gadījumos identificētas darbaspēka nodrošināšanas shēmas, iesaistot Latvijas komersantus – starpniekus</w:t>
      </w:r>
      <w:r w:rsidR="00631605">
        <w:rPr>
          <w:rFonts w:ascii="Times New Roman" w:hAnsi="Times New Roman" w:cs="Times New Roman"/>
          <w:sz w:val="28"/>
          <w:szCs w:val="28"/>
        </w:rPr>
        <w:t> –</w:t>
      </w:r>
      <w:r w:rsidR="00251275" w:rsidRPr="006610D8">
        <w:rPr>
          <w:rFonts w:ascii="Times New Roman" w:hAnsi="Times New Roman" w:cs="Times New Roman"/>
          <w:sz w:val="28"/>
          <w:szCs w:val="28"/>
        </w:rPr>
        <w:t xml:space="preserve">, </w:t>
      </w:r>
      <w:r w:rsidR="004216BF">
        <w:rPr>
          <w:rFonts w:ascii="Times New Roman" w:hAnsi="Times New Roman" w:cs="Times New Roman"/>
          <w:sz w:val="28"/>
          <w:szCs w:val="28"/>
        </w:rPr>
        <w:t xml:space="preserve">kas </w:t>
      </w:r>
      <w:r w:rsidR="00251275" w:rsidRPr="006610D8">
        <w:rPr>
          <w:rFonts w:ascii="Times New Roman" w:hAnsi="Times New Roman" w:cs="Times New Roman"/>
          <w:sz w:val="28"/>
          <w:szCs w:val="28"/>
        </w:rPr>
        <w:t>organizētas</w:t>
      </w:r>
      <w:r w:rsidR="00631605">
        <w:rPr>
          <w:rFonts w:ascii="Times New Roman" w:hAnsi="Times New Roman" w:cs="Times New Roman"/>
          <w:sz w:val="28"/>
          <w:szCs w:val="28"/>
        </w:rPr>
        <w:t>, lai</w:t>
      </w:r>
      <w:r w:rsidR="00251275" w:rsidRPr="006610D8">
        <w:rPr>
          <w:rFonts w:ascii="Times New Roman" w:hAnsi="Times New Roman" w:cs="Times New Roman"/>
          <w:sz w:val="28"/>
          <w:szCs w:val="28"/>
        </w:rPr>
        <w:t xml:space="preserve"> nodrošināt</w:t>
      </w:r>
      <w:r w:rsidR="00631605">
        <w:rPr>
          <w:rFonts w:ascii="Times New Roman" w:hAnsi="Times New Roman" w:cs="Times New Roman"/>
          <w:sz w:val="28"/>
          <w:szCs w:val="28"/>
        </w:rPr>
        <w:t>u</w:t>
      </w:r>
      <w:r w:rsidR="00251275" w:rsidRPr="006610D8">
        <w:rPr>
          <w:rFonts w:ascii="Times New Roman" w:hAnsi="Times New Roman" w:cs="Times New Roman"/>
          <w:sz w:val="28"/>
          <w:szCs w:val="28"/>
        </w:rPr>
        <w:t xml:space="preserve"> Latvijas būvuzņēmējus ar darbiniekiem no citām valstīm, izvairoties no darba tiesisko attiecību noslēgšanas ar nerezidentiem vai algas nodokļu aprēķināšanas par iznomāto personālu. </w:t>
      </w:r>
      <w:r w:rsidRPr="006610D8">
        <w:rPr>
          <w:rFonts w:ascii="Times New Roman" w:hAnsi="Times New Roman" w:cs="Times New Roman"/>
          <w:sz w:val="28"/>
          <w:szCs w:val="28"/>
        </w:rPr>
        <w:t xml:space="preserve">Iegūto informāciju </w:t>
      </w:r>
      <w:r w:rsidR="00562C69" w:rsidRPr="006610D8">
        <w:rPr>
          <w:rFonts w:ascii="Times New Roman" w:hAnsi="Times New Roman" w:cs="Times New Roman"/>
          <w:sz w:val="28"/>
          <w:szCs w:val="28"/>
        </w:rPr>
        <w:t>VID izmantoja risku analīzē, virzot konkrētos nodokļu maksātājus tematiskajām pārbaudēm vai auditam.</w:t>
      </w:r>
      <w:r w:rsidR="00960E59" w:rsidRPr="006610D8">
        <w:rPr>
          <w:rFonts w:ascii="Times New Roman" w:hAnsi="Times New Roman" w:cs="Times New Roman"/>
          <w:sz w:val="28"/>
          <w:szCs w:val="28"/>
        </w:rPr>
        <w:t xml:space="preserve"> </w:t>
      </w:r>
    </w:p>
    <w:p w14:paraId="775EF861" w14:textId="79FF7516" w:rsidR="00A90564" w:rsidRPr="006610D8" w:rsidRDefault="00D9307F" w:rsidP="003977E6">
      <w:pPr>
        <w:spacing w:before="0" w:after="0" w:line="240" w:lineRule="auto"/>
        <w:ind w:firstLine="720"/>
        <w:contextualSpacing/>
        <w:jc w:val="both"/>
        <w:rPr>
          <w:rFonts w:ascii="Times New Roman" w:eastAsia="Times New Roman" w:hAnsi="Times New Roman" w:cs="Times New Roman"/>
          <w:color w:val="FF0000"/>
          <w:sz w:val="28"/>
          <w:szCs w:val="28"/>
        </w:rPr>
      </w:pPr>
      <w:r w:rsidRPr="006610D8">
        <w:rPr>
          <w:rFonts w:ascii="Times New Roman" w:hAnsi="Times New Roman" w:cs="Times New Roman"/>
          <w:sz w:val="28"/>
          <w:szCs w:val="28"/>
        </w:rPr>
        <w:t>Kopumā 2018.</w:t>
      </w:r>
      <w:r w:rsidR="00C63750" w:rsidRPr="006610D8">
        <w:rPr>
          <w:rFonts w:ascii="Times New Roman" w:hAnsi="Times New Roman" w:cs="Times New Roman"/>
          <w:sz w:val="28"/>
          <w:szCs w:val="28"/>
        </w:rPr>
        <w:t xml:space="preserve"> un</w:t>
      </w:r>
      <w:r w:rsidRPr="006610D8">
        <w:rPr>
          <w:rFonts w:ascii="Times New Roman" w:hAnsi="Times New Roman" w:cs="Times New Roman"/>
          <w:sz w:val="28"/>
          <w:szCs w:val="28"/>
        </w:rPr>
        <w:t xml:space="preserve"> 2019.gad</w:t>
      </w:r>
      <w:r w:rsidR="00C17302" w:rsidRPr="006610D8">
        <w:rPr>
          <w:rFonts w:ascii="Times New Roman" w:hAnsi="Times New Roman" w:cs="Times New Roman"/>
          <w:sz w:val="28"/>
          <w:szCs w:val="28"/>
        </w:rPr>
        <w:t>ā</w:t>
      </w:r>
      <w:r w:rsidRPr="006610D8">
        <w:rPr>
          <w:rFonts w:ascii="Times New Roman" w:hAnsi="Times New Roman" w:cs="Times New Roman"/>
          <w:sz w:val="28"/>
          <w:szCs w:val="28"/>
        </w:rPr>
        <w:t xml:space="preserve"> </w:t>
      </w:r>
      <w:r w:rsidR="00C17302" w:rsidRPr="006610D8">
        <w:rPr>
          <w:rFonts w:ascii="Times New Roman" w:hAnsi="Times New Roman" w:cs="Times New Roman"/>
          <w:sz w:val="28"/>
          <w:szCs w:val="28"/>
        </w:rPr>
        <w:t xml:space="preserve">saistībā ar EDLU ieviešanas uzraudzību būvlaukumos veikto pārbaužu </w:t>
      </w:r>
      <w:r w:rsidR="00CF6BFC" w:rsidRPr="006610D8">
        <w:rPr>
          <w:rFonts w:ascii="Times New Roman" w:hAnsi="Times New Roman" w:cs="Times New Roman"/>
          <w:sz w:val="28"/>
          <w:szCs w:val="28"/>
        </w:rPr>
        <w:t xml:space="preserve">rezultāti liecina, ka </w:t>
      </w:r>
      <w:r w:rsidR="00562C69" w:rsidRPr="006610D8">
        <w:rPr>
          <w:rFonts w:ascii="Times New Roman" w:hAnsi="Times New Roman" w:cs="Times New Roman"/>
          <w:sz w:val="28"/>
          <w:szCs w:val="28"/>
        </w:rPr>
        <w:t xml:space="preserve">VEDLUDB </w:t>
      </w:r>
      <w:r w:rsidR="004E5512" w:rsidRPr="006610D8">
        <w:rPr>
          <w:rFonts w:ascii="Times New Roman" w:hAnsi="Times New Roman" w:cs="Times New Roman"/>
          <w:sz w:val="28"/>
          <w:szCs w:val="28"/>
        </w:rPr>
        <w:t>pieejamā EDLU</w:t>
      </w:r>
      <w:r w:rsidR="004216BF">
        <w:rPr>
          <w:rFonts w:ascii="Times New Roman" w:hAnsi="Times New Roman" w:cs="Times New Roman"/>
          <w:sz w:val="28"/>
          <w:szCs w:val="28"/>
        </w:rPr>
        <w:t>S</w:t>
      </w:r>
      <w:r w:rsidR="004E5512" w:rsidRPr="006610D8">
        <w:rPr>
          <w:rFonts w:ascii="Times New Roman" w:hAnsi="Times New Roman" w:cs="Times New Roman"/>
          <w:sz w:val="28"/>
          <w:szCs w:val="28"/>
        </w:rPr>
        <w:t xml:space="preserve"> </w:t>
      </w:r>
      <w:r w:rsidR="00562C69" w:rsidRPr="006610D8">
        <w:rPr>
          <w:rFonts w:ascii="Times New Roman" w:hAnsi="Times New Roman" w:cs="Times New Roman"/>
          <w:sz w:val="28"/>
          <w:szCs w:val="28"/>
        </w:rPr>
        <w:t xml:space="preserve">informācija </w:t>
      </w:r>
      <w:r w:rsidR="00E92FE8">
        <w:rPr>
          <w:rFonts w:ascii="Times New Roman" w:hAnsi="Times New Roman" w:cs="Times New Roman"/>
          <w:sz w:val="28"/>
          <w:szCs w:val="28"/>
        </w:rPr>
        <w:t>ir</w:t>
      </w:r>
      <w:r w:rsidR="00AF78D0" w:rsidRPr="006610D8">
        <w:rPr>
          <w:rFonts w:ascii="Times New Roman" w:hAnsi="Times New Roman" w:cs="Times New Roman"/>
          <w:sz w:val="28"/>
          <w:szCs w:val="28"/>
        </w:rPr>
        <w:t xml:space="preserve"> būtisks instruments</w:t>
      </w:r>
      <w:r w:rsidR="00C17302" w:rsidRPr="006610D8">
        <w:rPr>
          <w:rFonts w:ascii="Times New Roman" w:hAnsi="Times New Roman" w:cs="Times New Roman"/>
          <w:sz w:val="28"/>
          <w:szCs w:val="28"/>
        </w:rPr>
        <w:t>,</w:t>
      </w:r>
      <w:r w:rsidR="00AF78D0" w:rsidRPr="006610D8">
        <w:rPr>
          <w:rFonts w:ascii="Times New Roman" w:hAnsi="Times New Roman" w:cs="Times New Roman"/>
          <w:sz w:val="28"/>
          <w:szCs w:val="28"/>
        </w:rPr>
        <w:t xml:space="preserve"> </w:t>
      </w:r>
      <w:r w:rsidR="00CA0EFF" w:rsidRPr="006610D8">
        <w:rPr>
          <w:rFonts w:ascii="Times New Roman" w:hAnsi="Times New Roman" w:cs="Times New Roman"/>
          <w:sz w:val="28"/>
          <w:szCs w:val="28"/>
        </w:rPr>
        <w:t xml:space="preserve">atklājot nodokļu </w:t>
      </w:r>
      <w:proofErr w:type="spellStart"/>
      <w:r w:rsidR="00CA0EFF" w:rsidRPr="006610D8">
        <w:rPr>
          <w:rFonts w:ascii="Times New Roman" w:hAnsi="Times New Roman" w:cs="Times New Roman"/>
          <w:sz w:val="28"/>
          <w:szCs w:val="28"/>
        </w:rPr>
        <w:t>nenomaksas</w:t>
      </w:r>
      <w:proofErr w:type="spellEnd"/>
      <w:r w:rsidR="00CA0EFF" w:rsidRPr="006610D8">
        <w:rPr>
          <w:rFonts w:ascii="Times New Roman" w:hAnsi="Times New Roman" w:cs="Times New Roman"/>
          <w:sz w:val="28"/>
          <w:szCs w:val="28"/>
        </w:rPr>
        <w:t xml:space="preserve"> riskus</w:t>
      </w:r>
      <w:r w:rsidR="007C4B00" w:rsidRPr="006610D8">
        <w:rPr>
          <w:rFonts w:ascii="Times New Roman" w:hAnsi="Times New Roman" w:cs="Times New Roman"/>
          <w:sz w:val="28"/>
          <w:szCs w:val="28"/>
        </w:rPr>
        <w:t xml:space="preserve">. </w:t>
      </w:r>
    </w:p>
    <w:p w14:paraId="116BAB09" w14:textId="77777777" w:rsidR="006E266D" w:rsidRPr="00E25833" w:rsidRDefault="006E266D" w:rsidP="005E08CF">
      <w:pPr>
        <w:spacing w:before="0" w:after="0" w:line="240" w:lineRule="auto"/>
        <w:ind w:firstLine="720"/>
        <w:jc w:val="both"/>
        <w:rPr>
          <w:rFonts w:ascii="Times New Roman" w:hAnsi="Times New Roman" w:cs="Times New Roman"/>
          <w:sz w:val="28"/>
          <w:szCs w:val="28"/>
        </w:rPr>
      </w:pPr>
    </w:p>
    <w:p w14:paraId="6A8D2D3E" w14:textId="77777777" w:rsidR="009F440D" w:rsidRPr="00D07D90" w:rsidRDefault="009F440D" w:rsidP="003B0EF4">
      <w:pPr>
        <w:pStyle w:val="NoSpacing"/>
        <w:spacing w:before="0"/>
        <w:jc w:val="center"/>
        <w:rPr>
          <w:rFonts w:ascii="Times New Roman" w:hAnsi="Times New Roman" w:cs="Times New Roman"/>
          <w:b/>
          <w:color w:val="000000" w:themeColor="text1"/>
          <w:sz w:val="28"/>
          <w:szCs w:val="28"/>
        </w:rPr>
      </w:pPr>
      <w:r w:rsidRPr="00D07D90">
        <w:rPr>
          <w:rFonts w:ascii="Times New Roman" w:hAnsi="Times New Roman" w:cs="Times New Roman"/>
          <w:b/>
          <w:color w:val="000000" w:themeColor="text1"/>
          <w:sz w:val="28"/>
          <w:szCs w:val="28"/>
        </w:rPr>
        <w:t>5. VEDLUDB darbības uzsākšana</w:t>
      </w:r>
    </w:p>
    <w:p w14:paraId="450D8D79" w14:textId="77777777" w:rsidR="00E94373" w:rsidRDefault="00E94373" w:rsidP="00562C69">
      <w:pPr>
        <w:pStyle w:val="NoSpacing"/>
        <w:spacing w:before="0"/>
        <w:rPr>
          <w:rFonts w:ascii="Times New Roman" w:hAnsi="Times New Roman" w:cs="Times New Roman"/>
          <w:b/>
          <w:i/>
          <w:sz w:val="28"/>
          <w:szCs w:val="28"/>
        </w:rPr>
      </w:pPr>
    </w:p>
    <w:p w14:paraId="33F92EA7" w14:textId="64F9DB1E" w:rsidR="00562C69" w:rsidRPr="00E25833" w:rsidRDefault="00562C69" w:rsidP="005E08CF">
      <w:pPr>
        <w:pStyle w:val="NoSpacing"/>
        <w:spacing w:before="0"/>
        <w:ind w:firstLine="720"/>
        <w:jc w:val="both"/>
        <w:rPr>
          <w:rFonts w:ascii="Times New Roman" w:hAnsi="Times New Roman" w:cs="Times New Roman"/>
          <w:b/>
          <w:i/>
          <w:sz w:val="28"/>
          <w:szCs w:val="28"/>
        </w:rPr>
      </w:pPr>
      <w:r w:rsidRPr="00E25833">
        <w:rPr>
          <w:rFonts w:ascii="Times New Roman" w:hAnsi="Times New Roman" w:cs="Times New Roman"/>
          <w:b/>
          <w:i/>
          <w:sz w:val="28"/>
          <w:szCs w:val="28"/>
        </w:rPr>
        <w:t>VID apzināt</w:t>
      </w:r>
      <w:r w:rsidR="00E244B1">
        <w:rPr>
          <w:rFonts w:ascii="Times New Roman" w:hAnsi="Times New Roman" w:cs="Times New Roman"/>
          <w:b/>
          <w:i/>
          <w:sz w:val="28"/>
          <w:szCs w:val="28"/>
        </w:rPr>
        <w:t>ās</w:t>
      </w:r>
      <w:r w:rsidRPr="00E25833">
        <w:rPr>
          <w:rFonts w:ascii="Times New Roman" w:hAnsi="Times New Roman" w:cs="Times New Roman"/>
          <w:b/>
          <w:i/>
          <w:sz w:val="28"/>
          <w:szCs w:val="28"/>
        </w:rPr>
        <w:t xml:space="preserve"> EDLUS un </w:t>
      </w:r>
      <w:r w:rsidR="0089631A">
        <w:rPr>
          <w:rFonts w:ascii="Times New Roman" w:hAnsi="Times New Roman" w:cs="Times New Roman"/>
          <w:b/>
          <w:i/>
          <w:sz w:val="28"/>
          <w:szCs w:val="28"/>
        </w:rPr>
        <w:t xml:space="preserve">to </w:t>
      </w:r>
      <w:r w:rsidRPr="00E25833">
        <w:rPr>
          <w:rFonts w:ascii="Times New Roman" w:hAnsi="Times New Roman" w:cs="Times New Roman"/>
          <w:b/>
          <w:i/>
          <w:sz w:val="28"/>
          <w:szCs w:val="28"/>
        </w:rPr>
        <w:t>datu ticamība</w:t>
      </w:r>
    </w:p>
    <w:p w14:paraId="797F9262" w14:textId="3EEFC144" w:rsidR="00562C69" w:rsidRPr="00E25833" w:rsidRDefault="00232A2C" w:rsidP="00631605">
      <w:pPr>
        <w:spacing w:before="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Informatīvajā</w:t>
      </w:r>
      <w:r w:rsidR="002F0EA3" w:rsidRPr="00E25833">
        <w:rPr>
          <w:rFonts w:ascii="Times New Roman" w:hAnsi="Times New Roman" w:cs="Times New Roman"/>
          <w:sz w:val="28"/>
          <w:szCs w:val="28"/>
        </w:rPr>
        <w:t xml:space="preserve"> </w:t>
      </w:r>
      <w:r w:rsidR="00562C69" w:rsidRPr="00E25833">
        <w:rPr>
          <w:rFonts w:ascii="Times New Roman" w:hAnsi="Times New Roman" w:cs="Times New Roman"/>
          <w:sz w:val="28"/>
          <w:szCs w:val="28"/>
        </w:rPr>
        <w:t xml:space="preserve">ziņojumā </w:t>
      </w:r>
      <w:r w:rsidR="003E12D1">
        <w:rPr>
          <w:rFonts w:ascii="Times New Roman" w:hAnsi="Times New Roman" w:cs="Times New Roman"/>
          <w:sz w:val="28"/>
          <w:szCs w:val="28"/>
        </w:rPr>
        <w:t>“</w:t>
      </w:r>
      <w:r w:rsidR="00562C69" w:rsidRPr="00E25833">
        <w:rPr>
          <w:rFonts w:ascii="Times New Roman" w:hAnsi="Times New Roman" w:cs="Times New Roman"/>
          <w:sz w:val="28"/>
          <w:szCs w:val="28"/>
        </w:rPr>
        <w:t>Par Valsts ieņēmumu dienesta un Valsts darba inspekcijas pārbaudēs saistībā ar elektroniskās darba laika uzskaites sistēmas ieviešanu būvniecībā konstatēto</w:t>
      </w:r>
      <w:r w:rsidR="003E12D1">
        <w:rPr>
          <w:rFonts w:ascii="Times New Roman" w:hAnsi="Times New Roman" w:cs="Times New Roman"/>
          <w:sz w:val="28"/>
          <w:szCs w:val="28"/>
        </w:rPr>
        <w:t>”</w:t>
      </w:r>
      <w:r>
        <w:rPr>
          <w:rFonts w:ascii="Times New Roman" w:hAnsi="Times New Roman" w:cs="Times New Roman"/>
          <w:sz w:val="28"/>
          <w:szCs w:val="28"/>
        </w:rPr>
        <w:t xml:space="preserve"> (Ministru kabinetā izskatīts 2019.gada 15.janvārī, </w:t>
      </w:r>
      <w:r>
        <w:rPr>
          <w:rFonts w:ascii="Times New Roman" w:eastAsia="Times New Roman" w:hAnsi="Times New Roman"/>
          <w:sz w:val="28"/>
          <w:szCs w:val="28"/>
          <w:lang w:eastAsia="lv-LV"/>
        </w:rPr>
        <w:t>prot</w:t>
      </w:r>
      <w:r w:rsidR="00E6784A">
        <w:rPr>
          <w:rFonts w:ascii="Times New Roman" w:eastAsia="Times New Roman" w:hAnsi="Times New Roman"/>
          <w:sz w:val="28"/>
          <w:szCs w:val="28"/>
          <w:lang w:eastAsia="lv-LV"/>
        </w:rPr>
        <w:t>.</w:t>
      </w:r>
      <w:r>
        <w:rPr>
          <w:rFonts w:ascii="Times New Roman" w:eastAsia="Times New Roman" w:hAnsi="Times New Roman"/>
          <w:sz w:val="28"/>
          <w:szCs w:val="28"/>
          <w:lang w:eastAsia="lv-LV"/>
        </w:rPr>
        <w:t xml:space="preserve"> Nr.2 62.§)</w:t>
      </w:r>
      <w:r w:rsidR="00562C69" w:rsidRPr="00E25833">
        <w:rPr>
          <w:rFonts w:ascii="Times New Roman" w:hAnsi="Times New Roman" w:cs="Times New Roman"/>
          <w:sz w:val="28"/>
          <w:szCs w:val="28"/>
        </w:rPr>
        <w:t xml:space="preserve"> sniegta informācija par VID apzinātajām EDLUS, EDLUS pārvaldības modeļiem un problēmām, kas saistīt</w:t>
      </w:r>
      <w:r w:rsidR="000F1C75">
        <w:rPr>
          <w:rFonts w:ascii="Times New Roman" w:hAnsi="Times New Roman" w:cs="Times New Roman"/>
          <w:sz w:val="28"/>
          <w:szCs w:val="28"/>
        </w:rPr>
        <w:t>a</w:t>
      </w:r>
      <w:r w:rsidR="00562C69" w:rsidRPr="00E25833">
        <w:rPr>
          <w:rFonts w:ascii="Times New Roman" w:hAnsi="Times New Roman" w:cs="Times New Roman"/>
          <w:sz w:val="28"/>
          <w:szCs w:val="28"/>
        </w:rPr>
        <w:t xml:space="preserve">s ar EDLUS </w:t>
      </w:r>
      <w:r w:rsidR="000F1C75">
        <w:rPr>
          <w:rFonts w:ascii="Times New Roman" w:hAnsi="Times New Roman" w:cs="Times New Roman"/>
          <w:sz w:val="28"/>
          <w:szCs w:val="28"/>
        </w:rPr>
        <w:t xml:space="preserve">reģistrētās </w:t>
      </w:r>
      <w:r w:rsidR="00562C69" w:rsidRPr="00E25833">
        <w:rPr>
          <w:rFonts w:ascii="Times New Roman" w:hAnsi="Times New Roman" w:cs="Times New Roman"/>
          <w:sz w:val="28"/>
          <w:szCs w:val="28"/>
        </w:rPr>
        <w:t xml:space="preserve">informācijas ticamību. </w:t>
      </w:r>
    </w:p>
    <w:p w14:paraId="2E1FB203" w14:textId="77777777" w:rsidR="00562C69" w:rsidRPr="00E25833" w:rsidRDefault="00562C69" w:rsidP="00FA5A60">
      <w:pPr>
        <w:spacing w:before="0" w:after="0" w:line="240" w:lineRule="auto"/>
        <w:ind w:firstLine="720"/>
        <w:jc w:val="both"/>
        <w:rPr>
          <w:rFonts w:ascii="Times New Roman" w:hAnsi="Times New Roman" w:cs="Times New Roman"/>
          <w:sz w:val="28"/>
          <w:szCs w:val="28"/>
        </w:rPr>
      </w:pPr>
      <w:r w:rsidRPr="00E25833">
        <w:rPr>
          <w:rFonts w:ascii="Times New Roman" w:hAnsi="Times New Roman" w:cs="Times New Roman"/>
          <w:sz w:val="28"/>
          <w:szCs w:val="28"/>
        </w:rPr>
        <w:t>Izvērtējot konkrēto EDLUS izplatību</w:t>
      </w:r>
      <w:r w:rsidR="008E2F64">
        <w:rPr>
          <w:rFonts w:ascii="Times New Roman" w:hAnsi="Times New Roman" w:cs="Times New Roman"/>
          <w:sz w:val="28"/>
          <w:szCs w:val="28"/>
        </w:rPr>
        <w:t>,</w:t>
      </w:r>
      <w:r w:rsidRPr="00E25833">
        <w:rPr>
          <w:rFonts w:ascii="Times New Roman" w:hAnsi="Times New Roman" w:cs="Times New Roman"/>
          <w:sz w:val="28"/>
          <w:szCs w:val="28"/>
        </w:rPr>
        <w:t xml:space="preserve"> konstatēts, ka lielākā daļa no galvenajiem būvdarbu ve</w:t>
      </w:r>
      <w:r w:rsidR="00081C6F">
        <w:rPr>
          <w:rFonts w:ascii="Times New Roman" w:hAnsi="Times New Roman" w:cs="Times New Roman"/>
          <w:sz w:val="28"/>
          <w:szCs w:val="28"/>
        </w:rPr>
        <w:t>icējiem</w:t>
      </w:r>
      <w:r w:rsidRPr="00E25833">
        <w:rPr>
          <w:rFonts w:ascii="Times New Roman" w:hAnsi="Times New Roman" w:cs="Times New Roman"/>
          <w:sz w:val="28"/>
          <w:szCs w:val="28"/>
        </w:rPr>
        <w:t xml:space="preserve"> izvēlas slēgt pakalpojuma līgumus par EDLUS izmantošanu, kas nodrošina attiecīgo EDLUS risinājumu ieviešanu būvlaukumā, datu glabāšanu un vēlāk</w:t>
      </w:r>
      <w:r w:rsidR="002D0651">
        <w:rPr>
          <w:rFonts w:ascii="Times New Roman" w:hAnsi="Times New Roman" w:cs="Times New Roman"/>
          <w:sz w:val="28"/>
          <w:szCs w:val="28"/>
        </w:rPr>
        <w:t>u</w:t>
      </w:r>
      <w:r w:rsidRPr="00E25833">
        <w:rPr>
          <w:rFonts w:ascii="Times New Roman" w:hAnsi="Times New Roman" w:cs="Times New Roman"/>
          <w:sz w:val="28"/>
          <w:szCs w:val="28"/>
        </w:rPr>
        <w:t xml:space="preserve"> nodošanu VEDLUDB, savukārt galvenais būvdarbu veicējs nodrošina nodarbināto personu </w:t>
      </w:r>
      <w:r w:rsidR="007435DD" w:rsidRPr="00E25833">
        <w:rPr>
          <w:rFonts w:ascii="Times New Roman" w:hAnsi="Times New Roman" w:cs="Times New Roman"/>
          <w:sz w:val="28"/>
          <w:szCs w:val="28"/>
        </w:rPr>
        <w:t xml:space="preserve">un citu nepieciešamo </w:t>
      </w:r>
      <w:r w:rsidRPr="00E25833">
        <w:rPr>
          <w:rFonts w:ascii="Times New Roman" w:hAnsi="Times New Roman" w:cs="Times New Roman"/>
          <w:sz w:val="28"/>
          <w:szCs w:val="28"/>
        </w:rPr>
        <w:t xml:space="preserve">datu reģistrēšanu un labošanu. </w:t>
      </w:r>
    </w:p>
    <w:p w14:paraId="10FCF309" w14:textId="77777777" w:rsidR="00562C69" w:rsidRPr="00E25833" w:rsidRDefault="00562C69" w:rsidP="005E08CF">
      <w:pPr>
        <w:spacing w:before="0" w:after="0" w:line="240" w:lineRule="auto"/>
        <w:ind w:firstLine="720"/>
        <w:jc w:val="both"/>
        <w:rPr>
          <w:rFonts w:ascii="Times New Roman" w:hAnsi="Times New Roman" w:cs="Times New Roman"/>
          <w:sz w:val="28"/>
          <w:szCs w:val="28"/>
        </w:rPr>
      </w:pPr>
      <w:r w:rsidRPr="00E25833">
        <w:rPr>
          <w:rFonts w:ascii="Times New Roman" w:hAnsi="Times New Roman" w:cs="Times New Roman"/>
          <w:sz w:val="28"/>
          <w:szCs w:val="28"/>
        </w:rPr>
        <w:t>2018.gadā VID būvlaukumos izzināti 14</w:t>
      </w:r>
      <w:r w:rsidR="002D0651">
        <w:rPr>
          <w:rFonts w:ascii="Times New Roman" w:hAnsi="Times New Roman" w:cs="Times New Roman"/>
          <w:sz w:val="28"/>
          <w:szCs w:val="28"/>
        </w:rPr>
        <w:t> </w:t>
      </w:r>
      <w:r w:rsidRPr="00E25833">
        <w:rPr>
          <w:rFonts w:ascii="Times New Roman" w:hAnsi="Times New Roman" w:cs="Times New Roman"/>
          <w:sz w:val="28"/>
          <w:szCs w:val="28"/>
        </w:rPr>
        <w:t>dažādi EDLUS risinājumi, savukārt 2019.gada konstatēti 13</w:t>
      </w:r>
      <w:r w:rsidR="002D0651">
        <w:rPr>
          <w:rFonts w:ascii="Times New Roman" w:hAnsi="Times New Roman" w:cs="Times New Roman"/>
          <w:sz w:val="28"/>
          <w:szCs w:val="28"/>
        </w:rPr>
        <w:t> </w:t>
      </w:r>
      <w:r w:rsidRPr="00E25833">
        <w:rPr>
          <w:rFonts w:ascii="Times New Roman" w:hAnsi="Times New Roman" w:cs="Times New Roman"/>
          <w:sz w:val="28"/>
          <w:szCs w:val="28"/>
        </w:rPr>
        <w:t>EDLUS risinājumi.</w:t>
      </w:r>
    </w:p>
    <w:p w14:paraId="530460DB" w14:textId="77777777" w:rsidR="00562C69" w:rsidRPr="006610D8" w:rsidRDefault="00562C69" w:rsidP="00631605">
      <w:pPr>
        <w:spacing w:before="0" w:after="0" w:line="240" w:lineRule="auto"/>
        <w:ind w:firstLine="720"/>
        <w:jc w:val="both"/>
        <w:rPr>
          <w:rFonts w:ascii="Times New Roman" w:hAnsi="Times New Roman" w:cs="Times New Roman"/>
          <w:sz w:val="28"/>
          <w:szCs w:val="28"/>
        </w:rPr>
      </w:pPr>
      <w:r w:rsidRPr="006610D8">
        <w:rPr>
          <w:rFonts w:ascii="Times New Roman" w:hAnsi="Times New Roman" w:cs="Times New Roman"/>
          <w:sz w:val="28"/>
          <w:szCs w:val="28"/>
        </w:rPr>
        <w:t xml:space="preserve">Šobrīd būvuzņēmēji visbiežāk izvēlas Latvijā izstrādātas sistēmas, kuras atbilst likuma “Par nodokļiem un nodevām” prasībām un </w:t>
      </w:r>
      <w:r w:rsidR="002D0651">
        <w:rPr>
          <w:rFonts w:ascii="Times New Roman" w:hAnsi="Times New Roman" w:cs="Times New Roman"/>
          <w:sz w:val="28"/>
          <w:szCs w:val="28"/>
        </w:rPr>
        <w:t xml:space="preserve">ir </w:t>
      </w:r>
      <w:r w:rsidRPr="006610D8">
        <w:rPr>
          <w:rFonts w:ascii="Times New Roman" w:hAnsi="Times New Roman" w:cs="Times New Roman"/>
          <w:sz w:val="28"/>
          <w:szCs w:val="28"/>
        </w:rPr>
        <w:t xml:space="preserve">pielāgotas klientu velmēm. Kontroles pasākumu laikā visbiežāk ir </w:t>
      </w:r>
      <w:r w:rsidR="00FA26D7" w:rsidRPr="006610D8">
        <w:rPr>
          <w:rFonts w:ascii="Times New Roman" w:hAnsi="Times New Roman" w:cs="Times New Roman"/>
          <w:sz w:val="28"/>
          <w:szCs w:val="28"/>
        </w:rPr>
        <w:t xml:space="preserve">izzināti </w:t>
      </w:r>
      <w:r w:rsidRPr="006610D8">
        <w:rPr>
          <w:rFonts w:ascii="Times New Roman" w:hAnsi="Times New Roman" w:cs="Times New Roman"/>
          <w:sz w:val="28"/>
          <w:szCs w:val="28"/>
        </w:rPr>
        <w:t xml:space="preserve">EDLUS risinājumi, kurus būvuzņēmējiem piedāvā biedrība “Latvijas </w:t>
      </w:r>
      <w:r w:rsidR="00AC1B58">
        <w:rPr>
          <w:rFonts w:ascii="Times New Roman" w:hAnsi="Times New Roman" w:cs="Times New Roman"/>
          <w:sz w:val="28"/>
          <w:szCs w:val="28"/>
        </w:rPr>
        <w:t>B</w:t>
      </w:r>
      <w:r w:rsidRPr="006610D8">
        <w:rPr>
          <w:rFonts w:ascii="Times New Roman" w:hAnsi="Times New Roman" w:cs="Times New Roman"/>
          <w:sz w:val="28"/>
          <w:szCs w:val="28"/>
        </w:rPr>
        <w:t xml:space="preserve">ūvuzņēmēju partnerība” (turpmāk – LBP EDLUS), SIA “Datu </w:t>
      </w:r>
      <w:r w:rsidR="00AC1B58" w:rsidRPr="006610D8">
        <w:rPr>
          <w:rFonts w:ascii="Times New Roman" w:hAnsi="Times New Roman" w:cs="Times New Roman"/>
          <w:sz w:val="28"/>
          <w:szCs w:val="28"/>
        </w:rPr>
        <w:t>tehnoloģiju grupa</w:t>
      </w:r>
      <w:r w:rsidRPr="006610D8">
        <w:rPr>
          <w:rFonts w:ascii="Times New Roman" w:hAnsi="Times New Roman" w:cs="Times New Roman"/>
          <w:sz w:val="28"/>
          <w:szCs w:val="28"/>
        </w:rPr>
        <w:t>” (turpmāk – DTG EDLUS), SIA</w:t>
      </w:r>
      <w:r w:rsidR="00AC1B58">
        <w:rPr>
          <w:rFonts w:ascii="Times New Roman" w:hAnsi="Times New Roman" w:cs="Times New Roman"/>
          <w:sz w:val="28"/>
          <w:szCs w:val="28"/>
        </w:rPr>
        <w:t> </w:t>
      </w:r>
      <w:r w:rsidRPr="006610D8">
        <w:rPr>
          <w:rFonts w:ascii="Times New Roman" w:hAnsi="Times New Roman" w:cs="Times New Roman"/>
          <w:sz w:val="28"/>
          <w:szCs w:val="28"/>
        </w:rPr>
        <w:t>“Latvijas Mobilais Telefons” (turpmāk – LMT EDLUS), kā arī savus risinājumus piedāvā SIA “</w:t>
      </w:r>
      <w:proofErr w:type="spellStart"/>
      <w:r w:rsidRPr="006610D8">
        <w:rPr>
          <w:rFonts w:ascii="Times New Roman" w:hAnsi="Times New Roman" w:cs="Times New Roman"/>
          <w:sz w:val="28"/>
          <w:szCs w:val="28"/>
        </w:rPr>
        <w:t>Orocon</w:t>
      </w:r>
      <w:proofErr w:type="spellEnd"/>
      <w:r w:rsidRPr="006610D8">
        <w:rPr>
          <w:rFonts w:ascii="Times New Roman" w:hAnsi="Times New Roman" w:cs="Times New Roman"/>
          <w:sz w:val="28"/>
          <w:szCs w:val="28"/>
        </w:rPr>
        <w:t xml:space="preserve">” (turpmāk – OROCON DLU), SIA </w:t>
      </w:r>
      <w:proofErr w:type="spellStart"/>
      <w:r w:rsidRPr="006610D8">
        <w:rPr>
          <w:rFonts w:ascii="Times New Roman" w:hAnsi="Times New Roman" w:cs="Times New Roman"/>
          <w:sz w:val="28"/>
          <w:szCs w:val="28"/>
        </w:rPr>
        <w:t>Global</w:t>
      </w:r>
      <w:proofErr w:type="spellEnd"/>
      <w:r w:rsidRPr="006610D8">
        <w:rPr>
          <w:rFonts w:ascii="Times New Roman" w:hAnsi="Times New Roman" w:cs="Times New Roman"/>
          <w:sz w:val="28"/>
          <w:szCs w:val="28"/>
        </w:rPr>
        <w:t xml:space="preserve"> </w:t>
      </w:r>
      <w:proofErr w:type="spellStart"/>
      <w:r w:rsidRPr="006610D8">
        <w:rPr>
          <w:rFonts w:ascii="Times New Roman" w:hAnsi="Times New Roman" w:cs="Times New Roman"/>
          <w:sz w:val="28"/>
          <w:szCs w:val="28"/>
        </w:rPr>
        <w:t>Intellectual</w:t>
      </w:r>
      <w:proofErr w:type="spellEnd"/>
      <w:r w:rsidRPr="006610D8">
        <w:rPr>
          <w:rFonts w:ascii="Times New Roman" w:hAnsi="Times New Roman" w:cs="Times New Roman"/>
          <w:sz w:val="28"/>
          <w:szCs w:val="28"/>
        </w:rPr>
        <w:t xml:space="preserve"> </w:t>
      </w:r>
      <w:proofErr w:type="spellStart"/>
      <w:r w:rsidRPr="006610D8">
        <w:rPr>
          <w:rFonts w:ascii="Times New Roman" w:hAnsi="Times New Roman" w:cs="Times New Roman"/>
          <w:sz w:val="28"/>
          <w:szCs w:val="28"/>
        </w:rPr>
        <w:t>Security</w:t>
      </w:r>
      <w:proofErr w:type="spellEnd"/>
      <w:r w:rsidRPr="006610D8">
        <w:rPr>
          <w:rFonts w:ascii="Times New Roman" w:hAnsi="Times New Roman" w:cs="Times New Roman"/>
          <w:sz w:val="28"/>
          <w:szCs w:val="28"/>
        </w:rPr>
        <w:t xml:space="preserve">” (turpmāk </w:t>
      </w:r>
      <w:r w:rsidR="00AC1B58">
        <w:rPr>
          <w:rFonts w:ascii="Times New Roman" w:hAnsi="Times New Roman" w:cs="Times New Roman"/>
          <w:sz w:val="28"/>
          <w:szCs w:val="28"/>
        </w:rPr>
        <w:t>–</w:t>
      </w:r>
      <w:r w:rsidRPr="006610D8">
        <w:rPr>
          <w:rFonts w:ascii="Times New Roman" w:hAnsi="Times New Roman" w:cs="Times New Roman"/>
          <w:sz w:val="28"/>
          <w:szCs w:val="28"/>
        </w:rPr>
        <w:t xml:space="preserve"> GIS EDLUS), SIA </w:t>
      </w:r>
      <w:r w:rsidR="00AC1B58">
        <w:rPr>
          <w:rFonts w:ascii="Times New Roman" w:hAnsi="Times New Roman" w:cs="Times New Roman"/>
          <w:sz w:val="28"/>
          <w:szCs w:val="28"/>
        </w:rPr>
        <w:t>“</w:t>
      </w:r>
      <w:proofErr w:type="spellStart"/>
      <w:r w:rsidRPr="006610D8">
        <w:rPr>
          <w:rFonts w:ascii="Times New Roman" w:hAnsi="Times New Roman" w:cs="Times New Roman"/>
          <w:sz w:val="28"/>
          <w:szCs w:val="28"/>
        </w:rPr>
        <w:t>Comlat</w:t>
      </w:r>
      <w:proofErr w:type="spellEnd"/>
      <w:r w:rsidRPr="006610D8">
        <w:rPr>
          <w:rFonts w:ascii="Times New Roman" w:hAnsi="Times New Roman" w:cs="Times New Roman"/>
          <w:sz w:val="28"/>
          <w:szCs w:val="28"/>
        </w:rPr>
        <w:t xml:space="preserve"> </w:t>
      </w:r>
      <w:proofErr w:type="spellStart"/>
      <w:r w:rsidRPr="006610D8">
        <w:rPr>
          <w:rFonts w:ascii="Times New Roman" w:hAnsi="Times New Roman" w:cs="Times New Roman"/>
          <w:sz w:val="28"/>
          <w:szCs w:val="28"/>
        </w:rPr>
        <w:t>Group</w:t>
      </w:r>
      <w:proofErr w:type="spellEnd"/>
      <w:r w:rsidR="00AC1B58">
        <w:rPr>
          <w:rFonts w:ascii="Times New Roman" w:hAnsi="Times New Roman" w:cs="Times New Roman"/>
          <w:sz w:val="28"/>
          <w:szCs w:val="28"/>
        </w:rPr>
        <w:t>”</w:t>
      </w:r>
      <w:r w:rsidRPr="006610D8">
        <w:rPr>
          <w:rFonts w:ascii="Times New Roman" w:hAnsi="Times New Roman" w:cs="Times New Roman"/>
          <w:sz w:val="28"/>
          <w:szCs w:val="28"/>
        </w:rPr>
        <w:t xml:space="preserve"> (turpmāk</w:t>
      </w:r>
      <w:r w:rsidR="00AC1B58">
        <w:rPr>
          <w:rFonts w:ascii="Times New Roman" w:hAnsi="Times New Roman" w:cs="Times New Roman"/>
          <w:sz w:val="28"/>
          <w:szCs w:val="28"/>
        </w:rPr>
        <w:t> –</w:t>
      </w:r>
      <w:r w:rsidRPr="006610D8">
        <w:rPr>
          <w:rFonts w:ascii="Times New Roman" w:hAnsi="Times New Roman" w:cs="Times New Roman"/>
          <w:sz w:val="28"/>
          <w:szCs w:val="28"/>
        </w:rPr>
        <w:t xml:space="preserve"> COMLAT GROUP EDLUS), SIA </w:t>
      </w:r>
      <w:r w:rsidR="00AC1B58">
        <w:rPr>
          <w:rFonts w:ascii="Times New Roman" w:hAnsi="Times New Roman" w:cs="Times New Roman"/>
          <w:sz w:val="28"/>
          <w:szCs w:val="28"/>
        </w:rPr>
        <w:t>“</w:t>
      </w:r>
      <w:proofErr w:type="spellStart"/>
      <w:r w:rsidRPr="006610D8">
        <w:rPr>
          <w:rFonts w:ascii="Times New Roman" w:hAnsi="Times New Roman" w:cs="Times New Roman"/>
          <w:sz w:val="28"/>
          <w:szCs w:val="28"/>
        </w:rPr>
        <w:t>Mobio</w:t>
      </w:r>
      <w:proofErr w:type="spellEnd"/>
      <w:r w:rsidR="00AC1B58">
        <w:rPr>
          <w:rFonts w:ascii="Times New Roman" w:hAnsi="Times New Roman" w:cs="Times New Roman"/>
          <w:sz w:val="28"/>
          <w:szCs w:val="28"/>
        </w:rPr>
        <w:t>”</w:t>
      </w:r>
      <w:r w:rsidRPr="006610D8">
        <w:rPr>
          <w:rFonts w:ascii="Times New Roman" w:hAnsi="Times New Roman" w:cs="Times New Roman"/>
          <w:sz w:val="28"/>
          <w:szCs w:val="28"/>
        </w:rPr>
        <w:t xml:space="preserve"> (turpmāk – BŪVLAIKS) un citi Latvijas uzņēmumi (sk</w:t>
      </w:r>
      <w:r w:rsidR="0024445F" w:rsidRPr="006610D8">
        <w:rPr>
          <w:rFonts w:ascii="Times New Roman" w:hAnsi="Times New Roman" w:cs="Times New Roman"/>
          <w:sz w:val="28"/>
          <w:szCs w:val="28"/>
        </w:rPr>
        <w:t>atīt</w:t>
      </w:r>
      <w:r w:rsidRPr="006610D8">
        <w:rPr>
          <w:rFonts w:ascii="Times New Roman" w:hAnsi="Times New Roman" w:cs="Times New Roman"/>
          <w:sz w:val="28"/>
          <w:szCs w:val="28"/>
        </w:rPr>
        <w:t xml:space="preserve"> </w:t>
      </w:r>
      <w:r w:rsidR="00E716F3" w:rsidRPr="006610D8">
        <w:rPr>
          <w:rFonts w:ascii="Times New Roman" w:hAnsi="Times New Roman" w:cs="Times New Roman"/>
          <w:sz w:val="28"/>
          <w:szCs w:val="28"/>
        </w:rPr>
        <w:t>5.</w:t>
      </w:r>
      <w:r w:rsidRPr="006610D8">
        <w:rPr>
          <w:rFonts w:ascii="Times New Roman" w:hAnsi="Times New Roman" w:cs="Times New Roman"/>
          <w:sz w:val="28"/>
          <w:szCs w:val="28"/>
        </w:rPr>
        <w:t>attēl</w:t>
      </w:r>
      <w:r w:rsidR="0024445F" w:rsidRPr="006610D8">
        <w:rPr>
          <w:rFonts w:ascii="Times New Roman" w:hAnsi="Times New Roman" w:cs="Times New Roman"/>
          <w:sz w:val="28"/>
          <w:szCs w:val="28"/>
        </w:rPr>
        <w:t>u</w:t>
      </w:r>
      <w:r w:rsidRPr="006610D8">
        <w:rPr>
          <w:rFonts w:ascii="Times New Roman" w:hAnsi="Times New Roman" w:cs="Times New Roman"/>
          <w:sz w:val="28"/>
          <w:szCs w:val="28"/>
        </w:rPr>
        <w:t>).</w:t>
      </w:r>
    </w:p>
    <w:p w14:paraId="6A04A16D" w14:textId="77777777" w:rsidR="00562C69" w:rsidRPr="00E716F3" w:rsidRDefault="00562C69" w:rsidP="00631605">
      <w:pPr>
        <w:spacing w:before="0" w:after="0" w:line="240" w:lineRule="auto"/>
        <w:ind w:firstLine="720"/>
        <w:jc w:val="both"/>
        <w:rPr>
          <w:rFonts w:ascii="Times New Roman" w:hAnsi="Times New Roman" w:cs="Times New Roman"/>
          <w:sz w:val="28"/>
          <w:szCs w:val="28"/>
        </w:rPr>
      </w:pPr>
      <w:r w:rsidRPr="00E25833">
        <w:rPr>
          <w:rFonts w:ascii="Times New Roman" w:hAnsi="Times New Roman" w:cs="Times New Roman"/>
          <w:sz w:val="28"/>
          <w:szCs w:val="28"/>
        </w:rPr>
        <w:t>EDLUS izplatītākās sistēmas nodrošina darbinieku reģistrēšanos, izmantojot viedtālruni, elektronisko (</w:t>
      </w:r>
      <w:r w:rsidRPr="005E08CF">
        <w:rPr>
          <w:rFonts w:ascii="Times New Roman" w:hAnsi="Times New Roman" w:cs="Times New Roman"/>
          <w:i/>
          <w:iCs/>
          <w:sz w:val="28"/>
          <w:szCs w:val="28"/>
        </w:rPr>
        <w:t>NFC</w:t>
      </w:r>
      <w:r w:rsidRPr="00E25833">
        <w:rPr>
          <w:rFonts w:ascii="Times New Roman" w:hAnsi="Times New Roman" w:cs="Times New Roman"/>
          <w:sz w:val="28"/>
          <w:szCs w:val="28"/>
        </w:rPr>
        <w:t>) kartīti vai pirksta nospiedumu, nodrošina iespēju sistēmas lietotājiem pārvaldīt sistēmu interneta pārlūkā un viedtālrunī. Sistēmas do</w:t>
      </w:r>
      <w:r w:rsidR="0024445F">
        <w:rPr>
          <w:rFonts w:ascii="Times New Roman" w:hAnsi="Times New Roman" w:cs="Times New Roman"/>
          <w:sz w:val="28"/>
          <w:szCs w:val="28"/>
        </w:rPr>
        <w:t>d</w:t>
      </w:r>
      <w:r w:rsidRPr="00E25833">
        <w:rPr>
          <w:rFonts w:ascii="Times New Roman" w:hAnsi="Times New Roman" w:cs="Times New Roman"/>
          <w:sz w:val="28"/>
          <w:szCs w:val="28"/>
        </w:rPr>
        <w:t xml:space="preserve"> iespēju pārraudzīt reāllaika datus par darbiniekiem un viesiem </w:t>
      </w:r>
      <w:r w:rsidR="00FA26D7" w:rsidRPr="00E25833">
        <w:rPr>
          <w:rFonts w:ascii="Times New Roman" w:hAnsi="Times New Roman" w:cs="Times New Roman"/>
          <w:sz w:val="28"/>
          <w:szCs w:val="28"/>
        </w:rPr>
        <w:t>būv</w:t>
      </w:r>
      <w:r w:rsidR="00FA26D7">
        <w:rPr>
          <w:rFonts w:ascii="Times New Roman" w:hAnsi="Times New Roman" w:cs="Times New Roman"/>
          <w:sz w:val="28"/>
          <w:szCs w:val="28"/>
        </w:rPr>
        <w:t>laukumā</w:t>
      </w:r>
      <w:r w:rsidRPr="00E25833">
        <w:rPr>
          <w:rFonts w:ascii="Times New Roman" w:hAnsi="Times New Roman" w:cs="Times New Roman"/>
          <w:sz w:val="28"/>
          <w:szCs w:val="28"/>
        </w:rPr>
        <w:t>,</w:t>
      </w:r>
      <w:r w:rsidRPr="00E25833">
        <w:rPr>
          <w:rFonts w:ascii="Times New Roman" w:hAnsi="Times New Roman" w:cs="Times New Roman"/>
        </w:rPr>
        <w:t xml:space="preserve"> </w:t>
      </w:r>
      <w:r w:rsidRPr="00E25833">
        <w:rPr>
          <w:rFonts w:ascii="Times New Roman" w:hAnsi="Times New Roman" w:cs="Times New Roman"/>
          <w:sz w:val="28"/>
          <w:szCs w:val="28"/>
        </w:rPr>
        <w:t xml:space="preserve">kontrolēt darbinieku plūsmu, iespēju identificēt personu atrašanās vietu EDLUS reģistrācijas brīdī, piedāvā atgādinājumu un paziņojumu nosūtīšanu par neatbilstībām atbildīgajai personai, kā arī iespēju operatīvi sniegt informāciju </w:t>
      </w:r>
      <w:r w:rsidRPr="00E716F3">
        <w:rPr>
          <w:rFonts w:ascii="Times New Roman" w:hAnsi="Times New Roman" w:cs="Times New Roman"/>
          <w:sz w:val="28"/>
          <w:szCs w:val="28"/>
        </w:rPr>
        <w:t>kontrolējošām iestādēm.</w:t>
      </w:r>
    </w:p>
    <w:p w14:paraId="1247E9D1" w14:textId="77777777" w:rsidR="00562C69" w:rsidRPr="00E716F3" w:rsidRDefault="00562C69" w:rsidP="00562C69">
      <w:pPr>
        <w:pStyle w:val="NormalWeb"/>
        <w:spacing w:before="0" w:beforeAutospacing="0" w:after="0" w:afterAutospacing="0"/>
        <w:jc w:val="center"/>
        <w:rPr>
          <w:rFonts w:eastAsia="+mn-ea"/>
          <w:kern w:val="24"/>
          <w:sz w:val="28"/>
          <w:szCs w:val="28"/>
        </w:rPr>
      </w:pPr>
      <w:r w:rsidRPr="00E716F3">
        <w:rPr>
          <w:noProof/>
        </w:rPr>
        <w:drawing>
          <wp:inline distT="0" distB="0" distL="0" distR="0" wp14:anchorId="5C80EDA3" wp14:editId="592975A2">
            <wp:extent cx="5003597" cy="1806855"/>
            <wp:effectExtent l="0" t="0" r="6985" b="3175"/>
            <wp:docPr id="8" name="Chart 8">
              <a:extLst xmlns:a="http://schemas.openxmlformats.org/drawingml/2006/main">
                <a:ext uri="{FF2B5EF4-FFF2-40B4-BE49-F238E27FC236}">
                  <a16:creationId xmlns:a16="http://schemas.microsoft.com/office/drawing/2014/main" id="{D60F8420-5CD5-49CB-B8D4-0239B650F5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E716F3">
        <w:rPr>
          <w:noProof/>
        </w:rPr>
        <w:t xml:space="preserve"> </w:t>
      </w:r>
    </w:p>
    <w:p w14:paraId="6BE1C034" w14:textId="77777777" w:rsidR="00562C69" w:rsidRPr="00E716F3" w:rsidRDefault="00E65335" w:rsidP="005E08CF">
      <w:pPr>
        <w:pStyle w:val="NormalWeb"/>
        <w:spacing w:before="0" w:beforeAutospacing="0" w:after="0" w:afterAutospacing="0"/>
        <w:jc w:val="center"/>
        <w:rPr>
          <w:rFonts w:eastAsia="+mn-ea"/>
          <w:b/>
          <w:kern w:val="24"/>
          <w:sz w:val="28"/>
          <w:szCs w:val="28"/>
        </w:rPr>
      </w:pPr>
      <w:r w:rsidRPr="00177D8E">
        <w:rPr>
          <w:rFonts w:eastAsia="+mn-ea"/>
          <w:kern w:val="24"/>
          <w:sz w:val="28"/>
          <w:szCs w:val="28"/>
        </w:rPr>
        <w:t>5</w:t>
      </w:r>
      <w:r w:rsidR="00562C69" w:rsidRPr="00177D8E">
        <w:rPr>
          <w:rFonts w:eastAsia="+mn-ea"/>
          <w:kern w:val="24"/>
          <w:sz w:val="28"/>
          <w:szCs w:val="28"/>
        </w:rPr>
        <w:t>.att</w:t>
      </w:r>
      <w:r w:rsidR="00177D8E" w:rsidRPr="00177D8E">
        <w:rPr>
          <w:rFonts w:eastAsia="+mn-ea"/>
          <w:kern w:val="24"/>
          <w:sz w:val="28"/>
          <w:szCs w:val="28"/>
        </w:rPr>
        <w:t>ēls</w:t>
      </w:r>
      <w:r w:rsidR="00562C69" w:rsidRPr="00177D8E">
        <w:rPr>
          <w:rFonts w:eastAsia="+mn-ea"/>
          <w:kern w:val="24"/>
          <w:sz w:val="28"/>
          <w:szCs w:val="28"/>
        </w:rPr>
        <w:t>.</w:t>
      </w:r>
      <w:r w:rsidR="00562C69" w:rsidRPr="00E716F3">
        <w:rPr>
          <w:b/>
          <w:sz w:val="28"/>
          <w:szCs w:val="28"/>
        </w:rPr>
        <w:t xml:space="preserve"> </w:t>
      </w:r>
      <w:r w:rsidR="00562C69" w:rsidRPr="00E716F3">
        <w:rPr>
          <w:rFonts w:eastAsia="+mn-ea"/>
          <w:b/>
          <w:kern w:val="24"/>
          <w:sz w:val="28"/>
          <w:szCs w:val="28"/>
        </w:rPr>
        <w:t xml:space="preserve">EDLUS izplatība </w:t>
      </w:r>
      <w:r w:rsidR="00FA26D7" w:rsidRPr="00E716F3">
        <w:rPr>
          <w:rFonts w:eastAsia="+mn-ea"/>
          <w:b/>
          <w:kern w:val="24"/>
          <w:sz w:val="28"/>
          <w:szCs w:val="28"/>
        </w:rPr>
        <w:t>būvlaukumos</w:t>
      </w:r>
      <w:r w:rsidR="00562C69" w:rsidRPr="00E716F3">
        <w:rPr>
          <w:rFonts w:eastAsia="+mn-ea"/>
          <w:b/>
          <w:kern w:val="24"/>
          <w:sz w:val="28"/>
          <w:szCs w:val="28"/>
        </w:rPr>
        <w:t>, kuros tika veiktas EDLU pārbaudes 2019.gadā (būvobjektu skaits)</w:t>
      </w:r>
    </w:p>
    <w:p w14:paraId="4E977D75" w14:textId="77777777" w:rsidR="00FC3218" w:rsidRPr="00FC3218" w:rsidRDefault="00FC3218" w:rsidP="007E328F">
      <w:pPr>
        <w:pStyle w:val="NoSpacing"/>
        <w:spacing w:before="0"/>
        <w:ind w:firstLine="720"/>
        <w:jc w:val="both"/>
        <w:rPr>
          <w:rFonts w:ascii="Times New Roman" w:hAnsi="Times New Roman" w:cs="Times New Roman"/>
          <w:sz w:val="28"/>
          <w:szCs w:val="28"/>
        </w:rPr>
      </w:pPr>
      <w:bookmarkStart w:id="18" w:name="_Hlk39148453"/>
    </w:p>
    <w:p w14:paraId="24B4C101" w14:textId="77777777" w:rsidR="00FC3218" w:rsidRPr="00FC3218" w:rsidRDefault="000645EE" w:rsidP="00FA5A60">
      <w:pPr>
        <w:pStyle w:val="NoSpacing"/>
        <w:spacing w:before="0"/>
        <w:ind w:firstLine="720"/>
        <w:jc w:val="both"/>
        <w:rPr>
          <w:rFonts w:ascii="Times New Roman" w:hAnsi="Times New Roman" w:cs="Times New Roman"/>
          <w:sz w:val="28"/>
          <w:szCs w:val="28"/>
        </w:rPr>
      </w:pPr>
      <w:r>
        <w:rPr>
          <w:rFonts w:ascii="Times New Roman" w:hAnsi="Times New Roman" w:cs="Times New Roman"/>
          <w:sz w:val="28"/>
          <w:szCs w:val="28"/>
        </w:rPr>
        <w:t xml:space="preserve">Sākot ar </w:t>
      </w:r>
      <w:r w:rsidR="00FC3218" w:rsidRPr="00FC3218">
        <w:rPr>
          <w:rFonts w:ascii="Times New Roman" w:hAnsi="Times New Roman" w:cs="Times New Roman"/>
          <w:sz w:val="28"/>
          <w:szCs w:val="28"/>
        </w:rPr>
        <w:t>EDLUS ieviešan</w:t>
      </w:r>
      <w:r>
        <w:rPr>
          <w:rFonts w:ascii="Times New Roman" w:hAnsi="Times New Roman" w:cs="Times New Roman"/>
          <w:sz w:val="28"/>
          <w:szCs w:val="28"/>
        </w:rPr>
        <w:t>u</w:t>
      </w:r>
      <w:r w:rsidR="00C63750">
        <w:rPr>
          <w:rFonts w:ascii="Times New Roman" w:hAnsi="Times New Roman" w:cs="Times New Roman"/>
          <w:sz w:val="28"/>
          <w:szCs w:val="28"/>
        </w:rPr>
        <w:t>,</w:t>
      </w:r>
      <w:r>
        <w:rPr>
          <w:rFonts w:ascii="Times New Roman" w:hAnsi="Times New Roman" w:cs="Times New Roman"/>
          <w:sz w:val="28"/>
          <w:szCs w:val="28"/>
        </w:rPr>
        <w:t xml:space="preserve"> būvniecībā iezīmējās</w:t>
      </w:r>
      <w:r w:rsidR="00FC3218" w:rsidRPr="00FC3218">
        <w:rPr>
          <w:rFonts w:ascii="Times New Roman" w:hAnsi="Times New Roman" w:cs="Times New Roman"/>
          <w:sz w:val="28"/>
          <w:szCs w:val="28"/>
        </w:rPr>
        <w:t xml:space="preserve"> </w:t>
      </w:r>
      <w:r>
        <w:rPr>
          <w:rFonts w:ascii="Times New Roman" w:hAnsi="Times New Roman" w:cs="Times New Roman"/>
          <w:sz w:val="28"/>
          <w:szCs w:val="28"/>
        </w:rPr>
        <w:t xml:space="preserve">vairāki </w:t>
      </w:r>
      <w:r w:rsidR="00FC3218" w:rsidRPr="00FC3218">
        <w:rPr>
          <w:rFonts w:ascii="Times New Roman" w:hAnsi="Times New Roman" w:cs="Times New Roman"/>
          <w:sz w:val="28"/>
          <w:szCs w:val="28"/>
        </w:rPr>
        <w:t>EDLU</w:t>
      </w:r>
      <w:r w:rsidR="001650ED">
        <w:rPr>
          <w:rFonts w:ascii="Times New Roman" w:hAnsi="Times New Roman" w:cs="Times New Roman"/>
          <w:sz w:val="28"/>
          <w:szCs w:val="28"/>
        </w:rPr>
        <w:t>S</w:t>
      </w:r>
      <w:r w:rsidR="00FC3218" w:rsidRPr="00FC3218">
        <w:rPr>
          <w:rFonts w:ascii="Times New Roman" w:hAnsi="Times New Roman" w:cs="Times New Roman"/>
          <w:sz w:val="28"/>
          <w:szCs w:val="28"/>
        </w:rPr>
        <w:t xml:space="preserve"> datu ticamības </w:t>
      </w:r>
      <w:r>
        <w:rPr>
          <w:rFonts w:ascii="Times New Roman" w:hAnsi="Times New Roman" w:cs="Times New Roman"/>
          <w:sz w:val="28"/>
          <w:szCs w:val="28"/>
        </w:rPr>
        <w:t>riski</w:t>
      </w:r>
      <w:r w:rsidR="0024445F">
        <w:rPr>
          <w:rFonts w:ascii="Times New Roman" w:hAnsi="Times New Roman" w:cs="Times New Roman"/>
          <w:sz w:val="28"/>
          <w:szCs w:val="28"/>
        </w:rPr>
        <w:t>, kas</w:t>
      </w:r>
      <w:r w:rsidR="00FC3218" w:rsidRPr="00FC3218">
        <w:rPr>
          <w:rFonts w:ascii="Times New Roman" w:hAnsi="Times New Roman" w:cs="Times New Roman"/>
          <w:sz w:val="28"/>
          <w:szCs w:val="28"/>
        </w:rPr>
        <w:t xml:space="preserve"> </w:t>
      </w:r>
      <w:r>
        <w:rPr>
          <w:rFonts w:ascii="Times New Roman" w:hAnsi="Times New Roman" w:cs="Times New Roman"/>
          <w:sz w:val="28"/>
          <w:szCs w:val="28"/>
        </w:rPr>
        <w:t xml:space="preserve">saistīti ar </w:t>
      </w:r>
      <w:r w:rsidR="00FC3218" w:rsidRPr="00FC3218">
        <w:rPr>
          <w:rFonts w:ascii="Times New Roman" w:hAnsi="Times New Roman" w:cs="Times New Roman"/>
          <w:sz w:val="28"/>
          <w:szCs w:val="28"/>
        </w:rPr>
        <w:t xml:space="preserve">normatīvā regulējuma atšķirīgu interpretāciju un nepieciešamību nodrošināt datu aizsardzību. </w:t>
      </w:r>
    </w:p>
    <w:p w14:paraId="455D127D" w14:textId="77777777" w:rsidR="000C49A2" w:rsidRDefault="00FC3218" w:rsidP="00FA5A60">
      <w:pPr>
        <w:pStyle w:val="NoSpacing"/>
        <w:spacing w:before="0"/>
        <w:ind w:firstLine="720"/>
        <w:jc w:val="both"/>
        <w:rPr>
          <w:rFonts w:ascii="Times New Roman" w:eastAsia="+mn-ea" w:hAnsi="Times New Roman" w:cs="Times New Roman"/>
          <w:iCs/>
          <w:kern w:val="24"/>
          <w:sz w:val="28"/>
          <w:szCs w:val="28"/>
        </w:rPr>
      </w:pPr>
      <w:r w:rsidRPr="00FC3218">
        <w:rPr>
          <w:rFonts w:ascii="Times New Roman" w:hAnsi="Times New Roman" w:cs="Times New Roman"/>
          <w:sz w:val="28"/>
          <w:szCs w:val="28"/>
        </w:rPr>
        <w:t xml:space="preserve">Minēto problēmu risinājumam normatīvajos aktos </w:t>
      </w:r>
      <w:r w:rsidR="00C63750">
        <w:rPr>
          <w:rFonts w:ascii="Times New Roman" w:hAnsi="Times New Roman" w:cs="Times New Roman"/>
          <w:sz w:val="28"/>
          <w:szCs w:val="28"/>
        </w:rPr>
        <w:t>ietverts</w:t>
      </w:r>
      <w:r w:rsidRPr="00FC3218">
        <w:rPr>
          <w:rFonts w:ascii="Times New Roman" w:hAnsi="Times New Roman" w:cs="Times New Roman"/>
          <w:sz w:val="28"/>
          <w:szCs w:val="28"/>
        </w:rPr>
        <w:t xml:space="preserve"> regulējum</w:t>
      </w:r>
      <w:r w:rsidR="00C63750">
        <w:rPr>
          <w:rFonts w:ascii="Times New Roman" w:hAnsi="Times New Roman" w:cs="Times New Roman"/>
          <w:sz w:val="28"/>
          <w:szCs w:val="28"/>
        </w:rPr>
        <w:t>s</w:t>
      </w:r>
      <w:r w:rsidRPr="00FC3218">
        <w:rPr>
          <w:rFonts w:ascii="Times New Roman" w:hAnsi="Times New Roman" w:cs="Times New Roman"/>
          <w:sz w:val="28"/>
          <w:szCs w:val="28"/>
        </w:rPr>
        <w:t>, kas</w:t>
      </w:r>
      <w:r w:rsidR="00E3265B">
        <w:rPr>
          <w:rFonts w:ascii="Times New Roman" w:hAnsi="Times New Roman" w:cs="Times New Roman"/>
          <w:sz w:val="28"/>
          <w:szCs w:val="28"/>
        </w:rPr>
        <w:t xml:space="preserve"> </w:t>
      </w:r>
      <w:r w:rsidRPr="00FC3218">
        <w:rPr>
          <w:rFonts w:ascii="Times New Roman" w:hAnsi="Times New Roman" w:cs="Times New Roman"/>
          <w:sz w:val="28"/>
          <w:szCs w:val="28"/>
        </w:rPr>
        <w:t>ierobežo EDLUS datu manuālo koriģēšanu, aizliedz darbības ieprogrammēšanu EDLUS attiecībā uz reģistrēto datu mainīšanu, nosaka rīcību gadījumos, kad EDLUS darbībā bijuši traucējum</w:t>
      </w:r>
      <w:r w:rsidR="000645EE">
        <w:rPr>
          <w:rFonts w:ascii="Times New Roman" w:hAnsi="Times New Roman" w:cs="Times New Roman"/>
          <w:sz w:val="28"/>
          <w:szCs w:val="28"/>
        </w:rPr>
        <w:t xml:space="preserve">i, </w:t>
      </w:r>
      <w:r w:rsidR="008A5C36">
        <w:rPr>
          <w:rFonts w:ascii="Times New Roman" w:hAnsi="Times New Roman" w:cs="Times New Roman"/>
          <w:sz w:val="28"/>
          <w:szCs w:val="28"/>
        </w:rPr>
        <w:t xml:space="preserve">kā arī </w:t>
      </w:r>
      <w:r w:rsidRPr="00FC3218">
        <w:rPr>
          <w:rFonts w:ascii="Times New Roman" w:hAnsi="Times New Roman" w:cs="Times New Roman"/>
          <w:sz w:val="28"/>
          <w:szCs w:val="28"/>
        </w:rPr>
        <w:t xml:space="preserve">auditācijas pierakstos norādāmo informāciju. </w:t>
      </w:r>
      <w:r w:rsidR="0067241B" w:rsidRPr="00FC3218">
        <w:rPr>
          <w:rFonts w:ascii="Times New Roman" w:eastAsia="+mn-ea" w:hAnsi="Times New Roman" w:cs="Times New Roman"/>
          <w:iCs/>
          <w:kern w:val="24"/>
          <w:sz w:val="28"/>
          <w:szCs w:val="28"/>
        </w:rPr>
        <w:t xml:space="preserve">Turklāt EDLUS </w:t>
      </w:r>
      <w:r w:rsidR="003C255E" w:rsidRPr="00FC3218">
        <w:rPr>
          <w:rFonts w:ascii="Times New Roman" w:eastAsia="+mn-ea" w:hAnsi="Times New Roman" w:cs="Times New Roman"/>
          <w:iCs/>
          <w:kern w:val="24"/>
          <w:sz w:val="28"/>
          <w:szCs w:val="28"/>
        </w:rPr>
        <w:t>reģistrēto</w:t>
      </w:r>
      <w:r w:rsidR="0067241B" w:rsidRPr="00FC3218">
        <w:rPr>
          <w:rFonts w:ascii="Times New Roman" w:eastAsia="+mn-ea" w:hAnsi="Times New Roman" w:cs="Times New Roman"/>
          <w:iCs/>
          <w:kern w:val="24"/>
          <w:sz w:val="28"/>
          <w:szCs w:val="28"/>
        </w:rPr>
        <w:t xml:space="preserve"> datu ticamība </w:t>
      </w:r>
      <w:r w:rsidR="00C63750">
        <w:rPr>
          <w:rFonts w:ascii="Times New Roman" w:eastAsia="+mn-ea" w:hAnsi="Times New Roman" w:cs="Times New Roman"/>
          <w:iCs/>
          <w:kern w:val="24"/>
          <w:sz w:val="28"/>
          <w:szCs w:val="28"/>
        </w:rPr>
        <w:t xml:space="preserve">pieaugs, </w:t>
      </w:r>
      <w:bookmarkEnd w:id="18"/>
      <w:r w:rsidR="00916708" w:rsidRPr="00916708">
        <w:rPr>
          <w:rFonts w:ascii="Times New Roman" w:eastAsia="+mn-ea" w:hAnsi="Times New Roman" w:cs="Times New Roman"/>
          <w:iCs/>
          <w:kern w:val="24"/>
          <w:sz w:val="28"/>
          <w:szCs w:val="28"/>
        </w:rPr>
        <w:t xml:space="preserve">pārbaudot pie datu nodošanas VEDLUDB iesniegto datu atbilstību valsts informācijas sistēmās reģistrētajiem datiem. </w:t>
      </w:r>
      <w:r w:rsidR="00C63750">
        <w:rPr>
          <w:rFonts w:ascii="Times New Roman" w:eastAsia="+mn-ea" w:hAnsi="Times New Roman" w:cs="Times New Roman"/>
          <w:iCs/>
          <w:kern w:val="24"/>
          <w:sz w:val="28"/>
          <w:szCs w:val="28"/>
        </w:rPr>
        <w:t xml:space="preserve"> </w:t>
      </w:r>
    </w:p>
    <w:p w14:paraId="115A716C" w14:textId="77777777" w:rsidR="008C0008" w:rsidRDefault="008C0008" w:rsidP="003977E6">
      <w:pPr>
        <w:pStyle w:val="NoSpacing"/>
        <w:spacing w:before="0"/>
        <w:ind w:firstLine="720"/>
        <w:jc w:val="both"/>
        <w:rPr>
          <w:rFonts w:ascii="Times New Roman" w:hAnsi="Times New Roman" w:cs="Times New Roman"/>
          <w:b/>
          <w:i/>
          <w:sz w:val="28"/>
          <w:szCs w:val="28"/>
        </w:rPr>
      </w:pPr>
    </w:p>
    <w:p w14:paraId="3EF6B856" w14:textId="77777777" w:rsidR="00C63750" w:rsidRPr="00E25833" w:rsidRDefault="00B06063" w:rsidP="005E08CF">
      <w:pPr>
        <w:pStyle w:val="NoSpacing"/>
        <w:spacing w:before="0"/>
        <w:ind w:firstLine="720"/>
        <w:jc w:val="both"/>
        <w:rPr>
          <w:rFonts w:ascii="Times New Roman" w:hAnsi="Times New Roman" w:cs="Times New Roman"/>
          <w:b/>
          <w:i/>
          <w:sz w:val="28"/>
          <w:szCs w:val="28"/>
        </w:rPr>
      </w:pPr>
      <w:r w:rsidRPr="00E25833">
        <w:rPr>
          <w:rFonts w:ascii="Times New Roman" w:hAnsi="Times New Roman" w:cs="Times New Roman"/>
          <w:b/>
          <w:i/>
          <w:sz w:val="28"/>
          <w:szCs w:val="28"/>
        </w:rPr>
        <w:t>VEDLUDB darbības uzsākšana</w:t>
      </w:r>
      <w:r w:rsidR="001A0C72">
        <w:rPr>
          <w:rFonts w:ascii="Times New Roman" w:hAnsi="Times New Roman" w:cs="Times New Roman"/>
          <w:b/>
          <w:i/>
          <w:sz w:val="28"/>
          <w:szCs w:val="28"/>
        </w:rPr>
        <w:t xml:space="preserve"> atbilstoši BVKB sniegtajai informācijai</w:t>
      </w:r>
    </w:p>
    <w:p w14:paraId="1A0AA09F" w14:textId="77777777" w:rsidR="000E13F0" w:rsidRPr="00E25833" w:rsidRDefault="004168F8" w:rsidP="007E328F">
      <w:pPr>
        <w:pStyle w:val="NoSpacing"/>
        <w:spacing w:before="0"/>
        <w:ind w:firstLine="720"/>
        <w:jc w:val="both"/>
        <w:rPr>
          <w:rFonts w:ascii="Times New Roman" w:hAnsi="Times New Roman" w:cs="Times New Roman"/>
          <w:sz w:val="28"/>
          <w:szCs w:val="28"/>
        </w:rPr>
      </w:pPr>
      <w:r w:rsidRPr="00E25833">
        <w:rPr>
          <w:rFonts w:ascii="Times New Roman" w:hAnsi="Times New Roman" w:cs="Times New Roman"/>
          <w:sz w:val="28"/>
          <w:szCs w:val="28"/>
        </w:rPr>
        <w:t>Lai apkopotu datus no EDLUS un nodrošināt</w:t>
      </w:r>
      <w:r w:rsidR="00185B87" w:rsidRPr="00E25833">
        <w:rPr>
          <w:rFonts w:ascii="Times New Roman" w:hAnsi="Times New Roman" w:cs="Times New Roman"/>
          <w:sz w:val="28"/>
          <w:szCs w:val="28"/>
        </w:rPr>
        <w:t>u</w:t>
      </w:r>
      <w:r w:rsidRPr="00E25833">
        <w:rPr>
          <w:rFonts w:ascii="Times New Roman" w:hAnsi="Times New Roman" w:cs="Times New Roman"/>
          <w:sz w:val="28"/>
          <w:szCs w:val="28"/>
        </w:rPr>
        <w:t xml:space="preserve"> š</w:t>
      </w:r>
      <w:r w:rsidR="00185B87" w:rsidRPr="00E25833">
        <w:rPr>
          <w:rFonts w:ascii="Times New Roman" w:hAnsi="Times New Roman" w:cs="Times New Roman"/>
          <w:sz w:val="28"/>
          <w:szCs w:val="28"/>
        </w:rPr>
        <w:t>īs</w:t>
      </w:r>
      <w:r w:rsidRPr="00E25833">
        <w:rPr>
          <w:rFonts w:ascii="Times New Roman" w:hAnsi="Times New Roman" w:cs="Times New Roman"/>
          <w:sz w:val="28"/>
          <w:szCs w:val="28"/>
        </w:rPr>
        <w:t xml:space="preserve"> informācij</w:t>
      </w:r>
      <w:r w:rsidR="00185B87" w:rsidRPr="00E25833">
        <w:rPr>
          <w:rFonts w:ascii="Times New Roman" w:hAnsi="Times New Roman" w:cs="Times New Roman"/>
          <w:sz w:val="28"/>
          <w:szCs w:val="28"/>
        </w:rPr>
        <w:t>as</w:t>
      </w:r>
      <w:r w:rsidRPr="00E25833">
        <w:rPr>
          <w:rFonts w:ascii="Times New Roman" w:hAnsi="Times New Roman" w:cs="Times New Roman"/>
          <w:sz w:val="28"/>
          <w:szCs w:val="28"/>
        </w:rPr>
        <w:t xml:space="preserve"> pieejamību kontrolējošām institūcijām, </w:t>
      </w:r>
      <w:r w:rsidRPr="00EA4DDB">
        <w:rPr>
          <w:rFonts w:ascii="Times New Roman" w:hAnsi="Times New Roman" w:cs="Times New Roman"/>
          <w:sz w:val="28"/>
          <w:szCs w:val="28"/>
        </w:rPr>
        <w:t>a</w:t>
      </w:r>
      <w:r w:rsidR="000E13F0" w:rsidRPr="00EA4DDB">
        <w:rPr>
          <w:rFonts w:ascii="Times New Roman" w:hAnsi="Times New Roman" w:cs="Times New Roman"/>
          <w:sz w:val="28"/>
          <w:szCs w:val="28"/>
        </w:rPr>
        <w:t xml:space="preserve">r </w:t>
      </w:r>
      <w:r w:rsidR="00EA4DDB">
        <w:rPr>
          <w:rFonts w:ascii="Times New Roman" w:hAnsi="Times New Roman" w:cs="Times New Roman"/>
          <w:sz w:val="28"/>
          <w:szCs w:val="28"/>
        </w:rPr>
        <w:t>20</w:t>
      </w:r>
      <w:r w:rsidR="00407A9C">
        <w:rPr>
          <w:rFonts w:ascii="Times New Roman" w:hAnsi="Times New Roman" w:cs="Times New Roman"/>
          <w:sz w:val="28"/>
          <w:szCs w:val="28"/>
        </w:rPr>
        <w:t>20</w:t>
      </w:r>
      <w:r w:rsidR="000E13F0" w:rsidRPr="00EA4DDB">
        <w:rPr>
          <w:rFonts w:ascii="Times New Roman" w:hAnsi="Times New Roman" w:cs="Times New Roman"/>
          <w:sz w:val="28"/>
          <w:szCs w:val="28"/>
        </w:rPr>
        <w:t>.gada 1.</w:t>
      </w:r>
      <w:r w:rsidR="00EA4DDB">
        <w:rPr>
          <w:rFonts w:ascii="Times New Roman" w:hAnsi="Times New Roman" w:cs="Times New Roman"/>
          <w:sz w:val="28"/>
          <w:szCs w:val="28"/>
        </w:rPr>
        <w:t>febru</w:t>
      </w:r>
      <w:r w:rsidR="000E13F0" w:rsidRPr="00EA4DDB">
        <w:rPr>
          <w:rFonts w:ascii="Times New Roman" w:hAnsi="Times New Roman" w:cs="Times New Roman"/>
          <w:sz w:val="28"/>
          <w:szCs w:val="28"/>
        </w:rPr>
        <w:t xml:space="preserve">āri darbību </w:t>
      </w:r>
      <w:r w:rsidR="009D73F7" w:rsidRPr="00EA4DDB">
        <w:rPr>
          <w:rFonts w:ascii="Times New Roman" w:hAnsi="Times New Roman" w:cs="Times New Roman"/>
          <w:sz w:val="28"/>
          <w:szCs w:val="28"/>
        </w:rPr>
        <w:t xml:space="preserve">uzsāka </w:t>
      </w:r>
      <w:r w:rsidR="000E13F0" w:rsidRPr="00EA4DDB">
        <w:rPr>
          <w:rFonts w:ascii="Times New Roman" w:hAnsi="Times New Roman" w:cs="Times New Roman"/>
          <w:sz w:val="28"/>
          <w:szCs w:val="28"/>
        </w:rPr>
        <w:t>VEDLUDB</w:t>
      </w:r>
      <w:r w:rsidR="000E13F0" w:rsidRPr="00E25833">
        <w:rPr>
          <w:rFonts w:ascii="Times New Roman" w:hAnsi="Times New Roman" w:cs="Times New Roman"/>
          <w:sz w:val="28"/>
          <w:szCs w:val="28"/>
        </w:rPr>
        <w:t xml:space="preserve">, kura izveidota </w:t>
      </w:r>
      <w:r w:rsidR="002B052E">
        <w:rPr>
          <w:rFonts w:ascii="Times New Roman" w:hAnsi="Times New Roman" w:cs="Times New Roman"/>
          <w:sz w:val="28"/>
          <w:szCs w:val="28"/>
        </w:rPr>
        <w:t>BIS</w:t>
      </w:r>
      <w:r w:rsidR="000E13F0" w:rsidRPr="00E25833">
        <w:rPr>
          <w:rFonts w:ascii="Times New Roman" w:hAnsi="Times New Roman" w:cs="Times New Roman"/>
          <w:sz w:val="28"/>
          <w:szCs w:val="28"/>
        </w:rPr>
        <w:t xml:space="preserve"> ietvaros. </w:t>
      </w:r>
    </w:p>
    <w:p w14:paraId="24C0C463" w14:textId="72922D75" w:rsidR="003842FE" w:rsidRPr="00E25833" w:rsidRDefault="004168F8" w:rsidP="003D2EFD">
      <w:pPr>
        <w:pStyle w:val="NoSpacing"/>
        <w:spacing w:before="0"/>
        <w:ind w:firstLine="720"/>
        <w:jc w:val="both"/>
        <w:rPr>
          <w:rFonts w:ascii="Times New Roman" w:hAnsi="Times New Roman" w:cs="Times New Roman"/>
          <w:sz w:val="28"/>
          <w:szCs w:val="28"/>
        </w:rPr>
      </w:pPr>
      <w:r w:rsidRPr="00E25833">
        <w:rPr>
          <w:rFonts w:ascii="Times New Roman" w:hAnsi="Times New Roman" w:cs="Times New Roman"/>
          <w:sz w:val="28"/>
          <w:szCs w:val="28"/>
        </w:rPr>
        <w:t xml:space="preserve">VEDLUDB </w:t>
      </w:r>
      <w:r w:rsidR="001960E7" w:rsidRPr="00E25833">
        <w:rPr>
          <w:rFonts w:ascii="Times New Roman" w:hAnsi="Times New Roman" w:cs="Times New Roman"/>
          <w:sz w:val="28"/>
          <w:szCs w:val="28"/>
        </w:rPr>
        <w:t>p</w:t>
      </w:r>
      <w:r w:rsidR="000E13F0" w:rsidRPr="00E25833">
        <w:rPr>
          <w:rFonts w:ascii="Times New Roman" w:hAnsi="Times New Roman" w:cs="Times New Roman"/>
          <w:sz w:val="28"/>
          <w:szCs w:val="28"/>
        </w:rPr>
        <w:t>rogrammatūras izstrād</w:t>
      </w:r>
      <w:r w:rsidR="00F31D27">
        <w:rPr>
          <w:rFonts w:ascii="Times New Roman" w:hAnsi="Times New Roman" w:cs="Times New Roman"/>
          <w:sz w:val="28"/>
          <w:szCs w:val="28"/>
        </w:rPr>
        <w:t>i</w:t>
      </w:r>
      <w:r w:rsidR="000E13F0" w:rsidRPr="00E25833">
        <w:rPr>
          <w:rFonts w:ascii="Times New Roman" w:hAnsi="Times New Roman" w:cs="Times New Roman"/>
          <w:sz w:val="28"/>
          <w:szCs w:val="28"/>
        </w:rPr>
        <w:t xml:space="preserve"> uzsāka 2019.gada </w:t>
      </w:r>
      <w:r w:rsidR="003842FE" w:rsidRPr="00E25833">
        <w:rPr>
          <w:rFonts w:ascii="Times New Roman" w:hAnsi="Times New Roman" w:cs="Times New Roman"/>
          <w:sz w:val="28"/>
          <w:szCs w:val="28"/>
        </w:rPr>
        <w:t>1</w:t>
      </w:r>
      <w:r w:rsidR="003D2EFD">
        <w:rPr>
          <w:rFonts w:ascii="Times New Roman" w:hAnsi="Times New Roman" w:cs="Times New Roman"/>
          <w:sz w:val="28"/>
          <w:szCs w:val="28"/>
        </w:rPr>
        <w:t>.</w:t>
      </w:r>
      <w:r w:rsidR="000E13F0" w:rsidRPr="00E25833">
        <w:rPr>
          <w:rFonts w:ascii="Times New Roman" w:hAnsi="Times New Roman" w:cs="Times New Roman"/>
          <w:sz w:val="28"/>
          <w:szCs w:val="28"/>
        </w:rPr>
        <w:t>jūnijā</w:t>
      </w:r>
      <w:r w:rsidR="00F31D27">
        <w:rPr>
          <w:rFonts w:ascii="Times New Roman" w:hAnsi="Times New Roman" w:cs="Times New Roman"/>
          <w:sz w:val="28"/>
          <w:szCs w:val="28"/>
        </w:rPr>
        <w:t xml:space="preserve">, </w:t>
      </w:r>
      <w:r w:rsidR="00590AF3" w:rsidRPr="00E25833">
        <w:rPr>
          <w:rFonts w:ascii="Times New Roman" w:hAnsi="Times New Roman" w:cs="Times New Roman"/>
          <w:sz w:val="28"/>
          <w:szCs w:val="28"/>
        </w:rPr>
        <w:t>piedal</w:t>
      </w:r>
      <w:r w:rsidR="00F31D27">
        <w:rPr>
          <w:rFonts w:ascii="Times New Roman" w:hAnsi="Times New Roman" w:cs="Times New Roman"/>
          <w:sz w:val="28"/>
          <w:szCs w:val="28"/>
        </w:rPr>
        <w:t>oties</w:t>
      </w:r>
      <w:r w:rsidR="00590AF3" w:rsidRPr="00E25833">
        <w:rPr>
          <w:rFonts w:ascii="Times New Roman" w:hAnsi="Times New Roman" w:cs="Times New Roman"/>
          <w:sz w:val="28"/>
          <w:szCs w:val="28"/>
        </w:rPr>
        <w:t xml:space="preserve"> pārstāvji</w:t>
      </w:r>
      <w:r w:rsidR="00F31D27">
        <w:rPr>
          <w:rFonts w:ascii="Times New Roman" w:hAnsi="Times New Roman" w:cs="Times New Roman"/>
          <w:sz w:val="28"/>
          <w:szCs w:val="28"/>
        </w:rPr>
        <w:t>em</w:t>
      </w:r>
      <w:r w:rsidR="00590AF3" w:rsidRPr="00E25833">
        <w:rPr>
          <w:rFonts w:ascii="Times New Roman" w:hAnsi="Times New Roman" w:cs="Times New Roman"/>
          <w:sz w:val="28"/>
          <w:szCs w:val="28"/>
        </w:rPr>
        <w:t xml:space="preserve"> </w:t>
      </w:r>
      <w:r w:rsidR="000E13F0" w:rsidRPr="00E25833">
        <w:rPr>
          <w:rFonts w:ascii="Times New Roman" w:hAnsi="Times New Roman" w:cs="Times New Roman"/>
          <w:sz w:val="28"/>
          <w:szCs w:val="28"/>
        </w:rPr>
        <w:t>no</w:t>
      </w:r>
      <w:r w:rsidR="001960E7" w:rsidRPr="00E25833">
        <w:rPr>
          <w:rFonts w:ascii="Times New Roman" w:hAnsi="Times New Roman" w:cs="Times New Roman"/>
          <w:sz w:val="28"/>
          <w:szCs w:val="28"/>
        </w:rPr>
        <w:t xml:space="preserve"> </w:t>
      </w:r>
      <w:r w:rsidR="000E13F0" w:rsidRPr="00E25833">
        <w:rPr>
          <w:rFonts w:ascii="Times New Roman" w:hAnsi="Times New Roman" w:cs="Times New Roman"/>
          <w:sz w:val="28"/>
          <w:szCs w:val="28"/>
        </w:rPr>
        <w:t>BVKB</w:t>
      </w:r>
      <w:r w:rsidR="001960E7" w:rsidRPr="00E25833">
        <w:rPr>
          <w:rFonts w:ascii="Times New Roman" w:hAnsi="Times New Roman" w:cs="Times New Roman"/>
          <w:sz w:val="28"/>
          <w:szCs w:val="28"/>
        </w:rPr>
        <w:t xml:space="preserve">, </w:t>
      </w:r>
      <w:r w:rsidR="000E13F0" w:rsidRPr="00E25833">
        <w:rPr>
          <w:rFonts w:ascii="Times New Roman" w:hAnsi="Times New Roman" w:cs="Times New Roman"/>
          <w:sz w:val="28"/>
          <w:szCs w:val="28"/>
        </w:rPr>
        <w:t>E</w:t>
      </w:r>
      <w:r w:rsidR="001960E7" w:rsidRPr="00E25833">
        <w:rPr>
          <w:rFonts w:ascii="Times New Roman" w:hAnsi="Times New Roman" w:cs="Times New Roman"/>
          <w:sz w:val="28"/>
          <w:szCs w:val="28"/>
        </w:rPr>
        <w:t xml:space="preserve">konomikas </w:t>
      </w:r>
      <w:r w:rsidR="009D73F7" w:rsidRPr="00E25833">
        <w:rPr>
          <w:rFonts w:ascii="Times New Roman" w:hAnsi="Times New Roman" w:cs="Times New Roman"/>
          <w:sz w:val="28"/>
          <w:szCs w:val="28"/>
        </w:rPr>
        <w:t>m</w:t>
      </w:r>
      <w:r w:rsidR="001960E7" w:rsidRPr="00E25833">
        <w:rPr>
          <w:rFonts w:ascii="Times New Roman" w:hAnsi="Times New Roman" w:cs="Times New Roman"/>
          <w:sz w:val="28"/>
          <w:szCs w:val="28"/>
        </w:rPr>
        <w:t xml:space="preserve">inistrijas, Finanšu </w:t>
      </w:r>
      <w:r w:rsidR="009D73F7" w:rsidRPr="00E25833">
        <w:rPr>
          <w:rFonts w:ascii="Times New Roman" w:hAnsi="Times New Roman" w:cs="Times New Roman"/>
          <w:sz w:val="28"/>
          <w:szCs w:val="28"/>
        </w:rPr>
        <w:t>m</w:t>
      </w:r>
      <w:r w:rsidR="001960E7" w:rsidRPr="00E25833">
        <w:rPr>
          <w:rFonts w:ascii="Times New Roman" w:hAnsi="Times New Roman" w:cs="Times New Roman"/>
          <w:sz w:val="28"/>
          <w:szCs w:val="28"/>
        </w:rPr>
        <w:t xml:space="preserve">inistrijas, </w:t>
      </w:r>
      <w:r w:rsidR="000E13F0" w:rsidRPr="00E25833">
        <w:rPr>
          <w:rFonts w:ascii="Times New Roman" w:hAnsi="Times New Roman" w:cs="Times New Roman"/>
          <w:sz w:val="28"/>
          <w:szCs w:val="28"/>
        </w:rPr>
        <w:t>VID</w:t>
      </w:r>
      <w:r w:rsidR="001960E7" w:rsidRPr="00E25833">
        <w:rPr>
          <w:rFonts w:ascii="Times New Roman" w:hAnsi="Times New Roman" w:cs="Times New Roman"/>
          <w:sz w:val="28"/>
          <w:szCs w:val="28"/>
        </w:rPr>
        <w:t xml:space="preserve">, </w:t>
      </w:r>
      <w:r w:rsidR="000E13F0" w:rsidRPr="00E25833">
        <w:rPr>
          <w:rFonts w:ascii="Times New Roman" w:hAnsi="Times New Roman" w:cs="Times New Roman"/>
          <w:sz w:val="28"/>
          <w:szCs w:val="28"/>
        </w:rPr>
        <w:t>VDI</w:t>
      </w:r>
      <w:r w:rsidR="001960E7" w:rsidRPr="00E25833">
        <w:rPr>
          <w:rFonts w:ascii="Times New Roman" w:hAnsi="Times New Roman" w:cs="Times New Roman"/>
          <w:sz w:val="28"/>
          <w:szCs w:val="28"/>
        </w:rPr>
        <w:t xml:space="preserve">, </w:t>
      </w:r>
      <w:r w:rsidR="000E13F0" w:rsidRPr="00E25833">
        <w:rPr>
          <w:rFonts w:ascii="Times New Roman" w:hAnsi="Times New Roman" w:cs="Times New Roman"/>
          <w:sz w:val="28"/>
          <w:szCs w:val="28"/>
        </w:rPr>
        <w:t>CSP</w:t>
      </w:r>
      <w:r w:rsidR="001960E7" w:rsidRPr="00E25833">
        <w:rPr>
          <w:rFonts w:ascii="Times New Roman" w:hAnsi="Times New Roman" w:cs="Times New Roman"/>
          <w:sz w:val="28"/>
          <w:szCs w:val="28"/>
        </w:rPr>
        <w:t xml:space="preserve"> un EDLUS izstrādātāju pārstāvji</w:t>
      </w:r>
      <w:r w:rsidR="003E12D1">
        <w:rPr>
          <w:rFonts w:ascii="Times New Roman" w:hAnsi="Times New Roman" w:cs="Times New Roman"/>
          <w:sz w:val="28"/>
          <w:szCs w:val="28"/>
        </w:rPr>
        <w:t>em</w:t>
      </w:r>
      <w:r w:rsidR="001960E7" w:rsidRPr="00E25833">
        <w:rPr>
          <w:rFonts w:ascii="Times New Roman" w:hAnsi="Times New Roman" w:cs="Times New Roman"/>
          <w:sz w:val="28"/>
          <w:szCs w:val="28"/>
        </w:rPr>
        <w:t>.</w:t>
      </w:r>
      <w:r w:rsidR="003842FE" w:rsidRPr="00E25833">
        <w:rPr>
          <w:rFonts w:ascii="Times New Roman" w:hAnsi="Times New Roman" w:cs="Times New Roman"/>
          <w:sz w:val="28"/>
          <w:szCs w:val="28"/>
        </w:rPr>
        <w:t xml:space="preserve"> Programmatūras </w:t>
      </w:r>
      <w:proofErr w:type="spellStart"/>
      <w:r w:rsidR="003842FE" w:rsidRPr="00E25833">
        <w:rPr>
          <w:rFonts w:ascii="Times New Roman" w:hAnsi="Times New Roman" w:cs="Times New Roman"/>
          <w:sz w:val="28"/>
          <w:szCs w:val="28"/>
        </w:rPr>
        <w:t>akcepttestēšana</w:t>
      </w:r>
      <w:proofErr w:type="spellEnd"/>
      <w:r w:rsidR="003842FE" w:rsidRPr="00E25833">
        <w:rPr>
          <w:rFonts w:ascii="Times New Roman" w:hAnsi="Times New Roman" w:cs="Times New Roman"/>
          <w:sz w:val="28"/>
          <w:szCs w:val="28"/>
        </w:rPr>
        <w:t xml:space="preserve"> norisinājās no 2019.gada novembra līdz 15.decembrim. </w:t>
      </w:r>
      <w:r w:rsidR="005A13D0" w:rsidRPr="00E25833">
        <w:rPr>
          <w:rFonts w:ascii="Times New Roman" w:hAnsi="Times New Roman" w:cs="Times New Roman"/>
          <w:sz w:val="28"/>
          <w:szCs w:val="28"/>
        </w:rPr>
        <w:t xml:space="preserve">VEDLUDB produkcijas vidē </w:t>
      </w:r>
      <w:r w:rsidR="003E12D1">
        <w:rPr>
          <w:rFonts w:ascii="Times New Roman" w:hAnsi="Times New Roman" w:cs="Times New Roman"/>
          <w:sz w:val="28"/>
          <w:szCs w:val="28"/>
        </w:rPr>
        <w:t xml:space="preserve">ieviesa </w:t>
      </w:r>
      <w:r w:rsidR="005A13D0" w:rsidRPr="00E25833">
        <w:rPr>
          <w:rFonts w:ascii="Times New Roman" w:hAnsi="Times New Roman" w:cs="Times New Roman"/>
          <w:sz w:val="28"/>
          <w:szCs w:val="28"/>
        </w:rPr>
        <w:t xml:space="preserve">2020.gada 3.februārī. </w:t>
      </w:r>
      <w:r w:rsidR="003E12D1">
        <w:rPr>
          <w:rFonts w:ascii="Times New Roman" w:hAnsi="Times New Roman" w:cs="Times New Roman"/>
          <w:sz w:val="28"/>
          <w:szCs w:val="28"/>
        </w:rPr>
        <w:t>“</w:t>
      </w:r>
      <w:proofErr w:type="spellStart"/>
      <w:r w:rsidR="003842FE" w:rsidRPr="00E25833">
        <w:rPr>
          <w:rFonts w:ascii="Times New Roman" w:hAnsi="Times New Roman" w:cs="Times New Roman"/>
          <w:sz w:val="28"/>
          <w:szCs w:val="28"/>
        </w:rPr>
        <w:t>Hash</w:t>
      </w:r>
      <w:proofErr w:type="spellEnd"/>
      <w:r w:rsidR="003E12D1">
        <w:rPr>
          <w:rFonts w:ascii="Times New Roman" w:hAnsi="Times New Roman" w:cs="Times New Roman"/>
          <w:sz w:val="28"/>
          <w:szCs w:val="28"/>
        </w:rPr>
        <w:t>”</w:t>
      </w:r>
      <w:r w:rsidR="005A13D0" w:rsidRPr="00E25833">
        <w:rPr>
          <w:rFonts w:ascii="Times New Roman" w:hAnsi="Times New Roman" w:cs="Times New Roman"/>
          <w:sz w:val="28"/>
          <w:szCs w:val="28"/>
        </w:rPr>
        <w:t xml:space="preserve"> </w:t>
      </w:r>
      <w:r w:rsidR="003842FE" w:rsidRPr="00E25833">
        <w:rPr>
          <w:rFonts w:ascii="Times New Roman" w:hAnsi="Times New Roman" w:cs="Times New Roman"/>
          <w:sz w:val="28"/>
          <w:szCs w:val="28"/>
        </w:rPr>
        <w:t>kontrolsummu programmatūras pilnveidojumi tika veikti 2020.gada sākumā</w:t>
      </w:r>
      <w:r w:rsidR="003D2EFD">
        <w:rPr>
          <w:rFonts w:ascii="Times New Roman" w:hAnsi="Times New Roman" w:cs="Times New Roman"/>
          <w:sz w:val="28"/>
          <w:szCs w:val="28"/>
        </w:rPr>
        <w:t>,</w:t>
      </w:r>
      <w:r w:rsidR="003842FE" w:rsidRPr="00E25833">
        <w:rPr>
          <w:rFonts w:ascii="Times New Roman" w:hAnsi="Times New Roman" w:cs="Times New Roman"/>
          <w:sz w:val="28"/>
          <w:szCs w:val="28"/>
        </w:rPr>
        <w:t xml:space="preserve"> un </w:t>
      </w:r>
      <w:r w:rsidR="00B00D98" w:rsidRPr="00E25833">
        <w:rPr>
          <w:rFonts w:ascii="Times New Roman" w:hAnsi="Times New Roman" w:cs="Times New Roman"/>
          <w:sz w:val="28"/>
          <w:szCs w:val="28"/>
        </w:rPr>
        <w:t>tā</w:t>
      </w:r>
      <w:r w:rsidR="003D2EFD">
        <w:rPr>
          <w:rFonts w:ascii="Times New Roman" w:hAnsi="Times New Roman" w:cs="Times New Roman"/>
          <w:sz w:val="28"/>
          <w:szCs w:val="28"/>
        </w:rPr>
        <w:t>s</w:t>
      </w:r>
      <w:r w:rsidR="00B00D98" w:rsidRPr="00E25833">
        <w:rPr>
          <w:rFonts w:ascii="Times New Roman" w:hAnsi="Times New Roman" w:cs="Times New Roman"/>
          <w:sz w:val="28"/>
          <w:szCs w:val="28"/>
        </w:rPr>
        <w:t xml:space="preserve"> </w:t>
      </w:r>
      <w:r w:rsidR="003842FE" w:rsidRPr="00E25833">
        <w:rPr>
          <w:rFonts w:ascii="Times New Roman" w:hAnsi="Times New Roman" w:cs="Times New Roman"/>
          <w:sz w:val="28"/>
          <w:szCs w:val="28"/>
        </w:rPr>
        <w:t>funkcionalitāte VEDLUDB produkcijā tika iedarbināta 2020.gada 1.aprīlī.</w:t>
      </w:r>
    </w:p>
    <w:p w14:paraId="123ACE87" w14:textId="77777777" w:rsidR="00FC3218" w:rsidRDefault="00FC3218" w:rsidP="003D2EFD">
      <w:pPr>
        <w:pStyle w:val="NoSpacing"/>
        <w:spacing w:before="0"/>
        <w:ind w:firstLine="720"/>
        <w:jc w:val="both"/>
        <w:rPr>
          <w:rFonts w:ascii="Times New Roman" w:hAnsi="Times New Roman" w:cs="Times New Roman"/>
          <w:sz w:val="28"/>
          <w:szCs w:val="28"/>
        </w:rPr>
      </w:pPr>
      <w:r w:rsidRPr="00FC3218">
        <w:rPr>
          <w:rFonts w:ascii="Times New Roman" w:hAnsi="Times New Roman" w:cs="Times New Roman"/>
          <w:sz w:val="28"/>
          <w:szCs w:val="28"/>
        </w:rPr>
        <w:t>BVKB</w:t>
      </w:r>
      <w:r w:rsidR="008A5C36">
        <w:rPr>
          <w:rFonts w:ascii="Times New Roman" w:hAnsi="Times New Roman" w:cs="Times New Roman"/>
          <w:sz w:val="28"/>
          <w:szCs w:val="28"/>
        </w:rPr>
        <w:t xml:space="preserve"> ir </w:t>
      </w:r>
      <w:r w:rsidR="003E12D1" w:rsidRPr="003E12D1">
        <w:rPr>
          <w:rFonts w:ascii="Times New Roman" w:hAnsi="Times New Roman" w:cs="Times New Roman"/>
          <w:sz w:val="28"/>
          <w:szCs w:val="28"/>
        </w:rPr>
        <w:t xml:space="preserve">VEDLUDB </w:t>
      </w:r>
      <w:r w:rsidR="008A5C36" w:rsidRPr="008A5C36">
        <w:rPr>
          <w:rFonts w:ascii="Times New Roman" w:hAnsi="Times New Roman" w:cs="Times New Roman"/>
          <w:sz w:val="28"/>
          <w:szCs w:val="28"/>
        </w:rPr>
        <w:t>pārzinis un turētājs</w:t>
      </w:r>
      <w:r w:rsidR="008A5C36">
        <w:rPr>
          <w:rFonts w:ascii="Times New Roman" w:hAnsi="Times New Roman" w:cs="Times New Roman"/>
          <w:sz w:val="28"/>
          <w:szCs w:val="28"/>
        </w:rPr>
        <w:t xml:space="preserve"> un i</w:t>
      </w:r>
      <w:r w:rsidRPr="00FC3218">
        <w:rPr>
          <w:rFonts w:ascii="Times New Roman" w:hAnsi="Times New Roman" w:cs="Times New Roman"/>
          <w:sz w:val="28"/>
          <w:szCs w:val="28"/>
        </w:rPr>
        <w:t>r atbildīgs par datu pieejamību, konfidencialitāti un integritāti, nodrošinot atbilstību EDLU</w:t>
      </w:r>
      <w:r w:rsidR="001650ED">
        <w:rPr>
          <w:rFonts w:ascii="Times New Roman" w:hAnsi="Times New Roman" w:cs="Times New Roman"/>
          <w:sz w:val="28"/>
          <w:szCs w:val="28"/>
        </w:rPr>
        <w:t>S</w:t>
      </w:r>
      <w:r w:rsidRPr="00FC3218">
        <w:rPr>
          <w:rFonts w:ascii="Times New Roman" w:hAnsi="Times New Roman" w:cs="Times New Roman"/>
          <w:sz w:val="28"/>
          <w:szCs w:val="28"/>
        </w:rPr>
        <w:t xml:space="preserve"> iesniegtajiem datiem.</w:t>
      </w:r>
      <w:r w:rsidRPr="00E25833">
        <w:rPr>
          <w:rFonts w:ascii="Times New Roman" w:hAnsi="Times New Roman" w:cs="Times New Roman"/>
          <w:sz w:val="28"/>
          <w:szCs w:val="28"/>
        </w:rPr>
        <w:t xml:space="preserve"> </w:t>
      </w:r>
    </w:p>
    <w:p w14:paraId="7511CC3C" w14:textId="4A8AEF67" w:rsidR="003842FE" w:rsidRPr="00E25833" w:rsidRDefault="003842FE" w:rsidP="00FA5A60">
      <w:pPr>
        <w:pStyle w:val="NoSpacing"/>
        <w:spacing w:before="0"/>
        <w:ind w:firstLine="720"/>
        <w:jc w:val="both"/>
        <w:rPr>
          <w:rFonts w:ascii="Times New Roman" w:hAnsi="Times New Roman" w:cs="Times New Roman"/>
          <w:sz w:val="28"/>
          <w:szCs w:val="28"/>
        </w:rPr>
      </w:pPr>
      <w:bookmarkStart w:id="19" w:name="_Hlk42529005"/>
      <w:r w:rsidRPr="00E25833">
        <w:rPr>
          <w:rFonts w:ascii="Times New Roman" w:hAnsi="Times New Roman" w:cs="Times New Roman"/>
          <w:sz w:val="28"/>
          <w:szCs w:val="28"/>
        </w:rPr>
        <w:t>Kopum</w:t>
      </w:r>
      <w:r w:rsidR="005A13D0" w:rsidRPr="00E25833">
        <w:rPr>
          <w:rFonts w:ascii="Times New Roman" w:hAnsi="Times New Roman" w:cs="Times New Roman"/>
          <w:sz w:val="28"/>
          <w:szCs w:val="28"/>
        </w:rPr>
        <w:t>ā</w:t>
      </w:r>
      <w:r w:rsidRPr="00E25833">
        <w:rPr>
          <w:rFonts w:ascii="Times New Roman" w:hAnsi="Times New Roman" w:cs="Times New Roman"/>
          <w:sz w:val="28"/>
          <w:szCs w:val="28"/>
        </w:rPr>
        <w:t xml:space="preserve"> uz 2020.gada 24.martu VEDLUDB reģistrēto būvlaukumu būvdarbu līgumu kopējā summa </w:t>
      </w:r>
      <w:r w:rsidR="008A5C36">
        <w:rPr>
          <w:rFonts w:ascii="Times New Roman" w:hAnsi="Times New Roman" w:cs="Times New Roman"/>
          <w:sz w:val="28"/>
          <w:szCs w:val="28"/>
        </w:rPr>
        <w:t xml:space="preserve">ir </w:t>
      </w:r>
      <w:r w:rsidR="00B83D1A">
        <w:rPr>
          <w:rFonts w:ascii="Times New Roman" w:hAnsi="Times New Roman" w:cs="Times New Roman"/>
          <w:sz w:val="28"/>
          <w:szCs w:val="28"/>
        </w:rPr>
        <w:t>3,7</w:t>
      </w:r>
      <w:r w:rsidR="003D2EFD">
        <w:rPr>
          <w:rFonts w:ascii="Times New Roman" w:hAnsi="Times New Roman" w:cs="Times New Roman"/>
          <w:sz w:val="28"/>
          <w:szCs w:val="28"/>
        </w:rPr>
        <w:t> </w:t>
      </w:r>
      <w:r w:rsidRPr="00E25833">
        <w:rPr>
          <w:rFonts w:ascii="Times New Roman" w:hAnsi="Times New Roman" w:cs="Times New Roman"/>
          <w:sz w:val="28"/>
          <w:szCs w:val="28"/>
        </w:rPr>
        <w:t>miljard</w:t>
      </w:r>
      <w:r w:rsidR="003D2EFD">
        <w:rPr>
          <w:rFonts w:ascii="Times New Roman" w:hAnsi="Times New Roman" w:cs="Times New Roman"/>
          <w:sz w:val="28"/>
          <w:szCs w:val="28"/>
        </w:rPr>
        <w:t>i</w:t>
      </w:r>
      <w:r w:rsidR="009D73F7" w:rsidRPr="00E25833">
        <w:rPr>
          <w:rFonts w:ascii="Times New Roman" w:hAnsi="Times New Roman" w:cs="Times New Roman"/>
          <w:sz w:val="28"/>
          <w:szCs w:val="28"/>
        </w:rPr>
        <w:t xml:space="preserve"> </w:t>
      </w:r>
      <w:proofErr w:type="spellStart"/>
      <w:r w:rsidR="001155D8" w:rsidRPr="006610D8">
        <w:rPr>
          <w:rFonts w:ascii="Times New Roman" w:eastAsia="Calibri" w:hAnsi="Times New Roman"/>
          <w:i/>
          <w:iCs/>
          <w:sz w:val="28"/>
          <w:szCs w:val="28"/>
        </w:rPr>
        <w:t>euro</w:t>
      </w:r>
      <w:proofErr w:type="spellEnd"/>
      <w:r w:rsidRPr="001155D8">
        <w:rPr>
          <w:rFonts w:ascii="Times New Roman" w:hAnsi="Times New Roman" w:cs="Times New Roman"/>
          <w:sz w:val="28"/>
          <w:szCs w:val="28"/>
        </w:rPr>
        <w:t>,</w:t>
      </w:r>
      <w:r w:rsidRPr="00E25833">
        <w:rPr>
          <w:rFonts w:ascii="Times New Roman" w:hAnsi="Times New Roman" w:cs="Times New Roman"/>
          <w:sz w:val="28"/>
          <w:szCs w:val="28"/>
        </w:rPr>
        <w:t xml:space="preserve"> no </w:t>
      </w:r>
      <w:r w:rsidR="003D2EFD">
        <w:rPr>
          <w:rFonts w:ascii="Times New Roman" w:hAnsi="Times New Roman" w:cs="Times New Roman"/>
          <w:sz w:val="28"/>
          <w:szCs w:val="28"/>
        </w:rPr>
        <w:t>tiem</w:t>
      </w:r>
      <w:r w:rsidRPr="00E25833">
        <w:rPr>
          <w:rFonts w:ascii="Times New Roman" w:hAnsi="Times New Roman" w:cs="Times New Roman"/>
          <w:sz w:val="28"/>
          <w:szCs w:val="28"/>
        </w:rPr>
        <w:t xml:space="preserve"> aptuveni 37</w:t>
      </w:r>
      <w:r w:rsidR="003D2EFD">
        <w:rPr>
          <w:rFonts w:ascii="Times New Roman" w:hAnsi="Times New Roman" w:cs="Times New Roman"/>
          <w:sz w:val="28"/>
          <w:szCs w:val="28"/>
        </w:rPr>
        <w:t> </w:t>
      </w:r>
      <w:r w:rsidRPr="00E25833">
        <w:rPr>
          <w:rFonts w:ascii="Times New Roman" w:hAnsi="Times New Roman" w:cs="Times New Roman"/>
          <w:sz w:val="28"/>
          <w:szCs w:val="28"/>
        </w:rPr>
        <w:t xml:space="preserve">% </w:t>
      </w:r>
      <w:r w:rsidR="009D73F7" w:rsidRPr="00E25833">
        <w:rPr>
          <w:rFonts w:ascii="Times New Roman" w:hAnsi="Times New Roman" w:cs="Times New Roman"/>
          <w:sz w:val="28"/>
          <w:szCs w:val="28"/>
        </w:rPr>
        <w:t xml:space="preserve">ir </w:t>
      </w:r>
      <w:r w:rsidRPr="00E25833">
        <w:rPr>
          <w:rFonts w:ascii="Times New Roman" w:hAnsi="Times New Roman" w:cs="Times New Roman"/>
          <w:sz w:val="28"/>
          <w:szCs w:val="28"/>
        </w:rPr>
        <w:t>par būvdarbu izpildi Rīgas un Pierīgas teritorijās.</w:t>
      </w:r>
      <w:r w:rsidR="001757A5" w:rsidRPr="00E25833">
        <w:rPr>
          <w:rFonts w:ascii="Times New Roman" w:hAnsi="Times New Roman" w:cs="Times New Roman"/>
          <w:sz w:val="28"/>
          <w:szCs w:val="28"/>
        </w:rPr>
        <w:tab/>
      </w:r>
    </w:p>
    <w:p w14:paraId="46D506AB" w14:textId="77777777" w:rsidR="001B281A" w:rsidRPr="00E716F3" w:rsidRDefault="00E716F3" w:rsidP="001B281A">
      <w:pPr>
        <w:spacing w:before="0" w:after="0" w:line="240" w:lineRule="auto"/>
        <w:ind w:firstLine="720"/>
        <w:jc w:val="right"/>
        <w:rPr>
          <w:rFonts w:ascii="Times New Roman" w:eastAsia="Calibri" w:hAnsi="Times New Roman" w:cs="Times New Roman"/>
          <w:sz w:val="28"/>
          <w:szCs w:val="22"/>
        </w:rPr>
      </w:pPr>
      <w:r w:rsidRPr="00E716F3">
        <w:rPr>
          <w:rFonts w:ascii="Times New Roman" w:eastAsia="Calibri" w:hAnsi="Times New Roman" w:cs="Times New Roman"/>
          <w:sz w:val="28"/>
          <w:szCs w:val="22"/>
        </w:rPr>
        <w:t>4</w:t>
      </w:r>
      <w:r w:rsidR="001B281A" w:rsidRPr="00E716F3">
        <w:rPr>
          <w:rFonts w:ascii="Times New Roman" w:eastAsia="Calibri" w:hAnsi="Times New Roman" w:cs="Times New Roman"/>
          <w:sz w:val="28"/>
          <w:szCs w:val="22"/>
        </w:rPr>
        <w:t>.tabula</w:t>
      </w:r>
    </w:p>
    <w:p w14:paraId="756DA51C" w14:textId="77777777" w:rsidR="001B281A" w:rsidRPr="00E25833" w:rsidRDefault="001B281A" w:rsidP="001B281A">
      <w:pPr>
        <w:spacing w:before="0" w:after="0" w:line="240" w:lineRule="auto"/>
        <w:jc w:val="center"/>
        <w:rPr>
          <w:rFonts w:ascii="Times New Roman" w:eastAsia="Calibri" w:hAnsi="Times New Roman" w:cs="Times New Roman"/>
          <w:b/>
          <w:sz w:val="28"/>
          <w:szCs w:val="28"/>
        </w:rPr>
      </w:pPr>
      <w:r w:rsidRPr="00E25833">
        <w:rPr>
          <w:rFonts w:ascii="Times New Roman" w:eastAsia="Calibri" w:hAnsi="Times New Roman" w:cs="Times New Roman"/>
          <w:b/>
          <w:sz w:val="28"/>
          <w:szCs w:val="28"/>
        </w:rPr>
        <w:t>Informācija par VEDLUDB uzkrātajiem datiem</w:t>
      </w:r>
    </w:p>
    <w:p w14:paraId="0A641EF5" w14:textId="77777777" w:rsidR="001B281A" w:rsidRPr="00E25833" w:rsidRDefault="001B281A" w:rsidP="001B281A">
      <w:pPr>
        <w:spacing w:before="0" w:after="0" w:line="240" w:lineRule="auto"/>
        <w:rPr>
          <w:rFonts w:ascii="Times New Roman" w:eastAsia="Calibri" w:hAnsi="Times New Roman" w:cs="Times New Roman"/>
        </w:rPr>
      </w:pPr>
      <w:r w:rsidRPr="00E25833">
        <w:rPr>
          <w:rFonts w:ascii="Times New Roman" w:eastAsia="Calibri" w:hAnsi="Times New Roman" w:cs="Times New Roman"/>
        </w:rPr>
        <w:t>Dati uz 2020.gada 24.martu</w:t>
      </w:r>
    </w:p>
    <w:tbl>
      <w:tblPr>
        <w:tblStyle w:val="TableGrid2"/>
        <w:tblW w:w="8502" w:type="dxa"/>
        <w:tblInd w:w="-5" w:type="dxa"/>
        <w:tblLook w:val="04A0" w:firstRow="1" w:lastRow="0" w:firstColumn="1" w:lastColumn="0" w:noHBand="0" w:noVBand="1"/>
      </w:tblPr>
      <w:tblGrid>
        <w:gridCol w:w="6801"/>
        <w:gridCol w:w="1701"/>
      </w:tblGrid>
      <w:tr w:rsidR="001B281A" w:rsidRPr="00E25833" w14:paraId="2B4E7083" w14:textId="77777777" w:rsidTr="001B281A">
        <w:trPr>
          <w:trHeight w:val="234"/>
        </w:trPr>
        <w:tc>
          <w:tcPr>
            <w:tcW w:w="6801" w:type="dxa"/>
            <w:noWrap/>
          </w:tcPr>
          <w:p w14:paraId="3E04532D" w14:textId="77777777" w:rsidR="001B281A" w:rsidRPr="00E25833" w:rsidRDefault="001B281A" w:rsidP="008811BA">
            <w:pPr>
              <w:jc w:val="both"/>
              <w:rPr>
                <w:rFonts w:ascii="Times New Roman" w:eastAsia="Calibri" w:hAnsi="Times New Roman"/>
                <w:sz w:val="18"/>
                <w:szCs w:val="18"/>
              </w:rPr>
            </w:pPr>
            <w:r w:rsidRPr="00E25833">
              <w:rPr>
                <w:rFonts w:ascii="Times New Roman" w:eastAsia="Calibri" w:hAnsi="Times New Roman"/>
                <w:sz w:val="18"/>
                <w:szCs w:val="18"/>
              </w:rPr>
              <w:t>Reģistrēto būvlaukumu skaits</w:t>
            </w:r>
          </w:p>
        </w:tc>
        <w:tc>
          <w:tcPr>
            <w:tcW w:w="1701" w:type="dxa"/>
          </w:tcPr>
          <w:p w14:paraId="46F7CBB3" w14:textId="77777777" w:rsidR="001B281A" w:rsidRPr="00E25833" w:rsidRDefault="001B281A" w:rsidP="008811BA">
            <w:pPr>
              <w:ind w:firstLine="25"/>
              <w:jc w:val="center"/>
              <w:rPr>
                <w:rFonts w:ascii="Times New Roman" w:eastAsia="Calibri" w:hAnsi="Times New Roman"/>
                <w:b/>
                <w:sz w:val="18"/>
                <w:szCs w:val="18"/>
              </w:rPr>
            </w:pPr>
            <w:r w:rsidRPr="00E25833">
              <w:rPr>
                <w:rFonts w:ascii="Times New Roman" w:eastAsia="Calibri" w:hAnsi="Times New Roman"/>
                <w:b/>
                <w:sz w:val="18"/>
                <w:szCs w:val="18"/>
              </w:rPr>
              <w:t>369</w:t>
            </w:r>
          </w:p>
        </w:tc>
      </w:tr>
      <w:tr w:rsidR="001B281A" w:rsidRPr="00E25833" w14:paraId="0F703396" w14:textId="77777777" w:rsidTr="001B281A">
        <w:trPr>
          <w:trHeight w:val="234"/>
        </w:trPr>
        <w:tc>
          <w:tcPr>
            <w:tcW w:w="6801" w:type="dxa"/>
            <w:noWrap/>
          </w:tcPr>
          <w:p w14:paraId="7B3F2D4C" w14:textId="77777777" w:rsidR="001B281A" w:rsidRPr="00E25833" w:rsidRDefault="001B281A" w:rsidP="008811BA">
            <w:pPr>
              <w:jc w:val="both"/>
              <w:rPr>
                <w:rFonts w:ascii="Times New Roman" w:eastAsia="Calibri" w:hAnsi="Times New Roman"/>
                <w:sz w:val="18"/>
                <w:szCs w:val="18"/>
              </w:rPr>
            </w:pPr>
            <w:r w:rsidRPr="00E25833">
              <w:rPr>
                <w:rFonts w:ascii="Times New Roman" w:eastAsia="Calibri" w:hAnsi="Times New Roman"/>
                <w:sz w:val="18"/>
                <w:szCs w:val="18"/>
              </w:rPr>
              <w:t xml:space="preserve">Reģistrējušies </w:t>
            </w:r>
            <w:r w:rsidR="003D2EFD">
              <w:rPr>
                <w:rFonts w:ascii="Times New Roman" w:eastAsia="Calibri" w:hAnsi="Times New Roman"/>
                <w:sz w:val="18"/>
                <w:szCs w:val="18"/>
              </w:rPr>
              <w:t>g</w:t>
            </w:r>
            <w:r w:rsidRPr="00E25833">
              <w:rPr>
                <w:rFonts w:ascii="Times New Roman" w:eastAsia="Calibri" w:hAnsi="Times New Roman"/>
                <w:sz w:val="18"/>
                <w:szCs w:val="18"/>
              </w:rPr>
              <w:t>alvenie būvdarbu veicēji</w:t>
            </w:r>
          </w:p>
        </w:tc>
        <w:tc>
          <w:tcPr>
            <w:tcW w:w="1701" w:type="dxa"/>
            <w:tcBorders>
              <w:top w:val="single" w:sz="4" w:space="0" w:color="auto"/>
              <w:left w:val="single" w:sz="4" w:space="0" w:color="auto"/>
              <w:bottom w:val="single" w:sz="4" w:space="0" w:color="auto"/>
              <w:right w:val="single" w:sz="4" w:space="0" w:color="auto"/>
            </w:tcBorders>
          </w:tcPr>
          <w:p w14:paraId="41B9C966" w14:textId="77777777" w:rsidR="001B281A" w:rsidRPr="00E25833" w:rsidRDefault="001B281A" w:rsidP="008811BA">
            <w:pPr>
              <w:ind w:firstLine="25"/>
              <w:jc w:val="center"/>
              <w:rPr>
                <w:rFonts w:ascii="Times New Roman" w:eastAsia="Calibri" w:hAnsi="Times New Roman"/>
                <w:sz w:val="18"/>
                <w:szCs w:val="18"/>
              </w:rPr>
            </w:pPr>
            <w:r w:rsidRPr="00E25833">
              <w:rPr>
                <w:rFonts w:ascii="Times New Roman" w:eastAsia="Calibri" w:hAnsi="Times New Roman"/>
                <w:sz w:val="18"/>
                <w:szCs w:val="18"/>
              </w:rPr>
              <w:t>157</w:t>
            </w:r>
          </w:p>
        </w:tc>
      </w:tr>
      <w:tr w:rsidR="001B281A" w:rsidRPr="00E25833" w14:paraId="62C8CAB4" w14:textId="77777777" w:rsidTr="001B281A">
        <w:trPr>
          <w:trHeight w:val="234"/>
        </w:trPr>
        <w:tc>
          <w:tcPr>
            <w:tcW w:w="6801" w:type="dxa"/>
            <w:noWrap/>
            <w:hideMark/>
          </w:tcPr>
          <w:p w14:paraId="5E77B9B0" w14:textId="77777777" w:rsidR="001B281A" w:rsidRPr="00E25833" w:rsidRDefault="003D2EFD" w:rsidP="008811BA">
            <w:pPr>
              <w:jc w:val="both"/>
              <w:rPr>
                <w:rFonts w:ascii="Times New Roman" w:eastAsia="Calibri" w:hAnsi="Times New Roman"/>
                <w:sz w:val="18"/>
                <w:szCs w:val="18"/>
              </w:rPr>
            </w:pPr>
            <w:r>
              <w:rPr>
                <w:rFonts w:ascii="Times New Roman" w:eastAsia="Calibri" w:hAnsi="Times New Roman"/>
                <w:sz w:val="18"/>
                <w:szCs w:val="18"/>
              </w:rPr>
              <w:t>Pārskatos</w:t>
            </w:r>
            <w:r w:rsidR="001B281A" w:rsidRPr="00E25833">
              <w:rPr>
                <w:rFonts w:ascii="Times New Roman" w:eastAsia="Calibri" w:hAnsi="Times New Roman"/>
                <w:sz w:val="18"/>
                <w:szCs w:val="18"/>
              </w:rPr>
              <w:t xml:space="preserve"> norādīto unikālo darba devēju skaits</w:t>
            </w:r>
          </w:p>
        </w:tc>
        <w:tc>
          <w:tcPr>
            <w:tcW w:w="1701" w:type="dxa"/>
            <w:tcBorders>
              <w:top w:val="single" w:sz="4" w:space="0" w:color="auto"/>
              <w:left w:val="single" w:sz="4" w:space="0" w:color="auto"/>
              <w:bottom w:val="single" w:sz="4" w:space="0" w:color="auto"/>
              <w:right w:val="single" w:sz="4" w:space="0" w:color="auto"/>
            </w:tcBorders>
          </w:tcPr>
          <w:p w14:paraId="321B779F" w14:textId="77777777" w:rsidR="001B281A" w:rsidRPr="00E25833" w:rsidRDefault="001B281A" w:rsidP="008811BA">
            <w:pPr>
              <w:ind w:firstLine="25"/>
              <w:jc w:val="center"/>
              <w:rPr>
                <w:rFonts w:ascii="Times New Roman" w:eastAsia="Calibri" w:hAnsi="Times New Roman"/>
                <w:sz w:val="18"/>
                <w:szCs w:val="18"/>
              </w:rPr>
            </w:pPr>
            <w:r w:rsidRPr="00E25833">
              <w:rPr>
                <w:rFonts w:ascii="Times New Roman" w:eastAsia="Calibri" w:hAnsi="Times New Roman"/>
                <w:sz w:val="18"/>
                <w:szCs w:val="18"/>
              </w:rPr>
              <w:t>2086</w:t>
            </w:r>
          </w:p>
        </w:tc>
      </w:tr>
      <w:tr w:rsidR="001B281A" w:rsidRPr="00E25833" w14:paraId="04CF15B5" w14:textId="77777777" w:rsidTr="001B281A">
        <w:trPr>
          <w:trHeight w:val="234"/>
        </w:trPr>
        <w:tc>
          <w:tcPr>
            <w:tcW w:w="6801" w:type="dxa"/>
            <w:noWrap/>
            <w:hideMark/>
          </w:tcPr>
          <w:p w14:paraId="4C154138" w14:textId="77777777" w:rsidR="001B281A" w:rsidRPr="00E25833" w:rsidRDefault="001B281A" w:rsidP="008811BA">
            <w:pPr>
              <w:jc w:val="both"/>
              <w:rPr>
                <w:rFonts w:ascii="Times New Roman" w:eastAsia="Calibri" w:hAnsi="Times New Roman"/>
                <w:sz w:val="18"/>
                <w:szCs w:val="18"/>
              </w:rPr>
            </w:pPr>
            <w:r w:rsidRPr="00E25833">
              <w:rPr>
                <w:rFonts w:ascii="Times New Roman" w:eastAsia="Calibri" w:hAnsi="Times New Roman"/>
                <w:sz w:val="18"/>
                <w:szCs w:val="18"/>
              </w:rPr>
              <w:t>Reģistrēto apakšuzņēmēju (līgumi virs 15</w:t>
            </w:r>
            <w:r w:rsidR="000632B9">
              <w:rPr>
                <w:rFonts w:ascii="Times New Roman" w:eastAsia="Calibri" w:hAnsi="Times New Roman"/>
                <w:sz w:val="18"/>
                <w:szCs w:val="18"/>
              </w:rPr>
              <w:t xml:space="preserve"> tūkstošiem </w:t>
            </w:r>
            <w:proofErr w:type="spellStart"/>
            <w:r w:rsidR="000632B9" w:rsidRPr="005E08CF">
              <w:rPr>
                <w:rFonts w:ascii="Times New Roman" w:eastAsia="Calibri" w:hAnsi="Times New Roman"/>
                <w:i/>
                <w:iCs/>
                <w:sz w:val="18"/>
                <w:szCs w:val="18"/>
              </w:rPr>
              <w:t>euro</w:t>
            </w:r>
            <w:proofErr w:type="spellEnd"/>
            <w:r w:rsidRPr="00E25833">
              <w:rPr>
                <w:rFonts w:ascii="Times New Roman" w:eastAsia="Calibri" w:hAnsi="Times New Roman"/>
                <w:sz w:val="18"/>
                <w:szCs w:val="18"/>
              </w:rPr>
              <w:t>) skaits</w:t>
            </w:r>
          </w:p>
        </w:tc>
        <w:tc>
          <w:tcPr>
            <w:tcW w:w="1701" w:type="dxa"/>
          </w:tcPr>
          <w:p w14:paraId="6673D569" w14:textId="77777777" w:rsidR="001B281A" w:rsidRPr="00E25833" w:rsidRDefault="001B281A" w:rsidP="008811BA">
            <w:pPr>
              <w:ind w:firstLine="25"/>
              <w:jc w:val="center"/>
              <w:rPr>
                <w:rFonts w:ascii="Times New Roman" w:eastAsia="Calibri" w:hAnsi="Times New Roman"/>
                <w:sz w:val="18"/>
                <w:szCs w:val="18"/>
              </w:rPr>
            </w:pPr>
            <w:r w:rsidRPr="00E25833">
              <w:rPr>
                <w:rFonts w:ascii="Times New Roman" w:eastAsia="Calibri" w:hAnsi="Times New Roman"/>
                <w:sz w:val="18"/>
                <w:szCs w:val="18"/>
              </w:rPr>
              <w:t>909</w:t>
            </w:r>
          </w:p>
        </w:tc>
      </w:tr>
      <w:tr w:rsidR="001B281A" w:rsidRPr="00E25833" w14:paraId="491961A8" w14:textId="77777777" w:rsidTr="001B281A">
        <w:trPr>
          <w:trHeight w:val="234"/>
        </w:trPr>
        <w:tc>
          <w:tcPr>
            <w:tcW w:w="6801" w:type="dxa"/>
            <w:noWrap/>
          </w:tcPr>
          <w:p w14:paraId="17807E33" w14:textId="77777777" w:rsidR="001B281A" w:rsidRPr="00E25833" w:rsidRDefault="001B281A" w:rsidP="008811BA">
            <w:pPr>
              <w:jc w:val="both"/>
              <w:rPr>
                <w:rFonts w:ascii="Times New Roman" w:eastAsia="Calibri" w:hAnsi="Times New Roman"/>
                <w:sz w:val="18"/>
                <w:szCs w:val="18"/>
              </w:rPr>
            </w:pPr>
            <w:r w:rsidRPr="00E25833">
              <w:rPr>
                <w:rFonts w:ascii="Times New Roman" w:eastAsia="Calibri" w:hAnsi="Times New Roman"/>
                <w:sz w:val="18"/>
                <w:szCs w:val="18"/>
              </w:rPr>
              <w:t xml:space="preserve">Saņemto </w:t>
            </w:r>
            <w:r w:rsidR="003E12D1">
              <w:rPr>
                <w:rFonts w:ascii="Times New Roman" w:eastAsia="Calibri" w:hAnsi="Times New Roman"/>
                <w:sz w:val="18"/>
                <w:szCs w:val="18"/>
              </w:rPr>
              <w:t>“</w:t>
            </w:r>
            <w:proofErr w:type="spellStart"/>
            <w:r w:rsidR="008A5C36">
              <w:rPr>
                <w:rFonts w:ascii="Times New Roman" w:eastAsia="Calibri" w:hAnsi="Times New Roman"/>
                <w:sz w:val="18"/>
                <w:szCs w:val="18"/>
              </w:rPr>
              <w:t>H</w:t>
            </w:r>
            <w:r w:rsidRPr="00E25833">
              <w:rPr>
                <w:rFonts w:ascii="Times New Roman" w:eastAsia="Calibri" w:hAnsi="Times New Roman"/>
                <w:sz w:val="18"/>
                <w:szCs w:val="18"/>
              </w:rPr>
              <w:t>ash</w:t>
            </w:r>
            <w:proofErr w:type="spellEnd"/>
            <w:r w:rsidR="003E12D1">
              <w:rPr>
                <w:rFonts w:ascii="Times New Roman" w:eastAsia="Calibri" w:hAnsi="Times New Roman"/>
                <w:sz w:val="18"/>
                <w:szCs w:val="18"/>
              </w:rPr>
              <w:t>”</w:t>
            </w:r>
            <w:r w:rsidRPr="00E25833">
              <w:rPr>
                <w:rFonts w:ascii="Times New Roman" w:eastAsia="Calibri" w:hAnsi="Times New Roman"/>
                <w:sz w:val="18"/>
                <w:szCs w:val="18"/>
              </w:rPr>
              <w:t xml:space="preserve"> kontrolsummu skaits</w:t>
            </w:r>
          </w:p>
        </w:tc>
        <w:tc>
          <w:tcPr>
            <w:tcW w:w="1701" w:type="dxa"/>
          </w:tcPr>
          <w:p w14:paraId="37761BE8" w14:textId="77777777" w:rsidR="001B281A" w:rsidRPr="00E25833" w:rsidRDefault="001B281A" w:rsidP="008811BA">
            <w:pPr>
              <w:ind w:firstLine="25"/>
              <w:jc w:val="center"/>
              <w:rPr>
                <w:rFonts w:ascii="Times New Roman" w:eastAsia="Calibri" w:hAnsi="Times New Roman"/>
                <w:sz w:val="18"/>
                <w:szCs w:val="18"/>
              </w:rPr>
            </w:pPr>
            <w:r w:rsidRPr="00E25833">
              <w:rPr>
                <w:rFonts w:ascii="Times New Roman" w:eastAsia="Calibri" w:hAnsi="Times New Roman"/>
                <w:sz w:val="18"/>
                <w:szCs w:val="18"/>
              </w:rPr>
              <w:t>2666</w:t>
            </w:r>
          </w:p>
        </w:tc>
      </w:tr>
    </w:tbl>
    <w:p w14:paraId="6DC443B8" w14:textId="77777777" w:rsidR="00545CF3" w:rsidRDefault="00545CF3" w:rsidP="00FA5A60">
      <w:pPr>
        <w:pStyle w:val="NormalWeb"/>
        <w:spacing w:before="0" w:beforeAutospacing="0" w:after="0" w:afterAutospacing="0"/>
        <w:ind w:firstLine="720"/>
        <w:jc w:val="both"/>
        <w:rPr>
          <w:rFonts w:eastAsia="+mn-ea"/>
          <w:kern w:val="24"/>
          <w:sz w:val="28"/>
          <w:szCs w:val="28"/>
        </w:rPr>
      </w:pPr>
    </w:p>
    <w:bookmarkEnd w:id="19"/>
    <w:p w14:paraId="1D66D3F2" w14:textId="77777777" w:rsidR="00AB3B55" w:rsidRPr="00E25833" w:rsidRDefault="00716D16" w:rsidP="00FA5A60">
      <w:pPr>
        <w:pStyle w:val="NormalWeb"/>
        <w:spacing w:before="0" w:beforeAutospacing="0" w:after="0" w:afterAutospacing="0"/>
        <w:ind w:firstLine="720"/>
        <w:jc w:val="both"/>
        <w:rPr>
          <w:rFonts w:eastAsia="+mn-ea"/>
          <w:kern w:val="24"/>
          <w:sz w:val="28"/>
          <w:szCs w:val="28"/>
        </w:rPr>
      </w:pPr>
      <w:r w:rsidRPr="00E25833">
        <w:rPr>
          <w:rFonts w:eastAsia="+mn-ea"/>
          <w:kern w:val="24"/>
          <w:sz w:val="28"/>
          <w:szCs w:val="28"/>
        </w:rPr>
        <w:t>Saskaņ</w:t>
      </w:r>
      <w:r w:rsidR="009D73F7" w:rsidRPr="00E25833">
        <w:rPr>
          <w:rFonts w:eastAsia="+mn-ea"/>
          <w:kern w:val="24"/>
          <w:sz w:val="28"/>
          <w:szCs w:val="28"/>
        </w:rPr>
        <w:t>ā</w:t>
      </w:r>
      <w:r w:rsidRPr="00E25833">
        <w:rPr>
          <w:rFonts w:eastAsia="+mn-ea"/>
          <w:kern w:val="24"/>
          <w:sz w:val="28"/>
          <w:szCs w:val="28"/>
        </w:rPr>
        <w:t xml:space="preserve"> ar BVK</w:t>
      </w:r>
      <w:r w:rsidR="00FA5A60">
        <w:rPr>
          <w:rFonts w:eastAsia="+mn-ea"/>
          <w:kern w:val="24"/>
          <w:sz w:val="28"/>
          <w:szCs w:val="28"/>
        </w:rPr>
        <w:t>B</w:t>
      </w:r>
      <w:r w:rsidRPr="00E25833">
        <w:rPr>
          <w:rFonts w:eastAsia="+mn-ea"/>
          <w:kern w:val="24"/>
          <w:sz w:val="28"/>
          <w:szCs w:val="28"/>
        </w:rPr>
        <w:t xml:space="preserve"> sniegto informāciju </w:t>
      </w:r>
      <w:proofErr w:type="spellStart"/>
      <w:r w:rsidR="009D73F7" w:rsidRPr="00E25833">
        <w:rPr>
          <w:rFonts w:eastAsia="+mn-ea"/>
          <w:kern w:val="24"/>
          <w:sz w:val="28"/>
          <w:szCs w:val="28"/>
        </w:rPr>
        <w:t>b</w:t>
      </w:r>
      <w:r w:rsidRPr="00E25833">
        <w:rPr>
          <w:rFonts w:eastAsia="+mn-ea"/>
          <w:kern w:val="24"/>
          <w:sz w:val="28"/>
          <w:szCs w:val="28"/>
        </w:rPr>
        <w:t>ūvspeciālistu</w:t>
      </w:r>
      <w:proofErr w:type="spellEnd"/>
      <w:r w:rsidRPr="00E25833">
        <w:rPr>
          <w:rFonts w:eastAsia="+mn-ea"/>
          <w:kern w:val="24"/>
          <w:sz w:val="28"/>
          <w:szCs w:val="28"/>
        </w:rPr>
        <w:t xml:space="preserve"> datu pārvaldības pilnveides ietvaros tiek plānota VEDLUDB informācijas sasaiste ar BIS</w:t>
      </w:r>
      <w:r w:rsidR="00AB3B55" w:rsidRPr="00E25833">
        <w:rPr>
          <w:rFonts w:eastAsia="+mn-ea"/>
          <w:kern w:val="24"/>
          <w:sz w:val="28"/>
          <w:szCs w:val="28"/>
        </w:rPr>
        <w:t xml:space="preserve">, kas ļaus automatizēt informācijas saņemšanu par </w:t>
      </w:r>
      <w:proofErr w:type="spellStart"/>
      <w:r w:rsidR="00AB3B55" w:rsidRPr="00E25833">
        <w:rPr>
          <w:rFonts w:eastAsia="+mn-ea"/>
          <w:kern w:val="24"/>
          <w:sz w:val="28"/>
          <w:szCs w:val="28"/>
        </w:rPr>
        <w:t>būvspeciālistu</w:t>
      </w:r>
      <w:proofErr w:type="spellEnd"/>
      <w:r w:rsidR="00AB3B55" w:rsidRPr="00E25833">
        <w:rPr>
          <w:rFonts w:eastAsia="+mn-ea"/>
          <w:kern w:val="24"/>
          <w:sz w:val="28"/>
          <w:szCs w:val="28"/>
        </w:rPr>
        <w:t xml:space="preserve"> un tā pieredzi (pavadīto darba laiku) būvlaukumos. Tāpat tie</w:t>
      </w:r>
      <w:r w:rsidRPr="00E25833">
        <w:rPr>
          <w:rFonts w:eastAsia="+mn-ea"/>
          <w:kern w:val="24"/>
          <w:sz w:val="28"/>
          <w:szCs w:val="28"/>
        </w:rPr>
        <w:t>k</w:t>
      </w:r>
      <w:r w:rsidR="00AB3B55" w:rsidRPr="00E25833">
        <w:rPr>
          <w:rFonts w:eastAsia="+mn-ea"/>
          <w:kern w:val="24"/>
          <w:sz w:val="28"/>
          <w:szCs w:val="28"/>
        </w:rPr>
        <w:t xml:space="preserve"> paredzēta VEDLUDB darba laika uzskaites datu izmantošana, sasaistot pieejamos datus ar būvdarbu žurnālu.</w:t>
      </w:r>
    </w:p>
    <w:p w14:paraId="0CDDA630" w14:textId="77777777" w:rsidR="00AB3B55" w:rsidRPr="00E25833" w:rsidRDefault="00AB3B55" w:rsidP="00FA5A60">
      <w:pPr>
        <w:pStyle w:val="NormalWeb"/>
        <w:spacing w:before="0" w:beforeAutospacing="0" w:after="0" w:afterAutospacing="0"/>
        <w:ind w:firstLine="720"/>
        <w:jc w:val="both"/>
        <w:rPr>
          <w:rFonts w:eastAsia="+mn-ea"/>
          <w:kern w:val="24"/>
          <w:sz w:val="28"/>
          <w:szCs w:val="28"/>
        </w:rPr>
      </w:pPr>
      <w:r w:rsidRPr="00E25833">
        <w:rPr>
          <w:rFonts w:eastAsia="+mn-ea"/>
          <w:kern w:val="24"/>
          <w:sz w:val="28"/>
          <w:szCs w:val="28"/>
        </w:rPr>
        <w:t>BIS attīstības projekta ietvaros VEDLUDB datu izmantošana plānot</w:t>
      </w:r>
      <w:r w:rsidR="009D73F7" w:rsidRPr="00E25833">
        <w:rPr>
          <w:rFonts w:eastAsia="+mn-ea"/>
          <w:kern w:val="24"/>
          <w:sz w:val="28"/>
          <w:szCs w:val="28"/>
        </w:rPr>
        <w:t>a</w:t>
      </w:r>
      <w:r w:rsidRPr="00E25833">
        <w:rPr>
          <w:rFonts w:eastAsia="+mn-ea"/>
          <w:kern w:val="24"/>
          <w:sz w:val="28"/>
          <w:szCs w:val="28"/>
        </w:rPr>
        <w:t xml:space="preserve"> vairāk</w:t>
      </w:r>
      <w:r w:rsidR="00716D16" w:rsidRPr="00E25833">
        <w:rPr>
          <w:rFonts w:eastAsia="+mn-ea"/>
          <w:kern w:val="24"/>
          <w:sz w:val="28"/>
          <w:szCs w:val="28"/>
        </w:rPr>
        <w:t>ās</w:t>
      </w:r>
      <w:r w:rsidRPr="00E25833">
        <w:rPr>
          <w:rFonts w:eastAsia="+mn-ea"/>
          <w:kern w:val="24"/>
          <w:sz w:val="28"/>
          <w:szCs w:val="28"/>
        </w:rPr>
        <w:t xml:space="preserve"> BVK</w:t>
      </w:r>
      <w:r w:rsidR="00FA5A60">
        <w:rPr>
          <w:rFonts w:eastAsia="+mn-ea"/>
          <w:kern w:val="24"/>
          <w:sz w:val="28"/>
          <w:szCs w:val="28"/>
        </w:rPr>
        <w:t>B</w:t>
      </w:r>
      <w:r w:rsidRPr="00E25833">
        <w:rPr>
          <w:rFonts w:eastAsia="+mn-ea"/>
          <w:kern w:val="24"/>
          <w:sz w:val="28"/>
          <w:szCs w:val="28"/>
        </w:rPr>
        <w:t xml:space="preserve"> iecerē</w:t>
      </w:r>
      <w:r w:rsidR="00716D16" w:rsidRPr="00E25833">
        <w:rPr>
          <w:rFonts w:eastAsia="+mn-ea"/>
          <w:kern w:val="24"/>
          <w:sz w:val="28"/>
          <w:szCs w:val="28"/>
        </w:rPr>
        <w:t>s</w:t>
      </w:r>
      <w:r w:rsidRPr="00E25833">
        <w:rPr>
          <w:rFonts w:eastAsia="+mn-ea"/>
          <w:kern w:val="24"/>
          <w:sz w:val="28"/>
          <w:szCs w:val="28"/>
        </w:rPr>
        <w:t>, tajā skaitā:</w:t>
      </w:r>
    </w:p>
    <w:p w14:paraId="2E3D268D" w14:textId="77777777" w:rsidR="00BC58D9" w:rsidRPr="00E25833" w:rsidRDefault="00BC58D9" w:rsidP="00F02640">
      <w:pPr>
        <w:pStyle w:val="NormalWeb"/>
        <w:numPr>
          <w:ilvl w:val="0"/>
          <w:numId w:val="5"/>
        </w:numPr>
        <w:tabs>
          <w:tab w:val="left" w:pos="1134"/>
        </w:tabs>
        <w:spacing w:before="0" w:beforeAutospacing="0" w:after="0" w:afterAutospacing="0"/>
        <w:ind w:left="0" w:firstLine="720"/>
        <w:jc w:val="both"/>
        <w:rPr>
          <w:rFonts w:eastAsia="+mn-ea"/>
          <w:kern w:val="24"/>
          <w:sz w:val="28"/>
          <w:szCs w:val="28"/>
        </w:rPr>
      </w:pPr>
      <w:r w:rsidRPr="00E25833">
        <w:rPr>
          <w:rFonts w:eastAsia="+mn-ea"/>
          <w:kern w:val="24"/>
          <w:sz w:val="28"/>
          <w:szCs w:val="28"/>
        </w:rPr>
        <w:t xml:space="preserve">būvniecības procesiem </w:t>
      </w:r>
      <w:r w:rsidR="002134D1" w:rsidRPr="00E25833">
        <w:rPr>
          <w:rFonts w:eastAsia="+mn-ea"/>
          <w:kern w:val="24"/>
          <w:sz w:val="28"/>
          <w:szCs w:val="28"/>
        </w:rPr>
        <w:t>piesaistāmā speciālista pieredz</w:t>
      </w:r>
      <w:r w:rsidRPr="00E25833">
        <w:rPr>
          <w:rFonts w:eastAsia="+mn-ea"/>
          <w:kern w:val="24"/>
          <w:sz w:val="28"/>
          <w:szCs w:val="28"/>
        </w:rPr>
        <w:t>es</w:t>
      </w:r>
      <w:r w:rsidR="002134D1" w:rsidRPr="00E25833">
        <w:rPr>
          <w:rFonts w:eastAsia="+mn-ea"/>
          <w:kern w:val="24"/>
          <w:sz w:val="28"/>
          <w:szCs w:val="28"/>
        </w:rPr>
        <w:t xml:space="preserve"> </w:t>
      </w:r>
      <w:r w:rsidRPr="00E25833">
        <w:rPr>
          <w:rFonts w:eastAsia="+mn-ea"/>
          <w:kern w:val="24"/>
          <w:sz w:val="28"/>
          <w:szCs w:val="28"/>
        </w:rPr>
        <w:t xml:space="preserve">novērtēšanai un  speciālista </w:t>
      </w:r>
      <w:r w:rsidR="002134D1" w:rsidRPr="00E25833">
        <w:rPr>
          <w:rFonts w:eastAsia="+mn-ea"/>
          <w:kern w:val="24"/>
          <w:sz w:val="28"/>
          <w:szCs w:val="28"/>
        </w:rPr>
        <w:t>konkrētā brīža noslodz</w:t>
      </w:r>
      <w:r w:rsidRPr="00E25833">
        <w:rPr>
          <w:rFonts w:eastAsia="+mn-ea"/>
          <w:kern w:val="24"/>
          <w:sz w:val="28"/>
          <w:szCs w:val="28"/>
        </w:rPr>
        <w:t>es</w:t>
      </w:r>
      <w:r w:rsidR="002134D1" w:rsidRPr="00E25833">
        <w:rPr>
          <w:rFonts w:eastAsia="+mn-ea"/>
          <w:kern w:val="24"/>
          <w:sz w:val="28"/>
          <w:szCs w:val="28"/>
        </w:rPr>
        <w:t xml:space="preserve"> būvobjektos </w:t>
      </w:r>
      <w:r w:rsidRPr="00E25833">
        <w:rPr>
          <w:rFonts w:eastAsia="+mn-ea"/>
          <w:kern w:val="24"/>
          <w:sz w:val="28"/>
          <w:szCs w:val="28"/>
        </w:rPr>
        <w:t xml:space="preserve">novērtēšanai </w:t>
      </w:r>
      <w:r w:rsidR="002134D1" w:rsidRPr="00E25833">
        <w:rPr>
          <w:rFonts w:eastAsia="+mn-ea"/>
          <w:kern w:val="24"/>
          <w:sz w:val="28"/>
          <w:szCs w:val="28"/>
        </w:rPr>
        <w:t>gadījumos, kad pasūtītājam jālemj par speciālista piesaisti konkrētam būvobjektam</w:t>
      </w:r>
      <w:r w:rsidRPr="00E25833">
        <w:rPr>
          <w:rFonts w:eastAsia="+mn-ea"/>
          <w:kern w:val="24"/>
          <w:sz w:val="28"/>
          <w:szCs w:val="28"/>
        </w:rPr>
        <w:t>;</w:t>
      </w:r>
    </w:p>
    <w:p w14:paraId="7AFCC204" w14:textId="77777777" w:rsidR="002134D1" w:rsidRPr="00E25833" w:rsidRDefault="002134D1" w:rsidP="00F02640">
      <w:pPr>
        <w:pStyle w:val="NormalWeb"/>
        <w:numPr>
          <w:ilvl w:val="0"/>
          <w:numId w:val="5"/>
        </w:numPr>
        <w:tabs>
          <w:tab w:val="left" w:pos="1134"/>
        </w:tabs>
        <w:spacing w:before="0" w:beforeAutospacing="0" w:after="0" w:afterAutospacing="0"/>
        <w:ind w:left="0" w:firstLine="720"/>
        <w:jc w:val="both"/>
        <w:rPr>
          <w:rFonts w:eastAsia="+mn-ea"/>
          <w:kern w:val="24"/>
          <w:sz w:val="28"/>
          <w:szCs w:val="28"/>
        </w:rPr>
      </w:pPr>
      <w:r w:rsidRPr="00E25833">
        <w:rPr>
          <w:rFonts w:eastAsia="+mn-ea"/>
          <w:kern w:val="24"/>
          <w:sz w:val="28"/>
          <w:szCs w:val="28"/>
        </w:rPr>
        <w:t>būvniecībā iesaistīto speciālistu darba līgumu izpildes kontrol</w:t>
      </w:r>
      <w:r w:rsidR="00BC58D9" w:rsidRPr="00E25833">
        <w:rPr>
          <w:rFonts w:eastAsia="+mn-ea"/>
          <w:kern w:val="24"/>
          <w:sz w:val="28"/>
          <w:szCs w:val="28"/>
        </w:rPr>
        <w:t>ei</w:t>
      </w:r>
      <w:r w:rsidRPr="00E25833">
        <w:rPr>
          <w:rFonts w:eastAsia="+mn-ea"/>
          <w:kern w:val="24"/>
          <w:sz w:val="28"/>
          <w:szCs w:val="28"/>
        </w:rPr>
        <w:t>, vērtējot speciālista nostrādāto stundu apjomu pasūtītāja būvobjektā</w:t>
      </w:r>
      <w:r w:rsidR="00BC58D9" w:rsidRPr="00E25833">
        <w:rPr>
          <w:rFonts w:eastAsia="+mn-ea"/>
          <w:kern w:val="24"/>
          <w:sz w:val="28"/>
          <w:szCs w:val="28"/>
        </w:rPr>
        <w:t>;</w:t>
      </w:r>
    </w:p>
    <w:p w14:paraId="4DAC08A4" w14:textId="77777777" w:rsidR="00BC58D9" w:rsidRPr="001650ED" w:rsidRDefault="002134D1" w:rsidP="00F02640">
      <w:pPr>
        <w:pStyle w:val="NormalWeb"/>
        <w:numPr>
          <w:ilvl w:val="0"/>
          <w:numId w:val="5"/>
        </w:numPr>
        <w:tabs>
          <w:tab w:val="left" w:pos="1134"/>
        </w:tabs>
        <w:spacing w:before="0" w:beforeAutospacing="0" w:after="0" w:afterAutospacing="0"/>
        <w:ind w:left="0" w:firstLine="720"/>
        <w:jc w:val="both"/>
        <w:rPr>
          <w:rFonts w:eastAsia="+mn-ea"/>
          <w:kern w:val="24"/>
          <w:sz w:val="28"/>
          <w:szCs w:val="28"/>
        </w:rPr>
      </w:pPr>
      <w:r w:rsidRPr="00E25833">
        <w:rPr>
          <w:rFonts w:eastAsia="+mn-ea"/>
          <w:kern w:val="24"/>
          <w:sz w:val="28"/>
          <w:szCs w:val="28"/>
        </w:rPr>
        <w:t xml:space="preserve">būvniecības nozares darbinieku būvobjektos pavadītā darba laika uzskaites datu </w:t>
      </w:r>
      <w:r w:rsidR="00BC58D9" w:rsidRPr="00E25833">
        <w:rPr>
          <w:rFonts w:eastAsia="+mn-ea"/>
          <w:kern w:val="24"/>
          <w:sz w:val="28"/>
          <w:szCs w:val="28"/>
        </w:rPr>
        <w:t>analizēšan</w:t>
      </w:r>
      <w:r w:rsidR="00472F08" w:rsidRPr="00E25833">
        <w:rPr>
          <w:rFonts w:eastAsia="+mn-ea"/>
          <w:kern w:val="24"/>
          <w:sz w:val="28"/>
          <w:szCs w:val="28"/>
        </w:rPr>
        <w:t>ā</w:t>
      </w:r>
      <w:r w:rsidR="00BC58D9" w:rsidRPr="00E25833">
        <w:rPr>
          <w:rFonts w:eastAsia="+mn-ea"/>
          <w:kern w:val="24"/>
          <w:sz w:val="28"/>
          <w:szCs w:val="28"/>
        </w:rPr>
        <w:t>, š</w:t>
      </w:r>
      <w:r w:rsidR="003E12D1">
        <w:rPr>
          <w:rFonts w:eastAsia="+mn-ea"/>
          <w:kern w:val="24"/>
          <w:sz w:val="28"/>
          <w:szCs w:val="28"/>
        </w:rPr>
        <w:t>īs</w:t>
      </w:r>
      <w:r w:rsidR="00BC58D9" w:rsidRPr="00E25833">
        <w:rPr>
          <w:rFonts w:eastAsia="+mn-ea"/>
          <w:kern w:val="24"/>
          <w:sz w:val="28"/>
          <w:szCs w:val="28"/>
        </w:rPr>
        <w:t xml:space="preserve"> informācijas sas</w:t>
      </w:r>
      <w:r w:rsidRPr="00E25833">
        <w:rPr>
          <w:rFonts w:eastAsia="+mn-ea"/>
          <w:kern w:val="24"/>
          <w:sz w:val="28"/>
          <w:szCs w:val="28"/>
        </w:rPr>
        <w:t>aiste</w:t>
      </w:r>
      <w:r w:rsidR="00BC58D9" w:rsidRPr="00E25833">
        <w:rPr>
          <w:rFonts w:eastAsia="+mn-ea"/>
          <w:kern w:val="24"/>
          <w:sz w:val="28"/>
          <w:szCs w:val="28"/>
        </w:rPr>
        <w:t xml:space="preserve">i </w:t>
      </w:r>
      <w:r w:rsidRPr="00E25833">
        <w:rPr>
          <w:rFonts w:eastAsia="+mn-ea"/>
          <w:kern w:val="24"/>
          <w:sz w:val="28"/>
          <w:szCs w:val="28"/>
        </w:rPr>
        <w:t>ar būvniecības procesiem</w:t>
      </w:r>
      <w:r w:rsidR="00BC58D9" w:rsidRPr="00E25833">
        <w:rPr>
          <w:rFonts w:eastAsia="+mn-ea"/>
          <w:kern w:val="24"/>
          <w:sz w:val="28"/>
          <w:szCs w:val="28"/>
        </w:rPr>
        <w:t xml:space="preserve">, piemēram, šo datu sasaiste ar risku pārvaldības moduļa funkcionalitāti vai datu sasaiste ar </w:t>
      </w:r>
      <w:proofErr w:type="spellStart"/>
      <w:r w:rsidR="00BC58D9" w:rsidRPr="00E25833">
        <w:rPr>
          <w:rFonts w:eastAsia="+mn-ea"/>
          <w:kern w:val="24"/>
          <w:sz w:val="28"/>
          <w:szCs w:val="28"/>
        </w:rPr>
        <w:t>būvspeciālistu</w:t>
      </w:r>
      <w:proofErr w:type="spellEnd"/>
      <w:r w:rsidR="00BC58D9" w:rsidRPr="00E25833">
        <w:rPr>
          <w:rFonts w:eastAsia="+mn-ea"/>
          <w:kern w:val="24"/>
          <w:sz w:val="28"/>
          <w:szCs w:val="28"/>
        </w:rPr>
        <w:t xml:space="preserve"> kvalifikācijas un </w:t>
      </w:r>
      <w:r w:rsidR="00BC58D9" w:rsidRPr="001650ED">
        <w:rPr>
          <w:rFonts w:eastAsia="+mn-ea"/>
          <w:kern w:val="24"/>
          <w:sz w:val="28"/>
          <w:szCs w:val="28"/>
        </w:rPr>
        <w:t>pieredzes apliecinājumi</w:t>
      </w:r>
      <w:r w:rsidR="00BC58D9" w:rsidRPr="00B53D79">
        <w:rPr>
          <w:rFonts w:eastAsia="+mn-ea"/>
          <w:kern w:val="24"/>
          <w:sz w:val="28"/>
          <w:szCs w:val="28"/>
        </w:rPr>
        <w:t>em, kas nepieciešami publisko iepirkumu veicējiem</w:t>
      </w:r>
      <w:r w:rsidR="00716D16" w:rsidRPr="0013363E">
        <w:rPr>
          <w:rFonts w:eastAsia="+mn-ea"/>
          <w:kern w:val="24"/>
          <w:sz w:val="28"/>
          <w:szCs w:val="28"/>
        </w:rPr>
        <w:t>.</w:t>
      </w:r>
    </w:p>
    <w:p w14:paraId="11100CA0" w14:textId="77777777" w:rsidR="008C0008" w:rsidRPr="008821D3" w:rsidRDefault="008C0008" w:rsidP="005E08CF">
      <w:pPr>
        <w:pStyle w:val="NormalWeb"/>
        <w:spacing w:before="0" w:beforeAutospacing="0" w:after="0" w:afterAutospacing="0"/>
        <w:ind w:firstLine="720"/>
        <w:jc w:val="both"/>
        <w:rPr>
          <w:rFonts w:eastAsia="+mn-ea"/>
          <w:kern w:val="24"/>
          <w:sz w:val="28"/>
          <w:szCs w:val="28"/>
        </w:rPr>
      </w:pPr>
    </w:p>
    <w:p w14:paraId="7C5C35D9" w14:textId="77777777" w:rsidR="00577FFA" w:rsidRPr="00401034" w:rsidRDefault="00577FFA" w:rsidP="004B5136">
      <w:pPr>
        <w:spacing w:before="0" w:after="0" w:line="240" w:lineRule="auto"/>
        <w:ind w:firstLine="720"/>
        <w:jc w:val="both"/>
        <w:rPr>
          <w:rFonts w:ascii="Times New Roman" w:eastAsia="Calibri" w:hAnsi="Times New Roman" w:cs="Times New Roman"/>
          <w:b/>
          <w:i/>
          <w:color w:val="000000" w:themeColor="text1"/>
          <w:sz w:val="28"/>
          <w:szCs w:val="28"/>
        </w:rPr>
      </w:pPr>
      <w:r w:rsidRPr="00401034">
        <w:rPr>
          <w:rFonts w:ascii="Times New Roman" w:eastAsia="Calibri" w:hAnsi="Times New Roman" w:cs="Times New Roman"/>
          <w:b/>
          <w:i/>
          <w:color w:val="000000" w:themeColor="text1"/>
          <w:sz w:val="28"/>
          <w:szCs w:val="28"/>
        </w:rPr>
        <w:t xml:space="preserve">VEDLUDB informācijas izmantošana </w:t>
      </w:r>
      <w:r w:rsidR="00FA5A60" w:rsidRPr="00401034">
        <w:rPr>
          <w:rFonts w:ascii="Times New Roman" w:eastAsia="Calibri" w:hAnsi="Times New Roman" w:cs="Times New Roman"/>
          <w:b/>
          <w:i/>
          <w:color w:val="000000" w:themeColor="text1"/>
          <w:sz w:val="28"/>
          <w:szCs w:val="28"/>
        </w:rPr>
        <w:t>VID</w:t>
      </w:r>
    </w:p>
    <w:p w14:paraId="788AD012" w14:textId="68643472" w:rsidR="00E23B85" w:rsidRPr="00401034" w:rsidRDefault="00A43796" w:rsidP="00A43796">
      <w:pPr>
        <w:spacing w:before="0" w:after="0" w:line="240" w:lineRule="auto"/>
        <w:ind w:firstLine="720"/>
        <w:jc w:val="both"/>
        <w:rPr>
          <w:rFonts w:ascii="Times New Roman" w:eastAsia="Calibri" w:hAnsi="Times New Roman" w:cs="Times New Roman"/>
          <w:color w:val="000000" w:themeColor="text1"/>
          <w:sz w:val="28"/>
          <w:szCs w:val="28"/>
        </w:rPr>
      </w:pPr>
      <w:r w:rsidRPr="00401034">
        <w:rPr>
          <w:rFonts w:ascii="Times New Roman" w:eastAsia="Calibri" w:hAnsi="Times New Roman" w:cs="Times New Roman"/>
          <w:color w:val="000000" w:themeColor="text1"/>
          <w:sz w:val="28"/>
          <w:szCs w:val="28"/>
        </w:rPr>
        <w:t xml:space="preserve">VEDLUDB datus </w:t>
      </w:r>
      <w:r w:rsidR="00FA5A60" w:rsidRPr="00401034">
        <w:rPr>
          <w:rFonts w:ascii="Times New Roman" w:eastAsia="Calibri" w:hAnsi="Times New Roman" w:cs="Times New Roman"/>
          <w:color w:val="000000" w:themeColor="text1"/>
          <w:sz w:val="28"/>
          <w:szCs w:val="28"/>
        </w:rPr>
        <w:t xml:space="preserve">VID </w:t>
      </w:r>
      <w:r w:rsidR="00FA5A60">
        <w:rPr>
          <w:rFonts w:ascii="Times New Roman" w:eastAsia="Calibri" w:hAnsi="Times New Roman" w:cs="Times New Roman"/>
          <w:color w:val="000000" w:themeColor="text1"/>
          <w:sz w:val="28"/>
          <w:szCs w:val="28"/>
        </w:rPr>
        <w:t xml:space="preserve">ir </w:t>
      </w:r>
      <w:r w:rsidR="0077209E">
        <w:rPr>
          <w:rFonts w:ascii="Times New Roman" w:eastAsia="Calibri" w:hAnsi="Times New Roman" w:cs="Times New Roman"/>
          <w:color w:val="000000" w:themeColor="text1"/>
          <w:sz w:val="28"/>
          <w:szCs w:val="28"/>
        </w:rPr>
        <w:t xml:space="preserve">paredzējis </w:t>
      </w:r>
      <w:r w:rsidRPr="00401034">
        <w:rPr>
          <w:rFonts w:ascii="Times New Roman" w:eastAsia="Calibri" w:hAnsi="Times New Roman" w:cs="Times New Roman"/>
          <w:color w:val="000000" w:themeColor="text1"/>
          <w:sz w:val="28"/>
          <w:szCs w:val="28"/>
        </w:rPr>
        <w:t>izmanto</w:t>
      </w:r>
      <w:r w:rsidR="0077209E">
        <w:rPr>
          <w:rFonts w:ascii="Times New Roman" w:eastAsia="Calibri" w:hAnsi="Times New Roman" w:cs="Times New Roman"/>
          <w:color w:val="000000" w:themeColor="text1"/>
          <w:sz w:val="28"/>
          <w:szCs w:val="28"/>
        </w:rPr>
        <w:t>t</w:t>
      </w:r>
      <w:r w:rsidR="00E23B85" w:rsidRPr="00401034">
        <w:rPr>
          <w:rFonts w:ascii="Times New Roman" w:eastAsia="Calibri" w:hAnsi="Times New Roman" w:cs="Times New Roman"/>
          <w:color w:val="000000" w:themeColor="text1"/>
          <w:sz w:val="28"/>
          <w:szCs w:val="28"/>
        </w:rPr>
        <w:t xml:space="preserve"> </w:t>
      </w:r>
      <w:r w:rsidR="005D7AFF">
        <w:rPr>
          <w:rFonts w:ascii="Times New Roman" w:eastAsia="Calibri" w:hAnsi="Times New Roman" w:cs="Times New Roman"/>
          <w:color w:val="000000" w:themeColor="text1"/>
          <w:sz w:val="28"/>
          <w:szCs w:val="28"/>
        </w:rPr>
        <w:t xml:space="preserve">kontrolei par </w:t>
      </w:r>
      <w:r w:rsidR="00ED1074" w:rsidRPr="00401034">
        <w:rPr>
          <w:rFonts w:ascii="Times New Roman" w:eastAsia="Calibri" w:hAnsi="Times New Roman" w:cs="Times New Roman"/>
          <w:color w:val="000000" w:themeColor="text1"/>
          <w:sz w:val="28"/>
          <w:szCs w:val="28"/>
        </w:rPr>
        <w:t xml:space="preserve">iedzīvotāju ienākuma nodokļa, valsts sociālās apdrošināšanas obligāto iemaksu un </w:t>
      </w:r>
      <w:proofErr w:type="spellStart"/>
      <w:r w:rsidR="00ED1074" w:rsidRPr="00401034">
        <w:rPr>
          <w:rFonts w:ascii="Times New Roman" w:eastAsia="Calibri" w:hAnsi="Times New Roman" w:cs="Times New Roman"/>
          <w:color w:val="000000" w:themeColor="text1"/>
          <w:sz w:val="28"/>
          <w:szCs w:val="28"/>
        </w:rPr>
        <w:t>mikrouzņēmumu</w:t>
      </w:r>
      <w:proofErr w:type="spellEnd"/>
      <w:r w:rsidR="00ED1074" w:rsidRPr="00401034">
        <w:rPr>
          <w:rFonts w:ascii="Times New Roman" w:eastAsia="Calibri" w:hAnsi="Times New Roman" w:cs="Times New Roman"/>
          <w:color w:val="000000" w:themeColor="text1"/>
          <w:sz w:val="28"/>
          <w:szCs w:val="28"/>
        </w:rPr>
        <w:t xml:space="preserve"> nodokļa </w:t>
      </w:r>
      <w:r w:rsidR="005D7AFF">
        <w:rPr>
          <w:rFonts w:ascii="Times New Roman" w:eastAsia="Calibri" w:hAnsi="Times New Roman" w:cs="Times New Roman"/>
          <w:color w:val="000000" w:themeColor="text1"/>
          <w:sz w:val="28"/>
          <w:szCs w:val="28"/>
        </w:rPr>
        <w:t>aprēķināšanas pareizību</w:t>
      </w:r>
      <w:r w:rsidR="00E23B85" w:rsidRPr="00401034">
        <w:rPr>
          <w:rFonts w:ascii="Times New Roman" w:eastAsia="Calibri" w:hAnsi="Times New Roman" w:cs="Times New Roman"/>
          <w:color w:val="000000" w:themeColor="text1"/>
          <w:sz w:val="28"/>
          <w:szCs w:val="28"/>
        </w:rPr>
        <w:t>.</w:t>
      </w:r>
    </w:p>
    <w:p w14:paraId="005D47B1" w14:textId="77777777" w:rsidR="00C37259" w:rsidRPr="008821D3" w:rsidRDefault="00E23B85" w:rsidP="00CF7905">
      <w:pPr>
        <w:spacing w:before="0" w:after="0" w:line="240" w:lineRule="auto"/>
        <w:ind w:firstLine="720"/>
        <w:jc w:val="both"/>
        <w:rPr>
          <w:rFonts w:ascii="Times New Roman" w:eastAsia="Calibri" w:hAnsi="Times New Roman" w:cs="Times New Roman"/>
          <w:sz w:val="28"/>
          <w:szCs w:val="28"/>
        </w:rPr>
      </w:pPr>
      <w:r w:rsidRPr="00401034">
        <w:rPr>
          <w:rFonts w:ascii="Times New Roman" w:eastAsia="Calibri" w:hAnsi="Times New Roman" w:cs="Times New Roman"/>
          <w:color w:val="000000" w:themeColor="text1"/>
          <w:sz w:val="28"/>
          <w:szCs w:val="28"/>
        </w:rPr>
        <w:t>BVKB</w:t>
      </w:r>
      <w:r w:rsidR="00685B6D" w:rsidRPr="00401034">
        <w:rPr>
          <w:rFonts w:ascii="Times New Roman" w:eastAsia="Calibri" w:hAnsi="Times New Roman" w:cs="Times New Roman"/>
          <w:color w:val="000000" w:themeColor="text1"/>
          <w:sz w:val="28"/>
          <w:szCs w:val="28"/>
        </w:rPr>
        <w:t xml:space="preserve"> un</w:t>
      </w:r>
      <w:r w:rsidRPr="00401034">
        <w:rPr>
          <w:rFonts w:ascii="Times New Roman" w:eastAsia="Calibri" w:hAnsi="Times New Roman" w:cs="Times New Roman"/>
          <w:color w:val="000000" w:themeColor="text1"/>
          <w:sz w:val="28"/>
          <w:szCs w:val="28"/>
        </w:rPr>
        <w:t xml:space="preserve"> VID </w:t>
      </w:r>
      <w:r w:rsidR="00E2088E">
        <w:rPr>
          <w:rFonts w:ascii="Times New Roman" w:eastAsia="Calibri" w:hAnsi="Times New Roman" w:cs="Times New Roman"/>
          <w:color w:val="000000" w:themeColor="text1"/>
          <w:sz w:val="28"/>
          <w:szCs w:val="28"/>
        </w:rPr>
        <w:t>s</w:t>
      </w:r>
      <w:r w:rsidR="00E2088E" w:rsidRPr="00401034">
        <w:rPr>
          <w:rFonts w:ascii="Times New Roman" w:eastAsia="Calibri" w:hAnsi="Times New Roman" w:cs="Times New Roman"/>
          <w:color w:val="000000" w:themeColor="text1"/>
          <w:sz w:val="28"/>
          <w:szCs w:val="28"/>
        </w:rPr>
        <w:t xml:space="preserve">adarbībā </w:t>
      </w:r>
      <w:r w:rsidRPr="00401034">
        <w:rPr>
          <w:rFonts w:ascii="Times New Roman" w:eastAsia="Calibri" w:hAnsi="Times New Roman" w:cs="Times New Roman"/>
          <w:color w:val="000000" w:themeColor="text1"/>
          <w:sz w:val="28"/>
          <w:szCs w:val="28"/>
        </w:rPr>
        <w:t>izstrādā</w:t>
      </w:r>
      <w:r w:rsidR="00685B6D" w:rsidRPr="00401034">
        <w:rPr>
          <w:rFonts w:ascii="Times New Roman" w:eastAsia="Calibri" w:hAnsi="Times New Roman" w:cs="Times New Roman"/>
          <w:color w:val="000000" w:themeColor="text1"/>
          <w:sz w:val="28"/>
          <w:szCs w:val="28"/>
        </w:rPr>
        <w:t>ta</w:t>
      </w:r>
      <w:r w:rsidRPr="00401034">
        <w:rPr>
          <w:rFonts w:ascii="Times New Roman" w:eastAsia="Calibri" w:hAnsi="Times New Roman" w:cs="Times New Roman"/>
          <w:color w:val="000000" w:themeColor="text1"/>
          <w:sz w:val="28"/>
          <w:szCs w:val="28"/>
        </w:rPr>
        <w:t xml:space="preserve"> </w:t>
      </w:r>
      <w:r w:rsidR="00577FFA" w:rsidRPr="00401034">
        <w:rPr>
          <w:rFonts w:ascii="Times New Roman" w:eastAsia="Calibri" w:hAnsi="Times New Roman" w:cs="Times New Roman"/>
          <w:color w:val="000000" w:themeColor="text1"/>
          <w:sz w:val="28"/>
          <w:szCs w:val="28"/>
        </w:rPr>
        <w:t>starpresoru vienošan</w:t>
      </w:r>
      <w:r w:rsidR="00685B6D" w:rsidRPr="00401034">
        <w:rPr>
          <w:rFonts w:ascii="Times New Roman" w:eastAsia="Calibri" w:hAnsi="Times New Roman" w:cs="Times New Roman"/>
          <w:color w:val="000000" w:themeColor="text1"/>
          <w:sz w:val="28"/>
          <w:szCs w:val="28"/>
        </w:rPr>
        <w:t>ā</w:t>
      </w:r>
      <w:r w:rsidRPr="00401034">
        <w:rPr>
          <w:rFonts w:ascii="Times New Roman" w:eastAsia="Calibri" w:hAnsi="Times New Roman" w:cs="Times New Roman"/>
          <w:color w:val="000000" w:themeColor="text1"/>
          <w:sz w:val="28"/>
          <w:szCs w:val="28"/>
        </w:rPr>
        <w:t>s</w:t>
      </w:r>
      <w:r w:rsidR="00577FFA" w:rsidRPr="00401034">
        <w:rPr>
          <w:rFonts w:ascii="Times New Roman" w:eastAsia="Calibri" w:hAnsi="Times New Roman" w:cs="Times New Roman"/>
          <w:color w:val="000000" w:themeColor="text1"/>
          <w:sz w:val="28"/>
          <w:szCs w:val="28"/>
        </w:rPr>
        <w:t xml:space="preserve"> </w:t>
      </w:r>
      <w:r w:rsidR="003E12D1">
        <w:rPr>
          <w:rFonts w:ascii="Times New Roman" w:eastAsia="Calibri" w:hAnsi="Times New Roman" w:cs="Times New Roman"/>
          <w:color w:val="000000" w:themeColor="text1"/>
          <w:sz w:val="28"/>
          <w:szCs w:val="28"/>
        </w:rPr>
        <w:t>“</w:t>
      </w:r>
      <w:r w:rsidR="00577FFA" w:rsidRPr="00401034">
        <w:rPr>
          <w:rFonts w:ascii="Times New Roman" w:eastAsia="Calibri" w:hAnsi="Times New Roman" w:cs="Times New Roman"/>
          <w:color w:val="000000" w:themeColor="text1"/>
          <w:sz w:val="28"/>
          <w:szCs w:val="28"/>
        </w:rPr>
        <w:t xml:space="preserve">Par Vienotās </w:t>
      </w:r>
      <w:r w:rsidR="00577FFA" w:rsidRPr="00360BCF">
        <w:rPr>
          <w:rFonts w:ascii="Times New Roman" w:eastAsia="Calibri" w:hAnsi="Times New Roman" w:cs="Times New Roman"/>
          <w:color w:val="000000" w:themeColor="text1"/>
          <w:sz w:val="28"/>
          <w:szCs w:val="28"/>
        </w:rPr>
        <w:t>elektroniskās darba laika uzskaites datubāzes lietošanu</w:t>
      </w:r>
      <w:r w:rsidR="003E12D1" w:rsidRPr="00360BCF">
        <w:rPr>
          <w:rFonts w:ascii="Times New Roman" w:eastAsia="Calibri" w:hAnsi="Times New Roman" w:cs="Times New Roman"/>
          <w:color w:val="000000" w:themeColor="text1"/>
          <w:sz w:val="28"/>
          <w:szCs w:val="28"/>
        </w:rPr>
        <w:t>”</w:t>
      </w:r>
      <w:r w:rsidR="00577FFA" w:rsidRPr="00360BCF">
        <w:rPr>
          <w:rFonts w:ascii="Times New Roman" w:eastAsia="Calibri" w:hAnsi="Times New Roman" w:cs="Times New Roman"/>
          <w:color w:val="000000" w:themeColor="text1"/>
          <w:sz w:val="28"/>
          <w:szCs w:val="28"/>
        </w:rPr>
        <w:t>, kā arī</w:t>
      </w:r>
      <w:r w:rsidRPr="00360BCF">
        <w:rPr>
          <w:rFonts w:ascii="Times New Roman" w:eastAsia="Calibri" w:hAnsi="Times New Roman" w:cs="Times New Roman"/>
          <w:color w:val="000000" w:themeColor="text1"/>
          <w:sz w:val="28"/>
          <w:szCs w:val="28"/>
        </w:rPr>
        <w:t xml:space="preserve"> vei</w:t>
      </w:r>
      <w:r w:rsidR="00685B6D" w:rsidRPr="00360BCF">
        <w:rPr>
          <w:rFonts w:ascii="Times New Roman" w:eastAsia="Calibri" w:hAnsi="Times New Roman" w:cs="Times New Roman"/>
          <w:color w:val="000000" w:themeColor="text1"/>
          <w:sz w:val="28"/>
          <w:szCs w:val="28"/>
        </w:rPr>
        <w:t>ktas</w:t>
      </w:r>
      <w:r w:rsidRPr="00360BCF">
        <w:rPr>
          <w:rFonts w:ascii="Times New Roman" w:eastAsia="Calibri" w:hAnsi="Times New Roman" w:cs="Times New Roman"/>
          <w:color w:val="000000" w:themeColor="text1"/>
          <w:sz w:val="28"/>
          <w:szCs w:val="28"/>
        </w:rPr>
        <w:t xml:space="preserve"> darbības</w:t>
      </w:r>
      <w:r w:rsidR="00577FFA" w:rsidRPr="00360BCF">
        <w:rPr>
          <w:rFonts w:ascii="Times New Roman" w:eastAsia="Calibri" w:hAnsi="Times New Roman" w:cs="Times New Roman"/>
          <w:i/>
          <w:iCs/>
          <w:color w:val="000000" w:themeColor="text1"/>
          <w:sz w:val="28"/>
          <w:szCs w:val="28"/>
        </w:rPr>
        <w:t xml:space="preserve"> </w:t>
      </w:r>
      <w:r w:rsidR="00577FFA" w:rsidRPr="00360BCF">
        <w:rPr>
          <w:rFonts w:ascii="Times New Roman" w:eastAsia="Calibri" w:hAnsi="Times New Roman" w:cs="Times New Roman"/>
          <w:color w:val="000000" w:themeColor="text1"/>
          <w:sz w:val="28"/>
          <w:szCs w:val="28"/>
        </w:rPr>
        <w:t xml:space="preserve">saistībā ar nepieciešamajām izmaiņām </w:t>
      </w:r>
      <w:r w:rsidR="00C37259" w:rsidRPr="00360BCF">
        <w:rPr>
          <w:rFonts w:ascii="Times New Roman" w:eastAsia="Calibri" w:hAnsi="Times New Roman" w:cs="Times New Roman"/>
          <w:sz w:val="28"/>
          <w:szCs w:val="28"/>
        </w:rPr>
        <w:t xml:space="preserve">VID informācijas sistēmā, lai nodrošinātu datu no VEDLUDB saņemšanu un apstrādi VID </w:t>
      </w:r>
      <w:r w:rsidR="00C37259" w:rsidRPr="001650ED">
        <w:rPr>
          <w:rFonts w:ascii="Times New Roman" w:eastAsia="Calibri" w:hAnsi="Times New Roman" w:cs="Times New Roman"/>
          <w:sz w:val="28"/>
          <w:szCs w:val="28"/>
        </w:rPr>
        <w:t>Datu noliktavas sistēmā, nodrošinot datu koplietošanu ar citiem VID Datu noliktavas sistēmas analīzes objektiem.</w:t>
      </w:r>
      <w:r w:rsidR="00C37259" w:rsidRPr="00B53D79">
        <w:rPr>
          <w:rFonts w:ascii="Times New Roman" w:eastAsia="Calibri" w:hAnsi="Times New Roman" w:cs="Times New Roman"/>
          <w:sz w:val="28"/>
          <w:szCs w:val="28"/>
        </w:rPr>
        <w:t xml:space="preserve">   </w:t>
      </w:r>
    </w:p>
    <w:p w14:paraId="1593FC3D" w14:textId="673CED7A" w:rsidR="00577FFA" w:rsidRPr="00401034" w:rsidRDefault="00577FFA" w:rsidP="00FA5A60">
      <w:pPr>
        <w:spacing w:before="0" w:after="0" w:line="240" w:lineRule="auto"/>
        <w:ind w:firstLine="720"/>
        <w:jc w:val="both"/>
        <w:rPr>
          <w:rFonts w:ascii="Times New Roman" w:eastAsia="Calibri" w:hAnsi="Times New Roman" w:cs="Times New Roman"/>
          <w:color w:val="000000" w:themeColor="text1"/>
          <w:sz w:val="28"/>
          <w:szCs w:val="28"/>
        </w:rPr>
      </w:pPr>
      <w:r w:rsidRPr="00401034">
        <w:rPr>
          <w:rFonts w:ascii="Times New Roman" w:eastAsia="Calibri" w:hAnsi="Times New Roman" w:cs="Times New Roman"/>
          <w:color w:val="000000" w:themeColor="text1"/>
          <w:sz w:val="28"/>
          <w:szCs w:val="28"/>
        </w:rPr>
        <w:t>VEDLUDB</w:t>
      </w:r>
      <w:r w:rsidR="00A8430D">
        <w:rPr>
          <w:rFonts w:ascii="Times New Roman" w:eastAsia="Calibri" w:hAnsi="Times New Roman" w:cs="Times New Roman"/>
          <w:color w:val="000000" w:themeColor="text1"/>
          <w:sz w:val="28"/>
          <w:szCs w:val="28"/>
        </w:rPr>
        <w:t xml:space="preserve"> dat</w:t>
      </w:r>
      <w:r w:rsidR="007F2023">
        <w:rPr>
          <w:rFonts w:ascii="Times New Roman" w:eastAsia="Calibri" w:hAnsi="Times New Roman" w:cs="Times New Roman"/>
          <w:color w:val="000000" w:themeColor="text1"/>
          <w:sz w:val="28"/>
          <w:szCs w:val="28"/>
        </w:rPr>
        <w:t>i tik</w:t>
      </w:r>
      <w:r w:rsidR="008821D3">
        <w:rPr>
          <w:rFonts w:ascii="Times New Roman" w:eastAsia="Calibri" w:hAnsi="Times New Roman" w:cs="Times New Roman"/>
          <w:color w:val="000000" w:themeColor="text1"/>
          <w:sz w:val="28"/>
          <w:szCs w:val="28"/>
        </w:rPr>
        <w:t>s</w:t>
      </w:r>
      <w:r w:rsidR="007F2023">
        <w:rPr>
          <w:rFonts w:ascii="Times New Roman" w:eastAsia="Calibri" w:hAnsi="Times New Roman" w:cs="Times New Roman"/>
          <w:color w:val="000000" w:themeColor="text1"/>
          <w:sz w:val="28"/>
          <w:szCs w:val="28"/>
        </w:rPr>
        <w:t xml:space="preserve"> izmantoti</w:t>
      </w:r>
      <w:r w:rsidR="00E23B85" w:rsidRPr="00401034">
        <w:rPr>
          <w:rFonts w:ascii="Times New Roman" w:eastAsia="Calibri" w:hAnsi="Times New Roman" w:cs="Times New Roman"/>
          <w:color w:val="000000" w:themeColor="text1"/>
          <w:sz w:val="28"/>
          <w:szCs w:val="28"/>
        </w:rPr>
        <w:t>:</w:t>
      </w:r>
    </w:p>
    <w:p w14:paraId="694066B5" w14:textId="77777777" w:rsidR="00577FFA" w:rsidRPr="00C71A58" w:rsidRDefault="00A8430D" w:rsidP="00F02640">
      <w:pPr>
        <w:numPr>
          <w:ilvl w:val="0"/>
          <w:numId w:val="2"/>
        </w:numPr>
        <w:tabs>
          <w:tab w:val="left" w:pos="1134"/>
        </w:tabs>
        <w:spacing w:before="0" w:after="0" w:line="240" w:lineRule="auto"/>
        <w:ind w:left="0" w:firstLine="720"/>
        <w:contextualSpacing/>
        <w:jc w:val="both"/>
        <w:rPr>
          <w:rFonts w:ascii="Times New Roman" w:eastAsia="Times New Roman" w:hAnsi="Times New Roman" w:cs="Times New Roman"/>
          <w:sz w:val="28"/>
          <w:szCs w:val="28"/>
        </w:rPr>
      </w:pPr>
      <w:r w:rsidRPr="00C71A58">
        <w:rPr>
          <w:rFonts w:ascii="Times New Roman" w:eastAsia="Times New Roman" w:hAnsi="Times New Roman" w:cs="Times New Roman"/>
          <w:sz w:val="28"/>
          <w:szCs w:val="28"/>
        </w:rPr>
        <w:t>nodarbināto personu EDLUS reģistrēt</w:t>
      </w:r>
      <w:r w:rsidR="00194E66" w:rsidRPr="00C71A58">
        <w:rPr>
          <w:rFonts w:ascii="Times New Roman" w:eastAsia="Times New Roman" w:hAnsi="Times New Roman" w:cs="Times New Roman"/>
          <w:sz w:val="28"/>
          <w:szCs w:val="28"/>
        </w:rPr>
        <w:t xml:space="preserve">ā </w:t>
      </w:r>
      <w:r w:rsidRPr="00C71A58">
        <w:rPr>
          <w:rFonts w:ascii="Times New Roman" w:eastAsia="Times New Roman" w:hAnsi="Times New Roman" w:cs="Times New Roman"/>
          <w:sz w:val="28"/>
          <w:szCs w:val="28"/>
        </w:rPr>
        <w:t>darb</w:t>
      </w:r>
      <w:r w:rsidR="00CC697A" w:rsidRPr="00C71A58">
        <w:rPr>
          <w:rFonts w:ascii="Times New Roman" w:eastAsia="Times New Roman" w:hAnsi="Times New Roman" w:cs="Times New Roman"/>
          <w:sz w:val="28"/>
          <w:szCs w:val="28"/>
        </w:rPr>
        <w:t>a</w:t>
      </w:r>
      <w:r w:rsidRPr="00C71A58">
        <w:rPr>
          <w:rFonts w:ascii="Times New Roman" w:eastAsia="Times New Roman" w:hAnsi="Times New Roman" w:cs="Times New Roman"/>
          <w:sz w:val="28"/>
          <w:szCs w:val="28"/>
        </w:rPr>
        <w:t xml:space="preserve"> laik</w:t>
      </w:r>
      <w:r w:rsidR="00194E66" w:rsidRPr="00C71A58">
        <w:rPr>
          <w:rFonts w:ascii="Times New Roman" w:eastAsia="Times New Roman" w:hAnsi="Times New Roman" w:cs="Times New Roman"/>
          <w:sz w:val="28"/>
          <w:szCs w:val="28"/>
        </w:rPr>
        <w:t xml:space="preserve">a </w:t>
      </w:r>
      <w:r w:rsidRPr="00C71A58">
        <w:rPr>
          <w:rFonts w:ascii="Times New Roman" w:eastAsia="Times New Roman" w:hAnsi="Times New Roman" w:cs="Times New Roman"/>
          <w:sz w:val="28"/>
          <w:szCs w:val="28"/>
        </w:rPr>
        <w:t>salīdzinā</w:t>
      </w:r>
      <w:r w:rsidR="00194E66" w:rsidRPr="00C71A58">
        <w:rPr>
          <w:rFonts w:ascii="Times New Roman" w:eastAsia="Times New Roman" w:hAnsi="Times New Roman" w:cs="Times New Roman"/>
          <w:sz w:val="28"/>
          <w:szCs w:val="28"/>
        </w:rPr>
        <w:t>šanai</w:t>
      </w:r>
      <w:r w:rsidRPr="00C71A58">
        <w:rPr>
          <w:rFonts w:ascii="Times New Roman" w:eastAsia="Times New Roman" w:hAnsi="Times New Roman" w:cs="Times New Roman"/>
          <w:sz w:val="28"/>
          <w:szCs w:val="28"/>
        </w:rPr>
        <w:t xml:space="preserve"> ar </w:t>
      </w:r>
      <w:r w:rsidR="00577FFA" w:rsidRPr="00C71A58">
        <w:rPr>
          <w:rFonts w:ascii="Times New Roman" w:eastAsia="Times New Roman" w:hAnsi="Times New Roman" w:cs="Times New Roman"/>
          <w:sz w:val="28"/>
          <w:szCs w:val="28"/>
        </w:rPr>
        <w:t>VID datubāzē pieejamo informāciju no iesniegtajiem ziņojumiem par valsts sociālās apdrošināšanas obligātajām iemaksām no darba ņēmēju darba ienākumiem, iedzīvotāju ienākuma nodokli un uzņēmējdarbības riska valsts nodevu pārskata mēnesī, lai konstatētu iespējamo nelegālo nodarbinātību vai iespējamo faktiski nostrādāto stundu skaita neatbilstību konkrētiem darba ņēmējiem;</w:t>
      </w:r>
    </w:p>
    <w:p w14:paraId="66B11EF3" w14:textId="77777777" w:rsidR="00577FFA" w:rsidRPr="00C71A58" w:rsidRDefault="00A8430D" w:rsidP="00F02640">
      <w:pPr>
        <w:numPr>
          <w:ilvl w:val="0"/>
          <w:numId w:val="2"/>
        </w:numPr>
        <w:tabs>
          <w:tab w:val="left" w:pos="1134"/>
        </w:tabs>
        <w:spacing w:before="0" w:after="0" w:line="240" w:lineRule="auto"/>
        <w:ind w:left="0" w:firstLine="720"/>
        <w:contextualSpacing/>
        <w:jc w:val="both"/>
        <w:rPr>
          <w:rFonts w:ascii="Times New Roman" w:eastAsia="Times New Roman" w:hAnsi="Times New Roman" w:cs="Times New Roman"/>
          <w:sz w:val="28"/>
          <w:szCs w:val="28"/>
        </w:rPr>
      </w:pPr>
      <w:r w:rsidRPr="00C71A58">
        <w:rPr>
          <w:rFonts w:ascii="Times New Roman" w:eastAsia="Times New Roman" w:hAnsi="Times New Roman" w:cs="Times New Roman"/>
          <w:sz w:val="28"/>
          <w:szCs w:val="28"/>
        </w:rPr>
        <w:t>informācij</w:t>
      </w:r>
      <w:r w:rsidR="006A0836" w:rsidRPr="00C71A58">
        <w:rPr>
          <w:rFonts w:ascii="Times New Roman" w:eastAsia="Times New Roman" w:hAnsi="Times New Roman" w:cs="Times New Roman"/>
          <w:sz w:val="28"/>
          <w:szCs w:val="28"/>
        </w:rPr>
        <w:t>as</w:t>
      </w:r>
      <w:r w:rsidR="00587951" w:rsidRPr="00C71A58">
        <w:rPr>
          <w:rFonts w:ascii="Times New Roman" w:eastAsia="Times New Roman" w:hAnsi="Times New Roman" w:cs="Times New Roman"/>
          <w:sz w:val="28"/>
          <w:szCs w:val="28"/>
        </w:rPr>
        <w:t xml:space="preserve"> </w:t>
      </w:r>
      <w:r w:rsidRPr="00C71A58">
        <w:rPr>
          <w:rFonts w:ascii="Times New Roman" w:eastAsia="Times New Roman" w:hAnsi="Times New Roman" w:cs="Times New Roman"/>
          <w:sz w:val="28"/>
          <w:szCs w:val="28"/>
        </w:rPr>
        <w:t xml:space="preserve">par </w:t>
      </w:r>
      <w:r w:rsidR="00577FFA" w:rsidRPr="00C71A58">
        <w:rPr>
          <w:rFonts w:ascii="Times New Roman" w:eastAsia="Times New Roman" w:hAnsi="Times New Roman" w:cs="Times New Roman"/>
          <w:sz w:val="28"/>
          <w:szCs w:val="28"/>
        </w:rPr>
        <w:t>apakšuzņēmējiem iepriekšējā mēnesī noslēgtajiem būvdarbu līgumiem, kuru līguma summa ir 15</w:t>
      </w:r>
      <w:r w:rsidR="00FA5A60">
        <w:rPr>
          <w:rFonts w:ascii="Times New Roman" w:eastAsia="Times New Roman" w:hAnsi="Times New Roman" w:cs="Times New Roman"/>
          <w:sz w:val="28"/>
          <w:szCs w:val="28"/>
        </w:rPr>
        <w:t> </w:t>
      </w:r>
      <w:r w:rsidR="00577FFA" w:rsidRPr="00C71A58">
        <w:rPr>
          <w:rFonts w:ascii="Times New Roman" w:eastAsia="Times New Roman" w:hAnsi="Times New Roman" w:cs="Times New Roman"/>
          <w:sz w:val="28"/>
          <w:szCs w:val="28"/>
        </w:rPr>
        <w:t>000</w:t>
      </w:r>
      <w:r w:rsidR="00FA5A60">
        <w:rPr>
          <w:rFonts w:ascii="Times New Roman" w:eastAsia="Times New Roman" w:hAnsi="Times New Roman" w:cs="Times New Roman"/>
          <w:sz w:val="28"/>
          <w:szCs w:val="28"/>
        </w:rPr>
        <w:t> </w:t>
      </w:r>
      <w:proofErr w:type="spellStart"/>
      <w:r w:rsidR="00F30009" w:rsidRPr="006610D8">
        <w:rPr>
          <w:rFonts w:ascii="Times New Roman" w:eastAsia="Times New Roman" w:hAnsi="Times New Roman" w:cs="Times New Roman"/>
          <w:i/>
          <w:iCs/>
          <w:sz w:val="28"/>
          <w:szCs w:val="28"/>
        </w:rPr>
        <w:t>euro</w:t>
      </w:r>
      <w:proofErr w:type="spellEnd"/>
      <w:r w:rsidR="00577FFA" w:rsidRPr="00C71A58">
        <w:rPr>
          <w:rFonts w:ascii="Times New Roman" w:eastAsia="Times New Roman" w:hAnsi="Times New Roman" w:cs="Times New Roman"/>
          <w:sz w:val="28"/>
          <w:szCs w:val="28"/>
        </w:rPr>
        <w:t xml:space="preserve"> vai vairāk</w:t>
      </w:r>
      <w:r w:rsidR="004B2045">
        <w:rPr>
          <w:rFonts w:ascii="Times New Roman" w:eastAsia="Times New Roman" w:hAnsi="Times New Roman" w:cs="Times New Roman"/>
          <w:sz w:val="28"/>
          <w:szCs w:val="28"/>
        </w:rPr>
        <w:t>,</w:t>
      </w:r>
      <w:r w:rsidR="005E002D" w:rsidRPr="00C71A58">
        <w:rPr>
          <w:rStyle w:val="FootnoteReference"/>
          <w:rFonts w:ascii="Times New Roman" w:eastAsia="Times New Roman" w:hAnsi="Times New Roman" w:cs="Times New Roman"/>
          <w:sz w:val="28"/>
          <w:szCs w:val="28"/>
        </w:rPr>
        <w:footnoteReference w:id="5"/>
      </w:r>
      <w:r w:rsidR="006A0836" w:rsidRPr="00C71A58">
        <w:rPr>
          <w:rFonts w:ascii="Times New Roman" w:eastAsia="Times New Roman" w:hAnsi="Times New Roman" w:cs="Times New Roman"/>
          <w:sz w:val="28"/>
          <w:szCs w:val="28"/>
        </w:rPr>
        <w:t xml:space="preserve"> izvērtēšanai</w:t>
      </w:r>
      <w:r w:rsidRPr="00C71A58">
        <w:rPr>
          <w:rFonts w:ascii="Times New Roman" w:eastAsia="Times New Roman" w:hAnsi="Times New Roman" w:cs="Times New Roman"/>
          <w:sz w:val="28"/>
          <w:szCs w:val="28"/>
        </w:rPr>
        <w:t xml:space="preserve"> </w:t>
      </w:r>
      <w:r w:rsidR="00577FFA" w:rsidRPr="00C71A58">
        <w:rPr>
          <w:rFonts w:ascii="Times New Roman" w:eastAsia="Times New Roman" w:hAnsi="Times New Roman" w:cs="Times New Roman"/>
          <w:sz w:val="28"/>
          <w:szCs w:val="28"/>
        </w:rPr>
        <w:t xml:space="preserve">nodokļu administrēšanas procesos, </w:t>
      </w:r>
      <w:r w:rsidR="006A0836" w:rsidRPr="00C71A58">
        <w:rPr>
          <w:rFonts w:ascii="Times New Roman" w:eastAsia="Times New Roman" w:hAnsi="Times New Roman" w:cs="Times New Roman"/>
          <w:sz w:val="28"/>
          <w:szCs w:val="28"/>
        </w:rPr>
        <w:t>salīdzinot</w:t>
      </w:r>
      <w:r w:rsidR="00577FFA" w:rsidRPr="00C71A58">
        <w:rPr>
          <w:rFonts w:ascii="Times New Roman" w:eastAsia="Times New Roman" w:hAnsi="Times New Roman" w:cs="Times New Roman"/>
          <w:sz w:val="28"/>
          <w:szCs w:val="28"/>
        </w:rPr>
        <w:t xml:space="preserve"> </w:t>
      </w:r>
      <w:r w:rsidR="006A0836" w:rsidRPr="00C71A58">
        <w:rPr>
          <w:rFonts w:ascii="Times New Roman" w:eastAsia="Times New Roman" w:hAnsi="Times New Roman" w:cs="Times New Roman"/>
          <w:sz w:val="28"/>
          <w:szCs w:val="28"/>
        </w:rPr>
        <w:t xml:space="preserve">ar </w:t>
      </w:r>
      <w:r w:rsidR="00577FFA" w:rsidRPr="00C71A58">
        <w:rPr>
          <w:rFonts w:ascii="Times New Roman" w:eastAsia="Times New Roman" w:hAnsi="Times New Roman" w:cs="Times New Roman"/>
          <w:sz w:val="28"/>
          <w:szCs w:val="28"/>
        </w:rPr>
        <w:t xml:space="preserve">uzņēmuma deklarēto informāciju, kura tiek norādīta gan </w:t>
      </w:r>
      <w:r w:rsidR="00FA5A60">
        <w:rPr>
          <w:rFonts w:ascii="Times New Roman" w:eastAsia="Times New Roman" w:hAnsi="Times New Roman" w:cs="Times New Roman"/>
          <w:sz w:val="28"/>
          <w:szCs w:val="28"/>
        </w:rPr>
        <w:t>pievienotās vērtības nodokļa</w:t>
      </w:r>
      <w:r w:rsidR="00577FFA" w:rsidRPr="00C71A58">
        <w:rPr>
          <w:rFonts w:ascii="Times New Roman" w:eastAsia="Times New Roman" w:hAnsi="Times New Roman" w:cs="Times New Roman"/>
          <w:sz w:val="28"/>
          <w:szCs w:val="28"/>
        </w:rPr>
        <w:t xml:space="preserve"> deklarācijā un tās pielikumos, gan gada pārskatā, kā arī izvērtējot uzņēmuma sadarbības partnerus.</w:t>
      </w:r>
    </w:p>
    <w:p w14:paraId="33FD4398" w14:textId="77777777" w:rsidR="006E266D" w:rsidRDefault="006E266D" w:rsidP="00CE630A">
      <w:pPr>
        <w:spacing w:before="0" w:after="0" w:line="240" w:lineRule="auto"/>
        <w:jc w:val="center"/>
        <w:rPr>
          <w:rFonts w:ascii="Times New Roman" w:eastAsia="Times New Roman" w:hAnsi="Times New Roman" w:cs="Times New Roman"/>
          <w:b/>
          <w:sz w:val="28"/>
          <w:szCs w:val="28"/>
          <w:lang w:eastAsia="lv-LV"/>
        </w:rPr>
      </w:pPr>
    </w:p>
    <w:p w14:paraId="1616E69A" w14:textId="77777777" w:rsidR="002A2216" w:rsidRPr="00217405" w:rsidRDefault="00971777" w:rsidP="00CE630A">
      <w:pPr>
        <w:spacing w:before="0" w:after="0" w:line="240" w:lineRule="auto"/>
        <w:jc w:val="center"/>
        <w:rPr>
          <w:rFonts w:ascii="Times New Roman" w:eastAsia="Times New Roman" w:hAnsi="Times New Roman" w:cs="Times New Roman"/>
          <w:b/>
          <w:sz w:val="28"/>
          <w:szCs w:val="28"/>
          <w:lang w:eastAsia="lv-LV"/>
        </w:rPr>
      </w:pPr>
      <w:r w:rsidRPr="00217405">
        <w:rPr>
          <w:rFonts w:ascii="Times New Roman" w:eastAsia="Times New Roman" w:hAnsi="Times New Roman" w:cs="Times New Roman"/>
          <w:b/>
          <w:sz w:val="28"/>
          <w:szCs w:val="28"/>
          <w:lang w:eastAsia="lv-LV"/>
        </w:rPr>
        <w:t>6</w:t>
      </w:r>
      <w:r w:rsidR="002A2216" w:rsidRPr="00217405">
        <w:rPr>
          <w:rFonts w:ascii="Times New Roman" w:eastAsia="Times New Roman" w:hAnsi="Times New Roman" w:cs="Times New Roman"/>
          <w:b/>
          <w:sz w:val="28"/>
          <w:szCs w:val="28"/>
          <w:lang w:eastAsia="lv-LV"/>
        </w:rPr>
        <w:t>. VDI pārbaudēs konstatētais</w:t>
      </w:r>
    </w:p>
    <w:p w14:paraId="07996742" w14:textId="77777777" w:rsidR="003A4A9A" w:rsidRPr="00217405" w:rsidRDefault="003A4A9A" w:rsidP="003A4A9A">
      <w:pPr>
        <w:spacing w:before="0" w:after="0" w:line="240" w:lineRule="auto"/>
        <w:jc w:val="center"/>
        <w:rPr>
          <w:rFonts w:ascii="Times New Roman" w:eastAsia="Calibri" w:hAnsi="Times New Roman" w:cs="Times New Roman"/>
          <w:b/>
          <w:sz w:val="28"/>
          <w:szCs w:val="28"/>
        </w:rPr>
      </w:pPr>
    </w:p>
    <w:p w14:paraId="231B0321" w14:textId="77777777" w:rsidR="00B55E84" w:rsidRPr="00821558" w:rsidRDefault="00FA1313" w:rsidP="00DD2F82">
      <w:pPr>
        <w:spacing w:before="0" w:after="0" w:line="240" w:lineRule="auto"/>
        <w:ind w:firstLine="720"/>
        <w:jc w:val="both"/>
        <w:rPr>
          <w:rFonts w:ascii="Times New Roman" w:eastAsia="Calibri" w:hAnsi="Times New Roman" w:cs="Times New Roman"/>
          <w:sz w:val="28"/>
          <w:szCs w:val="28"/>
        </w:rPr>
      </w:pPr>
      <w:r w:rsidRPr="00821558">
        <w:rPr>
          <w:rFonts w:ascii="Times New Roman" w:eastAsia="Calibri" w:hAnsi="Times New Roman" w:cs="Times New Roman"/>
          <w:sz w:val="28"/>
          <w:szCs w:val="28"/>
        </w:rPr>
        <w:t>VDI 2018</w:t>
      </w:r>
      <w:r w:rsidR="00337DA8" w:rsidRPr="00821558">
        <w:rPr>
          <w:rFonts w:ascii="Times New Roman" w:eastAsia="Calibri" w:hAnsi="Times New Roman" w:cs="Times New Roman"/>
          <w:sz w:val="28"/>
          <w:szCs w:val="28"/>
        </w:rPr>
        <w:t>.</w:t>
      </w:r>
      <w:r w:rsidR="00DD2F82">
        <w:rPr>
          <w:rFonts w:ascii="Times New Roman" w:eastAsia="Calibri" w:hAnsi="Times New Roman" w:cs="Times New Roman"/>
          <w:sz w:val="28"/>
          <w:szCs w:val="28"/>
        </w:rPr>
        <w:t xml:space="preserve"> un </w:t>
      </w:r>
      <w:r w:rsidRPr="00821558">
        <w:rPr>
          <w:rFonts w:ascii="Times New Roman" w:eastAsia="Calibri" w:hAnsi="Times New Roman" w:cs="Times New Roman"/>
          <w:sz w:val="28"/>
          <w:szCs w:val="28"/>
        </w:rPr>
        <w:t>2019.gadā organizēja tematiskās pārbaudes būvniecības nozares uzņēmumos. Šajā nozarē tematiskās pārbaudes tiek organizētas katru gadu, jo būvobjektos notiek smagi un letāli nelaimes gadījumi, kā arī pastāv augsts nereģistrētās nodarbinātības risks.</w:t>
      </w:r>
    </w:p>
    <w:p w14:paraId="5E53CCA6" w14:textId="73512DA3" w:rsidR="00FA1313" w:rsidRPr="00821558" w:rsidRDefault="00B55E84" w:rsidP="003977E6">
      <w:pPr>
        <w:spacing w:before="0" w:after="0" w:line="240" w:lineRule="auto"/>
        <w:ind w:firstLine="720"/>
        <w:jc w:val="both"/>
        <w:rPr>
          <w:rFonts w:ascii="Times New Roman" w:eastAsia="Calibri" w:hAnsi="Times New Roman" w:cs="Times New Roman"/>
          <w:sz w:val="28"/>
          <w:szCs w:val="28"/>
        </w:rPr>
      </w:pPr>
      <w:r w:rsidRPr="00821558">
        <w:rPr>
          <w:rFonts w:ascii="Times New Roman" w:eastAsia="Calibri" w:hAnsi="Times New Roman" w:cs="Times New Roman"/>
          <w:sz w:val="28"/>
          <w:szCs w:val="28"/>
        </w:rPr>
        <w:t xml:space="preserve">Kopumā būvniecībā vidēji tiek veikta apmēram trešā daļa no visiem VDI veiktajiem </w:t>
      </w:r>
      <w:proofErr w:type="spellStart"/>
      <w:r w:rsidRPr="00821558">
        <w:rPr>
          <w:rFonts w:ascii="Times New Roman" w:eastAsia="Calibri" w:hAnsi="Times New Roman" w:cs="Times New Roman"/>
          <w:sz w:val="28"/>
          <w:szCs w:val="28"/>
        </w:rPr>
        <w:t>apsekojumiem</w:t>
      </w:r>
      <w:proofErr w:type="spellEnd"/>
      <w:r w:rsidRPr="00821558">
        <w:rPr>
          <w:rFonts w:ascii="Times New Roman" w:eastAsia="Calibri" w:hAnsi="Times New Roman" w:cs="Times New Roman"/>
          <w:sz w:val="28"/>
          <w:szCs w:val="28"/>
        </w:rPr>
        <w:t xml:space="preserve">, 2019.gadā </w:t>
      </w:r>
      <w:r w:rsidR="0077209E" w:rsidRPr="00821558">
        <w:rPr>
          <w:rFonts w:ascii="Times New Roman" w:eastAsia="Calibri" w:hAnsi="Times New Roman" w:cs="Times New Roman"/>
          <w:sz w:val="28"/>
          <w:szCs w:val="28"/>
        </w:rPr>
        <w:t>–</w:t>
      </w:r>
      <w:r w:rsidRPr="00821558">
        <w:rPr>
          <w:rFonts w:ascii="Times New Roman" w:eastAsia="Calibri" w:hAnsi="Times New Roman" w:cs="Times New Roman"/>
          <w:sz w:val="28"/>
          <w:szCs w:val="28"/>
        </w:rPr>
        <w:t xml:space="preserve"> pat 41</w:t>
      </w:r>
      <w:r w:rsidR="00D2560F">
        <w:rPr>
          <w:rFonts w:ascii="Times New Roman" w:eastAsia="Calibri" w:hAnsi="Times New Roman" w:cs="Times New Roman"/>
          <w:sz w:val="28"/>
          <w:szCs w:val="28"/>
        </w:rPr>
        <w:t> </w:t>
      </w:r>
      <w:r w:rsidRPr="00821558">
        <w:rPr>
          <w:rFonts w:ascii="Times New Roman" w:eastAsia="Calibri" w:hAnsi="Times New Roman" w:cs="Times New Roman"/>
          <w:sz w:val="28"/>
          <w:szCs w:val="28"/>
        </w:rPr>
        <w:t xml:space="preserve">%. </w:t>
      </w:r>
      <w:r w:rsidR="00FA1313" w:rsidRPr="00821558">
        <w:rPr>
          <w:rFonts w:ascii="Times New Roman" w:eastAsia="Calibri" w:hAnsi="Times New Roman" w:cs="Times New Roman"/>
          <w:sz w:val="28"/>
          <w:szCs w:val="28"/>
        </w:rPr>
        <w:t xml:space="preserve">Veicot pārbaudes būvobjektos, </w:t>
      </w:r>
      <w:r w:rsidR="0077209E" w:rsidRPr="00821558">
        <w:rPr>
          <w:rFonts w:ascii="Times New Roman" w:eastAsia="Calibri" w:hAnsi="Times New Roman" w:cs="Times New Roman"/>
          <w:sz w:val="28"/>
          <w:szCs w:val="28"/>
        </w:rPr>
        <w:t xml:space="preserve">VDI </w:t>
      </w:r>
      <w:r w:rsidR="00FA1313" w:rsidRPr="00821558">
        <w:rPr>
          <w:rFonts w:ascii="Times New Roman" w:eastAsia="Calibri" w:hAnsi="Times New Roman" w:cs="Times New Roman"/>
          <w:sz w:val="28"/>
          <w:szCs w:val="28"/>
        </w:rPr>
        <w:t>pievēr</w:t>
      </w:r>
      <w:r w:rsidR="0077209E" w:rsidRPr="00821558">
        <w:rPr>
          <w:rFonts w:ascii="Times New Roman" w:eastAsia="Calibri" w:hAnsi="Times New Roman" w:cs="Times New Roman"/>
          <w:sz w:val="28"/>
          <w:szCs w:val="28"/>
        </w:rPr>
        <w:t>š</w:t>
      </w:r>
      <w:r w:rsidR="00FA1313" w:rsidRPr="00821558">
        <w:rPr>
          <w:rFonts w:ascii="Times New Roman" w:eastAsia="Calibri" w:hAnsi="Times New Roman" w:cs="Times New Roman"/>
          <w:sz w:val="28"/>
          <w:szCs w:val="28"/>
        </w:rPr>
        <w:t xml:space="preserve"> uzmanīb</w:t>
      </w:r>
      <w:r w:rsidR="0077209E" w:rsidRPr="00821558">
        <w:rPr>
          <w:rFonts w:ascii="Times New Roman" w:eastAsia="Calibri" w:hAnsi="Times New Roman" w:cs="Times New Roman"/>
          <w:sz w:val="28"/>
          <w:szCs w:val="28"/>
        </w:rPr>
        <w:t>u</w:t>
      </w:r>
      <w:r w:rsidR="00FA1313" w:rsidRPr="00821558">
        <w:rPr>
          <w:rFonts w:ascii="Times New Roman" w:eastAsia="Calibri" w:hAnsi="Times New Roman" w:cs="Times New Roman"/>
          <w:sz w:val="28"/>
          <w:szCs w:val="28"/>
        </w:rPr>
        <w:t xml:space="preserve"> arī</w:t>
      </w:r>
      <w:r w:rsidR="00B53D79">
        <w:rPr>
          <w:rFonts w:ascii="Times New Roman" w:eastAsia="Calibri" w:hAnsi="Times New Roman" w:cs="Times New Roman"/>
          <w:sz w:val="28"/>
          <w:szCs w:val="28"/>
        </w:rPr>
        <w:t xml:space="preserve"> tam, vai</w:t>
      </w:r>
      <w:r w:rsidR="00FA1313" w:rsidRPr="00821558">
        <w:rPr>
          <w:rFonts w:ascii="Times New Roman" w:eastAsia="Calibri" w:hAnsi="Times New Roman" w:cs="Times New Roman"/>
          <w:sz w:val="28"/>
          <w:szCs w:val="28"/>
        </w:rPr>
        <w:t xml:space="preserve"> attiecīgajos būv</w:t>
      </w:r>
      <w:r w:rsidR="00B53D79">
        <w:rPr>
          <w:rFonts w:ascii="Times New Roman" w:eastAsia="Calibri" w:hAnsi="Times New Roman" w:cs="Times New Roman"/>
          <w:sz w:val="28"/>
          <w:szCs w:val="28"/>
        </w:rPr>
        <w:t>laukumos tiek izmantots</w:t>
      </w:r>
      <w:r w:rsidR="00B53D79" w:rsidRPr="00B53D79">
        <w:rPr>
          <w:rFonts w:ascii="Times New Roman" w:eastAsia="Calibri" w:hAnsi="Times New Roman" w:cs="Times New Roman"/>
          <w:sz w:val="28"/>
          <w:szCs w:val="28"/>
        </w:rPr>
        <w:t xml:space="preserve"> </w:t>
      </w:r>
      <w:r w:rsidR="00B53D79" w:rsidRPr="00821558">
        <w:rPr>
          <w:rFonts w:ascii="Times New Roman" w:eastAsia="Calibri" w:hAnsi="Times New Roman" w:cs="Times New Roman"/>
          <w:sz w:val="28"/>
          <w:szCs w:val="28"/>
        </w:rPr>
        <w:t>EDLUS</w:t>
      </w:r>
      <w:r w:rsidR="00FA1313" w:rsidRPr="00821558">
        <w:rPr>
          <w:rFonts w:ascii="Times New Roman" w:eastAsia="Calibri" w:hAnsi="Times New Roman" w:cs="Times New Roman"/>
          <w:sz w:val="28"/>
          <w:szCs w:val="28"/>
        </w:rPr>
        <w:t xml:space="preserve">. </w:t>
      </w:r>
      <w:r w:rsidR="00337DA8" w:rsidRPr="00821558">
        <w:rPr>
          <w:rFonts w:ascii="Times New Roman" w:eastAsia="Calibri" w:hAnsi="Times New Roman" w:cs="Times New Roman"/>
          <w:sz w:val="28"/>
          <w:szCs w:val="28"/>
        </w:rPr>
        <w:t xml:space="preserve">Kopā </w:t>
      </w:r>
      <w:r w:rsidRPr="00821558">
        <w:rPr>
          <w:rFonts w:ascii="Times New Roman" w:eastAsia="Calibri" w:hAnsi="Times New Roman" w:cs="Times New Roman"/>
          <w:sz w:val="28"/>
          <w:szCs w:val="28"/>
        </w:rPr>
        <w:t>2018.</w:t>
      </w:r>
      <w:r w:rsidR="00D2560F">
        <w:rPr>
          <w:rFonts w:ascii="Times New Roman" w:eastAsia="Calibri" w:hAnsi="Times New Roman" w:cs="Times New Roman"/>
          <w:sz w:val="28"/>
          <w:szCs w:val="28"/>
        </w:rPr>
        <w:t xml:space="preserve"> un</w:t>
      </w:r>
      <w:r w:rsidR="0077209E" w:rsidRPr="00821558">
        <w:rPr>
          <w:rFonts w:ascii="Times New Roman" w:eastAsia="Calibri" w:hAnsi="Times New Roman" w:cs="Times New Roman"/>
          <w:sz w:val="28"/>
          <w:szCs w:val="28"/>
        </w:rPr>
        <w:t xml:space="preserve"> </w:t>
      </w:r>
      <w:r w:rsidRPr="00821558">
        <w:rPr>
          <w:rFonts w:ascii="Times New Roman" w:eastAsia="Calibri" w:hAnsi="Times New Roman" w:cs="Times New Roman"/>
          <w:sz w:val="28"/>
          <w:szCs w:val="28"/>
        </w:rPr>
        <w:t>2019.gadā</w:t>
      </w:r>
      <w:r w:rsidR="00337DA8" w:rsidRPr="00821558">
        <w:rPr>
          <w:rFonts w:ascii="Times New Roman" w:eastAsia="Calibri" w:hAnsi="Times New Roman" w:cs="Times New Roman"/>
          <w:sz w:val="28"/>
          <w:szCs w:val="28"/>
        </w:rPr>
        <w:t xml:space="preserve"> </w:t>
      </w:r>
      <w:r w:rsidR="00FA1313" w:rsidRPr="00821558">
        <w:rPr>
          <w:rFonts w:ascii="Times New Roman" w:eastAsia="Calibri" w:hAnsi="Times New Roman" w:cs="Times New Roman"/>
          <w:sz w:val="28"/>
          <w:szCs w:val="28"/>
        </w:rPr>
        <w:t>apsekoti 314</w:t>
      </w:r>
      <w:r w:rsidR="00D2560F">
        <w:rPr>
          <w:rFonts w:ascii="Times New Roman" w:eastAsia="Calibri" w:hAnsi="Times New Roman" w:cs="Times New Roman"/>
          <w:sz w:val="28"/>
          <w:szCs w:val="28"/>
        </w:rPr>
        <w:t> </w:t>
      </w:r>
      <w:r w:rsidR="00FA1313" w:rsidRPr="00821558">
        <w:rPr>
          <w:rFonts w:ascii="Times New Roman" w:eastAsia="Calibri" w:hAnsi="Times New Roman" w:cs="Times New Roman"/>
          <w:sz w:val="28"/>
          <w:szCs w:val="28"/>
        </w:rPr>
        <w:t>būvobjekti, EDLUS konstatēta 75</w:t>
      </w:r>
      <w:r w:rsidR="00D2560F">
        <w:rPr>
          <w:rFonts w:ascii="Times New Roman" w:eastAsia="Calibri" w:hAnsi="Times New Roman" w:cs="Times New Roman"/>
          <w:sz w:val="28"/>
          <w:szCs w:val="28"/>
        </w:rPr>
        <w:t> </w:t>
      </w:r>
      <w:r w:rsidR="00FA1313" w:rsidRPr="00821558">
        <w:rPr>
          <w:rFonts w:ascii="Times New Roman" w:eastAsia="Calibri" w:hAnsi="Times New Roman" w:cs="Times New Roman"/>
          <w:sz w:val="28"/>
          <w:szCs w:val="28"/>
        </w:rPr>
        <w:t xml:space="preserve">būvobjektos. </w:t>
      </w:r>
    </w:p>
    <w:p w14:paraId="4FDED6F8" w14:textId="77777777" w:rsidR="0058435E" w:rsidRPr="00821558" w:rsidRDefault="0058435E" w:rsidP="002F0967">
      <w:pPr>
        <w:spacing w:before="0" w:after="0" w:line="240" w:lineRule="auto"/>
        <w:ind w:firstLine="720"/>
        <w:jc w:val="both"/>
        <w:rPr>
          <w:rFonts w:ascii="Times New Roman" w:eastAsia="Calibri" w:hAnsi="Times New Roman" w:cs="Times New Roman"/>
          <w:sz w:val="28"/>
          <w:szCs w:val="28"/>
        </w:rPr>
      </w:pPr>
      <w:r w:rsidRPr="00821558">
        <w:rPr>
          <w:rFonts w:ascii="Times New Roman" w:eastAsia="Calibri" w:hAnsi="Times New Roman" w:cs="Times New Roman"/>
          <w:sz w:val="28"/>
          <w:szCs w:val="28"/>
        </w:rPr>
        <w:t xml:space="preserve">Analizējot atklātos nereģistrētās nodarbinātības gadījumus konkrētās tautsaimniecības nozarēs, jāsecina, ka būvniecības nozarē konstatēts </w:t>
      </w:r>
      <w:r w:rsidR="005A72C6" w:rsidRPr="00821558">
        <w:rPr>
          <w:rFonts w:ascii="Times New Roman" w:eastAsia="Calibri" w:hAnsi="Times New Roman" w:cs="Times New Roman"/>
          <w:sz w:val="28"/>
          <w:szCs w:val="28"/>
        </w:rPr>
        <w:t>vislielākais nereģistrēto nodarbināt</w:t>
      </w:r>
      <w:r w:rsidR="00CC697A" w:rsidRPr="00821558">
        <w:rPr>
          <w:rFonts w:ascii="Times New Roman" w:eastAsia="Calibri" w:hAnsi="Times New Roman" w:cs="Times New Roman"/>
          <w:sz w:val="28"/>
          <w:szCs w:val="28"/>
        </w:rPr>
        <w:t>o</w:t>
      </w:r>
      <w:r w:rsidR="005A72C6" w:rsidRPr="00821558">
        <w:rPr>
          <w:rFonts w:ascii="Times New Roman" w:eastAsia="Calibri" w:hAnsi="Times New Roman" w:cs="Times New Roman"/>
          <w:sz w:val="28"/>
          <w:szCs w:val="28"/>
        </w:rPr>
        <w:t xml:space="preserve"> personu gadījumu skaits, kas v</w:t>
      </w:r>
      <w:r w:rsidRPr="00821558">
        <w:rPr>
          <w:rFonts w:ascii="Times New Roman" w:eastAsia="Calibri" w:hAnsi="Times New Roman" w:cs="Times New Roman"/>
          <w:sz w:val="28"/>
          <w:szCs w:val="28"/>
        </w:rPr>
        <w:t xml:space="preserve">idēji veido vairāk </w:t>
      </w:r>
      <w:r w:rsidR="00D2560F">
        <w:rPr>
          <w:rFonts w:ascii="Times New Roman" w:eastAsia="Calibri" w:hAnsi="Times New Roman" w:cs="Times New Roman"/>
          <w:sz w:val="28"/>
          <w:szCs w:val="28"/>
        </w:rPr>
        <w:t>ne</w:t>
      </w:r>
      <w:r w:rsidRPr="00821558">
        <w:rPr>
          <w:rFonts w:ascii="Times New Roman" w:eastAsia="Calibri" w:hAnsi="Times New Roman" w:cs="Times New Roman"/>
          <w:sz w:val="28"/>
          <w:szCs w:val="28"/>
        </w:rPr>
        <w:t>kā trešdaļu (29–37</w:t>
      </w:r>
      <w:r w:rsidR="00D2560F">
        <w:rPr>
          <w:rFonts w:ascii="Times New Roman" w:eastAsia="Calibri" w:hAnsi="Times New Roman" w:cs="Times New Roman"/>
          <w:sz w:val="28"/>
          <w:szCs w:val="28"/>
        </w:rPr>
        <w:t> </w:t>
      </w:r>
      <w:r w:rsidRPr="00821558">
        <w:rPr>
          <w:rFonts w:ascii="Times New Roman" w:eastAsia="Calibri" w:hAnsi="Times New Roman" w:cs="Times New Roman"/>
          <w:sz w:val="28"/>
          <w:szCs w:val="28"/>
        </w:rPr>
        <w:t>%) no visām VDI konstatētajām nereģistrēt</w:t>
      </w:r>
      <w:r w:rsidR="005A72C6" w:rsidRPr="00821558">
        <w:rPr>
          <w:rFonts w:ascii="Times New Roman" w:eastAsia="Calibri" w:hAnsi="Times New Roman" w:cs="Times New Roman"/>
          <w:sz w:val="28"/>
          <w:szCs w:val="28"/>
        </w:rPr>
        <w:t>ajām</w:t>
      </w:r>
      <w:r w:rsidRPr="00821558">
        <w:rPr>
          <w:rFonts w:ascii="Times New Roman" w:eastAsia="Calibri" w:hAnsi="Times New Roman" w:cs="Times New Roman"/>
          <w:sz w:val="28"/>
          <w:szCs w:val="28"/>
        </w:rPr>
        <w:t xml:space="preserve"> nodarbinātajām personām</w:t>
      </w:r>
      <w:r w:rsidR="002E1E5C" w:rsidRPr="00821558">
        <w:rPr>
          <w:rFonts w:ascii="Times New Roman" w:eastAsia="Calibri" w:hAnsi="Times New Roman" w:cs="Times New Roman"/>
          <w:sz w:val="28"/>
          <w:szCs w:val="28"/>
        </w:rPr>
        <w:t xml:space="preserve"> (skatīt </w:t>
      </w:r>
      <w:r w:rsidR="00E716F3">
        <w:rPr>
          <w:rFonts w:ascii="Times New Roman" w:eastAsia="Calibri" w:hAnsi="Times New Roman" w:cs="Times New Roman"/>
          <w:sz w:val="28"/>
          <w:szCs w:val="28"/>
        </w:rPr>
        <w:t>6.attēlu</w:t>
      </w:r>
      <w:r w:rsidR="002E1E5C" w:rsidRPr="00821558">
        <w:rPr>
          <w:rFonts w:ascii="Times New Roman" w:eastAsia="Calibri" w:hAnsi="Times New Roman" w:cs="Times New Roman"/>
          <w:sz w:val="28"/>
          <w:szCs w:val="28"/>
        </w:rPr>
        <w:t>).</w:t>
      </w:r>
    </w:p>
    <w:p w14:paraId="32E9B9B1" w14:textId="77777777" w:rsidR="003A4A9A" w:rsidRPr="00217405" w:rsidRDefault="003A4A9A" w:rsidP="008C0008">
      <w:pPr>
        <w:spacing w:before="0" w:after="0" w:line="240" w:lineRule="auto"/>
        <w:ind w:left="284"/>
        <w:jc w:val="both"/>
        <w:rPr>
          <w:rFonts w:ascii="Times New Roman" w:eastAsia="Calibri" w:hAnsi="Times New Roman" w:cs="Times New Roman"/>
          <w:b/>
          <w:sz w:val="28"/>
          <w:szCs w:val="28"/>
        </w:rPr>
      </w:pPr>
      <w:r w:rsidRPr="00217405">
        <w:rPr>
          <w:rFonts w:ascii="Times New Roman" w:eastAsia="Calibri" w:hAnsi="Times New Roman" w:cs="Times New Roman"/>
          <w:noProof/>
          <w:sz w:val="28"/>
          <w:szCs w:val="28"/>
          <w:lang w:eastAsia="lv-LV"/>
        </w:rPr>
        <w:drawing>
          <wp:inline distT="0" distB="0" distL="0" distR="0" wp14:anchorId="2692A584" wp14:editId="645D1643">
            <wp:extent cx="4838700" cy="21907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858DB9" w14:textId="77777777" w:rsidR="003B268A" w:rsidRPr="00217405" w:rsidRDefault="00E716F3" w:rsidP="008C0008">
      <w:pPr>
        <w:spacing w:before="0" w:after="0" w:line="240" w:lineRule="auto"/>
        <w:jc w:val="both"/>
        <w:rPr>
          <w:rFonts w:ascii="Times New Roman" w:eastAsia="Calibri" w:hAnsi="Times New Roman" w:cs="Times New Roman"/>
          <w:b/>
          <w:sz w:val="28"/>
          <w:szCs w:val="28"/>
        </w:rPr>
      </w:pPr>
      <w:r w:rsidRPr="00177D8E">
        <w:rPr>
          <w:rFonts w:ascii="Times New Roman" w:eastAsia="Calibri" w:hAnsi="Times New Roman" w:cs="Times New Roman"/>
          <w:sz w:val="28"/>
          <w:szCs w:val="28"/>
        </w:rPr>
        <w:t>6.</w:t>
      </w:r>
      <w:r w:rsidR="003B268A" w:rsidRPr="00177D8E">
        <w:rPr>
          <w:rFonts w:ascii="Times New Roman" w:eastAsia="Calibri" w:hAnsi="Times New Roman" w:cs="Times New Roman"/>
          <w:sz w:val="28"/>
          <w:szCs w:val="28"/>
        </w:rPr>
        <w:t>attēls.</w:t>
      </w:r>
      <w:r w:rsidR="003B268A" w:rsidRPr="00217405">
        <w:rPr>
          <w:rFonts w:ascii="Times New Roman" w:eastAsia="Calibri" w:hAnsi="Times New Roman" w:cs="Times New Roman"/>
          <w:b/>
          <w:sz w:val="28"/>
          <w:szCs w:val="28"/>
        </w:rPr>
        <w:t xml:space="preserve"> VDI atklāto nereģistrēti nodarbināto personu skaits</w:t>
      </w:r>
    </w:p>
    <w:p w14:paraId="157346F7" w14:textId="77777777" w:rsidR="00E44331" w:rsidRPr="00217405" w:rsidRDefault="00E44331" w:rsidP="005E08CF">
      <w:pPr>
        <w:spacing w:before="0" w:after="0" w:line="240" w:lineRule="auto"/>
        <w:ind w:firstLine="720"/>
        <w:jc w:val="both"/>
        <w:rPr>
          <w:rFonts w:ascii="Times New Roman" w:eastAsia="Calibri" w:hAnsi="Times New Roman" w:cs="Times New Roman"/>
          <w:b/>
          <w:sz w:val="28"/>
          <w:szCs w:val="28"/>
          <w:highlight w:val="yellow"/>
        </w:rPr>
      </w:pPr>
    </w:p>
    <w:p w14:paraId="0276413C" w14:textId="3284AEE4" w:rsidR="003A4A9A" w:rsidRDefault="003A4A9A" w:rsidP="00D2560F">
      <w:pPr>
        <w:spacing w:before="0" w:after="0" w:line="240" w:lineRule="auto"/>
        <w:ind w:firstLine="720"/>
        <w:jc w:val="both"/>
        <w:rPr>
          <w:rFonts w:ascii="Times New Roman" w:eastAsia="Calibri" w:hAnsi="Times New Roman" w:cs="Times New Roman"/>
          <w:sz w:val="28"/>
          <w:szCs w:val="28"/>
        </w:rPr>
      </w:pPr>
      <w:r w:rsidRPr="00217405">
        <w:rPr>
          <w:rFonts w:ascii="Times New Roman" w:eastAsia="Calibri" w:hAnsi="Times New Roman" w:cs="Times New Roman"/>
          <w:sz w:val="28"/>
          <w:szCs w:val="28"/>
        </w:rPr>
        <w:t>Vienlaikus jāatzīmē pozitīva iezīme, kurai ir tendence pieaugt, proti, pēc VDI</w:t>
      </w:r>
      <w:r w:rsidR="00A75320" w:rsidRPr="00217405">
        <w:rPr>
          <w:rFonts w:ascii="Times New Roman" w:eastAsia="Calibri" w:hAnsi="Times New Roman" w:cs="Times New Roman"/>
          <w:sz w:val="28"/>
          <w:szCs w:val="28"/>
        </w:rPr>
        <w:t xml:space="preserve"> </w:t>
      </w:r>
      <w:r w:rsidRPr="00217405">
        <w:rPr>
          <w:rFonts w:ascii="Times New Roman" w:eastAsia="Calibri" w:hAnsi="Times New Roman" w:cs="Times New Roman"/>
          <w:sz w:val="28"/>
          <w:szCs w:val="28"/>
        </w:rPr>
        <w:t>pārbaudēm darba tiesiskās attiecības ar atklātajām nereģistrēti nodarbinātajām personām būvniecībā tiek legalizētas vidēji divās trešdaļās (60</w:t>
      </w:r>
      <w:r w:rsidR="0077209E" w:rsidRPr="00C34227">
        <w:rPr>
          <w:rFonts w:ascii="Times New Roman" w:eastAsia="Calibri" w:hAnsi="Times New Roman" w:cs="Times New Roman"/>
          <w:sz w:val="28"/>
          <w:szCs w:val="28"/>
        </w:rPr>
        <w:t>–</w:t>
      </w:r>
      <w:r w:rsidRPr="00217405">
        <w:rPr>
          <w:rFonts w:ascii="Times New Roman" w:eastAsia="Calibri" w:hAnsi="Times New Roman" w:cs="Times New Roman"/>
          <w:sz w:val="28"/>
          <w:szCs w:val="28"/>
        </w:rPr>
        <w:t>71</w:t>
      </w:r>
      <w:r w:rsidR="0077209E">
        <w:rPr>
          <w:rFonts w:ascii="Times New Roman" w:eastAsia="Calibri" w:hAnsi="Times New Roman" w:cs="Times New Roman"/>
          <w:sz w:val="28"/>
          <w:szCs w:val="28"/>
        </w:rPr>
        <w:t> </w:t>
      </w:r>
      <w:r w:rsidRPr="00217405">
        <w:rPr>
          <w:rFonts w:ascii="Times New Roman" w:eastAsia="Calibri" w:hAnsi="Times New Roman" w:cs="Times New Roman"/>
          <w:sz w:val="28"/>
          <w:szCs w:val="28"/>
        </w:rPr>
        <w:t>%) gadījumu, t.i.</w:t>
      </w:r>
      <w:r w:rsidR="0077209E">
        <w:rPr>
          <w:rFonts w:ascii="Times New Roman" w:eastAsia="Calibri" w:hAnsi="Times New Roman" w:cs="Times New Roman"/>
          <w:sz w:val="28"/>
          <w:szCs w:val="28"/>
        </w:rPr>
        <w:t>,</w:t>
      </w:r>
      <w:r w:rsidRPr="00217405">
        <w:rPr>
          <w:rFonts w:ascii="Times New Roman" w:eastAsia="Calibri" w:hAnsi="Times New Roman" w:cs="Times New Roman"/>
          <w:sz w:val="28"/>
          <w:szCs w:val="28"/>
        </w:rPr>
        <w:t xml:space="preserve"> ar nereģistrēt</w:t>
      </w:r>
      <w:r w:rsidR="00E11E99" w:rsidRPr="00217405">
        <w:rPr>
          <w:rFonts w:ascii="Times New Roman" w:eastAsia="Calibri" w:hAnsi="Times New Roman" w:cs="Times New Roman"/>
          <w:sz w:val="28"/>
          <w:szCs w:val="28"/>
        </w:rPr>
        <w:t>o</w:t>
      </w:r>
      <w:r w:rsidRPr="00217405">
        <w:rPr>
          <w:rFonts w:ascii="Times New Roman" w:eastAsia="Calibri" w:hAnsi="Times New Roman" w:cs="Times New Roman"/>
          <w:sz w:val="28"/>
          <w:szCs w:val="28"/>
        </w:rPr>
        <w:t xml:space="preserve"> nodarbināto personu tiek noslēgts darba līgums un persona reģistrēta VID kā darba ņēmējs. </w:t>
      </w:r>
    </w:p>
    <w:p w14:paraId="27363041" w14:textId="77777777" w:rsidR="00EF0CB0" w:rsidRPr="00217405" w:rsidRDefault="00EF0CB0" w:rsidP="00D2560F">
      <w:pPr>
        <w:spacing w:before="0" w:after="0" w:line="240" w:lineRule="auto"/>
        <w:ind w:firstLine="720"/>
        <w:jc w:val="both"/>
        <w:rPr>
          <w:rFonts w:ascii="Times New Roman" w:eastAsia="Calibri" w:hAnsi="Times New Roman" w:cs="Times New Roman"/>
          <w:b/>
          <w:sz w:val="28"/>
          <w:szCs w:val="28"/>
        </w:rPr>
      </w:pPr>
    </w:p>
    <w:p w14:paraId="64799798" w14:textId="77777777" w:rsidR="003A4A9A" w:rsidRPr="00217405" w:rsidRDefault="003A4A9A" w:rsidP="003A4A9A">
      <w:pPr>
        <w:spacing w:before="0" w:after="0" w:line="240" w:lineRule="auto"/>
        <w:jc w:val="both"/>
        <w:rPr>
          <w:rFonts w:ascii="Times New Roman" w:eastAsia="Calibri" w:hAnsi="Times New Roman" w:cs="Times New Roman"/>
          <w:b/>
          <w:sz w:val="28"/>
          <w:szCs w:val="28"/>
        </w:rPr>
      </w:pPr>
      <w:r w:rsidRPr="00217405">
        <w:rPr>
          <w:rFonts w:ascii="Times New Roman" w:eastAsia="Calibri" w:hAnsi="Times New Roman" w:cs="Times New Roman"/>
          <w:noProof/>
          <w:sz w:val="28"/>
          <w:szCs w:val="28"/>
          <w:lang w:eastAsia="lv-LV"/>
        </w:rPr>
        <w:drawing>
          <wp:inline distT="0" distB="0" distL="0" distR="0" wp14:anchorId="706B4645" wp14:editId="5EAA4597">
            <wp:extent cx="5334000" cy="24288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B9A07A" w14:textId="64E5F5C4" w:rsidR="009863B6" w:rsidRPr="00217405" w:rsidRDefault="00E716F3" w:rsidP="005E08CF">
      <w:pPr>
        <w:spacing w:before="0" w:after="0" w:line="240" w:lineRule="auto"/>
        <w:jc w:val="center"/>
        <w:rPr>
          <w:rFonts w:ascii="Times New Roman" w:eastAsia="Calibri" w:hAnsi="Times New Roman" w:cs="Times New Roman"/>
          <w:b/>
          <w:sz w:val="28"/>
          <w:szCs w:val="28"/>
        </w:rPr>
      </w:pPr>
      <w:r w:rsidRPr="00177D8E">
        <w:rPr>
          <w:rFonts w:ascii="Times New Roman" w:eastAsia="Calibri" w:hAnsi="Times New Roman" w:cs="Times New Roman"/>
          <w:sz w:val="28"/>
          <w:szCs w:val="28"/>
        </w:rPr>
        <w:t>7.</w:t>
      </w:r>
      <w:r w:rsidR="009863B6" w:rsidRPr="00177D8E">
        <w:rPr>
          <w:rFonts w:ascii="Times New Roman" w:eastAsia="Calibri" w:hAnsi="Times New Roman" w:cs="Times New Roman"/>
          <w:sz w:val="28"/>
          <w:szCs w:val="28"/>
        </w:rPr>
        <w:t>attēls.</w:t>
      </w:r>
      <w:r w:rsidR="009863B6" w:rsidRPr="00217405">
        <w:rPr>
          <w:rFonts w:ascii="Times New Roman" w:eastAsia="Calibri" w:hAnsi="Times New Roman" w:cs="Times New Roman"/>
          <w:b/>
          <w:sz w:val="28"/>
          <w:szCs w:val="28"/>
        </w:rPr>
        <w:t xml:space="preserve"> Būvniecībā atklāto nereģistrēt</w:t>
      </w:r>
      <w:r w:rsidR="00E11E99" w:rsidRPr="00217405">
        <w:rPr>
          <w:rFonts w:ascii="Times New Roman" w:eastAsia="Calibri" w:hAnsi="Times New Roman" w:cs="Times New Roman"/>
          <w:b/>
          <w:sz w:val="28"/>
          <w:szCs w:val="28"/>
        </w:rPr>
        <w:t>o</w:t>
      </w:r>
      <w:r w:rsidR="009863B6" w:rsidRPr="00217405">
        <w:rPr>
          <w:rFonts w:ascii="Times New Roman" w:eastAsia="Calibri" w:hAnsi="Times New Roman" w:cs="Times New Roman"/>
          <w:b/>
          <w:sz w:val="28"/>
          <w:szCs w:val="28"/>
        </w:rPr>
        <w:t xml:space="preserve"> nodarbināto personu skaits, ar kurām darba tiesiskās attiecības legalizētas pēc VDI pārbaudes</w:t>
      </w:r>
    </w:p>
    <w:p w14:paraId="174E1E46" w14:textId="77777777" w:rsidR="003B655F" w:rsidRDefault="003B655F" w:rsidP="009863B6">
      <w:pPr>
        <w:spacing w:before="0" w:after="0" w:line="240" w:lineRule="auto"/>
        <w:ind w:firstLine="709"/>
        <w:rPr>
          <w:rFonts w:ascii="Times New Roman" w:eastAsia="Calibri" w:hAnsi="Times New Roman" w:cs="Times New Roman"/>
          <w:b/>
          <w:i/>
          <w:sz w:val="28"/>
          <w:szCs w:val="28"/>
        </w:rPr>
      </w:pPr>
    </w:p>
    <w:p w14:paraId="3EE9894B" w14:textId="77777777" w:rsidR="00195713" w:rsidRDefault="00195713" w:rsidP="005E08CF">
      <w:pPr>
        <w:spacing w:before="0" w:after="0" w:line="240" w:lineRule="auto"/>
        <w:ind w:firstLine="720"/>
        <w:jc w:val="both"/>
        <w:rPr>
          <w:rFonts w:ascii="Times New Roman" w:eastAsia="Calibri" w:hAnsi="Times New Roman" w:cs="Times New Roman"/>
          <w:b/>
          <w:i/>
          <w:sz w:val="28"/>
          <w:szCs w:val="28"/>
        </w:rPr>
      </w:pPr>
    </w:p>
    <w:p w14:paraId="2AEC0E84" w14:textId="0D7E3CA7" w:rsidR="003A4A9A" w:rsidRPr="00821558" w:rsidRDefault="003A4A9A" w:rsidP="005E08CF">
      <w:pPr>
        <w:spacing w:before="0" w:after="0" w:line="240" w:lineRule="auto"/>
        <w:ind w:firstLine="720"/>
        <w:jc w:val="both"/>
        <w:rPr>
          <w:rFonts w:ascii="Times New Roman" w:eastAsia="Calibri" w:hAnsi="Times New Roman" w:cs="Times New Roman"/>
          <w:b/>
          <w:i/>
          <w:sz w:val="28"/>
          <w:szCs w:val="28"/>
        </w:rPr>
      </w:pPr>
      <w:r w:rsidRPr="00821558">
        <w:rPr>
          <w:rFonts w:ascii="Times New Roman" w:eastAsia="Calibri" w:hAnsi="Times New Roman" w:cs="Times New Roman"/>
          <w:b/>
          <w:i/>
          <w:sz w:val="28"/>
          <w:szCs w:val="28"/>
        </w:rPr>
        <w:t>Kas apgrūtina veikt kontroli un uzraudzību</w:t>
      </w:r>
    </w:p>
    <w:p w14:paraId="3CF5A270" w14:textId="77777777" w:rsidR="00C8233B" w:rsidRPr="00821558" w:rsidRDefault="001E2515" w:rsidP="005E08CF">
      <w:pPr>
        <w:autoSpaceDE w:val="0"/>
        <w:autoSpaceDN w:val="0"/>
        <w:adjustRightInd w:val="0"/>
        <w:spacing w:before="0" w:after="0" w:line="240" w:lineRule="auto"/>
        <w:ind w:firstLine="720"/>
        <w:jc w:val="both"/>
        <w:rPr>
          <w:rFonts w:ascii="Times New Roman" w:eastAsia="Calibri" w:hAnsi="Times New Roman" w:cs="Times New Roman"/>
          <w:sz w:val="28"/>
          <w:szCs w:val="28"/>
        </w:rPr>
      </w:pPr>
      <w:r w:rsidRPr="00821558">
        <w:rPr>
          <w:rFonts w:ascii="Times New Roman" w:eastAsia="Calibri" w:hAnsi="Times New Roman" w:cs="Times New Roman"/>
          <w:sz w:val="28"/>
          <w:szCs w:val="28"/>
        </w:rPr>
        <w:t>K</w:t>
      </w:r>
      <w:r w:rsidR="003A4A9A" w:rsidRPr="00821558">
        <w:rPr>
          <w:rFonts w:ascii="Times New Roman" w:eastAsia="Calibri" w:hAnsi="Times New Roman" w:cs="Times New Roman"/>
          <w:sz w:val="28"/>
          <w:szCs w:val="28"/>
        </w:rPr>
        <w:t xml:space="preserve">onstatētas situācijas, kad </w:t>
      </w:r>
      <w:r w:rsidR="00C8233B" w:rsidRPr="00821558">
        <w:rPr>
          <w:rFonts w:ascii="Times New Roman" w:eastAsia="Calibri" w:hAnsi="Times New Roman" w:cs="Times New Roman"/>
          <w:sz w:val="28"/>
          <w:szCs w:val="28"/>
        </w:rPr>
        <w:t xml:space="preserve">EDLUS </w:t>
      </w:r>
      <w:r w:rsidR="003B655F">
        <w:rPr>
          <w:rFonts w:ascii="Times New Roman" w:eastAsia="Calibri" w:hAnsi="Times New Roman" w:cs="Times New Roman"/>
          <w:sz w:val="28"/>
          <w:szCs w:val="28"/>
        </w:rPr>
        <w:t>reģistrācijas</w:t>
      </w:r>
      <w:r w:rsidR="003A4A9A" w:rsidRPr="00821558">
        <w:rPr>
          <w:rFonts w:ascii="Times New Roman" w:eastAsia="Calibri" w:hAnsi="Times New Roman" w:cs="Times New Roman"/>
          <w:sz w:val="28"/>
          <w:szCs w:val="28"/>
        </w:rPr>
        <w:t xml:space="preserve"> vieta </w:t>
      </w:r>
      <w:r w:rsidR="00C8233B" w:rsidRPr="00821558">
        <w:rPr>
          <w:rFonts w:ascii="Times New Roman" w:eastAsia="Calibri" w:hAnsi="Times New Roman" w:cs="Times New Roman"/>
          <w:sz w:val="28"/>
          <w:szCs w:val="28"/>
        </w:rPr>
        <w:t>atrodas lielā attālumā no darbu veikšanas vietas</w:t>
      </w:r>
      <w:r w:rsidR="003A4A9A" w:rsidRPr="00821558">
        <w:rPr>
          <w:rFonts w:ascii="Times New Roman" w:eastAsia="Calibri" w:hAnsi="Times New Roman" w:cs="Times New Roman"/>
          <w:sz w:val="28"/>
          <w:szCs w:val="28"/>
        </w:rPr>
        <w:t>, piemēram, ja būvdarb</w:t>
      </w:r>
      <w:r w:rsidRPr="00821558">
        <w:rPr>
          <w:rFonts w:ascii="Times New Roman" w:eastAsia="Calibri" w:hAnsi="Times New Roman" w:cs="Times New Roman"/>
          <w:sz w:val="28"/>
          <w:szCs w:val="28"/>
        </w:rPr>
        <w:t>us</w:t>
      </w:r>
      <w:r w:rsidR="003A4A9A" w:rsidRPr="00821558">
        <w:rPr>
          <w:rFonts w:ascii="Times New Roman" w:eastAsia="Calibri" w:hAnsi="Times New Roman" w:cs="Times New Roman"/>
          <w:sz w:val="28"/>
          <w:szCs w:val="28"/>
        </w:rPr>
        <w:t xml:space="preserve"> vei</w:t>
      </w:r>
      <w:r w:rsidRPr="00821558">
        <w:rPr>
          <w:rFonts w:ascii="Times New Roman" w:eastAsia="Calibri" w:hAnsi="Times New Roman" w:cs="Times New Roman"/>
          <w:sz w:val="28"/>
          <w:szCs w:val="28"/>
        </w:rPr>
        <w:t>c</w:t>
      </w:r>
      <w:r w:rsidR="003A4A9A" w:rsidRPr="00821558">
        <w:rPr>
          <w:rFonts w:ascii="Times New Roman" w:eastAsia="Calibri" w:hAnsi="Times New Roman" w:cs="Times New Roman"/>
          <w:sz w:val="28"/>
          <w:szCs w:val="28"/>
        </w:rPr>
        <w:t xml:space="preserve"> uz lielajām maģistrālēm</w:t>
      </w:r>
      <w:r w:rsidR="00C8233B" w:rsidRPr="00821558">
        <w:rPr>
          <w:rFonts w:ascii="Times New Roman" w:eastAsia="Calibri" w:hAnsi="Times New Roman" w:cs="Times New Roman"/>
          <w:sz w:val="28"/>
          <w:szCs w:val="28"/>
        </w:rPr>
        <w:t xml:space="preserve"> vai </w:t>
      </w:r>
      <w:r w:rsidR="003A4A9A" w:rsidRPr="00821558">
        <w:rPr>
          <w:rFonts w:ascii="Times New Roman" w:eastAsia="Calibri" w:hAnsi="Times New Roman" w:cs="Times New Roman"/>
          <w:sz w:val="28"/>
          <w:szCs w:val="28"/>
        </w:rPr>
        <w:t>būvlaukums aptver plašu teritoriju</w:t>
      </w:r>
      <w:r w:rsidR="00506D07" w:rsidRPr="00821558">
        <w:rPr>
          <w:rFonts w:ascii="Times New Roman" w:eastAsia="Calibri" w:hAnsi="Times New Roman" w:cs="Times New Roman"/>
          <w:sz w:val="28"/>
          <w:szCs w:val="28"/>
        </w:rPr>
        <w:t xml:space="preserve"> ar vairākām </w:t>
      </w:r>
      <w:r w:rsidR="003A4A9A" w:rsidRPr="00821558">
        <w:rPr>
          <w:rFonts w:ascii="Times New Roman" w:eastAsia="Calibri" w:hAnsi="Times New Roman" w:cs="Times New Roman"/>
          <w:sz w:val="28"/>
          <w:szCs w:val="28"/>
        </w:rPr>
        <w:t>ieej</w:t>
      </w:r>
      <w:r w:rsidR="00506D07" w:rsidRPr="00821558">
        <w:rPr>
          <w:rFonts w:ascii="Times New Roman" w:eastAsia="Calibri" w:hAnsi="Times New Roman" w:cs="Times New Roman"/>
          <w:sz w:val="28"/>
          <w:szCs w:val="28"/>
        </w:rPr>
        <w:t>ām</w:t>
      </w:r>
      <w:r w:rsidR="003A4A9A" w:rsidRPr="00821558">
        <w:rPr>
          <w:rFonts w:ascii="Times New Roman" w:eastAsia="Calibri" w:hAnsi="Times New Roman" w:cs="Times New Roman"/>
          <w:sz w:val="28"/>
          <w:szCs w:val="28"/>
        </w:rPr>
        <w:t>/izej</w:t>
      </w:r>
      <w:r w:rsidR="00506D07" w:rsidRPr="00821558">
        <w:rPr>
          <w:rFonts w:ascii="Times New Roman" w:eastAsia="Calibri" w:hAnsi="Times New Roman" w:cs="Times New Roman"/>
          <w:sz w:val="28"/>
          <w:szCs w:val="28"/>
        </w:rPr>
        <w:t xml:space="preserve">ām, bet ar vienu </w:t>
      </w:r>
      <w:r w:rsidR="003A4A9A" w:rsidRPr="00821558">
        <w:rPr>
          <w:rFonts w:ascii="Times New Roman" w:eastAsia="Calibri" w:hAnsi="Times New Roman" w:cs="Times New Roman"/>
          <w:sz w:val="28"/>
          <w:szCs w:val="28"/>
        </w:rPr>
        <w:t xml:space="preserve">EDLUS reģistrācijas </w:t>
      </w:r>
      <w:r w:rsidR="00506D07" w:rsidRPr="00821558">
        <w:rPr>
          <w:rFonts w:ascii="Times New Roman" w:eastAsia="Calibri" w:hAnsi="Times New Roman" w:cs="Times New Roman"/>
          <w:sz w:val="28"/>
          <w:szCs w:val="28"/>
        </w:rPr>
        <w:t>vietu</w:t>
      </w:r>
      <w:r w:rsidRPr="00821558">
        <w:rPr>
          <w:rFonts w:ascii="Times New Roman" w:eastAsia="Calibri" w:hAnsi="Times New Roman" w:cs="Times New Roman"/>
          <w:sz w:val="28"/>
          <w:szCs w:val="28"/>
        </w:rPr>
        <w:t>.</w:t>
      </w:r>
      <w:r w:rsidR="00C8233B" w:rsidRPr="00821558">
        <w:rPr>
          <w:rFonts w:ascii="Times New Roman" w:eastAsia="Calibri" w:hAnsi="Times New Roman" w:cs="Times New Roman"/>
          <w:sz w:val="28"/>
          <w:szCs w:val="28"/>
        </w:rPr>
        <w:t xml:space="preserve"> </w:t>
      </w:r>
      <w:r w:rsidRPr="00821558">
        <w:rPr>
          <w:rFonts w:ascii="Times New Roman" w:eastAsia="Calibri" w:hAnsi="Times New Roman" w:cs="Times New Roman"/>
          <w:sz w:val="28"/>
          <w:szCs w:val="28"/>
        </w:rPr>
        <w:t>L</w:t>
      </w:r>
      <w:r w:rsidR="00C8233B" w:rsidRPr="00821558">
        <w:rPr>
          <w:rFonts w:ascii="Times New Roman" w:eastAsia="Calibri" w:hAnsi="Times New Roman" w:cs="Times New Roman"/>
          <w:sz w:val="28"/>
          <w:szCs w:val="28"/>
        </w:rPr>
        <w:t xml:space="preserve">ai reģistrētu savu ierašanos būvlaukumā un tā atstāšanu, </w:t>
      </w:r>
      <w:r w:rsidRPr="00821558">
        <w:rPr>
          <w:rFonts w:ascii="Times New Roman" w:eastAsia="Calibri" w:hAnsi="Times New Roman" w:cs="Times New Roman"/>
          <w:sz w:val="28"/>
          <w:szCs w:val="28"/>
        </w:rPr>
        <w:t xml:space="preserve">nodarbinātajiem </w:t>
      </w:r>
      <w:r w:rsidR="00C8233B" w:rsidRPr="00821558">
        <w:rPr>
          <w:rFonts w:ascii="Times New Roman" w:eastAsia="Calibri" w:hAnsi="Times New Roman" w:cs="Times New Roman"/>
          <w:sz w:val="28"/>
          <w:szCs w:val="28"/>
        </w:rPr>
        <w:t>jāmēro ievērojams attālums. Tādējādi darbinieki neaiziet līdz reģistrēšanās vietai un EDLUS reģistrēt</w:t>
      </w:r>
      <w:r w:rsidR="00CC697A" w:rsidRPr="00821558">
        <w:rPr>
          <w:rFonts w:ascii="Times New Roman" w:eastAsia="Calibri" w:hAnsi="Times New Roman" w:cs="Times New Roman"/>
          <w:sz w:val="28"/>
          <w:szCs w:val="28"/>
        </w:rPr>
        <w:t>ā</w:t>
      </w:r>
      <w:r w:rsidR="00C8233B" w:rsidRPr="00821558">
        <w:rPr>
          <w:rFonts w:ascii="Times New Roman" w:eastAsia="Calibri" w:hAnsi="Times New Roman" w:cs="Times New Roman"/>
          <w:sz w:val="28"/>
          <w:szCs w:val="28"/>
        </w:rPr>
        <w:t xml:space="preserve"> informācija neatspoguļo nodarbināto faktiski nostrādāto laiku.</w:t>
      </w:r>
    </w:p>
    <w:p w14:paraId="36657D47" w14:textId="77777777" w:rsidR="003A4A9A" w:rsidRPr="00821558" w:rsidRDefault="003A4A9A" w:rsidP="003B655F">
      <w:pPr>
        <w:spacing w:before="0" w:after="0" w:line="240" w:lineRule="auto"/>
        <w:ind w:firstLine="720"/>
        <w:jc w:val="both"/>
        <w:rPr>
          <w:rFonts w:ascii="Times New Roman" w:eastAsia="Calibri" w:hAnsi="Times New Roman" w:cs="Times New Roman"/>
          <w:sz w:val="28"/>
          <w:szCs w:val="28"/>
        </w:rPr>
      </w:pPr>
    </w:p>
    <w:p w14:paraId="6E83D76B" w14:textId="77777777" w:rsidR="005F2019" w:rsidRPr="00217405" w:rsidRDefault="003A4A9A" w:rsidP="003977E6">
      <w:pPr>
        <w:autoSpaceDE w:val="0"/>
        <w:autoSpaceDN w:val="0"/>
        <w:adjustRightInd w:val="0"/>
        <w:spacing w:before="0" w:after="0" w:line="240" w:lineRule="auto"/>
        <w:ind w:firstLine="720"/>
        <w:jc w:val="both"/>
        <w:rPr>
          <w:rFonts w:ascii="Times New Roman" w:eastAsia="Calibri" w:hAnsi="Times New Roman" w:cs="Times New Roman"/>
          <w:sz w:val="28"/>
          <w:szCs w:val="28"/>
        </w:rPr>
      </w:pPr>
      <w:r w:rsidRPr="00821558">
        <w:rPr>
          <w:rFonts w:ascii="Times New Roman" w:eastAsia="Calibri" w:hAnsi="Times New Roman" w:cs="Times New Roman"/>
          <w:sz w:val="28"/>
          <w:szCs w:val="28"/>
        </w:rPr>
        <w:t>Veicot kontroli, konstatēti gadījumi, ka</w:t>
      </w:r>
      <w:r w:rsidR="00C45063">
        <w:rPr>
          <w:rFonts w:ascii="Times New Roman" w:eastAsia="Calibri" w:hAnsi="Times New Roman" w:cs="Times New Roman"/>
          <w:sz w:val="28"/>
          <w:szCs w:val="28"/>
        </w:rPr>
        <w:t>d</w:t>
      </w:r>
      <w:r w:rsidRPr="00821558">
        <w:rPr>
          <w:rFonts w:ascii="Times New Roman" w:eastAsia="Calibri" w:hAnsi="Times New Roman" w:cs="Times New Roman"/>
          <w:sz w:val="28"/>
          <w:szCs w:val="28"/>
        </w:rPr>
        <w:t xml:space="preserve"> būvlaukumos nav nodrošināta iespēja operatīvi saņemt pārbaudei nepieciešamo EDLUS informāciju par personām, kas pārbaudes brīdī nodarbinātas būvlaukumā</w:t>
      </w:r>
      <w:r w:rsidR="00C8233B" w:rsidRPr="00821558">
        <w:rPr>
          <w:rFonts w:ascii="Times New Roman" w:eastAsia="Calibri" w:hAnsi="Times New Roman" w:cs="Times New Roman"/>
          <w:sz w:val="28"/>
          <w:szCs w:val="28"/>
        </w:rPr>
        <w:t xml:space="preserve">, </w:t>
      </w:r>
      <w:r w:rsidR="005F2019" w:rsidRPr="00821558">
        <w:rPr>
          <w:rFonts w:ascii="Times New Roman" w:eastAsia="Calibri" w:hAnsi="Times New Roman" w:cs="Times New Roman"/>
          <w:sz w:val="28"/>
          <w:szCs w:val="28"/>
        </w:rPr>
        <w:t>jo atbildīgā persona, kurai piešķirtas attiecīgās tiesības un ir nepieciešamās zināšanas EDLUS administrēšan</w:t>
      </w:r>
      <w:r w:rsidR="00292DAA" w:rsidRPr="00821558">
        <w:rPr>
          <w:rFonts w:ascii="Times New Roman" w:eastAsia="Calibri" w:hAnsi="Times New Roman" w:cs="Times New Roman"/>
          <w:sz w:val="28"/>
          <w:szCs w:val="28"/>
        </w:rPr>
        <w:t>ā</w:t>
      </w:r>
      <w:r w:rsidR="005F2019" w:rsidRPr="00821558">
        <w:rPr>
          <w:rFonts w:ascii="Times New Roman" w:eastAsia="Calibri" w:hAnsi="Times New Roman" w:cs="Times New Roman"/>
          <w:sz w:val="28"/>
          <w:szCs w:val="28"/>
        </w:rPr>
        <w:t xml:space="preserve">, pārbaudes brīdī neatrodas būvlaukumā. Konstatētas problēmas ar EDLUS datu saņemšanu par </w:t>
      </w:r>
      <w:r w:rsidRPr="00821558">
        <w:rPr>
          <w:rFonts w:ascii="Times New Roman" w:eastAsia="Calibri" w:hAnsi="Times New Roman" w:cs="Times New Roman"/>
          <w:sz w:val="28"/>
          <w:szCs w:val="28"/>
        </w:rPr>
        <w:t>konkrēto dienu vai konkrētu uzņēmumu</w:t>
      </w:r>
      <w:r w:rsidR="001E2515" w:rsidRPr="00821558">
        <w:rPr>
          <w:rFonts w:ascii="Times New Roman" w:eastAsia="Calibri" w:hAnsi="Times New Roman" w:cs="Times New Roman"/>
          <w:sz w:val="28"/>
          <w:szCs w:val="28"/>
        </w:rPr>
        <w:t>, kā arī k</w:t>
      </w:r>
      <w:r w:rsidR="005F2019" w:rsidRPr="00821558">
        <w:rPr>
          <w:rFonts w:ascii="Times New Roman" w:eastAsia="Calibri" w:hAnsi="Times New Roman" w:cs="Times New Roman"/>
          <w:sz w:val="28"/>
          <w:szCs w:val="28"/>
        </w:rPr>
        <w:t xml:space="preserve">onstatēti gadījumi, </w:t>
      </w:r>
      <w:r w:rsidR="00585BC5" w:rsidRPr="00821558">
        <w:rPr>
          <w:rFonts w:ascii="Times New Roman" w:eastAsia="Calibri" w:hAnsi="Times New Roman" w:cs="Times New Roman"/>
          <w:sz w:val="28"/>
          <w:szCs w:val="28"/>
        </w:rPr>
        <w:t>kad būvlaukumā nav tehniski nodrošināta informācijas operatīv</w:t>
      </w:r>
      <w:r w:rsidR="00B86BAF">
        <w:rPr>
          <w:rFonts w:ascii="Times New Roman" w:eastAsia="Calibri" w:hAnsi="Times New Roman" w:cs="Times New Roman"/>
          <w:sz w:val="28"/>
          <w:szCs w:val="28"/>
        </w:rPr>
        <w:t>a</w:t>
      </w:r>
      <w:r w:rsidR="00585BC5" w:rsidRPr="00821558">
        <w:rPr>
          <w:rFonts w:ascii="Times New Roman" w:eastAsia="Calibri" w:hAnsi="Times New Roman" w:cs="Times New Roman"/>
          <w:sz w:val="28"/>
          <w:szCs w:val="28"/>
        </w:rPr>
        <w:t xml:space="preserve"> izsniegšana kontrolējošām iestādēm un </w:t>
      </w:r>
      <w:r w:rsidR="005F2019" w:rsidRPr="00821558">
        <w:rPr>
          <w:rFonts w:ascii="Times New Roman" w:eastAsia="Calibri" w:hAnsi="Times New Roman" w:cs="Times New Roman"/>
          <w:sz w:val="28"/>
          <w:szCs w:val="28"/>
        </w:rPr>
        <w:t>EDLUS reģistrētās informācijas pārlūkošana ir iespējama tikai būvdarbu vadītāja mobilajā tālrunī</w:t>
      </w:r>
      <w:r w:rsidR="00585BC5" w:rsidRPr="00821558">
        <w:rPr>
          <w:rFonts w:ascii="Times New Roman" w:eastAsia="Calibri" w:hAnsi="Times New Roman" w:cs="Times New Roman"/>
          <w:sz w:val="28"/>
          <w:szCs w:val="28"/>
        </w:rPr>
        <w:t>. Š</w:t>
      </w:r>
      <w:r w:rsidR="005F2019" w:rsidRPr="00821558">
        <w:rPr>
          <w:rFonts w:ascii="Times New Roman" w:eastAsia="Calibri" w:hAnsi="Times New Roman" w:cs="Times New Roman"/>
          <w:sz w:val="28"/>
          <w:szCs w:val="28"/>
        </w:rPr>
        <w:t>ādos gadījumos informācijas ieguve ir ļoti laikietilpīga.</w:t>
      </w:r>
    </w:p>
    <w:p w14:paraId="52EC20C7" w14:textId="77777777" w:rsidR="004C35A1" w:rsidRDefault="004C35A1" w:rsidP="005E08CF">
      <w:pPr>
        <w:spacing w:before="0" w:after="0" w:line="240" w:lineRule="auto"/>
        <w:ind w:firstLine="720"/>
        <w:jc w:val="both"/>
        <w:rPr>
          <w:rFonts w:ascii="Times New Roman" w:eastAsia="Calibri" w:hAnsi="Times New Roman" w:cs="Times New Roman"/>
          <w:b/>
          <w:i/>
          <w:sz w:val="28"/>
          <w:szCs w:val="28"/>
        </w:rPr>
      </w:pPr>
    </w:p>
    <w:p w14:paraId="47B24457" w14:textId="77777777" w:rsidR="005F2019" w:rsidRPr="00217405" w:rsidRDefault="005F2019" w:rsidP="005E08CF">
      <w:pPr>
        <w:spacing w:before="0" w:after="0" w:line="240" w:lineRule="auto"/>
        <w:ind w:firstLine="720"/>
        <w:jc w:val="both"/>
        <w:rPr>
          <w:rFonts w:ascii="Times New Roman" w:eastAsia="Calibri" w:hAnsi="Times New Roman" w:cs="Times New Roman"/>
          <w:b/>
          <w:i/>
          <w:sz w:val="28"/>
          <w:szCs w:val="28"/>
        </w:rPr>
      </w:pPr>
      <w:r w:rsidRPr="00217405">
        <w:rPr>
          <w:rFonts w:ascii="Times New Roman" w:eastAsia="Calibri" w:hAnsi="Times New Roman" w:cs="Times New Roman"/>
          <w:b/>
          <w:i/>
          <w:sz w:val="28"/>
          <w:szCs w:val="28"/>
        </w:rPr>
        <w:t>Kontroles pasākumu laikā konstatētie būtiskākie pārkāpumi</w:t>
      </w:r>
    </w:p>
    <w:p w14:paraId="1CF4937A" w14:textId="77777777" w:rsidR="003A4A9A" w:rsidRPr="00821558" w:rsidRDefault="00585BC5" w:rsidP="005E08CF">
      <w:pPr>
        <w:autoSpaceDE w:val="0"/>
        <w:autoSpaceDN w:val="0"/>
        <w:adjustRightInd w:val="0"/>
        <w:spacing w:before="0" w:after="0" w:line="240" w:lineRule="auto"/>
        <w:ind w:firstLine="720"/>
        <w:jc w:val="both"/>
        <w:rPr>
          <w:rFonts w:ascii="Times New Roman" w:eastAsia="Calibri" w:hAnsi="Times New Roman" w:cs="Times New Roman"/>
          <w:sz w:val="28"/>
          <w:szCs w:val="28"/>
        </w:rPr>
      </w:pPr>
      <w:r w:rsidRPr="00821558">
        <w:rPr>
          <w:rFonts w:ascii="Times New Roman" w:eastAsia="Calibri" w:hAnsi="Times New Roman" w:cs="Times New Roman"/>
          <w:sz w:val="28"/>
          <w:szCs w:val="28"/>
        </w:rPr>
        <w:t>Pārbaud</w:t>
      </w:r>
      <w:r w:rsidR="001F29FC" w:rsidRPr="00821558">
        <w:rPr>
          <w:rFonts w:ascii="Times New Roman" w:eastAsia="Calibri" w:hAnsi="Times New Roman" w:cs="Times New Roman"/>
          <w:sz w:val="28"/>
          <w:szCs w:val="28"/>
        </w:rPr>
        <w:t xml:space="preserve">ēs </w:t>
      </w:r>
      <w:r w:rsidRPr="00821558">
        <w:rPr>
          <w:rFonts w:ascii="Times New Roman" w:eastAsia="Calibri" w:hAnsi="Times New Roman" w:cs="Times New Roman"/>
          <w:sz w:val="28"/>
          <w:szCs w:val="28"/>
        </w:rPr>
        <w:t xml:space="preserve">konstatēti nekorektas informācijas reģistrēšanas gadījumi par nodarbinātās personas darba devēju, piemēram, norādot </w:t>
      </w:r>
      <w:r w:rsidR="00B86BAF">
        <w:rPr>
          <w:rFonts w:ascii="Times New Roman" w:eastAsia="Calibri" w:hAnsi="Times New Roman" w:cs="Times New Roman"/>
          <w:sz w:val="28"/>
          <w:szCs w:val="28"/>
        </w:rPr>
        <w:t xml:space="preserve">kā </w:t>
      </w:r>
      <w:r w:rsidRPr="00821558">
        <w:rPr>
          <w:rFonts w:ascii="Times New Roman" w:eastAsia="Calibri" w:hAnsi="Times New Roman" w:cs="Times New Roman"/>
          <w:sz w:val="28"/>
          <w:szCs w:val="28"/>
        </w:rPr>
        <w:t>darbinieku darba devēj</w:t>
      </w:r>
      <w:r w:rsidR="001F29FC" w:rsidRPr="00821558">
        <w:rPr>
          <w:rFonts w:ascii="Times New Roman" w:eastAsia="Calibri" w:hAnsi="Times New Roman" w:cs="Times New Roman"/>
          <w:sz w:val="28"/>
          <w:szCs w:val="28"/>
        </w:rPr>
        <w:t>a</w:t>
      </w:r>
      <w:r w:rsidRPr="00821558">
        <w:rPr>
          <w:rFonts w:ascii="Times New Roman" w:eastAsia="Calibri" w:hAnsi="Times New Roman" w:cs="Times New Roman"/>
          <w:sz w:val="28"/>
          <w:szCs w:val="28"/>
        </w:rPr>
        <w:t xml:space="preserve"> </w:t>
      </w:r>
      <w:r w:rsidR="003A4A9A" w:rsidRPr="00821558">
        <w:rPr>
          <w:rFonts w:ascii="Times New Roman" w:eastAsia="Calibri" w:hAnsi="Times New Roman" w:cs="Times New Roman"/>
          <w:sz w:val="28"/>
          <w:szCs w:val="28"/>
        </w:rPr>
        <w:t>uzņēmum</w:t>
      </w:r>
      <w:r w:rsidRPr="00821558">
        <w:rPr>
          <w:rFonts w:ascii="Times New Roman" w:eastAsia="Calibri" w:hAnsi="Times New Roman" w:cs="Times New Roman"/>
          <w:sz w:val="28"/>
          <w:szCs w:val="28"/>
        </w:rPr>
        <w:t>u</w:t>
      </w:r>
      <w:r w:rsidR="003A4A9A" w:rsidRPr="00821558">
        <w:rPr>
          <w:rFonts w:ascii="Times New Roman" w:eastAsia="Calibri" w:hAnsi="Times New Roman" w:cs="Times New Roman"/>
          <w:sz w:val="28"/>
          <w:szCs w:val="28"/>
        </w:rPr>
        <w:t xml:space="preserve">, kurš iesniedzis </w:t>
      </w:r>
      <w:r w:rsidR="001F29FC" w:rsidRPr="00821558">
        <w:rPr>
          <w:rFonts w:ascii="Times New Roman" w:eastAsia="Calibri" w:hAnsi="Times New Roman" w:cs="Times New Roman"/>
          <w:sz w:val="28"/>
          <w:szCs w:val="28"/>
        </w:rPr>
        <w:t xml:space="preserve">galvenajam būvdarbu veicējam </w:t>
      </w:r>
      <w:r w:rsidR="003A4A9A" w:rsidRPr="00821558">
        <w:rPr>
          <w:rFonts w:ascii="Times New Roman" w:eastAsia="Calibri" w:hAnsi="Times New Roman" w:cs="Times New Roman"/>
          <w:sz w:val="28"/>
          <w:szCs w:val="28"/>
        </w:rPr>
        <w:t xml:space="preserve">nodarbināto sarakstus, nevis </w:t>
      </w:r>
      <w:r w:rsidRPr="00821558">
        <w:rPr>
          <w:rFonts w:ascii="Times New Roman" w:eastAsia="Calibri" w:hAnsi="Times New Roman" w:cs="Times New Roman"/>
          <w:sz w:val="28"/>
          <w:szCs w:val="28"/>
        </w:rPr>
        <w:t xml:space="preserve">faktisko </w:t>
      </w:r>
      <w:r w:rsidR="003A4A9A" w:rsidRPr="00821558">
        <w:rPr>
          <w:rFonts w:ascii="Times New Roman" w:eastAsia="Calibri" w:hAnsi="Times New Roman" w:cs="Times New Roman"/>
          <w:sz w:val="28"/>
          <w:szCs w:val="28"/>
        </w:rPr>
        <w:t>darba devēj</w:t>
      </w:r>
      <w:r w:rsidRPr="00821558">
        <w:rPr>
          <w:rFonts w:ascii="Times New Roman" w:eastAsia="Calibri" w:hAnsi="Times New Roman" w:cs="Times New Roman"/>
          <w:sz w:val="28"/>
          <w:szCs w:val="28"/>
        </w:rPr>
        <w:t xml:space="preserve">u, kas ir šī uzņēmuma apakšuzņēmums. </w:t>
      </w:r>
      <w:r w:rsidR="003A4A9A" w:rsidRPr="00821558">
        <w:rPr>
          <w:rFonts w:ascii="Times New Roman" w:eastAsia="Calibri" w:hAnsi="Times New Roman" w:cs="Times New Roman"/>
          <w:sz w:val="28"/>
          <w:szCs w:val="28"/>
        </w:rPr>
        <w:t xml:space="preserve"> </w:t>
      </w:r>
    </w:p>
    <w:p w14:paraId="6DCA68F0" w14:textId="77777777" w:rsidR="007172C6" w:rsidRPr="00821558" w:rsidRDefault="003A4A9A" w:rsidP="003A4A9A">
      <w:pPr>
        <w:spacing w:before="0" w:after="0" w:line="240" w:lineRule="auto"/>
        <w:ind w:firstLine="720"/>
        <w:jc w:val="both"/>
        <w:rPr>
          <w:rFonts w:ascii="Times New Roman" w:eastAsia="Calibri" w:hAnsi="Times New Roman" w:cs="Times New Roman"/>
          <w:sz w:val="28"/>
          <w:szCs w:val="28"/>
        </w:rPr>
      </w:pPr>
      <w:r w:rsidRPr="00821558">
        <w:rPr>
          <w:rFonts w:ascii="Times New Roman" w:eastAsia="Calibri" w:hAnsi="Times New Roman" w:cs="Times New Roman"/>
          <w:sz w:val="28"/>
          <w:szCs w:val="28"/>
        </w:rPr>
        <w:t xml:space="preserve">VDI ir konstatējusi, ka </w:t>
      </w:r>
      <w:r w:rsidR="001F29FC" w:rsidRPr="00821558">
        <w:rPr>
          <w:rFonts w:ascii="Times New Roman" w:eastAsia="Calibri" w:hAnsi="Times New Roman" w:cs="Times New Roman"/>
          <w:sz w:val="28"/>
          <w:szCs w:val="28"/>
        </w:rPr>
        <w:t xml:space="preserve">no rīta, sākoties darbam, kāds no uzņēmuma darbiniekiem </w:t>
      </w:r>
      <w:r w:rsidR="004E10CB" w:rsidRPr="00821558">
        <w:rPr>
          <w:rFonts w:ascii="Times New Roman" w:eastAsia="Calibri" w:hAnsi="Times New Roman" w:cs="Times New Roman"/>
          <w:sz w:val="28"/>
          <w:szCs w:val="28"/>
        </w:rPr>
        <w:t xml:space="preserve">visus </w:t>
      </w:r>
      <w:r w:rsidRPr="00821558">
        <w:rPr>
          <w:rFonts w:ascii="Times New Roman" w:eastAsia="Calibri" w:hAnsi="Times New Roman" w:cs="Times New Roman"/>
          <w:sz w:val="28"/>
          <w:szCs w:val="28"/>
        </w:rPr>
        <w:t>darbiniek</w:t>
      </w:r>
      <w:r w:rsidR="001F29FC" w:rsidRPr="00821558">
        <w:rPr>
          <w:rFonts w:ascii="Times New Roman" w:eastAsia="Calibri" w:hAnsi="Times New Roman" w:cs="Times New Roman"/>
          <w:sz w:val="28"/>
          <w:szCs w:val="28"/>
        </w:rPr>
        <w:t>us</w:t>
      </w:r>
      <w:r w:rsidRPr="00821558">
        <w:rPr>
          <w:rFonts w:ascii="Times New Roman" w:eastAsia="Calibri" w:hAnsi="Times New Roman" w:cs="Times New Roman"/>
          <w:sz w:val="28"/>
          <w:szCs w:val="28"/>
        </w:rPr>
        <w:t xml:space="preserve"> EDLUS </w:t>
      </w:r>
      <w:r w:rsidR="001F29FC" w:rsidRPr="00821558">
        <w:rPr>
          <w:rFonts w:ascii="Times New Roman" w:eastAsia="Calibri" w:hAnsi="Times New Roman" w:cs="Times New Roman"/>
          <w:sz w:val="28"/>
          <w:szCs w:val="28"/>
        </w:rPr>
        <w:t xml:space="preserve">piereģistrē </w:t>
      </w:r>
      <w:r w:rsidRPr="00821558">
        <w:rPr>
          <w:rFonts w:ascii="Times New Roman" w:eastAsia="Calibri" w:hAnsi="Times New Roman" w:cs="Times New Roman"/>
          <w:sz w:val="28"/>
          <w:szCs w:val="28"/>
        </w:rPr>
        <w:t xml:space="preserve">attālināti. </w:t>
      </w:r>
      <w:r w:rsidR="007172C6" w:rsidRPr="00821558">
        <w:rPr>
          <w:rFonts w:ascii="Times New Roman" w:eastAsia="Calibri" w:hAnsi="Times New Roman" w:cs="Times New Roman"/>
          <w:sz w:val="28"/>
          <w:szCs w:val="28"/>
        </w:rPr>
        <w:t xml:space="preserve">Darbiniekiem </w:t>
      </w:r>
      <w:r w:rsidR="001F29FC" w:rsidRPr="00821558">
        <w:rPr>
          <w:rFonts w:ascii="Times New Roman" w:eastAsia="Calibri" w:hAnsi="Times New Roman" w:cs="Times New Roman"/>
          <w:sz w:val="28"/>
          <w:szCs w:val="28"/>
        </w:rPr>
        <w:t>identificēšanas ierīces</w:t>
      </w:r>
      <w:r w:rsidR="007172C6" w:rsidRPr="00821558">
        <w:rPr>
          <w:rFonts w:ascii="Times New Roman" w:eastAsia="Calibri" w:hAnsi="Times New Roman" w:cs="Times New Roman"/>
          <w:sz w:val="28"/>
          <w:szCs w:val="28"/>
        </w:rPr>
        <w:t xml:space="preserve"> neizsnie</w:t>
      </w:r>
      <w:r w:rsidR="004E10CB" w:rsidRPr="00821558">
        <w:rPr>
          <w:rFonts w:ascii="Times New Roman" w:eastAsia="Calibri" w:hAnsi="Times New Roman" w:cs="Times New Roman"/>
          <w:sz w:val="28"/>
          <w:szCs w:val="28"/>
        </w:rPr>
        <w:t>dz</w:t>
      </w:r>
      <w:r w:rsidR="007172C6" w:rsidRPr="00821558">
        <w:rPr>
          <w:rFonts w:ascii="Times New Roman" w:eastAsia="Calibri" w:hAnsi="Times New Roman" w:cs="Times New Roman"/>
          <w:sz w:val="28"/>
          <w:szCs w:val="28"/>
        </w:rPr>
        <w:t xml:space="preserve"> un f</w:t>
      </w:r>
      <w:r w:rsidRPr="00821558">
        <w:rPr>
          <w:rFonts w:ascii="Times New Roman" w:eastAsia="Calibri" w:hAnsi="Times New Roman" w:cs="Times New Roman"/>
          <w:sz w:val="28"/>
          <w:szCs w:val="28"/>
        </w:rPr>
        <w:t>aktiski t</w:t>
      </w:r>
      <w:r w:rsidR="004E10CB" w:rsidRPr="00821558">
        <w:rPr>
          <w:rFonts w:ascii="Times New Roman" w:eastAsia="Calibri" w:hAnsi="Times New Roman" w:cs="Times New Roman"/>
          <w:sz w:val="28"/>
          <w:szCs w:val="28"/>
        </w:rPr>
        <w:t>ās</w:t>
      </w:r>
      <w:r w:rsidRPr="00821558">
        <w:rPr>
          <w:rFonts w:ascii="Times New Roman" w:eastAsia="Calibri" w:hAnsi="Times New Roman" w:cs="Times New Roman"/>
          <w:sz w:val="28"/>
          <w:szCs w:val="28"/>
        </w:rPr>
        <w:t xml:space="preserve"> aktivizē tikai </w:t>
      </w:r>
      <w:r w:rsidR="003E12D1" w:rsidRPr="00821558">
        <w:rPr>
          <w:rFonts w:ascii="Times New Roman" w:eastAsia="Calibri" w:hAnsi="Times New Roman" w:cs="Times New Roman"/>
          <w:sz w:val="28"/>
          <w:szCs w:val="28"/>
        </w:rPr>
        <w:t>“</w:t>
      </w:r>
      <w:r w:rsidRPr="00821558">
        <w:rPr>
          <w:rFonts w:ascii="Times New Roman" w:eastAsia="Calibri" w:hAnsi="Times New Roman" w:cs="Times New Roman"/>
          <w:sz w:val="28"/>
          <w:szCs w:val="28"/>
        </w:rPr>
        <w:t>oficiālajās darba stundās</w:t>
      </w:r>
      <w:r w:rsidR="003E12D1" w:rsidRPr="00821558">
        <w:rPr>
          <w:rFonts w:ascii="Times New Roman" w:eastAsia="Calibri" w:hAnsi="Times New Roman" w:cs="Times New Roman"/>
          <w:sz w:val="28"/>
          <w:szCs w:val="28"/>
        </w:rPr>
        <w:t>”</w:t>
      </w:r>
      <w:r w:rsidR="007172C6" w:rsidRPr="00821558">
        <w:rPr>
          <w:rFonts w:ascii="Times New Roman" w:eastAsia="Calibri" w:hAnsi="Times New Roman" w:cs="Times New Roman"/>
          <w:sz w:val="28"/>
          <w:szCs w:val="28"/>
        </w:rPr>
        <w:t xml:space="preserve">, </w:t>
      </w:r>
      <w:r w:rsidR="001F29FC" w:rsidRPr="00821558">
        <w:rPr>
          <w:rFonts w:ascii="Times New Roman" w:eastAsia="Calibri" w:hAnsi="Times New Roman" w:cs="Times New Roman"/>
          <w:sz w:val="28"/>
          <w:szCs w:val="28"/>
        </w:rPr>
        <w:t>tādējādi</w:t>
      </w:r>
      <w:r w:rsidRPr="00821558">
        <w:rPr>
          <w:rFonts w:ascii="Times New Roman" w:eastAsia="Calibri" w:hAnsi="Times New Roman" w:cs="Times New Roman"/>
          <w:sz w:val="28"/>
          <w:szCs w:val="28"/>
        </w:rPr>
        <w:t xml:space="preserve"> EDLUS faktiski nostrādātās stundas</w:t>
      </w:r>
      <w:r w:rsidR="007172C6" w:rsidRPr="00821558">
        <w:rPr>
          <w:rFonts w:ascii="Times New Roman" w:eastAsia="Calibri" w:hAnsi="Times New Roman" w:cs="Times New Roman"/>
          <w:sz w:val="28"/>
          <w:szCs w:val="28"/>
        </w:rPr>
        <w:t xml:space="preserve"> nav reģistrētas pilnā apmērā.</w:t>
      </w:r>
    </w:p>
    <w:p w14:paraId="0928B32E" w14:textId="77777777" w:rsidR="003A4A9A" w:rsidRPr="00821558" w:rsidRDefault="003A4A9A" w:rsidP="00CC33B1">
      <w:pPr>
        <w:spacing w:before="0" w:after="0" w:line="240" w:lineRule="auto"/>
        <w:ind w:firstLine="720"/>
        <w:jc w:val="both"/>
        <w:rPr>
          <w:rFonts w:ascii="Times New Roman" w:eastAsia="Calibri" w:hAnsi="Times New Roman" w:cs="Times New Roman"/>
          <w:sz w:val="28"/>
          <w:szCs w:val="28"/>
        </w:rPr>
      </w:pPr>
      <w:r w:rsidRPr="00821558">
        <w:rPr>
          <w:rFonts w:ascii="Times New Roman" w:eastAsia="Calibri" w:hAnsi="Times New Roman" w:cs="Times New Roman"/>
          <w:sz w:val="28"/>
          <w:szCs w:val="28"/>
        </w:rPr>
        <w:t xml:space="preserve">Nereti </w:t>
      </w:r>
      <w:r w:rsidR="001F29FC" w:rsidRPr="00821558">
        <w:rPr>
          <w:rFonts w:ascii="Times New Roman" w:eastAsia="Calibri" w:hAnsi="Times New Roman" w:cs="Times New Roman"/>
          <w:sz w:val="28"/>
          <w:szCs w:val="28"/>
        </w:rPr>
        <w:t xml:space="preserve">galvenā būvdarbu veicēja </w:t>
      </w:r>
      <w:r w:rsidRPr="00821558">
        <w:rPr>
          <w:rFonts w:ascii="Times New Roman" w:eastAsia="Calibri" w:hAnsi="Times New Roman" w:cs="Times New Roman"/>
          <w:sz w:val="28"/>
          <w:szCs w:val="28"/>
        </w:rPr>
        <w:t xml:space="preserve">izsniegtajos </w:t>
      </w:r>
      <w:r w:rsidR="002E1EE1" w:rsidRPr="00821558">
        <w:rPr>
          <w:rFonts w:ascii="Times New Roman" w:eastAsia="Calibri" w:hAnsi="Times New Roman" w:cs="Times New Roman"/>
          <w:sz w:val="28"/>
          <w:szCs w:val="28"/>
        </w:rPr>
        <w:t xml:space="preserve">EDLUS </w:t>
      </w:r>
      <w:r w:rsidRPr="00821558">
        <w:rPr>
          <w:rFonts w:ascii="Times New Roman" w:eastAsia="Calibri" w:hAnsi="Times New Roman" w:cs="Times New Roman"/>
          <w:sz w:val="28"/>
          <w:szCs w:val="28"/>
        </w:rPr>
        <w:t xml:space="preserve">sarakstos redzamas pozīcijas </w:t>
      </w:r>
      <w:r w:rsidR="003E12D1" w:rsidRPr="00821558">
        <w:rPr>
          <w:rFonts w:ascii="Times New Roman" w:eastAsia="Calibri" w:hAnsi="Times New Roman" w:cs="Times New Roman"/>
          <w:sz w:val="28"/>
          <w:szCs w:val="28"/>
        </w:rPr>
        <w:t>“</w:t>
      </w:r>
      <w:r w:rsidR="007172C6" w:rsidRPr="00821558">
        <w:rPr>
          <w:rFonts w:ascii="Times New Roman" w:eastAsia="Calibri" w:hAnsi="Times New Roman" w:cs="Times New Roman"/>
          <w:sz w:val="28"/>
          <w:szCs w:val="28"/>
        </w:rPr>
        <w:t>v</w:t>
      </w:r>
      <w:r w:rsidRPr="00821558">
        <w:rPr>
          <w:rFonts w:ascii="Times New Roman" w:eastAsia="Calibri" w:hAnsi="Times New Roman" w:cs="Times New Roman"/>
          <w:sz w:val="28"/>
          <w:szCs w:val="28"/>
        </w:rPr>
        <w:t>iesis</w:t>
      </w:r>
      <w:r w:rsidR="003E12D1" w:rsidRPr="00821558">
        <w:rPr>
          <w:rFonts w:ascii="Times New Roman" w:eastAsia="Calibri" w:hAnsi="Times New Roman" w:cs="Times New Roman"/>
          <w:sz w:val="28"/>
          <w:szCs w:val="28"/>
        </w:rPr>
        <w:t>”</w:t>
      </w:r>
      <w:r w:rsidR="007172C6" w:rsidRPr="00821558">
        <w:rPr>
          <w:rFonts w:ascii="Times New Roman" w:eastAsia="Calibri" w:hAnsi="Times New Roman" w:cs="Times New Roman"/>
          <w:sz w:val="28"/>
          <w:szCs w:val="28"/>
        </w:rPr>
        <w:t xml:space="preserve"> bez personificējam</w:t>
      </w:r>
      <w:r w:rsidR="00292DAA" w:rsidRPr="00821558">
        <w:rPr>
          <w:rFonts w:ascii="Times New Roman" w:eastAsia="Calibri" w:hAnsi="Times New Roman" w:cs="Times New Roman"/>
          <w:sz w:val="28"/>
          <w:szCs w:val="28"/>
        </w:rPr>
        <w:t>a</w:t>
      </w:r>
      <w:r w:rsidR="007172C6" w:rsidRPr="00821558">
        <w:rPr>
          <w:rFonts w:ascii="Times New Roman" w:eastAsia="Calibri" w:hAnsi="Times New Roman" w:cs="Times New Roman"/>
          <w:sz w:val="28"/>
          <w:szCs w:val="28"/>
        </w:rPr>
        <w:t xml:space="preserve">s informācijas un </w:t>
      </w:r>
      <w:r w:rsidRPr="00821558">
        <w:rPr>
          <w:rFonts w:ascii="Times New Roman" w:eastAsia="Calibri" w:hAnsi="Times New Roman" w:cs="Times New Roman"/>
          <w:sz w:val="28"/>
          <w:szCs w:val="28"/>
        </w:rPr>
        <w:t>identificēt</w:t>
      </w:r>
      <w:r w:rsidR="007172C6" w:rsidRPr="00821558">
        <w:rPr>
          <w:rFonts w:ascii="Times New Roman" w:eastAsia="Calibri" w:hAnsi="Times New Roman" w:cs="Times New Roman"/>
          <w:sz w:val="28"/>
          <w:szCs w:val="28"/>
        </w:rPr>
        <w:t xml:space="preserve"> tos nav iespējams</w:t>
      </w:r>
      <w:r w:rsidRPr="00821558">
        <w:rPr>
          <w:rFonts w:ascii="Times New Roman" w:eastAsia="Calibri" w:hAnsi="Times New Roman" w:cs="Times New Roman"/>
          <w:sz w:val="28"/>
          <w:szCs w:val="28"/>
        </w:rPr>
        <w:t xml:space="preserve">. </w:t>
      </w:r>
      <w:r w:rsidR="001F29FC" w:rsidRPr="00821558">
        <w:rPr>
          <w:rFonts w:ascii="Times New Roman" w:eastAsia="Calibri" w:hAnsi="Times New Roman" w:cs="Times New Roman"/>
          <w:sz w:val="28"/>
          <w:szCs w:val="28"/>
        </w:rPr>
        <w:t>Tādējādi</w:t>
      </w:r>
      <w:r w:rsidRPr="00821558">
        <w:rPr>
          <w:rFonts w:ascii="Times New Roman" w:eastAsia="Calibri" w:hAnsi="Times New Roman" w:cs="Times New Roman"/>
          <w:sz w:val="28"/>
          <w:szCs w:val="28"/>
        </w:rPr>
        <w:t xml:space="preserve"> saglabājas augsts risks</w:t>
      </w:r>
      <w:r w:rsidR="007172C6" w:rsidRPr="00821558">
        <w:rPr>
          <w:rFonts w:ascii="Times New Roman" w:eastAsia="Calibri" w:hAnsi="Times New Roman" w:cs="Times New Roman"/>
          <w:sz w:val="28"/>
          <w:szCs w:val="28"/>
        </w:rPr>
        <w:t xml:space="preserve"> </w:t>
      </w:r>
      <w:r w:rsidRPr="00821558">
        <w:rPr>
          <w:rFonts w:ascii="Times New Roman" w:eastAsia="Calibri" w:hAnsi="Times New Roman" w:cs="Times New Roman"/>
          <w:sz w:val="28"/>
          <w:szCs w:val="28"/>
        </w:rPr>
        <w:t>objektā atrasties nereģistrētām personām</w:t>
      </w:r>
      <w:r w:rsidR="002E1EE1" w:rsidRPr="00821558">
        <w:rPr>
          <w:rFonts w:ascii="Times New Roman" w:eastAsia="Calibri" w:hAnsi="Times New Roman" w:cs="Times New Roman"/>
          <w:sz w:val="28"/>
          <w:szCs w:val="28"/>
        </w:rPr>
        <w:t>.</w:t>
      </w:r>
    </w:p>
    <w:p w14:paraId="796EA614" w14:textId="77777777" w:rsidR="003A4A9A" w:rsidRPr="00217405" w:rsidRDefault="003A4A9A" w:rsidP="00CC33B1">
      <w:pPr>
        <w:spacing w:before="0" w:after="0" w:line="240" w:lineRule="auto"/>
        <w:ind w:firstLine="720"/>
        <w:jc w:val="both"/>
        <w:rPr>
          <w:rFonts w:ascii="Times New Roman" w:eastAsia="Calibri" w:hAnsi="Times New Roman" w:cs="Times New Roman"/>
          <w:sz w:val="28"/>
          <w:szCs w:val="28"/>
        </w:rPr>
      </w:pPr>
      <w:r w:rsidRPr="00217405">
        <w:rPr>
          <w:rFonts w:ascii="Times New Roman" w:eastAsia="Calibri" w:hAnsi="Times New Roman" w:cs="Times New Roman"/>
          <w:sz w:val="28"/>
          <w:szCs w:val="28"/>
        </w:rPr>
        <w:t xml:space="preserve">VDI vairākkārt </w:t>
      </w:r>
      <w:r w:rsidR="00B86BAF">
        <w:rPr>
          <w:rFonts w:ascii="Times New Roman" w:eastAsia="Calibri" w:hAnsi="Times New Roman" w:cs="Times New Roman"/>
          <w:sz w:val="28"/>
          <w:szCs w:val="28"/>
        </w:rPr>
        <w:t xml:space="preserve">ir </w:t>
      </w:r>
      <w:proofErr w:type="spellStart"/>
      <w:r w:rsidR="00E716F3" w:rsidRPr="00217405">
        <w:rPr>
          <w:rFonts w:ascii="Times New Roman" w:eastAsia="Calibri" w:hAnsi="Times New Roman" w:cs="Times New Roman"/>
          <w:sz w:val="28"/>
          <w:szCs w:val="28"/>
        </w:rPr>
        <w:t>sask</w:t>
      </w:r>
      <w:r w:rsidR="00B86BAF">
        <w:rPr>
          <w:rFonts w:ascii="Times New Roman" w:eastAsia="Calibri" w:hAnsi="Times New Roman" w:cs="Times New Roman"/>
          <w:sz w:val="28"/>
          <w:szCs w:val="28"/>
        </w:rPr>
        <w:t>ā</w:t>
      </w:r>
      <w:r w:rsidR="00E716F3">
        <w:rPr>
          <w:rFonts w:ascii="Times New Roman" w:eastAsia="Calibri" w:hAnsi="Times New Roman" w:cs="Times New Roman"/>
          <w:sz w:val="28"/>
          <w:szCs w:val="28"/>
        </w:rPr>
        <w:t>rusies</w:t>
      </w:r>
      <w:proofErr w:type="spellEnd"/>
      <w:r w:rsidRPr="00217405">
        <w:rPr>
          <w:rFonts w:ascii="Times New Roman" w:eastAsia="Calibri" w:hAnsi="Times New Roman" w:cs="Times New Roman"/>
          <w:sz w:val="28"/>
          <w:szCs w:val="28"/>
        </w:rPr>
        <w:t xml:space="preserve"> ar situācijām, kad darbiniekiem izsniegtas identificēšanas ierīces (elektroniskās kartes vai cits risinājums), kuras izgatavotas, pamatojoties uz nepatiesu personu identificējoš</w:t>
      </w:r>
      <w:r w:rsidR="00B86BAF">
        <w:rPr>
          <w:rFonts w:ascii="Times New Roman" w:eastAsia="Calibri" w:hAnsi="Times New Roman" w:cs="Times New Roman"/>
          <w:sz w:val="28"/>
          <w:szCs w:val="28"/>
        </w:rPr>
        <w:t>u</w:t>
      </w:r>
      <w:r w:rsidRPr="00217405">
        <w:rPr>
          <w:rFonts w:ascii="Times New Roman" w:eastAsia="Calibri" w:hAnsi="Times New Roman" w:cs="Times New Roman"/>
          <w:sz w:val="28"/>
          <w:szCs w:val="28"/>
        </w:rPr>
        <w:t xml:space="preserve"> informāciju. Krāpšanās risku palielina tas, ka personu dati netiek pārbaudīti pirms nodarbināto personu informācijas reģistrēšanas EDLUS. VDI ir informējusi policiju par faktu, ka uzņēmumu nodarbinātās personas izmanto </w:t>
      </w:r>
      <w:r w:rsidR="00EF4185" w:rsidRPr="00217405">
        <w:rPr>
          <w:rFonts w:ascii="Times New Roman" w:eastAsia="Calibri" w:hAnsi="Times New Roman" w:cs="Times New Roman"/>
          <w:sz w:val="28"/>
          <w:szCs w:val="28"/>
        </w:rPr>
        <w:t xml:space="preserve">elektroniskās </w:t>
      </w:r>
      <w:r w:rsidRPr="00217405">
        <w:rPr>
          <w:rFonts w:ascii="Times New Roman" w:eastAsia="Calibri" w:hAnsi="Times New Roman" w:cs="Times New Roman"/>
          <w:sz w:val="28"/>
          <w:szCs w:val="28"/>
        </w:rPr>
        <w:t xml:space="preserve">identificēšanas ierīces, kas nesatur patiesu personu identificējošo informāciju, taču policija norādījusi, ka identificēšanas ierīces nav personu apliecinošs dokuments, tādēļ minētais nav uzskatāms par dokumentu viltošanu. Tādējādi EDLUS daļēji palīdz identificēt personas, kas atrodas būvlaukumā, taču tajā pašā laikā, ja uzņēmumiem </w:t>
      </w:r>
      <w:r w:rsidR="00654C0D">
        <w:rPr>
          <w:rFonts w:ascii="Times New Roman" w:eastAsia="Calibri" w:hAnsi="Times New Roman" w:cs="Times New Roman"/>
          <w:sz w:val="28"/>
          <w:szCs w:val="28"/>
        </w:rPr>
        <w:t xml:space="preserve">ir </w:t>
      </w:r>
      <w:r w:rsidRPr="00217405">
        <w:rPr>
          <w:rFonts w:ascii="Times New Roman" w:eastAsia="Calibri" w:hAnsi="Times New Roman" w:cs="Times New Roman"/>
          <w:sz w:val="28"/>
          <w:szCs w:val="28"/>
        </w:rPr>
        <w:t xml:space="preserve">mērķis pārkāpt nodarbinātības prasības, ir samērā vienkārši datus falsificēt. </w:t>
      </w:r>
    </w:p>
    <w:p w14:paraId="24E63A37" w14:textId="77777777" w:rsidR="007172C6" w:rsidRPr="00217405" w:rsidRDefault="009863B6" w:rsidP="00CC33B1">
      <w:pPr>
        <w:autoSpaceDE w:val="0"/>
        <w:autoSpaceDN w:val="0"/>
        <w:adjustRightInd w:val="0"/>
        <w:spacing w:before="0" w:after="0" w:line="240" w:lineRule="auto"/>
        <w:ind w:firstLine="720"/>
        <w:jc w:val="both"/>
        <w:rPr>
          <w:rFonts w:ascii="Times New Roman" w:eastAsia="Calibri" w:hAnsi="Times New Roman" w:cs="Times New Roman"/>
          <w:sz w:val="28"/>
          <w:szCs w:val="28"/>
        </w:rPr>
      </w:pPr>
      <w:r w:rsidRPr="00217405">
        <w:rPr>
          <w:rFonts w:ascii="Times New Roman" w:eastAsia="Calibri" w:hAnsi="Times New Roman" w:cs="Times New Roman"/>
          <w:sz w:val="28"/>
          <w:szCs w:val="28"/>
        </w:rPr>
        <w:t xml:space="preserve">VDI </w:t>
      </w:r>
      <w:r w:rsidR="003A4A9A" w:rsidRPr="00217405">
        <w:rPr>
          <w:rFonts w:ascii="Times New Roman" w:eastAsia="Calibri" w:hAnsi="Times New Roman" w:cs="Times New Roman"/>
          <w:sz w:val="28"/>
          <w:szCs w:val="28"/>
        </w:rPr>
        <w:t>amatpersonas EDLUS datus galvenokārt izmanto</w:t>
      </w:r>
      <w:r w:rsidR="004E10CB">
        <w:rPr>
          <w:rFonts w:ascii="Times New Roman" w:eastAsia="Calibri" w:hAnsi="Times New Roman" w:cs="Times New Roman"/>
          <w:sz w:val="28"/>
          <w:szCs w:val="28"/>
        </w:rPr>
        <w:t>,</w:t>
      </w:r>
      <w:r w:rsidR="003A4A9A" w:rsidRPr="00217405">
        <w:rPr>
          <w:rFonts w:ascii="Times New Roman" w:eastAsia="Calibri" w:hAnsi="Times New Roman" w:cs="Times New Roman"/>
          <w:sz w:val="28"/>
          <w:szCs w:val="28"/>
        </w:rPr>
        <w:t xml:space="preserve"> veicot pārbaudes saistībā ar iespējamo nereģistrēto nodarbinātību</w:t>
      </w:r>
      <w:r w:rsidR="004E10CB">
        <w:rPr>
          <w:rFonts w:ascii="Times New Roman" w:eastAsia="Calibri" w:hAnsi="Times New Roman" w:cs="Times New Roman"/>
          <w:sz w:val="28"/>
          <w:szCs w:val="28"/>
        </w:rPr>
        <w:t>.</w:t>
      </w:r>
      <w:r w:rsidR="007172C6" w:rsidRPr="00217405">
        <w:rPr>
          <w:rFonts w:ascii="Times New Roman" w:eastAsia="Calibri" w:hAnsi="Times New Roman" w:cs="Times New Roman"/>
          <w:sz w:val="28"/>
          <w:szCs w:val="28"/>
        </w:rPr>
        <w:t xml:space="preserve"> </w:t>
      </w:r>
      <w:r w:rsidR="004E10CB">
        <w:rPr>
          <w:rFonts w:ascii="Times New Roman" w:eastAsia="Calibri" w:hAnsi="Times New Roman" w:cs="Times New Roman"/>
          <w:sz w:val="28"/>
          <w:szCs w:val="28"/>
        </w:rPr>
        <w:t>V</w:t>
      </w:r>
      <w:r w:rsidR="003A4A9A" w:rsidRPr="00217405">
        <w:rPr>
          <w:rFonts w:ascii="Times New Roman" w:eastAsia="Calibri" w:hAnsi="Times New Roman" w:cs="Times New Roman"/>
          <w:sz w:val="28"/>
          <w:szCs w:val="28"/>
        </w:rPr>
        <w:t>eicot š</w:t>
      </w:r>
      <w:r w:rsidR="00292DAA" w:rsidRPr="00217405">
        <w:rPr>
          <w:rFonts w:ascii="Times New Roman" w:eastAsia="Calibri" w:hAnsi="Times New Roman" w:cs="Times New Roman"/>
          <w:sz w:val="28"/>
          <w:szCs w:val="28"/>
        </w:rPr>
        <w:t>ī</w:t>
      </w:r>
      <w:r w:rsidR="003A4A9A" w:rsidRPr="00217405">
        <w:rPr>
          <w:rFonts w:ascii="Times New Roman" w:eastAsia="Calibri" w:hAnsi="Times New Roman" w:cs="Times New Roman"/>
          <w:sz w:val="28"/>
          <w:szCs w:val="28"/>
        </w:rPr>
        <w:t>s pārbaudes</w:t>
      </w:r>
      <w:r w:rsidR="007172C6" w:rsidRPr="00217405">
        <w:rPr>
          <w:rFonts w:ascii="Times New Roman" w:eastAsia="Calibri" w:hAnsi="Times New Roman" w:cs="Times New Roman"/>
          <w:sz w:val="28"/>
          <w:szCs w:val="28"/>
        </w:rPr>
        <w:t xml:space="preserve">, </w:t>
      </w:r>
      <w:r w:rsidR="003A4A9A" w:rsidRPr="00217405">
        <w:rPr>
          <w:rFonts w:ascii="Times New Roman" w:eastAsia="Calibri" w:hAnsi="Times New Roman" w:cs="Times New Roman"/>
          <w:sz w:val="28"/>
          <w:szCs w:val="28"/>
        </w:rPr>
        <w:t xml:space="preserve">būtiski iegūt operatīvu informāciju par būvobjektā nodarbinātajām personām. EDLUS palīdz identificēt personas, kas atrodas objektā. </w:t>
      </w:r>
    </w:p>
    <w:p w14:paraId="2F5407A7" w14:textId="77777777" w:rsidR="003A4A9A" w:rsidRPr="00217405" w:rsidRDefault="003A4A9A" w:rsidP="00CC33B1">
      <w:pPr>
        <w:autoSpaceDE w:val="0"/>
        <w:autoSpaceDN w:val="0"/>
        <w:adjustRightInd w:val="0"/>
        <w:spacing w:before="0" w:after="0" w:line="240" w:lineRule="auto"/>
        <w:ind w:firstLine="720"/>
        <w:jc w:val="both"/>
        <w:rPr>
          <w:rFonts w:ascii="Times New Roman" w:eastAsia="Calibri" w:hAnsi="Times New Roman" w:cs="Times New Roman"/>
          <w:sz w:val="28"/>
          <w:szCs w:val="28"/>
        </w:rPr>
      </w:pPr>
      <w:r w:rsidRPr="00217405">
        <w:rPr>
          <w:rFonts w:ascii="Times New Roman" w:eastAsia="Calibri" w:hAnsi="Times New Roman" w:cs="Times New Roman"/>
          <w:sz w:val="28"/>
          <w:szCs w:val="28"/>
        </w:rPr>
        <w:t>Kopumā</w:t>
      </w:r>
      <w:r w:rsidR="00654C0D">
        <w:rPr>
          <w:rFonts w:ascii="Times New Roman" w:eastAsia="Calibri" w:hAnsi="Times New Roman" w:cs="Times New Roman"/>
          <w:sz w:val="28"/>
          <w:szCs w:val="28"/>
        </w:rPr>
        <w:t>,</w:t>
      </w:r>
      <w:r w:rsidRPr="00217405">
        <w:rPr>
          <w:rFonts w:ascii="Times New Roman" w:eastAsia="Calibri" w:hAnsi="Times New Roman" w:cs="Times New Roman"/>
          <w:sz w:val="28"/>
          <w:szCs w:val="28"/>
        </w:rPr>
        <w:t xml:space="preserve"> VDI ieskatā</w:t>
      </w:r>
      <w:r w:rsidR="00654C0D">
        <w:rPr>
          <w:rFonts w:ascii="Times New Roman" w:eastAsia="Calibri" w:hAnsi="Times New Roman" w:cs="Times New Roman"/>
          <w:sz w:val="28"/>
          <w:szCs w:val="28"/>
        </w:rPr>
        <w:t>,</w:t>
      </w:r>
      <w:r w:rsidRPr="00217405">
        <w:rPr>
          <w:rFonts w:ascii="Times New Roman" w:eastAsia="Calibri" w:hAnsi="Times New Roman" w:cs="Times New Roman"/>
          <w:sz w:val="28"/>
          <w:szCs w:val="28"/>
        </w:rPr>
        <w:t xml:space="preserve"> EDLUS ieviešana ļauj samazināt nelegālās nodarbinātības riskus būvniecības nozarē, vienlaikus t</w:t>
      </w:r>
      <w:r w:rsidR="00654C0D">
        <w:rPr>
          <w:rFonts w:ascii="Times New Roman" w:eastAsia="Calibri" w:hAnsi="Times New Roman" w:cs="Times New Roman"/>
          <w:sz w:val="28"/>
          <w:szCs w:val="28"/>
        </w:rPr>
        <w:t>ā</w:t>
      </w:r>
      <w:r w:rsidRPr="00217405">
        <w:rPr>
          <w:rFonts w:ascii="Times New Roman" w:eastAsia="Calibri" w:hAnsi="Times New Roman" w:cs="Times New Roman"/>
          <w:sz w:val="28"/>
          <w:szCs w:val="28"/>
        </w:rPr>
        <w:t xml:space="preserve"> ir instruments kontroles īstenošanai un operatīvas informācijas iegūšanai. EDLUS ieviešana ir vērtējama pozitīvi.</w:t>
      </w:r>
    </w:p>
    <w:p w14:paraId="2A9B2347" w14:textId="77777777" w:rsidR="008C0008" w:rsidRPr="00217405" w:rsidRDefault="008C0008" w:rsidP="00CC33B1">
      <w:pPr>
        <w:autoSpaceDE w:val="0"/>
        <w:autoSpaceDN w:val="0"/>
        <w:adjustRightInd w:val="0"/>
        <w:spacing w:before="0" w:after="0" w:line="240" w:lineRule="auto"/>
        <w:jc w:val="both"/>
        <w:rPr>
          <w:rFonts w:ascii="Times New Roman" w:eastAsia="Calibri" w:hAnsi="Times New Roman" w:cs="Times New Roman"/>
          <w:sz w:val="28"/>
          <w:szCs w:val="28"/>
        </w:rPr>
      </w:pPr>
    </w:p>
    <w:p w14:paraId="020ACE9E" w14:textId="77777777" w:rsidR="00CE630A" w:rsidRPr="00E25833" w:rsidRDefault="00971777" w:rsidP="00CE630A">
      <w:pPr>
        <w:spacing w:before="0" w:after="0" w:line="240" w:lineRule="auto"/>
        <w:jc w:val="cente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b/>
          <w:color w:val="000000"/>
          <w:sz w:val="28"/>
          <w:szCs w:val="28"/>
          <w:lang w:eastAsia="lv-LV"/>
        </w:rPr>
        <w:t>7</w:t>
      </w:r>
      <w:r w:rsidR="00CE630A" w:rsidRPr="00E25833">
        <w:rPr>
          <w:rFonts w:ascii="Times New Roman" w:eastAsia="Times New Roman" w:hAnsi="Times New Roman" w:cs="Times New Roman"/>
          <w:b/>
          <w:color w:val="000000"/>
          <w:sz w:val="28"/>
          <w:szCs w:val="28"/>
          <w:lang w:eastAsia="lv-LV"/>
        </w:rPr>
        <w:t xml:space="preserve">. </w:t>
      </w:r>
      <w:r w:rsidR="002A2216" w:rsidRPr="00E25833">
        <w:rPr>
          <w:rFonts w:ascii="Times New Roman" w:eastAsia="Times New Roman" w:hAnsi="Times New Roman" w:cs="Times New Roman"/>
          <w:b/>
          <w:color w:val="000000"/>
          <w:sz w:val="28"/>
          <w:szCs w:val="28"/>
          <w:lang w:eastAsia="lv-LV"/>
        </w:rPr>
        <w:t xml:space="preserve">Būvniecības nozares attīstības tendences un </w:t>
      </w:r>
      <w:r w:rsidR="00CE630A" w:rsidRPr="00E25833">
        <w:rPr>
          <w:rFonts w:ascii="Times New Roman" w:eastAsia="Times New Roman" w:hAnsi="Times New Roman" w:cs="Times New Roman"/>
          <w:b/>
          <w:color w:val="000000"/>
          <w:sz w:val="28"/>
          <w:szCs w:val="28"/>
          <w:lang w:eastAsia="lv-LV"/>
        </w:rPr>
        <w:t xml:space="preserve">EDLUS ieviešanas ietekme </w:t>
      </w:r>
    </w:p>
    <w:p w14:paraId="73A5403D" w14:textId="77777777" w:rsidR="00CE630A" w:rsidRPr="00E25833" w:rsidRDefault="00CE630A" w:rsidP="004B5136">
      <w:pPr>
        <w:spacing w:before="0" w:after="0" w:line="240" w:lineRule="auto"/>
        <w:ind w:firstLine="720"/>
        <w:jc w:val="both"/>
        <w:rPr>
          <w:rFonts w:ascii="Times New Roman" w:eastAsia="Calibri" w:hAnsi="Times New Roman" w:cs="Times New Roman"/>
          <w:b/>
          <w:i/>
          <w:sz w:val="28"/>
          <w:szCs w:val="28"/>
        </w:rPr>
      </w:pPr>
    </w:p>
    <w:p w14:paraId="259E50E3" w14:textId="77777777" w:rsidR="004B5136" w:rsidRPr="00E25833" w:rsidRDefault="004B5136" w:rsidP="004B5136">
      <w:pPr>
        <w:spacing w:before="0" w:after="0" w:line="240" w:lineRule="auto"/>
        <w:ind w:firstLine="720"/>
        <w:jc w:val="both"/>
        <w:rPr>
          <w:rFonts w:ascii="Times New Roman" w:eastAsia="Calibri" w:hAnsi="Times New Roman" w:cs="Times New Roman"/>
          <w:b/>
          <w:i/>
          <w:sz w:val="28"/>
          <w:szCs w:val="28"/>
        </w:rPr>
      </w:pPr>
      <w:r w:rsidRPr="00E25833">
        <w:rPr>
          <w:rFonts w:ascii="Times New Roman" w:eastAsia="Calibri" w:hAnsi="Times New Roman" w:cs="Times New Roman"/>
          <w:b/>
          <w:i/>
          <w:sz w:val="28"/>
          <w:szCs w:val="28"/>
        </w:rPr>
        <w:t>VID administrētie kopbudžeta ieņēmumi</w:t>
      </w:r>
    </w:p>
    <w:p w14:paraId="4591CE16" w14:textId="77777777" w:rsidR="004B5136" w:rsidRDefault="004B5136" w:rsidP="004B5136">
      <w:pPr>
        <w:spacing w:before="0" w:after="0" w:line="240" w:lineRule="auto"/>
        <w:ind w:firstLine="720"/>
        <w:jc w:val="both"/>
        <w:rPr>
          <w:rFonts w:ascii="Times New Roman" w:eastAsia="Calibri" w:hAnsi="Times New Roman" w:cs="Times New Roman"/>
          <w:sz w:val="28"/>
          <w:szCs w:val="28"/>
        </w:rPr>
      </w:pPr>
      <w:r w:rsidRPr="00E25833">
        <w:rPr>
          <w:rFonts w:ascii="Times New Roman" w:eastAsia="Calibri" w:hAnsi="Times New Roman" w:cs="Times New Roman"/>
          <w:sz w:val="28"/>
          <w:szCs w:val="28"/>
        </w:rPr>
        <w:t>Būvniecības nozares</w:t>
      </w:r>
      <w:r w:rsidRPr="00E25833">
        <w:rPr>
          <w:rFonts w:ascii="Times New Roman" w:eastAsia="Calibri" w:hAnsi="Times New Roman" w:cs="Times New Roman"/>
          <w:sz w:val="28"/>
          <w:szCs w:val="28"/>
          <w:vertAlign w:val="superscript"/>
        </w:rPr>
        <w:footnoteReference w:id="6"/>
      </w:r>
      <w:r w:rsidRPr="00E25833">
        <w:rPr>
          <w:rFonts w:ascii="Times New Roman" w:eastAsia="Calibri" w:hAnsi="Times New Roman" w:cs="Times New Roman"/>
          <w:sz w:val="28"/>
          <w:szCs w:val="28"/>
        </w:rPr>
        <w:t xml:space="preserve"> nodokļu maksātāji 2019.gadā nodrošināja VID administrētos kopbudžeta ieņēmumus</w:t>
      </w:r>
      <w:r w:rsidRPr="00E25833">
        <w:rPr>
          <w:rFonts w:ascii="Times New Roman" w:eastAsia="Calibri" w:hAnsi="Times New Roman" w:cs="Times New Roman"/>
          <w:i/>
          <w:sz w:val="28"/>
          <w:szCs w:val="28"/>
          <w:vertAlign w:val="superscript"/>
        </w:rPr>
        <w:footnoteReference w:id="7"/>
      </w:r>
      <w:r w:rsidRPr="00E25833">
        <w:rPr>
          <w:rFonts w:ascii="Times New Roman" w:eastAsia="Calibri" w:hAnsi="Times New Roman" w:cs="Times New Roman"/>
          <w:sz w:val="28"/>
          <w:szCs w:val="28"/>
        </w:rPr>
        <w:t xml:space="preserve"> 325,60 milj. </w:t>
      </w:r>
      <w:proofErr w:type="spellStart"/>
      <w:r w:rsidR="00F30009" w:rsidRPr="006610D8">
        <w:rPr>
          <w:rFonts w:ascii="Times New Roman" w:eastAsia="Calibri" w:hAnsi="Times New Roman" w:cs="Times New Roman"/>
          <w:i/>
          <w:iCs/>
          <w:sz w:val="28"/>
          <w:szCs w:val="28"/>
        </w:rPr>
        <w:t>euro</w:t>
      </w:r>
      <w:proofErr w:type="spellEnd"/>
      <w:r w:rsidRPr="00E25833">
        <w:rPr>
          <w:rFonts w:ascii="Times New Roman" w:eastAsia="Calibri" w:hAnsi="Times New Roman" w:cs="Times New Roman"/>
          <w:sz w:val="28"/>
          <w:szCs w:val="28"/>
        </w:rPr>
        <w:t xml:space="preserve"> apmērā, kas ir 3,3 % no kopējiem 2019.gada VID administrētiem kopbudžeta ieņēmumiem (9799,79 milj. </w:t>
      </w:r>
      <w:proofErr w:type="spellStart"/>
      <w:r w:rsidR="00F30009" w:rsidRPr="006610D8">
        <w:rPr>
          <w:rFonts w:ascii="Times New Roman" w:eastAsia="Calibri" w:hAnsi="Times New Roman" w:cs="Times New Roman"/>
          <w:i/>
          <w:iCs/>
          <w:sz w:val="28"/>
          <w:szCs w:val="28"/>
        </w:rPr>
        <w:t>euro</w:t>
      </w:r>
      <w:proofErr w:type="spellEnd"/>
      <w:r w:rsidRPr="00E25833">
        <w:rPr>
          <w:rFonts w:ascii="Times New Roman" w:eastAsia="Calibri" w:hAnsi="Times New Roman" w:cs="Times New Roman"/>
          <w:sz w:val="28"/>
          <w:szCs w:val="28"/>
        </w:rPr>
        <w:t xml:space="preserve">) (skatīt </w:t>
      </w:r>
      <w:r w:rsidR="00E716F3">
        <w:rPr>
          <w:rFonts w:ascii="Times New Roman" w:eastAsia="Calibri" w:hAnsi="Times New Roman" w:cs="Times New Roman"/>
          <w:sz w:val="28"/>
          <w:szCs w:val="28"/>
        </w:rPr>
        <w:t>5</w:t>
      </w:r>
      <w:r w:rsidRPr="00E25833">
        <w:rPr>
          <w:rFonts w:ascii="Times New Roman" w:eastAsia="Calibri" w:hAnsi="Times New Roman" w:cs="Times New Roman"/>
          <w:sz w:val="28"/>
          <w:szCs w:val="28"/>
        </w:rPr>
        <w:t xml:space="preserve">.tabulu). Nozares nodokļu maksātāju nodrošinātie </w:t>
      </w:r>
      <w:r w:rsidRPr="00E716F3">
        <w:rPr>
          <w:rFonts w:ascii="Times New Roman" w:eastAsia="Calibri" w:hAnsi="Times New Roman" w:cs="Times New Roman"/>
          <w:sz w:val="28"/>
          <w:szCs w:val="28"/>
        </w:rPr>
        <w:t>kopbudžeta ieņēmumi 2019.gadā, salīdzinot ar 2018.gadu, ir palielinājušies par 44,24 milj. </w:t>
      </w:r>
      <w:proofErr w:type="spellStart"/>
      <w:r w:rsidR="00F30009" w:rsidRPr="006610D8">
        <w:rPr>
          <w:rFonts w:ascii="Times New Roman" w:eastAsia="Calibri" w:hAnsi="Times New Roman" w:cs="Times New Roman"/>
          <w:i/>
          <w:iCs/>
          <w:sz w:val="28"/>
          <w:szCs w:val="28"/>
        </w:rPr>
        <w:t>euro</w:t>
      </w:r>
      <w:proofErr w:type="spellEnd"/>
      <w:r w:rsidR="001155D8" w:rsidRPr="00E716F3">
        <w:rPr>
          <w:rFonts w:ascii="Times New Roman" w:eastAsia="Calibri" w:hAnsi="Times New Roman" w:cs="Times New Roman"/>
          <w:sz w:val="28"/>
          <w:szCs w:val="28"/>
        </w:rPr>
        <w:t xml:space="preserve"> </w:t>
      </w:r>
      <w:r w:rsidRPr="00E716F3">
        <w:rPr>
          <w:rFonts w:ascii="Times New Roman" w:eastAsia="Calibri" w:hAnsi="Times New Roman" w:cs="Times New Roman"/>
          <w:sz w:val="28"/>
          <w:szCs w:val="28"/>
        </w:rPr>
        <w:t xml:space="preserve">jeb 15,7 %. </w:t>
      </w:r>
    </w:p>
    <w:p w14:paraId="1E636E45" w14:textId="77777777" w:rsidR="008C0008" w:rsidRDefault="008C0008" w:rsidP="008C0008">
      <w:pPr>
        <w:spacing w:before="0" w:after="0" w:line="240" w:lineRule="auto"/>
        <w:ind w:right="84"/>
        <w:jc w:val="right"/>
        <w:rPr>
          <w:rFonts w:ascii="Times New Roman" w:eastAsia="Calibri" w:hAnsi="Times New Roman" w:cs="Times New Roman"/>
          <w:sz w:val="28"/>
          <w:szCs w:val="28"/>
        </w:rPr>
      </w:pPr>
    </w:p>
    <w:p w14:paraId="09609056" w14:textId="77777777" w:rsidR="00195713" w:rsidRDefault="00195713" w:rsidP="008C0008">
      <w:pPr>
        <w:spacing w:before="0" w:after="0" w:line="240" w:lineRule="auto"/>
        <w:ind w:right="84"/>
        <w:jc w:val="right"/>
        <w:rPr>
          <w:rFonts w:ascii="Times New Roman" w:eastAsia="Calibri" w:hAnsi="Times New Roman" w:cs="Times New Roman"/>
          <w:sz w:val="28"/>
          <w:szCs w:val="28"/>
        </w:rPr>
      </w:pPr>
    </w:p>
    <w:p w14:paraId="3C4F1BEF" w14:textId="2044C5AF" w:rsidR="004B5136" w:rsidRPr="00E716F3" w:rsidRDefault="00E716F3" w:rsidP="008C0008">
      <w:pPr>
        <w:spacing w:before="0" w:after="0" w:line="240" w:lineRule="auto"/>
        <w:ind w:right="84"/>
        <w:jc w:val="right"/>
        <w:rPr>
          <w:rFonts w:ascii="Times New Roman" w:eastAsia="Calibri" w:hAnsi="Times New Roman" w:cs="Times New Roman"/>
          <w:sz w:val="28"/>
          <w:szCs w:val="28"/>
        </w:rPr>
      </w:pPr>
      <w:r w:rsidRPr="00E716F3">
        <w:rPr>
          <w:rFonts w:ascii="Times New Roman" w:eastAsia="Calibri" w:hAnsi="Times New Roman" w:cs="Times New Roman"/>
          <w:sz w:val="28"/>
          <w:szCs w:val="28"/>
        </w:rPr>
        <w:t>5</w:t>
      </w:r>
      <w:r w:rsidR="004B5136" w:rsidRPr="00E716F3">
        <w:rPr>
          <w:rFonts w:ascii="Times New Roman" w:eastAsia="Calibri" w:hAnsi="Times New Roman" w:cs="Times New Roman"/>
          <w:sz w:val="28"/>
          <w:szCs w:val="28"/>
        </w:rPr>
        <w:t>.tabula</w:t>
      </w:r>
    </w:p>
    <w:p w14:paraId="41EF7DB6" w14:textId="77777777" w:rsidR="004B5136" w:rsidRPr="00E25833" w:rsidRDefault="004B5136" w:rsidP="004B5136">
      <w:pPr>
        <w:spacing w:before="0" w:after="0" w:line="240" w:lineRule="auto"/>
        <w:ind w:right="-908"/>
        <w:jc w:val="center"/>
        <w:rPr>
          <w:rFonts w:ascii="Times New Roman" w:eastAsia="Calibri" w:hAnsi="Times New Roman" w:cs="Times New Roman"/>
          <w:b/>
          <w:sz w:val="28"/>
          <w:szCs w:val="28"/>
        </w:rPr>
      </w:pPr>
      <w:r w:rsidRPr="00E25833">
        <w:rPr>
          <w:rFonts w:ascii="Times New Roman" w:eastAsia="Calibri" w:hAnsi="Times New Roman" w:cs="Times New Roman"/>
          <w:b/>
          <w:sz w:val="28"/>
          <w:szCs w:val="28"/>
        </w:rPr>
        <w:t xml:space="preserve">VID administrētie kopbudžeta ieņēmumi, milj. </w:t>
      </w:r>
      <w:proofErr w:type="spellStart"/>
      <w:r w:rsidR="00F30009" w:rsidRPr="006610D8">
        <w:rPr>
          <w:rFonts w:ascii="Times New Roman" w:eastAsia="Calibri" w:hAnsi="Times New Roman" w:cs="Times New Roman"/>
          <w:b/>
          <w:i/>
          <w:iCs/>
          <w:sz w:val="28"/>
          <w:szCs w:val="28"/>
        </w:rPr>
        <w:t>euro</w:t>
      </w:r>
      <w:proofErr w:type="spellEnd"/>
    </w:p>
    <w:p w14:paraId="1BB67973" w14:textId="77777777" w:rsidR="004B5136" w:rsidRPr="00E25833" w:rsidRDefault="004B5136" w:rsidP="008C0008">
      <w:pPr>
        <w:spacing w:before="0" w:after="0" w:line="240" w:lineRule="auto"/>
        <w:ind w:left="-567"/>
        <w:rPr>
          <w:rFonts w:ascii="Times New Roman" w:eastAsia="Calibri" w:hAnsi="Times New Roman" w:cs="Times New Roman"/>
        </w:rPr>
      </w:pPr>
      <w:r w:rsidRPr="00E25833">
        <w:rPr>
          <w:rFonts w:ascii="Times New Roman" w:eastAsia="Calibri" w:hAnsi="Times New Roman" w:cs="Times New Roman"/>
        </w:rPr>
        <w:t xml:space="preserve">  Dati uz 2020.gada 21.aprīli</w:t>
      </w:r>
    </w:p>
    <w:tbl>
      <w:tblPr>
        <w:tblW w:w="10201" w:type="dxa"/>
        <w:jc w:val="center"/>
        <w:tblLayout w:type="fixed"/>
        <w:tblLook w:val="04A0" w:firstRow="1" w:lastRow="0" w:firstColumn="1" w:lastColumn="0" w:noHBand="0" w:noVBand="1"/>
      </w:tblPr>
      <w:tblGrid>
        <w:gridCol w:w="900"/>
        <w:gridCol w:w="1660"/>
        <w:gridCol w:w="1404"/>
        <w:gridCol w:w="992"/>
        <w:gridCol w:w="992"/>
        <w:gridCol w:w="1135"/>
        <w:gridCol w:w="992"/>
        <w:gridCol w:w="992"/>
        <w:gridCol w:w="1134"/>
      </w:tblGrid>
      <w:tr w:rsidR="00190B3A" w:rsidRPr="00190B3A" w14:paraId="40750E21" w14:textId="77777777" w:rsidTr="00195713">
        <w:trPr>
          <w:trHeight w:val="888"/>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DEB72" w14:textId="77777777" w:rsidR="00190B3A" w:rsidRPr="00190B3A" w:rsidRDefault="00190B3A" w:rsidP="00190B3A">
            <w:pPr>
              <w:spacing w:before="0" w:after="0" w:line="240" w:lineRule="auto"/>
              <w:jc w:val="center"/>
              <w:rPr>
                <w:rFonts w:ascii="Times New Roman" w:eastAsia="Times New Roman" w:hAnsi="Times New Roman" w:cs="Times New Roman"/>
                <w:b/>
                <w:bCs/>
                <w:color w:val="000000"/>
                <w:sz w:val="16"/>
                <w:szCs w:val="16"/>
                <w:lang w:eastAsia="lv-LV"/>
              </w:rPr>
            </w:pPr>
            <w:r w:rsidRPr="00190B3A">
              <w:rPr>
                <w:rFonts w:ascii="Times New Roman" w:eastAsia="Times New Roman" w:hAnsi="Times New Roman" w:cs="Times New Roman"/>
                <w:b/>
                <w:bCs/>
                <w:color w:val="000000"/>
                <w:sz w:val="16"/>
                <w:szCs w:val="16"/>
                <w:lang w:eastAsia="lv-LV"/>
              </w:rPr>
              <w:t>Periods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81E56DF" w14:textId="77777777" w:rsidR="00190B3A" w:rsidRPr="00190B3A" w:rsidRDefault="00190B3A" w:rsidP="00190B3A">
            <w:pPr>
              <w:spacing w:before="0" w:after="0" w:line="240" w:lineRule="auto"/>
              <w:jc w:val="center"/>
              <w:rPr>
                <w:rFonts w:ascii="Times New Roman" w:eastAsia="Times New Roman" w:hAnsi="Times New Roman" w:cs="Times New Roman"/>
                <w:b/>
                <w:bCs/>
                <w:sz w:val="16"/>
                <w:szCs w:val="16"/>
                <w:lang w:eastAsia="lv-LV"/>
              </w:rPr>
            </w:pPr>
            <w:r w:rsidRPr="00190B3A">
              <w:rPr>
                <w:rFonts w:ascii="Times New Roman" w:eastAsia="Times New Roman" w:hAnsi="Times New Roman" w:cs="Times New Roman"/>
                <w:b/>
                <w:bCs/>
                <w:sz w:val="16"/>
                <w:szCs w:val="16"/>
                <w:lang w:eastAsia="lv-LV"/>
              </w:rPr>
              <w:t>Apskatāmā kopa</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2EF7766A" w14:textId="77777777" w:rsidR="00190B3A" w:rsidRPr="00190B3A" w:rsidRDefault="00190B3A" w:rsidP="00190B3A">
            <w:pPr>
              <w:spacing w:before="0" w:after="0" w:line="240" w:lineRule="auto"/>
              <w:jc w:val="center"/>
              <w:rPr>
                <w:rFonts w:ascii="Times New Roman" w:eastAsia="Times New Roman" w:hAnsi="Times New Roman" w:cs="Times New Roman"/>
                <w:b/>
                <w:bCs/>
                <w:color w:val="222B35"/>
                <w:sz w:val="16"/>
                <w:szCs w:val="16"/>
                <w:lang w:eastAsia="lv-LV"/>
              </w:rPr>
            </w:pPr>
            <w:r w:rsidRPr="00190B3A">
              <w:rPr>
                <w:rFonts w:ascii="Times New Roman" w:eastAsia="Times New Roman" w:hAnsi="Times New Roman" w:cs="Times New Roman"/>
                <w:b/>
                <w:bCs/>
                <w:color w:val="222B35"/>
                <w:sz w:val="16"/>
                <w:szCs w:val="16"/>
                <w:lang w:eastAsia="lv-LV"/>
              </w:rPr>
              <w:t xml:space="preserve">Valsts sociālās apdrošināšanas obligātās iemaksas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6868C55" w14:textId="77777777" w:rsidR="00190B3A" w:rsidRPr="00190B3A" w:rsidRDefault="00190B3A" w:rsidP="00190B3A">
            <w:pPr>
              <w:spacing w:before="0" w:after="0" w:line="240" w:lineRule="auto"/>
              <w:jc w:val="center"/>
              <w:rPr>
                <w:rFonts w:ascii="Times New Roman" w:eastAsia="Times New Roman" w:hAnsi="Times New Roman" w:cs="Times New Roman"/>
                <w:b/>
                <w:bCs/>
                <w:color w:val="222B35"/>
                <w:sz w:val="16"/>
                <w:szCs w:val="16"/>
                <w:lang w:eastAsia="lv-LV"/>
              </w:rPr>
            </w:pPr>
            <w:r w:rsidRPr="00190B3A">
              <w:rPr>
                <w:rFonts w:ascii="Times New Roman" w:eastAsia="Times New Roman" w:hAnsi="Times New Roman" w:cs="Times New Roman"/>
                <w:b/>
                <w:bCs/>
                <w:color w:val="222B35"/>
                <w:sz w:val="16"/>
                <w:szCs w:val="16"/>
                <w:lang w:eastAsia="lv-LV"/>
              </w:rPr>
              <w:t xml:space="preserve">Iedzīvotāju ienākuma nodoklis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C29230" w14:textId="77777777" w:rsidR="00190B3A" w:rsidRPr="00190B3A" w:rsidRDefault="00190B3A" w:rsidP="00190B3A">
            <w:pPr>
              <w:spacing w:before="0" w:after="0" w:line="240" w:lineRule="auto"/>
              <w:jc w:val="center"/>
              <w:rPr>
                <w:rFonts w:ascii="Times New Roman" w:eastAsia="Times New Roman" w:hAnsi="Times New Roman" w:cs="Times New Roman"/>
                <w:b/>
                <w:bCs/>
                <w:color w:val="222B35"/>
                <w:sz w:val="16"/>
                <w:szCs w:val="16"/>
                <w:lang w:eastAsia="lv-LV"/>
              </w:rPr>
            </w:pPr>
            <w:r w:rsidRPr="00190B3A">
              <w:rPr>
                <w:rFonts w:ascii="Times New Roman" w:eastAsia="Times New Roman" w:hAnsi="Times New Roman" w:cs="Times New Roman"/>
                <w:b/>
                <w:bCs/>
                <w:color w:val="222B35"/>
                <w:sz w:val="16"/>
                <w:szCs w:val="16"/>
                <w:lang w:eastAsia="lv-LV"/>
              </w:rPr>
              <w:t>Mikro-uzņēmum</w:t>
            </w:r>
            <w:r w:rsidR="00825D38">
              <w:rPr>
                <w:rFonts w:ascii="Times New Roman" w:eastAsia="Times New Roman" w:hAnsi="Times New Roman" w:cs="Times New Roman"/>
                <w:b/>
                <w:bCs/>
                <w:color w:val="222B35"/>
                <w:sz w:val="16"/>
                <w:szCs w:val="16"/>
                <w:lang w:eastAsia="lv-LV"/>
              </w:rPr>
              <w:t>u</w:t>
            </w:r>
            <w:r w:rsidRPr="00190B3A">
              <w:rPr>
                <w:rFonts w:ascii="Times New Roman" w:eastAsia="Times New Roman" w:hAnsi="Times New Roman" w:cs="Times New Roman"/>
                <w:b/>
                <w:bCs/>
                <w:color w:val="222B35"/>
                <w:sz w:val="16"/>
                <w:szCs w:val="16"/>
                <w:lang w:eastAsia="lv-LV"/>
              </w:rPr>
              <w:t xml:space="preserve"> nodoklis</w:t>
            </w:r>
          </w:p>
        </w:tc>
        <w:tc>
          <w:tcPr>
            <w:tcW w:w="1135" w:type="dxa"/>
            <w:tcBorders>
              <w:top w:val="single" w:sz="4" w:space="0" w:color="auto"/>
              <w:left w:val="nil"/>
              <w:bottom w:val="single" w:sz="4" w:space="0" w:color="auto"/>
              <w:right w:val="single" w:sz="4" w:space="0" w:color="auto"/>
            </w:tcBorders>
            <w:vAlign w:val="center"/>
          </w:tcPr>
          <w:p w14:paraId="0D6F1834" w14:textId="77777777" w:rsidR="00190B3A" w:rsidRPr="00190B3A" w:rsidRDefault="00190B3A" w:rsidP="00190B3A">
            <w:pPr>
              <w:spacing w:before="0" w:after="0" w:line="240" w:lineRule="auto"/>
              <w:jc w:val="center"/>
              <w:rPr>
                <w:rFonts w:ascii="Times New Roman" w:eastAsia="Times New Roman" w:hAnsi="Times New Roman" w:cs="Times New Roman"/>
                <w:b/>
                <w:bCs/>
                <w:color w:val="222B35"/>
                <w:sz w:val="16"/>
                <w:szCs w:val="16"/>
                <w:lang w:eastAsia="lv-LV"/>
              </w:rPr>
            </w:pPr>
            <w:r w:rsidRPr="00190B3A">
              <w:rPr>
                <w:rFonts w:ascii="Times New Roman" w:hAnsi="Times New Roman" w:cs="Times New Roman"/>
                <w:b/>
                <w:sz w:val="16"/>
                <w:szCs w:val="16"/>
              </w:rPr>
              <w:t xml:space="preserve">Uzņēmumu ienākuma nodoklis                        </w:t>
            </w:r>
          </w:p>
        </w:tc>
        <w:tc>
          <w:tcPr>
            <w:tcW w:w="992" w:type="dxa"/>
            <w:tcBorders>
              <w:top w:val="single" w:sz="4" w:space="0" w:color="auto"/>
              <w:left w:val="single" w:sz="4" w:space="0" w:color="auto"/>
              <w:bottom w:val="single" w:sz="4" w:space="0" w:color="auto"/>
              <w:right w:val="single" w:sz="4" w:space="0" w:color="auto"/>
            </w:tcBorders>
            <w:vAlign w:val="center"/>
          </w:tcPr>
          <w:p w14:paraId="7A00316B" w14:textId="77777777" w:rsidR="00190B3A" w:rsidRPr="00190B3A" w:rsidRDefault="00190B3A" w:rsidP="00190B3A">
            <w:pPr>
              <w:spacing w:before="0" w:after="0" w:line="240" w:lineRule="auto"/>
              <w:jc w:val="center"/>
              <w:rPr>
                <w:rFonts w:ascii="Times New Roman" w:eastAsia="Times New Roman" w:hAnsi="Times New Roman" w:cs="Times New Roman"/>
                <w:b/>
                <w:bCs/>
                <w:color w:val="222B35"/>
                <w:sz w:val="16"/>
                <w:szCs w:val="16"/>
                <w:lang w:eastAsia="lv-LV"/>
              </w:rPr>
            </w:pPr>
            <w:r w:rsidRPr="00190B3A">
              <w:rPr>
                <w:rFonts w:ascii="Times New Roman" w:hAnsi="Times New Roman" w:cs="Times New Roman"/>
                <w:b/>
                <w:sz w:val="16"/>
                <w:szCs w:val="16"/>
              </w:rPr>
              <w:t xml:space="preserve">Pievienotās vērtības nodoklis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4CE5A" w14:textId="77777777" w:rsidR="00190B3A" w:rsidRPr="00190B3A" w:rsidRDefault="00190B3A" w:rsidP="00190B3A">
            <w:pPr>
              <w:spacing w:before="0" w:after="0" w:line="240" w:lineRule="auto"/>
              <w:jc w:val="center"/>
              <w:rPr>
                <w:rFonts w:ascii="Times New Roman" w:eastAsia="Times New Roman" w:hAnsi="Times New Roman" w:cs="Times New Roman"/>
                <w:b/>
                <w:bCs/>
                <w:color w:val="222B35"/>
                <w:sz w:val="16"/>
                <w:szCs w:val="16"/>
                <w:lang w:eastAsia="lv-LV"/>
              </w:rPr>
            </w:pPr>
            <w:r w:rsidRPr="00190B3A">
              <w:rPr>
                <w:rFonts w:ascii="Times New Roman" w:eastAsia="Times New Roman" w:hAnsi="Times New Roman" w:cs="Times New Roman"/>
                <w:b/>
                <w:bCs/>
                <w:color w:val="222B35"/>
                <w:sz w:val="16"/>
                <w:szCs w:val="16"/>
                <w:lang w:eastAsia="lv-LV"/>
              </w:rPr>
              <w:t xml:space="preserve">Pārējie nodokļi un maksājumi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1D55E5" w14:textId="77777777" w:rsidR="00190B3A" w:rsidRPr="00190B3A" w:rsidRDefault="00190B3A" w:rsidP="00190B3A">
            <w:pPr>
              <w:spacing w:before="0" w:after="0" w:line="240" w:lineRule="auto"/>
              <w:jc w:val="center"/>
              <w:rPr>
                <w:rFonts w:ascii="Times New Roman" w:eastAsia="Times New Roman" w:hAnsi="Times New Roman" w:cs="Times New Roman"/>
                <w:b/>
                <w:bCs/>
                <w:color w:val="222B35"/>
                <w:sz w:val="16"/>
                <w:szCs w:val="16"/>
                <w:lang w:eastAsia="lv-LV"/>
              </w:rPr>
            </w:pPr>
            <w:r w:rsidRPr="00190B3A">
              <w:rPr>
                <w:rFonts w:ascii="Times New Roman" w:eastAsia="Times New Roman" w:hAnsi="Times New Roman" w:cs="Times New Roman"/>
                <w:b/>
                <w:bCs/>
                <w:color w:val="222B35"/>
                <w:sz w:val="16"/>
                <w:szCs w:val="16"/>
                <w:lang w:eastAsia="lv-LV"/>
              </w:rPr>
              <w:t xml:space="preserve">VID administrētie kopbudžeta ieņēmumi kopā </w:t>
            </w:r>
          </w:p>
        </w:tc>
      </w:tr>
      <w:tr w:rsidR="00190B3A" w:rsidRPr="00190B3A" w14:paraId="0D6E8E4B" w14:textId="77777777" w:rsidTr="00195713">
        <w:trPr>
          <w:trHeight w:val="253"/>
          <w:jc w:val="center"/>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ABDCF4" w14:textId="77777777" w:rsidR="00190B3A" w:rsidRPr="00190B3A" w:rsidRDefault="00190B3A" w:rsidP="00190B3A">
            <w:pPr>
              <w:spacing w:before="0" w:after="0" w:line="240" w:lineRule="auto"/>
              <w:jc w:val="center"/>
              <w:rPr>
                <w:rFonts w:ascii="Times New Roman" w:eastAsia="Times New Roman" w:hAnsi="Times New Roman" w:cs="Times New Roman"/>
                <w:b/>
                <w:bCs/>
                <w:color w:val="000000"/>
                <w:sz w:val="16"/>
                <w:szCs w:val="16"/>
                <w:lang w:eastAsia="lv-LV"/>
              </w:rPr>
            </w:pPr>
            <w:r w:rsidRPr="00190B3A">
              <w:rPr>
                <w:rFonts w:ascii="Times New Roman" w:eastAsia="Times New Roman" w:hAnsi="Times New Roman" w:cs="Times New Roman"/>
                <w:b/>
                <w:bCs/>
                <w:color w:val="000000"/>
                <w:sz w:val="16"/>
                <w:szCs w:val="16"/>
                <w:lang w:eastAsia="lv-LV"/>
              </w:rPr>
              <w:t>2017.gads</w:t>
            </w:r>
          </w:p>
        </w:tc>
        <w:tc>
          <w:tcPr>
            <w:tcW w:w="1660" w:type="dxa"/>
            <w:tcBorders>
              <w:top w:val="nil"/>
              <w:left w:val="nil"/>
              <w:bottom w:val="single" w:sz="4" w:space="0" w:color="auto"/>
              <w:right w:val="single" w:sz="4" w:space="0" w:color="auto"/>
            </w:tcBorders>
            <w:shd w:val="clear" w:color="auto" w:fill="auto"/>
            <w:noWrap/>
            <w:vAlign w:val="center"/>
            <w:hideMark/>
          </w:tcPr>
          <w:p w14:paraId="0D487C19" w14:textId="77777777" w:rsidR="00190B3A" w:rsidRPr="00190B3A" w:rsidRDefault="00190B3A" w:rsidP="00190B3A">
            <w:pPr>
              <w:spacing w:before="0" w:after="0" w:line="240" w:lineRule="auto"/>
              <w:rPr>
                <w:rFonts w:ascii="Times New Roman" w:eastAsia="Times New Roman" w:hAnsi="Times New Roman" w:cs="Times New Roman"/>
                <w:sz w:val="16"/>
                <w:szCs w:val="16"/>
                <w:lang w:eastAsia="lv-LV"/>
              </w:rPr>
            </w:pPr>
            <w:r w:rsidRPr="00190B3A">
              <w:rPr>
                <w:rFonts w:ascii="Times New Roman" w:eastAsia="Times New Roman" w:hAnsi="Times New Roman" w:cs="Times New Roman"/>
                <w:sz w:val="16"/>
                <w:szCs w:val="16"/>
                <w:lang w:eastAsia="lv-LV"/>
              </w:rPr>
              <w:t>Būvniecības nozare</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D7D6F"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148,89</w:t>
            </w:r>
          </w:p>
        </w:tc>
        <w:tc>
          <w:tcPr>
            <w:tcW w:w="992" w:type="dxa"/>
            <w:tcBorders>
              <w:top w:val="nil"/>
              <w:left w:val="nil"/>
              <w:bottom w:val="single" w:sz="4" w:space="0" w:color="auto"/>
              <w:right w:val="single" w:sz="4" w:space="0" w:color="auto"/>
            </w:tcBorders>
            <w:shd w:val="clear" w:color="auto" w:fill="auto"/>
            <w:noWrap/>
            <w:vAlign w:val="center"/>
            <w:hideMark/>
          </w:tcPr>
          <w:p w14:paraId="5651E78F"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85,00</w:t>
            </w:r>
          </w:p>
        </w:tc>
        <w:tc>
          <w:tcPr>
            <w:tcW w:w="992" w:type="dxa"/>
            <w:tcBorders>
              <w:top w:val="nil"/>
              <w:left w:val="nil"/>
              <w:bottom w:val="single" w:sz="4" w:space="0" w:color="auto"/>
              <w:right w:val="single" w:sz="4" w:space="0" w:color="auto"/>
            </w:tcBorders>
            <w:shd w:val="clear" w:color="auto" w:fill="auto"/>
            <w:noWrap/>
            <w:vAlign w:val="center"/>
            <w:hideMark/>
          </w:tcPr>
          <w:p w14:paraId="1F2D49CB"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8,53</w:t>
            </w:r>
          </w:p>
        </w:tc>
        <w:tc>
          <w:tcPr>
            <w:tcW w:w="1135" w:type="dxa"/>
            <w:tcBorders>
              <w:top w:val="single" w:sz="4" w:space="0" w:color="auto"/>
              <w:left w:val="nil"/>
              <w:bottom w:val="single" w:sz="4" w:space="0" w:color="auto"/>
              <w:right w:val="single" w:sz="4" w:space="0" w:color="auto"/>
            </w:tcBorders>
            <w:vAlign w:val="center"/>
          </w:tcPr>
          <w:p w14:paraId="2774B95A"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hAnsi="Times New Roman" w:cs="Times New Roman"/>
                <w:sz w:val="16"/>
                <w:szCs w:val="16"/>
              </w:rPr>
              <w:t>10,47</w:t>
            </w:r>
          </w:p>
        </w:tc>
        <w:tc>
          <w:tcPr>
            <w:tcW w:w="992" w:type="dxa"/>
            <w:tcBorders>
              <w:top w:val="single" w:sz="4" w:space="0" w:color="auto"/>
              <w:left w:val="single" w:sz="4" w:space="0" w:color="auto"/>
              <w:bottom w:val="single" w:sz="4" w:space="0" w:color="auto"/>
              <w:right w:val="single" w:sz="4" w:space="0" w:color="auto"/>
            </w:tcBorders>
            <w:vAlign w:val="center"/>
          </w:tcPr>
          <w:p w14:paraId="43F78BE9" w14:textId="77777777" w:rsidR="00190B3A" w:rsidRPr="00190B3A" w:rsidRDefault="00825D38" w:rsidP="00190B3A">
            <w:pPr>
              <w:spacing w:before="0" w:after="0" w:line="240" w:lineRule="auto"/>
              <w:jc w:val="right"/>
              <w:rPr>
                <w:rFonts w:ascii="Times New Roman" w:eastAsia="Times New Roman" w:hAnsi="Times New Roman" w:cs="Times New Roman"/>
                <w:color w:val="000000"/>
                <w:sz w:val="16"/>
                <w:szCs w:val="16"/>
                <w:lang w:eastAsia="lv-LV"/>
              </w:rPr>
            </w:pPr>
            <w:r>
              <w:rPr>
                <w:rFonts w:ascii="Times New Roman" w:hAnsi="Times New Roman" w:cs="Times New Roman"/>
                <w:sz w:val="16"/>
                <w:szCs w:val="16"/>
              </w:rPr>
              <w:t>–</w:t>
            </w:r>
            <w:r w:rsidR="00190B3A" w:rsidRPr="00190B3A">
              <w:rPr>
                <w:rFonts w:ascii="Times New Roman" w:hAnsi="Times New Roman" w:cs="Times New Roman"/>
                <w:sz w:val="16"/>
                <w:szCs w:val="16"/>
              </w:rPr>
              <w:t>74,63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ABF37CC"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5,63</w:t>
            </w:r>
          </w:p>
        </w:tc>
        <w:tc>
          <w:tcPr>
            <w:tcW w:w="1134" w:type="dxa"/>
            <w:tcBorders>
              <w:top w:val="nil"/>
              <w:left w:val="nil"/>
              <w:bottom w:val="single" w:sz="4" w:space="0" w:color="auto"/>
              <w:right w:val="single" w:sz="4" w:space="0" w:color="auto"/>
            </w:tcBorders>
            <w:shd w:val="clear" w:color="auto" w:fill="auto"/>
            <w:noWrap/>
            <w:vAlign w:val="center"/>
            <w:hideMark/>
          </w:tcPr>
          <w:p w14:paraId="64CC51E4" w14:textId="77777777" w:rsidR="00190B3A" w:rsidRPr="00190B3A" w:rsidRDefault="00190B3A" w:rsidP="00190B3A">
            <w:pPr>
              <w:spacing w:before="0" w:after="0" w:line="240" w:lineRule="auto"/>
              <w:jc w:val="right"/>
              <w:rPr>
                <w:rFonts w:ascii="Times New Roman" w:eastAsia="Times New Roman" w:hAnsi="Times New Roman" w:cs="Times New Roman"/>
                <w:b/>
                <w:bCs/>
                <w:color w:val="000000"/>
                <w:sz w:val="16"/>
                <w:szCs w:val="16"/>
                <w:lang w:eastAsia="lv-LV"/>
              </w:rPr>
            </w:pPr>
            <w:r w:rsidRPr="00190B3A">
              <w:rPr>
                <w:rFonts w:ascii="Times New Roman" w:eastAsia="Times New Roman" w:hAnsi="Times New Roman" w:cs="Times New Roman"/>
                <w:b/>
                <w:bCs/>
                <w:color w:val="000000"/>
                <w:sz w:val="16"/>
                <w:szCs w:val="16"/>
                <w:lang w:eastAsia="lv-LV"/>
              </w:rPr>
              <w:t>183,89</w:t>
            </w:r>
          </w:p>
        </w:tc>
      </w:tr>
      <w:tr w:rsidR="005E08CF" w:rsidRPr="00190B3A" w14:paraId="677F28F8" w14:textId="77777777" w:rsidTr="00195713">
        <w:trPr>
          <w:trHeight w:val="393"/>
          <w:jc w:val="center"/>
        </w:trPr>
        <w:tc>
          <w:tcPr>
            <w:tcW w:w="900" w:type="dxa"/>
            <w:vMerge/>
            <w:tcBorders>
              <w:top w:val="nil"/>
              <w:left w:val="single" w:sz="4" w:space="0" w:color="auto"/>
              <w:bottom w:val="single" w:sz="4" w:space="0" w:color="000000"/>
              <w:right w:val="single" w:sz="4" w:space="0" w:color="auto"/>
            </w:tcBorders>
            <w:vAlign w:val="center"/>
            <w:hideMark/>
          </w:tcPr>
          <w:p w14:paraId="65558D63" w14:textId="77777777" w:rsidR="00190B3A" w:rsidRPr="00190B3A" w:rsidRDefault="00190B3A" w:rsidP="00190B3A">
            <w:pPr>
              <w:spacing w:before="0" w:after="0" w:line="240" w:lineRule="auto"/>
              <w:rPr>
                <w:rFonts w:ascii="Times New Roman" w:eastAsia="Times New Roman" w:hAnsi="Times New Roman" w:cs="Times New Roman"/>
                <w:b/>
                <w:bCs/>
                <w:color w:val="000000"/>
                <w:sz w:val="16"/>
                <w:szCs w:val="16"/>
                <w:lang w:eastAsia="lv-LV"/>
              </w:rPr>
            </w:pPr>
          </w:p>
        </w:tc>
        <w:tc>
          <w:tcPr>
            <w:tcW w:w="1660" w:type="dxa"/>
            <w:tcBorders>
              <w:top w:val="nil"/>
              <w:left w:val="nil"/>
              <w:bottom w:val="single" w:sz="4" w:space="0" w:color="auto"/>
              <w:right w:val="single" w:sz="4" w:space="0" w:color="auto"/>
            </w:tcBorders>
            <w:shd w:val="clear" w:color="000000" w:fill="D9D9D9"/>
            <w:vAlign w:val="center"/>
            <w:hideMark/>
          </w:tcPr>
          <w:p w14:paraId="1E1E0D5F" w14:textId="77777777" w:rsidR="00190B3A" w:rsidRPr="00190B3A" w:rsidRDefault="00190B3A" w:rsidP="00190B3A">
            <w:pPr>
              <w:spacing w:before="0" w:after="0" w:line="240" w:lineRule="auto"/>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VID administrētie kopbudžeta ieņēmumi</w:t>
            </w:r>
          </w:p>
        </w:tc>
        <w:tc>
          <w:tcPr>
            <w:tcW w:w="140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F3B967"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2735,31</w:t>
            </w:r>
          </w:p>
        </w:tc>
        <w:tc>
          <w:tcPr>
            <w:tcW w:w="992" w:type="dxa"/>
            <w:tcBorders>
              <w:top w:val="nil"/>
              <w:left w:val="nil"/>
              <w:bottom w:val="single" w:sz="4" w:space="0" w:color="auto"/>
              <w:right w:val="single" w:sz="4" w:space="0" w:color="auto"/>
            </w:tcBorders>
            <w:shd w:val="clear" w:color="000000" w:fill="D9D9D9"/>
            <w:noWrap/>
            <w:vAlign w:val="center"/>
            <w:hideMark/>
          </w:tcPr>
          <w:p w14:paraId="7E1C4742"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1679,74</w:t>
            </w:r>
          </w:p>
        </w:tc>
        <w:tc>
          <w:tcPr>
            <w:tcW w:w="992" w:type="dxa"/>
            <w:tcBorders>
              <w:top w:val="nil"/>
              <w:left w:val="nil"/>
              <w:bottom w:val="single" w:sz="4" w:space="0" w:color="auto"/>
              <w:right w:val="single" w:sz="4" w:space="0" w:color="auto"/>
            </w:tcBorders>
            <w:shd w:val="clear" w:color="000000" w:fill="D9D9D9"/>
            <w:noWrap/>
            <w:vAlign w:val="center"/>
            <w:hideMark/>
          </w:tcPr>
          <w:p w14:paraId="1DE69A94"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82,12</w:t>
            </w:r>
          </w:p>
        </w:tc>
        <w:tc>
          <w:tcPr>
            <w:tcW w:w="1135" w:type="dxa"/>
            <w:tcBorders>
              <w:top w:val="single" w:sz="4" w:space="0" w:color="auto"/>
              <w:left w:val="nil"/>
              <w:bottom w:val="single" w:sz="4" w:space="0" w:color="auto"/>
              <w:right w:val="single" w:sz="4" w:space="0" w:color="auto"/>
            </w:tcBorders>
            <w:shd w:val="clear" w:color="000000" w:fill="D9D9D9"/>
            <w:vAlign w:val="center"/>
          </w:tcPr>
          <w:p w14:paraId="32C4E407"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hAnsi="Times New Roman" w:cs="Times New Roman"/>
                <w:sz w:val="16"/>
                <w:szCs w:val="16"/>
              </w:rPr>
              <w:t>424,34</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66CA63A"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hAnsi="Times New Roman" w:cs="Times New Roman"/>
                <w:sz w:val="16"/>
                <w:szCs w:val="16"/>
              </w:rPr>
              <w:t>2187,75</w:t>
            </w:r>
          </w:p>
        </w:tc>
        <w:tc>
          <w:tcPr>
            <w:tcW w:w="992" w:type="dxa"/>
            <w:tcBorders>
              <w:top w:val="nil"/>
              <w:left w:val="single" w:sz="4" w:space="0" w:color="auto"/>
              <w:bottom w:val="single" w:sz="4" w:space="0" w:color="auto"/>
              <w:right w:val="single" w:sz="4" w:space="0" w:color="auto"/>
            </w:tcBorders>
            <w:shd w:val="clear" w:color="000000" w:fill="D9D9D9"/>
            <w:noWrap/>
            <w:vAlign w:val="center"/>
            <w:hideMark/>
          </w:tcPr>
          <w:p w14:paraId="5131D610"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1396,92</w:t>
            </w:r>
          </w:p>
        </w:tc>
        <w:tc>
          <w:tcPr>
            <w:tcW w:w="1134" w:type="dxa"/>
            <w:tcBorders>
              <w:top w:val="nil"/>
              <w:left w:val="nil"/>
              <w:bottom w:val="single" w:sz="4" w:space="0" w:color="auto"/>
              <w:right w:val="single" w:sz="4" w:space="0" w:color="auto"/>
            </w:tcBorders>
            <w:shd w:val="clear" w:color="000000" w:fill="D9D9D9"/>
            <w:noWrap/>
            <w:vAlign w:val="center"/>
            <w:hideMark/>
          </w:tcPr>
          <w:p w14:paraId="7FEDF93A" w14:textId="77777777" w:rsidR="00190B3A" w:rsidRPr="00190B3A" w:rsidRDefault="00190B3A" w:rsidP="00190B3A">
            <w:pPr>
              <w:spacing w:before="0" w:after="0" w:line="240" w:lineRule="auto"/>
              <w:jc w:val="right"/>
              <w:rPr>
                <w:rFonts w:ascii="Times New Roman" w:eastAsia="Times New Roman" w:hAnsi="Times New Roman" w:cs="Times New Roman"/>
                <w:b/>
                <w:bCs/>
                <w:color w:val="000000"/>
                <w:sz w:val="16"/>
                <w:szCs w:val="16"/>
                <w:lang w:eastAsia="lv-LV"/>
              </w:rPr>
            </w:pPr>
            <w:r w:rsidRPr="00190B3A">
              <w:rPr>
                <w:rFonts w:ascii="Times New Roman" w:eastAsia="Times New Roman" w:hAnsi="Times New Roman" w:cs="Times New Roman"/>
                <w:b/>
                <w:bCs/>
                <w:color w:val="000000"/>
                <w:sz w:val="16"/>
                <w:szCs w:val="16"/>
                <w:lang w:eastAsia="lv-LV"/>
              </w:rPr>
              <w:t>8506,19</w:t>
            </w:r>
          </w:p>
        </w:tc>
      </w:tr>
      <w:tr w:rsidR="00190B3A" w:rsidRPr="00190B3A" w14:paraId="6BC2C03E" w14:textId="77777777" w:rsidTr="00195713">
        <w:trPr>
          <w:trHeight w:val="253"/>
          <w:jc w:val="center"/>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539886" w14:textId="77777777" w:rsidR="00190B3A" w:rsidRPr="00190B3A" w:rsidRDefault="00190B3A" w:rsidP="00190B3A">
            <w:pPr>
              <w:spacing w:before="0" w:after="0" w:line="240" w:lineRule="auto"/>
              <w:jc w:val="center"/>
              <w:rPr>
                <w:rFonts w:ascii="Times New Roman" w:eastAsia="Times New Roman" w:hAnsi="Times New Roman" w:cs="Times New Roman"/>
                <w:b/>
                <w:bCs/>
                <w:color w:val="000000"/>
                <w:sz w:val="16"/>
                <w:szCs w:val="16"/>
                <w:lang w:eastAsia="lv-LV"/>
              </w:rPr>
            </w:pPr>
            <w:r w:rsidRPr="00190B3A">
              <w:rPr>
                <w:rFonts w:ascii="Times New Roman" w:eastAsia="Times New Roman" w:hAnsi="Times New Roman" w:cs="Times New Roman"/>
                <w:b/>
                <w:bCs/>
                <w:color w:val="000000"/>
                <w:sz w:val="16"/>
                <w:szCs w:val="16"/>
                <w:lang w:eastAsia="lv-LV"/>
              </w:rPr>
              <w:t>2018.gads</w:t>
            </w:r>
          </w:p>
        </w:tc>
        <w:tc>
          <w:tcPr>
            <w:tcW w:w="1660" w:type="dxa"/>
            <w:tcBorders>
              <w:top w:val="nil"/>
              <w:left w:val="nil"/>
              <w:bottom w:val="single" w:sz="4" w:space="0" w:color="auto"/>
              <w:right w:val="single" w:sz="4" w:space="0" w:color="auto"/>
            </w:tcBorders>
            <w:shd w:val="clear" w:color="auto" w:fill="auto"/>
            <w:noWrap/>
            <w:vAlign w:val="center"/>
            <w:hideMark/>
          </w:tcPr>
          <w:p w14:paraId="660F0BC4" w14:textId="77777777" w:rsidR="00190B3A" w:rsidRPr="00190B3A" w:rsidRDefault="00190B3A" w:rsidP="00190B3A">
            <w:pPr>
              <w:spacing w:before="0" w:after="0" w:line="240" w:lineRule="auto"/>
              <w:rPr>
                <w:rFonts w:ascii="Times New Roman" w:eastAsia="Times New Roman" w:hAnsi="Times New Roman" w:cs="Times New Roman"/>
                <w:sz w:val="16"/>
                <w:szCs w:val="16"/>
                <w:lang w:eastAsia="lv-LV"/>
              </w:rPr>
            </w:pPr>
            <w:r w:rsidRPr="00190B3A">
              <w:rPr>
                <w:rFonts w:ascii="Times New Roman" w:eastAsia="Times New Roman" w:hAnsi="Times New Roman" w:cs="Times New Roman"/>
                <w:sz w:val="16"/>
                <w:szCs w:val="16"/>
                <w:lang w:eastAsia="lv-LV"/>
              </w:rPr>
              <w:t>Būvniecības nozare</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35C28"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187,69</w:t>
            </w:r>
          </w:p>
        </w:tc>
        <w:tc>
          <w:tcPr>
            <w:tcW w:w="992" w:type="dxa"/>
            <w:tcBorders>
              <w:top w:val="nil"/>
              <w:left w:val="nil"/>
              <w:bottom w:val="single" w:sz="4" w:space="0" w:color="auto"/>
              <w:right w:val="single" w:sz="4" w:space="0" w:color="auto"/>
            </w:tcBorders>
            <w:shd w:val="clear" w:color="auto" w:fill="auto"/>
            <w:noWrap/>
            <w:vAlign w:val="center"/>
            <w:hideMark/>
          </w:tcPr>
          <w:p w14:paraId="35335155"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99,92</w:t>
            </w:r>
          </w:p>
        </w:tc>
        <w:tc>
          <w:tcPr>
            <w:tcW w:w="992" w:type="dxa"/>
            <w:tcBorders>
              <w:top w:val="nil"/>
              <w:left w:val="nil"/>
              <w:bottom w:val="single" w:sz="4" w:space="0" w:color="auto"/>
              <w:right w:val="single" w:sz="4" w:space="0" w:color="auto"/>
            </w:tcBorders>
            <w:shd w:val="clear" w:color="auto" w:fill="auto"/>
            <w:noWrap/>
            <w:vAlign w:val="center"/>
            <w:hideMark/>
          </w:tcPr>
          <w:p w14:paraId="0CC40BD0"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10,12</w:t>
            </w:r>
          </w:p>
        </w:tc>
        <w:tc>
          <w:tcPr>
            <w:tcW w:w="1135" w:type="dxa"/>
            <w:tcBorders>
              <w:top w:val="single" w:sz="4" w:space="0" w:color="auto"/>
              <w:left w:val="nil"/>
              <w:bottom w:val="single" w:sz="4" w:space="0" w:color="auto"/>
              <w:right w:val="single" w:sz="4" w:space="0" w:color="auto"/>
            </w:tcBorders>
            <w:vAlign w:val="center"/>
          </w:tcPr>
          <w:p w14:paraId="5805ED8C"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hAnsi="Times New Roman" w:cs="Times New Roman"/>
                <w:sz w:val="16"/>
                <w:szCs w:val="16"/>
              </w:rPr>
              <w:t>14,17</w:t>
            </w:r>
          </w:p>
        </w:tc>
        <w:tc>
          <w:tcPr>
            <w:tcW w:w="992" w:type="dxa"/>
            <w:tcBorders>
              <w:top w:val="single" w:sz="4" w:space="0" w:color="auto"/>
              <w:left w:val="single" w:sz="4" w:space="0" w:color="auto"/>
              <w:bottom w:val="single" w:sz="4" w:space="0" w:color="auto"/>
              <w:right w:val="single" w:sz="4" w:space="0" w:color="auto"/>
            </w:tcBorders>
            <w:vAlign w:val="center"/>
          </w:tcPr>
          <w:p w14:paraId="7676FC88" w14:textId="77777777" w:rsidR="00190B3A" w:rsidRPr="00190B3A" w:rsidRDefault="00825D38" w:rsidP="00190B3A">
            <w:pPr>
              <w:spacing w:before="0" w:after="0" w:line="240" w:lineRule="auto"/>
              <w:jc w:val="right"/>
              <w:rPr>
                <w:rFonts w:ascii="Times New Roman" w:eastAsia="Times New Roman" w:hAnsi="Times New Roman" w:cs="Times New Roman"/>
                <w:color w:val="000000"/>
                <w:sz w:val="16"/>
                <w:szCs w:val="16"/>
                <w:lang w:eastAsia="lv-LV"/>
              </w:rPr>
            </w:pPr>
            <w:r>
              <w:rPr>
                <w:rFonts w:ascii="Times New Roman" w:hAnsi="Times New Roman" w:cs="Times New Roman"/>
                <w:sz w:val="16"/>
                <w:szCs w:val="16"/>
              </w:rPr>
              <w:t>–</w:t>
            </w:r>
            <w:r w:rsidR="00190B3A" w:rsidRPr="00190B3A">
              <w:rPr>
                <w:rFonts w:ascii="Times New Roman" w:hAnsi="Times New Roman" w:cs="Times New Roman"/>
                <w:sz w:val="16"/>
                <w:szCs w:val="16"/>
              </w:rPr>
              <w:t>36,63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DC2E418"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6,08</w:t>
            </w:r>
          </w:p>
        </w:tc>
        <w:tc>
          <w:tcPr>
            <w:tcW w:w="1134" w:type="dxa"/>
            <w:tcBorders>
              <w:top w:val="nil"/>
              <w:left w:val="nil"/>
              <w:bottom w:val="single" w:sz="4" w:space="0" w:color="auto"/>
              <w:right w:val="single" w:sz="4" w:space="0" w:color="auto"/>
            </w:tcBorders>
            <w:shd w:val="clear" w:color="auto" w:fill="auto"/>
            <w:noWrap/>
            <w:vAlign w:val="center"/>
            <w:hideMark/>
          </w:tcPr>
          <w:p w14:paraId="48B53BC5" w14:textId="77777777" w:rsidR="00190B3A" w:rsidRPr="00190B3A" w:rsidRDefault="00190B3A" w:rsidP="00190B3A">
            <w:pPr>
              <w:spacing w:before="0" w:after="0" w:line="240" w:lineRule="auto"/>
              <w:jc w:val="right"/>
              <w:rPr>
                <w:rFonts w:ascii="Times New Roman" w:eastAsia="Times New Roman" w:hAnsi="Times New Roman" w:cs="Times New Roman"/>
                <w:b/>
                <w:bCs/>
                <w:color w:val="000000"/>
                <w:sz w:val="16"/>
                <w:szCs w:val="16"/>
                <w:lang w:eastAsia="lv-LV"/>
              </w:rPr>
            </w:pPr>
            <w:r w:rsidRPr="00190B3A">
              <w:rPr>
                <w:rFonts w:ascii="Times New Roman" w:eastAsia="Times New Roman" w:hAnsi="Times New Roman" w:cs="Times New Roman"/>
                <w:b/>
                <w:bCs/>
                <w:color w:val="000000"/>
                <w:sz w:val="16"/>
                <w:szCs w:val="16"/>
                <w:lang w:eastAsia="lv-LV"/>
              </w:rPr>
              <w:t>281,36</w:t>
            </w:r>
          </w:p>
        </w:tc>
      </w:tr>
      <w:tr w:rsidR="005E08CF" w:rsidRPr="00190B3A" w14:paraId="09F72B56" w14:textId="77777777" w:rsidTr="00195713">
        <w:trPr>
          <w:trHeight w:val="393"/>
          <w:jc w:val="center"/>
        </w:trPr>
        <w:tc>
          <w:tcPr>
            <w:tcW w:w="900" w:type="dxa"/>
            <w:vMerge/>
            <w:tcBorders>
              <w:top w:val="nil"/>
              <w:left w:val="single" w:sz="4" w:space="0" w:color="auto"/>
              <w:bottom w:val="single" w:sz="4" w:space="0" w:color="000000"/>
              <w:right w:val="single" w:sz="4" w:space="0" w:color="auto"/>
            </w:tcBorders>
            <w:vAlign w:val="center"/>
            <w:hideMark/>
          </w:tcPr>
          <w:p w14:paraId="2955F5E6" w14:textId="77777777" w:rsidR="00190B3A" w:rsidRPr="00190B3A" w:rsidRDefault="00190B3A" w:rsidP="00190B3A">
            <w:pPr>
              <w:spacing w:before="0" w:after="0" w:line="240" w:lineRule="auto"/>
              <w:rPr>
                <w:rFonts w:ascii="Times New Roman" w:eastAsia="Times New Roman" w:hAnsi="Times New Roman" w:cs="Times New Roman"/>
                <w:b/>
                <w:bCs/>
                <w:color w:val="000000"/>
                <w:sz w:val="16"/>
                <w:szCs w:val="16"/>
                <w:lang w:eastAsia="lv-LV"/>
              </w:rPr>
            </w:pPr>
          </w:p>
        </w:tc>
        <w:tc>
          <w:tcPr>
            <w:tcW w:w="1660" w:type="dxa"/>
            <w:tcBorders>
              <w:top w:val="nil"/>
              <w:left w:val="nil"/>
              <w:bottom w:val="single" w:sz="4" w:space="0" w:color="auto"/>
              <w:right w:val="single" w:sz="4" w:space="0" w:color="auto"/>
            </w:tcBorders>
            <w:shd w:val="clear" w:color="000000" w:fill="D9D9D9"/>
            <w:vAlign w:val="center"/>
            <w:hideMark/>
          </w:tcPr>
          <w:p w14:paraId="61C73745" w14:textId="77777777" w:rsidR="00190B3A" w:rsidRPr="00190B3A" w:rsidRDefault="00190B3A" w:rsidP="00190B3A">
            <w:pPr>
              <w:spacing w:before="0" w:after="0" w:line="240" w:lineRule="auto"/>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VID administrētie kopbudžeta ieņēmumi</w:t>
            </w:r>
          </w:p>
        </w:tc>
        <w:tc>
          <w:tcPr>
            <w:tcW w:w="140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A02D2E"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3131,32</w:t>
            </w:r>
          </w:p>
        </w:tc>
        <w:tc>
          <w:tcPr>
            <w:tcW w:w="992" w:type="dxa"/>
            <w:tcBorders>
              <w:top w:val="nil"/>
              <w:left w:val="nil"/>
              <w:bottom w:val="single" w:sz="4" w:space="0" w:color="auto"/>
              <w:right w:val="single" w:sz="4" w:space="0" w:color="auto"/>
            </w:tcBorders>
            <w:shd w:val="clear" w:color="000000" w:fill="D9D9D9"/>
            <w:noWrap/>
            <w:vAlign w:val="center"/>
            <w:hideMark/>
          </w:tcPr>
          <w:p w14:paraId="45F212C1"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1705,91</w:t>
            </w:r>
          </w:p>
        </w:tc>
        <w:tc>
          <w:tcPr>
            <w:tcW w:w="992" w:type="dxa"/>
            <w:tcBorders>
              <w:top w:val="nil"/>
              <w:left w:val="nil"/>
              <w:bottom w:val="single" w:sz="4" w:space="0" w:color="auto"/>
              <w:right w:val="single" w:sz="4" w:space="0" w:color="auto"/>
            </w:tcBorders>
            <w:shd w:val="clear" w:color="000000" w:fill="D9D9D9"/>
            <w:noWrap/>
            <w:vAlign w:val="center"/>
            <w:hideMark/>
          </w:tcPr>
          <w:p w14:paraId="72C6562B"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90,00</w:t>
            </w:r>
          </w:p>
        </w:tc>
        <w:tc>
          <w:tcPr>
            <w:tcW w:w="1135" w:type="dxa"/>
            <w:tcBorders>
              <w:top w:val="single" w:sz="4" w:space="0" w:color="auto"/>
              <w:left w:val="nil"/>
              <w:bottom w:val="single" w:sz="4" w:space="0" w:color="auto"/>
              <w:right w:val="single" w:sz="4" w:space="0" w:color="auto"/>
            </w:tcBorders>
            <w:shd w:val="clear" w:color="000000" w:fill="D9D9D9"/>
            <w:vAlign w:val="center"/>
          </w:tcPr>
          <w:p w14:paraId="3DE4AA94"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hAnsi="Times New Roman" w:cs="Times New Roman"/>
                <w:sz w:val="16"/>
                <w:szCs w:val="16"/>
              </w:rPr>
              <w:t>303,22</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870CC75"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hAnsi="Times New Roman" w:cs="Times New Roman"/>
                <w:sz w:val="16"/>
                <w:szCs w:val="16"/>
              </w:rPr>
              <w:t>2456,97</w:t>
            </w:r>
          </w:p>
        </w:tc>
        <w:tc>
          <w:tcPr>
            <w:tcW w:w="992" w:type="dxa"/>
            <w:tcBorders>
              <w:top w:val="nil"/>
              <w:left w:val="single" w:sz="4" w:space="0" w:color="auto"/>
              <w:bottom w:val="single" w:sz="4" w:space="0" w:color="auto"/>
              <w:right w:val="single" w:sz="4" w:space="0" w:color="auto"/>
            </w:tcBorders>
            <w:shd w:val="clear" w:color="000000" w:fill="D9D9D9"/>
            <w:noWrap/>
            <w:vAlign w:val="center"/>
            <w:hideMark/>
          </w:tcPr>
          <w:p w14:paraId="6A604C10"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1604,01</w:t>
            </w:r>
          </w:p>
        </w:tc>
        <w:tc>
          <w:tcPr>
            <w:tcW w:w="1134" w:type="dxa"/>
            <w:tcBorders>
              <w:top w:val="nil"/>
              <w:left w:val="nil"/>
              <w:bottom w:val="single" w:sz="4" w:space="0" w:color="auto"/>
              <w:right w:val="single" w:sz="4" w:space="0" w:color="auto"/>
            </w:tcBorders>
            <w:shd w:val="clear" w:color="000000" w:fill="D9D9D9"/>
            <w:noWrap/>
            <w:vAlign w:val="center"/>
            <w:hideMark/>
          </w:tcPr>
          <w:p w14:paraId="0B52FE6C" w14:textId="77777777" w:rsidR="00190B3A" w:rsidRPr="00190B3A" w:rsidRDefault="00190B3A" w:rsidP="00190B3A">
            <w:pPr>
              <w:spacing w:before="0" w:after="0" w:line="240" w:lineRule="auto"/>
              <w:jc w:val="right"/>
              <w:rPr>
                <w:rFonts w:ascii="Times New Roman" w:eastAsia="Times New Roman" w:hAnsi="Times New Roman" w:cs="Times New Roman"/>
                <w:b/>
                <w:bCs/>
                <w:color w:val="000000"/>
                <w:sz w:val="16"/>
                <w:szCs w:val="16"/>
                <w:lang w:eastAsia="lv-LV"/>
              </w:rPr>
            </w:pPr>
            <w:r w:rsidRPr="00190B3A">
              <w:rPr>
                <w:rFonts w:ascii="Times New Roman" w:eastAsia="Times New Roman" w:hAnsi="Times New Roman" w:cs="Times New Roman"/>
                <w:b/>
                <w:bCs/>
                <w:color w:val="000000"/>
                <w:sz w:val="16"/>
                <w:szCs w:val="16"/>
                <w:lang w:eastAsia="lv-LV"/>
              </w:rPr>
              <w:t>9291,44</w:t>
            </w:r>
          </w:p>
        </w:tc>
      </w:tr>
      <w:tr w:rsidR="00190B3A" w:rsidRPr="00190B3A" w14:paraId="1F035498" w14:textId="77777777" w:rsidTr="00195713">
        <w:trPr>
          <w:trHeight w:val="253"/>
          <w:jc w:val="center"/>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463B43" w14:textId="77777777" w:rsidR="00190B3A" w:rsidRPr="00190B3A" w:rsidRDefault="00190B3A" w:rsidP="00190B3A">
            <w:pPr>
              <w:spacing w:before="0" w:after="0" w:line="240" w:lineRule="auto"/>
              <w:jc w:val="center"/>
              <w:rPr>
                <w:rFonts w:ascii="Times New Roman" w:eastAsia="Times New Roman" w:hAnsi="Times New Roman" w:cs="Times New Roman"/>
                <w:b/>
                <w:bCs/>
                <w:color w:val="000000"/>
                <w:sz w:val="16"/>
                <w:szCs w:val="16"/>
                <w:lang w:eastAsia="lv-LV"/>
              </w:rPr>
            </w:pPr>
            <w:r w:rsidRPr="00190B3A">
              <w:rPr>
                <w:rFonts w:ascii="Times New Roman" w:eastAsia="Times New Roman" w:hAnsi="Times New Roman" w:cs="Times New Roman"/>
                <w:b/>
                <w:bCs/>
                <w:color w:val="000000"/>
                <w:sz w:val="16"/>
                <w:szCs w:val="16"/>
                <w:lang w:eastAsia="lv-LV"/>
              </w:rPr>
              <w:t>2019.gads</w:t>
            </w:r>
          </w:p>
        </w:tc>
        <w:tc>
          <w:tcPr>
            <w:tcW w:w="1660" w:type="dxa"/>
            <w:tcBorders>
              <w:top w:val="nil"/>
              <w:left w:val="nil"/>
              <w:bottom w:val="single" w:sz="4" w:space="0" w:color="auto"/>
              <w:right w:val="single" w:sz="4" w:space="0" w:color="auto"/>
            </w:tcBorders>
            <w:shd w:val="clear" w:color="auto" w:fill="auto"/>
            <w:noWrap/>
            <w:vAlign w:val="center"/>
            <w:hideMark/>
          </w:tcPr>
          <w:p w14:paraId="235C5BF3" w14:textId="77777777" w:rsidR="00190B3A" w:rsidRPr="00190B3A" w:rsidRDefault="00190B3A" w:rsidP="00190B3A">
            <w:pPr>
              <w:spacing w:before="0" w:after="0" w:line="240" w:lineRule="auto"/>
              <w:rPr>
                <w:rFonts w:ascii="Times New Roman" w:eastAsia="Times New Roman" w:hAnsi="Times New Roman" w:cs="Times New Roman"/>
                <w:sz w:val="16"/>
                <w:szCs w:val="16"/>
                <w:lang w:eastAsia="lv-LV"/>
              </w:rPr>
            </w:pPr>
            <w:r w:rsidRPr="00190B3A">
              <w:rPr>
                <w:rFonts w:ascii="Times New Roman" w:eastAsia="Times New Roman" w:hAnsi="Times New Roman" w:cs="Times New Roman"/>
                <w:sz w:val="16"/>
                <w:szCs w:val="16"/>
                <w:lang w:eastAsia="lv-LV"/>
              </w:rPr>
              <w:t>Būvniecības nozare</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02E41"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219,22</w:t>
            </w:r>
          </w:p>
        </w:tc>
        <w:tc>
          <w:tcPr>
            <w:tcW w:w="992" w:type="dxa"/>
            <w:tcBorders>
              <w:top w:val="nil"/>
              <w:left w:val="nil"/>
              <w:bottom w:val="single" w:sz="4" w:space="0" w:color="auto"/>
              <w:right w:val="single" w:sz="4" w:space="0" w:color="auto"/>
            </w:tcBorders>
            <w:shd w:val="clear" w:color="auto" w:fill="auto"/>
            <w:noWrap/>
            <w:vAlign w:val="center"/>
            <w:hideMark/>
          </w:tcPr>
          <w:p w14:paraId="1E3B3733"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116,02</w:t>
            </w:r>
          </w:p>
        </w:tc>
        <w:tc>
          <w:tcPr>
            <w:tcW w:w="992" w:type="dxa"/>
            <w:tcBorders>
              <w:top w:val="nil"/>
              <w:left w:val="nil"/>
              <w:bottom w:val="single" w:sz="4" w:space="0" w:color="auto"/>
              <w:right w:val="single" w:sz="4" w:space="0" w:color="auto"/>
            </w:tcBorders>
            <w:shd w:val="clear" w:color="auto" w:fill="auto"/>
            <w:noWrap/>
            <w:vAlign w:val="center"/>
            <w:hideMark/>
          </w:tcPr>
          <w:p w14:paraId="60C17338"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9,98</w:t>
            </w:r>
          </w:p>
        </w:tc>
        <w:tc>
          <w:tcPr>
            <w:tcW w:w="1135" w:type="dxa"/>
            <w:tcBorders>
              <w:top w:val="single" w:sz="4" w:space="0" w:color="auto"/>
              <w:left w:val="nil"/>
              <w:bottom w:val="single" w:sz="4" w:space="0" w:color="auto"/>
              <w:right w:val="single" w:sz="4" w:space="0" w:color="auto"/>
            </w:tcBorders>
            <w:vAlign w:val="center"/>
          </w:tcPr>
          <w:p w14:paraId="786E276C"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hAnsi="Times New Roman" w:cs="Times New Roman"/>
                <w:sz w:val="16"/>
                <w:szCs w:val="16"/>
              </w:rPr>
              <w:t>2,57</w:t>
            </w:r>
          </w:p>
        </w:tc>
        <w:tc>
          <w:tcPr>
            <w:tcW w:w="992" w:type="dxa"/>
            <w:tcBorders>
              <w:top w:val="single" w:sz="4" w:space="0" w:color="auto"/>
              <w:left w:val="single" w:sz="4" w:space="0" w:color="auto"/>
              <w:bottom w:val="single" w:sz="4" w:space="0" w:color="auto"/>
              <w:right w:val="single" w:sz="4" w:space="0" w:color="auto"/>
            </w:tcBorders>
            <w:vAlign w:val="center"/>
          </w:tcPr>
          <w:p w14:paraId="34EB52A5" w14:textId="77777777" w:rsidR="00190B3A" w:rsidRPr="00190B3A" w:rsidRDefault="00825D38" w:rsidP="00190B3A">
            <w:pPr>
              <w:spacing w:before="0" w:after="0" w:line="240" w:lineRule="auto"/>
              <w:jc w:val="right"/>
              <w:rPr>
                <w:rFonts w:ascii="Times New Roman" w:eastAsia="Times New Roman" w:hAnsi="Times New Roman" w:cs="Times New Roman"/>
                <w:color w:val="000000"/>
                <w:sz w:val="16"/>
                <w:szCs w:val="16"/>
                <w:lang w:eastAsia="lv-LV"/>
              </w:rPr>
            </w:pPr>
            <w:r>
              <w:rPr>
                <w:rFonts w:ascii="Times New Roman" w:hAnsi="Times New Roman" w:cs="Times New Roman"/>
                <w:sz w:val="16"/>
                <w:szCs w:val="16"/>
              </w:rPr>
              <w:t>–</w:t>
            </w:r>
            <w:r w:rsidR="00190B3A" w:rsidRPr="00190B3A">
              <w:rPr>
                <w:rFonts w:ascii="Times New Roman" w:hAnsi="Times New Roman" w:cs="Times New Roman"/>
                <w:sz w:val="16"/>
                <w:szCs w:val="16"/>
              </w:rPr>
              <w:t>28,94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2CE59E2"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6,75</w:t>
            </w:r>
          </w:p>
        </w:tc>
        <w:tc>
          <w:tcPr>
            <w:tcW w:w="1134" w:type="dxa"/>
            <w:tcBorders>
              <w:top w:val="nil"/>
              <w:left w:val="nil"/>
              <w:bottom w:val="single" w:sz="4" w:space="0" w:color="auto"/>
              <w:right w:val="single" w:sz="4" w:space="0" w:color="auto"/>
            </w:tcBorders>
            <w:shd w:val="clear" w:color="auto" w:fill="auto"/>
            <w:noWrap/>
            <w:vAlign w:val="center"/>
            <w:hideMark/>
          </w:tcPr>
          <w:p w14:paraId="015B1A0F" w14:textId="77777777" w:rsidR="00190B3A" w:rsidRPr="00190B3A" w:rsidRDefault="00190B3A" w:rsidP="00190B3A">
            <w:pPr>
              <w:spacing w:before="0" w:after="0" w:line="240" w:lineRule="auto"/>
              <w:jc w:val="right"/>
              <w:rPr>
                <w:rFonts w:ascii="Times New Roman" w:eastAsia="Times New Roman" w:hAnsi="Times New Roman" w:cs="Times New Roman"/>
                <w:b/>
                <w:bCs/>
                <w:color w:val="000000"/>
                <w:sz w:val="16"/>
                <w:szCs w:val="16"/>
                <w:lang w:eastAsia="lv-LV"/>
              </w:rPr>
            </w:pPr>
            <w:r w:rsidRPr="00190B3A">
              <w:rPr>
                <w:rFonts w:ascii="Times New Roman" w:eastAsia="Times New Roman" w:hAnsi="Times New Roman" w:cs="Times New Roman"/>
                <w:b/>
                <w:bCs/>
                <w:color w:val="000000"/>
                <w:sz w:val="16"/>
                <w:szCs w:val="16"/>
                <w:lang w:eastAsia="lv-LV"/>
              </w:rPr>
              <w:t>325,60</w:t>
            </w:r>
          </w:p>
        </w:tc>
      </w:tr>
      <w:tr w:rsidR="005E08CF" w:rsidRPr="00190B3A" w14:paraId="450E7C22" w14:textId="77777777" w:rsidTr="00195713">
        <w:trPr>
          <w:trHeight w:val="393"/>
          <w:jc w:val="center"/>
        </w:trPr>
        <w:tc>
          <w:tcPr>
            <w:tcW w:w="900" w:type="dxa"/>
            <w:vMerge/>
            <w:tcBorders>
              <w:top w:val="nil"/>
              <w:left w:val="single" w:sz="4" w:space="0" w:color="auto"/>
              <w:bottom w:val="single" w:sz="4" w:space="0" w:color="000000"/>
              <w:right w:val="single" w:sz="4" w:space="0" w:color="auto"/>
            </w:tcBorders>
            <w:vAlign w:val="center"/>
            <w:hideMark/>
          </w:tcPr>
          <w:p w14:paraId="5DD105F6" w14:textId="77777777" w:rsidR="00190B3A" w:rsidRPr="00190B3A" w:rsidRDefault="00190B3A" w:rsidP="00190B3A">
            <w:pPr>
              <w:spacing w:before="0" w:after="0" w:line="240" w:lineRule="auto"/>
              <w:rPr>
                <w:rFonts w:ascii="Times New Roman" w:eastAsia="Times New Roman" w:hAnsi="Times New Roman" w:cs="Times New Roman"/>
                <w:b/>
                <w:bCs/>
                <w:color w:val="000000"/>
                <w:sz w:val="16"/>
                <w:szCs w:val="16"/>
                <w:lang w:eastAsia="lv-LV"/>
              </w:rPr>
            </w:pPr>
          </w:p>
        </w:tc>
        <w:tc>
          <w:tcPr>
            <w:tcW w:w="1660" w:type="dxa"/>
            <w:tcBorders>
              <w:top w:val="nil"/>
              <w:left w:val="nil"/>
              <w:bottom w:val="single" w:sz="4" w:space="0" w:color="auto"/>
              <w:right w:val="single" w:sz="4" w:space="0" w:color="auto"/>
            </w:tcBorders>
            <w:shd w:val="clear" w:color="000000" w:fill="D9D9D9"/>
            <w:vAlign w:val="center"/>
            <w:hideMark/>
          </w:tcPr>
          <w:p w14:paraId="36DEA34B" w14:textId="77777777" w:rsidR="00190B3A" w:rsidRPr="00190B3A" w:rsidRDefault="00190B3A" w:rsidP="00190B3A">
            <w:pPr>
              <w:spacing w:before="0" w:after="0" w:line="240" w:lineRule="auto"/>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VID administrētie kopbudžeta ieņēmumi</w:t>
            </w:r>
          </w:p>
        </w:tc>
        <w:tc>
          <w:tcPr>
            <w:tcW w:w="140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2B4C37"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3443,35</w:t>
            </w:r>
          </w:p>
        </w:tc>
        <w:tc>
          <w:tcPr>
            <w:tcW w:w="992" w:type="dxa"/>
            <w:tcBorders>
              <w:top w:val="nil"/>
              <w:left w:val="nil"/>
              <w:bottom w:val="single" w:sz="4" w:space="0" w:color="auto"/>
              <w:right w:val="single" w:sz="4" w:space="0" w:color="auto"/>
            </w:tcBorders>
            <w:shd w:val="clear" w:color="000000" w:fill="D9D9D9"/>
            <w:noWrap/>
            <w:vAlign w:val="center"/>
            <w:hideMark/>
          </w:tcPr>
          <w:p w14:paraId="161796E6"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1930,49</w:t>
            </w:r>
          </w:p>
        </w:tc>
        <w:tc>
          <w:tcPr>
            <w:tcW w:w="992" w:type="dxa"/>
            <w:tcBorders>
              <w:top w:val="nil"/>
              <w:left w:val="nil"/>
              <w:bottom w:val="single" w:sz="4" w:space="0" w:color="auto"/>
              <w:right w:val="single" w:sz="4" w:space="0" w:color="auto"/>
            </w:tcBorders>
            <w:shd w:val="clear" w:color="000000" w:fill="D9D9D9"/>
            <w:noWrap/>
            <w:vAlign w:val="center"/>
            <w:hideMark/>
          </w:tcPr>
          <w:p w14:paraId="2204C2E2"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81,40</w:t>
            </w:r>
          </w:p>
        </w:tc>
        <w:tc>
          <w:tcPr>
            <w:tcW w:w="1135" w:type="dxa"/>
            <w:tcBorders>
              <w:top w:val="single" w:sz="4" w:space="0" w:color="auto"/>
              <w:left w:val="nil"/>
              <w:bottom w:val="single" w:sz="4" w:space="0" w:color="auto"/>
              <w:right w:val="single" w:sz="4" w:space="0" w:color="auto"/>
            </w:tcBorders>
            <w:shd w:val="clear" w:color="000000" w:fill="D9D9D9"/>
            <w:vAlign w:val="center"/>
          </w:tcPr>
          <w:p w14:paraId="2BB51CF6"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hAnsi="Times New Roman" w:cs="Times New Roman"/>
                <w:sz w:val="16"/>
                <w:szCs w:val="16"/>
              </w:rPr>
              <w:t>44,10</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E24E06F"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hAnsi="Times New Roman" w:cs="Times New Roman"/>
                <w:sz w:val="16"/>
                <w:szCs w:val="16"/>
              </w:rPr>
              <w:t>2648,35</w:t>
            </w:r>
          </w:p>
        </w:tc>
        <w:tc>
          <w:tcPr>
            <w:tcW w:w="992" w:type="dxa"/>
            <w:tcBorders>
              <w:top w:val="nil"/>
              <w:left w:val="single" w:sz="4" w:space="0" w:color="auto"/>
              <w:bottom w:val="single" w:sz="4" w:space="0" w:color="auto"/>
              <w:right w:val="single" w:sz="4" w:space="0" w:color="auto"/>
            </w:tcBorders>
            <w:shd w:val="clear" w:color="000000" w:fill="D9D9D9"/>
            <w:noWrap/>
            <w:vAlign w:val="center"/>
            <w:hideMark/>
          </w:tcPr>
          <w:p w14:paraId="47C2DEB6" w14:textId="77777777" w:rsidR="00190B3A" w:rsidRPr="00190B3A" w:rsidRDefault="00190B3A" w:rsidP="00190B3A">
            <w:pPr>
              <w:spacing w:before="0" w:after="0" w:line="240" w:lineRule="auto"/>
              <w:jc w:val="right"/>
              <w:rPr>
                <w:rFonts w:ascii="Times New Roman" w:eastAsia="Times New Roman" w:hAnsi="Times New Roman" w:cs="Times New Roman"/>
                <w:color w:val="000000"/>
                <w:sz w:val="16"/>
                <w:szCs w:val="16"/>
                <w:lang w:eastAsia="lv-LV"/>
              </w:rPr>
            </w:pPr>
            <w:r w:rsidRPr="00190B3A">
              <w:rPr>
                <w:rFonts w:ascii="Times New Roman" w:eastAsia="Times New Roman" w:hAnsi="Times New Roman" w:cs="Times New Roman"/>
                <w:color w:val="000000"/>
                <w:sz w:val="16"/>
                <w:szCs w:val="16"/>
                <w:lang w:eastAsia="lv-LV"/>
              </w:rPr>
              <w:t>1652,11</w:t>
            </w:r>
          </w:p>
        </w:tc>
        <w:tc>
          <w:tcPr>
            <w:tcW w:w="1134" w:type="dxa"/>
            <w:tcBorders>
              <w:top w:val="nil"/>
              <w:left w:val="nil"/>
              <w:bottom w:val="single" w:sz="4" w:space="0" w:color="auto"/>
              <w:right w:val="single" w:sz="4" w:space="0" w:color="auto"/>
            </w:tcBorders>
            <w:shd w:val="clear" w:color="000000" w:fill="D9D9D9"/>
            <w:noWrap/>
            <w:vAlign w:val="center"/>
            <w:hideMark/>
          </w:tcPr>
          <w:p w14:paraId="19E6C489" w14:textId="77777777" w:rsidR="00190B3A" w:rsidRPr="00190B3A" w:rsidRDefault="00190B3A" w:rsidP="00190B3A">
            <w:pPr>
              <w:spacing w:before="0" w:after="0" w:line="240" w:lineRule="auto"/>
              <w:jc w:val="right"/>
              <w:rPr>
                <w:rFonts w:ascii="Times New Roman" w:eastAsia="Times New Roman" w:hAnsi="Times New Roman" w:cs="Times New Roman"/>
                <w:b/>
                <w:bCs/>
                <w:color w:val="000000"/>
                <w:sz w:val="16"/>
                <w:szCs w:val="16"/>
                <w:lang w:eastAsia="lv-LV"/>
              </w:rPr>
            </w:pPr>
            <w:r w:rsidRPr="00190B3A">
              <w:rPr>
                <w:rFonts w:ascii="Times New Roman" w:eastAsia="Times New Roman" w:hAnsi="Times New Roman" w:cs="Times New Roman"/>
                <w:b/>
                <w:bCs/>
                <w:color w:val="000000"/>
                <w:sz w:val="16"/>
                <w:szCs w:val="16"/>
                <w:lang w:eastAsia="lv-LV"/>
              </w:rPr>
              <w:t>9799,79</w:t>
            </w:r>
          </w:p>
        </w:tc>
      </w:tr>
    </w:tbl>
    <w:p w14:paraId="57BCFF50" w14:textId="77777777" w:rsidR="004B5136" w:rsidRPr="00E25833" w:rsidRDefault="004B5136" w:rsidP="00B3353E">
      <w:pPr>
        <w:spacing w:before="0" w:after="0" w:line="240" w:lineRule="auto"/>
        <w:ind w:firstLine="720"/>
        <w:jc w:val="both"/>
        <w:rPr>
          <w:rFonts w:ascii="Times New Roman" w:eastAsia="Calibri" w:hAnsi="Times New Roman" w:cs="Times New Roman"/>
          <w:sz w:val="28"/>
          <w:szCs w:val="28"/>
        </w:rPr>
      </w:pPr>
    </w:p>
    <w:p w14:paraId="089B8D89" w14:textId="77777777" w:rsidR="004B5136" w:rsidRPr="00E25833" w:rsidRDefault="004B5136" w:rsidP="003977E6">
      <w:pPr>
        <w:spacing w:before="0" w:after="0" w:line="240" w:lineRule="auto"/>
        <w:ind w:firstLine="720"/>
        <w:jc w:val="both"/>
        <w:rPr>
          <w:rFonts w:ascii="Times New Roman" w:eastAsia="Calibri" w:hAnsi="Times New Roman" w:cs="Times New Roman"/>
          <w:sz w:val="28"/>
          <w:szCs w:val="28"/>
        </w:rPr>
      </w:pPr>
      <w:r w:rsidRPr="006E266D">
        <w:rPr>
          <w:rFonts w:ascii="Times New Roman" w:eastAsia="Calibri" w:hAnsi="Times New Roman" w:cs="Times New Roman"/>
          <w:sz w:val="28"/>
          <w:szCs w:val="28"/>
        </w:rPr>
        <w:t>Lielākā daļa no kopējiem būvniecības nozares nodokļu maksātāju nodrošinātajiem VID administrēt</w:t>
      </w:r>
      <w:r w:rsidR="009A1F7E" w:rsidRPr="006E266D">
        <w:rPr>
          <w:rFonts w:ascii="Times New Roman" w:eastAsia="Calibri" w:hAnsi="Times New Roman" w:cs="Times New Roman"/>
          <w:sz w:val="28"/>
          <w:szCs w:val="28"/>
        </w:rPr>
        <w:t>aj</w:t>
      </w:r>
      <w:r w:rsidRPr="006E266D">
        <w:rPr>
          <w:rFonts w:ascii="Times New Roman" w:eastAsia="Calibri" w:hAnsi="Times New Roman" w:cs="Times New Roman"/>
          <w:sz w:val="28"/>
          <w:szCs w:val="28"/>
        </w:rPr>
        <w:t>iem kopbudžeta ieņēmumiem ir darbaspēka nodokļu ieņēmumi (valsts sociālās apdrošināšanas obligāt</w:t>
      </w:r>
      <w:r w:rsidR="003C14A2" w:rsidRPr="006E266D">
        <w:rPr>
          <w:rFonts w:ascii="Times New Roman" w:eastAsia="Calibri" w:hAnsi="Times New Roman" w:cs="Times New Roman"/>
          <w:sz w:val="28"/>
          <w:szCs w:val="28"/>
        </w:rPr>
        <w:t>ās</w:t>
      </w:r>
      <w:r w:rsidRPr="006E266D">
        <w:rPr>
          <w:rFonts w:ascii="Times New Roman" w:eastAsia="Calibri" w:hAnsi="Times New Roman" w:cs="Times New Roman"/>
          <w:sz w:val="28"/>
          <w:szCs w:val="28"/>
        </w:rPr>
        <w:t xml:space="preserve"> iemaks</w:t>
      </w:r>
      <w:r w:rsidR="003C14A2" w:rsidRPr="006E266D">
        <w:rPr>
          <w:rFonts w:ascii="Times New Roman" w:eastAsia="Calibri" w:hAnsi="Times New Roman" w:cs="Times New Roman"/>
          <w:sz w:val="28"/>
          <w:szCs w:val="28"/>
        </w:rPr>
        <w:t>as</w:t>
      </w:r>
      <w:r w:rsidRPr="006E266D">
        <w:rPr>
          <w:rFonts w:ascii="Times New Roman" w:eastAsia="Calibri" w:hAnsi="Times New Roman" w:cs="Times New Roman"/>
          <w:sz w:val="28"/>
          <w:szCs w:val="28"/>
        </w:rPr>
        <w:t xml:space="preserve"> un iedzīvotāju ienākum</w:t>
      </w:r>
      <w:r w:rsidR="00B3353E">
        <w:rPr>
          <w:rFonts w:ascii="Times New Roman" w:eastAsia="Calibri" w:hAnsi="Times New Roman" w:cs="Times New Roman"/>
          <w:sz w:val="28"/>
          <w:szCs w:val="28"/>
        </w:rPr>
        <w:t>a</w:t>
      </w:r>
      <w:r w:rsidRPr="006E266D">
        <w:rPr>
          <w:rFonts w:ascii="Times New Roman" w:eastAsia="Calibri" w:hAnsi="Times New Roman" w:cs="Times New Roman"/>
          <w:sz w:val="28"/>
          <w:szCs w:val="28"/>
        </w:rPr>
        <w:t xml:space="preserve"> nodoklis). 2019.gadā, salīdzinot ar 2018.gadu, tiem vērojams vislielākais pieaugums –</w:t>
      </w:r>
      <w:r w:rsidR="00B3353E">
        <w:rPr>
          <w:rFonts w:ascii="Times New Roman" w:eastAsia="Calibri" w:hAnsi="Times New Roman" w:cs="Times New Roman"/>
          <w:sz w:val="28"/>
          <w:szCs w:val="28"/>
        </w:rPr>
        <w:t xml:space="preserve"> </w:t>
      </w:r>
      <w:r w:rsidRPr="006E266D">
        <w:rPr>
          <w:rFonts w:ascii="Times New Roman" w:eastAsia="Calibri" w:hAnsi="Times New Roman" w:cs="Times New Roman"/>
          <w:sz w:val="28"/>
          <w:szCs w:val="28"/>
        </w:rPr>
        <w:t>par 47,63 milj. </w:t>
      </w:r>
      <w:proofErr w:type="spellStart"/>
      <w:r w:rsidR="00F30009" w:rsidRPr="006E266D">
        <w:rPr>
          <w:rFonts w:ascii="Times New Roman" w:eastAsia="Calibri" w:hAnsi="Times New Roman" w:cs="Times New Roman"/>
          <w:i/>
          <w:iCs/>
          <w:sz w:val="28"/>
          <w:szCs w:val="28"/>
        </w:rPr>
        <w:t>euro</w:t>
      </w:r>
      <w:proofErr w:type="spellEnd"/>
      <w:r w:rsidRPr="006E266D">
        <w:rPr>
          <w:rFonts w:ascii="Times New Roman" w:eastAsia="Calibri" w:hAnsi="Times New Roman" w:cs="Times New Roman"/>
          <w:sz w:val="28"/>
          <w:szCs w:val="28"/>
        </w:rPr>
        <w:t xml:space="preserve"> jeb 16,6 %</w:t>
      </w:r>
      <w:r w:rsidR="00C74FCF" w:rsidRPr="006E266D">
        <w:rPr>
          <w:rFonts w:ascii="Times New Roman" w:eastAsia="Calibri" w:hAnsi="Times New Roman" w:cs="Times New Roman"/>
          <w:sz w:val="28"/>
          <w:szCs w:val="28"/>
        </w:rPr>
        <w:t>.</w:t>
      </w:r>
      <w:r w:rsidRPr="006E266D">
        <w:rPr>
          <w:rFonts w:ascii="Times New Roman" w:eastAsia="Calibri" w:hAnsi="Times New Roman" w:cs="Times New Roman"/>
          <w:sz w:val="28"/>
          <w:szCs w:val="28"/>
        </w:rPr>
        <w:t xml:space="preserve"> </w:t>
      </w:r>
      <w:r w:rsidR="00C74FCF" w:rsidRPr="006E266D">
        <w:rPr>
          <w:rFonts w:ascii="Times New Roman" w:eastAsia="Calibri" w:hAnsi="Times New Roman" w:cs="Times New Roman"/>
          <w:sz w:val="28"/>
          <w:szCs w:val="28"/>
        </w:rPr>
        <w:t>Kopumā darbaspēka nodokļu ieņēmumi 2019.gadā</w:t>
      </w:r>
      <w:r w:rsidR="00B3353E">
        <w:rPr>
          <w:rFonts w:ascii="Times New Roman" w:eastAsia="Calibri" w:hAnsi="Times New Roman" w:cs="Times New Roman"/>
          <w:sz w:val="28"/>
          <w:szCs w:val="28"/>
        </w:rPr>
        <w:t>,</w:t>
      </w:r>
      <w:r w:rsidR="00C74FCF" w:rsidRPr="006E266D">
        <w:rPr>
          <w:rFonts w:ascii="Times New Roman" w:eastAsia="Calibri" w:hAnsi="Times New Roman" w:cs="Times New Roman"/>
          <w:sz w:val="28"/>
          <w:szCs w:val="28"/>
        </w:rPr>
        <w:t xml:space="preserve"> salīdzinot ar 2017.gadu, pieauga par 101,35</w:t>
      </w:r>
      <w:r w:rsidR="00B3353E">
        <w:rPr>
          <w:rFonts w:ascii="Times New Roman" w:eastAsia="Calibri" w:hAnsi="Times New Roman" w:cs="Times New Roman"/>
          <w:sz w:val="28"/>
          <w:szCs w:val="28"/>
        </w:rPr>
        <w:t> </w:t>
      </w:r>
      <w:r w:rsidR="00C74FCF" w:rsidRPr="006E266D">
        <w:rPr>
          <w:rFonts w:ascii="Times New Roman" w:eastAsia="Calibri" w:hAnsi="Times New Roman" w:cs="Times New Roman"/>
          <w:sz w:val="28"/>
          <w:szCs w:val="28"/>
        </w:rPr>
        <w:t xml:space="preserve">milj. </w:t>
      </w:r>
      <w:proofErr w:type="spellStart"/>
      <w:r w:rsidR="00C74FCF" w:rsidRPr="005E08CF">
        <w:rPr>
          <w:rFonts w:ascii="Times New Roman" w:eastAsia="Calibri" w:hAnsi="Times New Roman" w:cs="Times New Roman"/>
          <w:i/>
          <w:iCs/>
          <w:sz w:val="28"/>
          <w:szCs w:val="28"/>
        </w:rPr>
        <w:t>euro</w:t>
      </w:r>
      <w:proofErr w:type="spellEnd"/>
      <w:r w:rsidR="00C74FCF" w:rsidRPr="006E266D">
        <w:rPr>
          <w:rFonts w:ascii="Times New Roman" w:eastAsia="Calibri" w:hAnsi="Times New Roman" w:cs="Times New Roman"/>
          <w:sz w:val="28"/>
          <w:szCs w:val="28"/>
        </w:rPr>
        <w:t xml:space="preserve"> jeb 43,3</w:t>
      </w:r>
      <w:r w:rsidR="00B3353E">
        <w:rPr>
          <w:rFonts w:ascii="Times New Roman" w:eastAsia="Calibri" w:hAnsi="Times New Roman" w:cs="Times New Roman"/>
          <w:sz w:val="28"/>
          <w:szCs w:val="28"/>
        </w:rPr>
        <w:t> </w:t>
      </w:r>
      <w:r w:rsidR="00C74FCF" w:rsidRPr="006E266D">
        <w:rPr>
          <w:rFonts w:ascii="Times New Roman" w:eastAsia="Calibri" w:hAnsi="Times New Roman" w:cs="Times New Roman"/>
          <w:sz w:val="28"/>
          <w:szCs w:val="28"/>
        </w:rPr>
        <w:t>%.</w:t>
      </w:r>
    </w:p>
    <w:p w14:paraId="529182B5" w14:textId="77777777" w:rsidR="00B3353E" w:rsidRDefault="00B3353E" w:rsidP="00B3353E">
      <w:pPr>
        <w:spacing w:before="0" w:after="0" w:line="240" w:lineRule="auto"/>
        <w:ind w:firstLine="720"/>
        <w:jc w:val="both"/>
        <w:rPr>
          <w:rFonts w:ascii="Times New Roman" w:eastAsia="Calibri" w:hAnsi="Times New Roman" w:cs="Times New Roman"/>
          <w:b/>
          <w:i/>
          <w:sz w:val="28"/>
          <w:szCs w:val="28"/>
        </w:rPr>
      </w:pPr>
    </w:p>
    <w:p w14:paraId="33502D9A" w14:textId="77777777" w:rsidR="004B5136" w:rsidRPr="00E25833" w:rsidRDefault="004B5136" w:rsidP="00B3353E">
      <w:pPr>
        <w:spacing w:before="0" w:after="0" w:line="240" w:lineRule="auto"/>
        <w:ind w:firstLine="720"/>
        <w:jc w:val="both"/>
        <w:rPr>
          <w:rFonts w:ascii="Times New Roman" w:eastAsia="Calibri" w:hAnsi="Times New Roman" w:cs="Times New Roman"/>
          <w:b/>
          <w:i/>
          <w:sz w:val="28"/>
          <w:szCs w:val="28"/>
        </w:rPr>
      </w:pPr>
      <w:r w:rsidRPr="00E25833">
        <w:rPr>
          <w:rFonts w:ascii="Times New Roman" w:eastAsia="Calibri" w:hAnsi="Times New Roman" w:cs="Times New Roman"/>
          <w:b/>
          <w:i/>
          <w:sz w:val="28"/>
          <w:szCs w:val="28"/>
        </w:rPr>
        <w:t>Darba ņēmēju sadalījums pēc ienākuma apmēra</w:t>
      </w:r>
    </w:p>
    <w:p w14:paraId="25F22A3D" w14:textId="5561F924" w:rsidR="004B5136" w:rsidRDefault="004B5136" w:rsidP="003977E6">
      <w:pPr>
        <w:spacing w:before="0" w:after="0" w:line="240" w:lineRule="auto"/>
        <w:ind w:firstLine="720"/>
        <w:jc w:val="both"/>
        <w:rPr>
          <w:rFonts w:ascii="Times New Roman" w:eastAsia="Calibri" w:hAnsi="Times New Roman" w:cs="Times New Roman"/>
          <w:sz w:val="28"/>
          <w:szCs w:val="28"/>
        </w:rPr>
      </w:pPr>
      <w:r w:rsidRPr="00E25833">
        <w:rPr>
          <w:rFonts w:ascii="Times New Roman" w:eastAsia="Calibri" w:hAnsi="Times New Roman" w:cs="Times New Roman"/>
          <w:sz w:val="28"/>
          <w:szCs w:val="28"/>
        </w:rPr>
        <w:t xml:space="preserve">Saskaņā ar informāciju iesniegtajos darba devēja ziņojumos par valsts sociālās apdrošināšanas obligātajām iemaksām un iedzīvotāju ienākuma nodokli 68,5 % būvniecības nozarē nodarbināto darba ņēmēju 2019.gadā darba ienākumus saņēma virs valstī noteiktās minimālās darba algas. Lai gan tas ir par 2,4 procentpunktiem vairāk nekā 2018.gadā, tomēr šis rādītājs vēl joprojām būtiski (par 7,6 procentpunktiem) atpaliek no vidējā rādītāja valstī 2019.gadā (76,1 %) (skatīt </w:t>
      </w:r>
      <w:r w:rsidR="00E716F3">
        <w:rPr>
          <w:rFonts w:ascii="Times New Roman" w:eastAsia="Calibri" w:hAnsi="Times New Roman" w:cs="Times New Roman"/>
          <w:sz w:val="28"/>
          <w:szCs w:val="28"/>
        </w:rPr>
        <w:t>6</w:t>
      </w:r>
      <w:r w:rsidRPr="00E25833">
        <w:rPr>
          <w:rFonts w:ascii="Times New Roman" w:eastAsia="Calibri" w:hAnsi="Times New Roman" w:cs="Times New Roman"/>
          <w:sz w:val="28"/>
          <w:szCs w:val="28"/>
        </w:rPr>
        <w:t>.tabulu).</w:t>
      </w:r>
    </w:p>
    <w:p w14:paraId="2A9FC72D" w14:textId="4EA8CECE" w:rsidR="00F940BD" w:rsidRDefault="00F940BD" w:rsidP="003977E6">
      <w:pPr>
        <w:spacing w:before="0" w:after="0" w:line="240" w:lineRule="auto"/>
        <w:ind w:firstLine="720"/>
        <w:jc w:val="both"/>
        <w:rPr>
          <w:rFonts w:ascii="Times New Roman" w:eastAsia="Calibri" w:hAnsi="Times New Roman" w:cs="Times New Roman"/>
          <w:sz w:val="28"/>
          <w:szCs w:val="28"/>
        </w:rPr>
      </w:pPr>
    </w:p>
    <w:p w14:paraId="3D129D49" w14:textId="0E28DB4E" w:rsidR="00F940BD" w:rsidRDefault="00F940BD" w:rsidP="003977E6">
      <w:pPr>
        <w:spacing w:before="0" w:after="0" w:line="240" w:lineRule="auto"/>
        <w:ind w:firstLine="720"/>
        <w:jc w:val="both"/>
        <w:rPr>
          <w:rFonts w:ascii="Times New Roman" w:eastAsia="Calibri" w:hAnsi="Times New Roman" w:cs="Times New Roman"/>
          <w:sz w:val="28"/>
          <w:szCs w:val="28"/>
        </w:rPr>
      </w:pPr>
    </w:p>
    <w:p w14:paraId="5071F462" w14:textId="3EB94485" w:rsidR="00F940BD" w:rsidRDefault="00F940BD" w:rsidP="003977E6">
      <w:pPr>
        <w:spacing w:before="0" w:after="0" w:line="240" w:lineRule="auto"/>
        <w:ind w:firstLine="720"/>
        <w:jc w:val="both"/>
        <w:rPr>
          <w:rFonts w:ascii="Times New Roman" w:eastAsia="Calibri" w:hAnsi="Times New Roman" w:cs="Times New Roman"/>
          <w:sz w:val="28"/>
          <w:szCs w:val="28"/>
        </w:rPr>
      </w:pPr>
    </w:p>
    <w:p w14:paraId="648671E3" w14:textId="14CC0DEC" w:rsidR="00F940BD" w:rsidRDefault="00F940BD" w:rsidP="003977E6">
      <w:pPr>
        <w:spacing w:before="0" w:after="0" w:line="240" w:lineRule="auto"/>
        <w:ind w:firstLine="720"/>
        <w:jc w:val="both"/>
        <w:rPr>
          <w:rFonts w:ascii="Times New Roman" w:eastAsia="Calibri" w:hAnsi="Times New Roman" w:cs="Times New Roman"/>
          <w:sz w:val="28"/>
          <w:szCs w:val="28"/>
        </w:rPr>
      </w:pPr>
    </w:p>
    <w:p w14:paraId="733EE542" w14:textId="4EEDFC9A" w:rsidR="00F940BD" w:rsidRDefault="00F940BD" w:rsidP="003977E6">
      <w:pPr>
        <w:spacing w:before="0" w:after="0" w:line="240" w:lineRule="auto"/>
        <w:ind w:firstLine="720"/>
        <w:jc w:val="both"/>
        <w:rPr>
          <w:rFonts w:ascii="Times New Roman" w:eastAsia="Calibri" w:hAnsi="Times New Roman" w:cs="Times New Roman"/>
          <w:sz w:val="28"/>
          <w:szCs w:val="28"/>
        </w:rPr>
      </w:pPr>
    </w:p>
    <w:p w14:paraId="1B0081E1" w14:textId="7D8357B9" w:rsidR="00F940BD" w:rsidRDefault="00F940BD" w:rsidP="003977E6">
      <w:pPr>
        <w:spacing w:before="0" w:after="0" w:line="240" w:lineRule="auto"/>
        <w:ind w:firstLine="720"/>
        <w:jc w:val="both"/>
        <w:rPr>
          <w:rFonts w:ascii="Times New Roman" w:eastAsia="Calibri" w:hAnsi="Times New Roman" w:cs="Times New Roman"/>
          <w:sz w:val="28"/>
          <w:szCs w:val="28"/>
        </w:rPr>
      </w:pPr>
    </w:p>
    <w:p w14:paraId="32C93CE2" w14:textId="6D317A7F" w:rsidR="00F940BD" w:rsidRDefault="00F940BD" w:rsidP="003977E6">
      <w:pPr>
        <w:spacing w:before="0" w:after="0" w:line="240" w:lineRule="auto"/>
        <w:ind w:firstLine="720"/>
        <w:jc w:val="both"/>
        <w:rPr>
          <w:rFonts w:ascii="Times New Roman" w:eastAsia="Calibri" w:hAnsi="Times New Roman" w:cs="Times New Roman"/>
          <w:sz w:val="28"/>
          <w:szCs w:val="28"/>
        </w:rPr>
      </w:pPr>
    </w:p>
    <w:p w14:paraId="1E355685" w14:textId="7F44F3DF" w:rsidR="00F940BD" w:rsidRDefault="00F940BD" w:rsidP="003977E6">
      <w:pPr>
        <w:spacing w:before="0" w:after="0" w:line="240" w:lineRule="auto"/>
        <w:ind w:firstLine="720"/>
        <w:jc w:val="both"/>
        <w:rPr>
          <w:rFonts w:ascii="Times New Roman" w:eastAsia="Calibri" w:hAnsi="Times New Roman" w:cs="Times New Roman"/>
          <w:sz w:val="28"/>
          <w:szCs w:val="28"/>
        </w:rPr>
      </w:pPr>
    </w:p>
    <w:p w14:paraId="134C9DC3" w14:textId="7D4CFD1B" w:rsidR="00F940BD" w:rsidRDefault="00F940BD" w:rsidP="003977E6">
      <w:pPr>
        <w:spacing w:before="0" w:after="0" w:line="240" w:lineRule="auto"/>
        <w:ind w:firstLine="720"/>
        <w:jc w:val="both"/>
        <w:rPr>
          <w:rFonts w:ascii="Times New Roman" w:eastAsia="Calibri" w:hAnsi="Times New Roman" w:cs="Times New Roman"/>
          <w:sz w:val="28"/>
          <w:szCs w:val="28"/>
        </w:rPr>
      </w:pPr>
    </w:p>
    <w:p w14:paraId="0D96E8A7" w14:textId="7167FB3F" w:rsidR="00F940BD" w:rsidRDefault="00F940BD" w:rsidP="003977E6">
      <w:pPr>
        <w:spacing w:before="0" w:after="0" w:line="240" w:lineRule="auto"/>
        <w:ind w:firstLine="720"/>
        <w:jc w:val="both"/>
        <w:rPr>
          <w:rFonts w:ascii="Times New Roman" w:eastAsia="Calibri" w:hAnsi="Times New Roman" w:cs="Times New Roman"/>
          <w:sz w:val="28"/>
          <w:szCs w:val="28"/>
        </w:rPr>
      </w:pPr>
    </w:p>
    <w:p w14:paraId="3D1EA303" w14:textId="5B607F22" w:rsidR="00F940BD" w:rsidRDefault="00F940BD" w:rsidP="003977E6">
      <w:pPr>
        <w:spacing w:before="0" w:after="0" w:line="240" w:lineRule="auto"/>
        <w:ind w:firstLine="720"/>
        <w:jc w:val="both"/>
        <w:rPr>
          <w:rFonts w:ascii="Times New Roman" w:eastAsia="Calibri" w:hAnsi="Times New Roman" w:cs="Times New Roman"/>
          <w:sz w:val="28"/>
          <w:szCs w:val="28"/>
        </w:rPr>
      </w:pPr>
    </w:p>
    <w:p w14:paraId="1FFA1B69" w14:textId="58FA5FBD" w:rsidR="00F940BD" w:rsidRDefault="00F940BD" w:rsidP="003977E6">
      <w:pPr>
        <w:spacing w:before="0" w:after="0" w:line="240" w:lineRule="auto"/>
        <w:ind w:firstLine="720"/>
        <w:jc w:val="both"/>
        <w:rPr>
          <w:rFonts w:ascii="Times New Roman" w:eastAsia="Calibri" w:hAnsi="Times New Roman" w:cs="Times New Roman"/>
          <w:sz w:val="28"/>
          <w:szCs w:val="28"/>
        </w:rPr>
      </w:pPr>
    </w:p>
    <w:p w14:paraId="1837B246" w14:textId="2BBEEE63" w:rsidR="00F940BD" w:rsidRDefault="00F940BD" w:rsidP="003977E6">
      <w:pPr>
        <w:spacing w:before="0" w:after="0" w:line="240" w:lineRule="auto"/>
        <w:ind w:firstLine="720"/>
        <w:jc w:val="both"/>
        <w:rPr>
          <w:rFonts w:ascii="Times New Roman" w:eastAsia="Calibri" w:hAnsi="Times New Roman" w:cs="Times New Roman"/>
          <w:sz w:val="28"/>
          <w:szCs w:val="28"/>
        </w:rPr>
      </w:pPr>
    </w:p>
    <w:p w14:paraId="56CC2654" w14:textId="70E7409A" w:rsidR="00F940BD" w:rsidRDefault="00F940BD" w:rsidP="003977E6">
      <w:pPr>
        <w:spacing w:before="0" w:after="0" w:line="240" w:lineRule="auto"/>
        <w:ind w:firstLine="720"/>
        <w:jc w:val="both"/>
        <w:rPr>
          <w:rFonts w:ascii="Times New Roman" w:eastAsia="Calibri" w:hAnsi="Times New Roman" w:cs="Times New Roman"/>
          <w:sz w:val="28"/>
          <w:szCs w:val="28"/>
        </w:rPr>
      </w:pPr>
    </w:p>
    <w:p w14:paraId="72A636D9" w14:textId="6D931A0A" w:rsidR="00F940BD" w:rsidRDefault="00F940BD" w:rsidP="003977E6">
      <w:pPr>
        <w:spacing w:before="0" w:after="0" w:line="240" w:lineRule="auto"/>
        <w:ind w:firstLine="720"/>
        <w:jc w:val="both"/>
        <w:rPr>
          <w:rFonts w:ascii="Times New Roman" w:eastAsia="Calibri" w:hAnsi="Times New Roman" w:cs="Times New Roman"/>
          <w:sz w:val="28"/>
          <w:szCs w:val="28"/>
        </w:rPr>
      </w:pPr>
    </w:p>
    <w:p w14:paraId="3F5AF189" w14:textId="77777777" w:rsidR="00F940BD" w:rsidRDefault="00F940BD" w:rsidP="003977E6">
      <w:pPr>
        <w:spacing w:before="0" w:after="0" w:line="240" w:lineRule="auto"/>
        <w:ind w:firstLine="720"/>
        <w:jc w:val="both"/>
        <w:rPr>
          <w:rFonts w:ascii="Times New Roman" w:eastAsia="Calibri" w:hAnsi="Times New Roman" w:cs="Times New Roman"/>
          <w:sz w:val="28"/>
          <w:szCs w:val="28"/>
        </w:rPr>
      </w:pPr>
    </w:p>
    <w:p w14:paraId="564B2FF7" w14:textId="77777777" w:rsidR="004B5136" w:rsidRPr="00E716F3" w:rsidRDefault="00E716F3" w:rsidP="004B5136">
      <w:pPr>
        <w:spacing w:before="0" w:after="0" w:line="240" w:lineRule="auto"/>
        <w:ind w:firstLine="720"/>
        <w:jc w:val="right"/>
        <w:rPr>
          <w:rFonts w:ascii="Times New Roman" w:eastAsia="Calibri" w:hAnsi="Times New Roman" w:cs="Times New Roman"/>
          <w:sz w:val="28"/>
          <w:szCs w:val="28"/>
        </w:rPr>
      </w:pPr>
      <w:r w:rsidRPr="00E716F3">
        <w:rPr>
          <w:rFonts w:ascii="Times New Roman" w:eastAsia="Calibri" w:hAnsi="Times New Roman" w:cs="Times New Roman"/>
          <w:sz w:val="28"/>
          <w:szCs w:val="28"/>
        </w:rPr>
        <w:t>6</w:t>
      </w:r>
      <w:r w:rsidR="004B5136" w:rsidRPr="00E716F3">
        <w:rPr>
          <w:rFonts w:ascii="Times New Roman" w:eastAsia="Calibri" w:hAnsi="Times New Roman" w:cs="Times New Roman"/>
          <w:sz w:val="28"/>
          <w:szCs w:val="28"/>
        </w:rPr>
        <w:t>.tabula</w:t>
      </w:r>
    </w:p>
    <w:p w14:paraId="1D7BED5A" w14:textId="6B71122D" w:rsidR="004B5136" w:rsidRPr="00E25833" w:rsidRDefault="004B5136" w:rsidP="004B5136">
      <w:pPr>
        <w:spacing w:before="0" w:after="0" w:line="240" w:lineRule="auto"/>
        <w:jc w:val="center"/>
        <w:rPr>
          <w:rFonts w:ascii="Times New Roman" w:eastAsia="Calibri" w:hAnsi="Times New Roman" w:cs="Times New Roman"/>
          <w:b/>
          <w:sz w:val="28"/>
          <w:szCs w:val="28"/>
        </w:rPr>
      </w:pPr>
      <w:r w:rsidRPr="00E25833">
        <w:rPr>
          <w:rFonts w:ascii="Times New Roman" w:eastAsia="Calibri" w:hAnsi="Times New Roman" w:cs="Times New Roman"/>
          <w:b/>
          <w:sz w:val="28"/>
          <w:szCs w:val="28"/>
        </w:rPr>
        <w:t>Darba ņēmēju (pie vispārējā nodokļu maksāšanas režīmā strādājošiem darba devējiem) sadalījums pēc bruto darba ienākumu apmēra</w:t>
      </w:r>
      <w:r w:rsidRPr="00E25833">
        <w:rPr>
          <w:rFonts w:ascii="Times New Roman" w:eastAsia="Calibri" w:hAnsi="Times New Roman" w:cs="Times New Roman"/>
          <w:b/>
          <w:sz w:val="28"/>
          <w:szCs w:val="28"/>
          <w:vertAlign w:val="superscript"/>
        </w:rPr>
        <w:footnoteReference w:id="8"/>
      </w:r>
    </w:p>
    <w:p w14:paraId="364D4846" w14:textId="77777777" w:rsidR="004B5136" w:rsidRPr="00E25833" w:rsidRDefault="004B5136" w:rsidP="004B5136">
      <w:pPr>
        <w:spacing w:before="0" w:after="0" w:line="240" w:lineRule="auto"/>
        <w:rPr>
          <w:rFonts w:ascii="Times New Roman" w:eastAsia="Calibri" w:hAnsi="Times New Roman" w:cs="Times New Roman"/>
        </w:rPr>
      </w:pPr>
      <w:r w:rsidRPr="00E25833">
        <w:rPr>
          <w:rFonts w:ascii="Times New Roman" w:eastAsia="Calibri" w:hAnsi="Times New Roman" w:cs="Times New Roman"/>
        </w:rPr>
        <w:t>Dati uz 2020.gada 31.martu</w:t>
      </w:r>
    </w:p>
    <w:tbl>
      <w:tblPr>
        <w:tblW w:w="8644" w:type="dxa"/>
        <w:tblInd w:w="-5" w:type="dxa"/>
        <w:tblLook w:val="04A0" w:firstRow="1" w:lastRow="0" w:firstColumn="1" w:lastColumn="0" w:noHBand="0" w:noVBand="1"/>
      </w:tblPr>
      <w:tblGrid>
        <w:gridCol w:w="940"/>
        <w:gridCol w:w="1540"/>
        <w:gridCol w:w="781"/>
        <w:gridCol w:w="1100"/>
        <w:gridCol w:w="1120"/>
        <w:gridCol w:w="1120"/>
        <w:gridCol w:w="1120"/>
        <w:gridCol w:w="923"/>
      </w:tblGrid>
      <w:tr w:rsidR="004B5136" w:rsidRPr="00E25833" w14:paraId="19D3A732" w14:textId="77777777" w:rsidTr="004B5136">
        <w:trPr>
          <w:trHeight w:val="255"/>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A7035"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Periods</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0F85BB"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Apskatāmā kopa</w:t>
            </w:r>
          </w:p>
        </w:tc>
        <w:tc>
          <w:tcPr>
            <w:tcW w:w="6164" w:type="dxa"/>
            <w:gridSpan w:val="6"/>
            <w:tcBorders>
              <w:top w:val="single" w:sz="4" w:space="0" w:color="auto"/>
              <w:left w:val="nil"/>
              <w:bottom w:val="single" w:sz="4" w:space="0" w:color="auto"/>
              <w:right w:val="single" w:sz="4" w:space="0" w:color="auto"/>
            </w:tcBorders>
            <w:shd w:val="clear" w:color="auto" w:fill="auto"/>
            <w:noWrap/>
            <w:vAlign w:val="center"/>
            <w:hideMark/>
          </w:tcPr>
          <w:p w14:paraId="7E8A4706"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Darba ņēmēju darba ienākumu apmērs</w:t>
            </w:r>
          </w:p>
        </w:tc>
      </w:tr>
      <w:tr w:rsidR="004B5136" w:rsidRPr="00E25833" w14:paraId="0568B6E0" w14:textId="77777777" w:rsidTr="004B5136">
        <w:trPr>
          <w:trHeight w:val="114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67C1DFEF" w14:textId="77777777" w:rsidR="004B5136" w:rsidRPr="00E25833" w:rsidRDefault="004B5136" w:rsidP="004B5136">
            <w:pPr>
              <w:spacing w:before="0" w:after="0" w:line="240" w:lineRule="auto"/>
              <w:rPr>
                <w:rFonts w:ascii="Times New Roman" w:eastAsia="Times New Roman" w:hAnsi="Times New Roman" w:cs="Times New Roman"/>
                <w:b/>
                <w:bCs/>
                <w:color w:val="000000"/>
                <w:sz w:val="16"/>
                <w:szCs w:val="16"/>
                <w:lang w:eastAsia="lv-LV"/>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13B8CB90" w14:textId="77777777" w:rsidR="004B5136" w:rsidRPr="00E25833" w:rsidRDefault="004B5136" w:rsidP="004B5136">
            <w:pPr>
              <w:spacing w:before="0" w:after="0" w:line="240" w:lineRule="auto"/>
              <w:rPr>
                <w:rFonts w:ascii="Times New Roman" w:eastAsia="Times New Roman" w:hAnsi="Times New Roman" w:cs="Times New Roman"/>
                <w:b/>
                <w:bCs/>
                <w:color w:val="000000"/>
                <w:sz w:val="16"/>
                <w:szCs w:val="16"/>
                <w:lang w:eastAsia="lv-LV"/>
              </w:rPr>
            </w:pPr>
          </w:p>
        </w:tc>
        <w:tc>
          <w:tcPr>
            <w:tcW w:w="781" w:type="dxa"/>
            <w:tcBorders>
              <w:top w:val="nil"/>
              <w:left w:val="nil"/>
              <w:bottom w:val="single" w:sz="4" w:space="0" w:color="auto"/>
              <w:right w:val="single" w:sz="4" w:space="0" w:color="auto"/>
            </w:tcBorders>
            <w:shd w:val="clear" w:color="auto" w:fill="auto"/>
            <w:vAlign w:val="center"/>
            <w:hideMark/>
          </w:tcPr>
          <w:p w14:paraId="336610D4"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0 </w:t>
            </w:r>
            <w:proofErr w:type="spellStart"/>
            <w:r w:rsidR="001155D8" w:rsidRPr="006610D8">
              <w:rPr>
                <w:rFonts w:ascii="Times New Roman" w:eastAsia="Times New Roman" w:hAnsi="Times New Roman" w:cs="Times New Roman"/>
                <w:b/>
                <w:bCs/>
                <w:i/>
                <w:iCs/>
                <w:color w:val="000000"/>
                <w:sz w:val="16"/>
                <w:szCs w:val="16"/>
                <w:lang w:eastAsia="lv-LV"/>
              </w:rPr>
              <w:t>euro</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6DA073B9"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mazāks par valstī noteikto minimālo darba algu</w:t>
            </w:r>
          </w:p>
        </w:tc>
        <w:tc>
          <w:tcPr>
            <w:tcW w:w="1120" w:type="dxa"/>
            <w:tcBorders>
              <w:top w:val="nil"/>
              <w:left w:val="nil"/>
              <w:bottom w:val="single" w:sz="4" w:space="0" w:color="auto"/>
              <w:right w:val="single" w:sz="4" w:space="0" w:color="auto"/>
            </w:tcBorders>
            <w:shd w:val="clear" w:color="auto" w:fill="auto"/>
            <w:vAlign w:val="center"/>
            <w:hideMark/>
          </w:tcPr>
          <w:p w14:paraId="3F8470D3"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vienāds ar valstī noteikto minimālo</w:t>
            </w:r>
            <w:r w:rsidRPr="00E25833">
              <w:rPr>
                <w:rFonts w:ascii="Times New Roman" w:eastAsia="Times New Roman" w:hAnsi="Times New Roman" w:cs="Times New Roman"/>
                <w:b/>
                <w:bCs/>
                <w:color w:val="000000"/>
                <w:sz w:val="16"/>
                <w:szCs w:val="16"/>
                <w:vertAlign w:val="superscript"/>
                <w:lang w:eastAsia="lv-LV"/>
              </w:rPr>
              <w:footnoteReference w:id="9"/>
            </w:r>
            <w:r w:rsidRPr="00E25833">
              <w:rPr>
                <w:rFonts w:ascii="Times New Roman" w:eastAsia="Times New Roman" w:hAnsi="Times New Roman" w:cs="Times New Roman"/>
                <w:b/>
                <w:bCs/>
                <w:color w:val="000000"/>
                <w:sz w:val="16"/>
                <w:szCs w:val="16"/>
                <w:lang w:eastAsia="lv-LV"/>
              </w:rPr>
              <w:t xml:space="preserve"> darba alga</w:t>
            </w:r>
          </w:p>
        </w:tc>
        <w:tc>
          <w:tcPr>
            <w:tcW w:w="1120" w:type="dxa"/>
            <w:tcBorders>
              <w:top w:val="nil"/>
              <w:left w:val="nil"/>
              <w:bottom w:val="single" w:sz="4" w:space="0" w:color="auto"/>
              <w:right w:val="single" w:sz="4" w:space="0" w:color="auto"/>
            </w:tcBorders>
            <w:shd w:val="clear" w:color="auto" w:fill="auto"/>
            <w:vAlign w:val="center"/>
            <w:hideMark/>
          </w:tcPr>
          <w:p w14:paraId="56E928CA"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no valstī noteiktās minimālās darba algas  līdz 700</w:t>
            </w:r>
            <w:r w:rsidR="00B3353E">
              <w:rPr>
                <w:rFonts w:ascii="Times New Roman" w:eastAsia="Times New Roman" w:hAnsi="Times New Roman" w:cs="Times New Roman"/>
                <w:b/>
                <w:bCs/>
                <w:color w:val="000000"/>
                <w:sz w:val="16"/>
                <w:szCs w:val="16"/>
                <w:lang w:eastAsia="lv-LV"/>
              </w:rPr>
              <w:t> </w:t>
            </w:r>
            <w:proofErr w:type="spellStart"/>
            <w:r w:rsidR="001155D8" w:rsidRPr="00E734B0">
              <w:rPr>
                <w:rFonts w:ascii="Times New Roman" w:eastAsia="Times New Roman" w:hAnsi="Times New Roman" w:cs="Times New Roman"/>
                <w:b/>
                <w:bCs/>
                <w:i/>
                <w:iCs/>
                <w:color w:val="000000"/>
                <w:sz w:val="16"/>
                <w:szCs w:val="16"/>
                <w:lang w:eastAsia="lv-LV"/>
              </w:rPr>
              <w:t>euro</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49CEBAED"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no 700 </w:t>
            </w:r>
            <w:proofErr w:type="spellStart"/>
            <w:r w:rsidR="001155D8" w:rsidRPr="00E734B0">
              <w:rPr>
                <w:rFonts w:ascii="Times New Roman" w:eastAsia="Times New Roman" w:hAnsi="Times New Roman" w:cs="Times New Roman"/>
                <w:b/>
                <w:bCs/>
                <w:i/>
                <w:iCs/>
                <w:color w:val="000000"/>
                <w:sz w:val="16"/>
                <w:szCs w:val="16"/>
                <w:lang w:eastAsia="lv-LV"/>
              </w:rPr>
              <w:t>euro</w:t>
            </w:r>
            <w:proofErr w:type="spellEnd"/>
            <w:r w:rsidR="00052521">
              <w:rPr>
                <w:rFonts w:ascii="Times New Roman" w:eastAsia="Times New Roman" w:hAnsi="Times New Roman" w:cs="Times New Roman"/>
                <w:b/>
                <w:bCs/>
                <w:i/>
                <w:iCs/>
                <w:color w:val="000000"/>
                <w:sz w:val="16"/>
                <w:szCs w:val="16"/>
                <w:lang w:eastAsia="lv-LV"/>
              </w:rPr>
              <w:t xml:space="preserve"> </w:t>
            </w:r>
            <w:r w:rsidRPr="00E25833">
              <w:rPr>
                <w:rFonts w:ascii="Times New Roman" w:eastAsia="Times New Roman" w:hAnsi="Times New Roman" w:cs="Times New Roman"/>
                <w:b/>
                <w:bCs/>
                <w:color w:val="000000"/>
                <w:sz w:val="16"/>
                <w:szCs w:val="16"/>
                <w:lang w:eastAsia="lv-LV"/>
              </w:rPr>
              <w:t>līdz 1400 </w:t>
            </w:r>
            <w:proofErr w:type="spellStart"/>
            <w:r w:rsidR="001155D8" w:rsidRPr="00E734B0">
              <w:rPr>
                <w:rFonts w:ascii="Times New Roman" w:eastAsia="Times New Roman" w:hAnsi="Times New Roman" w:cs="Times New Roman"/>
                <w:b/>
                <w:bCs/>
                <w:i/>
                <w:iCs/>
                <w:color w:val="000000"/>
                <w:sz w:val="16"/>
                <w:szCs w:val="16"/>
                <w:lang w:eastAsia="lv-LV"/>
              </w:rPr>
              <w:t>euro</w:t>
            </w:r>
            <w:proofErr w:type="spellEnd"/>
          </w:p>
        </w:tc>
        <w:tc>
          <w:tcPr>
            <w:tcW w:w="923" w:type="dxa"/>
            <w:tcBorders>
              <w:top w:val="nil"/>
              <w:left w:val="nil"/>
              <w:bottom w:val="single" w:sz="4" w:space="0" w:color="auto"/>
              <w:right w:val="single" w:sz="4" w:space="0" w:color="auto"/>
            </w:tcBorders>
            <w:shd w:val="clear" w:color="auto" w:fill="auto"/>
            <w:vAlign w:val="center"/>
            <w:hideMark/>
          </w:tcPr>
          <w:p w14:paraId="1AE6055E" w14:textId="77777777" w:rsidR="004B5136" w:rsidRPr="00E25833" w:rsidRDefault="00B3353E" w:rsidP="004B5136">
            <w:pPr>
              <w:spacing w:before="0"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v</w:t>
            </w:r>
            <w:r w:rsidR="004B5136" w:rsidRPr="00E25833">
              <w:rPr>
                <w:rFonts w:ascii="Times New Roman" w:eastAsia="Times New Roman" w:hAnsi="Times New Roman" w:cs="Times New Roman"/>
                <w:b/>
                <w:bCs/>
                <w:color w:val="000000"/>
                <w:sz w:val="16"/>
                <w:szCs w:val="16"/>
                <w:lang w:eastAsia="lv-LV"/>
              </w:rPr>
              <w:t>irs 1400 </w:t>
            </w:r>
            <w:proofErr w:type="spellStart"/>
            <w:r w:rsidR="001155D8" w:rsidRPr="00E734B0">
              <w:rPr>
                <w:rFonts w:ascii="Times New Roman" w:eastAsia="Times New Roman" w:hAnsi="Times New Roman" w:cs="Times New Roman"/>
                <w:b/>
                <w:bCs/>
                <w:i/>
                <w:iCs/>
                <w:color w:val="000000"/>
                <w:sz w:val="16"/>
                <w:szCs w:val="16"/>
                <w:lang w:eastAsia="lv-LV"/>
              </w:rPr>
              <w:t>euro</w:t>
            </w:r>
            <w:proofErr w:type="spellEnd"/>
          </w:p>
        </w:tc>
      </w:tr>
      <w:tr w:rsidR="004B5136" w:rsidRPr="00E25833" w14:paraId="7990F407" w14:textId="77777777" w:rsidTr="004B5136">
        <w:trPr>
          <w:trHeight w:val="255"/>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1D3C6D0B"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2017.gads</w:t>
            </w:r>
          </w:p>
        </w:tc>
        <w:tc>
          <w:tcPr>
            <w:tcW w:w="1540" w:type="dxa"/>
            <w:tcBorders>
              <w:top w:val="nil"/>
              <w:left w:val="nil"/>
              <w:bottom w:val="single" w:sz="4" w:space="0" w:color="auto"/>
              <w:right w:val="single" w:sz="4" w:space="0" w:color="auto"/>
            </w:tcBorders>
            <w:shd w:val="clear" w:color="auto" w:fill="auto"/>
            <w:vAlign w:val="center"/>
            <w:hideMark/>
          </w:tcPr>
          <w:p w14:paraId="32300548" w14:textId="77777777" w:rsidR="004B5136" w:rsidRPr="00E25833" w:rsidRDefault="004B5136" w:rsidP="004B5136">
            <w:pPr>
              <w:spacing w:before="0" w:after="0" w:line="240" w:lineRule="auto"/>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Būvniecības nozare</w:t>
            </w:r>
          </w:p>
        </w:tc>
        <w:tc>
          <w:tcPr>
            <w:tcW w:w="781" w:type="dxa"/>
            <w:tcBorders>
              <w:top w:val="nil"/>
              <w:left w:val="nil"/>
              <w:bottom w:val="single" w:sz="4" w:space="0" w:color="auto"/>
              <w:right w:val="single" w:sz="4" w:space="0" w:color="auto"/>
            </w:tcBorders>
            <w:shd w:val="clear" w:color="auto" w:fill="auto"/>
            <w:vAlign w:val="center"/>
            <w:hideMark/>
          </w:tcPr>
          <w:p w14:paraId="77475D2A"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9,3</w:t>
            </w:r>
            <w:r w:rsidR="00B3353E">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00" w:type="dxa"/>
            <w:tcBorders>
              <w:top w:val="nil"/>
              <w:left w:val="nil"/>
              <w:bottom w:val="single" w:sz="4" w:space="0" w:color="auto"/>
              <w:right w:val="single" w:sz="4" w:space="0" w:color="auto"/>
            </w:tcBorders>
            <w:shd w:val="clear" w:color="auto" w:fill="auto"/>
            <w:vAlign w:val="center"/>
            <w:hideMark/>
          </w:tcPr>
          <w:p w14:paraId="07CE1570"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20,8</w:t>
            </w:r>
            <w:r w:rsidR="00B3353E">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20" w:type="dxa"/>
            <w:tcBorders>
              <w:top w:val="nil"/>
              <w:left w:val="nil"/>
              <w:bottom w:val="single" w:sz="4" w:space="0" w:color="auto"/>
              <w:right w:val="single" w:sz="4" w:space="0" w:color="auto"/>
            </w:tcBorders>
            <w:shd w:val="clear" w:color="auto" w:fill="auto"/>
            <w:vAlign w:val="center"/>
            <w:hideMark/>
          </w:tcPr>
          <w:p w14:paraId="081922DD"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3,5</w:t>
            </w:r>
            <w:r w:rsidR="00B3353E">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20" w:type="dxa"/>
            <w:tcBorders>
              <w:top w:val="nil"/>
              <w:left w:val="nil"/>
              <w:bottom w:val="single" w:sz="4" w:space="0" w:color="auto"/>
              <w:right w:val="single" w:sz="4" w:space="0" w:color="auto"/>
            </w:tcBorders>
            <w:shd w:val="clear" w:color="auto" w:fill="auto"/>
            <w:vAlign w:val="center"/>
            <w:hideMark/>
          </w:tcPr>
          <w:p w14:paraId="475B1C1A"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26,9</w:t>
            </w:r>
            <w:r w:rsidR="00B3353E">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20" w:type="dxa"/>
            <w:tcBorders>
              <w:top w:val="nil"/>
              <w:left w:val="nil"/>
              <w:bottom w:val="single" w:sz="4" w:space="0" w:color="auto"/>
              <w:right w:val="single" w:sz="4" w:space="0" w:color="auto"/>
            </w:tcBorders>
            <w:shd w:val="clear" w:color="auto" w:fill="auto"/>
            <w:vAlign w:val="center"/>
            <w:hideMark/>
          </w:tcPr>
          <w:p w14:paraId="0D51E48B"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27,3</w:t>
            </w:r>
            <w:r w:rsidR="00B3353E">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923" w:type="dxa"/>
            <w:tcBorders>
              <w:top w:val="nil"/>
              <w:left w:val="nil"/>
              <w:bottom w:val="single" w:sz="4" w:space="0" w:color="auto"/>
              <w:right w:val="single" w:sz="4" w:space="0" w:color="auto"/>
            </w:tcBorders>
            <w:shd w:val="clear" w:color="auto" w:fill="auto"/>
            <w:vAlign w:val="center"/>
            <w:hideMark/>
          </w:tcPr>
          <w:p w14:paraId="19B96CD5"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12,2</w:t>
            </w:r>
            <w:r w:rsidR="00B3353E">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r>
      <w:tr w:rsidR="004B5136" w:rsidRPr="00E25833" w14:paraId="010FF333" w14:textId="77777777" w:rsidTr="004B5136">
        <w:trPr>
          <w:trHeight w:val="450"/>
        </w:trPr>
        <w:tc>
          <w:tcPr>
            <w:tcW w:w="940" w:type="dxa"/>
            <w:vMerge/>
            <w:tcBorders>
              <w:top w:val="nil"/>
              <w:left w:val="single" w:sz="4" w:space="0" w:color="auto"/>
              <w:bottom w:val="single" w:sz="4" w:space="0" w:color="auto"/>
              <w:right w:val="single" w:sz="4" w:space="0" w:color="auto"/>
            </w:tcBorders>
            <w:vAlign w:val="center"/>
            <w:hideMark/>
          </w:tcPr>
          <w:p w14:paraId="48EEA9C7" w14:textId="77777777" w:rsidR="004B5136" w:rsidRPr="00E25833" w:rsidRDefault="004B5136" w:rsidP="004B5136">
            <w:pPr>
              <w:spacing w:before="0" w:after="0" w:line="240" w:lineRule="auto"/>
              <w:rPr>
                <w:rFonts w:ascii="Times New Roman" w:eastAsia="Times New Roman" w:hAnsi="Times New Roman" w:cs="Times New Roman"/>
                <w:b/>
                <w:bCs/>
                <w:color w:val="000000"/>
                <w:sz w:val="16"/>
                <w:szCs w:val="16"/>
                <w:lang w:eastAsia="lv-LV"/>
              </w:rPr>
            </w:pPr>
          </w:p>
        </w:tc>
        <w:tc>
          <w:tcPr>
            <w:tcW w:w="1540" w:type="dxa"/>
            <w:tcBorders>
              <w:top w:val="nil"/>
              <w:left w:val="nil"/>
              <w:bottom w:val="single" w:sz="4" w:space="0" w:color="auto"/>
              <w:right w:val="single" w:sz="4" w:space="0" w:color="auto"/>
            </w:tcBorders>
            <w:shd w:val="clear" w:color="000000" w:fill="D9D9D9"/>
            <w:vAlign w:val="center"/>
            <w:hideMark/>
          </w:tcPr>
          <w:p w14:paraId="06F40D3D" w14:textId="77777777" w:rsidR="004B5136" w:rsidRPr="00E25833" w:rsidRDefault="004B5136" w:rsidP="004B5136">
            <w:pPr>
              <w:spacing w:before="0" w:after="0" w:line="240" w:lineRule="auto"/>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Darba ņēmēju sadalījums valstī</w:t>
            </w:r>
          </w:p>
        </w:tc>
        <w:tc>
          <w:tcPr>
            <w:tcW w:w="781" w:type="dxa"/>
            <w:tcBorders>
              <w:top w:val="nil"/>
              <w:left w:val="nil"/>
              <w:bottom w:val="single" w:sz="4" w:space="0" w:color="auto"/>
              <w:right w:val="single" w:sz="4" w:space="0" w:color="auto"/>
            </w:tcBorders>
            <w:shd w:val="clear" w:color="000000" w:fill="D9D9D9"/>
            <w:vAlign w:val="center"/>
            <w:hideMark/>
          </w:tcPr>
          <w:p w14:paraId="5BAC9DBF"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6,1</w:t>
            </w:r>
            <w:r w:rsidR="00B3353E">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00" w:type="dxa"/>
            <w:tcBorders>
              <w:top w:val="nil"/>
              <w:left w:val="nil"/>
              <w:bottom w:val="single" w:sz="4" w:space="0" w:color="auto"/>
              <w:right w:val="single" w:sz="4" w:space="0" w:color="auto"/>
            </w:tcBorders>
            <w:shd w:val="clear" w:color="000000" w:fill="D9D9D9"/>
            <w:vAlign w:val="center"/>
            <w:hideMark/>
          </w:tcPr>
          <w:p w14:paraId="082C9842"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15,7</w:t>
            </w:r>
            <w:r w:rsidR="00B3353E">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20" w:type="dxa"/>
            <w:tcBorders>
              <w:top w:val="nil"/>
              <w:left w:val="nil"/>
              <w:bottom w:val="single" w:sz="4" w:space="0" w:color="auto"/>
              <w:right w:val="single" w:sz="4" w:space="0" w:color="auto"/>
            </w:tcBorders>
            <w:shd w:val="clear" w:color="000000" w:fill="D9D9D9"/>
            <w:vAlign w:val="center"/>
            <w:hideMark/>
          </w:tcPr>
          <w:p w14:paraId="31D9D6B9"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3,6</w:t>
            </w:r>
            <w:r w:rsidR="00B3353E">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20" w:type="dxa"/>
            <w:tcBorders>
              <w:top w:val="nil"/>
              <w:left w:val="nil"/>
              <w:bottom w:val="single" w:sz="4" w:space="0" w:color="auto"/>
              <w:right w:val="single" w:sz="4" w:space="0" w:color="auto"/>
            </w:tcBorders>
            <w:shd w:val="clear" w:color="000000" w:fill="D9D9D9"/>
            <w:vAlign w:val="center"/>
            <w:hideMark/>
          </w:tcPr>
          <w:p w14:paraId="0D0F3A45"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28,6</w:t>
            </w:r>
            <w:r w:rsidR="00B3353E">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20" w:type="dxa"/>
            <w:tcBorders>
              <w:top w:val="nil"/>
              <w:left w:val="nil"/>
              <w:bottom w:val="single" w:sz="4" w:space="0" w:color="auto"/>
              <w:right w:val="single" w:sz="4" w:space="0" w:color="auto"/>
            </w:tcBorders>
            <w:shd w:val="clear" w:color="000000" w:fill="D9D9D9"/>
            <w:vAlign w:val="center"/>
            <w:hideMark/>
          </w:tcPr>
          <w:p w14:paraId="1C3B3259"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31,8</w:t>
            </w:r>
            <w:r w:rsidR="00B3353E">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923" w:type="dxa"/>
            <w:tcBorders>
              <w:top w:val="nil"/>
              <w:left w:val="nil"/>
              <w:bottom w:val="single" w:sz="4" w:space="0" w:color="auto"/>
              <w:right w:val="single" w:sz="4" w:space="0" w:color="auto"/>
            </w:tcBorders>
            <w:shd w:val="clear" w:color="000000" w:fill="D9D9D9"/>
            <w:vAlign w:val="center"/>
            <w:hideMark/>
          </w:tcPr>
          <w:p w14:paraId="26074C89"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14,2</w:t>
            </w:r>
            <w:r w:rsidR="00B3353E">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r>
      <w:tr w:rsidR="004B5136" w:rsidRPr="00E25833" w14:paraId="1F4A5B24" w14:textId="77777777" w:rsidTr="004B5136">
        <w:trPr>
          <w:trHeight w:val="255"/>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5BF18D52"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2018.gads</w:t>
            </w:r>
          </w:p>
        </w:tc>
        <w:tc>
          <w:tcPr>
            <w:tcW w:w="1540" w:type="dxa"/>
            <w:tcBorders>
              <w:top w:val="nil"/>
              <w:left w:val="nil"/>
              <w:bottom w:val="single" w:sz="4" w:space="0" w:color="auto"/>
              <w:right w:val="single" w:sz="4" w:space="0" w:color="auto"/>
            </w:tcBorders>
            <w:shd w:val="clear" w:color="auto" w:fill="auto"/>
            <w:vAlign w:val="center"/>
            <w:hideMark/>
          </w:tcPr>
          <w:p w14:paraId="5CC7598E" w14:textId="77777777" w:rsidR="004B5136" w:rsidRPr="00E25833" w:rsidRDefault="004B5136" w:rsidP="004B5136">
            <w:pPr>
              <w:spacing w:before="0" w:after="0" w:line="240" w:lineRule="auto"/>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Būvniecības nozare</w:t>
            </w:r>
          </w:p>
        </w:tc>
        <w:tc>
          <w:tcPr>
            <w:tcW w:w="781" w:type="dxa"/>
            <w:tcBorders>
              <w:top w:val="nil"/>
              <w:left w:val="nil"/>
              <w:bottom w:val="single" w:sz="4" w:space="0" w:color="auto"/>
              <w:right w:val="single" w:sz="4" w:space="0" w:color="auto"/>
            </w:tcBorders>
            <w:shd w:val="clear" w:color="auto" w:fill="auto"/>
            <w:vAlign w:val="center"/>
            <w:hideMark/>
          </w:tcPr>
          <w:p w14:paraId="66C38EED"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9,5</w:t>
            </w:r>
            <w:r w:rsidR="00B3353E">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00" w:type="dxa"/>
            <w:tcBorders>
              <w:top w:val="nil"/>
              <w:left w:val="nil"/>
              <w:bottom w:val="single" w:sz="4" w:space="0" w:color="auto"/>
              <w:right w:val="single" w:sz="4" w:space="0" w:color="auto"/>
            </w:tcBorders>
            <w:shd w:val="clear" w:color="auto" w:fill="auto"/>
            <w:vAlign w:val="center"/>
            <w:hideMark/>
          </w:tcPr>
          <w:p w14:paraId="774EFAFA"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21,7</w:t>
            </w:r>
            <w:r w:rsidR="00B3353E">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20" w:type="dxa"/>
            <w:tcBorders>
              <w:top w:val="nil"/>
              <w:left w:val="nil"/>
              <w:bottom w:val="single" w:sz="4" w:space="0" w:color="auto"/>
              <w:right w:val="single" w:sz="4" w:space="0" w:color="auto"/>
            </w:tcBorders>
            <w:shd w:val="clear" w:color="auto" w:fill="auto"/>
            <w:vAlign w:val="center"/>
            <w:hideMark/>
          </w:tcPr>
          <w:p w14:paraId="2BFF43B4"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2,7</w:t>
            </w:r>
            <w:r w:rsidR="00B3353E">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20" w:type="dxa"/>
            <w:tcBorders>
              <w:top w:val="nil"/>
              <w:left w:val="nil"/>
              <w:bottom w:val="single" w:sz="4" w:space="0" w:color="auto"/>
              <w:right w:val="single" w:sz="4" w:space="0" w:color="auto"/>
            </w:tcBorders>
            <w:shd w:val="clear" w:color="auto" w:fill="auto"/>
            <w:vAlign w:val="center"/>
            <w:hideMark/>
          </w:tcPr>
          <w:p w14:paraId="7AD52608"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22,3</w:t>
            </w:r>
            <w:r w:rsidR="00B3353E">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20" w:type="dxa"/>
            <w:tcBorders>
              <w:top w:val="nil"/>
              <w:left w:val="nil"/>
              <w:bottom w:val="single" w:sz="4" w:space="0" w:color="auto"/>
              <w:right w:val="single" w:sz="4" w:space="0" w:color="auto"/>
            </w:tcBorders>
            <w:shd w:val="clear" w:color="auto" w:fill="auto"/>
            <w:vAlign w:val="center"/>
            <w:hideMark/>
          </w:tcPr>
          <w:p w14:paraId="5E20F259"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28,6</w:t>
            </w:r>
            <w:r w:rsidR="00B3353E">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923" w:type="dxa"/>
            <w:tcBorders>
              <w:top w:val="nil"/>
              <w:left w:val="nil"/>
              <w:bottom w:val="single" w:sz="4" w:space="0" w:color="auto"/>
              <w:right w:val="single" w:sz="4" w:space="0" w:color="auto"/>
            </w:tcBorders>
            <w:shd w:val="clear" w:color="auto" w:fill="auto"/>
            <w:vAlign w:val="center"/>
            <w:hideMark/>
          </w:tcPr>
          <w:p w14:paraId="30FE1A79"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15,2</w:t>
            </w:r>
            <w:r w:rsidR="00B3353E">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r>
      <w:tr w:rsidR="004B5136" w:rsidRPr="00E25833" w14:paraId="22A30B0E" w14:textId="77777777" w:rsidTr="004B5136">
        <w:trPr>
          <w:trHeight w:val="450"/>
        </w:trPr>
        <w:tc>
          <w:tcPr>
            <w:tcW w:w="940" w:type="dxa"/>
            <w:vMerge/>
            <w:tcBorders>
              <w:top w:val="nil"/>
              <w:left w:val="single" w:sz="4" w:space="0" w:color="auto"/>
              <w:bottom w:val="single" w:sz="4" w:space="0" w:color="auto"/>
              <w:right w:val="single" w:sz="4" w:space="0" w:color="auto"/>
            </w:tcBorders>
            <w:vAlign w:val="center"/>
            <w:hideMark/>
          </w:tcPr>
          <w:p w14:paraId="02973CFD" w14:textId="77777777" w:rsidR="004B5136" w:rsidRPr="00E25833" w:rsidRDefault="004B5136" w:rsidP="004B5136">
            <w:pPr>
              <w:spacing w:before="0" w:after="0" w:line="240" w:lineRule="auto"/>
              <w:rPr>
                <w:rFonts w:ascii="Times New Roman" w:eastAsia="Times New Roman" w:hAnsi="Times New Roman" w:cs="Times New Roman"/>
                <w:b/>
                <w:bCs/>
                <w:color w:val="000000"/>
                <w:sz w:val="16"/>
                <w:szCs w:val="16"/>
                <w:lang w:eastAsia="lv-LV"/>
              </w:rPr>
            </w:pPr>
          </w:p>
        </w:tc>
        <w:tc>
          <w:tcPr>
            <w:tcW w:w="1540" w:type="dxa"/>
            <w:tcBorders>
              <w:top w:val="nil"/>
              <w:left w:val="nil"/>
              <w:bottom w:val="single" w:sz="4" w:space="0" w:color="auto"/>
              <w:right w:val="single" w:sz="4" w:space="0" w:color="auto"/>
            </w:tcBorders>
            <w:shd w:val="clear" w:color="000000" w:fill="D9D9D9"/>
            <w:vAlign w:val="center"/>
            <w:hideMark/>
          </w:tcPr>
          <w:p w14:paraId="7F0B5F44" w14:textId="77777777" w:rsidR="004B5136" w:rsidRPr="00E25833" w:rsidRDefault="004B5136" w:rsidP="004B5136">
            <w:pPr>
              <w:spacing w:before="0" w:after="0" w:line="240" w:lineRule="auto"/>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Darba ņēmēju sadalījums valstī</w:t>
            </w:r>
          </w:p>
        </w:tc>
        <w:tc>
          <w:tcPr>
            <w:tcW w:w="781" w:type="dxa"/>
            <w:tcBorders>
              <w:top w:val="nil"/>
              <w:left w:val="nil"/>
              <w:bottom w:val="single" w:sz="4" w:space="0" w:color="auto"/>
              <w:right w:val="single" w:sz="4" w:space="0" w:color="auto"/>
            </w:tcBorders>
            <w:shd w:val="clear" w:color="000000" w:fill="D9D9D9"/>
            <w:vAlign w:val="center"/>
            <w:hideMark/>
          </w:tcPr>
          <w:p w14:paraId="7252BE18"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6,0</w:t>
            </w:r>
            <w:r w:rsidR="00B96B66">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00" w:type="dxa"/>
            <w:tcBorders>
              <w:top w:val="nil"/>
              <w:left w:val="nil"/>
              <w:bottom w:val="single" w:sz="4" w:space="0" w:color="auto"/>
              <w:right w:val="single" w:sz="4" w:space="0" w:color="auto"/>
            </w:tcBorders>
            <w:shd w:val="clear" w:color="000000" w:fill="D9D9D9"/>
            <w:vAlign w:val="center"/>
            <w:hideMark/>
          </w:tcPr>
          <w:p w14:paraId="6B53A25E"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16,4</w:t>
            </w:r>
            <w:r w:rsidR="00B96B66">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20" w:type="dxa"/>
            <w:tcBorders>
              <w:top w:val="nil"/>
              <w:left w:val="nil"/>
              <w:bottom w:val="single" w:sz="4" w:space="0" w:color="auto"/>
              <w:right w:val="single" w:sz="4" w:space="0" w:color="auto"/>
            </w:tcBorders>
            <w:shd w:val="clear" w:color="000000" w:fill="D9D9D9"/>
            <w:vAlign w:val="center"/>
            <w:hideMark/>
          </w:tcPr>
          <w:p w14:paraId="0288CF89"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3,2</w:t>
            </w:r>
            <w:r w:rsidR="00B96B66">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20" w:type="dxa"/>
            <w:tcBorders>
              <w:top w:val="nil"/>
              <w:left w:val="nil"/>
              <w:bottom w:val="single" w:sz="4" w:space="0" w:color="auto"/>
              <w:right w:val="single" w:sz="4" w:space="0" w:color="auto"/>
            </w:tcBorders>
            <w:shd w:val="clear" w:color="000000" w:fill="D9D9D9"/>
            <w:vAlign w:val="center"/>
            <w:hideMark/>
          </w:tcPr>
          <w:p w14:paraId="558E7716"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23,6</w:t>
            </w:r>
            <w:r w:rsidR="00B96B66">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20" w:type="dxa"/>
            <w:tcBorders>
              <w:top w:val="nil"/>
              <w:left w:val="nil"/>
              <w:bottom w:val="single" w:sz="4" w:space="0" w:color="auto"/>
              <w:right w:val="single" w:sz="4" w:space="0" w:color="auto"/>
            </w:tcBorders>
            <w:shd w:val="clear" w:color="000000" w:fill="D9D9D9"/>
            <w:vAlign w:val="center"/>
            <w:hideMark/>
          </w:tcPr>
          <w:p w14:paraId="557B694D"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33,4</w:t>
            </w:r>
            <w:r w:rsidR="00B96B66">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923" w:type="dxa"/>
            <w:tcBorders>
              <w:top w:val="nil"/>
              <w:left w:val="nil"/>
              <w:bottom w:val="single" w:sz="4" w:space="0" w:color="auto"/>
              <w:right w:val="single" w:sz="4" w:space="0" w:color="auto"/>
            </w:tcBorders>
            <w:shd w:val="clear" w:color="000000" w:fill="D9D9D9"/>
            <w:vAlign w:val="center"/>
            <w:hideMark/>
          </w:tcPr>
          <w:p w14:paraId="7A838570"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17,3</w:t>
            </w:r>
            <w:r w:rsidR="00B96B66">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r>
      <w:tr w:rsidR="004B5136" w:rsidRPr="00E25833" w14:paraId="6648FC0E" w14:textId="77777777" w:rsidTr="004B5136">
        <w:trPr>
          <w:trHeight w:val="255"/>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63EBEB2E"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2019.gads</w:t>
            </w:r>
          </w:p>
        </w:tc>
        <w:tc>
          <w:tcPr>
            <w:tcW w:w="1540" w:type="dxa"/>
            <w:tcBorders>
              <w:top w:val="nil"/>
              <w:left w:val="nil"/>
              <w:bottom w:val="single" w:sz="4" w:space="0" w:color="auto"/>
              <w:right w:val="single" w:sz="4" w:space="0" w:color="auto"/>
            </w:tcBorders>
            <w:shd w:val="clear" w:color="auto" w:fill="auto"/>
            <w:vAlign w:val="center"/>
            <w:hideMark/>
          </w:tcPr>
          <w:p w14:paraId="6CAA2E68" w14:textId="77777777" w:rsidR="004B5136" w:rsidRPr="00E25833" w:rsidRDefault="004B5136" w:rsidP="004B5136">
            <w:pPr>
              <w:spacing w:before="0" w:after="0" w:line="240" w:lineRule="auto"/>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Būvniecības nozare</w:t>
            </w:r>
          </w:p>
        </w:tc>
        <w:tc>
          <w:tcPr>
            <w:tcW w:w="781" w:type="dxa"/>
            <w:tcBorders>
              <w:top w:val="nil"/>
              <w:left w:val="nil"/>
              <w:bottom w:val="single" w:sz="4" w:space="0" w:color="auto"/>
              <w:right w:val="single" w:sz="4" w:space="0" w:color="auto"/>
            </w:tcBorders>
            <w:shd w:val="clear" w:color="auto" w:fill="auto"/>
            <w:vAlign w:val="center"/>
            <w:hideMark/>
          </w:tcPr>
          <w:p w14:paraId="57C33ECC"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9,9</w:t>
            </w:r>
            <w:r w:rsidR="00B96B66">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00" w:type="dxa"/>
            <w:tcBorders>
              <w:top w:val="nil"/>
              <w:left w:val="nil"/>
              <w:bottom w:val="single" w:sz="4" w:space="0" w:color="auto"/>
              <w:right w:val="single" w:sz="4" w:space="0" w:color="auto"/>
            </w:tcBorders>
            <w:shd w:val="clear" w:color="auto" w:fill="auto"/>
            <w:vAlign w:val="center"/>
            <w:hideMark/>
          </w:tcPr>
          <w:p w14:paraId="784CEB0D"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19,5</w:t>
            </w:r>
            <w:r w:rsidR="00B96B66">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20" w:type="dxa"/>
            <w:tcBorders>
              <w:top w:val="nil"/>
              <w:left w:val="nil"/>
              <w:bottom w:val="single" w:sz="4" w:space="0" w:color="auto"/>
              <w:right w:val="single" w:sz="4" w:space="0" w:color="auto"/>
            </w:tcBorders>
            <w:shd w:val="clear" w:color="auto" w:fill="auto"/>
            <w:vAlign w:val="center"/>
            <w:hideMark/>
          </w:tcPr>
          <w:p w14:paraId="39E254D9"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2,2</w:t>
            </w:r>
            <w:r w:rsidR="00B96B66">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20" w:type="dxa"/>
            <w:tcBorders>
              <w:top w:val="nil"/>
              <w:left w:val="nil"/>
              <w:bottom w:val="single" w:sz="4" w:space="0" w:color="auto"/>
              <w:right w:val="single" w:sz="4" w:space="0" w:color="auto"/>
            </w:tcBorders>
            <w:shd w:val="clear" w:color="auto" w:fill="auto"/>
            <w:vAlign w:val="center"/>
            <w:hideMark/>
          </w:tcPr>
          <w:p w14:paraId="3ADDDDE0"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19,8</w:t>
            </w:r>
            <w:r w:rsidR="00B96B66">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20" w:type="dxa"/>
            <w:tcBorders>
              <w:top w:val="nil"/>
              <w:left w:val="nil"/>
              <w:bottom w:val="single" w:sz="4" w:space="0" w:color="auto"/>
              <w:right w:val="single" w:sz="4" w:space="0" w:color="auto"/>
            </w:tcBorders>
            <w:shd w:val="clear" w:color="auto" w:fill="auto"/>
            <w:vAlign w:val="center"/>
            <w:hideMark/>
          </w:tcPr>
          <w:p w14:paraId="6C95BA6E"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30,7</w:t>
            </w:r>
            <w:r w:rsidR="00B96B66">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923" w:type="dxa"/>
            <w:tcBorders>
              <w:top w:val="nil"/>
              <w:left w:val="nil"/>
              <w:bottom w:val="single" w:sz="4" w:space="0" w:color="auto"/>
              <w:right w:val="single" w:sz="4" w:space="0" w:color="auto"/>
            </w:tcBorders>
            <w:shd w:val="clear" w:color="auto" w:fill="auto"/>
            <w:vAlign w:val="center"/>
            <w:hideMark/>
          </w:tcPr>
          <w:p w14:paraId="471E08EB"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18,0</w:t>
            </w:r>
            <w:r w:rsidR="00B96B66">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r>
      <w:tr w:rsidR="004B5136" w:rsidRPr="00E25833" w14:paraId="5870D800" w14:textId="77777777" w:rsidTr="004B5136">
        <w:trPr>
          <w:trHeight w:val="450"/>
        </w:trPr>
        <w:tc>
          <w:tcPr>
            <w:tcW w:w="940" w:type="dxa"/>
            <w:vMerge/>
            <w:tcBorders>
              <w:top w:val="nil"/>
              <w:left w:val="single" w:sz="4" w:space="0" w:color="auto"/>
              <w:bottom w:val="single" w:sz="4" w:space="0" w:color="auto"/>
              <w:right w:val="single" w:sz="4" w:space="0" w:color="auto"/>
            </w:tcBorders>
            <w:vAlign w:val="center"/>
            <w:hideMark/>
          </w:tcPr>
          <w:p w14:paraId="18FA9961" w14:textId="77777777" w:rsidR="004B5136" w:rsidRPr="00E25833" w:rsidRDefault="004B5136" w:rsidP="004B5136">
            <w:pPr>
              <w:spacing w:before="0" w:after="0" w:line="240" w:lineRule="auto"/>
              <w:rPr>
                <w:rFonts w:ascii="Times New Roman" w:eastAsia="Times New Roman" w:hAnsi="Times New Roman" w:cs="Times New Roman"/>
                <w:b/>
                <w:bCs/>
                <w:color w:val="000000"/>
                <w:sz w:val="16"/>
                <w:szCs w:val="16"/>
                <w:lang w:eastAsia="lv-LV"/>
              </w:rPr>
            </w:pPr>
          </w:p>
        </w:tc>
        <w:tc>
          <w:tcPr>
            <w:tcW w:w="1540" w:type="dxa"/>
            <w:tcBorders>
              <w:top w:val="nil"/>
              <w:left w:val="nil"/>
              <w:bottom w:val="single" w:sz="4" w:space="0" w:color="auto"/>
              <w:right w:val="single" w:sz="4" w:space="0" w:color="auto"/>
            </w:tcBorders>
            <w:shd w:val="clear" w:color="000000" w:fill="D9D9D9"/>
            <w:vAlign w:val="center"/>
            <w:hideMark/>
          </w:tcPr>
          <w:p w14:paraId="60DACE1E" w14:textId="77777777" w:rsidR="004B5136" w:rsidRPr="00E25833" w:rsidRDefault="004B5136" w:rsidP="004B5136">
            <w:pPr>
              <w:spacing w:before="0" w:after="0" w:line="240" w:lineRule="auto"/>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Darba ņēmēju sadalījums valstī</w:t>
            </w:r>
          </w:p>
        </w:tc>
        <w:tc>
          <w:tcPr>
            <w:tcW w:w="781" w:type="dxa"/>
            <w:tcBorders>
              <w:top w:val="nil"/>
              <w:left w:val="nil"/>
              <w:bottom w:val="single" w:sz="4" w:space="0" w:color="auto"/>
              <w:right w:val="single" w:sz="4" w:space="0" w:color="auto"/>
            </w:tcBorders>
            <w:shd w:val="clear" w:color="000000" w:fill="D9D9D9"/>
            <w:vAlign w:val="center"/>
            <w:hideMark/>
          </w:tcPr>
          <w:p w14:paraId="4522315C"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6,1</w:t>
            </w:r>
            <w:r w:rsidR="00B96B66">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00" w:type="dxa"/>
            <w:tcBorders>
              <w:top w:val="nil"/>
              <w:left w:val="nil"/>
              <w:bottom w:val="single" w:sz="4" w:space="0" w:color="auto"/>
              <w:right w:val="single" w:sz="4" w:space="0" w:color="auto"/>
            </w:tcBorders>
            <w:shd w:val="clear" w:color="000000" w:fill="D9D9D9"/>
            <w:vAlign w:val="center"/>
            <w:hideMark/>
          </w:tcPr>
          <w:p w14:paraId="4BCC75CE"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15,1</w:t>
            </w:r>
            <w:r w:rsidR="00B96B66">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20" w:type="dxa"/>
            <w:tcBorders>
              <w:top w:val="nil"/>
              <w:left w:val="nil"/>
              <w:bottom w:val="single" w:sz="4" w:space="0" w:color="auto"/>
              <w:right w:val="single" w:sz="4" w:space="0" w:color="auto"/>
            </w:tcBorders>
            <w:shd w:val="clear" w:color="000000" w:fill="D9D9D9"/>
            <w:vAlign w:val="center"/>
            <w:hideMark/>
          </w:tcPr>
          <w:p w14:paraId="7DD04270"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2,8</w:t>
            </w:r>
            <w:r w:rsidR="00B96B66">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20" w:type="dxa"/>
            <w:tcBorders>
              <w:top w:val="nil"/>
              <w:left w:val="nil"/>
              <w:bottom w:val="single" w:sz="4" w:space="0" w:color="auto"/>
              <w:right w:val="single" w:sz="4" w:space="0" w:color="auto"/>
            </w:tcBorders>
            <w:shd w:val="clear" w:color="000000" w:fill="D9D9D9"/>
            <w:vAlign w:val="center"/>
            <w:hideMark/>
          </w:tcPr>
          <w:p w14:paraId="3991C464"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21,5</w:t>
            </w:r>
            <w:r w:rsidR="00B96B66">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1120" w:type="dxa"/>
            <w:tcBorders>
              <w:top w:val="nil"/>
              <w:left w:val="nil"/>
              <w:bottom w:val="single" w:sz="4" w:space="0" w:color="auto"/>
              <w:right w:val="single" w:sz="4" w:space="0" w:color="auto"/>
            </w:tcBorders>
            <w:shd w:val="clear" w:color="000000" w:fill="D9D9D9"/>
            <w:vAlign w:val="center"/>
            <w:hideMark/>
          </w:tcPr>
          <w:p w14:paraId="2827F3FD"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34,3</w:t>
            </w:r>
            <w:r w:rsidR="00B96B66">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c>
          <w:tcPr>
            <w:tcW w:w="923" w:type="dxa"/>
            <w:tcBorders>
              <w:top w:val="nil"/>
              <w:left w:val="nil"/>
              <w:bottom w:val="single" w:sz="4" w:space="0" w:color="auto"/>
              <w:right w:val="single" w:sz="4" w:space="0" w:color="auto"/>
            </w:tcBorders>
            <w:shd w:val="clear" w:color="000000" w:fill="D9D9D9"/>
            <w:vAlign w:val="center"/>
            <w:hideMark/>
          </w:tcPr>
          <w:p w14:paraId="1FC80B93"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20,3</w:t>
            </w:r>
            <w:r w:rsidR="00B96B66">
              <w:rPr>
                <w:rFonts w:ascii="Times New Roman" w:eastAsia="Times New Roman" w:hAnsi="Times New Roman" w:cs="Times New Roman"/>
                <w:color w:val="000000"/>
                <w:sz w:val="16"/>
                <w:szCs w:val="16"/>
                <w:lang w:eastAsia="lv-LV"/>
              </w:rPr>
              <w:t> </w:t>
            </w:r>
            <w:r w:rsidRPr="00E25833">
              <w:rPr>
                <w:rFonts w:ascii="Times New Roman" w:eastAsia="Times New Roman" w:hAnsi="Times New Roman" w:cs="Times New Roman"/>
                <w:color w:val="000000"/>
                <w:sz w:val="16"/>
                <w:szCs w:val="16"/>
                <w:lang w:eastAsia="lv-LV"/>
              </w:rPr>
              <w:t>%</w:t>
            </w:r>
          </w:p>
        </w:tc>
      </w:tr>
    </w:tbl>
    <w:p w14:paraId="7C1B4A6B" w14:textId="77777777" w:rsidR="004B5136" w:rsidRPr="00E25833" w:rsidRDefault="004B5136" w:rsidP="005E08CF">
      <w:pPr>
        <w:spacing w:before="0" w:after="0" w:line="240" w:lineRule="auto"/>
        <w:ind w:firstLine="720"/>
        <w:jc w:val="both"/>
        <w:rPr>
          <w:rFonts w:ascii="Times New Roman" w:eastAsia="Calibri" w:hAnsi="Times New Roman" w:cs="Times New Roman"/>
          <w:sz w:val="28"/>
          <w:szCs w:val="28"/>
        </w:rPr>
      </w:pPr>
    </w:p>
    <w:p w14:paraId="3E02E395" w14:textId="77777777" w:rsidR="004B5136" w:rsidRPr="009D4ED2" w:rsidRDefault="004B5136" w:rsidP="00B96B66">
      <w:pPr>
        <w:spacing w:before="0" w:after="0" w:line="240" w:lineRule="auto"/>
        <w:ind w:firstLine="720"/>
        <w:jc w:val="both"/>
        <w:rPr>
          <w:rFonts w:ascii="Times New Roman" w:eastAsia="Calibri" w:hAnsi="Times New Roman" w:cs="Times New Roman"/>
          <w:sz w:val="28"/>
          <w:szCs w:val="28"/>
        </w:rPr>
      </w:pPr>
      <w:r w:rsidRPr="009D4ED2">
        <w:rPr>
          <w:rFonts w:ascii="Times New Roman" w:eastAsia="Calibri" w:hAnsi="Times New Roman" w:cs="Times New Roman"/>
          <w:sz w:val="28"/>
          <w:szCs w:val="28"/>
        </w:rPr>
        <w:t>2019.gadā darba ienākumus valstī noteikt</w:t>
      </w:r>
      <w:r w:rsidR="003C14A2" w:rsidRPr="009D4ED2">
        <w:rPr>
          <w:rFonts w:ascii="Times New Roman" w:eastAsia="Calibri" w:hAnsi="Times New Roman" w:cs="Times New Roman"/>
          <w:sz w:val="28"/>
          <w:szCs w:val="28"/>
        </w:rPr>
        <w:t>ās</w:t>
      </w:r>
      <w:r w:rsidRPr="009D4ED2">
        <w:rPr>
          <w:rFonts w:ascii="Times New Roman" w:eastAsia="Calibri" w:hAnsi="Times New Roman" w:cs="Times New Roman"/>
          <w:sz w:val="28"/>
          <w:szCs w:val="28"/>
        </w:rPr>
        <w:t xml:space="preserve"> minimāl</w:t>
      </w:r>
      <w:r w:rsidR="003C14A2" w:rsidRPr="009D4ED2">
        <w:rPr>
          <w:rFonts w:ascii="Times New Roman" w:eastAsia="Calibri" w:hAnsi="Times New Roman" w:cs="Times New Roman"/>
          <w:sz w:val="28"/>
          <w:szCs w:val="28"/>
        </w:rPr>
        <w:t>ās</w:t>
      </w:r>
      <w:r w:rsidRPr="009D4ED2">
        <w:rPr>
          <w:rFonts w:ascii="Times New Roman" w:eastAsia="Calibri" w:hAnsi="Times New Roman" w:cs="Times New Roman"/>
          <w:sz w:val="28"/>
          <w:szCs w:val="28"/>
        </w:rPr>
        <w:t xml:space="preserve"> darba alg</w:t>
      </w:r>
      <w:r w:rsidR="003C14A2" w:rsidRPr="009D4ED2">
        <w:rPr>
          <w:rFonts w:ascii="Times New Roman" w:eastAsia="Calibri" w:hAnsi="Times New Roman" w:cs="Times New Roman"/>
          <w:sz w:val="28"/>
          <w:szCs w:val="28"/>
        </w:rPr>
        <w:t>as apmērā</w:t>
      </w:r>
      <w:r w:rsidRPr="009D4ED2">
        <w:rPr>
          <w:rFonts w:ascii="Times New Roman" w:eastAsia="Calibri" w:hAnsi="Times New Roman" w:cs="Times New Roman"/>
          <w:sz w:val="28"/>
          <w:szCs w:val="28"/>
        </w:rPr>
        <w:t xml:space="preserve"> vai </w:t>
      </w:r>
      <w:r w:rsidR="003C14A2" w:rsidRPr="009D4ED2">
        <w:rPr>
          <w:rFonts w:ascii="Times New Roman" w:eastAsia="Calibri" w:hAnsi="Times New Roman" w:cs="Times New Roman"/>
          <w:sz w:val="28"/>
          <w:szCs w:val="28"/>
        </w:rPr>
        <w:t>mazāku</w:t>
      </w:r>
      <w:r w:rsidRPr="009D4ED2">
        <w:rPr>
          <w:rFonts w:ascii="Times New Roman" w:eastAsia="Calibri" w:hAnsi="Times New Roman" w:cs="Times New Roman"/>
          <w:sz w:val="28"/>
          <w:szCs w:val="28"/>
        </w:rPr>
        <w:t xml:space="preserve"> saņēma 21,7 % no būvniecības nozarē nodarbinātajiem darba ņēmējiem, kas ir par 2,8 procentpunktiem mazāks darba ņēmēju īpatsvars nekā 2018.gadā (24,4 %). </w:t>
      </w:r>
    </w:p>
    <w:p w14:paraId="0FE19696" w14:textId="77777777" w:rsidR="004D3B7B" w:rsidRDefault="004D3B7B" w:rsidP="003977E6">
      <w:pPr>
        <w:spacing w:before="0" w:after="0" w:line="240" w:lineRule="auto"/>
        <w:ind w:firstLine="720"/>
        <w:jc w:val="both"/>
        <w:rPr>
          <w:rFonts w:ascii="Times New Roman" w:eastAsia="Calibri" w:hAnsi="Times New Roman" w:cs="Times New Roman"/>
          <w:sz w:val="28"/>
          <w:szCs w:val="28"/>
        </w:rPr>
      </w:pPr>
    </w:p>
    <w:p w14:paraId="5C5AA898" w14:textId="77777777" w:rsidR="004B5136" w:rsidRPr="009D4ED2" w:rsidRDefault="004B5136" w:rsidP="002F0967">
      <w:pPr>
        <w:spacing w:before="0" w:after="0" w:line="240" w:lineRule="auto"/>
        <w:ind w:firstLine="720"/>
        <w:jc w:val="both"/>
        <w:rPr>
          <w:rFonts w:ascii="Times New Roman" w:eastAsia="Calibri" w:hAnsi="Times New Roman" w:cs="Times New Roman"/>
          <w:sz w:val="28"/>
          <w:szCs w:val="28"/>
        </w:rPr>
      </w:pPr>
      <w:r w:rsidRPr="009D4ED2">
        <w:rPr>
          <w:rFonts w:ascii="Times New Roman" w:eastAsia="Calibri" w:hAnsi="Times New Roman" w:cs="Times New Roman"/>
          <w:sz w:val="28"/>
          <w:szCs w:val="28"/>
        </w:rPr>
        <w:t>Apskatot darba ņēmēju ienākumu apmēra sadalījumu par periodu no 2019.</w:t>
      </w:r>
      <w:r w:rsidR="004E10CB" w:rsidRPr="009D4ED2">
        <w:rPr>
          <w:rFonts w:ascii="Times New Roman" w:eastAsia="Calibri" w:hAnsi="Times New Roman" w:cs="Times New Roman"/>
          <w:sz w:val="28"/>
          <w:szCs w:val="28"/>
        </w:rPr>
        <w:t>gada</w:t>
      </w:r>
      <w:r w:rsidRPr="009D4ED2">
        <w:rPr>
          <w:rFonts w:ascii="Times New Roman" w:eastAsia="Calibri" w:hAnsi="Times New Roman" w:cs="Times New Roman"/>
          <w:sz w:val="28"/>
          <w:szCs w:val="28"/>
        </w:rPr>
        <w:t xml:space="preserve"> </w:t>
      </w:r>
      <w:r w:rsidR="004E10CB" w:rsidRPr="009D4ED2">
        <w:rPr>
          <w:rFonts w:ascii="Times New Roman" w:eastAsia="Calibri" w:hAnsi="Times New Roman" w:cs="Times New Roman"/>
          <w:sz w:val="28"/>
          <w:szCs w:val="28"/>
        </w:rPr>
        <w:t xml:space="preserve">1.decembra </w:t>
      </w:r>
      <w:r w:rsidRPr="009D4ED2">
        <w:rPr>
          <w:rFonts w:ascii="Times New Roman" w:eastAsia="Calibri" w:hAnsi="Times New Roman" w:cs="Times New Roman"/>
          <w:sz w:val="28"/>
          <w:szCs w:val="28"/>
        </w:rPr>
        <w:t>līdz 2020.</w:t>
      </w:r>
      <w:r w:rsidR="004E10CB" w:rsidRPr="009D4ED2">
        <w:rPr>
          <w:rFonts w:ascii="Times New Roman" w:eastAsia="Calibri" w:hAnsi="Times New Roman" w:cs="Times New Roman"/>
          <w:sz w:val="28"/>
          <w:szCs w:val="28"/>
        </w:rPr>
        <w:t>gada 28.februār</w:t>
      </w:r>
      <w:r w:rsidR="003F0DE8" w:rsidRPr="009D4ED2">
        <w:rPr>
          <w:rFonts w:ascii="Times New Roman" w:eastAsia="Calibri" w:hAnsi="Times New Roman" w:cs="Times New Roman"/>
          <w:sz w:val="28"/>
          <w:szCs w:val="28"/>
        </w:rPr>
        <w:t>im</w:t>
      </w:r>
      <w:r w:rsidRPr="009D4ED2">
        <w:rPr>
          <w:rFonts w:ascii="Times New Roman" w:eastAsia="Calibri" w:hAnsi="Times New Roman" w:cs="Times New Roman"/>
          <w:sz w:val="28"/>
          <w:szCs w:val="28"/>
        </w:rPr>
        <w:t xml:space="preserve">, </w:t>
      </w:r>
      <w:r w:rsidR="00476AFE" w:rsidRPr="009D4ED2">
        <w:rPr>
          <w:rFonts w:ascii="Times New Roman" w:eastAsia="Calibri" w:hAnsi="Times New Roman" w:cs="Times New Roman"/>
          <w:sz w:val="28"/>
          <w:szCs w:val="28"/>
        </w:rPr>
        <w:t>t.i.</w:t>
      </w:r>
      <w:r w:rsidR="00871D3A">
        <w:rPr>
          <w:rFonts w:ascii="Times New Roman" w:eastAsia="Calibri" w:hAnsi="Times New Roman" w:cs="Times New Roman"/>
          <w:sz w:val="28"/>
          <w:szCs w:val="28"/>
        </w:rPr>
        <w:t>,</w:t>
      </w:r>
      <w:r w:rsidR="00476AFE" w:rsidRPr="009D4ED2">
        <w:rPr>
          <w:rFonts w:ascii="Times New Roman" w:eastAsia="Calibri" w:hAnsi="Times New Roman" w:cs="Times New Roman"/>
          <w:sz w:val="28"/>
          <w:szCs w:val="28"/>
        </w:rPr>
        <w:t xml:space="preserve"> pēc 2019.gada 3.novembrī spēkā stājušās nozares </w:t>
      </w:r>
      <w:proofErr w:type="spellStart"/>
      <w:r w:rsidR="00871D3A">
        <w:rPr>
          <w:rFonts w:ascii="Times New Roman" w:eastAsia="Calibri" w:hAnsi="Times New Roman" w:cs="Times New Roman"/>
          <w:sz w:val="28"/>
          <w:szCs w:val="28"/>
        </w:rPr>
        <w:t>ģ</w:t>
      </w:r>
      <w:r w:rsidR="00476AFE" w:rsidRPr="009D4ED2">
        <w:rPr>
          <w:rFonts w:ascii="Times New Roman" w:eastAsia="Calibri" w:hAnsi="Times New Roman" w:cs="Times New Roman"/>
          <w:sz w:val="28"/>
          <w:szCs w:val="28"/>
        </w:rPr>
        <w:t>enerālvienošanās</w:t>
      </w:r>
      <w:proofErr w:type="spellEnd"/>
      <w:r w:rsidR="00476AFE" w:rsidRPr="009D4ED2">
        <w:rPr>
          <w:rFonts w:ascii="Times New Roman" w:eastAsia="Calibri" w:hAnsi="Times New Roman" w:cs="Times New Roman"/>
          <w:sz w:val="28"/>
          <w:szCs w:val="28"/>
        </w:rPr>
        <w:t xml:space="preserve"> par minimālo algu būvniecībā</w:t>
      </w:r>
      <w:r w:rsidR="00D06664" w:rsidRPr="009D4ED2">
        <w:rPr>
          <w:rStyle w:val="FootnoteReference"/>
          <w:rFonts w:ascii="Times New Roman" w:eastAsia="Calibri" w:hAnsi="Times New Roman" w:cs="Times New Roman"/>
          <w:sz w:val="28"/>
          <w:szCs w:val="28"/>
        </w:rPr>
        <w:footnoteReference w:id="10"/>
      </w:r>
      <w:r w:rsidR="001712A8" w:rsidRPr="009D4ED2">
        <w:rPr>
          <w:rFonts w:ascii="Times New Roman" w:eastAsia="Calibri" w:hAnsi="Times New Roman" w:cs="Times New Roman"/>
          <w:sz w:val="28"/>
          <w:szCs w:val="28"/>
        </w:rPr>
        <w:t>,</w:t>
      </w:r>
      <w:r w:rsidR="00476AFE" w:rsidRPr="009D4ED2">
        <w:rPr>
          <w:rFonts w:ascii="Times New Roman" w:eastAsia="Calibri" w:hAnsi="Times New Roman" w:cs="Times New Roman"/>
          <w:sz w:val="28"/>
          <w:szCs w:val="28"/>
        </w:rPr>
        <w:t xml:space="preserve"> </w:t>
      </w:r>
      <w:r w:rsidRPr="009D4ED2">
        <w:rPr>
          <w:rFonts w:ascii="Times New Roman" w:eastAsia="Calibri" w:hAnsi="Times New Roman" w:cs="Times New Roman"/>
          <w:sz w:val="28"/>
          <w:szCs w:val="28"/>
        </w:rPr>
        <w:t>68,</w:t>
      </w:r>
      <w:r w:rsidR="005C545E" w:rsidRPr="009D4ED2">
        <w:rPr>
          <w:rFonts w:ascii="Times New Roman" w:eastAsia="Calibri" w:hAnsi="Times New Roman" w:cs="Times New Roman"/>
          <w:sz w:val="28"/>
          <w:szCs w:val="28"/>
        </w:rPr>
        <w:t>5</w:t>
      </w:r>
      <w:r w:rsidRPr="009D4ED2">
        <w:rPr>
          <w:rFonts w:ascii="Times New Roman" w:eastAsia="Calibri" w:hAnsi="Times New Roman" w:cs="Times New Roman"/>
          <w:sz w:val="28"/>
          <w:szCs w:val="28"/>
        </w:rPr>
        <w:t> % būvniecības nozarē nodarbināto darba ņēmēju darba ienākumus saņēma virs valstī noteiktās minimālās darba algas. Salīdzinot šo rādītāju par periodu no 2018.</w:t>
      </w:r>
      <w:r w:rsidR="004E10CB" w:rsidRPr="009D4ED2">
        <w:rPr>
          <w:rFonts w:ascii="Times New Roman" w:eastAsia="Calibri" w:hAnsi="Times New Roman" w:cs="Times New Roman"/>
          <w:sz w:val="28"/>
          <w:szCs w:val="28"/>
        </w:rPr>
        <w:t>gada 1.decembra</w:t>
      </w:r>
      <w:r w:rsidRPr="009D4ED2">
        <w:rPr>
          <w:rFonts w:ascii="Times New Roman" w:eastAsia="Calibri" w:hAnsi="Times New Roman" w:cs="Times New Roman"/>
          <w:sz w:val="28"/>
          <w:szCs w:val="28"/>
        </w:rPr>
        <w:t xml:space="preserve"> līdz 2019.</w:t>
      </w:r>
      <w:r w:rsidR="003F0DE8" w:rsidRPr="009D4ED2">
        <w:rPr>
          <w:rFonts w:ascii="Times New Roman" w:eastAsia="Calibri" w:hAnsi="Times New Roman" w:cs="Times New Roman"/>
          <w:sz w:val="28"/>
          <w:szCs w:val="28"/>
        </w:rPr>
        <w:t>gada 28.februārim</w:t>
      </w:r>
      <w:r w:rsidRPr="009D4ED2">
        <w:rPr>
          <w:rFonts w:ascii="Times New Roman" w:eastAsia="Calibri" w:hAnsi="Times New Roman" w:cs="Times New Roman"/>
          <w:sz w:val="28"/>
          <w:szCs w:val="28"/>
        </w:rPr>
        <w:t>, tas ir palielinājies par 3,</w:t>
      </w:r>
      <w:r w:rsidR="002A5F17" w:rsidRPr="009D4ED2">
        <w:rPr>
          <w:rFonts w:ascii="Times New Roman" w:eastAsia="Calibri" w:hAnsi="Times New Roman" w:cs="Times New Roman"/>
          <w:sz w:val="28"/>
          <w:szCs w:val="28"/>
        </w:rPr>
        <w:t>6</w:t>
      </w:r>
      <w:r w:rsidR="0027520F">
        <w:rPr>
          <w:rFonts w:ascii="Times New Roman" w:eastAsia="Calibri" w:hAnsi="Times New Roman" w:cs="Times New Roman"/>
          <w:sz w:val="28"/>
          <w:szCs w:val="28"/>
        </w:rPr>
        <w:t> </w:t>
      </w:r>
      <w:r w:rsidRPr="009D4ED2">
        <w:rPr>
          <w:rFonts w:ascii="Times New Roman" w:eastAsia="Calibri" w:hAnsi="Times New Roman" w:cs="Times New Roman"/>
          <w:sz w:val="28"/>
          <w:szCs w:val="28"/>
        </w:rPr>
        <w:t>procentpunktiem (skatīt</w:t>
      </w:r>
      <w:r w:rsidR="00E716F3">
        <w:rPr>
          <w:rFonts w:ascii="Times New Roman" w:eastAsia="Calibri" w:hAnsi="Times New Roman" w:cs="Times New Roman"/>
          <w:sz w:val="28"/>
          <w:szCs w:val="28"/>
        </w:rPr>
        <w:t xml:space="preserve"> 7</w:t>
      </w:r>
      <w:r w:rsidRPr="005E08CF">
        <w:rPr>
          <w:rFonts w:ascii="Times New Roman" w:eastAsia="Calibri" w:hAnsi="Times New Roman" w:cs="Times New Roman"/>
          <w:sz w:val="28"/>
          <w:szCs w:val="28"/>
        </w:rPr>
        <w:t>.</w:t>
      </w:r>
      <w:r w:rsidRPr="009D4ED2">
        <w:rPr>
          <w:rFonts w:ascii="Times New Roman" w:eastAsia="Calibri" w:hAnsi="Times New Roman" w:cs="Times New Roman"/>
          <w:sz w:val="28"/>
          <w:szCs w:val="28"/>
        </w:rPr>
        <w:t xml:space="preserve">tabulu). </w:t>
      </w:r>
    </w:p>
    <w:p w14:paraId="1D02C096" w14:textId="1EF0F102" w:rsidR="004B5136" w:rsidRDefault="004B5136" w:rsidP="00237CD7">
      <w:pPr>
        <w:spacing w:before="0" w:after="0" w:line="240" w:lineRule="auto"/>
        <w:ind w:firstLine="720"/>
        <w:jc w:val="both"/>
        <w:rPr>
          <w:rFonts w:ascii="Times New Roman" w:eastAsia="Calibri" w:hAnsi="Times New Roman" w:cs="Times New Roman"/>
          <w:sz w:val="28"/>
          <w:szCs w:val="28"/>
        </w:rPr>
      </w:pPr>
      <w:r w:rsidRPr="009D4ED2">
        <w:rPr>
          <w:rFonts w:ascii="Times New Roman" w:eastAsia="Calibri" w:hAnsi="Times New Roman" w:cs="Times New Roman"/>
          <w:sz w:val="28"/>
          <w:szCs w:val="28"/>
        </w:rPr>
        <w:t>Periodā no 2019.</w:t>
      </w:r>
      <w:r w:rsidR="003F0DE8" w:rsidRPr="009D4ED2">
        <w:rPr>
          <w:rFonts w:ascii="Times New Roman" w:eastAsia="Calibri" w:hAnsi="Times New Roman" w:cs="Times New Roman"/>
          <w:sz w:val="28"/>
          <w:szCs w:val="28"/>
        </w:rPr>
        <w:t>gada 1.decembra</w:t>
      </w:r>
      <w:r w:rsidRPr="009D4ED2">
        <w:rPr>
          <w:rFonts w:ascii="Times New Roman" w:eastAsia="Calibri" w:hAnsi="Times New Roman" w:cs="Times New Roman"/>
          <w:sz w:val="28"/>
          <w:szCs w:val="28"/>
        </w:rPr>
        <w:t xml:space="preserve"> līdz 2020.</w:t>
      </w:r>
      <w:r w:rsidR="003F0DE8" w:rsidRPr="009D4ED2">
        <w:rPr>
          <w:rFonts w:ascii="Times New Roman" w:eastAsia="Calibri" w:hAnsi="Times New Roman" w:cs="Times New Roman"/>
          <w:sz w:val="28"/>
          <w:szCs w:val="28"/>
        </w:rPr>
        <w:t>gada 28.februārim</w:t>
      </w:r>
      <w:r w:rsidRPr="009D4ED2">
        <w:rPr>
          <w:rFonts w:ascii="Times New Roman" w:eastAsia="Calibri" w:hAnsi="Times New Roman" w:cs="Times New Roman"/>
          <w:sz w:val="28"/>
          <w:szCs w:val="28"/>
        </w:rPr>
        <w:t xml:space="preserve"> darba ienākumus valstī noteikt</w:t>
      </w:r>
      <w:r w:rsidR="00F47CD9" w:rsidRPr="009D4ED2">
        <w:rPr>
          <w:rFonts w:ascii="Times New Roman" w:eastAsia="Calibri" w:hAnsi="Times New Roman" w:cs="Times New Roman"/>
          <w:sz w:val="28"/>
          <w:szCs w:val="28"/>
        </w:rPr>
        <w:t>ās</w:t>
      </w:r>
      <w:r w:rsidRPr="009D4ED2">
        <w:rPr>
          <w:rFonts w:ascii="Times New Roman" w:eastAsia="Calibri" w:hAnsi="Times New Roman" w:cs="Times New Roman"/>
          <w:sz w:val="28"/>
          <w:szCs w:val="28"/>
        </w:rPr>
        <w:t xml:space="preserve"> minimāl</w:t>
      </w:r>
      <w:r w:rsidR="00F47CD9" w:rsidRPr="009D4ED2">
        <w:rPr>
          <w:rFonts w:ascii="Times New Roman" w:eastAsia="Calibri" w:hAnsi="Times New Roman" w:cs="Times New Roman"/>
          <w:sz w:val="28"/>
          <w:szCs w:val="28"/>
        </w:rPr>
        <w:t>ās</w:t>
      </w:r>
      <w:r w:rsidRPr="009D4ED2">
        <w:rPr>
          <w:rFonts w:ascii="Times New Roman" w:eastAsia="Calibri" w:hAnsi="Times New Roman" w:cs="Times New Roman"/>
          <w:sz w:val="28"/>
          <w:szCs w:val="28"/>
        </w:rPr>
        <w:t xml:space="preserve"> darba alg</w:t>
      </w:r>
      <w:r w:rsidR="00F47CD9" w:rsidRPr="009D4ED2">
        <w:rPr>
          <w:rFonts w:ascii="Times New Roman" w:eastAsia="Calibri" w:hAnsi="Times New Roman" w:cs="Times New Roman"/>
          <w:sz w:val="28"/>
          <w:szCs w:val="28"/>
        </w:rPr>
        <w:t>as apmērā</w:t>
      </w:r>
      <w:r w:rsidRPr="009D4ED2">
        <w:rPr>
          <w:rFonts w:ascii="Times New Roman" w:eastAsia="Calibri" w:hAnsi="Times New Roman" w:cs="Times New Roman"/>
          <w:sz w:val="28"/>
          <w:szCs w:val="28"/>
        </w:rPr>
        <w:t xml:space="preserve"> vai </w:t>
      </w:r>
      <w:r w:rsidR="00F47CD9" w:rsidRPr="009D4ED2">
        <w:rPr>
          <w:rFonts w:ascii="Times New Roman" w:eastAsia="Calibri" w:hAnsi="Times New Roman" w:cs="Times New Roman"/>
          <w:sz w:val="28"/>
          <w:szCs w:val="28"/>
        </w:rPr>
        <w:t>mazāku</w:t>
      </w:r>
      <w:r w:rsidR="0027520F">
        <w:rPr>
          <w:rFonts w:ascii="Times New Roman" w:eastAsia="Calibri" w:hAnsi="Times New Roman" w:cs="Times New Roman"/>
          <w:sz w:val="28"/>
          <w:szCs w:val="28"/>
        </w:rPr>
        <w:t>s</w:t>
      </w:r>
      <w:r w:rsidR="00F47CD9" w:rsidRPr="009D4ED2">
        <w:rPr>
          <w:rFonts w:ascii="Times New Roman" w:eastAsia="Calibri" w:hAnsi="Times New Roman" w:cs="Times New Roman"/>
          <w:sz w:val="28"/>
          <w:szCs w:val="28"/>
        </w:rPr>
        <w:t xml:space="preserve"> </w:t>
      </w:r>
      <w:r w:rsidRPr="009D4ED2">
        <w:rPr>
          <w:rFonts w:ascii="Times New Roman" w:eastAsia="Calibri" w:hAnsi="Times New Roman" w:cs="Times New Roman"/>
          <w:sz w:val="28"/>
          <w:szCs w:val="28"/>
        </w:rPr>
        <w:t>saņēma 20,</w:t>
      </w:r>
      <w:r w:rsidR="00F70066" w:rsidRPr="009D4ED2">
        <w:rPr>
          <w:rFonts w:ascii="Times New Roman" w:eastAsia="Calibri" w:hAnsi="Times New Roman" w:cs="Times New Roman"/>
          <w:sz w:val="28"/>
          <w:szCs w:val="28"/>
        </w:rPr>
        <w:t>1 </w:t>
      </w:r>
      <w:r w:rsidRPr="009D4ED2">
        <w:rPr>
          <w:rFonts w:ascii="Times New Roman" w:eastAsia="Calibri" w:hAnsi="Times New Roman" w:cs="Times New Roman"/>
          <w:sz w:val="28"/>
          <w:szCs w:val="28"/>
        </w:rPr>
        <w:t>% no būvniecības nozarē nodarbinātajiem darba ņēmējiem, kas ir par 3,9 procentpunktiem</w:t>
      </w:r>
      <w:r w:rsidRPr="00E25833">
        <w:rPr>
          <w:rFonts w:ascii="Times New Roman" w:eastAsia="Calibri" w:hAnsi="Times New Roman" w:cs="Times New Roman"/>
          <w:sz w:val="28"/>
          <w:szCs w:val="28"/>
        </w:rPr>
        <w:t xml:space="preserve"> mazāks nekā </w:t>
      </w:r>
      <w:r w:rsidR="005C545E" w:rsidRPr="00E25833">
        <w:rPr>
          <w:rFonts w:ascii="Times New Roman" w:eastAsia="Calibri" w:hAnsi="Times New Roman" w:cs="Times New Roman"/>
          <w:sz w:val="28"/>
          <w:szCs w:val="28"/>
        </w:rPr>
        <w:t xml:space="preserve">darba ņēmēju īpatsvars </w:t>
      </w:r>
      <w:r w:rsidRPr="00E25833">
        <w:rPr>
          <w:rFonts w:ascii="Times New Roman" w:eastAsia="Calibri" w:hAnsi="Times New Roman" w:cs="Times New Roman"/>
          <w:sz w:val="28"/>
          <w:szCs w:val="28"/>
        </w:rPr>
        <w:t>periodā no 2018.</w:t>
      </w:r>
      <w:r w:rsidR="003F0DE8" w:rsidRPr="004E10CB">
        <w:rPr>
          <w:rFonts w:ascii="Times New Roman" w:eastAsia="Calibri" w:hAnsi="Times New Roman" w:cs="Times New Roman"/>
          <w:sz w:val="28"/>
          <w:szCs w:val="28"/>
        </w:rPr>
        <w:t>gada 1.decembra</w:t>
      </w:r>
      <w:r w:rsidRPr="00E25833">
        <w:rPr>
          <w:rFonts w:ascii="Times New Roman" w:eastAsia="Calibri" w:hAnsi="Times New Roman" w:cs="Times New Roman"/>
          <w:sz w:val="28"/>
          <w:szCs w:val="28"/>
        </w:rPr>
        <w:t xml:space="preserve"> līdz 2019.</w:t>
      </w:r>
      <w:r w:rsidR="003F0DE8">
        <w:rPr>
          <w:rFonts w:ascii="Times New Roman" w:eastAsia="Calibri" w:hAnsi="Times New Roman" w:cs="Times New Roman"/>
          <w:sz w:val="28"/>
          <w:szCs w:val="28"/>
        </w:rPr>
        <w:t>gada</w:t>
      </w:r>
      <w:r w:rsidR="003F0DE8" w:rsidRPr="004E10CB">
        <w:rPr>
          <w:rFonts w:ascii="Times New Roman" w:eastAsia="Calibri" w:hAnsi="Times New Roman" w:cs="Times New Roman"/>
          <w:sz w:val="28"/>
          <w:szCs w:val="28"/>
        </w:rPr>
        <w:t xml:space="preserve"> </w:t>
      </w:r>
      <w:r w:rsidR="003F0DE8">
        <w:rPr>
          <w:rFonts w:ascii="Times New Roman" w:eastAsia="Calibri" w:hAnsi="Times New Roman" w:cs="Times New Roman"/>
          <w:sz w:val="28"/>
          <w:szCs w:val="28"/>
        </w:rPr>
        <w:t>28.februārim</w:t>
      </w:r>
      <w:r w:rsidRPr="00E25833">
        <w:rPr>
          <w:rFonts w:ascii="Times New Roman" w:eastAsia="Calibri" w:hAnsi="Times New Roman" w:cs="Times New Roman"/>
          <w:sz w:val="28"/>
          <w:szCs w:val="28"/>
        </w:rPr>
        <w:t xml:space="preserve"> (24,0 %). </w:t>
      </w:r>
    </w:p>
    <w:p w14:paraId="1C5AA435" w14:textId="5C5A4DDC" w:rsidR="00F940BD" w:rsidRDefault="00F940BD" w:rsidP="00237CD7">
      <w:pPr>
        <w:spacing w:before="0" w:after="0" w:line="240" w:lineRule="auto"/>
        <w:ind w:firstLine="720"/>
        <w:jc w:val="both"/>
        <w:rPr>
          <w:rFonts w:ascii="Times New Roman" w:eastAsia="Calibri" w:hAnsi="Times New Roman" w:cs="Times New Roman"/>
          <w:sz w:val="28"/>
          <w:szCs w:val="28"/>
        </w:rPr>
      </w:pPr>
    </w:p>
    <w:p w14:paraId="0F69CB24" w14:textId="68A2CBDD" w:rsidR="00F940BD" w:rsidRDefault="00F940BD" w:rsidP="00237CD7">
      <w:pPr>
        <w:spacing w:before="0" w:after="0" w:line="240" w:lineRule="auto"/>
        <w:ind w:firstLine="720"/>
        <w:jc w:val="both"/>
        <w:rPr>
          <w:rFonts w:ascii="Times New Roman" w:eastAsia="Calibri" w:hAnsi="Times New Roman" w:cs="Times New Roman"/>
          <w:sz w:val="28"/>
          <w:szCs w:val="28"/>
        </w:rPr>
      </w:pPr>
    </w:p>
    <w:p w14:paraId="4873C86F" w14:textId="1CDD1A6D" w:rsidR="00F940BD" w:rsidRDefault="00F940BD" w:rsidP="00237CD7">
      <w:pPr>
        <w:spacing w:before="0" w:after="0" w:line="240" w:lineRule="auto"/>
        <w:ind w:firstLine="720"/>
        <w:jc w:val="both"/>
        <w:rPr>
          <w:rFonts w:ascii="Times New Roman" w:eastAsia="Calibri" w:hAnsi="Times New Roman" w:cs="Times New Roman"/>
          <w:sz w:val="28"/>
          <w:szCs w:val="28"/>
        </w:rPr>
      </w:pPr>
    </w:p>
    <w:p w14:paraId="694B81BD" w14:textId="10BD2E11" w:rsidR="00F940BD" w:rsidRDefault="00F940BD" w:rsidP="00237CD7">
      <w:pPr>
        <w:spacing w:before="0" w:after="0" w:line="240" w:lineRule="auto"/>
        <w:ind w:firstLine="720"/>
        <w:jc w:val="both"/>
        <w:rPr>
          <w:rFonts w:ascii="Times New Roman" w:eastAsia="Calibri" w:hAnsi="Times New Roman" w:cs="Times New Roman"/>
          <w:sz w:val="28"/>
          <w:szCs w:val="28"/>
        </w:rPr>
      </w:pPr>
    </w:p>
    <w:p w14:paraId="449D0610" w14:textId="56FE5D04" w:rsidR="00F940BD" w:rsidRDefault="00F940BD" w:rsidP="00237CD7">
      <w:pPr>
        <w:spacing w:before="0" w:after="0" w:line="240" w:lineRule="auto"/>
        <w:ind w:firstLine="720"/>
        <w:jc w:val="both"/>
        <w:rPr>
          <w:rFonts w:ascii="Times New Roman" w:eastAsia="Calibri" w:hAnsi="Times New Roman" w:cs="Times New Roman"/>
          <w:sz w:val="28"/>
          <w:szCs w:val="28"/>
        </w:rPr>
      </w:pPr>
    </w:p>
    <w:p w14:paraId="77434E0C" w14:textId="77777777" w:rsidR="00F940BD" w:rsidRPr="00E25833" w:rsidRDefault="00F940BD" w:rsidP="00237CD7">
      <w:pPr>
        <w:spacing w:before="0" w:after="0" w:line="240" w:lineRule="auto"/>
        <w:ind w:firstLine="720"/>
        <w:jc w:val="both"/>
        <w:rPr>
          <w:rFonts w:ascii="Times New Roman" w:eastAsia="Calibri" w:hAnsi="Times New Roman" w:cs="Times New Roman"/>
          <w:sz w:val="28"/>
          <w:szCs w:val="28"/>
        </w:rPr>
      </w:pPr>
    </w:p>
    <w:p w14:paraId="0DA30D84" w14:textId="4F513CA5" w:rsidR="004B5136" w:rsidRPr="00E716F3" w:rsidRDefault="00E716F3" w:rsidP="004B5136">
      <w:pPr>
        <w:spacing w:before="0" w:after="0" w:line="240" w:lineRule="auto"/>
        <w:ind w:firstLine="720"/>
        <w:jc w:val="right"/>
        <w:rPr>
          <w:rFonts w:ascii="Times New Roman" w:eastAsia="Calibri" w:hAnsi="Times New Roman" w:cs="Times New Roman"/>
          <w:sz w:val="28"/>
          <w:szCs w:val="28"/>
        </w:rPr>
      </w:pPr>
      <w:r w:rsidRPr="00E716F3">
        <w:rPr>
          <w:rFonts w:ascii="Times New Roman" w:eastAsia="Calibri" w:hAnsi="Times New Roman" w:cs="Times New Roman"/>
          <w:sz w:val="28"/>
          <w:szCs w:val="28"/>
        </w:rPr>
        <w:t>7</w:t>
      </w:r>
      <w:r w:rsidR="004B5136" w:rsidRPr="00E716F3">
        <w:rPr>
          <w:rFonts w:ascii="Times New Roman" w:eastAsia="Calibri" w:hAnsi="Times New Roman" w:cs="Times New Roman"/>
          <w:sz w:val="28"/>
          <w:szCs w:val="28"/>
        </w:rPr>
        <w:t>.tabula</w:t>
      </w:r>
    </w:p>
    <w:p w14:paraId="434A3E52" w14:textId="77777777" w:rsidR="004B5136" w:rsidRPr="00E25833" w:rsidRDefault="004B5136" w:rsidP="004B5136">
      <w:pPr>
        <w:spacing w:before="0" w:after="0" w:line="240" w:lineRule="auto"/>
        <w:jc w:val="center"/>
        <w:rPr>
          <w:rFonts w:ascii="Times New Roman" w:eastAsia="Calibri" w:hAnsi="Times New Roman" w:cs="Times New Roman"/>
          <w:b/>
          <w:sz w:val="28"/>
          <w:szCs w:val="28"/>
        </w:rPr>
      </w:pPr>
      <w:r w:rsidRPr="00E25833">
        <w:rPr>
          <w:rFonts w:ascii="Times New Roman" w:eastAsia="Calibri" w:hAnsi="Times New Roman" w:cs="Times New Roman"/>
          <w:b/>
          <w:sz w:val="28"/>
          <w:szCs w:val="28"/>
        </w:rPr>
        <w:t>Darba ņēmēju (pie vispārējā nodokļu maksāšanas režīmā strādājošiem darba devējiem) sadalījums pēc bruto darba ienākumu apmēra būvniecības nozarē</w:t>
      </w:r>
      <w:r w:rsidRPr="00E25833">
        <w:rPr>
          <w:rFonts w:ascii="Times New Roman" w:eastAsia="Calibri" w:hAnsi="Times New Roman" w:cs="Times New Roman"/>
          <w:b/>
          <w:sz w:val="28"/>
          <w:szCs w:val="28"/>
          <w:vertAlign w:val="superscript"/>
        </w:rPr>
        <w:footnoteReference w:id="11"/>
      </w:r>
    </w:p>
    <w:p w14:paraId="1245A091" w14:textId="77777777" w:rsidR="004B5136" w:rsidRPr="00E25833" w:rsidRDefault="004B5136" w:rsidP="004B5136">
      <w:pPr>
        <w:spacing w:before="0" w:after="0" w:line="240" w:lineRule="auto"/>
        <w:rPr>
          <w:rFonts w:ascii="Times New Roman" w:eastAsia="Calibri" w:hAnsi="Times New Roman" w:cs="Times New Roman"/>
        </w:rPr>
      </w:pPr>
      <w:r w:rsidRPr="00E25833">
        <w:rPr>
          <w:rFonts w:ascii="Times New Roman" w:eastAsia="Calibri" w:hAnsi="Times New Roman" w:cs="Times New Roman"/>
        </w:rPr>
        <w:t>Dati uz 2020.gada 24.aprīli</w:t>
      </w:r>
    </w:p>
    <w:tbl>
      <w:tblPr>
        <w:tblW w:w="8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081"/>
        <w:gridCol w:w="1187"/>
        <w:gridCol w:w="1166"/>
        <w:gridCol w:w="1187"/>
        <w:gridCol w:w="1187"/>
        <w:gridCol w:w="1192"/>
      </w:tblGrid>
      <w:tr w:rsidR="004B5136" w:rsidRPr="00217405" w14:paraId="6AB06B35" w14:textId="77777777" w:rsidTr="004B5136">
        <w:trPr>
          <w:trHeight w:val="190"/>
          <w:jc w:val="center"/>
        </w:trPr>
        <w:tc>
          <w:tcPr>
            <w:tcW w:w="1315" w:type="dxa"/>
            <w:vMerge w:val="restart"/>
            <w:shd w:val="clear" w:color="auto" w:fill="auto"/>
            <w:vAlign w:val="center"/>
            <w:hideMark/>
          </w:tcPr>
          <w:p w14:paraId="142D86D0" w14:textId="77777777" w:rsidR="004B5136" w:rsidRPr="00217405" w:rsidRDefault="004B5136" w:rsidP="004B5136">
            <w:pPr>
              <w:spacing w:before="0" w:after="0" w:line="240" w:lineRule="auto"/>
              <w:jc w:val="center"/>
              <w:rPr>
                <w:rFonts w:ascii="Times New Roman" w:eastAsia="Times New Roman" w:hAnsi="Times New Roman" w:cs="Times New Roman"/>
                <w:b/>
                <w:bCs/>
                <w:color w:val="000000"/>
                <w:lang w:eastAsia="lv-LV"/>
              </w:rPr>
            </w:pPr>
            <w:r w:rsidRPr="00217405">
              <w:rPr>
                <w:rFonts w:ascii="Times New Roman" w:eastAsia="Times New Roman" w:hAnsi="Times New Roman" w:cs="Times New Roman"/>
                <w:b/>
                <w:bCs/>
                <w:color w:val="000000"/>
                <w:lang w:eastAsia="lv-LV"/>
              </w:rPr>
              <w:t>Periods</w:t>
            </w:r>
          </w:p>
        </w:tc>
        <w:tc>
          <w:tcPr>
            <w:tcW w:w="7000" w:type="dxa"/>
            <w:gridSpan w:val="6"/>
            <w:shd w:val="clear" w:color="auto" w:fill="auto"/>
            <w:noWrap/>
            <w:vAlign w:val="center"/>
            <w:hideMark/>
          </w:tcPr>
          <w:p w14:paraId="31998C84" w14:textId="77777777" w:rsidR="004B5136" w:rsidRPr="00217405" w:rsidRDefault="004B5136" w:rsidP="004B5136">
            <w:pPr>
              <w:spacing w:before="0" w:after="0" w:line="240" w:lineRule="auto"/>
              <w:jc w:val="center"/>
              <w:rPr>
                <w:rFonts w:ascii="Times New Roman" w:eastAsia="Times New Roman" w:hAnsi="Times New Roman" w:cs="Times New Roman"/>
                <w:b/>
                <w:bCs/>
                <w:color w:val="000000"/>
                <w:lang w:eastAsia="lv-LV"/>
              </w:rPr>
            </w:pPr>
            <w:r w:rsidRPr="00217405">
              <w:rPr>
                <w:rFonts w:ascii="Times New Roman" w:eastAsia="Times New Roman" w:hAnsi="Times New Roman" w:cs="Times New Roman"/>
                <w:b/>
                <w:bCs/>
                <w:color w:val="000000"/>
                <w:lang w:eastAsia="lv-LV"/>
              </w:rPr>
              <w:t>Darba ņēmēju darba ienākumu apmērs</w:t>
            </w:r>
          </w:p>
        </w:tc>
      </w:tr>
      <w:tr w:rsidR="004B5136" w:rsidRPr="00217405" w14:paraId="044E5F04" w14:textId="77777777" w:rsidTr="004B5136">
        <w:trPr>
          <w:trHeight w:val="943"/>
          <w:jc w:val="center"/>
        </w:trPr>
        <w:tc>
          <w:tcPr>
            <w:tcW w:w="1315" w:type="dxa"/>
            <w:vMerge/>
            <w:vAlign w:val="center"/>
            <w:hideMark/>
          </w:tcPr>
          <w:p w14:paraId="0D0DC67F" w14:textId="77777777" w:rsidR="004B5136" w:rsidRPr="00217405" w:rsidRDefault="004B5136" w:rsidP="004B5136">
            <w:pPr>
              <w:spacing w:before="0" w:after="0" w:line="240" w:lineRule="auto"/>
              <w:rPr>
                <w:rFonts w:ascii="Times New Roman" w:eastAsia="Times New Roman" w:hAnsi="Times New Roman" w:cs="Times New Roman"/>
                <w:b/>
                <w:bCs/>
                <w:color w:val="000000"/>
                <w:lang w:eastAsia="lv-LV"/>
              </w:rPr>
            </w:pPr>
          </w:p>
        </w:tc>
        <w:tc>
          <w:tcPr>
            <w:tcW w:w="1081" w:type="dxa"/>
            <w:shd w:val="clear" w:color="auto" w:fill="auto"/>
            <w:vAlign w:val="center"/>
            <w:hideMark/>
          </w:tcPr>
          <w:p w14:paraId="64849B60" w14:textId="77777777" w:rsidR="004B5136" w:rsidRPr="00217405"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217405">
              <w:rPr>
                <w:rFonts w:ascii="Times New Roman" w:eastAsia="Times New Roman" w:hAnsi="Times New Roman" w:cs="Times New Roman"/>
                <w:b/>
                <w:bCs/>
                <w:color w:val="000000"/>
                <w:sz w:val="16"/>
                <w:szCs w:val="16"/>
                <w:lang w:eastAsia="lv-LV"/>
              </w:rPr>
              <w:t>0 </w:t>
            </w:r>
            <w:proofErr w:type="spellStart"/>
            <w:r w:rsidR="001155D8" w:rsidRPr="00E734B0">
              <w:rPr>
                <w:rFonts w:ascii="Times New Roman" w:eastAsia="Times New Roman" w:hAnsi="Times New Roman" w:cs="Times New Roman"/>
                <w:b/>
                <w:bCs/>
                <w:i/>
                <w:iCs/>
                <w:color w:val="000000"/>
                <w:sz w:val="16"/>
                <w:szCs w:val="16"/>
                <w:lang w:eastAsia="lv-LV"/>
              </w:rPr>
              <w:t>euro</w:t>
            </w:r>
            <w:proofErr w:type="spellEnd"/>
          </w:p>
        </w:tc>
        <w:tc>
          <w:tcPr>
            <w:tcW w:w="1187" w:type="dxa"/>
            <w:shd w:val="clear" w:color="auto" w:fill="auto"/>
            <w:vAlign w:val="center"/>
            <w:hideMark/>
          </w:tcPr>
          <w:p w14:paraId="4E499647" w14:textId="77777777" w:rsidR="004B5136" w:rsidRPr="00217405"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217405">
              <w:rPr>
                <w:rFonts w:ascii="Times New Roman" w:eastAsia="Times New Roman" w:hAnsi="Times New Roman" w:cs="Times New Roman"/>
                <w:b/>
                <w:bCs/>
                <w:color w:val="000000"/>
                <w:sz w:val="16"/>
                <w:szCs w:val="16"/>
                <w:lang w:eastAsia="lv-LV"/>
              </w:rPr>
              <w:t>mazāks par valstī noteikto minimālo darba algu</w:t>
            </w:r>
          </w:p>
        </w:tc>
        <w:tc>
          <w:tcPr>
            <w:tcW w:w="1166" w:type="dxa"/>
            <w:shd w:val="clear" w:color="auto" w:fill="auto"/>
            <w:vAlign w:val="center"/>
            <w:hideMark/>
          </w:tcPr>
          <w:p w14:paraId="78170AEA" w14:textId="77777777" w:rsidR="004B5136" w:rsidRPr="00217405"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217405">
              <w:rPr>
                <w:rFonts w:ascii="Times New Roman" w:eastAsia="Times New Roman" w:hAnsi="Times New Roman" w:cs="Times New Roman"/>
                <w:b/>
                <w:bCs/>
                <w:color w:val="000000"/>
                <w:sz w:val="16"/>
                <w:szCs w:val="16"/>
                <w:lang w:eastAsia="lv-LV"/>
              </w:rPr>
              <w:t>vienāds ar valstī noteikto minimālo</w:t>
            </w:r>
            <w:r w:rsidRPr="00217405">
              <w:rPr>
                <w:rFonts w:ascii="Times New Roman" w:eastAsia="Times New Roman" w:hAnsi="Times New Roman" w:cs="Times New Roman"/>
                <w:b/>
                <w:bCs/>
                <w:color w:val="000000"/>
                <w:sz w:val="16"/>
                <w:szCs w:val="16"/>
                <w:vertAlign w:val="superscript"/>
                <w:lang w:eastAsia="lv-LV"/>
              </w:rPr>
              <w:footnoteReference w:id="12"/>
            </w:r>
            <w:r w:rsidRPr="00217405">
              <w:rPr>
                <w:rFonts w:ascii="Times New Roman" w:eastAsia="Times New Roman" w:hAnsi="Times New Roman" w:cs="Times New Roman"/>
                <w:b/>
                <w:bCs/>
                <w:color w:val="000000"/>
                <w:sz w:val="16"/>
                <w:szCs w:val="16"/>
                <w:lang w:eastAsia="lv-LV"/>
              </w:rPr>
              <w:t xml:space="preserve">  darba alga</w:t>
            </w:r>
          </w:p>
        </w:tc>
        <w:tc>
          <w:tcPr>
            <w:tcW w:w="1187" w:type="dxa"/>
            <w:shd w:val="clear" w:color="auto" w:fill="auto"/>
            <w:vAlign w:val="center"/>
            <w:hideMark/>
          </w:tcPr>
          <w:p w14:paraId="270AAD25" w14:textId="77777777" w:rsidR="004B5136" w:rsidRPr="00217405"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217405">
              <w:rPr>
                <w:rFonts w:ascii="Times New Roman" w:eastAsia="Times New Roman" w:hAnsi="Times New Roman" w:cs="Times New Roman"/>
                <w:b/>
                <w:bCs/>
                <w:color w:val="000000"/>
                <w:sz w:val="16"/>
                <w:szCs w:val="16"/>
                <w:lang w:eastAsia="lv-LV"/>
              </w:rPr>
              <w:t xml:space="preserve">no valstī noteiktās minimālās darba algas  līdz 700  </w:t>
            </w:r>
            <w:proofErr w:type="spellStart"/>
            <w:r w:rsidR="001155D8" w:rsidRPr="00E734B0">
              <w:rPr>
                <w:rFonts w:ascii="Times New Roman" w:eastAsia="Times New Roman" w:hAnsi="Times New Roman" w:cs="Times New Roman"/>
                <w:b/>
                <w:bCs/>
                <w:i/>
                <w:iCs/>
                <w:color w:val="000000"/>
                <w:sz w:val="16"/>
                <w:szCs w:val="16"/>
                <w:lang w:eastAsia="lv-LV"/>
              </w:rPr>
              <w:t>euro</w:t>
            </w:r>
            <w:proofErr w:type="spellEnd"/>
          </w:p>
        </w:tc>
        <w:tc>
          <w:tcPr>
            <w:tcW w:w="1187" w:type="dxa"/>
            <w:shd w:val="clear" w:color="auto" w:fill="auto"/>
            <w:vAlign w:val="center"/>
            <w:hideMark/>
          </w:tcPr>
          <w:p w14:paraId="5FA11AEA" w14:textId="77777777" w:rsidR="004B5136" w:rsidRPr="00217405"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217405">
              <w:rPr>
                <w:rFonts w:ascii="Times New Roman" w:eastAsia="Times New Roman" w:hAnsi="Times New Roman" w:cs="Times New Roman"/>
                <w:b/>
                <w:bCs/>
                <w:color w:val="000000"/>
                <w:sz w:val="16"/>
                <w:szCs w:val="16"/>
                <w:lang w:eastAsia="lv-LV"/>
              </w:rPr>
              <w:t>no 700 </w:t>
            </w:r>
            <w:proofErr w:type="spellStart"/>
            <w:r w:rsidR="001155D8" w:rsidRPr="00E734B0">
              <w:rPr>
                <w:rFonts w:ascii="Times New Roman" w:eastAsia="Times New Roman" w:hAnsi="Times New Roman" w:cs="Times New Roman"/>
                <w:b/>
                <w:bCs/>
                <w:i/>
                <w:iCs/>
                <w:color w:val="000000"/>
                <w:sz w:val="16"/>
                <w:szCs w:val="16"/>
                <w:lang w:eastAsia="lv-LV"/>
              </w:rPr>
              <w:t>euro</w:t>
            </w:r>
            <w:proofErr w:type="spellEnd"/>
            <w:r w:rsidR="001155D8">
              <w:rPr>
                <w:rFonts w:ascii="Times New Roman" w:eastAsia="Times New Roman" w:hAnsi="Times New Roman" w:cs="Times New Roman"/>
                <w:b/>
                <w:bCs/>
                <w:color w:val="000000"/>
                <w:sz w:val="16"/>
                <w:szCs w:val="16"/>
                <w:lang w:eastAsia="lv-LV"/>
              </w:rPr>
              <w:t xml:space="preserve"> </w:t>
            </w:r>
            <w:r w:rsidRPr="00217405">
              <w:rPr>
                <w:rFonts w:ascii="Times New Roman" w:eastAsia="Times New Roman" w:hAnsi="Times New Roman" w:cs="Times New Roman"/>
                <w:b/>
                <w:bCs/>
                <w:color w:val="000000"/>
                <w:sz w:val="16"/>
                <w:szCs w:val="16"/>
                <w:lang w:eastAsia="lv-LV"/>
              </w:rPr>
              <w:t>līdz 1400 </w:t>
            </w:r>
            <w:proofErr w:type="spellStart"/>
            <w:r w:rsidR="001155D8" w:rsidRPr="00E734B0">
              <w:rPr>
                <w:rFonts w:ascii="Times New Roman" w:eastAsia="Times New Roman" w:hAnsi="Times New Roman" w:cs="Times New Roman"/>
                <w:b/>
                <w:bCs/>
                <w:i/>
                <w:iCs/>
                <w:color w:val="000000"/>
                <w:sz w:val="16"/>
                <w:szCs w:val="16"/>
                <w:lang w:eastAsia="lv-LV"/>
              </w:rPr>
              <w:t>euro</w:t>
            </w:r>
            <w:proofErr w:type="spellEnd"/>
          </w:p>
        </w:tc>
        <w:tc>
          <w:tcPr>
            <w:tcW w:w="1187" w:type="dxa"/>
            <w:shd w:val="clear" w:color="auto" w:fill="auto"/>
            <w:vAlign w:val="center"/>
            <w:hideMark/>
          </w:tcPr>
          <w:p w14:paraId="42925EDF" w14:textId="77777777" w:rsidR="004B5136" w:rsidRPr="00217405" w:rsidRDefault="00DE0D7B" w:rsidP="004B5136">
            <w:pPr>
              <w:spacing w:before="0"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v</w:t>
            </w:r>
            <w:r w:rsidR="004B5136" w:rsidRPr="00217405">
              <w:rPr>
                <w:rFonts w:ascii="Times New Roman" w:eastAsia="Times New Roman" w:hAnsi="Times New Roman" w:cs="Times New Roman"/>
                <w:b/>
                <w:bCs/>
                <w:color w:val="000000"/>
                <w:sz w:val="16"/>
                <w:szCs w:val="16"/>
                <w:lang w:eastAsia="lv-LV"/>
              </w:rPr>
              <w:t>irs 1400 </w:t>
            </w:r>
            <w:proofErr w:type="spellStart"/>
            <w:r w:rsidR="001155D8" w:rsidRPr="00E734B0">
              <w:rPr>
                <w:rFonts w:ascii="Times New Roman" w:eastAsia="Times New Roman" w:hAnsi="Times New Roman" w:cs="Times New Roman"/>
                <w:b/>
                <w:bCs/>
                <w:i/>
                <w:iCs/>
                <w:color w:val="000000"/>
                <w:sz w:val="16"/>
                <w:szCs w:val="16"/>
                <w:lang w:eastAsia="lv-LV"/>
              </w:rPr>
              <w:t>euro</w:t>
            </w:r>
            <w:proofErr w:type="spellEnd"/>
          </w:p>
        </w:tc>
      </w:tr>
      <w:tr w:rsidR="004B5136" w:rsidRPr="00E25833" w14:paraId="534463AC" w14:textId="77777777" w:rsidTr="004B5136">
        <w:trPr>
          <w:trHeight w:val="381"/>
          <w:jc w:val="center"/>
        </w:trPr>
        <w:tc>
          <w:tcPr>
            <w:tcW w:w="1315" w:type="dxa"/>
            <w:shd w:val="clear" w:color="auto" w:fill="auto"/>
            <w:vAlign w:val="center"/>
            <w:hideMark/>
          </w:tcPr>
          <w:p w14:paraId="4D9FD34D" w14:textId="77777777" w:rsidR="004B5136" w:rsidRPr="00217405" w:rsidRDefault="004B5136" w:rsidP="004B5136">
            <w:pPr>
              <w:spacing w:before="0" w:after="0" w:line="240" w:lineRule="auto"/>
              <w:jc w:val="center"/>
              <w:rPr>
                <w:rFonts w:ascii="Times New Roman" w:eastAsia="Times New Roman" w:hAnsi="Times New Roman" w:cs="Times New Roman"/>
                <w:b/>
                <w:bCs/>
                <w:color w:val="000000"/>
                <w:lang w:eastAsia="lv-LV"/>
              </w:rPr>
            </w:pPr>
            <w:r w:rsidRPr="00217405">
              <w:rPr>
                <w:rFonts w:ascii="Times New Roman" w:eastAsia="Times New Roman" w:hAnsi="Times New Roman" w:cs="Times New Roman"/>
                <w:b/>
                <w:bCs/>
                <w:color w:val="000000"/>
                <w:lang w:eastAsia="lv-LV"/>
              </w:rPr>
              <w:t>01.12.2017.</w:t>
            </w:r>
            <w:r w:rsidR="00DE0D7B">
              <w:rPr>
                <w:rFonts w:ascii="Times New Roman" w:eastAsia="Times New Roman" w:hAnsi="Times New Roman" w:cs="Times New Roman"/>
                <w:b/>
                <w:bCs/>
                <w:color w:val="000000"/>
                <w:lang w:eastAsia="lv-LV"/>
              </w:rPr>
              <w:t>–</w:t>
            </w:r>
            <w:r w:rsidRPr="00217405">
              <w:rPr>
                <w:rFonts w:ascii="Times New Roman" w:eastAsia="Times New Roman" w:hAnsi="Times New Roman" w:cs="Times New Roman"/>
                <w:b/>
                <w:bCs/>
                <w:color w:val="000000"/>
                <w:lang w:eastAsia="lv-LV"/>
              </w:rPr>
              <w:t>28.02.2018</w:t>
            </w:r>
            <w:r w:rsidR="00DE0D7B">
              <w:rPr>
                <w:rFonts w:ascii="Times New Roman" w:eastAsia="Times New Roman" w:hAnsi="Times New Roman" w:cs="Times New Roman"/>
                <w:b/>
                <w:bCs/>
                <w:color w:val="000000"/>
                <w:lang w:eastAsia="lv-LV"/>
              </w:rPr>
              <w:t>.</w:t>
            </w:r>
          </w:p>
        </w:tc>
        <w:tc>
          <w:tcPr>
            <w:tcW w:w="1081" w:type="dxa"/>
            <w:shd w:val="clear" w:color="auto" w:fill="auto"/>
            <w:vAlign w:val="center"/>
            <w:hideMark/>
          </w:tcPr>
          <w:p w14:paraId="077A0951" w14:textId="77777777" w:rsidR="004B5136" w:rsidRPr="00217405" w:rsidRDefault="004B5136" w:rsidP="004B5136">
            <w:pPr>
              <w:spacing w:before="0" w:after="0" w:line="240" w:lineRule="auto"/>
              <w:jc w:val="center"/>
              <w:rPr>
                <w:rFonts w:ascii="Times New Roman" w:eastAsia="Times New Roman" w:hAnsi="Times New Roman" w:cs="Times New Roman"/>
                <w:color w:val="000000"/>
                <w:lang w:eastAsia="lv-LV"/>
              </w:rPr>
            </w:pPr>
            <w:r w:rsidRPr="00217405">
              <w:rPr>
                <w:rFonts w:ascii="Times New Roman" w:eastAsia="Times New Roman" w:hAnsi="Times New Roman" w:cs="Times New Roman"/>
                <w:color w:val="000000"/>
                <w:lang w:eastAsia="lv-LV"/>
              </w:rPr>
              <w:t>11,3</w:t>
            </w:r>
            <w:r w:rsidR="00DE0D7B">
              <w:rPr>
                <w:rFonts w:ascii="Times New Roman" w:eastAsia="Times New Roman" w:hAnsi="Times New Roman" w:cs="Times New Roman"/>
                <w:color w:val="000000"/>
                <w:lang w:eastAsia="lv-LV"/>
              </w:rPr>
              <w:t> </w:t>
            </w:r>
            <w:r w:rsidRPr="00217405">
              <w:rPr>
                <w:rFonts w:ascii="Times New Roman" w:eastAsia="Times New Roman" w:hAnsi="Times New Roman" w:cs="Times New Roman"/>
                <w:color w:val="000000"/>
                <w:lang w:eastAsia="lv-LV"/>
              </w:rPr>
              <w:t>%</w:t>
            </w:r>
          </w:p>
        </w:tc>
        <w:tc>
          <w:tcPr>
            <w:tcW w:w="1187" w:type="dxa"/>
            <w:shd w:val="clear" w:color="auto" w:fill="auto"/>
            <w:vAlign w:val="center"/>
            <w:hideMark/>
          </w:tcPr>
          <w:p w14:paraId="6FC421D1" w14:textId="77777777" w:rsidR="004B5136" w:rsidRPr="00217405" w:rsidRDefault="004B5136" w:rsidP="004B5136">
            <w:pPr>
              <w:spacing w:before="0" w:after="0" w:line="240" w:lineRule="auto"/>
              <w:jc w:val="center"/>
              <w:rPr>
                <w:rFonts w:ascii="Times New Roman" w:eastAsia="Times New Roman" w:hAnsi="Times New Roman" w:cs="Times New Roman"/>
                <w:color w:val="000000"/>
                <w:lang w:eastAsia="lv-LV"/>
              </w:rPr>
            </w:pPr>
            <w:r w:rsidRPr="00217405">
              <w:rPr>
                <w:rFonts w:ascii="Times New Roman" w:eastAsia="Times New Roman" w:hAnsi="Times New Roman" w:cs="Times New Roman"/>
                <w:color w:val="000000"/>
                <w:lang w:eastAsia="lv-LV"/>
              </w:rPr>
              <w:t>23,0</w:t>
            </w:r>
            <w:r w:rsidR="00DE0D7B">
              <w:rPr>
                <w:rFonts w:ascii="Times New Roman" w:eastAsia="Times New Roman" w:hAnsi="Times New Roman" w:cs="Times New Roman"/>
                <w:color w:val="000000"/>
                <w:lang w:eastAsia="lv-LV"/>
              </w:rPr>
              <w:t> </w:t>
            </w:r>
            <w:r w:rsidRPr="00217405">
              <w:rPr>
                <w:rFonts w:ascii="Times New Roman" w:eastAsia="Times New Roman" w:hAnsi="Times New Roman" w:cs="Times New Roman"/>
                <w:color w:val="000000"/>
                <w:lang w:eastAsia="lv-LV"/>
              </w:rPr>
              <w:t>%</w:t>
            </w:r>
          </w:p>
        </w:tc>
        <w:tc>
          <w:tcPr>
            <w:tcW w:w="1166" w:type="dxa"/>
            <w:shd w:val="clear" w:color="auto" w:fill="auto"/>
            <w:vAlign w:val="center"/>
            <w:hideMark/>
          </w:tcPr>
          <w:p w14:paraId="5252545F" w14:textId="77777777" w:rsidR="004B5136" w:rsidRPr="00217405" w:rsidRDefault="004B5136" w:rsidP="004B5136">
            <w:pPr>
              <w:spacing w:before="0" w:after="0" w:line="240" w:lineRule="auto"/>
              <w:jc w:val="center"/>
              <w:rPr>
                <w:rFonts w:ascii="Times New Roman" w:eastAsia="Times New Roman" w:hAnsi="Times New Roman" w:cs="Times New Roman"/>
                <w:color w:val="000000"/>
                <w:lang w:eastAsia="lv-LV"/>
              </w:rPr>
            </w:pPr>
            <w:r w:rsidRPr="00217405">
              <w:rPr>
                <w:rFonts w:ascii="Times New Roman" w:eastAsia="Times New Roman" w:hAnsi="Times New Roman" w:cs="Times New Roman"/>
                <w:color w:val="000000"/>
                <w:lang w:eastAsia="lv-LV"/>
              </w:rPr>
              <w:t>3,1</w:t>
            </w:r>
            <w:r w:rsidR="00DE0D7B">
              <w:rPr>
                <w:rFonts w:ascii="Times New Roman" w:eastAsia="Times New Roman" w:hAnsi="Times New Roman" w:cs="Times New Roman"/>
                <w:color w:val="000000"/>
                <w:lang w:eastAsia="lv-LV"/>
              </w:rPr>
              <w:t> </w:t>
            </w:r>
            <w:r w:rsidRPr="00217405">
              <w:rPr>
                <w:rFonts w:ascii="Times New Roman" w:eastAsia="Times New Roman" w:hAnsi="Times New Roman" w:cs="Times New Roman"/>
                <w:color w:val="000000"/>
                <w:lang w:eastAsia="lv-LV"/>
              </w:rPr>
              <w:t>%</w:t>
            </w:r>
          </w:p>
        </w:tc>
        <w:tc>
          <w:tcPr>
            <w:tcW w:w="1187" w:type="dxa"/>
            <w:shd w:val="clear" w:color="auto" w:fill="auto"/>
            <w:vAlign w:val="center"/>
            <w:hideMark/>
          </w:tcPr>
          <w:p w14:paraId="3B7BADAF" w14:textId="77777777" w:rsidR="004B5136" w:rsidRPr="00217405" w:rsidRDefault="004B5136" w:rsidP="004B5136">
            <w:pPr>
              <w:spacing w:before="0" w:after="0" w:line="240" w:lineRule="auto"/>
              <w:jc w:val="center"/>
              <w:rPr>
                <w:rFonts w:ascii="Times New Roman" w:eastAsia="Times New Roman" w:hAnsi="Times New Roman" w:cs="Times New Roman"/>
                <w:color w:val="000000"/>
                <w:lang w:eastAsia="lv-LV"/>
              </w:rPr>
            </w:pPr>
            <w:r w:rsidRPr="00217405">
              <w:rPr>
                <w:rFonts w:ascii="Times New Roman" w:eastAsia="Times New Roman" w:hAnsi="Times New Roman" w:cs="Times New Roman"/>
                <w:color w:val="000000"/>
                <w:lang w:eastAsia="lv-LV"/>
              </w:rPr>
              <w:t>24,0</w:t>
            </w:r>
            <w:r w:rsidR="00DE0D7B">
              <w:rPr>
                <w:rFonts w:ascii="Times New Roman" w:eastAsia="Times New Roman" w:hAnsi="Times New Roman" w:cs="Times New Roman"/>
                <w:color w:val="000000"/>
                <w:lang w:eastAsia="lv-LV"/>
              </w:rPr>
              <w:t> </w:t>
            </w:r>
            <w:r w:rsidRPr="00217405">
              <w:rPr>
                <w:rFonts w:ascii="Times New Roman" w:eastAsia="Times New Roman" w:hAnsi="Times New Roman" w:cs="Times New Roman"/>
                <w:color w:val="000000"/>
                <w:lang w:eastAsia="lv-LV"/>
              </w:rPr>
              <w:t>%</w:t>
            </w:r>
          </w:p>
        </w:tc>
        <w:tc>
          <w:tcPr>
            <w:tcW w:w="1187" w:type="dxa"/>
            <w:shd w:val="clear" w:color="auto" w:fill="auto"/>
            <w:vAlign w:val="center"/>
            <w:hideMark/>
          </w:tcPr>
          <w:p w14:paraId="12C2DF01" w14:textId="77777777" w:rsidR="004B5136" w:rsidRPr="00217405" w:rsidRDefault="004B5136" w:rsidP="004B5136">
            <w:pPr>
              <w:spacing w:before="0" w:after="0" w:line="240" w:lineRule="auto"/>
              <w:jc w:val="center"/>
              <w:rPr>
                <w:rFonts w:ascii="Times New Roman" w:eastAsia="Times New Roman" w:hAnsi="Times New Roman" w:cs="Times New Roman"/>
                <w:color w:val="000000"/>
                <w:lang w:eastAsia="lv-LV"/>
              </w:rPr>
            </w:pPr>
            <w:r w:rsidRPr="00217405">
              <w:rPr>
                <w:rFonts w:ascii="Times New Roman" w:eastAsia="Times New Roman" w:hAnsi="Times New Roman" w:cs="Times New Roman"/>
                <w:color w:val="000000"/>
                <w:lang w:eastAsia="lv-LV"/>
              </w:rPr>
              <w:t>27,2</w:t>
            </w:r>
            <w:r w:rsidR="00DE0D7B">
              <w:rPr>
                <w:rFonts w:ascii="Times New Roman" w:eastAsia="Times New Roman" w:hAnsi="Times New Roman" w:cs="Times New Roman"/>
                <w:color w:val="000000"/>
                <w:lang w:eastAsia="lv-LV"/>
              </w:rPr>
              <w:t> </w:t>
            </w:r>
            <w:r w:rsidRPr="00217405">
              <w:rPr>
                <w:rFonts w:ascii="Times New Roman" w:eastAsia="Times New Roman" w:hAnsi="Times New Roman" w:cs="Times New Roman"/>
                <w:color w:val="000000"/>
                <w:lang w:eastAsia="lv-LV"/>
              </w:rPr>
              <w:t>%</w:t>
            </w:r>
          </w:p>
        </w:tc>
        <w:tc>
          <w:tcPr>
            <w:tcW w:w="1187" w:type="dxa"/>
            <w:shd w:val="clear" w:color="auto" w:fill="auto"/>
            <w:vAlign w:val="center"/>
            <w:hideMark/>
          </w:tcPr>
          <w:p w14:paraId="58F1E754" w14:textId="77777777" w:rsidR="004B5136" w:rsidRPr="00E25833" w:rsidRDefault="004B5136" w:rsidP="004B5136">
            <w:pPr>
              <w:spacing w:before="0" w:after="0" w:line="240" w:lineRule="auto"/>
              <w:jc w:val="center"/>
              <w:rPr>
                <w:rFonts w:ascii="Times New Roman" w:eastAsia="Times New Roman" w:hAnsi="Times New Roman" w:cs="Times New Roman"/>
                <w:color w:val="000000"/>
                <w:lang w:eastAsia="lv-LV"/>
              </w:rPr>
            </w:pPr>
            <w:r w:rsidRPr="00217405">
              <w:rPr>
                <w:rFonts w:ascii="Times New Roman" w:eastAsia="Times New Roman" w:hAnsi="Times New Roman" w:cs="Times New Roman"/>
                <w:color w:val="000000"/>
                <w:lang w:eastAsia="lv-LV"/>
              </w:rPr>
              <w:t>11,4</w:t>
            </w:r>
            <w:r w:rsidR="00DE0D7B">
              <w:rPr>
                <w:rFonts w:ascii="Times New Roman" w:eastAsia="Times New Roman" w:hAnsi="Times New Roman" w:cs="Times New Roman"/>
                <w:color w:val="000000"/>
                <w:lang w:eastAsia="lv-LV"/>
              </w:rPr>
              <w:t> </w:t>
            </w:r>
            <w:r w:rsidRPr="00217405">
              <w:rPr>
                <w:rFonts w:ascii="Times New Roman" w:eastAsia="Times New Roman" w:hAnsi="Times New Roman" w:cs="Times New Roman"/>
                <w:color w:val="000000"/>
                <w:lang w:eastAsia="lv-LV"/>
              </w:rPr>
              <w:t>%</w:t>
            </w:r>
          </w:p>
        </w:tc>
      </w:tr>
      <w:tr w:rsidR="004B5136" w:rsidRPr="00E25833" w14:paraId="43E9EAA5" w14:textId="77777777" w:rsidTr="004B5136">
        <w:trPr>
          <w:trHeight w:val="381"/>
          <w:jc w:val="center"/>
        </w:trPr>
        <w:tc>
          <w:tcPr>
            <w:tcW w:w="1315" w:type="dxa"/>
            <w:shd w:val="clear" w:color="auto" w:fill="auto"/>
            <w:vAlign w:val="center"/>
            <w:hideMark/>
          </w:tcPr>
          <w:p w14:paraId="01B09561"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lang w:eastAsia="lv-LV"/>
              </w:rPr>
            </w:pPr>
            <w:r w:rsidRPr="00E25833">
              <w:rPr>
                <w:rFonts w:ascii="Times New Roman" w:eastAsia="Times New Roman" w:hAnsi="Times New Roman" w:cs="Times New Roman"/>
                <w:b/>
                <w:bCs/>
                <w:color w:val="000000"/>
                <w:lang w:eastAsia="lv-LV"/>
              </w:rPr>
              <w:t>01.12.2018.</w:t>
            </w:r>
            <w:r w:rsidR="00DE0D7B">
              <w:rPr>
                <w:rFonts w:ascii="Times New Roman" w:eastAsia="Times New Roman" w:hAnsi="Times New Roman" w:cs="Times New Roman"/>
                <w:b/>
                <w:bCs/>
                <w:color w:val="000000"/>
                <w:lang w:eastAsia="lv-LV"/>
              </w:rPr>
              <w:t>–</w:t>
            </w:r>
            <w:r w:rsidRPr="00E25833">
              <w:rPr>
                <w:rFonts w:ascii="Times New Roman" w:eastAsia="Times New Roman" w:hAnsi="Times New Roman" w:cs="Times New Roman"/>
                <w:b/>
                <w:bCs/>
                <w:color w:val="000000"/>
                <w:lang w:eastAsia="lv-LV"/>
              </w:rPr>
              <w:t>28.02.2019</w:t>
            </w:r>
            <w:r w:rsidR="00DE0D7B">
              <w:rPr>
                <w:rFonts w:ascii="Times New Roman" w:eastAsia="Times New Roman" w:hAnsi="Times New Roman" w:cs="Times New Roman"/>
                <w:b/>
                <w:bCs/>
                <w:color w:val="000000"/>
                <w:lang w:eastAsia="lv-LV"/>
              </w:rPr>
              <w:t>.</w:t>
            </w:r>
          </w:p>
        </w:tc>
        <w:tc>
          <w:tcPr>
            <w:tcW w:w="1081" w:type="dxa"/>
            <w:shd w:val="clear" w:color="auto" w:fill="auto"/>
            <w:vAlign w:val="center"/>
            <w:hideMark/>
          </w:tcPr>
          <w:p w14:paraId="6E5F602F" w14:textId="77777777" w:rsidR="004B5136" w:rsidRPr="00E25833" w:rsidRDefault="004B5136" w:rsidP="004B5136">
            <w:pPr>
              <w:spacing w:before="0" w:after="0" w:line="240" w:lineRule="auto"/>
              <w:jc w:val="center"/>
              <w:rPr>
                <w:rFonts w:ascii="Times New Roman" w:eastAsia="Times New Roman" w:hAnsi="Times New Roman" w:cs="Times New Roman"/>
                <w:color w:val="000000"/>
                <w:lang w:eastAsia="lv-LV"/>
              </w:rPr>
            </w:pPr>
            <w:r w:rsidRPr="00E25833">
              <w:rPr>
                <w:rFonts w:ascii="Times New Roman" w:eastAsia="Times New Roman" w:hAnsi="Times New Roman" w:cs="Times New Roman"/>
                <w:color w:val="000000"/>
                <w:lang w:eastAsia="lv-LV"/>
              </w:rPr>
              <w:t>11,0</w:t>
            </w:r>
            <w:r w:rsidR="00DE0D7B">
              <w:rPr>
                <w:rFonts w:ascii="Times New Roman" w:eastAsia="Times New Roman" w:hAnsi="Times New Roman" w:cs="Times New Roman"/>
                <w:color w:val="000000"/>
                <w:lang w:eastAsia="lv-LV"/>
              </w:rPr>
              <w:t> </w:t>
            </w:r>
            <w:r w:rsidRPr="00E25833">
              <w:rPr>
                <w:rFonts w:ascii="Times New Roman" w:eastAsia="Times New Roman" w:hAnsi="Times New Roman" w:cs="Times New Roman"/>
                <w:color w:val="000000"/>
                <w:lang w:eastAsia="lv-LV"/>
              </w:rPr>
              <w:t>%</w:t>
            </w:r>
          </w:p>
        </w:tc>
        <w:tc>
          <w:tcPr>
            <w:tcW w:w="1187" w:type="dxa"/>
            <w:shd w:val="clear" w:color="auto" w:fill="auto"/>
            <w:vAlign w:val="center"/>
            <w:hideMark/>
          </w:tcPr>
          <w:p w14:paraId="5BF9E2E3" w14:textId="77777777" w:rsidR="004B5136" w:rsidRPr="00E25833" w:rsidRDefault="004B5136" w:rsidP="004B5136">
            <w:pPr>
              <w:spacing w:before="0" w:after="0" w:line="240" w:lineRule="auto"/>
              <w:jc w:val="center"/>
              <w:rPr>
                <w:rFonts w:ascii="Times New Roman" w:eastAsia="Times New Roman" w:hAnsi="Times New Roman" w:cs="Times New Roman"/>
                <w:color w:val="000000"/>
                <w:lang w:eastAsia="lv-LV"/>
              </w:rPr>
            </w:pPr>
            <w:r w:rsidRPr="00E25833">
              <w:rPr>
                <w:rFonts w:ascii="Times New Roman" w:eastAsia="Times New Roman" w:hAnsi="Times New Roman" w:cs="Times New Roman"/>
                <w:color w:val="000000"/>
                <w:lang w:eastAsia="lv-LV"/>
              </w:rPr>
              <w:t>21,5</w:t>
            </w:r>
            <w:r w:rsidR="00DE0D7B">
              <w:rPr>
                <w:rFonts w:ascii="Times New Roman" w:eastAsia="Times New Roman" w:hAnsi="Times New Roman" w:cs="Times New Roman"/>
                <w:color w:val="000000"/>
                <w:lang w:eastAsia="lv-LV"/>
              </w:rPr>
              <w:t> </w:t>
            </w:r>
            <w:r w:rsidRPr="00E25833">
              <w:rPr>
                <w:rFonts w:ascii="Times New Roman" w:eastAsia="Times New Roman" w:hAnsi="Times New Roman" w:cs="Times New Roman"/>
                <w:color w:val="000000"/>
                <w:lang w:eastAsia="lv-LV"/>
              </w:rPr>
              <w:t>%</w:t>
            </w:r>
          </w:p>
        </w:tc>
        <w:tc>
          <w:tcPr>
            <w:tcW w:w="1166" w:type="dxa"/>
            <w:shd w:val="clear" w:color="auto" w:fill="auto"/>
            <w:vAlign w:val="center"/>
            <w:hideMark/>
          </w:tcPr>
          <w:p w14:paraId="1C81F9F4" w14:textId="77777777" w:rsidR="004B5136" w:rsidRPr="00E25833" w:rsidRDefault="004B5136" w:rsidP="004B5136">
            <w:pPr>
              <w:spacing w:before="0" w:after="0" w:line="240" w:lineRule="auto"/>
              <w:jc w:val="center"/>
              <w:rPr>
                <w:rFonts w:ascii="Times New Roman" w:eastAsia="Times New Roman" w:hAnsi="Times New Roman" w:cs="Times New Roman"/>
                <w:color w:val="000000"/>
                <w:lang w:eastAsia="lv-LV"/>
              </w:rPr>
            </w:pPr>
            <w:r w:rsidRPr="00E25833">
              <w:rPr>
                <w:rFonts w:ascii="Times New Roman" w:eastAsia="Times New Roman" w:hAnsi="Times New Roman" w:cs="Times New Roman"/>
                <w:color w:val="000000"/>
                <w:lang w:eastAsia="lv-LV"/>
              </w:rPr>
              <w:t>2,5</w:t>
            </w:r>
            <w:r w:rsidR="00DE0D7B">
              <w:rPr>
                <w:rFonts w:ascii="Times New Roman" w:eastAsia="Times New Roman" w:hAnsi="Times New Roman" w:cs="Times New Roman"/>
                <w:color w:val="000000"/>
                <w:lang w:eastAsia="lv-LV"/>
              </w:rPr>
              <w:t> </w:t>
            </w:r>
            <w:r w:rsidRPr="00E25833">
              <w:rPr>
                <w:rFonts w:ascii="Times New Roman" w:eastAsia="Times New Roman" w:hAnsi="Times New Roman" w:cs="Times New Roman"/>
                <w:color w:val="000000"/>
                <w:lang w:eastAsia="lv-LV"/>
              </w:rPr>
              <w:t>%</w:t>
            </w:r>
          </w:p>
        </w:tc>
        <w:tc>
          <w:tcPr>
            <w:tcW w:w="1187" w:type="dxa"/>
            <w:shd w:val="clear" w:color="auto" w:fill="auto"/>
            <w:vAlign w:val="center"/>
            <w:hideMark/>
          </w:tcPr>
          <w:p w14:paraId="415ED72A" w14:textId="77777777" w:rsidR="004B5136" w:rsidRPr="00E25833" w:rsidRDefault="004B5136" w:rsidP="004B5136">
            <w:pPr>
              <w:spacing w:before="0" w:after="0" w:line="240" w:lineRule="auto"/>
              <w:jc w:val="center"/>
              <w:rPr>
                <w:rFonts w:ascii="Times New Roman" w:eastAsia="Times New Roman" w:hAnsi="Times New Roman" w:cs="Times New Roman"/>
                <w:color w:val="000000"/>
                <w:lang w:eastAsia="lv-LV"/>
              </w:rPr>
            </w:pPr>
            <w:r w:rsidRPr="00E25833">
              <w:rPr>
                <w:rFonts w:ascii="Times New Roman" w:eastAsia="Times New Roman" w:hAnsi="Times New Roman" w:cs="Times New Roman"/>
                <w:color w:val="000000"/>
                <w:lang w:eastAsia="lv-LV"/>
              </w:rPr>
              <w:t>21,3</w:t>
            </w:r>
            <w:r w:rsidR="00DE0D7B">
              <w:rPr>
                <w:rFonts w:ascii="Times New Roman" w:eastAsia="Times New Roman" w:hAnsi="Times New Roman" w:cs="Times New Roman"/>
                <w:color w:val="000000"/>
                <w:lang w:eastAsia="lv-LV"/>
              </w:rPr>
              <w:t> </w:t>
            </w:r>
            <w:r w:rsidRPr="00E25833">
              <w:rPr>
                <w:rFonts w:ascii="Times New Roman" w:eastAsia="Times New Roman" w:hAnsi="Times New Roman" w:cs="Times New Roman"/>
                <w:color w:val="000000"/>
                <w:lang w:eastAsia="lv-LV"/>
              </w:rPr>
              <w:t>%</w:t>
            </w:r>
          </w:p>
        </w:tc>
        <w:tc>
          <w:tcPr>
            <w:tcW w:w="1187" w:type="dxa"/>
            <w:shd w:val="clear" w:color="auto" w:fill="auto"/>
            <w:vAlign w:val="center"/>
            <w:hideMark/>
          </w:tcPr>
          <w:p w14:paraId="6E7131B5" w14:textId="77777777" w:rsidR="004B5136" w:rsidRPr="00E25833" w:rsidRDefault="004B5136" w:rsidP="004B5136">
            <w:pPr>
              <w:spacing w:before="0" w:after="0" w:line="240" w:lineRule="auto"/>
              <w:jc w:val="center"/>
              <w:rPr>
                <w:rFonts w:ascii="Times New Roman" w:eastAsia="Times New Roman" w:hAnsi="Times New Roman" w:cs="Times New Roman"/>
                <w:color w:val="000000"/>
                <w:lang w:eastAsia="lv-LV"/>
              </w:rPr>
            </w:pPr>
            <w:r w:rsidRPr="00E25833">
              <w:rPr>
                <w:rFonts w:ascii="Times New Roman" w:eastAsia="Times New Roman" w:hAnsi="Times New Roman" w:cs="Times New Roman"/>
                <w:color w:val="000000"/>
                <w:lang w:eastAsia="lv-LV"/>
              </w:rPr>
              <w:t>28,5</w:t>
            </w:r>
            <w:r w:rsidR="00DE0D7B">
              <w:rPr>
                <w:rFonts w:ascii="Times New Roman" w:eastAsia="Times New Roman" w:hAnsi="Times New Roman" w:cs="Times New Roman"/>
                <w:color w:val="000000"/>
                <w:lang w:eastAsia="lv-LV"/>
              </w:rPr>
              <w:t> </w:t>
            </w:r>
            <w:r w:rsidRPr="00E25833">
              <w:rPr>
                <w:rFonts w:ascii="Times New Roman" w:eastAsia="Times New Roman" w:hAnsi="Times New Roman" w:cs="Times New Roman"/>
                <w:color w:val="000000"/>
                <w:lang w:eastAsia="lv-LV"/>
              </w:rPr>
              <w:t>%</w:t>
            </w:r>
          </w:p>
        </w:tc>
        <w:tc>
          <w:tcPr>
            <w:tcW w:w="1187" w:type="dxa"/>
            <w:shd w:val="clear" w:color="auto" w:fill="auto"/>
            <w:vAlign w:val="center"/>
            <w:hideMark/>
          </w:tcPr>
          <w:p w14:paraId="078CE997" w14:textId="77777777" w:rsidR="004B5136" w:rsidRPr="00E25833" w:rsidRDefault="004B5136" w:rsidP="004B5136">
            <w:pPr>
              <w:spacing w:before="0" w:after="0" w:line="240" w:lineRule="auto"/>
              <w:jc w:val="center"/>
              <w:rPr>
                <w:rFonts w:ascii="Times New Roman" w:eastAsia="Times New Roman" w:hAnsi="Times New Roman" w:cs="Times New Roman"/>
                <w:color w:val="000000"/>
                <w:lang w:eastAsia="lv-LV"/>
              </w:rPr>
            </w:pPr>
            <w:r w:rsidRPr="00E25833">
              <w:rPr>
                <w:rFonts w:ascii="Times New Roman" w:eastAsia="Times New Roman" w:hAnsi="Times New Roman" w:cs="Times New Roman"/>
                <w:color w:val="000000"/>
                <w:lang w:eastAsia="lv-LV"/>
              </w:rPr>
              <w:t>15,1</w:t>
            </w:r>
            <w:r w:rsidR="00DE0D7B">
              <w:rPr>
                <w:rFonts w:ascii="Times New Roman" w:eastAsia="Times New Roman" w:hAnsi="Times New Roman" w:cs="Times New Roman"/>
                <w:color w:val="000000"/>
                <w:lang w:eastAsia="lv-LV"/>
              </w:rPr>
              <w:t> </w:t>
            </w:r>
            <w:r w:rsidRPr="00E25833">
              <w:rPr>
                <w:rFonts w:ascii="Times New Roman" w:eastAsia="Times New Roman" w:hAnsi="Times New Roman" w:cs="Times New Roman"/>
                <w:color w:val="000000"/>
                <w:lang w:eastAsia="lv-LV"/>
              </w:rPr>
              <w:t>%</w:t>
            </w:r>
          </w:p>
        </w:tc>
      </w:tr>
      <w:tr w:rsidR="004B5136" w:rsidRPr="00E25833" w14:paraId="17AA0775" w14:textId="77777777" w:rsidTr="004B5136">
        <w:trPr>
          <w:trHeight w:val="381"/>
          <w:jc w:val="center"/>
        </w:trPr>
        <w:tc>
          <w:tcPr>
            <w:tcW w:w="1315" w:type="dxa"/>
            <w:shd w:val="clear" w:color="auto" w:fill="auto"/>
            <w:vAlign w:val="center"/>
            <w:hideMark/>
          </w:tcPr>
          <w:p w14:paraId="7FDB9CE5"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lang w:eastAsia="lv-LV"/>
              </w:rPr>
            </w:pPr>
            <w:r w:rsidRPr="00E25833">
              <w:rPr>
                <w:rFonts w:ascii="Times New Roman" w:eastAsia="Times New Roman" w:hAnsi="Times New Roman" w:cs="Times New Roman"/>
                <w:b/>
                <w:bCs/>
                <w:color w:val="000000"/>
                <w:lang w:eastAsia="lv-LV"/>
              </w:rPr>
              <w:t>01.12.2019.</w:t>
            </w:r>
            <w:r w:rsidR="00DE0D7B">
              <w:rPr>
                <w:rFonts w:ascii="Times New Roman" w:eastAsia="Times New Roman" w:hAnsi="Times New Roman" w:cs="Times New Roman"/>
                <w:b/>
                <w:bCs/>
                <w:color w:val="000000"/>
                <w:lang w:eastAsia="lv-LV"/>
              </w:rPr>
              <w:t>–</w:t>
            </w:r>
            <w:r w:rsidRPr="00E25833">
              <w:rPr>
                <w:rFonts w:ascii="Times New Roman" w:eastAsia="Times New Roman" w:hAnsi="Times New Roman" w:cs="Times New Roman"/>
                <w:b/>
                <w:bCs/>
                <w:color w:val="000000"/>
                <w:lang w:eastAsia="lv-LV"/>
              </w:rPr>
              <w:t>28.02.2020</w:t>
            </w:r>
            <w:r w:rsidR="00DE0D7B">
              <w:rPr>
                <w:rFonts w:ascii="Times New Roman" w:eastAsia="Times New Roman" w:hAnsi="Times New Roman" w:cs="Times New Roman"/>
                <w:b/>
                <w:bCs/>
                <w:color w:val="000000"/>
                <w:lang w:eastAsia="lv-LV"/>
              </w:rPr>
              <w:t>.</w:t>
            </w:r>
          </w:p>
        </w:tc>
        <w:tc>
          <w:tcPr>
            <w:tcW w:w="1081" w:type="dxa"/>
            <w:shd w:val="clear" w:color="auto" w:fill="auto"/>
            <w:vAlign w:val="center"/>
            <w:hideMark/>
          </w:tcPr>
          <w:p w14:paraId="271EFF0B" w14:textId="77777777" w:rsidR="004B5136" w:rsidRPr="00E25833" w:rsidRDefault="004B5136" w:rsidP="004B5136">
            <w:pPr>
              <w:spacing w:before="0" w:after="0" w:line="240" w:lineRule="auto"/>
              <w:jc w:val="center"/>
              <w:rPr>
                <w:rFonts w:ascii="Times New Roman" w:eastAsia="Times New Roman" w:hAnsi="Times New Roman" w:cs="Times New Roman"/>
                <w:color w:val="000000"/>
                <w:lang w:eastAsia="lv-LV"/>
              </w:rPr>
            </w:pPr>
            <w:r w:rsidRPr="00E25833">
              <w:rPr>
                <w:rFonts w:ascii="Times New Roman" w:eastAsia="Times New Roman" w:hAnsi="Times New Roman" w:cs="Times New Roman"/>
                <w:color w:val="000000"/>
                <w:lang w:eastAsia="lv-LV"/>
              </w:rPr>
              <w:t>11,5</w:t>
            </w:r>
            <w:r w:rsidR="00DE0D7B">
              <w:rPr>
                <w:rFonts w:ascii="Times New Roman" w:eastAsia="Times New Roman" w:hAnsi="Times New Roman" w:cs="Times New Roman"/>
                <w:color w:val="000000"/>
                <w:lang w:eastAsia="lv-LV"/>
              </w:rPr>
              <w:t> </w:t>
            </w:r>
            <w:r w:rsidRPr="00E25833">
              <w:rPr>
                <w:rFonts w:ascii="Times New Roman" w:eastAsia="Times New Roman" w:hAnsi="Times New Roman" w:cs="Times New Roman"/>
                <w:color w:val="000000"/>
                <w:lang w:eastAsia="lv-LV"/>
              </w:rPr>
              <w:t>%</w:t>
            </w:r>
          </w:p>
        </w:tc>
        <w:tc>
          <w:tcPr>
            <w:tcW w:w="1187" w:type="dxa"/>
            <w:shd w:val="clear" w:color="auto" w:fill="auto"/>
            <w:vAlign w:val="center"/>
            <w:hideMark/>
          </w:tcPr>
          <w:p w14:paraId="6B2B1A97" w14:textId="77777777" w:rsidR="004B5136" w:rsidRPr="00E25833" w:rsidRDefault="004B5136" w:rsidP="004B5136">
            <w:pPr>
              <w:spacing w:before="0" w:after="0" w:line="240" w:lineRule="auto"/>
              <w:jc w:val="center"/>
              <w:rPr>
                <w:rFonts w:ascii="Times New Roman" w:eastAsia="Times New Roman" w:hAnsi="Times New Roman" w:cs="Times New Roman"/>
                <w:color w:val="000000"/>
                <w:lang w:eastAsia="lv-LV"/>
              </w:rPr>
            </w:pPr>
            <w:r w:rsidRPr="00E25833">
              <w:rPr>
                <w:rFonts w:ascii="Times New Roman" w:eastAsia="Times New Roman" w:hAnsi="Times New Roman" w:cs="Times New Roman"/>
                <w:color w:val="000000"/>
                <w:lang w:eastAsia="lv-LV"/>
              </w:rPr>
              <w:t>18,6</w:t>
            </w:r>
            <w:r w:rsidR="00DE0D7B">
              <w:rPr>
                <w:rFonts w:ascii="Times New Roman" w:eastAsia="Times New Roman" w:hAnsi="Times New Roman" w:cs="Times New Roman"/>
                <w:color w:val="000000"/>
                <w:lang w:eastAsia="lv-LV"/>
              </w:rPr>
              <w:t> </w:t>
            </w:r>
            <w:r w:rsidRPr="00E25833">
              <w:rPr>
                <w:rFonts w:ascii="Times New Roman" w:eastAsia="Times New Roman" w:hAnsi="Times New Roman" w:cs="Times New Roman"/>
                <w:color w:val="000000"/>
                <w:lang w:eastAsia="lv-LV"/>
              </w:rPr>
              <w:t>%</w:t>
            </w:r>
          </w:p>
        </w:tc>
        <w:tc>
          <w:tcPr>
            <w:tcW w:w="1166" w:type="dxa"/>
            <w:shd w:val="clear" w:color="auto" w:fill="auto"/>
            <w:vAlign w:val="center"/>
            <w:hideMark/>
          </w:tcPr>
          <w:p w14:paraId="6FA80BA3" w14:textId="77777777" w:rsidR="004B5136" w:rsidRPr="00E25833" w:rsidRDefault="004B5136" w:rsidP="004B5136">
            <w:pPr>
              <w:spacing w:before="0" w:after="0" w:line="240" w:lineRule="auto"/>
              <w:jc w:val="center"/>
              <w:rPr>
                <w:rFonts w:ascii="Times New Roman" w:eastAsia="Times New Roman" w:hAnsi="Times New Roman" w:cs="Times New Roman"/>
                <w:color w:val="000000"/>
                <w:lang w:eastAsia="lv-LV"/>
              </w:rPr>
            </w:pPr>
            <w:r w:rsidRPr="00E25833">
              <w:rPr>
                <w:rFonts w:ascii="Times New Roman" w:eastAsia="Times New Roman" w:hAnsi="Times New Roman" w:cs="Times New Roman"/>
                <w:color w:val="000000"/>
                <w:lang w:eastAsia="lv-LV"/>
              </w:rPr>
              <w:t>1,5</w:t>
            </w:r>
            <w:r w:rsidR="00DE0D7B">
              <w:rPr>
                <w:rFonts w:ascii="Times New Roman" w:eastAsia="Times New Roman" w:hAnsi="Times New Roman" w:cs="Times New Roman"/>
                <w:color w:val="000000"/>
                <w:lang w:eastAsia="lv-LV"/>
              </w:rPr>
              <w:t> </w:t>
            </w:r>
            <w:r w:rsidRPr="00E25833">
              <w:rPr>
                <w:rFonts w:ascii="Times New Roman" w:eastAsia="Times New Roman" w:hAnsi="Times New Roman" w:cs="Times New Roman"/>
                <w:color w:val="000000"/>
                <w:lang w:eastAsia="lv-LV"/>
              </w:rPr>
              <w:t>%</w:t>
            </w:r>
          </w:p>
        </w:tc>
        <w:tc>
          <w:tcPr>
            <w:tcW w:w="1187" w:type="dxa"/>
            <w:shd w:val="clear" w:color="auto" w:fill="auto"/>
            <w:vAlign w:val="center"/>
            <w:hideMark/>
          </w:tcPr>
          <w:p w14:paraId="1CD364ED" w14:textId="77777777" w:rsidR="004B5136" w:rsidRPr="00E25833" w:rsidRDefault="004B5136" w:rsidP="004B5136">
            <w:pPr>
              <w:spacing w:before="0" w:after="0" w:line="240" w:lineRule="auto"/>
              <w:jc w:val="center"/>
              <w:rPr>
                <w:rFonts w:ascii="Times New Roman" w:eastAsia="Times New Roman" w:hAnsi="Times New Roman" w:cs="Times New Roman"/>
                <w:color w:val="000000"/>
                <w:lang w:eastAsia="lv-LV"/>
              </w:rPr>
            </w:pPr>
            <w:r w:rsidRPr="00E25833">
              <w:rPr>
                <w:rFonts w:ascii="Times New Roman" w:eastAsia="Times New Roman" w:hAnsi="Times New Roman" w:cs="Times New Roman"/>
                <w:color w:val="000000"/>
                <w:lang w:eastAsia="lv-LV"/>
              </w:rPr>
              <w:t>18,0</w:t>
            </w:r>
            <w:r w:rsidR="00DE0D7B">
              <w:rPr>
                <w:rFonts w:ascii="Times New Roman" w:eastAsia="Times New Roman" w:hAnsi="Times New Roman" w:cs="Times New Roman"/>
                <w:color w:val="000000"/>
                <w:lang w:eastAsia="lv-LV"/>
              </w:rPr>
              <w:t> </w:t>
            </w:r>
            <w:r w:rsidRPr="00E25833">
              <w:rPr>
                <w:rFonts w:ascii="Times New Roman" w:eastAsia="Times New Roman" w:hAnsi="Times New Roman" w:cs="Times New Roman"/>
                <w:color w:val="000000"/>
                <w:lang w:eastAsia="lv-LV"/>
              </w:rPr>
              <w:t>%</w:t>
            </w:r>
          </w:p>
        </w:tc>
        <w:tc>
          <w:tcPr>
            <w:tcW w:w="1187" w:type="dxa"/>
            <w:shd w:val="clear" w:color="auto" w:fill="auto"/>
            <w:vAlign w:val="center"/>
            <w:hideMark/>
          </w:tcPr>
          <w:p w14:paraId="74D3A38C" w14:textId="77777777" w:rsidR="004B5136" w:rsidRPr="00E25833" w:rsidRDefault="004B5136" w:rsidP="004B5136">
            <w:pPr>
              <w:spacing w:before="0" w:after="0" w:line="240" w:lineRule="auto"/>
              <w:jc w:val="center"/>
              <w:rPr>
                <w:rFonts w:ascii="Times New Roman" w:eastAsia="Times New Roman" w:hAnsi="Times New Roman" w:cs="Times New Roman"/>
                <w:color w:val="000000"/>
                <w:lang w:eastAsia="lv-LV"/>
              </w:rPr>
            </w:pPr>
            <w:r w:rsidRPr="00E25833">
              <w:rPr>
                <w:rFonts w:ascii="Times New Roman" w:eastAsia="Times New Roman" w:hAnsi="Times New Roman" w:cs="Times New Roman"/>
                <w:color w:val="000000"/>
                <w:lang w:eastAsia="lv-LV"/>
              </w:rPr>
              <w:t>33,0</w:t>
            </w:r>
            <w:r w:rsidR="00DE0D7B">
              <w:rPr>
                <w:rFonts w:ascii="Times New Roman" w:eastAsia="Times New Roman" w:hAnsi="Times New Roman" w:cs="Times New Roman"/>
                <w:color w:val="000000"/>
                <w:lang w:eastAsia="lv-LV"/>
              </w:rPr>
              <w:t> </w:t>
            </w:r>
            <w:r w:rsidRPr="00E25833">
              <w:rPr>
                <w:rFonts w:ascii="Times New Roman" w:eastAsia="Times New Roman" w:hAnsi="Times New Roman" w:cs="Times New Roman"/>
                <w:color w:val="000000"/>
                <w:lang w:eastAsia="lv-LV"/>
              </w:rPr>
              <w:t>%</w:t>
            </w:r>
          </w:p>
        </w:tc>
        <w:tc>
          <w:tcPr>
            <w:tcW w:w="1187" w:type="dxa"/>
            <w:shd w:val="clear" w:color="auto" w:fill="auto"/>
            <w:vAlign w:val="center"/>
            <w:hideMark/>
          </w:tcPr>
          <w:p w14:paraId="76362EB0" w14:textId="77777777" w:rsidR="004B5136" w:rsidRPr="00E25833" w:rsidRDefault="004B5136" w:rsidP="004B5136">
            <w:pPr>
              <w:spacing w:before="0" w:after="0" w:line="240" w:lineRule="auto"/>
              <w:jc w:val="center"/>
              <w:rPr>
                <w:rFonts w:ascii="Times New Roman" w:eastAsia="Times New Roman" w:hAnsi="Times New Roman" w:cs="Times New Roman"/>
                <w:color w:val="000000"/>
                <w:lang w:eastAsia="lv-LV"/>
              </w:rPr>
            </w:pPr>
            <w:r w:rsidRPr="00E25833">
              <w:rPr>
                <w:rFonts w:ascii="Times New Roman" w:eastAsia="Times New Roman" w:hAnsi="Times New Roman" w:cs="Times New Roman"/>
                <w:color w:val="000000"/>
                <w:lang w:eastAsia="lv-LV"/>
              </w:rPr>
              <w:t>17,5</w:t>
            </w:r>
            <w:r w:rsidR="00DE0D7B">
              <w:rPr>
                <w:rFonts w:ascii="Times New Roman" w:eastAsia="Times New Roman" w:hAnsi="Times New Roman" w:cs="Times New Roman"/>
                <w:color w:val="000000"/>
                <w:lang w:eastAsia="lv-LV"/>
              </w:rPr>
              <w:t> </w:t>
            </w:r>
            <w:r w:rsidRPr="00E25833">
              <w:rPr>
                <w:rFonts w:ascii="Times New Roman" w:eastAsia="Times New Roman" w:hAnsi="Times New Roman" w:cs="Times New Roman"/>
                <w:color w:val="000000"/>
                <w:lang w:eastAsia="lv-LV"/>
              </w:rPr>
              <w:t>%</w:t>
            </w:r>
          </w:p>
        </w:tc>
      </w:tr>
    </w:tbl>
    <w:p w14:paraId="70ECCE2C" w14:textId="77777777" w:rsidR="004B5136" w:rsidRPr="00E25833" w:rsidRDefault="004B5136" w:rsidP="00C648A7">
      <w:pPr>
        <w:spacing w:before="0" w:after="0" w:line="240" w:lineRule="auto"/>
        <w:ind w:firstLine="720"/>
        <w:jc w:val="both"/>
        <w:rPr>
          <w:rFonts w:ascii="Times New Roman" w:eastAsia="Calibri" w:hAnsi="Times New Roman" w:cs="Times New Roman"/>
          <w:sz w:val="28"/>
          <w:szCs w:val="28"/>
        </w:rPr>
      </w:pPr>
    </w:p>
    <w:p w14:paraId="47AE5071" w14:textId="77777777" w:rsidR="004B5136" w:rsidRPr="00E25833" w:rsidRDefault="004B5136" w:rsidP="003977E6">
      <w:pPr>
        <w:spacing w:before="0" w:after="0" w:line="240" w:lineRule="auto"/>
        <w:ind w:firstLine="720"/>
        <w:jc w:val="both"/>
        <w:rPr>
          <w:rFonts w:ascii="Times New Roman" w:eastAsia="Calibri" w:hAnsi="Times New Roman" w:cs="Times New Roman"/>
          <w:sz w:val="28"/>
          <w:szCs w:val="28"/>
        </w:rPr>
      </w:pPr>
      <w:r w:rsidRPr="00E25833">
        <w:rPr>
          <w:rFonts w:ascii="Times New Roman" w:eastAsia="Calibri" w:hAnsi="Times New Roman" w:cs="Times New Roman"/>
          <w:sz w:val="28"/>
          <w:szCs w:val="28"/>
        </w:rPr>
        <w:t>Vidējie mēneša darba ienākumi būvniecības nozarē pie vispārējā nodokļu režīmā strādājoša darba devēja nodarbinātajiem 2019. gadā bija 961 </w:t>
      </w:r>
      <w:proofErr w:type="spellStart"/>
      <w:r w:rsidR="00F30009" w:rsidRPr="006610D8">
        <w:rPr>
          <w:rFonts w:ascii="Times New Roman" w:eastAsia="Calibri" w:hAnsi="Times New Roman" w:cs="Times New Roman"/>
          <w:i/>
          <w:iCs/>
          <w:sz w:val="28"/>
          <w:szCs w:val="28"/>
        </w:rPr>
        <w:t>euro</w:t>
      </w:r>
      <w:proofErr w:type="spellEnd"/>
      <w:r w:rsidRPr="00E25833">
        <w:rPr>
          <w:rFonts w:ascii="Times New Roman" w:eastAsia="Calibri" w:hAnsi="Times New Roman" w:cs="Times New Roman"/>
          <w:sz w:val="28"/>
          <w:szCs w:val="28"/>
        </w:rPr>
        <w:t>, kas ir 90,2 % no vidējiem mēneša darba ienākumiem valstī (1065 </w:t>
      </w:r>
      <w:proofErr w:type="spellStart"/>
      <w:r w:rsidR="00F30009" w:rsidRPr="006610D8">
        <w:rPr>
          <w:rFonts w:ascii="Times New Roman" w:eastAsia="Calibri" w:hAnsi="Times New Roman" w:cs="Times New Roman"/>
          <w:i/>
          <w:iCs/>
          <w:sz w:val="28"/>
          <w:szCs w:val="28"/>
        </w:rPr>
        <w:t>euro</w:t>
      </w:r>
      <w:proofErr w:type="spellEnd"/>
      <w:r w:rsidRPr="00E25833">
        <w:rPr>
          <w:rFonts w:ascii="Times New Roman" w:eastAsia="Calibri" w:hAnsi="Times New Roman" w:cs="Times New Roman"/>
          <w:sz w:val="28"/>
          <w:szCs w:val="28"/>
        </w:rPr>
        <w:t>). Vidējie mēneša darba ienākumi būvniecības nozarē 2018.gadā bija 882 </w:t>
      </w:r>
      <w:proofErr w:type="spellStart"/>
      <w:r w:rsidR="00F30009" w:rsidRPr="006610D8">
        <w:rPr>
          <w:rFonts w:ascii="Times New Roman" w:eastAsia="Calibri" w:hAnsi="Times New Roman" w:cs="Times New Roman"/>
          <w:i/>
          <w:iCs/>
          <w:sz w:val="28"/>
          <w:szCs w:val="28"/>
        </w:rPr>
        <w:t>euro</w:t>
      </w:r>
      <w:proofErr w:type="spellEnd"/>
      <w:r w:rsidRPr="00E25833">
        <w:rPr>
          <w:rFonts w:ascii="Times New Roman" w:eastAsia="Calibri" w:hAnsi="Times New Roman" w:cs="Times New Roman"/>
          <w:sz w:val="28"/>
          <w:szCs w:val="28"/>
        </w:rPr>
        <w:t xml:space="preserve"> (valstī – 989</w:t>
      </w:r>
      <w:r w:rsidR="00C648A7">
        <w:rPr>
          <w:rFonts w:ascii="Times New Roman" w:eastAsia="Calibri" w:hAnsi="Times New Roman" w:cs="Times New Roman"/>
          <w:sz w:val="28"/>
          <w:szCs w:val="28"/>
        </w:rPr>
        <w:t> </w:t>
      </w:r>
      <w:proofErr w:type="spellStart"/>
      <w:r w:rsidR="00F30009" w:rsidRPr="006610D8">
        <w:rPr>
          <w:rFonts w:ascii="Times New Roman" w:eastAsia="Calibri" w:hAnsi="Times New Roman" w:cs="Times New Roman"/>
          <w:i/>
          <w:iCs/>
          <w:sz w:val="28"/>
          <w:szCs w:val="28"/>
        </w:rPr>
        <w:t>euro</w:t>
      </w:r>
      <w:proofErr w:type="spellEnd"/>
      <w:r w:rsidRPr="00E25833">
        <w:rPr>
          <w:rFonts w:ascii="Times New Roman" w:eastAsia="Calibri" w:hAnsi="Times New Roman" w:cs="Times New Roman"/>
          <w:sz w:val="28"/>
          <w:szCs w:val="28"/>
        </w:rPr>
        <w:t>), 2017.gadā vidējie mēneša darba ienākumi nozarē nodarbinātajiem bija 807</w:t>
      </w:r>
      <w:r w:rsidR="00C648A7">
        <w:rPr>
          <w:rFonts w:ascii="Times New Roman" w:eastAsia="Calibri" w:hAnsi="Times New Roman" w:cs="Times New Roman"/>
          <w:sz w:val="28"/>
          <w:szCs w:val="28"/>
        </w:rPr>
        <w:t> </w:t>
      </w:r>
      <w:proofErr w:type="spellStart"/>
      <w:r w:rsidR="00F30009" w:rsidRPr="006610D8">
        <w:rPr>
          <w:rFonts w:ascii="Times New Roman" w:eastAsia="Calibri" w:hAnsi="Times New Roman" w:cs="Times New Roman"/>
          <w:i/>
          <w:iCs/>
          <w:sz w:val="28"/>
          <w:szCs w:val="28"/>
        </w:rPr>
        <w:t>euro</w:t>
      </w:r>
      <w:proofErr w:type="spellEnd"/>
      <w:r w:rsidRPr="00E25833">
        <w:rPr>
          <w:rFonts w:ascii="Times New Roman" w:eastAsia="Calibri" w:hAnsi="Times New Roman" w:cs="Times New Roman"/>
          <w:sz w:val="28"/>
          <w:szCs w:val="28"/>
        </w:rPr>
        <w:t xml:space="preserve"> (valstī – 903</w:t>
      </w:r>
      <w:r w:rsidR="00176AA5">
        <w:rPr>
          <w:rFonts w:ascii="Times New Roman" w:eastAsia="Calibri" w:hAnsi="Times New Roman" w:cs="Times New Roman"/>
          <w:sz w:val="28"/>
          <w:szCs w:val="28"/>
        </w:rPr>
        <w:t> </w:t>
      </w:r>
      <w:proofErr w:type="spellStart"/>
      <w:r w:rsidR="00F30009" w:rsidRPr="006610D8">
        <w:rPr>
          <w:rFonts w:ascii="Times New Roman" w:eastAsia="Calibri" w:hAnsi="Times New Roman" w:cs="Times New Roman"/>
          <w:i/>
          <w:iCs/>
          <w:sz w:val="28"/>
          <w:szCs w:val="28"/>
        </w:rPr>
        <w:t>euro</w:t>
      </w:r>
      <w:proofErr w:type="spellEnd"/>
      <w:r w:rsidRPr="00E25833">
        <w:rPr>
          <w:rFonts w:ascii="Times New Roman" w:eastAsia="Calibri" w:hAnsi="Times New Roman" w:cs="Times New Roman"/>
          <w:sz w:val="28"/>
          <w:szCs w:val="28"/>
        </w:rPr>
        <w:t>). Kā redzams, visos apskatītajos periodos nozarē nodarbināto vidējie mēneša bruto darba ienākumi atpaliek no valsts rādītāja par ap</w:t>
      </w:r>
      <w:r w:rsidR="00176AA5">
        <w:rPr>
          <w:rFonts w:ascii="Times New Roman" w:eastAsia="Calibri" w:hAnsi="Times New Roman" w:cs="Times New Roman"/>
          <w:sz w:val="28"/>
          <w:szCs w:val="28"/>
        </w:rPr>
        <w:t>tuveni</w:t>
      </w:r>
      <w:r w:rsidRPr="00E25833">
        <w:rPr>
          <w:rFonts w:ascii="Times New Roman" w:eastAsia="Calibri" w:hAnsi="Times New Roman" w:cs="Times New Roman"/>
          <w:sz w:val="28"/>
          <w:szCs w:val="28"/>
        </w:rPr>
        <w:t xml:space="preserve"> 100</w:t>
      </w:r>
      <w:r w:rsidR="00176AA5">
        <w:rPr>
          <w:rFonts w:ascii="Times New Roman" w:eastAsia="Calibri" w:hAnsi="Times New Roman" w:cs="Times New Roman"/>
          <w:sz w:val="28"/>
          <w:szCs w:val="28"/>
        </w:rPr>
        <w:t> </w:t>
      </w:r>
      <w:proofErr w:type="spellStart"/>
      <w:r w:rsidR="001155D8" w:rsidRPr="00E734B0">
        <w:rPr>
          <w:rFonts w:ascii="Times New Roman" w:eastAsia="Calibri" w:hAnsi="Times New Roman" w:cs="Times New Roman"/>
          <w:i/>
          <w:iCs/>
          <w:sz w:val="28"/>
          <w:szCs w:val="28"/>
        </w:rPr>
        <w:t>euro</w:t>
      </w:r>
      <w:proofErr w:type="spellEnd"/>
      <w:r w:rsidRPr="00E25833">
        <w:rPr>
          <w:rFonts w:ascii="Times New Roman" w:eastAsia="Calibri" w:hAnsi="Times New Roman" w:cs="Times New Roman"/>
          <w:sz w:val="28"/>
          <w:szCs w:val="28"/>
        </w:rPr>
        <w:t>.</w:t>
      </w:r>
      <w:r w:rsidR="008B672B">
        <w:rPr>
          <w:rFonts w:ascii="Times New Roman" w:eastAsia="Calibri" w:hAnsi="Times New Roman" w:cs="Times New Roman"/>
          <w:sz w:val="28"/>
          <w:szCs w:val="28"/>
        </w:rPr>
        <w:t xml:space="preserve"> Tomēr </w:t>
      </w:r>
      <w:r w:rsidR="008B672B" w:rsidRPr="00E25833">
        <w:rPr>
          <w:rFonts w:ascii="Times New Roman" w:eastAsia="Calibri" w:hAnsi="Times New Roman" w:cs="Times New Roman"/>
          <w:sz w:val="28"/>
          <w:szCs w:val="28"/>
        </w:rPr>
        <w:t xml:space="preserve">vidējā stundas tarifa likme būvniecības nozarē 2019.gadā </w:t>
      </w:r>
      <w:r w:rsidR="008B672B">
        <w:rPr>
          <w:rFonts w:ascii="Times New Roman" w:eastAsia="Calibri" w:hAnsi="Times New Roman" w:cs="Times New Roman"/>
          <w:sz w:val="28"/>
          <w:szCs w:val="28"/>
        </w:rPr>
        <w:t>(</w:t>
      </w:r>
      <w:r w:rsidR="008B672B" w:rsidRPr="00E25833">
        <w:rPr>
          <w:rFonts w:ascii="Times New Roman" w:eastAsia="Calibri" w:hAnsi="Times New Roman" w:cs="Times New Roman"/>
          <w:sz w:val="28"/>
          <w:szCs w:val="28"/>
        </w:rPr>
        <w:t>7,59 </w:t>
      </w:r>
      <w:proofErr w:type="spellStart"/>
      <w:r w:rsidR="00F30009" w:rsidRPr="006610D8">
        <w:rPr>
          <w:rFonts w:ascii="Times New Roman" w:eastAsia="Calibri" w:hAnsi="Times New Roman" w:cs="Times New Roman"/>
          <w:i/>
          <w:iCs/>
          <w:sz w:val="28"/>
          <w:szCs w:val="28"/>
        </w:rPr>
        <w:t>euro</w:t>
      </w:r>
      <w:proofErr w:type="spellEnd"/>
      <w:r w:rsidR="001155D8">
        <w:rPr>
          <w:rFonts w:ascii="Times New Roman" w:eastAsia="Calibri" w:hAnsi="Times New Roman" w:cs="Times New Roman"/>
          <w:i/>
          <w:iCs/>
          <w:sz w:val="28"/>
          <w:szCs w:val="28"/>
        </w:rPr>
        <w:t xml:space="preserve"> </w:t>
      </w:r>
      <w:r w:rsidR="008B672B">
        <w:rPr>
          <w:rFonts w:ascii="Times New Roman" w:eastAsia="Calibri" w:hAnsi="Times New Roman" w:cs="Times New Roman"/>
          <w:sz w:val="28"/>
          <w:szCs w:val="28"/>
        </w:rPr>
        <w:t>stundā)</w:t>
      </w:r>
      <w:r w:rsidR="008B672B" w:rsidRPr="00E25833">
        <w:rPr>
          <w:rFonts w:ascii="Times New Roman" w:eastAsia="Calibri" w:hAnsi="Times New Roman" w:cs="Times New Roman"/>
          <w:sz w:val="28"/>
          <w:szCs w:val="28"/>
        </w:rPr>
        <w:t xml:space="preserve"> ir par 2,2 % lielāka nekā vidēji valstī </w:t>
      </w:r>
      <w:r w:rsidR="008B672B">
        <w:rPr>
          <w:rFonts w:ascii="Times New Roman" w:eastAsia="Calibri" w:hAnsi="Times New Roman" w:cs="Times New Roman"/>
          <w:sz w:val="28"/>
          <w:szCs w:val="28"/>
        </w:rPr>
        <w:t>(</w:t>
      </w:r>
      <w:r w:rsidR="008B672B" w:rsidRPr="00E25833">
        <w:rPr>
          <w:rFonts w:ascii="Times New Roman" w:eastAsia="Calibri" w:hAnsi="Times New Roman" w:cs="Times New Roman"/>
          <w:sz w:val="28"/>
          <w:szCs w:val="28"/>
        </w:rPr>
        <w:t>7,43 </w:t>
      </w:r>
      <w:proofErr w:type="spellStart"/>
      <w:r w:rsidR="001155D8" w:rsidRPr="00E734B0">
        <w:rPr>
          <w:rFonts w:ascii="Times New Roman" w:eastAsia="Calibri" w:hAnsi="Times New Roman" w:cs="Times New Roman"/>
          <w:i/>
          <w:iCs/>
          <w:sz w:val="28"/>
          <w:szCs w:val="28"/>
        </w:rPr>
        <w:t>euro</w:t>
      </w:r>
      <w:proofErr w:type="spellEnd"/>
      <w:r w:rsidR="008B672B">
        <w:rPr>
          <w:rFonts w:ascii="Times New Roman" w:eastAsia="Calibri" w:hAnsi="Times New Roman" w:cs="Times New Roman"/>
          <w:sz w:val="28"/>
          <w:szCs w:val="28"/>
        </w:rPr>
        <w:t xml:space="preserve"> stundā). </w:t>
      </w:r>
    </w:p>
    <w:p w14:paraId="0550CC9B" w14:textId="77777777" w:rsidR="004B5136" w:rsidRPr="00E25833" w:rsidRDefault="004B5136" w:rsidP="002F0967">
      <w:pPr>
        <w:spacing w:before="0" w:after="0" w:line="240" w:lineRule="auto"/>
        <w:ind w:firstLine="720"/>
        <w:jc w:val="both"/>
        <w:rPr>
          <w:rFonts w:ascii="Times New Roman" w:eastAsia="Calibri" w:hAnsi="Times New Roman" w:cs="Times New Roman"/>
          <w:sz w:val="28"/>
          <w:szCs w:val="28"/>
        </w:rPr>
      </w:pPr>
    </w:p>
    <w:p w14:paraId="07C609B7" w14:textId="77777777" w:rsidR="004B5136" w:rsidRPr="00E25833" w:rsidRDefault="004B5136" w:rsidP="00237CD7">
      <w:pPr>
        <w:spacing w:before="0" w:after="0" w:line="240" w:lineRule="auto"/>
        <w:ind w:firstLine="720"/>
        <w:jc w:val="both"/>
        <w:rPr>
          <w:rFonts w:ascii="Times New Roman" w:eastAsia="Calibri" w:hAnsi="Times New Roman" w:cs="Times New Roman"/>
          <w:b/>
          <w:i/>
          <w:sz w:val="28"/>
          <w:szCs w:val="28"/>
        </w:rPr>
      </w:pPr>
      <w:r w:rsidRPr="00E25833">
        <w:rPr>
          <w:rFonts w:ascii="Times New Roman" w:eastAsia="Calibri" w:hAnsi="Times New Roman" w:cs="Times New Roman"/>
          <w:b/>
          <w:i/>
          <w:sz w:val="28"/>
          <w:szCs w:val="28"/>
        </w:rPr>
        <w:t>Darba devēju sadalījums pēc vidējiem aprēķinātiem darba ienākumiem</w:t>
      </w:r>
    </w:p>
    <w:p w14:paraId="536F55D2" w14:textId="77777777" w:rsidR="004B5136" w:rsidRPr="004F397E" w:rsidRDefault="004B5136" w:rsidP="005E08CF">
      <w:pPr>
        <w:spacing w:before="0" w:after="0" w:line="240" w:lineRule="auto"/>
        <w:ind w:firstLine="720"/>
        <w:jc w:val="both"/>
        <w:rPr>
          <w:rFonts w:ascii="Times New Roman" w:eastAsia="Calibri" w:hAnsi="Times New Roman" w:cs="Times New Roman"/>
          <w:sz w:val="28"/>
          <w:szCs w:val="28"/>
        </w:rPr>
      </w:pPr>
      <w:r w:rsidRPr="004F397E">
        <w:rPr>
          <w:rFonts w:ascii="Times New Roman" w:eastAsia="Calibri" w:hAnsi="Times New Roman" w:cs="Times New Roman"/>
          <w:sz w:val="28"/>
          <w:szCs w:val="28"/>
        </w:rPr>
        <w:t>2019.gadā 46,</w:t>
      </w:r>
      <w:r w:rsidR="009800B2" w:rsidRPr="004F397E">
        <w:rPr>
          <w:rFonts w:ascii="Times New Roman" w:eastAsia="Calibri" w:hAnsi="Times New Roman" w:cs="Times New Roman"/>
          <w:sz w:val="28"/>
          <w:szCs w:val="28"/>
        </w:rPr>
        <w:t>5</w:t>
      </w:r>
      <w:r w:rsidR="000D6092">
        <w:rPr>
          <w:rFonts w:ascii="Times New Roman" w:eastAsia="Calibri" w:hAnsi="Times New Roman" w:cs="Times New Roman"/>
          <w:sz w:val="28"/>
          <w:szCs w:val="28"/>
        </w:rPr>
        <w:t> </w:t>
      </w:r>
      <w:r w:rsidRPr="004F397E">
        <w:rPr>
          <w:rFonts w:ascii="Times New Roman" w:eastAsia="Calibri" w:hAnsi="Times New Roman" w:cs="Times New Roman"/>
          <w:sz w:val="28"/>
          <w:szCs w:val="28"/>
        </w:rPr>
        <w:t>% no visiem būvniecības nozar</w:t>
      </w:r>
      <w:r w:rsidR="00F43610" w:rsidRPr="004F397E">
        <w:rPr>
          <w:rFonts w:ascii="Times New Roman" w:eastAsia="Calibri" w:hAnsi="Times New Roman" w:cs="Times New Roman"/>
          <w:sz w:val="28"/>
          <w:szCs w:val="28"/>
        </w:rPr>
        <w:t>ē</w:t>
      </w:r>
      <w:r w:rsidRPr="004F397E">
        <w:rPr>
          <w:rFonts w:ascii="Times New Roman" w:eastAsia="Calibri" w:hAnsi="Times New Roman" w:cs="Times New Roman"/>
          <w:sz w:val="28"/>
          <w:szCs w:val="28"/>
        </w:rPr>
        <w:t xml:space="preserve"> vispārējā nodokļu maksāšanas režīmā strādājošiem darba devējiem </w:t>
      </w:r>
      <w:r w:rsidR="00CD6DD4" w:rsidRPr="004F397E">
        <w:rPr>
          <w:rFonts w:ascii="Times New Roman" w:eastAsia="Calibri" w:hAnsi="Times New Roman" w:cs="Times New Roman"/>
          <w:sz w:val="28"/>
          <w:szCs w:val="28"/>
        </w:rPr>
        <w:t xml:space="preserve">aprēķināja </w:t>
      </w:r>
      <w:r w:rsidRPr="004F397E">
        <w:rPr>
          <w:rFonts w:ascii="Times New Roman" w:eastAsia="Calibri" w:hAnsi="Times New Roman" w:cs="Times New Roman"/>
          <w:sz w:val="28"/>
          <w:szCs w:val="28"/>
        </w:rPr>
        <w:t xml:space="preserve">darba ņēmējiem vidējos mēneša darba ienākumus vienādus ar valstī noteikto minimālo darba algu vai zem tās, kas ir par 4,2 procentpunktiem mazāk nekā 2018.gadā (50,8 %) (skatīt </w:t>
      </w:r>
      <w:r w:rsidR="004F397E" w:rsidRPr="004F397E">
        <w:rPr>
          <w:rFonts w:ascii="Times New Roman" w:eastAsia="Calibri" w:hAnsi="Times New Roman" w:cs="Times New Roman"/>
          <w:sz w:val="28"/>
          <w:szCs w:val="28"/>
        </w:rPr>
        <w:t>8</w:t>
      </w:r>
      <w:r w:rsidRPr="004F397E">
        <w:rPr>
          <w:rFonts w:ascii="Times New Roman" w:eastAsia="Calibri" w:hAnsi="Times New Roman" w:cs="Times New Roman"/>
          <w:sz w:val="28"/>
          <w:szCs w:val="28"/>
        </w:rPr>
        <w:t>.tabulu).</w:t>
      </w:r>
    </w:p>
    <w:p w14:paraId="713C36CC" w14:textId="18876597" w:rsidR="004B5136" w:rsidRDefault="004B5136" w:rsidP="000D6092">
      <w:pPr>
        <w:spacing w:before="0" w:after="0" w:line="240" w:lineRule="auto"/>
        <w:ind w:firstLine="720"/>
        <w:jc w:val="both"/>
        <w:rPr>
          <w:rFonts w:ascii="Times New Roman" w:eastAsia="Calibri" w:hAnsi="Times New Roman" w:cs="Times New Roman"/>
          <w:sz w:val="28"/>
          <w:szCs w:val="28"/>
        </w:rPr>
      </w:pPr>
      <w:r w:rsidRPr="004F397E">
        <w:rPr>
          <w:rFonts w:ascii="Times New Roman" w:eastAsia="Calibri" w:hAnsi="Times New Roman" w:cs="Times New Roman"/>
          <w:sz w:val="28"/>
          <w:szCs w:val="28"/>
        </w:rPr>
        <w:t xml:space="preserve">Pozitīvi vērtējams, ka 2019.gadā, salīdzinot ar 2018.gadu, par 4,5 procentpunktiem pieaudzis to nozares darba devēju īpatsvars, kas darba ņēmējiem aprēķinājuši vidējos mēneša darba ienākumus virs valstī noteiktās minimālās darba algas (ja 2019.gadā tie bija vidēji </w:t>
      </w:r>
      <w:r w:rsidR="0083505D" w:rsidRPr="004F397E">
        <w:rPr>
          <w:rFonts w:ascii="Times New Roman" w:eastAsia="Calibri" w:hAnsi="Times New Roman" w:cs="Times New Roman"/>
          <w:sz w:val="28"/>
          <w:szCs w:val="28"/>
        </w:rPr>
        <w:t>38,7</w:t>
      </w:r>
      <w:r w:rsidRPr="004F397E">
        <w:rPr>
          <w:rFonts w:ascii="Times New Roman" w:eastAsia="Calibri" w:hAnsi="Times New Roman" w:cs="Times New Roman"/>
          <w:sz w:val="28"/>
          <w:szCs w:val="28"/>
        </w:rPr>
        <w:t xml:space="preserve"> %, tad 2018.gadā – vidēji </w:t>
      </w:r>
      <w:r w:rsidR="00E53CFB" w:rsidRPr="004F397E">
        <w:rPr>
          <w:rFonts w:ascii="Times New Roman" w:eastAsia="Calibri" w:hAnsi="Times New Roman" w:cs="Times New Roman"/>
          <w:sz w:val="28"/>
          <w:szCs w:val="28"/>
        </w:rPr>
        <w:t>34,2</w:t>
      </w:r>
      <w:r w:rsidRPr="004F397E">
        <w:rPr>
          <w:rFonts w:ascii="Times New Roman" w:eastAsia="Calibri" w:hAnsi="Times New Roman" w:cs="Times New Roman"/>
          <w:sz w:val="28"/>
          <w:szCs w:val="28"/>
        </w:rPr>
        <w:t> %). 201</w:t>
      </w:r>
      <w:r w:rsidR="000D75EC" w:rsidRPr="004F397E">
        <w:rPr>
          <w:rFonts w:ascii="Times New Roman" w:eastAsia="Calibri" w:hAnsi="Times New Roman" w:cs="Times New Roman"/>
          <w:sz w:val="28"/>
          <w:szCs w:val="28"/>
        </w:rPr>
        <w:t>8</w:t>
      </w:r>
      <w:r w:rsidRPr="004F397E">
        <w:rPr>
          <w:rFonts w:ascii="Times New Roman" w:eastAsia="Calibri" w:hAnsi="Times New Roman" w:cs="Times New Roman"/>
          <w:sz w:val="28"/>
          <w:szCs w:val="28"/>
        </w:rPr>
        <w:t>.gadā, salīdzinot ar 201</w:t>
      </w:r>
      <w:r w:rsidR="000D75EC" w:rsidRPr="004F397E">
        <w:rPr>
          <w:rFonts w:ascii="Times New Roman" w:eastAsia="Calibri" w:hAnsi="Times New Roman" w:cs="Times New Roman"/>
          <w:sz w:val="28"/>
          <w:szCs w:val="28"/>
        </w:rPr>
        <w:t>7</w:t>
      </w:r>
      <w:r w:rsidRPr="004F397E">
        <w:rPr>
          <w:rFonts w:ascii="Times New Roman" w:eastAsia="Calibri" w:hAnsi="Times New Roman" w:cs="Times New Roman"/>
          <w:sz w:val="28"/>
          <w:szCs w:val="28"/>
        </w:rPr>
        <w:t>.gadu, šim rādītājam pieaugums bija tikai 0,7</w:t>
      </w:r>
      <w:r w:rsidR="004E2B75">
        <w:rPr>
          <w:rFonts w:ascii="Times New Roman" w:eastAsia="Calibri" w:hAnsi="Times New Roman" w:cs="Times New Roman"/>
          <w:sz w:val="28"/>
          <w:szCs w:val="28"/>
        </w:rPr>
        <w:t> </w:t>
      </w:r>
      <w:r w:rsidRPr="004F397E">
        <w:rPr>
          <w:rFonts w:ascii="Times New Roman" w:eastAsia="Calibri" w:hAnsi="Times New Roman" w:cs="Times New Roman"/>
          <w:sz w:val="28"/>
          <w:szCs w:val="28"/>
        </w:rPr>
        <w:t>procentpunkti.</w:t>
      </w:r>
    </w:p>
    <w:p w14:paraId="27474AED" w14:textId="77777777" w:rsidR="00F940BD" w:rsidRDefault="00F940BD" w:rsidP="004B5136">
      <w:pPr>
        <w:spacing w:before="0" w:after="0" w:line="240" w:lineRule="auto"/>
        <w:ind w:firstLine="720"/>
        <w:jc w:val="right"/>
        <w:rPr>
          <w:rFonts w:ascii="Times New Roman" w:eastAsia="Calibri" w:hAnsi="Times New Roman" w:cs="Times New Roman"/>
          <w:sz w:val="28"/>
          <w:szCs w:val="28"/>
        </w:rPr>
      </w:pPr>
    </w:p>
    <w:p w14:paraId="538B6124" w14:textId="77777777" w:rsidR="00F940BD" w:rsidRDefault="00F940BD" w:rsidP="004B5136">
      <w:pPr>
        <w:spacing w:before="0" w:after="0" w:line="240" w:lineRule="auto"/>
        <w:ind w:firstLine="720"/>
        <w:jc w:val="right"/>
        <w:rPr>
          <w:rFonts w:ascii="Times New Roman" w:eastAsia="Calibri" w:hAnsi="Times New Roman" w:cs="Times New Roman"/>
          <w:sz w:val="28"/>
          <w:szCs w:val="28"/>
        </w:rPr>
      </w:pPr>
    </w:p>
    <w:p w14:paraId="0580A77E" w14:textId="77777777" w:rsidR="00F940BD" w:rsidRDefault="00F940BD" w:rsidP="004B5136">
      <w:pPr>
        <w:spacing w:before="0" w:after="0" w:line="240" w:lineRule="auto"/>
        <w:ind w:firstLine="720"/>
        <w:jc w:val="right"/>
        <w:rPr>
          <w:rFonts w:ascii="Times New Roman" w:eastAsia="Calibri" w:hAnsi="Times New Roman" w:cs="Times New Roman"/>
          <w:sz w:val="28"/>
          <w:szCs w:val="28"/>
        </w:rPr>
      </w:pPr>
    </w:p>
    <w:p w14:paraId="0D5A5926" w14:textId="77777777" w:rsidR="00F940BD" w:rsidRDefault="00F940BD" w:rsidP="004B5136">
      <w:pPr>
        <w:spacing w:before="0" w:after="0" w:line="240" w:lineRule="auto"/>
        <w:ind w:firstLine="720"/>
        <w:jc w:val="right"/>
        <w:rPr>
          <w:rFonts w:ascii="Times New Roman" w:eastAsia="Calibri" w:hAnsi="Times New Roman" w:cs="Times New Roman"/>
          <w:sz w:val="28"/>
          <w:szCs w:val="28"/>
        </w:rPr>
      </w:pPr>
    </w:p>
    <w:p w14:paraId="41BCB596" w14:textId="77777777" w:rsidR="00F940BD" w:rsidRDefault="00F940BD" w:rsidP="004B5136">
      <w:pPr>
        <w:spacing w:before="0" w:after="0" w:line="240" w:lineRule="auto"/>
        <w:ind w:firstLine="720"/>
        <w:jc w:val="right"/>
        <w:rPr>
          <w:rFonts w:ascii="Times New Roman" w:eastAsia="Calibri" w:hAnsi="Times New Roman" w:cs="Times New Roman"/>
          <w:sz w:val="28"/>
          <w:szCs w:val="28"/>
        </w:rPr>
      </w:pPr>
    </w:p>
    <w:p w14:paraId="31B052D7" w14:textId="77777777" w:rsidR="00F940BD" w:rsidRDefault="00F940BD" w:rsidP="004B5136">
      <w:pPr>
        <w:spacing w:before="0" w:after="0" w:line="240" w:lineRule="auto"/>
        <w:ind w:firstLine="720"/>
        <w:jc w:val="right"/>
        <w:rPr>
          <w:rFonts w:ascii="Times New Roman" w:eastAsia="Calibri" w:hAnsi="Times New Roman" w:cs="Times New Roman"/>
          <w:sz w:val="28"/>
          <w:szCs w:val="28"/>
        </w:rPr>
      </w:pPr>
    </w:p>
    <w:p w14:paraId="09DF9B47" w14:textId="77777777" w:rsidR="00F940BD" w:rsidRDefault="00F940BD" w:rsidP="004B5136">
      <w:pPr>
        <w:spacing w:before="0" w:after="0" w:line="240" w:lineRule="auto"/>
        <w:ind w:firstLine="720"/>
        <w:jc w:val="right"/>
        <w:rPr>
          <w:rFonts w:ascii="Times New Roman" w:eastAsia="Calibri" w:hAnsi="Times New Roman" w:cs="Times New Roman"/>
          <w:sz w:val="28"/>
          <w:szCs w:val="28"/>
        </w:rPr>
      </w:pPr>
    </w:p>
    <w:p w14:paraId="2E0F2453" w14:textId="5466E157" w:rsidR="004B5136" w:rsidRPr="004F397E" w:rsidRDefault="004F397E" w:rsidP="004B5136">
      <w:pPr>
        <w:spacing w:before="0" w:after="0" w:line="240" w:lineRule="auto"/>
        <w:ind w:firstLine="720"/>
        <w:jc w:val="right"/>
        <w:rPr>
          <w:rFonts w:ascii="Times New Roman" w:eastAsia="Calibri" w:hAnsi="Times New Roman" w:cs="Times New Roman"/>
          <w:sz w:val="28"/>
          <w:szCs w:val="28"/>
        </w:rPr>
      </w:pPr>
      <w:r w:rsidRPr="004F397E">
        <w:rPr>
          <w:rFonts w:ascii="Times New Roman" w:eastAsia="Calibri" w:hAnsi="Times New Roman" w:cs="Times New Roman"/>
          <w:sz w:val="28"/>
          <w:szCs w:val="28"/>
        </w:rPr>
        <w:t>8</w:t>
      </w:r>
      <w:r w:rsidR="004B5136" w:rsidRPr="004F397E">
        <w:rPr>
          <w:rFonts w:ascii="Times New Roman" w:eastAsia="Calibri" w:hAnsi="Times New Roman" w:cs="Times New Roman"/>
          <w:sz w:val="28"/>
          <w:szCs w:val="28"/>
        </w:rPr>
        <w:t>.tabula</w:t>
      </w:r>
    </w:p>
    <w:p w14:paraId="15F15381" w14:textId="77777777" w:rsidR="004B5136" w:rsidRPr="00E25833" w:rsidRDefault="004B5136" w:rsidP="004B5136">
      <w:pPr>
        <w:spacing w:before="0" w:after="0" w:line="240" w:lineRule="auto"/>
        <w:jc w:val="center"/>
        <w:rPr>
          <w:rFonts w:ascii="Times New Roman" w:eastAsia="Calibri" w:hAnsi="Times New Roman" w:cs="Times New Roman"/>
          <w:b/>
          <w:sz w:val="28"/>
          <w:szCs w:val="28"/>
        </w:rPr>
      </w:pPr>
      <w:r w:rsidRPr="00E25833">
        <w:rPr>
          <w:rFonts w:ascii="Times New Roman" w:eastAsia="Calibri" w:hAnsi="Times New Roman" w:cs="Times New Roman"/>
          <w:b/>
          <w:sz w:val="28"/>
          <w:szCs w:val="28"/>
        </w:rPr>
        <w:t>Vispārējā nodokļu maksāšanas režīmā strādājošo darba devēju sadalījums pēc vidējiem aprēķinātajiem mēneša bruto darba ienākumiem</w:t>
      </w:r>
      <w:r w:rsidRPr="00E25833">
        <w:rPr>
          <w:rFonts w:ascii="Times New Roman" w:eastAsia="Calibri" w:hAnsi="Times New Roman" w:cs="Times New Roman"/>
          <w:b/>
          <w:sz w:val="28"/>
          <w:szCs w:val="28"/>
          <w:vertAlign w:val="superscript"/>
        </w:rPr>
        <w:footnoteReference w:id="13"/>
      </w:r>
    </w:p>
    <w:p w14:paraId="661D3D0D" w14:textId="77777777" w:rsidR="004B5136" w:rsidRPr="00E25833" w:rsidRDefault="004B5136" w:rsidP="004B5136">
      <w:pPr>
        <w:spacing w:before="0" w:after="0" w:line="240" w:lineRule="auto"/>
        <w:rPr>
          <w:rFonts w:ascii="Times New Roman" w:eastAsia="Calibri" w:hAnsi="Times New Roman" w:cs="Times New Roman"/>
        </w:rPr>
      </w:pPr>
      <w:r w:rsidRPr="00E25833">
        <w:rPr>
          <w:rFonts w:ascii="Times New Roman" w:eastAsia="Calibri" w:hAnsi="Times New Roman" w:cs="Times New Roman"/>
        </w:rPr>
        <w:t>Dati uz 2020.gada 31.martu</w:t>
      </w:r>
    </w:p>
    <w:tbl>
      <w:tblPr>
        <w:tblW w:w="9557" w:type="dxa"/>
        <w:jc w:val="center"/>
        <w:tblLook w:val="04A0" w:firstRow="1" w:lastRow="0" w:firstColumn="1" w:lastColumn="0" w:noHBand="0" w:noVBand="1"/>
      </w:tblPr>
      <w:tblGrid>
        <w:gridCol w:w="888"/>
        <w:gridCol w:w="1504"/>
        <w:gridCol w:w="1005"/>
        <w:gridCol w:w="774"/>
        <w:gridCol w:w="1103"/>
        <w:gridCol w:w="1114"/>
        <w:gridCol w:w="1107"/>
        <w:gridCol w:w="1013"/>
        <w:gridCol w:w="1049"/>
      </w:tblGrid>
      <w:tr w:rsidR="004B5136" w:rsidRPr="00E25833" w14:paraId="378DEA41" w14:textId="77777777" w:rsidTr="004B5136">
        <w:trPr>
          <w:trHeight w:val="300"/>
          <w:jc w:val="center"/>
        </w:trPr>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BBF69D"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Periods</w:t>
            </w:r>
          </w:p>
        </w:tc>
        <w:tc>
          <w:tcPr>
            <w:tcW w:w="15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F0A52C"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Apskatāmā kopa</w:t>
            </w:r>
          </w:p>
        </w:tc>
        <w:tc>
          <w:tcPr>
            <w:tcW w:w="7165" w:type="dxa"/>
            <w:gridSpan w:val="7"/>
            <w:tcBorders>
              <w:top w:val="single" w:sz="4" w:space="0" w:color="auto"/>
              <w:left w:val="nil"/>
              <w:bottom w:val="single" w:sz="4" w:space="0" w:color="auto"/>
              <w:right w:val="single" w:sz="4" w:space="0" w:color="000000"/>
            </w:tcBorders>
            <w:shd w:val="clear" w:color="auto" w:fill="auto"/>
            <w:vAlign w:val="center"/>
            <w:hideMark/>
          </w:tcPr>
          <w:p w14:paraId="15FD7569"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Darba devēju vidējais aprēķinātais darba ienākumu apmērs</w:t>
            </w:r>
          </w:p>
        </w:tc>
      </w:tr>
      <w:tr w:rsidR="004B5136" w:rsidRPr="00E25833" w14:paraId="79F9979D" w14:textId="77777777" w:rsidTr="004B5136">
        <w:trPr>
          <w:trHeight w:val="1260"/>
          <w:jc w:val="center"/>
        </w:trPr>
        <w:tc>
          <w:tcPr>
            <w:tcW w:w="888" w:type="dxa"/>
            <w:vMerge/>
            <w:tcBorders>
              <w:top w:val="single" w:sz="4" w:space="0" w:color="auto"/>
              <w:left w:val="single" w:sz="4" w:space="0" w:color="auto"/>
              <w:bottom w:val="single" w:sz="4" w:space="0" w:color="auto"/>
              <w:right w:val="single" w:sz="4" w:space="0" w:color="auto"/>
            </w:tcBorders>
            <w:vAlign w:val="center"/>
            <w:hideMark/>
          </w:tcPr>
          <w:p w14:paraId="5A60806D" w14:textId="77777777" w:rsidR="004B5136" w:rsidRPr="00E25833" w:rsidRDefault="004B5136" w:rsidP="004B5136">
            <w:pPr>
              <w:spacing w:before="0" w:after="0" w:line="240" w:lineRule="auto"/>
              <w:rPr>
                <w:rFonts w:ascii="Times New Roman" w:eastAsia="Times New Roman" w:hAnsi="Times New Roman" w:cs="Times New Roman"/>
                <w:b/>
                <w:bCs/>
                <w:color w:val="000000"/>
                <w:sz w:val="16"/>
                <w:szCs w:val="16"/>
                <w:lang w:eastAsia="lv-LV"/>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14:paraId="432BB402" w14:textId="77777777" w:rsidR="004B5136" w:rsidRPr="00E25833" w:rsidRDefault="004B5136" w:rsidP="004B5136">
            <w:pPr>
              <w:spacing w:before="0" w:after="0" w:line="240" w:lineRule="auto"/>
              <w:rPr>
                <w:rFonts w:ascii="Times New Roman" w:eastAsia="Times New Roman" w:hAnsi="Times New Roman" w:cs="Times New Roman"/>
                <w:b/>
                <w:bCs/>
                <w:color w:val="000000"/>
                <w:sz w:val="16"/>
                <w:szCs w:val="16"/>
                <w:lang w:eastAsia="lv-LV"/>
              </w:rPr>
            </w:pPr>
          </w:p>
        </w:tc>
        <w:tc>
          <w:tcPr>
            <w:tcW w:w="1005" w:type="dxa"/>
            <w:tcBorders>
              <w:top w:val="nil"/>
              <w:left w:val="nil"/>
              <w:bottom w:val="single" w:sz="4" w:space="0" w:color="auto"/>
              <w:right w:val="single" w:sz="4" w:space="0" w:color="auto"/>
            </w:tcBorders>
            <w:shd w:val="clear" w:color="auto" w:fill="auto"/>
            <w:vAlign w:val="center"/>
            <w:hideMark/>
          </w:tcPr>
          <w:p w14:paraId="7EA58578" w14:textId="77777777" w:rsidR="004B5136" w:rsidRPr="00E25833" w:rsidRDefault="009D29E9" w:rsidP="004B5136">
            <w:pPr>
              <w:spacing w:before="0"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d</w:t>
            </w:r>
            <w:r w:rsidR="004B5136" w:rsidRPr="00E25833">
              <w:rPr>
                <w:rFonts w:ascii="Times New Roman" w:eastAsia="Times New Roman" w:hAnsi="Times New Roman" w:cs="Times New Roman"/>
                <w:b/>
                <w:bCs/>
                <w:color w:val="000000"/>
                <w:sz w:val="16"/>
                <w:szCs w:val="16"/>
                <w:lang w:eastAsia="lv-LV"/>
              </w:rPr>
              <w:t>arba ņēmēji nav norādīti</w:t>
            </w:r>
          </w:p>
        </w:tc>
        <w:tc>
          <w:tcPr>
            <w:tcW w:w="774" w:type="dxa"/>
            <w:tcBorders>
              <w:top w:val="nil"/>
              <w:left w:val="nil"/>
              <w:bottom w:val="single" w:sz="4" w:space="0" w:color="auto"/>
              <w:right w:val="single" w:sz="4" w:space="0" w:color="auto"/>
            </w:tcBorders>
            <w:shd w:val="clear" w:color="auto" w:fill="auto"/>
            <w:vAlign w:val="center"/>
            <w:hideMark/>
          </w:tcPr>
          <w:p w14:paraId="2EFE3725"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 xml:space="preserve">0 </w:t>
            </w:r>
            <w:proofErr w:type="spellStart"/>
            <w:r w:rsidR="001155D8" w:rsidRPr="006610D8">
              <w:rPr>
                <w:rFonts w:ascii="Times New Roman" w:eastAsia="Times New Roman" w:hAnsi="Times New Roman" w:cs="Times New Roman"/>
                <w:b/>
                <w:bCs/>
                <w:i/>
                <w:iCs/>
                <w:color w:val="000000"/>
                <w:sz w:val="16"/>
                <w:szCs w:val="16"/>
                <w:lang w:eastAsia="lv-LV"/>
              </w:rPr>
              <w:t>euro</w:t>
            </w:r>
            <w:proofErr w:type="spellEnd"/>
          </w:p>
        </w:tc>
        <w:tc>
          <w:tcPr>
            <w:tcW w:w="1103" w:type="dxa"/>
            <w:tcBorders>
              <w:top w:val="nil"/>
              <w:left w:val="nil"/>
              <w:bottom w:val="single" w:sz="4" w:space="0" w:color="auto"/>
              <w:right w:val="single" w:sz="4" w:space="0" w:color="auto"/>
            </w:tcBorders>
            <w:shd w:val="clear" w:color="auto" w:fill="auto"/>
            <w:vAlign w:val="center"/>
            <w:hideMark/>
          </w:tcPr>
          <w:p w14:paraId="6996454E"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mazāks par valstī noteikto minimālo darba algu</w:t>
            </w:r>
          </w:p>
        </w:tc>
        <w:tc>
          <w:tcPr>
            <w:tcW w:w="1114" w:type="dxa"/>
            <w:tcBorders>
              <w:top w:val="nil"/>
              <w:left w:val="nil"/>
              <w:bottom w:val="single" w:sz="4" w:space="0" w:color="auto"/>
              <w:right w:val="single" w:sz="4" w:space="0" w:color="auto"/>
            </w:tcBorders>
            <w:shd w:val="clear" w:color="auto" w:fill="auto"/>
            <w:vAlign w:val="center"/>
            <w:hideMark/>
          </w:tcPr>
          <w:p w14:paraId="44EDAA63"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vienāds ar valstī noteikto minimālo</w:t>
            </w:r>
            <w:r w:rsidRPr="00E25833">
              <w:rPr>
                <w:rFonts w:ascii="Times New Roman" w:eastAsia="Times New Roman" w:hAnsi="Times New Roman" w:cs="Times New Roman"/>
                <w:b/>
                <w:bCs/>
                <w:color w:val="000000"/>
                <w:sz w:val="16"/>
                <w:szCs w:val="16"/>
                <w:vertAlign w:val="superscript"/>
                <w:lang w:eastAsia="lv-LV"/>
              </w:rPr>
              <w:footnoteRef/>
            </w:r>
            <w:r w:rsidRPr="00E25833">
              <w:rPr>
                <w:rFonts w:ascii="Times New Roman" w:eastAsia="Times New Roman" w:hAnsi="Times New Roman" w:cs="Times New Roman"/>
                <w:b/>
                <w:bCs/>
                <w:color w:val="000000"/>
                <w:sz w:val="16"/>
                <w:szCs w:val="16"/>
                <w:lang w:eastAsia="lv-LV"/>
              </w:rPr>
              <w:t xml:space="preserve">  darba algu </w:t>
            </w:r>
            <w:proofErr w:type="spellStart"/>
            <w:r w:rsidR="001155D8" w:rsidRPr="00E734B0">
              <w:rPr>
                <w:rFonts w:ascii="Times New Roman" w:eastAsia="Times New Roman" w:hAnsi="Times New Roman" w:cs="Times New Roman"/>
                <w:b/>
                <w:bCs/>
                <w:i/>
                <w:iCs/>
                <w:color w:val="000000"/>
                <w:sz w:val="16"/>
                <w:szCs w:val="16"/>
                <w:lang w:eastAsia="lv-LV"/>
              </w:rPr>
              <w:t>euro</w:t>
            </w:r>
            <w:proofErr w:type="spellEnd"/>
          </w:p>
        </w:tc>
        <w:tc>
          <w:tcPr>
            <w:tcW w:w="1107" w:type="dxa"/>
            <w:tcBorders>
              <w:top w:val="nil"/>
              <w:left w:val="nil"/>
              <w:bottom w:val="single" w:sz="4" w:space="0" w:color="auto"/>
              <w:right w:val="single" w:sz="4" w:space="0" w:color="auto"/>
            </w:tcBorders>
            <w:shd w:val="clear" w:color="auto" w:fill="auto"/>
            <w:vAlign w:val="center"/>
            <w:hideMark/>
          </w:tcPr>
          <w:p w14:paraId="6CAE64C4"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no valstī noteiktās minimālās darba algas  līdz 700 </w:t>
            </w:r>
            <w:proofErr w:type="spellStart"/>
            <w:r w:rsidR="001155D8" w:rsidRPr="00E734B0">
              <w:rPr>
                <w:rFonts w:ascii="Times New Roman" w:eastAsia="Times New Roman" w:hAnsi="Times New Roman" w:cs="Times New Roman"/>
                <w:b/>
                <w:bCs/>
                <w:i/>
                <w:iCs/>
                <w:color w:val="000000"/>
                <w:sz w:val="16"/>
                <w:szCs w:val="16"/>
                <w:lang w:eastAsia="lv-LV"/>
              </w:rPr>
              <w:t>euro</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795C9402"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 xml:space="preserve">no 700 </w:t>
            </w:r>
            <w:proofErr w:type="spellStart"/>
            <w:r w:rsidR="001155D8" w:rsidRPr="00E734B0">
              <w:rPr>
                <w:rFonts w:ascii="Times New Roman" w:eastAsia="Times New Roman" w:hAnsi="Times New Roman" w:cs="Times New Roman"/>
                <w:b/>
                <w:bCs/>
                <w:i/>
                <w:iCs/>
                <w:color w:val="000000"/>
                <w:sz w:val="16"/>
                <w:szCs w:val="16"/>
                <w:lang w:eastAsia="lv-LV"/>
              </w:rPr>
              <w:t>euro</w:t>
            </w:r>
            <w:proofErr w:type="spellEnd"/>
            <w:r w:rsidRPr="00E25833">
              <w:rPr>
                <w:rFonts w:ascii="Times New Roman" w:eastAsia="Times New Roman" w:hAnsi="Times New Roman" w:cs="Times New Roman"/>
                <w:b/>
                <w:bCs/>
                <w:color w:val="000000"/>
                <w:sz w:val="16"/>
                <w:szCs w:val="16"/>
                <w:lang w:eastAsia="lv-LV"/>
              </w:rPr>
              <w:t xml:space="preserve"> līdz 1400 </w:t>
            </w:r>
            <w:proofErr w:type="spellStart"/>
            <w:r w:rsidR="001155D8" w:rsidRPr="00E734B0">
              <w:rPr>
                <w:rFonts w:ascii="Times New Roman" w:eastAsia="Times New Roman" w:hAnsi="Times New Roman" w:cs="Times New Roman"/>
                <w:b/>
                <w:bCs/>
                <w:i/>
                <w:iCs/>
                <w:color w:val="000000"/>
                <w:sz w:val="16"/>
                <w:szCs w:val="16"/>
                <w:lang w:eastAsia="lv-LV"/>
              </w:rPr>
              <w:t>euro</w:t>
            </w:r>
            <w:proofErr w:type="spellEnd"/>
          </w:p>
        </w:tc>
        <w:tc>
          <w:tcPr>
            <w:tcW w:w="1049" w:type="dxa"/>
            <w:tcBorders>
              <w:top w:val="nil"/>
              <w:left w:val="nil"/>
              <w:bottom w:val="single" w:sz="4" w:space="0" w:color="auto"/>
              <w:right w:val="single" w:sz="4" w:space="0" w:color="auto"/>
            </w:tcBorders>
            <w:shd w:val="clear" w:color="auto" w:fill="auto"/>
            <w:vAlign w:val="center"/>
            <w:hideMark/>
          </w:tcPr>
          <w:p w14:paraId="6FA704A3" w14:textId="77777777" w:rsidR="004B5136" w:rsidRPr="00E25833" w:rsidRDefault="009F05C9" w:rsidP="004B5136">
            <w:pPr>
              <w:spacing w:before="0"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v</w:t>
            </w:r>
            <w:r w:rsidR="004B5136" w:rsidRPr="00E25833">
              <w:rPr>
                <w:rFonts w:ascii="Times New Roman" w:eastAsia="Times New Roman" w:hAnsi="Times New Roman" w:cs="Times New Roman"/>
                <w:b/>
                <w:bCs/>
                <w:color w:val="000000"/>
                <w:sz w:val="16"/>
                <w:szCs w:val="16"/>
                <w:lang w:eastAsia="lv-LV"/>
              </w:rPr>
              <w:t xml:space="preserve">irs </w:t>
            </w:r>
          </w:p>
          <w:p w14:paraId="7569E16A"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 xml:space="preserve">1400 </w:t>
            </w:r>
            <w:proofErr w:type="spellStart"/>
            <w:r w:rsidR="001155D8" w:rsidRPr="00E734B0">
              <w:rPr>
                <w:rFonts w:ascii="Times New Roman" w:eastAsia="Times New Roman" w:hAnsi="Times New Roman" w:cs="Times New Roman"/>
                <w:b/>
                <w:bCs/>
                <w:i/>
                <w:iCs/>
                <w:color w:val="000000"/>
                <w:sz w:val="16"/>
                <w:szCs w:val="16"/>
                <w:lang w:eastAsia="lv-LV"/>
              </w:rPr>
              <w:t>euro</w:t>
            </w:r>
            <w:proofErr w:type="spellEnd"/>
          </w:p>
        </w:tc>
      </w:tr>
      <w:tr w:rsidR="004B5136" w:rsidRPr="00E25833" w14:paraId="531AE6D4" w14:textId="77777777" w:rsidTr="004B5136">
        <w:trPr>
          <w:trHeight w:val="300"/>
          <w:jc w:val="center"/>
        </w:trPr>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14:paraId="773A68D4"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2017.gads</w:t>
            </w:r>
          </w:p>
        </w:tc>
        <w:tc>
          <w:tcPr>
            <w:tcW w:w="1504" w:type="dxa"/>
            <w:tcBorders>
              <w:top w:val="nil"/>
              <w:left w:val="nil"/>
              <w:bottom w:val="single" w:sz="4" w:space="0" w:color="auto"/>
              <w:right w:val="single" w:sz="4" w:space="0" w:color="auto"/>
            </w:tcBorders>
            <w:shd w:val="clear" w:color="auto" w:fill="auto"/>
            <w:vAlign w:val="center"/>
            <w:hideMark/>
          </w:tcPr>
          <w:p w14:paraId="16D48487" w14:textId="77777777" w:rsidR="004B5136" w:rsidRPr="00E25833" w:rsidRDefault="004B5136" w:rsidP="004B5136">
            <w:pPr>
              <w:spacing w:before="0" w:after="0" w:line="240" w:lineRule="auto"/>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Būvniecības nozare</w:t>
            </w:r>
          </w:p>
        </w:tc>
        <w:tc>
          <w:tcPr>
            <w:tcW w:w="1005" w:type="dxa"/>
            <w:tcBorders>
              <w:top w:val="nil"/>
              <w:left w:val="nil"/>
              <w:bottom w:val="single" w:sz="4" w:space="0" w:color="auto"/>
              <w:right w:val="single" w:sz="4" w:space="0" w:color="auto"/>
            </w:tcBorders>
            <w:shd w:val="clear" w:color="auto" w:fill="auto"/>
            <w:vAlign w:val="center"/>
            <w:hideMark/>
          </w:tcPr>
          <w:p w14:paraId="71ECFE17"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1,3</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774" w:type="dxa"/>
            <w:tcBorders>
              <w:top w:val="nil"/>
              <w:left w:val="nil"/>
              <w:bottom w:val="single" w:sz="4" w:space="0" w:color="auto"/>
              <w:right w:val="single" w:sz="4" w:space="0" w:color="auto"/>
            </w:tcBorders>
            <w:shd w:val="clear" w:color="auto" w:fill="auto"/>
            <w:vAlign w:val="center"/>
            <w:hideMark/>
          </w:tcPr>
          <w:p w14:paraId="2BDCAA66"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13,8</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103" w:type="dxa"/>
            <w:tcBorders>
              <w:top w:val="nil"/>
              <w:left w:val="nil"/>
              <w:bottom w:val="single" w:sz="4" w:space="0" w:color="auto"/>
              <w:right w:val="single" w:sz="4" w:space="0" w:color="auto"/>
            </w:tcBorders>
            <w:shd w:val="clear" w:color="auto" w:fill="auto"/>
            <w:vAlign w:val="center"/>
            <w:hideMark/>
          </w:tcPr>
          <w:p w14:paraId="4B81D037"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46,7</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114" w:type="dxa"/>
            <w:tcBorders>
              <w:top w:val="nil"/>
              <w:left w:val="nil"/>
              <w:bottom w:val="single" w:sz="4" w:space="0" w:color="auto"/>
              <w:right w:val="single" w:sz="4" w:space="0" w:color="auto"/>
            </w:tcBorders>
            <w:shd w:val="clear" w:color="auto" w:fill="auto"/>
            <w:vAlign w:val="center"/>
            <w:hideMark/>
          </w:tcPr>
          <w:p w14:paraId="4E1D9A8F"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4,7</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107" w:type="dxa"/>
            <w:tcBorders>
              <w:top w:val="nil"/>
              <w:left w:val="nil"/>
              <w:bottom w:val="single" w:sz="4" w:space="0" w:color="auto"/>
              <w:right w:val="single" w:sz="4" w:space="0" w:color="auto"/>
            </w:tcBorders>
            <w:shd w:val="clear" w:color="auto" w:fill="auto"/>
            <w:vAlign w:val="center"/>
            <w:hideMark/>
          </w:tcPr>
          <w:p w14:paraId="60BF2BDA"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23,0</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013" w:type="dxa"/>
            <w:tcBorders>
              <w:top w:val="nil"/>
              <w:left w:val="nil"/>
              <w:bottom w:val="single" w:sz="4" w:space="0" w:color="auto"/>
              <w:right w:val="single" w:sz="4" w:space="0" w:color="auto"/>
            </w:tcBorders>
            <w:shd w:val="clear" w:color="auto" w:fill="auto"/>
            <w:vAlign w:val="center"/>
            <w:hideMark/>
          </w:tcPr>
          <w:p w14:paraId="2102241D"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8,6</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049" w:type="dxa"/>
            <w:tcBorders>
              <w:top w:val="nil"/>
              <w:left w:val="nil"/>
              <w:bottom w:val="single" w:sz="4" w:space="0" w:color="auto"/>
              <w:right w:val="single" w:sz="4" w:space="0" w:color="auto"/>
            </w:tcBorders>
            <w:shd w:val="clear" w:color="auto" w:fill="auto"/>
            <w:vAlign w:val="center"/>
            <w:hideMark/>
          </w:tcPr>
          <w:p w14:paraId="6A301ECF"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1,8</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r>
      <w:tr w:rsidR="004B5136" w:rsidRPr="00E25833" w14:paraId="06DCE63D" w14:textId="77777777" w:rsidTr="004B5136">
        <w:trPr>
          <w:trHeight w:val="450"/>
          <w:jc w:val="center"/>
        </w:trPr>
        <w:tc>
          <w:tcPr>
            <w:tcW w:w="888" w:type="dxa"/>
            <w:vMerge/>
            <w:tcBorders>
              <w:top w:val="nil"/>
              <w:left w:val="single" w:sz="4" w:space="0" w:color="auto"/>
              <w:bottom w:val="single" w:sz="4" w:space="0" w:color="auto"/>
              <w:right w:val="single" w:sz="4" w:space="0" w:color="auto"/>
            </w:tcBorders>
            <w:vAlign w:val="center"/>
            <w:hideMark/>
          </w:tcPr>
          <w:p w14:paraId="4A1647FA" w14:textId="77777777" w:rsidR="004B5136" w:rsidRPr="00E25833" w:rsidRDefault="004B5136" w:rsidP="004B5136">
            <w:pPr>
              <w:spacing w:before="0" w:after="0" w:line="240" w:lineRule="auto"/>
              <w:rPr>
                <w:rFonts w:ascii="Times New Roman" w:eastAsia="Times New Roman" w:hAnsi="Times New Roman" w:cs="Times New Roman"/>
                <w:b/>
                <w:bCs/>
                <w:color w:val="000000"/>
                <w:sz w:val="16"/>
                <w:szCs w:val="16"/>
                <w:lang w:eastAsia="lv-LV"/>
              </w:rPr>
            </w:pPr>
          </w:p>
        </w:tc>
        <w:tc>
          <w:tcPr>
            <w:tcW w:w="1504" w:type="dxa"/>
            <w:tcBorders>
              <w:top w:val="nil"/>
              <w:left w:val="nil"/>
              <w:bottom w:val="single" w:sz="4" w:space="0" w:color="auto"/>
              <w:right w:val="single" w:sz="4" w:space="0" w:color="auto"/>
            </w:tcBorders>
            <w:shd w:val="clear" w:color="000000" w:fill="D9D9D9"/>
            <w:vAlign w:val="center"/>
            <w:hideMark/>
          </w:tcPr>
          <w:p w14:paraId="53D4306A" w14:textId="77777777" w:rsidR="004B5136" w:rsidRPr="00E25833" w:rsidRDefault="004B5136" w:rsidP="004B5136">
            <w:pPr>
              <w:spacing w:before="0" w:after="0" w:line="240" w:lineRule="auto"/>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Darba devēju sadalījums valstī</w:t>
            </w:r>
          </w:p>
        </w:tc>
        <w:tc>
          <w:tcPr>
            <w:tcW w:w="1005" w:type="dxa"/>
            <w:tcBorders>
              <w:top w:val="nil"/>
              <w:left w:val="nil"/>
              <w:bottom w:val="single" w:sz="4" w:space="0" w:color="auto"/>
              <w:right w:val="single" w:sz="4" w:space="0" w:color="auto"/>
            </w:tcBorders>
            <w:shd w:val="clear" w:color="000000" w:fill="D9D9D9"/>
            <w:vAlign w:val="center"/>
            <w:hideMark/>
          </w:tcPr>
          <w:p w14:paraId="0E52303F"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1,5</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774" w:type="dxa"/>
            <w:tcBorders>
              <w:top w:val="nil"/>
              <w:left w:val="nil"/>
              <w:bottom w:val="single" w:sz="4" w:space="0" w:color="auto"/>
              <w:right w:val="single" w:sz="4" w:space="0" w:color="auto"/>
            </w:tcBorders>
            <w:shd w:val="clear" w:color="000000" w:fill="D9D9D9"/>
            <w:vAlign w:val="center"/>
            <w:hideMark/>
          </w:tcPr>
          <w:p w14:paraId="02119D48"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11,0</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103" w:type="dxa"/>
            <w:tcBorders>
              <w:top w:val="nil"/>
              <w:left w:val="nil"/>
              <w:bottom w:val="single" w:sz="4" w:space="0" w:color="auto"/>
              <w:right w:val="single" w:sz="4" w:space="0" w:color="auto"/>
            </w:tcBorders>
            <w:shd w:val="clear" w:color="000000" w:fill="D9D9D9"/>
            <w:vAlign w:val="center"/>
            <w:hideMark/>
          </w:tcPr>
          <w:p w14:paraId="78CB9610"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46,0</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114" w:type="dxa"/>
            <w:tcBorders>
              <w:top w:val="nil"/>
              <w:left w:val="nil"/>
              <w:bottom w:val="single" w:sz="4" w:space="0" w:color="auto"/>
              <w:right w:val="single" w:sz="4" w:space="0" w:color="auto"/>
            </w:tcBorders>
            <w:shd w:val="clear" w:color="000000" w:fill="D9D9D9"/>
            <w:vAlign w:val="center"/>
            <w:hideMark/>
          </w:tcPr>
          <w:p w14:paraId="3548EBE3"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7,6</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107" w:type="dxa"/>
            <w:tcBorders>
              <w:top w:val="nil"/>
              <w:left w:val="nil"/>
              <w:bottom w:val="single" w:sz="4" w:space="0" w:color="auto"/>
              <w:right w:val="single" w:sz="4" w:space="0" w:color="auto"/>
            </w:tcBorders>
            <w:shd w:val="clear" w:color="000000" w:fill="D9D9D9"/>
            <w:vAlign w:val="center"/>
            <w:hideMark/>
          </w:tcPr>
          <w:p w14:paraId="498E28A0"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21,7</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013" w:type="dxa"/>
            <w:tcBorders>
              <w:top w:val="nil"/>
              <w:left w:val="nil"/>
              <w:bottom w:val="single" w:sz="4" w:space="0" w:color="auto"/>
              <w:right w:val="single" w:sz="4" w:space="0" w:color="auto"/>
            </w:tcBorders>
            <w:shd w:val="clear" w:color="000000" w:fill="D9D9D9"/>
            <w:vAlign w:val="center"/>
            <w:hideMark/>
          </w:tcPr>
          <w:p w14:paraId="6DB94EB3"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9,1</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049" w:type="dxa"/>
            <w:tcBorders>
              <w:top w:val="nil"/>
              <w:left w:val="nil"/>
              <w:bottom w:val="single" w:sz="4" w:space="0" w:color="auto"/>
              <w:right w:val="single" w:sz="4" w:space="0" w:color="auto"/>
            </w:tcBorders>
            <w:shd w:val="clear" w:color="000000" w:fill="D9D9D9"/>
            <w:vAlign w:val="center"/>
            <w:hideMark/>
          </w:tcPr>
          <w:p w14:paraId="790D1B4A"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3,1</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r>
      <w:tr w:rsidR="004B5136" w:rsidRPr="00E25833" w14:paraId="442E18A1" w14:textId="77777777" w:rsidTr="004B5136">
        <w:trPr>
          <w:trHeight w:val="300"/>
          <w:jc w:val="center"/>
        </w:trPr>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14:paraId="63796B7A"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2018.gads</w:t>
            </w:r>
          </w:p>
        </w:tc>
        <w:tc>
          <w:tcPr>
            <w:tcW w:w="1504" w:type="dxa"/>
            <w:tcBorders>
              <w:top w:val="nil"/>
              <w:left w:val="nil"/>
              <w:bottom w:val="single" w:sz="4" w:space="0" w:color="auto"/>
              <w:right w:val="single" w:sz="4" w:space="0" w:color="auto"/>
            </w:tcBorders>
            <w:shd w:val="clear" w:color="auto" w:fill="auto"/>
            <w:vAlign w:val="center"/>
            <w:hideMark/>
          </w:tcPr>
          <w:p w14:paraId="441D25CD" w14:textId="77777777" w:rsidR="004B5136" w:rsidRPr="00E25833" w:rsidRDefault="004B5136" w:rsidP="004B5136">
            <w:pPr>
              <w:spacing w:before="0" w:after="0" w:line="240" w:lineRule="auto"/>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Būvniecības nozare</w:t>
            </w:r>
          </w:p>
        </w:tc>
        <w:tc>
          <w:tcPr>
            <w:tcW w:w="1005" w:type="dxa"/>
            <w:tcBorders>
              <w:top w:val="nil"/>
              <w:left w:val="nil"/>
              <w:bottom w:val="single" w:sz="4" w:space="0" w:color="auto"/>
              <w:right w:val="single" w:sz="4" w:space="0" w:color="auto"/>
            </w:tcBorders>
            <w:shd w:val="clear" w:color="auto" w:fill="auto"/>
            <w:vAlign w:val="center"/>
            <w:hideMark/>
          </w:tcPr>
          <w:p w14:paraId="2D3FF454"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1,2</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774" w:type="dxa"/>
            <w:tcBorders>
              <w:top w:val="nil"/>
              <w:left w:val="nil"/>
              <w:bottom w:val="single" w:sz="4" w:space="0" w:color="auto"/>
              <w:right w:val="single" w:sz="4" w:space="0" w:color="auto"/>
            </w:tcBorders>
            <w:shd w:val="clear" w:color="auto" w:fill="auto"/>
            <w:vAlign w:val="center"/>
            <w:hideMark/>
          </w:tcPr>
          <w:p w14:paraId="098CFF9A"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13,8</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103" w:type="dxa"/>
            <w:tcBorders>
              <w:top w:val="nil"/>
              <w:left w:val="nil"/>
              <w:bottom w:val="single" w:sz="4" w:space="0" w:color="auto"/>
              <w:right w:val="single" w:sz="4" w:space="0" w:color="auto"/>
            </w:tcBorders>
            <w:shd w:val="clear" w:color="auto" w:fill="auto"/>
            <w:vAlign w:val="center"/>
            <w:hideMark/>
          </w:tcPr>
          <w:p w14:paraId="01367C8F"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47,0</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114" w:type="dxa"/>
            <w:tcBorders>
              <w:top w:val="nil"/>
              <w:left w:val="nil"/>
              <w:bottom w:val="single" w:sz="4" w:space="0" w:color="auto"/>
              <w:right w:val="single" w:sz="4" w:space="0" w:color="auto"/>
            </w:tcBorders>
            <w:shd w:val="clear" w:color="auto" w:fill="auto"/>
            <w:vAlign w:val="center"/>
            <w:hideMark/>
          </w:tcPr>
          <w:p w14:paraId="2255239D"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3,8</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107" w:type="dxa"/>
            <w:tcBorders>
              <w:top w:val="nil"/>
              <w:left w:val="nil"/>
              <w:bottom w:val="single" w:sz="4" w:space="0" w:color="auto"/>
              <w:right w:val="single" w:sz="4" w:space="0" w:color="auto"/>
            </w:tcBorders>
            <w:shd w:val="clear" w:color="auto" w:fill="auto"/>
            <w:vAlign w:val="center"/>
            <w:hideMark/>
          </w:tcPr>
          <w:p w14:paraId="3743F137"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20,9</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013" w:type="dxa"/>
            <w:tcBorders>
              <w:top w:val="nil"/>
              <w:left w:val="nil"/>
              <w:bottom w:val="single" w:sz="4" w:space="0" w:color="auto"/>
              <w:right w:val="single" w:sz="4" w:space="0" w:color="auto"/>
            </w:tcBorders>
            <w:shd w:val="clear" w:color="auto" w:fill="auto"/>
            <w:vAlign w:val="center"/>
            <w:hideMark/>
          </w:tcPr>
          <w:p w14:paraId="44898C48"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10,9</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049" w:type="dxa"/>
            <w:tcBorders>
              <w:top w:val="nil"/>
              <w:left w:val="nil"/>
              <w:bottom w:val="single" w:sz="4" w:space="0" w:color="auto"/>
              <w:right w:val="single" w:sz="4" w:space="0" w:color="auto"/>
            </w:tcBorders>
            <w:shd w:val="clear" w:color="auto" w:fill="auto"/>
            <w:vAlign w:val="center"/>
            <w:hideMark/>
          </w:tcPr>
          <w:p w14:paraId="6BD77846"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2,4</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r>
      <w:tr w:rsidR="004B5136" w:rsidRPr="00E25833" w14:paraId="1671E36A" w14:textId="77777777" w:rsidTr="004B5136">
        <w:trPr>
          <w:trHeight w:val="450"/>
          <w:jc w:val="center"/>
        </w:trPr>
        <w:tc>
          <w:tcPr>
            <w:tcW w:w="888" w:type="dxa"/>
            <w:vMerge/>
            <w:tcBorders>
              <w:top w:val="nil"/>
              <w:left w:val="single" w:sz="4" w:space="0" w:color="auto"/>
              <w:bottom w:val="single" w:sz="4" w:space="0" w:color="auto"/>
              <w:right w:val="single" w:sz="4" w:space="0" w:color="auto"/>
            </w:tcBorders>
            <w:vAlign w:val="center"/>
            <w:hideMark/>
          </w:tcPr>
          <w:p w14:paraId="3773B46D" w14:textId="77777777" w:rsidR="004B5136" w:rsidRPr="00E25833" w:rsidRDefault="004B5136" w:rsidP="004B5136">
            <w:pPr>
              <w:spacing w:before="0" w:after="0" w:line="240" w:lineRule="auto"/>
              <w:rPr>
                <w:rFonts w:ascii="Times New Roman" w:eastAsia="Times New Roman" w:hAnsi="Times New Roman" w:cs="Times New Roman"/>
                <w:b/>
                <w:bCs/>
                <w:color w:val="000000"/>
                <w:sz w:val="16"/>
                <w:szCs w:val="16"/>
                <w:lang w:eastAsia="lv-LV"/>
              </w:rPr>
            </w:pPr>
          </w:p>
        </w:tc>
        <w:tc>
          <w:tcPr>
            <w:tcW w:w="1504" w:type="dxa"/>
            <w:tcBorders>
              <w:top w:val="nil"/>
              <w:left w:val="nil"/>
              <w:bottom w:val="single" w:sz="4" w:space="0" w:color="auto"/>
              <w:right w:val="single" w:sz="4" w:space="0" w:color="auto"/>
            </w:tcBorders>
            <w:shd w:val="clear" w:color="000000" w:fill="D9D9D9"/>
            <w:vAlign w:val="center"/>
            <w:hideMark/>
          </w:tcPr>
          <w:p w14:paraId="6CDD8E90" w14:textId="77777777" w:rsidR="004B5136" w:rsidRPr="00E25833" w:rsidRDefault="004B5136" w:rsidP="004B5136">
            <w:pPr>
              <w:spacing w:before="0" w:after="0" w:line="240" w:lineRule="auto"/>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Darba devēju sadalījums valstī</w:t>
            </w:r>
          </w:p>
        </w:tc>
        <w:tc>
          <w:tcPr>
            <w:tcW w:w="1005" w:type="dxa"/>
            <w:tcBorders>
              <w:top w:val="nil"/>
              <w:left w:val="nil"/>
              <w:bottom w:val="single" w:sz="4" w:space="0" w:color="auto"/>
              <w:right w:val="single" w:sz="4" w:space="0" w:color="auto"/>
            </w:tcBorders>
            <w:shd w:val="clear" w:color="000000" w:fill="D9D9D9"/>
            <w:vAlign w:val="center"/>
            <w:hideMark/>
          </w:tcPr>
          <w:p w14:paraId="0AB329C5"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1,3</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774" w:type="dxa"/>
            <w:tcBorders>
              <w:top w:val="nil"/>
              <w:left w:val="nil"/>
              <w:bottom w:val="single" w:sz="4" w:space="0" w:color="auto"/>
              <w:right w:val="single" w:sz="4" w:space="0" w:color="auto"/>
            </w:tcBorders>
            <w:shd w:val="clear" w:color="000000" w:fill="D9D9D9"/>
            <w:vAlign w:val="center"/>
            <w:hideMark/>
          </w:tcPr>
          <w:p w14:paraId="16561CFF"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10,9</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103" w:type="dxa"/>
            <w:tcBorders>
              <w:top w:val="nil"/>
              <w:left w:val="nil"/>
              <w:bottom w:val="single" w:sz="4" w:space="0" w:color="auto"/>
              <w:right w:val="single" w:sz="4" w:space="0" w:color="auto"/>
            </w:tcBorders>
            <w:shd w:val="clear" w:color="000000" w:fill="D9D9D9"/>
            <w:vAlign w:val="center"/>
            <w:hideMark/>
          </w:tcPr>
          <w:p w14:paraId="00A31F7C"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46,7</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114" w:type="dxa"/>
            <w:tcBorders>
              <w:top w:val="nil"/>
              <w:left w:val="nil"/>
              <w:bottom w:val="single" w:sz="4" w:space="0" w:color="auto"/>
              <w:right w:val="single" w:sz="4" w:space="0" w:color="auto"/>
            </w:tcBorders>
            <w:shd w:val="clear" w:color="000000" w:fill="D9D9D9"/>
            <w:vAlign w:val="center"/>
            <w:hideMark/>
          </w:tcPr>
          <w:p w14:paraId="0CFB780B"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6,6</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107" w:type="dxa"/>
            <w:tcBorders>
              <w:top w:val="nil"/>
              <w:left w:val="nil"/>
              <w:bottom w:val="single" w:sz="4" w:space="0" w:color="auto"/>
              <w:right w:val="single" w:sz="4" w:space="0" w:color="auto"/>
            </w:tcBorders>
            <w:shd w:val="clear" w:color="000000" w:fill="D9D9D9"/>
            <w:vAlign w:val="center"/>
            <w:hideMark/>
          </w:tcPr>
          <w:p w14:paraId="263906FB"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19,6</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013" w:type="dxa"/>
            <w:tcBorders>
              <w:top w:val="nil"/>
              <w:left w:val="nil"/>
              <w:bottom w:val="single" w:sz="4" w:space="0" w:color="auto"/>
              <w:right w:val="single" w:sz="4" w:space="0" w:color="auto"/>
            </w:tcBorders>
            <w:shd w:val="clear" w:color="000000" w:fill="D9D9D9"/>
            <w:vAlign w:val="center"/>
            <w:hideMark/>
          </w:tcPr>
          <w:p w14:paraId="74CD8703"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11,1</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049" w:type="dxa"/>
            <w:tcBorders>
              <w:top w:val="nil"/>
              <w:left w:val="nil"/>
              <w:bottom w:val="single" w:sz="4" w:space="0" w:color="auto"/>
              <w:right w:val="single" w:sz="4" w:space="0" w:color="auto"/>
            </w:tcBorders>
            <w:shd w:val="clear" w:color="000000" w:fill="D9D9D9"/>
            <w:vAlign w:val="center"/>
            <w:hideMark/>
          </w:tcPr>
          <w:p w14:paraId="0BC16CA6"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3,9</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r>
      <w:tr w:rsidR="004B5136" w:rsidRPr="00E25833" w14:paraId="0ED9737B" w14:textId="77777777" w:rsidTr="004B5136">
        <w:trPr>
          <w:trHeight w:val="300"/>
          <w:jc w:val="center"/>
        </w:trPr>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14:paraId="2A2E1B72"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2019.gads</w:t>
            </w:r>
          </w:p>
        </w:tc>
        <w:tc>
          <w:tcPr>
            <w:tcW w:w="1504" w:type="dxa"/>
            <w:tcBorders>
              <w:top w:val="nil"/>
              <w:left w:val="nil"/>
              <w:bottom w:val="single" w:sz="4" w:space="0" w:color="auto"/>
              <w:right w:val="single" w:sz="4" w:space="0" w:color="auto"/>
            </w:tcBorders>
            <w:shd w:val="clear" w:color="auto" w:fill="auto"/>
            <w:vAlign w:val="center"/>
            <w:hideMark/>
          </w:tcPr>
          <w:p w14:paraId="45DFB842" w14:textId="77777777" w:rsidR="004B5136" w:rsidRPr="00E25833" w:rsidRDefault="004B5136" w:rsidP="004B5136">
            <w:pPr>
              <w:spacing w:before="0" w:after="0" w:line="240" w:lineRule="auto"/>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Būvniecības nozare</w:t>
            </w:r>
          </w:p>
        </w:tc>
        <w:tc>
          <w:tcPr>
            <w:tcW w:w="1005" w:type="dxa"/>
            <w:tcBorders>
              <w:top w:val="nil"/>
              <w:left w:val="nil"/>
              <w:bottom w:val="single" w:sz="4" w:space="0" w:color="auto"/>
              <w:right w:val="single" w:sz="4" w:space="0" w:color="auto"/>
            </w:tcBorders>
            <w:shd w:val="clear" w:color="auto" w:fill="auto"/>
            <w:vAlign w:val="center"/>
            <w:hideMark/>
          </w:tcPr>
          <w:p w14:paraId="32AC9FA2"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0,9</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774" w:type="dxa"/>
            <w:tcBorders>
              <w:top w:val="nil"/>
              <w:left w:val="nil"/>
              <w:bottom w:val="single" w:sz="4" w:space="0" w:color="auto"/>
              <w:right w:val="single" w:sz="4" w:space="0" w:color="auto"/>
            </w:tcBorders>
            <w:shd w:val="clear" w:color="auto" w:fill="auto"/>
            <w:vAlign w:val="center"/>
            <w:hideMark/>
          </w:tcPr>
          <w:p w14:paraId="2374D3A8"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13,9</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103" w:type="dxa"/>
            <w:tcBorders>
              <w:top w:val="nil"/>
              <w:left w:val="nil"/>
              <w:bottom w:val="single" w:sz="4" w:space="0" w:color="auto"/>
              <w:right w:val="single" w:sz="4" w:space="0" w:color="auto"/>
            </w:tcBorders>
            <w:shd w:val="clear" w:color="auto" w:fill="auto"/>
            <w:vAlign w:val="center"/>
            <w:hideMark/>
          </w:tcPr>
          <w:p w14:paraId="53E8AAA6"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43,2</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114" w:type="dxa"/>
            <w:tcBorders>
              <w:top w:val="nil"/>
              <w:left w:val="nil"/>
              <w:bottom w:val="single" w:sz="4" w:space="0" w:color="auto"/>
              <w:right w:val="single" w:sz="4" w:space="0" w:color="auto"/>
            </w:tcBorders>
            <w:shd w:val="clear" w:color="auto" w:fill="auto"/>
            <w:vAlign w:val="center"/>
            <w:hideMark/>
          </w:tcPr>
          <w:p w14:paraId="1FE77B3F"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3,3</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107" w:type="dxa"/>
            <w:tcBorders>
              <w:top w:val="nil"/>
              <w:left w:val="nil"/>
              <w:bottom w:val="single" w:sz="4" w:space="0" w:color="auto"/>
              <w:right w:val="single" w:sz="4" w:space="0" w:color="auto"/>
            </w:tcBorders>
            <w:shd w:val="clear" w:color="auto" w:fill="auto"/>
            <w:vAlign w:val="center"/>
            <w:hideMark/>
          </w:tcPr>
          <w:p w14:paraId="0E6FEAAB"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21,5</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013" w:type="dxa"/>
            <w:tcBorders>
              <w:top w:val="nil"/>
              <w:left w:val="nil"/>
              <w:bottom w:val="single" w:sz="4" w:space="0" w:color="auto"/>
              <w:right w:val="single" w:sz="4" w:space="0" w:color="auto"/>
            </w:tcBorders>
            <w:shd w:val="clear" w:color="auto" w:fill="auto"/>
            <w:vAlign w:val="center"/>
            <w:hideMark/>
          </w:tcPr>
          <w:p w14:paraId="768A603C"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14,2</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049" w:type="dxa"/>
            <w:tcBorders>
              <w:top w:val="nil"/>
              <w:left w:val="nil"/>
              <w:bottom w:val="single" w:sz="4" w:space="0" w:color="auto"/>
              <w:right w:val="single" w:sz="4" w:space="0" w:color="auto"/>
            </w:tcBorders>
            <w:shd w:val="clear" w:color="auto" w:fill="auto"/>
            <w:vAlign w:val="center"/>
            <w:hideMark/>
          </w:tcPr>
          <w:p w14:paraId="359ACDE4"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3,0</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r>
      <w:tr w:rsidR="004B5136" w:rsidRPr="00E25833" w14:paraId="6D61DE23" w14:textId="77777777" w:rsidTr="004B5136">
        <w:trPr>
          <w:trHeight w:val="450"/>
          <w:jc w:val="center"/>
        </w:trPr>
        <w:tc>
          <w:tcPr>
            <w:tcW w:w="888" w:type="dxa"/>
            <w:vMerge/>
            <w:tcBorders>
              <w:top w:val="nil"/>
              <w:left w:val="single" w:sz="4" w:space="0" w:color="auto"/>
              <w:bottom w:val="single" w:sz="4" w:space="0" w:color="auto"/>
              <w:right w:val="single" w:sz="4" w:space="0" w:color="auto"/>
            </w:tcBorders>
            <w:vAlign w:val="center"/>
            <w:hideMark/>
          </w:tcPr>
          <w:p w14:paraId="472FEC62" w14:textId="77777777" w:rsidR="004B5136" w:rsidRPr="00E25833" w:rsidRDefault="004B5136" w:rsidP="004B5136">
            <w:pPr>
              <w:spacing w:before="0" w:after="0" w:line="240" w:lineRule="auto"/>
              <w:rPr>
                <w:rFonts w:ascii="Times New Roman" w:eastAsia="Times New Roman" w:hAnsi="Times New Roman" w:cs="Times New Roman"/>
                <w:b/>
                <w:bCs/>
                <w:color w:val="000000"/>
                <w:sz w:val="16"/>
                <w:szCs w:val="16"/>
                <w:lang w:eastAsia="lv-LV"/>
              </w:rPr>
            </w:pPr>
          </w:p>
        </w:tc>
        <w:tc>
          <w:tcPr>
            <w:tcW w:w="1504" w:type="dxa"/>
            <w:tcBorders>
              <w:top w:val="nil"/>
              <w:left w:val="nil"/>
              <w:bottom w:val="single" w:sz="4" w:space="0" w:color="auto"/>
              <w:right w:val="single" w:sz="4" w:space="0" w:color="auto"/>
            </w:tcBorders>
            <w:shd w:val="clear" w:color="000000" w:fill="D9D9D9"/>
            <w:vAlign w:val="center"/>
            <w:hideMark/>
          </w:tcPr>
          <w:p w14:paraId="148C3602" w14:textId="77777777" w:rsidR="004B5136" w:rsidRPr="00E25833" w:rsidRDefault="004B5136" w:rsidP="004B5136">
            <w:pPr>
              <w:spacing w:before="0" w:after="0" w:line="240" w:lineRule="auto"/>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Darba devēju sadalījums valstī</w:t>
            </w:r>
          </w:p>
        </w:tc>
        <w:tc>
          <w:tcPr>
            <w:tcW w:w="1005" w:type="dxa"/>
            <w:tcBorders>
              <w:top w:val="nil"/>
              <w:left w:val="nil"/>
              <w:bottom w:val="single" w:sz="4" w:space="0" w:color="auto"/>
              <w:right w:val="single" w:sz="4" w:space="0" w:color="auto"/>
            </w:tcBorders>
            <w:shd w:val="clear" w:color="000000" w:fill="D9D9D9"/>
            <w:vAlign w:val="center"/>
            <w:hideMark/>
          </w:tcPr>
          <w:p w14:paraId="6200AC5D"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0,9</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774" w:type="dxa"/>
            <w:tcBorders>
              <w:top w:val="nil"/>
              <w:left w:val="nil"/>
              <w:bottom w:val="single" w:sz="4" w:space="0" w:color="auto"/>
              <w:right w:val="single" w:sz="4" w:space="0" w:color="auto"/>
            </w:tcBorders>
            <w:shd w:val="clear" w:color="000000" w:fill="D9D9D9"/>
            <w:vAlign w:val="center"/>
            <w:hideMark/>
          </w:tcPr>
          <w:p w14:paraId="4EE14A1F"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10,8</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103" w:type="dxa"/>
            <w:tcBorders>
              <w:top w:val="nil"/>
              <w:left w:val="nil"/>
              <w:bottom w:val="single" w:sz="4" w:space="0" w:color="auto"/>
              <w:right w:val="single" w:sz="4" w:space="0" w:color="auto"/>
            </w:tcBorders>
            <w:shd w:val="clear" w:color="000000" w:fill="D9D9D9"/>
            <w:vAlign w:val="center"/>
            <w:hideMark/>
          </w:tcPr>
          <w:p w14:paraId="33E5550A"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44,5</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114" w:type="dxa"/>
            <w:tcBorders>
              <w:top w:val="nil"/>
              <w:left w:val="nil"/>
              <w:bottom w:val="single" w:sz="4" w:space="0" w:color="auto"/>
              <w:right w:val="single" w:sz="4" w:space="0" w:color="auto"/>
            </w:tcBorders>
            <w:shd w:val="clear" w:color="000000" w:fill="D9D9D9"/>
            <w:vAlign w:val="center"/>
            <w:hideMark/>
          </w:tcPr>
          <w:p w14:paraId="7FFC28EF"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6,0</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107" w:type="dxa"/>
            <w:tcBorders>
              <w:top w:val="nil"/>
              <w:left w:val="nil"/>
              <w:bottom w:val="single" w:sz="4" w:space="0" w:color="auto"/>
              <w:right w:val="single" w:sz="4" w:space="0" w:color="auto"/>
            </w:tcBorders>
            <w:shd w:val="clear" w:color="000000" w:fill="D9D9D9"/>
            <w:vAlign w:val="center"/>
            <w:hideMark/>
          </w:tcPr>
          <w:p w14:paraId="07BB63E5"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19,9</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013" w:type="dxa"/>
            <w:tcBorders>
              <w:top w:val="nil"/>
              <w:left w:val="nil"/>
              <w:bottom w:val="single" w:sz="4" w:space="0" w:color="auto"/>
              <w:right w:val="single" w:sz="4" w:space="0" w:color="auto"/>
            </w:tcBorders>
            <w:shd w:val="clear" w:color="000000" w:fill="D9D9D9"/>
            <w:vAlign w:val="center"/>
            <w:hideMark/>
          </w:tcPr>
          <w:p w14:paraId="3AF40077"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13,2</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c>
          <w:tcPr>
            <w:tcW w:w="1049" w:type="dxa"/>
            <w:tcBorders>
              <w:top w:val="nil"/>
              <w:left w:val="nil"/>
              <w:bottom w:val="single" w:sz="4" w:space="0" w:color="auto"/>
              <w:right w:val="single" w:sz="4" w:space="0" w:color="auto"/>
            </w:tcBorders>
            <w:shd w:val="clear" w:color="000000" w:fill="D9D9D9"/>
            <w:vAlign w:val="center"/>
            <w:hideMark/>
          </w:tcPr>
          <w:p w14:paraId="3DC29884" w14:textId="77777777" w:rsidR="004B5136" w:rsidRPr="00E25833" w:rsidRDefault="004B5136" w:rsidP="004B5136">
            <w:pPr>
              <w:spacing w:before="0" w:after="0" w:line="240" w:lineRule="auto"/>
              <w:jc w:val="center"/>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4,6</w:t>
            </w:r>
            <w:r w:rsidR="009F05C9">
              <w:rPr>
                <w:rFonts w:ascii="Times New Roman" w:eastAsia="Times New Roman" w:hAnsi="Times New Roman" w:cs="Times New Roman"/>
                <w:sz w:val="16"/>
                <w:szCs w:val="16"/>
                <w:lang w:eastAsia="lv-LV"/>
              </w:rPr>
              <w:t> </w:t>
            </w:r>
            <w:r w:rsidRPr="00E25833">
              <w:rPr>
                <w:rFonts w:ascii="Times New Roman" w:eastAsia="Times New Roman" w:hAnsi="Times New Roman" w:cs="Times New Roman"/>
                <w:sz w:val="16"/>
                <w:szCs w:val="16"/>
                <w:lang w:eastAsia="lv-LV"/>
              </w:rPr>
              <w:t>%</w:t>
            </w:r>
          </w:p>
        </w:tc>
      </w:tr>
    </w:tbl>
    <w:p w14:paraId="5E93CAEA" w14:textId="77777777" w:rsidR="004B5136" w:rsidRPr="00E25833" w:rsidRDefault="004B5136" w:rsidP="004B5136">
      <w:pPr>
        <w:spacing w:before="0" w:after="0" w:line="240" w:lineRule="auto"/>
        <w:jc w:val="both"/>
        <w:rPr>
          <w:rFonts w:ascii="Times New Roman" w:eastAsia="Calibri" w:hAnsi="Times New Roman" w:cs="Times New Roman"/>
          <w:sz w:val="28"/>
          <w:szCs w:val="28"/>
        </w:rPr>
      </w:pPr>
    </w:p>
    <w:p w14:paraId="66DC69EB" w14:textId="77777777" w:rsidR="004B5136" w:rsidRPr="00E25833" w:rsidRDefault="004B5136" w:rsidP="004B5136">
      <w:pPr>
        <w:spacing w:before="0" w:after="0" w:line="240" w:lineRule="auto"/>
        <w:ind w:firstLine="720"/>
        <w:jc w:val="both"/>
        <w:rPr>
          <w:rFonts w:ascii="Times New Roman" w:eastAsia="Calibri" w:hAnsi="Times New Roman" w:cs="Times New Roman"/>
          <w:b/>
          <w:i/>
          <w:sz w:val="28"/>
          <w:szCs w:val="28"/>
        </w:rPr>
      </w:pPr>
      <w:r w:rsidRPr="00E25833">
        <w:rPr>
          <w:rFonts w:ascii="Times New Roman" w:eastAsia="Calibri" w:hAnsi="Times New Roman" w:cs="Times New Roman"/>
          <w:b/>
          <w:i/>
          <w:sz w:val="28"/>
          <w:szCs w:val="28"/>
        </w:rPr>
        <w:t>Vidējais nostrādāto stundu skaits un vidējā stundas tarifa likme</w:t>
      </w:r>
    </w:p>
    <w:p w14:paraId="30D84054" w14:textId="77777777" w:rsidR="004B5136" w:rsidRPr="00E25833" w:rsidRDefault="004B5136" w:rsidP="004B5136">
      <w:pPr>
        <w:spacing w:before="0" w:after="0" w:line="240" w:lineRule="auto"/>
        <w:ind w:firstLine="720"/>
        <w:jc w:val="both"/>
        <w:rPr>
          <w:rFonts w:ascii="Times New Roman" w:eastAsia="Calibri" w:hAnsi="Times New Roman" w:cs="Times New Roman"/>
          <w:sz w:val="28"/>
          <w:szCs w:val="28"/>
        </w:rPr>
      </w:pPr>
      <w:r w:rsidRPr="00E25833">
        <w:rPr>
          <w:rFonts w:ascii="Times New Roman" w:eastAsia="Calibri" w:hAnsi="Times New Roman" w:cs="Times New Roman"/>
          <w:sz w:val="28"/>
          <w:szCs w:val="28"/>
        </w:rPr>
        <w:t>Lai gan vidējā stundas tarifa likme būvniecības nozarē 2019.gadā bija 7,59 </w:t>
      </w:r>
      <w:proofErr w:type="spellStart"/>
      <w:r w:rsidR="001155D8" w:rsidRPr="00E734B0">
        <w:rPr>
          <w:rFonts w:ascii="Times New Roman" w:eastAsia="Calibri" w:hAnsi="Times New Roman" w:cs="Times New Roman"/>
          <w:i/>
          <w:iCs/>
          <w:sz w:val="28"/>
          <w:szCs w:val="28"/>
        </w:rPr>
        <w:t>euro</w:t>
      </w:r>
      <w:proofErr w:type="spellEnd"/>
      <w:r w:rsidRPr="00E25833">
        <w:rPr>
          <w:rFonts w:ascii="Times New Roman" w:eastAsia="Calibri" w:hAnsi="Times New Roman" w:cs="Times New Roman"/>
          <w:sz w:val="28"/>
          <w:szCs w:val="28"/>
        </w:rPr>
        <w:t>, kas ir par 2,2 % lielāka nekā vidēji valstī (7,43 </w:t>
      </w:r>
      <w:proofErr w:type="spellStart"/>
      <w:r w:rsidR="001155D8" w:rsidRPr="00E734B0">
        <w:rPr>
          <w:rFonts w:ascii="Times New Roman" w:eastAsia="Calibri" w:hAnsi="Times New Roman" w:cs="Times New Roman"/>
          <w:i/>
          <w:iCs/>
          <w:sz w:val="28"/>
          <w:szCs w:val="28"/>
        </w:rPr>
        <w:t>euro</w:t>
      </w:r>
      <w:proofErr w:type="spellEnd"/>
      <w:r w:rsidRPr="00E25833">
        <w:rPr>
          <w:rFonts w:ascii="Times New Roman" w:eastAsia="Calibri" w:hAnsi="Times New Roman" w:cs="Times New Roman"/>
          <w:sz w:val="28"/>
          <w:szCs w:val="28"/>
        </w:rPr>
        <w:t>), tomēr vidējais nostrādāto stundu skaits mēnesī (120 stundas) atpalika no vidējā rādītāja valstī (128 stundas) par astoņām stundām jeb 6,0 %.</w:t>
      </w:r>
    </w:p>
    <w:p w14:paraId="732895D4" w14:textId="48A81B27" w:rsidR="004B5136" w:rsidRDefault="004B5136" w:rsidP="004B5136">
      <w:pPr>
        <w:spacing w:before="0" w:after="0" w:line="240" w:lineRule="auto"/>
        <w:ind w:firstLine="720"/>
        <w:jc w:val="both"/>
        <w:rPr>
          <w:rFonts w:ascii="Times New Roman" w:eastAsia="Calibri" w:hAnsi="Times New Roman" w:cs="Times New Roman"/>
          <w:sz w:val="28"/>
          <w:szCs w:val="28"/>
        </w:rPr>
      </w:pPr>
      <w:r w:rsidRPr="004F397E">
        <w:rPr>
          <w:rFonts w:ascii="Times New Roman" w:eastAsia="Calibri" w:hAnsi="Times New Roman" w:cs="Times New Roman"/>
          <w:sz w:val="28"/>
          <w:szCs w:val="28"/>
        </w:rPr>
        <w:t>Jāatzīmē, ka 2019.gadā vidējā stundas tarifa likme būvniecības nozarē, salīdzinot ar 2018.gadu, ir palielinājusies par 8,6 %. Vidējais darba vietu skaits 2019.gadā bija 53</w:t>
      </w:r>
      <w:r w:rsidR="00673F4A">
        <w:rPr>
          <w:rFonts w:ascii="Times New Roman" w:eastAsia="Calibri" w:hAnsi="Times New Roman" w:cs="Times New Roman"/>
          <w:sz w:val="28"/>
          <w:szCs w:val="28"/>
        </w:rPr>
        <w:t> </w:t>
      </w:r>
      <w:r w:rsidRPr="004F397E">
        <w:rPr>
          <w:rFonts w:ascii="Times New Roman" w:eastAsia="Calibri" w:hAnsi="Times New Roman" w:cs="Times New Roman"/>
          <w:sz w:val="28"/>
          <w:szCs w:val="28"/>
        </w:rPr>
        <w:t>790</w:t>
      </w:r>
      <w:r w:rsidR="00673F4A">
        <w:rPr>
          <w:rFonts w:ascii="Times New Roman" w:eastAsia="Calibri" w:hAnsi="Times New Roman" w:cs="Times New Roman"/>
          <w:sz w:val="28"/>
          <w:szCs w:val="28"/>
        </w:rPr>
        <w:t> </w:t>
      </w:r>
      <w:r w:rsidRPr="004F397E">
        <w:rPr>
          <w:rFonts w:ascii="Times New Roman" w:eastAsia="Calibri" w:hAnsi="Times New Roman" w:cs="Times New Roman"/>
          <w:sz w:val="28"/>
          <w:szCs w:val="28"/>
        </w:rPr>
        <w:t>darba vieta</w:t>
      </w:r>
      <w:r w:rsidR="00673F4A">
        <w:rPr>
          <w:rFonts w:ascii="Times New Roman" w:eastAsia="Calibri" w:hAnsi="Times New Roman" w:cs="Times New Roman"/>
          <w:sz w:val="28"/>
          <w:szCs w:val="28"/>
        </w:rPr>
        <w:t>s</w:t>
      </w:r>
      <w:r w:rsidRPr="004F397E">
        <w:rPr>
          <w:rFonts w:ascii="Times New Roman" w:eastAsia="Calibri" w:hAnsi="Times New Roman" w:cs="Times New Roman"/>
          <w:sz w:val="28"/>
          <w:szCs w:val="28"/>
        </w:rPr>
        <w:t>, kas ir par 5,6 % vairāk nekā 2018.gadā (50</w:t>
      </w:r>
      <w:r w:rsidR="00673F4A">
        <w:rPr>
          <w:rFonts w:ascii="Times New Roman" w:eastAsia="Calibri" w:hAnsi="Times New Roman" w:cs="Times New Roman"/>
          <w:sz w:val="28"/>
          <w:szCs w:val="28"/>
        </w:rPr>
        <w:t> </w:t>
      </w:r>
      <w:r w:rsidRPr="004F397E">
        <w:rPr>
          <w:rFonts w:ascii="Times New Roman" w:eastAsia="Calibri" w:hAnsi="Times New Roman" w:cs="Times New Roman"/>
          <w:sz w:val="28"/>
          <w:szCs w:val="28"/>
        </w:rPr>
        <w:t>944</w:t>
      </w:r>
      <w:r w:rsidR="00673F4A">
        <w:rPr>
          <w:rFonts w:ascii="Times New Roman" w:eastAsia="Calibri" w:hAnsi="Times New Roman" w:cs="Times New Roman"/>
          <w:sz w:val="28"/>
          <w:szCs w:val="28"/>
        </w:rPr>
        <w:t> </w:t>
      </w:r>
      <w:r w:rsidRPr="004F397E">
        <w:rPr>
          <w:rFonts w:ascii="Times New Roman" w:eastAsia="Calibri" w:hAnsi="Times New Roman" w:cs="Times New Roman"/>
          <w:sz w:val="28"/>
          <w:szCs w:val="28"/>
        </w:rPr>
        <w:t xml:space="preserve">darba vietas) (skatīt </w:t>
      </w:r>
      <w:r w:rsidR="004F397E" w:rsidRPr="004F397E">
        <w:rPr>
          <w:rFonts w:ascii="Times New Roman" w:eastAsia="Calibri" w:hAnsi="Times New Roman" w:cs="Times New Roman"/>
          <w:sz w:val="28"/>
          <w:szCs w:val="28"/>
        </w:rPr>
        <w:t>9</w:t>
      </w:r>
      <w:r w:rsidRPr="004F397E">
        <w:rPr>
          <w:rFonts w:ascii="Times New Roman" w:eastAsia="Calibri" w:hAnsi="Times New Roman" w:cs="Times New Roman"/>
          <w:sz w:val="28"/>
          <w:szCs w:val="28"/>
        </w:rPr>
        <w:t>.tabulu).</w:t>
      </w:r>
    </w:p>
    <w:p w14:paraId="74268DE4" w14:textId="77777777" w:rsidR="00195713" w:rsidRPr="004F397E" w:rsidRDefault="00195713" w:rsidP="004B5136">
      <w:pPr>
        <w:spacing w:before="0" w:after="0" w:line="240" w:lineRule="auto"/>
        <w:ind w:firstLine="720"/>
        <w:jc w:val="both"/>
        <w:rPr>
          <w:rFonts w:ascii="Times New Roman" w:eastAsia="Calibri" w:hAnsi="Times New Roman" w:cs="Times New Roman"/>
          <w:sz w:val="28"/>
          <w:szCs w:val="28"/>
        </w:rPr>
      </w:pPr>
    </w:p>
    <w:p w14:paraId="7708D282" w14:textId="77777777" w:rsidR="004B5136" w:rsidRPr="004F397E" w:rsidRDefault="004F397E" w:rsidP="004B5136">
      <w:pPr>
        <w:spacing w:before="0" w:after="0" w:line="240" w:lineRule="auto"/>
        <w:ind w:firstLine="720"/>
        <w:jc w:val="right"/>
        <w:rPr>
          <w:rFonts w:ascii="Times New Roman" w:eastAsia="Calibri" w:hAnsi="Times New Roman" w:cs="Times New Roman"/>
          <w:sz w:val="28"/>
          <w:szCs w:val="28"/>
        </w:rPr>
      </w:pPr>
      <w:r w:rsidRPr="004F397E">
        <w:rPr>
          <w:rFonts w:ascii="Times New Roman" w:eastAsia="Calibri" w:hAnsi="Times New Roman" w:cs="Times New Roman"/>
          <w:sz w:val="28"/>
          <w:szCs w:val="28"/>
        </w:rPr>
        <w:t>9</w:t>
      </w:r>
      <w:r w:rsidR="004B5136" w:rsidRPr="004F397E">
        <w:rPr>
          <w:rFonts w:ascii="Times New Roman" w:eastAsia="Calibri" w:hAnsi="Times New Roman" w:cs="Times New Roman"/>
          <w:sz w:val="28"/>
          <w:szCs w:val="28"/>
        </w:rPr>
        <w:t>.tabula</w:t>
      </w:r>
    </w:p>
    <w:p w14:paraId="2880C608" w14:textId="77777777" w:rsidR="004B5136" w:rsidRPr="00E25833" w:rsidRDefault="00514E1E" w:rsidP="004B5136">
      <w:pPr>
        <w:spacing w:before="0"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Darba ņēmēju skaita</w:t>
      </w:r>
      <w:r w:rsidR="009A621C">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004B5136" w:rsidRPr="00E25833">
        <w:rPr>
          <w:rFonts w:ascii="Times New Roman" w:eastAsia="Calibri" w:hAnsi="Times New Roman" w:cs="Times New Roman"/>
          <w:b/>
          <w:sz w:val="28"/>
          <w:szCs w:val="28"/>
        </w:rPr>
        <w:t>vidēj</w:t>
      </w:r>
      <w:r w:rsidR="009A621C">
        <w:rPr>
          <w:rFonts w:ascii="Times New Roman" w:eastAsia="Calibri" w:hAnsi="Times New Roman" w:cs="Times New Roman"/>
          <w:b/>
          <w:sz w:val="28"/>
          <w:szCs w:val="28"/>
        </w:rPr>
        <w:t xml:space="preserve">i </w:t>
      </w:r>
      <w:r w:rsidR="004B5136" w:rsidRPr="00E25833">
        <w:rPr>
          <w:rFonts w:ascii="Times New Roman" w:eastAsia="Calibri" w:hAnsi="Times New Roman" w:cs="Times New Roman"/>
          <w:b/>
          <w:sz w:val="28"/>
          <w:szCs w:val="28"/>
        </w:rPr>
        <w:t>nostrādāto stundu skait</w:t>
      </w:r>
      <w:r w:rsidR="009A621C">
        <w:rPr>
          <w:rFonts w:ascii="Times New Roman" w:eastAsia="Calibri" w:hAnsi="Times New Roman" w:cs="Times New Roman"/>
          <w:b/>
          <w:sz w:val="28"/>
          <w:szCs w:val="28"/>
        </w:rPr>
        <w:t>a</w:t>
      </w:r>
      <w:r w:rsidR="004B5136" w:rsidRPr="00E25833">
        <w:rPr>
          <w:rFonts w:ascii="Times New Roman" w:eastAsia="Calibri" w:hAnsi="Times New Roman" w:cs="Times New Roman"/>
          <w:b/>
          <w:sz w:val="28"/>
          <w:szCs w:val="28"/>
        </w:rPr>
        <w:t xml:space="preserve"> un vidēj</w:t>
      </w:r>
      <w:r w:rsidR="009A621C">
        <w:rPr>
          <w:rFonts w:ascii="Times New Roman" w:eastAsia="Calibri" w:hAnsi="Times New Roman" w:cs="Times New Roman"/>
          <w:b/>
          <w:sz w:val="28"/>
          <w:szCs w:val="28"/>
        </w:rPr>
        <w:t>ās</w:t>
      </w:r>
      <w:r w:rsidR="004B5136" w:rsidRPr="00E25833">
        <w:rPr>
          <w:rFonts w:ascii="Times New Roman" w:eastAsia="Calibri" w:hAnsi="Times New Roman" w:cs="Times New Roman"/>
          <w:b/>
          <w:sz w:val="28"/>
          <w:szCs w:val="28"/>
        </w:rPr>
        <w:t xml:space="preserve"> stundas tarifa likm</w:t>
      </w:r>
      <w:r w:rsidR="009A621C">
        <w:rPr>
          <w:rFonts w:ascii="Times New Roman" w:eastAsia="Calibri" w:hAnsi="Times New Roman" w:cs="Times New Roman"/>
          <w:b/>
          <w:sz w:val="28"/>
          <w:szCs w:val="28"/>
        </w:rPr>
        <w:t>es dinamika</w:t>
      </w:r>
      <w:r w:rsidR="004B5136" w:rsidRPr="00E25833">
        <w:rPr>
          <w:rFonts w:ascii="Times New Roman" w:eastAsia="Calibri" w:hAnsi="Times New Roman" w:cs="Times New Roman"/>
          <w:b/>
          <w:sz w:val="28"/>
          <w:szCs w:val="28"/>
        </w:rPr>
        <w:t xml:space="preserve"> būvniecības nozarē</w:t>
      </w:r>
    </w:p>
    <w:p w14:paraId="6F39DDAC" w14:textId="77777777" w:rsidR="004B5136" w:rsidRPr="00E25833" w:rsidRDefault="004B5136" w:rsidP="004B5136">
      <w:pPr>
        <w:spacing w:before="0" w:after="0" w:line="240" w:lineRule="auto"/>
        <w:ind w:left="720" w:firstLine="720"/>
        <w:rPr>
          <w:rFonts w:ascii="Times New Roman" w:eastAsia="Calibri" w:hAnsi="Times New Roman" w:cs="Times New Roman"/>
        </w:rPr>
      </w:pPr>
      <w:r w:rsidRPr="00E25833">
        <w:rPr>
          <w:rFonts w:ascii="Times New Roman" w:eastAsia="Calibri" w:hAnsi="Times New Roman" w:cs="Times New Roman"/>
        </w:rPr>
        <w:t>Dati uz 2020.gada 31.martu</w:t>
      </w:r>
    </w:p>
    <w:tbl>
      <w:tblPr>
        <w:tblW w:w="6220" w:type="dxa"/>
        <w:jc w:val="center"/>
        <w:tblLook w:val="04A0" w:firstRow="1" w:lastRow="0" w:firstColumn="1" w:lastColumn="0" w:noHBand="0" w:noVBand="1"/>
      </w:tblPr>
      <w:tblGrid>
        <w:gridCol w:w="3556"/>
        <w:gridCol w:w="888"/>
        <w:gridCol w:w="888"/>
        <w:gridCol w:w="888"/>
      </w:tblGrid>
      <w:tr w:rsidR="004B5136" w:rsidRPr="00E25833" w14:paraId="229A949D" w14:textId="77777777" w:rsidTr="004B5136">
        <w:trPr>
          <w:trHeight w:val="255"/>
          <w:jc w:val="center"/>
        </w:trPr>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9F53D" w14:textId="77777777" w:rsidR="004B5136" w:rsidRPr="00E25833" w:rsidRDefault="004B5136" w:rsidP="004B5136">
            <w:pPr>
              <w:spacing w:before="0" w:after="0" w:line="240" w:lineRule="auto"/>
              <w:rPr>
                <w:rFonts w:ascii="Times New Roman" w:eastAsia="Times New Roman" w:hAnsi="Times New Roman" w:cs="Times New Roman"/>
                <w:b/>
                <w:bCs/>
                <w:lang w:eastAsia="lv-LV"/>
              </w:rPr>
            </w:pPr>
            <w:r w:rsidRPr="00E25833">
              <w:rPr>
                <w:rFonts w:ascii="Times New Roman" w:eastAsia="Times New Roman" w:hAnsi="Times New Roman" w:cs="Times New Roman"/>
                <w:b/>
                <w:bCs/>
                <w:lang w:eastAsia="lv-LV"/>
              </w:rPr>
              <w:t>Rādītājs</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2541F26A"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2017.gads</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6DFD8A65"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2018.gads</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32B3463E"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2019.gads</w:t>
            </w:r>
          </w:p>
        </w:tc>
      </w:tr>
      <w:tr w:rsidR="004B5136" w:rsidRPr="00E25833" w14:paraId="7E23984B" w14:textId="77777777" w:rsidTr="004B5136">
        <w:trPr>
          <w:trHeight w:val="255"/>
          <w:jc w:val="center"/>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1F440794" w14:textId="77777777" w:rsidR="004B5136" w:rsidRPr="00E25833" w:rsidRDefault="004B5136" w:rsidP="004B5136">
            <w:pPr>
              <w:spacing w:before="0" w:after="0" w:line="240" w:lineRule="auto"/>
              <w:rPr>
                <w:rFonts w:ascii="Times New Roman" w:eastAsia="Times New Roman" w:hAnsi="Times New Roman" w:cs="Times New Roman"/>
                <w:lang w:eastAsia="lv-LV"/>
              </w:rPr>
            </w:pPr>
            <w:r w:rsidRPr="00E25833">
              <w:rPr>
                <w:rFonts w:ascii="Times New Roman" w:eastAsia="Times New Roman" w:hAnsi="Times New Roman" w:cs="Times New Roman"/>
                <w:lang w:eastAsia="lv-LV"/>
              </w:rPr>
              <w:t>Vidējais darba vietu skaits mēnesī</w:t>
            </w:r>
            <w:r w:rsidR="00445D3D">
              <w:rPr>
                <w:rFonts w:ascii="Times New Roman" w:eastAsia="Times New Roman" w:hAnsi="Times New Roman" w:cs="Times New Roman"/>
                <w:lang w:eastAsia="lv-LV"/>
              </w:rPr>
              <w:t xml:space="preserve"> </w:t>
            </w:r>
            <w:r w:rsidR="00445D3D" w:rsidRPr="00445D3D">
              <w:rPr>
                <w:rFonts w:ascii="Times New Roman" w:eastAsia="Times New Roman" w:hAnsi="Times New Roman" w:cs="Times New Roman"/>
                <w:lang w:eastAsia="lv-LV"/>
              </w:rPr>
              <w:t>(</w:t>
            </w:r>
            <w:r w:rsidR="00445D3D" w:rsidRPr="00DC193A">
              <w:rPr>
                <w:rFonts w:ascii="Times New Roman" w:eastAsia="Calibri" w:hAnsi="Times New Roman" w:cs="Times New Roman"/>
              </w:rPr>
              <w:t>vispārējā nodokļu maksāšanas režīmā</w:t>
            </w:r>
            <w:r w:rsidR="00445D3D">
              <w:rPr>
                <w:rFonts w:ascii="Times New Roman" w:eastAsia="Calibri" w:hAnsi="Times New Roman" w:cs="Times New Roman"/>
              </w:rPr>
              <w:t>)</w:t>
            </w:r>
          </w:p>
        </w:tc>
        <w:tc>
          <w:tcPr>
            <w:tcW w:w="888" w:type="dxa"/>
            <w:tcBorders>
              <w:top w:val="nil"/>
              <w:left w:val="nil"/>
              <w:bottom w:val="single" w:sz="4" w:space="0" w:color="auto"/>
              <w:right w:val="single" w:sz="4" w:space="0" w:color="auto"/>
            </w:tcBorders>
            <w:shd w:val="clear" w:color="auto" w:fill="auto"/>
            <w:noWrap/>
            <w:vAlign w:val="center"/>
            <w:hideMark/>
          </w:tcPr>
          <w:p w14:paraId="0FE3899E" w14:textId="77777777" w:rsidR="004B5136" w:rsidRPr="00E25833" w:rsidRDefault="004B5136" w:rsidP="004B5136">
            <w:pPr>
              <w:spacing w:before="0" w:after="0" w:line="240" w:lineRule="auto"/>
              <w:jc w:val="right"/>
              <w:rPr>
                <w:rFonts w:ascii="Times New Roman" w:eastAsia="Times New Roman" w:hAnsi="Times New Roman" w:cs="Times New Roman"/>
                <w:color w:val="000000"/>
                <w:lang w:eastAsia="lv-LV"/>
              </w:rPr>
            </w:pPr>
            <w:r w:rsidRPr="00E25833">
              <w:rPr>
                <w:rFonts w:ascii="Times New Roman" w:eastAsia="Times New Roman" w:hAnsi="Times New Roman" w:cs="Times New Roman"/>
                <w:color w:val="000000"/>
                <w:lang w:eastAsia="lv-LV"/>
              </w:rPr>
              <w:t>45</w:t>
            </w:r>
            <w:r w:rsidR="003977E6">
              <w:rPr>
                <w:rFonts w:ascii="Times New Roman" w:eastAsia="Times New Roman" w:hAnsi="Times New Roman" w:cs="Times New Roman"/>
                <w:color w:val="000000"/>
                <w:lang w:eastAsia="lv-LV"/>
              </w:rPr>
              <w:t> </w:t>
            </w:r>
            <w:r w:rsidRPr="00E25833">
              <w:rPr>
                <w:rFonts w:ascii="Times New Roman" w:eastAsia="Times New Roman" w:hAnsi="Times New Roman" w:cs="Times New Roman"/>
                <w:color w:val="000000"/>
                <w:lang w:eastAsia="lv-LV"/>
              </w:rPr>
              <w:t>522</w:t>
            </w:r>
          </w:p>
        </w:tc>
        <w:tc>
          <w:tcPr>
            <w:tcW w:w="888" w:type="dxa"/>
            <w:tcBorders>
              <w:top w:val="nil"/>
              <w:left w:val="nil"/>
              <w:bottom w:val="single" w:sz="4" w:space="0" w:color="auto"/>
              <w:right w:val="single" w:sz="4" w:space="0" w:color="auto"/>
            </w:tcBorders>
            <w:shd w:val="clear" w:color="auto" w:fill="auto"/>
            <w:noWrap/>
            <w:vAlign w:val="center"/>
            <w:hideMark/>
          </w:tcPr>
          <w:p w14:paraId="27232580" w14:textId="77777777" w:rsidR="004B5136" w:rsidRPr="00E25833" w:rsidRDefault="004B5136" w:rsidP="004B5136">
            <w:pPr>
              <w:spacing w:before="0" w:after="0" w:line="240" w:lineRule="auto"/>
              <w:jc w:val="right"/>
              <w:rPr>
                <w:rFonts w:ascii="Times New Roman" w:eastAsia="Times New Roman" w:hAnsi="Times New Roman" w:cs="Times New Roman"/>
                <w:color w:val="000000"/>
                <w:lang w:eastAsia="lv-LV"/>
              </w:rPr>
            </w:pPr>
            <w:r w:rsidRPr="00E25833">
              <w:rPr>
                <w:rFonts w:ascii="Times New Roman" w:eastAsia="Times New Roman" w:hAnsi="Times New Roman" w:cs="Times New Roman"/>
                <w:color w:val="000000"/>
                <w:lang w:eastAsia="lv-LV"/>
              </w:rPr>
              <w:t>50</w:t>
            </w:r>
            <w:r w:rsidR="003977E6">
              <w:rPr>
                <w:rFonts w:ascii="Times New Roman" w:eastAsia="Times New Roman" w:hAnsi="Times New Roman" w:cs="Times New Roman"/>
                <w:color w:val="000000"/>
                <w:lang w:eastAsia="lv-LV"/>
              </w:rPr>
              <w:t> </w:t>
            </w:r>
            <w:r w:rsidRPr="00E25833">
              <w:rPr>
                <w:rFonts w:ascii="Times New Roman" w:eastAsia="Times New Roman" w:hAnsi="Times New Roman" w:cs="Times New Roman"/>
                <w:color w:val="000000"/>
                <w:lang w:eastAsia="lv-LV"/>
              </w:rPr>
              <w:t>944</w:t>
            </w:r>
          </w:p>
        </w:tc>
        <w:tc>
          <w:tcPr>
            <w:tcW w:w="888" w:type="dxa"/>
            <w:tcBorders>
              <w:top w:val="nil"/>
              <w:left w:val="nil"/>
              <w:bottom w:val="single" w:sz="4" w:space="0" w:color="auto"/>
              <w:right w:val="single" w:sz="4" w:space="0" w:color="auto"/>
            </w:tcBorders>
            <w:shd w:val="clear" w:color="auto" w:fill="auto"/>
            <w:noWrap/>
            <w:vAlign w:val="center"/>
            <w:hideMark/>
          </w:tcPr>
          <w:p w14:paraId="0A6274B2" w14:textId="77777777" w:rsidR="004B5136" w:rsidRPr="00E25833" w:rsidRDefault="004B5136" w:rsidP="004B5136">
            <w:pPr>
              <w:spacing w:before="0" w:after="0" w:line="240" w:lineRule="auto"/>
              <w:jc w:val="right"/>
              <w:rPr>
                <w:rFonts w:ascii="Times New Roman" w:eastAsia="Times New Roman" w:hAnsi="Times New Roman" w:cs="Times New Roman"/>
                <w:color w:val="000000"/>
                <w:lang w:eastAsia="lv-LV"/>
              </w:rPr>
            </w:pPr>
            <w:r w:rsidRPr="00E25833">
              <w:rPr>
                <w:rFonts w:ascii="Times New Roman" w:eastAsia="Times New Roman" w:hAnsi="Times New Roman" w:cs="Times New Roman"/>
                <w:color w:val="000000"/>
                <w:lang w:eastAsia="lv-LV"/>
              </w:rPr>
              <w:t>53</w:t>
            </w:r>
            <w:r w:rsidR="003977E6">
              <w:rPr>
                <w:rFonts w:ascii="Times New Roman" w:eastAsia="Times New Roman" w:hAnsi="Times New Roman" w:cs="Times New Roman"/>
                <w:color w:val="000000"/>
                <w:lang w:eastAsia="lv-LV"/>
              </w:rPr>
              <w:t> </w:t>
            </w:r>
            <w:r w:rsidRPr="00E25833">
              <w:rPr>
                <w:rFonts w:ascii="Times New Roman" w:eastAsia="Times New Roman" w:hAnsi="Times New Roman" w:cs="Times New Roman"/>
                <w:color w:val="000000"/>
                <w:lang w:eastAsia="lv-LV"/>
              </w:rPr>
              <w:t>790</w:t>
            </w:r>
          </w:p>
        </w:tc>
      </w:tr>
      <w:tr w:rsidR="004B5136" w:rsidRPr="00E25833" w14:paraId="4480585E" w14:textId="77777777" w:rsidTr="004B5136">
        <w:trPr>
          <w:trHeight w:val="510"/>
          <w:jc w:val="center"/>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369667F6" w14:textId="77777777" w:rsidR="004B5136" w:rsidRPr="00E25833" w:rsidRDefault="004B5136" w:rsidP="004B5136">
            <w:pPr>
              <w:spacing w:before="0" w:after="0" w:line="240" w:lineRule="auto"/>
              <w:rPr>
                <w:rFonts w:ascii="Times New Roman" w:eastAsia="Times New Roman" w:hAnsi="Times New Roman" w:cs="Times New Roman"/>
                <w:lang w:eastAsia="lv-LV"/>
              </w:rPr>
            </w:pPr>
            <w:r w:rsidRPr="00E25833">
              <w:rPr>
                <w:rFonts w:ascii="Times New Roman" w:eastAsia="Times New Roman" w:hAnsi="Times New Roman" w:cs="Times New Roman"/>
                <w:lang w:eastAsia="lv-LV"/>
              </w:rPr>
              <w:t>Vidējais nostrādāto stundu skaits vienai darba vietai mēnesī</w:t>
            </w:r>
            <w:r w:rsidR="00445D3D">
              <w:rPr>
                <w:rFonts w:ascii="Times New Roman" w:eastAsia="Times New Roman" w:hAnsi="Times New Roman" w:cs="Times New Roman"/>
                <w:lang w:eastAsia="lv-LV"/>
              </w:rPr>
              <w:t xml:space="preserve"> </w:t>
            </w:r>
            <w:r w:rsidR="00445D3D" w:rsidRPr="00445D3D">
              <w:rPr>
                <w:rFonts w:ascii="Times New Roman" w:eastAsia="Times New Roman" w:hAnsi="Times New Roman" w:cs="Times New Roman"/>
                <w:lang w:eastAsia="lv-LV"/>
              </w:rPr>
              <w:t>(</w:t>
            </w:r>
            <w:r w:rsidR="00445D3D" w:rsidRPr="008E6FD3">
              <w:rPr>
                <w:rFonts w:ascii="Times New Roman" w:eastAsia="Calibri" w:hAnsi="Times New Roman" w:cs="Times New Roman"/>
              </w:rPr>
              <w:t>vispārējā nodokļu maksāšanas režīmā</w:t>
            </w:r>
            <w:r w:rsidR="00445D3D">
              <w:rPr>
                <w:rFonts w:ascii="Times New Roman" w:eastAsia="Calibri" w:hAnsi="Times New Roman" w:cs="Times New Roman"/>
              </w:rPr>
              <w:t>)</w:t>
            </w:r>
          </w:p>
        </w:tc>
        <w:tc>
          <w:tcPr>
            <w:tcW w:w="888" w:type="dxa"/>
            <w:tcBorders>
              <w:top w:val="nil"/>
              <w:left w:val="nil"/>
              <w:bottom w:val="single" w:sz="4" w:space="0" w:color="auto"/>
              <w:right w:val="single" w:sz="4" w:space="0" w:color="auto"/>
            </w:tcBorders>
            <w:shd w:val="clear" w:color="auto" w:fill="auto"/>
            <w:noWrap/>
            <w:vAlign w:val="center"/>
            <w:hideMark/>
          </w:tcPr>
          <w:p w14:paraId="431F25CE" w14:textId="77777777" w:rsidR="004B5136" w:rsidRPr="00E25833" w:rsidRDefault="004B5136" w:rsidP="004B5136">
            <w:pPr>
              <w:spacing w:before="0" w:after="0" w:line="240" w:lineRule="auto"/>
              <w:jc w:val="right"/>
              <w:rPr>
                <w:rFonts w:ascii="Times New Roman" w:eastAsia="Times New Roman" w:hAnsi="Times New Roman" w:cs="Times New Roman"/>
                <w:color w:val="000000"/>
                <w:lang w:eastAsia="lv-LV"/>
              </w:rPr>
            </w:pPr>
            <w:r w:rsidRPr="00E25833">
              <w:rPr>
                <w:rFonts w:ascii="Times New Roman" w:eastAsia="Times New Roman" w:hAnsi="Times New Roman" w:cs="Times New Roman"/>
                <w:color w:val="000000"/>
                <w:lang w:eastAsia="lv-LV"/>
              </w:rPr>
              <w:t>121</w:t>
            </w:r>
          </w:p>
        </w:tc>
        <w:tc>
          <w:tcPr>
            <w:tcW w:w="888" w:type="dxa"/>
            <w:tcBorders>
              <w:top w:val="nil"/>
              <w:left w:val="nil"/>
              <w:bottom w:val="single" w:sz="4" w:space="0" w:color="auto"/>
              <w:right w:val="single" w:sz="4" w:space="0" w:color="auto"/>
            </w:tcBorders>
            <w:shd w:val="clear" w:color="auto" w:fill="auto"/>
            <w:noWrap/>
            <w:vAlign w:val="center"/>
            <w:hideMark/>
          </w:tcPr>
          <w:p w14:paraId="1CFA16B8" w14:textId="77777777" w:rsidR="004B5136" w:rsidRPr="00E25833" w:rsidRDefault="004B5136" w:rsidP="004B5136">
            <w:pPr>
              <w:spacing w:before="0" w:after="0" w:line="240" w:lineRule="auto"/>
              <w:jc w:val="right"/>
              <w:rPr>
                <w:rFonts w:ascii="Times New Roman" w:eastAsia="Times New Roman" w:hAnsi="Times New Roman" w:cs="Times New Roman"/>
                <w:color w:val="000000"/>
                <w:lang w:eastAsia="lv-LV"/>
              </w:rPr>
            </w:pPr>
            <w:r w:rsidRPr="00E25833">
              <w:rPr>
                <w:rFonts w:ascii="Times New Roman" w:eastAsia="Times New Roman" w:hAnsi="Times New Roman" w:cs="Times New Roman"/>
                <w:color w:val="000000"/>
                <w:lang w:eastAsia="lv-LV"/>
              </w:rPr>
              <w:t>120</w:t>
            </w:r>
          </w:p>
        </w:tc>
        <w:tc>
          <w:tcPr>
            <w:tcW w:w="888" w:type="dxa"/>
            <w:tcBorders>
              <w:top w:val="nil"/>
              <w:left w:val="nil"/>
              <w:bottom w:val="single" w:sz="4" w:space="0" w:color="auto"/>
              <w:right w:val="single" w:sz="4" w:space="0" w:color="auto"/>
            </w:tcBorders>
            <w:shd w:val="clear" w:color="auto" w:fill="auto"/>
            <w:noWrap/>
            <w:vAlign w:val="center"/>
            <w:hideMark/>
          </w:tcPr>
          <w:p w14:paraId="4146643D" w14:textId="77777777" w:rsidR="004B5136" w:rsidRPr="00E25833" w:rsidRDefault="004B5136" w:rsidP="004B5136">
            <w:pPr>
              <w:spacing w:before="0" w:after="0" w:line="240" w:lineRule="auto"/>
              <w:jc w:val="right"/>
              <w:rPr>
                <w:rFonts w:ascii="Times New Roman" w:eastAsia="Times New Roman" w:hAnsi="Times New Roman" w:cs="Times New Roman"/>
                <w:color w:val="000000"/>
                <w:lang w:eastAsia="lv-LV"/>
              </w:rPr>
            </w:pPr>
            <w:r w:rsidRPr="00E25833">
              <w:rPr>
                <w:rFonts w:ascii="Times New Roman" w:eastAsia="Times New Roman" w:hAnsi="Times New Roman" w:cs="Times New Roman"/>
                <w:color w:val="000000"/>
                <w:lang w:eastAsia="lv-LV"/>
              </w:rPr>
              <w:t>120</w:t>
            </w:r>
          </w:p>
        </w:tc>
      </w:tr>
      <w:tr w:rsidR="004B5136" w:rsidRPr="00E25833" w14:paraId="4A54160D" w14:textId="77777777" w:rsidTr="004B5136">
        <w:trPr>
          <w:trHeight w:val="255"/>
          <w:jc w:val="center"/>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0ACAF0AF" w14:textId="77777777" w:rsidR="004B5136" w:rsidRPr="00E25833" w:rsidRDefault="004B5136" w:rsidP="004B5136">
            <w:pPr>
              <w:spacing w:before="0" w:after="0" w:line="240" w:lineRule="auto"/>
              <w:rPr>
                <w:rFonts w:ascii="Times New Roman" w:eastAsia="Times New Roman" w:hAnsi="Times New Roman" w:cs="Times New Roman"/>
                <w:lang w:eastAsia="lv-LV"/>
              </w:rPr>
            </w:pPr>
            <w:r w:rsidRPr="00E25833">
              <w:rPr>
                <w:rFonts w:ascii="Times New Roman" w:eastAsia="Times New Roman" w:hAnsi="Times New Roman" w:cs="Times New Roman"/>
                <w:lang w:eastAsia="lv-LV"/>
              </w:rPr>
              <w:t xml:space="preserve">Vidējā stundas tarifa likme, </w:t>
            </w:r>
            <w:proofErr w:type="spellStart"/>
            <w:r w:rsidR="001155D8" w:rsidRPr="006610D8">
              <w:rPr>
                <w:rFonts w:ascii="Times New Roman" w:eastAsia="Times New Roman" w:hAnsi="Times New Roman" w:cs="Times New Roman"/>
                <w:i/>
                <w:iCs/>
                <w:lang w:eastAsia="lv-LV"/>
              </w:rPr>
              <w:t>euro</w:t>
            </w:r>
            <w:proofErr w:type="spellEnd"/>
            <w:r w:rsidR="003A23CE" w:rsidRPr="006610D8">
              <w:rPr>
                <w:rFonts w:ascii="Times New Roman" w:eastAsia="Times New Roman" w:hAnsi="Times New Roman" w:cs="Times New Roman"/>
                <w:i/>
                <w:iCs/>
                <w:lang w:eastAsia="lv-LV"/>
              </w:rPr>
              <w:t xml:space="preserve"> </w:t>
            </w:r>
            <w:r w:rsidR="003A23CE" w:rsidRPr="00445D3D">
              <w:rPr>
                <w:rFonts w:ascii="Times New Roman" w:eastAsia="Times New Roman" w:hAnsi="Times New Roman" w:cs="Times New Roman"/>
                <w:lang w:eastAsia="lv-LV"/>
              </w:rPr>
              <w:t>(</w:t>
            </w:r>
            <w:r w:rsidR="003A23CE" w:rsidRPr="008E6FD3">
              <w:rPr>
                <w:rFonts w:ascii="Times New Roman" w:eastAsia="Calibri" w:hAnsi="Times New Roman" w:cs="Times New Roman"/>
              </w:rPr>
              <w:t>vispārējā nodokļu maksāšanas režīmā</w:t>
            </w:r>
            <w:r w:rsidR="003A23CE">
              <w:rPr>
                <w:rFonts w:ascii="Times New Roman" w:eastAsia="Calibri" w:hAnsi="Times New Roman" w:cs="Times New Roman"/>
              </w:rPr>
              <w:t>)</w:t>
            </w:r>
          </w:p>
        </w:tc>
        <w:tc>
          <w:tcPr>
            <w:tcW w:w="888" w:type="dxa"/>
            <w:tcBorders>
              <w:top w:val="nil"/>
              <w:left w:val="nil"/>
              <w:bottom w:val="single" w:sz="4" w:space="0" w:color="auto"/>
              <w:right w:val="single" w:sz="4" w:space="0" w:color="auto"/>
            </w:tcBorders>
            <w:shd w:val="clear" w:color="auto" w:fill="auto"/>
            <w:noWrap/>
            <w:vAlign w:val="center"/>
            <w:hideMark/>
          </w:tcPr>
          <w:p w14:paraId="26801795" w14:textId="77777777" w:rsidR="004B5136" w:rsidRPr="00E25833" w:rsidRDefault="004B5136" w:rsidP="004B5136">
            <w:pPr>
              <w:spacing w:before="0" w:after="0" w:line="240" w:lineRule="auto"/>
              <w:jc w:val="right"/>
              <w:rPr>
                <w:rFonts w:ascii="Times New Roman" w:eastAsia="Times New Roman" w:hAnsi="Times New Roman" w:cs="Times New Roman"/>
                <w:color w:val="000000"/>
                <w:lang w:eastAsia="lv-LV"/>
              </w:rPr>
            </w:pPr>
            <w:r w:rsidRPr="00E25833">
              <w:rPr>
                <w:rFonts w:ascii="Times New Roman" w:eastAsia="Times New Roman" w:hAnsi="Times New Roman" w:cs="Times New Roman"/>
                <w:color w:val="000000"/>
                <w:lang w:eastAsia="lv-LV"/>
              </w:rPr>
              <w:t>6,41</w:t>
            </w:r>
          </w:p>
        </w:tc>
        <w:tc>
          <w:tcPr>
            <w:tcW w:w="888" w:type="dxa"/>
            <w:tcBorders>
              <w:top w:val="nil"/>
              <w:left w:val="nil"/>
              <w:bottom w:val="single" w:sz="4" w:space="0" w:color="auto"/>
              <w:right w:val="single" w:sz="4" w:space="0" w:color="auto"/>
            </w:tcBorders>
            <w:shd w:val="clear" w:color="auto" w:fill="auto"/>
            <w:noWrap/>
            <w:vAlign w:val="center"/>
            <w:hideMark/>
          </w:tcPr>
          <w:p w14:paraId="1B1576D6" w14:textId="77777777" w:rsidR="004B5136" w:rsidRPr="00E25833" w:rsidRDefault="004B5136" w:rsidP="004B5136">
            <w:pPr>
              <w:spacing w:before="0" w:after="0" w:line="240" w:lineRule="auto"/>
              <w:jc w:val="right"/>
              <w:rPr>
                <w:rFonts w:ascii="Times New Roman" w:eastAsia="Times New Roman" w:hAnsi="Times New Roman" w:cs="Times New Roman"/>
                <w:color w:val="000000"/>
                <w:lang w:eastAsia="lv-LV"/>
              </w:rPr>
            </w:pPr>
            <w:r w:rsidRPr="00E25833">
              <w:rPr>
                <w:rFonts w:ascii="Times New Roman" w:eastAsia="Times New Roman" w:hAnsi="Times New Roman" w:cs="Times New Roman"/>
                <w:color w:val="000000"/>
                <w:lang w:eastAsia="lv-LV"/>
              </w:rPr>
              <w:t>6,99</w:t>
            </w:r>
          </w:p>
        </w:tc>
        <w:tc>
          <w:tcPr>
            <w:tcW w:w="888" w:type="dxa"/>
            <w:tcBorders>
              <w:top w:val="nil"/>
              <w:left w:val="nil"/>
              <w:bottom w:val="single" w:sz="4" w:space="0" w:color="auto"/>
              <w:right w:val="single" w:sz="4" w:space="0" w:color="auto"/>
            </w:tcBorders>
            <w:shd w:val="clear" w:color="auto" w:fill="auto"/>
            <w:noWrap/>
            <w:vAlign w:val="center"/>
            <w:hideMark/>
          </w:tcPr>
          <w:p w14:paraId="217CC311" w14:textId="77777777" w:rsidR="004B5136" w:rsidRPr="00E25833" w:rsidRDefault="004B5136" w:rsidP="004B5136">
            <w:pPr>
              <w:spacing w:before="0" w:after="0" w:line="240" w:lineRule="auto"/>
              <w:jc w:val="right"/>
              <w:rPr>
                <w:rFonts w:ascii="Times New Roman" w:eastAsia="Times New Roman" w:hAnsi="Times New Roman" w:cs="Times New Roman"/>
                <w:color w:val="000000"/>
                <w:lang w:eastAsia="lv-LV"/>
              </w:rPr>
            </w:pPr>
            <w:r w:rsidRPr="00E25833">
              <w:rPr>
                <w:rFonts w:ascii="Times New Roman" w:eastAsia="Times New Roman" w:hAnsi="Times New Roman" w:cs="Times New Roman"/>
                <w:color w:val="000000"/>
                <w:lang w:eastAsia="lv-LV"/>
              </w:rPr>
              <w:t>7,59</w:t>
            </w:r>
          </w:p>
        </w:tc>
      </w:tr>
    </w:tbl>
    <w:p w14:paraId="16DED761" w14:textId="77777777" w:rsidR="004B5136" w:rsidRPr="00E25833" w:rsidRDefault="004B5136" w:rsidP="003977E6">
      <w:pPr>
        <w:spacing w:before="0" w:after="0" w:line="240" w:lineRule="auto"/>
        <w:ind w:firstLine="720"/>
        <w:jc w:val="both"/>
        <w:rPr>
          <w:rFonts w:ascii="Times New Roman" w:eastAsia="Calibri" w:hAnsi="Times New Roman" w:cs="Times New Roman"/>
          <w:sz w:val="28"/>
          <w:szCs w:val="28"/>
        </w:rPr>
      </w:pPr>
    </w:p>
    <w:p w14:paraId="7DF951DE" w14:textId="77777777" w:rsidR="004B5136" w:rsidRDefault="004B5136" w:rsidP="002F0967">
      <w:pPr>
        <w:spacing w:before="0" w:after="0" w:line="240" w:lineRule="auto"/>
        <w:ind w:firstLine="720"/>
        <w:jc w:val="both"/>
        <w:rPr>
          <w:rFonts w:ascii="Times New Roman" w:eastAsia="Calibri" w:hAnsi="Times New Roman" w:cs="Times New Roman"/>
          <w:sz w:val="28"/>
          <w:szCs w:val="28"/>
        </w:rPr>
      </w:pPr>
      <w:r w:rsidRPr="004F397E">
        <w:rPr>
          <w:rFonts w:ascii="Times New Roman" w:eastAsia="Calibri" w:hAnsi="Times New Roman" w:cs="Times New Roman"/>
          <w:sz w:val="28"/>
          <w:szCs w:val="28"/>
        </w:rPr>
        <w:t>Izplatītākās profesijas būvniecības nozarē 2019.gadā bija būvstrādnieks, palīgstrādnieks, būvdarbu vadītājs un būvnieks. Visām izplatītākajām profesijām būvniecības nozarē 2019.gadā, salīdzinot ar 2018.gadu, vērojams vidējās stundas tarifa likmes kāpums un 80 % no izplatītākajām profesijām ir palielinājies arī vidējais darba vietu skaits (skat</w:t>
      </w:r>
      <w:r w:rsidR="003F0DE8" w:rsidRPr="004F397E">
        <w:rPr>
          <w:rFonts w:ascii="Times New Roman" w:eastAsia="Calibri" w:hAnsi="Times New Roman" w:cs="Times New Roman"/>
          <w:sz w:val="28"/>
          <w:szCs w:val="28"/>
        </w:rPr>
        <w:t>īt</w:t>
      </w:r>
      <w:r w:rsidRPr="004F397E">
        <w:rPr>
          <w:rFonts w:ascii="Times New Roman" w:eastAsia="Calibri" w:hAnsi="Times New Roman" w:cs="Times New Roman"/>
          <w:sz w:val="28"/>
          <w:szCs w:val="28"/>
        </w:rPr>
        <w:t xml:space="preserve"> </w:t>
      </w:r>
      <w:r w:rsidR="004F397E" w:rsidRPr="004F397E">
        <w:rPr>
          <w:rFonts w:ascii="Times New Roman" w:eastAsia="Calibri" w:hAnsi="Times New Roman" w:cs="Times New Roman"/>
          <w:sz w:val="28"/>
          <w:szCs w:val="28"/>
        </w:rPr>
        <w:t>10</w:t>
      </w:r>
      <w:r w:rsidRPr="004F397E">
        <w:rPr>
          <w:rFonts w:ascii="Times New Roman" w:eastAsia="Calibri" w:hAnsi="Times New Roman" w:cs="Times New Roman"/>
          <w:sz w:val="28"/>
          <w:szCs w:val="28"/>
        </w:rPr>
        <w:t>.tabulu). Līdzīga tendence ir vērojama arī 2018.gadā, salīdzinot ar 2017.gadu.</w:t>
      </w:r>
    </w:p>
    <w:p w14:paraId="60C6A33D" w14:textId="77777777" w:rsidR="004D3B7B" w:rsidRPr="004F397E" w:rsidRDefault="004D3B7B" w:rsidP="00237CD7">
      <w:pPr>
        <w:spacing w:before="0" w:after="0" w:line="240" w:lineRule="auto"/>
        <w:ind w:firstLine="720"/>
        <w:jc w:val="both"/>
        <w:rPr>
          <w:rFonts w:ascii="Times New Roman" w:eastAsia="Calibri" w:hAnsi="Times New Roman" w:cs="Times New Roman"/>
          <w:sz w:val="28"/>
          <w:szCs w:val="28"/>
        </w:rPr>
      </w:pPr>
    </w:p>
    <w:p w14:paraId="3F714316" w14:textId="77777777" w:rsidR="004B5136" w:rsidRPr="004F397E" w:rsidRDefault="004F397E" w:rsidP="004B5136">
      <w:pPr>
        <w:spacing w:before="0" w:after="0" w:line="240" w:lineRule="auto"/>
        <w:ind w:firstLine="720"/>
        <w:jc w:val="right"/>
        <w:rPr>
          <w:rFonts w:ascii="Times New Roman" w:eastAsia="Calibri" w:hAnsi="Times New Roman" w:cs="Times New Roman"/>
          <w:sz w:val="28"/>
          <w:szCs w:val="22"/>
        </w:rPr>
      </w:pPr>
      <w:r w:rsidRPr="004F397E">
        <w:rPr>
          <w:rFonts w:ascii="Times New Roman" w:eastAsia="Calibri" w:hAnsi="Times New Roman" w:cs="Times New Roman"/>
          <w:sz w:val="28"/>
          <w:szCs w:val="22"/>
        </w:rPr>
        <w:t>10</w:t>
      </w:r>
      <w:r w:rsidR="004B5136" w:rsidRPr="004F397E">
        <w:rPr>
          <w:rFonts w:ascii="Times New Roman" w:eastAsia="Calibri" w:hAnsi="Times New Roman" w:cs="Times New Roman"/>
          <w:sz w:val="28"/>
          <w:szCs w:val="22"/>
        </w:rPr>
        <w:t>.tabula</w:t>
      </w:r>
    </w:p>
    <w:p w14:paraId="77277A5B" w14:textId="77777777" w:rsidR="004B5136" w:rsidRPr="00E25833" w:rsidRDefault="004B5136" w:rsidP="004B5136">
      <w:pPr>
        <w:spacing w:before="0" w:after="0" w:line="240" w:lineRule="auto"/>
        <w:jc w:val="center"/>
        <w:rPr>
          <w:rFonts w:ascii="Times New Roman" w:eastAsia="Calibri" w:hAnsi="Times New Roman" w:cs="Times New Roman"/>
          <w:b/>
          <w:sz w:val="28"/>
          <w:szCs w:val="28"/>
        </w:rPr>
      </w:pPr>
      <w:r w:rsidRPr="00E25833">
        <w:rPr>
          <w:rFonts w:ascii="Times New Roman" w:eastAsia="Calibri" w:hAnsi="Times New Roman" w:cs="Times New Roman"/>
          <w:b/>
          <w:sz w:val="28"/>
          <w:szCs w:val="28"/>
        </w:rPr>
        <w:t>Informācija par izplatītākajām profesijām būvniecības nozarē</w:t>
      </w:r>
    </w:p>
    <w:p w14:paraId="408DED52" w14:textId="77777777" w:rsidR="004B5136" w:rsidRPr="00E25833" w:rsidRDefault="004B5136" w:rsidP="004B5136">
      <w:pPr>
        <w:spacing w:before="0" w:after="0" w:line="240" w:lineRule="auto"/>
        <w:rPr>
          <w:rFonts w:ascii="Times New Roman" w:eastAsia="Calibri" w:hAnsi="Times New Roman" w:cs="Times New Roman"/>
        </w:rPr>
      </w:pPr>
      <w:r w:rsidRPr="00E25833">
        <w:rPr>
          <w:rFonts w:ascii="Times New Roman" w:eastAsia="Calibri" w:hAnsi="Times New Roman" w:cs="Times New Roman"/>
        </w:rPr>
        <w:t>Dati uz 2020.gada 31.martu</w:t>
      </w:r>
    </w:p>
    <w:tbl>
      <w:tblPr>
        <w:tblW w:w="9776" w:type="dxa"/>
        <w:jc w:val="center"/>
        <w:tblLook w:val="04A0" w:firstRow="1" w:lastRow="0" w:firstColumn="1" w:lastColumn="0" w:noHBand="0" w:noVBand="1"/>
      </w:tblPr>
      <w:tblGrid>
        <w:gridCol w:w="1984"/>
        <w:gridCol w:w="888"/>
        <w:gridCol w:w="888"/>
        <w:gridCol w:w="888"/>
        <w:gridCol w:w="888"/>
        <w:gridCol w:w="888"/>
        <w:gridCol w:w="888"/>
        <w:gridCol w:w="888"/>
        <w:gridCol w:w="888"/>
        <w:gridCol w:w="888"/>
      </w:tblGrid>
      <w:tr w:rsidR="004B5136" w:rsidRPr="00E25833" w14:paraId="23BB3B31" w14:textId="77777777" w:rsidTr="00BC35D5">
        <w:trPr>
          <w:trHeight w:val="780"/>
          <w:jc w:val="center"/>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62ACC"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Profesija</w:t>
            </w:r>
          </w:p>
        </w:tc>
        <w:tc>
          <w:tcPr>
            <w:tcW w:w="2664" w:type="dxa"/>
            <w:gridSpan w:val="3"/>
            <w:tcBorders>
              <w:top w:val="single" w:sz="4" w:space="0" w:color="auto"/>
              <w:left w:val="nil"/>
              <w:bottom w:val="single" w:sz="4" w:space="0" w:color="auto"/>
              <w:right w:val="single" w:sz="4" w:space="0" w:color="auto"/>
            </w:tcBorders>
            <w:shd w:val="clear" w:color="auto" w:fill="auto"/>
            <w:vAlign w:val="center"/>
            <w:hideMark/>
          </w:tcPr>
          <w:p w14:paraId="76349CF0"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Vidējais darba vietu skaits mēnesī</w:t>
            </w:r>
          </w:p>
        </w:tc>
        <w:tc>
          <w:tcPr>
            <w:tcW w:w="2664" w:type="dxa"/>
            <w:gridSpan w:val="3"/>
            <w:tcBorders>
              <w:top w:val="single" w:sz="4" w:space="0" w:color="auto"/>
              <w:left w:val="nil"/>
              <w:bottom w:val="single" w:sz="4" w:space="0" w:color="auto"/>
              <w:right w:val="single" w:sz="4" w:space="0" w:color="auto"/>
            </w:tcBorders>
            <w:shd w:val="clear" w:color="auto" w:fill="auto"/>
            <w:vAlign w:val="center"/>
            <w:hideMark/>
          </w:tcPr>
          <w:p w14:paraId="5B75924E"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Vidējais nostrādāto stundu skaits vienai darba vietai mēnesī</w:t>
            </w:r>
          </w:p>
        </w:tc>
        <w:tc>
          <w:tcPr>
            <w:tcW w:w="2464" w:type="dxa"/>
            <w:gridSpan w:val="3"/>
            <w:tcBorders>
              <w:top w:val="single" w:sz="4" w:space="0" w:color="auto"/>
              <w:left w:val="nil"/>
              <w:bottom w:val="single" w:sz="4" w:space="0" w:color="auto"/>
              <w:right w:val="single" w:sz="4" w:space="0" w:color="auto"/>
            </w:tcBorders>
            <w:shd w:val="clear" w:color="auto" w:fill="auto"/>
            <w:vAlign w:val="center"/>
            <w:hideMark/>
          </w:tcPr>
          <w:p w14:paraId="487AA290"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 xml:space="preserve">Vidējā stundas tarifa likme, </w:t>
            </w:r>
            <w:proofErr w:type="spellStart"/>
            <w:r w:rsidR="001155D8" w:rsidRPr="006610D8">
              <w:rPr>
                <w:rFonts w:ascii="Times New Roman" w:eastAsia="Times New Roman" w:hAnsi="Times New Roman" w:cs="Times New Roman"/>
                <w:b/>
                <w:bCs/>
                <w:i/>
                <w:iCs/>
                <w:color w:val="000000"/>
                <w:sz w:val="16"/>
                <w:szCs w:val="16"/>
                <w:lang w:eastAsia="lv-LV"/>
              </w:rPr>
              <w:t>euro</w:t>
            </w:r>
            <w:proofErr w:type="spellEnd"/>
          </w:p>
        </w:tc>
      </w:tr>
      <w:tr w:rsidR="004B5136" w:rsidRPr="00E25833" w14:paraId="13F81CB0" w14:textId="77777777" w:rsidTr="00BC35D5">
        <w:trPr>
          <w:trHeight w:val="581"/>
          <w:jc w:val="center"/>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60DA8836" w14:textId="77777777" w:rsidR="004B5136" w:rsidRPr="00E25833" w:rsidRDefault="004B5136" w:rsidP="004B5136">
            <w:pPr>
              <w:spacing w:before="0" w:after="0" w:line="240" w:lineRule="auto"/>
              <w:rPr>
                <w:rFonts w:ascii="Times New Roman" w:eastAsia="Times New Roman" w:hAnsi="Times New Roman" w:cs="Times New Roman"/>
                <w:b/>
                <w:bCs/>
                <w:color w:val="000000"/>
                <w:sz w:val="16"/>
                <w:szCs w:val="16"/>
                <w:lang w:eastAsia="lv-LV"/>
              </w:rPr>
            </w:pPr>
          </w:p>
        </w:tc>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A86F69"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2017.gads</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C6E948"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2018.gads</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F05CB3"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2019.gads</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212E71"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2017.gads</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FFA926"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2018.gads</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08F9A4"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2019.gads</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5DAC18"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2017.gads</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9FF24D"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2018.gads</w:t>
            </w:r>
          </w:p>
        </w:tc>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1F6F28"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szCs w:val="16"/>
                <w:lang w:eastAsia="lv-LV"/>
              </w:rPr>
            </w:pPr>
            <w:r w:rsidRPr="00E25833">
              <w:rPr>
                <w:rFonts w:ascii="Times New Roman" w:eastAsia="Times New Roman" w:hAnsi="Times New Roman" w:cs="Times New Roman"/>
                <w:b/>
                <w:bCs/>
                <w:color w:val="000000"/>
                <w:sz w:val="16"/>
                <w:szCs w:val="16"/>
                <w:lang w:eastAsia="lv-LV"/>
              </w:rPr>
              <w:t>2019.gads</w:t>
            </w:r>
          </w:p>
        </w:tc>
      </w:tr>
      <w:tr w:rsidR="004B5136" w:rsidRPr="00E25833" w14:paraId="34FDBF1C" w14:textId="77777777" w:rsidTr="00BC35D5">
        <w:trPr>
          <w:trHeight w:val="581"/>
          <w:jc w:val="center"/>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30714688" w14:textId="77777777" w:rsidR="004B5136" w:rsidRPr="00E25833" w:rsidRDefault="004B5136" w:rsidP="004B5136">
            <w:pPr>
              <w:spacing w:before="0" w:after="0" w:line="240" w:lineRule="auto"/>
              <w:rPr>
                <w:rFonts w:ascii="Times New Roman" w:eastAsia="Times New Roman" w:hAnsi="Times New Roman" w:cs="Times New Roman"/>
                <w:b/>
                <w:bCs/>
                <w:color w:val="000000"/>
                <w:sz w:val="16"/>
                <w:szCs w:val="16"/>
                <w:lang w:eastAsia="lv-LV"/>
              </w:rPr>
            </w:pPr>
          </w:p>
        </w:tc>
        <w:tc>
          <w:tcPr>
            <w:tcW w:w="888" w:type="dxa"/>
            <w:vMerge/>
            <w:tcBorders>
              <w:top w:val="nil"/>
              <w:left w:val="single" w:sz="4" w:space="0" w:color="auto"/>
              <w:bottom w:val="single" w:sz="4" w:space="0" w:color="auto"/>
              <w:right w:val="single" w:sz="4" w:space="0" w:color="auto"/>
            </w:tcBorders>
            <w:vAlign w:val="center"/>
            <w:hideMark/>
          </w:tcPr>
          <w:p w14:paraId="04ABAAE6" w14:textId="77777777" w:rsidR="004B5136" w:rsidRPr="00E25833" w:rsidRDefault="004B5136" w:rsidP="004B5136">
            <w:pPr>
              <w:spacing w:before="0" w:after="0" w:line="240" w:lineRule="auto"/>
              <w:rPr>
                <w:rFonts w:ascii="Times New Roman" w:eastAsia="Times New Roman" w:hAnsi="Times New Roman" w:cs="Times New Roman"/>
                <w:b/>
                <w:bCs/>
                <w:color w:val="000000"/>
                <w:sz w:val="16"/>
                <w:szCs w:val="16"/>
                <w:lang w:eastAsia="lv-LV"/>
              </w:rPr>
            </w:pPr>
          </w:p>
        </w:tc>
        <w:tc>
          <w:tcPr>
            <w:tcW w:w="888" w:type="dxa"/>
            <w:vMerge/>
            <w:tcBorders>
              <w:top w:val="nil"/>
              <w:left w:val="single" w:sz="4" w:space="0" w:color="auto"/>
              <w:bottom w:val="single" w:sz="4" w:space="0" w:color="auto"/>
              <w:right w:val="single" w:sz="4" w:space="0" w:color="auto"/>
            </w:tcBorders>
            <w:vAlign w:val="center"/>
            <w:hideMark/>
          </w:tcPr>
          <w:p w14:paraId="48C7E4B7" w14:textId="77777777" w:rsidR="004B5136" w:rsidRPr="00E25833" w:rsidRDefault="004B5136" w:rsidP="004B5136">
            <w:pPr>
              <w:spacing w:before="0" w:after="0" w:line="240" w:lineRule="auto"/>
              <w:rPr>
                <w:rFonts w:ascii="Times New Roman" w:eastAsia="Times New Roman" w:hAnsi="Times New Roman" w:cs="Times New Roman"/>
                <w:b/>
                <w:bCs/>
                <w:color w:val="000000"/>
                <w:sz w:val="16"/>
                <w:szCs w:val="16"/>
                <w:lang w:eastAsia="lv-LV"/>
              </w:rPr>
            </w:pPr>
          </w:p>
        </w:tc>
        <w:tc>
          <w:tcPr>
            <w:tcW w:w="888" w:type="dxa"/>
            <w:vMerge/>
            <w:tcBorders>
              <w:top w:val="nil"/>
              <w:left w:val="single" w:sz="4" w:space="0" w:color="auto"/>
              <w:bottom w:val="single" w:sz="4" w:space="0" w:color="auto"/>
              <w:right w:val="single" w:sz="4" w:space="0" w:color="auto"/>
            </w:tcBorders>
            <w:vAlign w:val="center"/>
            <w:hideMark/>
          </w:tcPr>
          <w:p w14:paraId="379E0BEF" w14:textId="77777777" w:rsidR="004B5136" w:rsidRPr="00E25833" w:rsidRDefault="004B5136" w:rsidP="004B5136">
            <w:pPr>
              <w:spacing w:before="0" w:after="0" w:line="240" w:lineRule="auto"/>
              <w:rPr>
                <w:rFonts w:ascii="Times New Roman" w:eastAsia="Times New Roman" w:hAnsi="Times New Roman" w:cs="Times New Roman"/>
                <w:b/>
                <w:bCs/>
                <w:color w:val="000000"/>
                <w:sz w:val="16"/>
                <w:szCs w:val="16"/>
                <w:lang w:eastAsia="lv-LV"/>
              </w:rPr>
            </w:pPr>
          </w:p>
        </w:tc>
        <w:tc>
          <w:tcPr>
            <w:tcW w:w="888" w:type="dxa"/>
            <w:vMerge/>
            <w:tcBorders>
              <w:top w:val="nil"/>
              <w:left w:val="single" w:sz="4" w:space="0" w:color="auto"/>
              <w:bottom w:val="single" w:sz="4" w:space="0" w:color="auto"/>
              <w:right w:val="single" w:sz="4" w:space="0" w:color="auto"/>
            </w:tcBorders>
            <w:vAlign w:val="center"/>
            <w:hideMark/>
          </w:tcPr>
          <w:p w14:paraId="453CA64B" w14:textId="77777777" w:rsidR="004B5136" w:rsidRPr="00E25833" w:rsidRDefault="004B5136" w:rsidP="004B5136">
            <w:pPr>
              <w:spacing w:before="0" w:after="0" w:line="240" w:lineRule="auto"/>
              <w:rPr>
                <w:rFonts w:ascii="Times New Roman" w:eastAsia="Times New Roman" w:hAnsi="Times New Roman" w:cs="Times New Roman"/>
                <w:b/>
                <w:bCs/>
                <w:color w:val="000000"/>
                <w:sz w:val="16"/>
                <w:szCs w:val="16"/>
                <w:lang w:eastAsia="lv-LV"/>
              </w:rPr>
            </w:pPr>
          </w:p>
        </w:tc>
        <w:tc>
          <w:tcPr>
            <w:tcW w:w="888" w:type="dxa"/>
            <w:vMerge/>
            <w:tcBorders>
              <w:top w:val="nil"/>
              <w:left w:val="single" w:sz="4" w:space="0" w:color="auto"/>
              <w:bottom w:val="single" w:sz="4" w:space="0" w:color="auto"/>
              <w:right w:val="single" w:sz="4" w:space="0" w:color="auto"/>
            </w:tcBorders>
            <w:vAlign w:val="center"/>
            <w:hideMark/>
          </w:tcPr>
          <w:p w14:paraId="42C45640" w14:textId="77777777" w:rsidR="004B5136" w:rsidRPr="00E25833" w:rsidRDefault="004B5136" w:rsidP="004B5136">
            <w:pPr>
              <w:spacing w:before="0" w:after="0" w:line="240" w:lineRule="auto"/>
              <w:rPr>
                <w:rFonts w:ascii="Times New Roman" w:eastAsia="Times New Roman" w:hAnsi="Times New Roman" w:cs="Times New Roman"/>
                <w:b/>
                <w:bCs/>
                <w:color w:val="000000"/>
                <w:sz w:val="16"/>
                <w:szCs w:val="16"/>
                <w:lang w:eastAsia="lv-LV"/>
              </w:rPr>
            </w:pPr>
          </w:p>
        </w:tc>
        <w:tc>
          <w:tcPr>
            <w:tcW w:w="888" w:type="dxa"/>
            <w:vMerge/>
            <w:tcBorders>
              <w:top w:val="nil"/>
              <w:left w:val="single" w:sz="4" w:space="0" w:color="auto"/>
              <w:bottom w:val="single" w:sz="4" w:space="0" w:color="auto"/>
              <w:right w:val="single" w:sz="4" w:space="0" w:color="auto"/>
            </w:tcBorders>
            <w:vAlign w:val="center"/>
            <w:hideMark/>
          </w:tcPr>
          <w:p w14:paraId="012DA846" w14:textId="77777777" w:rsidR="004B5136" w:rsidRPr="00E25833" w:rsidRDefault="004B5136" w:rsidP="004B5136">
            <w:pPr>
              <w:spacing w:before="0" w:after="0" w:line="240" w:lineRule="auto"/>
              <w:rPr>
                <w:rFonts w:ascii="Times New Roman" w:eastAsia="Times New Roman" w:hAnsi="Times New Roman" w:cs="Times New Roman"/>
                <w:b/>
                <w:bCs/>
                <w:color w:val="000000"/>
                <w:sz w:val="16"/>
                <w:szCs w:val="16"/>
                <w:lang w:eastAsia="lv-LV"/>
              </w:rPr>
            </w:pPr>
          </w:p>
        </w:tc>
        <w:tc>
          <w:tcPr>
            <w:tcW w:w="888" w:type="dxa"/>
            <w:vMerge/>
            <w:tcBorders>
              <w:top w:val="nil"/>
              <w:left w:val="single" w:sz="4" w:space="0" w:color="auto"/>
              <w:bottom w:val="single" w:sz="4" w:space="0" w:color="auto"/>
              <w:right w:val="single" w:sz="4" w:space="0" w:color="auto"/>
            </w:tcBorders>
            <w:vAlign w:val="center"/>
            <w:hideMark/>
          </w:tcPr>
          <w:p w14:paraId="4F9D42CC" w14:textId="77777777" w:rsidR="004B5136" w:rsidRPr="00E25833" w:rsidRDefault="004B5136" w:rsidP="004B5136">
            <w:pPr>
              <w:spacing w:before="0" w:after="0" w:line="240" w:lineRule="auto"/>
              <w:rPr>
                <w:rFonts w:ascii="Times New Roman" w:eastAsia="Times New Roman" w:hAnsi="Times New Roman" w:cs="Times New Roman"/>
                <w:b/>
                <w:bCs/>
                <w:color w:val="000000"/>
                <w:sz w:val="16"/>
                <w:szCs w:val="16"/>
                <w:lang w:eastAsia="lv-LV"/>
              </w:rPr>
            </w:pPr>
          </w:p>
        </w:tc>
        <w:tc>
          <w:tcPr>
            <w:tcW w:w="888" w:type="dxa"/>
            <w:vMerge/>
            <w:tcBorders>
              <w:top w:val="nil"/>
              <w:left w:val="single" w:sz="4" w:space="0" w:color="auto"/>
              <w:bottom w:val="single" w:sz="4" w:space="0" w:color="auto"/>
              <w:right w:val="single" w:sz="4" w:space="0" w:color="auto"/>
            </w:tcBorders>
            <w:vAlign w:val="center"/>
            <w:hideMark/>
          </w:tcPr>
          <w:p w14:paraId="5F185CE2" w14:textId="77777777" w:rsidR="004B5136" w:rsidRPr="00E25833" w:rsidRDefault="004B5136" w:rsidP="004B5136">
            <w:pPr>
              <w:spacing w:before="0" w:after="0" w:line="240" w:lineRule="auto"/>
              <w:rPr>
                <w:rFonts w:ascii="Times New Roman" w:eastAsia="Times New Roman" w:hAnsi="Times New Roman" w:cs="Times New Roman"/>
                <w:b/>
                <w:bCs/>
                <w:color w:val="000000"/>
                <w:sz w:val="16"/>
                <w:szCs w:val="16"/>
                <w:lang w:eastAsia="lv-LV"/>
              </w:rPr>
            </w:pPr>
          </w:p>
        </w:tc>
        <w:tc>
          <w:tcPr>
            <w:tcW w:w="688" w:type="dxa"/>
            <w:vMerge/>
            <w:tcBorders>
              <w:top w:val="nil"/>
              <w:left w:val="single" w:sz="4" w:space="0" w:color="auto"/>
              <w:bottom w:val="single" w:sz="4" w:space="0" w:color="auto"/>
              <w:right w:val="single" w:sz="4" w:space="0" w:color="auto"/>
            </w:tcBorders>
            <w:vAlign w:val="center"/>
            <w:hideMark/>
          </w:tcPr>
          <w:p w14:paraId="44B02810" w14:textId="77777777" w:rsidR="004B5136" w:rsidRPr="00E25833" w:rsidRDefault="004B5136" w:rsidP="004B5136">
            <w:pPr>
              <w:spacing w:before="0" w:after="0" w:line="240" w:lineRule="auto"/>
              <w:rPr>
                <w:rFonts w:ascii="Times New Roman" w:eastAsia="Times New Roman" w:hAnsi="Times New Roman" w:cs="Times New Roman"/>
                <w:b/>
                <w:bCs/>
                <w:color w:val="000000"/>
                <w:sz w:val="16"/>
                <w:szCs w:val="16"/>
                <w:lang w:eastAsia="lv-LV"/>
              </w:rPr>
            </w:pPr>
          </w:p>
        </w:tc>
      </w:tr>
      <w:tr w:rsidR="004B5136" w:rsidRPr="00E25833" w14:paraId="22F2ED52" w14:textId="77777777" w:rsidTr="00BC35D5">
        <w:trPr>
          <w:trHeight w:val="30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05997216" w14:textId="77777777" w:rsidR="004B5136" w:rsidRPr="00E25833" w:rsidRDefault="004B5136" w:rsidP="004B5136">
            <w:pPr>
              <w:spacing w:before="0" w:after="0" w:line="240" w:lineRule="auto"/>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931301 Būvstrādnieks</w:t>
            </w:r>
          </w:p>
        </w:tc>
        <w:tc>
          <w:tcPr>
            <w:tcW w:w="888" w:type="dxa"/>
            <w:tcBorders>
              <w:top w:val="nil"/>
              <w:left w:val="nil"/>
              <w:bottom w:val="single" w:sz="4" w:space="0" w:color="auto"/>
              <w:right w:val="single" w:sz="4" w:space="0" w:color="auto"/>
            </w:tcBorders>
            <w:shd w:val="clear" w:color="auto" w:fill="auto"/>
            <w:noWrap/>
            <w:vAlign w:val="bottom"/>
            <w:hideMark/>
          </w:tcPr>
          <w:p w14:paraId="6ABA7275"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3238</w:t>
            </w:r>
          </w:p>
        </w:tc>
        <w:tc>
          <w:tcPr>
            <w:tcW w:w="888" w:type="dxa"/>
            <w:tcBorders>
              <w:top w:val="nil"/>
              <w:left w:val="nil"/>
              <w:bottom w:val="single" w:sz="4" w:space="0" w:color="auto"/>
              <w:right w:val="single" w:sz="4" w:space="0" w:color="auto"/>
            </w:tcBorders>
            <w:shd w:val="clear" w:color="auto" w:fill="auto"/>
            <w:noWrap/>
            <w:vAlign w:val="bottom"/>
            <w:hideMark/>
          </w:tcPr>
          <w:p w14:paraId="0DC5E2C0"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3825</w:t>
            </w:r>
          </w:p>
        </w:tc>
        <w:tc>
          <w:tcPr>
            <w:tcW w:w="888" w:type="dxa"/>
            <w:tcBorders>
              <w:top w:val="nil"/>
              <w:left w:val="nil"/>
              <w:bottom w:val="single" w:sz="4" w:space="0" w:color="auto"/>
              <w:right w:val="single" w:sz="4" w:space="0" w:color="auto"/>
            </w:tcBorders>
            <w:shd w:val="clear" w:color="auto" w:fill="auto"/>
            <w:noWrap/>
            <w:vAlign w:val="bottom"/>
            <w:hideMark/>
          </w:tcPr>
          <w:p w14:paraId="7B9896F8"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4086</w:t>
            </w:r>
          </w:p>
        </w:tc>
        <w:tc>
          <w:tcPr>
            <w:tcW w:w="888" w:type="dxa"/>
            <w:tcBorders>
              <w:top w:val="nil"/>
              <w:left w:val="nil"/>
              <w:bottom w:val="single" w:sz="4" w:space="0" w:color="auto"/>
              <w:right w:val="single" w:sz="4" w:space="0" w:color="auto"/>
            </w:tcBorders>
            <w:shd w:val="clear" w:color="auto" w:fill="auto"/>
            <w:noWrap/>
            <w:vAlign w:val="bottom"/>
            <w:hideMark/>
          </w:tcPr>
          <w:p w14:paraId="27E4A347"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117</w:t>
            </w:r>
          </w:p>
        </w:tc>
        <w:tc>
          <w:tcPr>
            <w:tcW w:w="888" w:type="dxa"/>
            <w:tcBorders>
              <w:top w:val="nil"/>
              <w:left w:val="nil"/>
              <w:bottom w:val="single" w:sz="4" w:space="0" w:color="auto"/>
              <w:right w:val="single" w:sz="4" w:space="0" w:color="auto"/>
            </w:tcBorders>
            <w:shd w:val="clear" w:color="auto" w:fill="auto"/>
            <w:noWrap/>
            <w:vAlign w:val="bottom"/>
            <w:hideMark/>
          </w:tcPr>
          <w:p w14:paraId="0958A5F3"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117</w:t>
            </w:r>
          </w:p>
        </w:tc>
        <w:tc>
          <w:tcPr>
            <w:tcW w:w="888" w:type="dxa"/>
            <w:tcBorders>
              <w:top w:val="nil"/>
              <w:left w:val="nil"/>
              <w:bottom w:val="single" w:sz="4" w:space="0" w:color="auto"/>
              <w:right w:val="single" w:sz="4" w:space="0" w:color="auto"/>
            </w:tcBorders>
            <w:shd w:val="clear" w:color="auto" w:fill="auto"/>
            <w:noWrap/>
            <w:vAlign w:val="bottom"/>
            <w:hideMark/>
          </w:tcPr>
          <w:p w14:paraId="28E315DF"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118</w:t>
            </w:r>
          </w:p>
        </w:tc>
        <w:tc>
          <w:tcPr>
            <w:tcW w:w="888" w:type="dxa"/>
            <w:tcBorders>
              <w:top w:val="nil"/>
              <w:left w:val="nil"/>
              <w:bottom w:val="single" w:sz="4" w:space="0" w:color="auto"/>
              <w:right w:val="single" w:sz="4" w:space="0" w:color="auto"/>
            </w:tcBorders>
            <w:shd w:val="clear" w:color="auto" w:fill="auto"/>
            <w:noWrap/>
            <w:vAlign w:val="bottom"/>
            <w:hideMark/>
          </w:tcPr>
          <w:p w14:paraId="2ACAE780"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4,66</w:t>
            </w:r>
          </w:p>
        </w:tc>
        <w:tc>
          <w:tcPr>
            <w:tcW w:w="888" w:type="dxa"/>
            <w:tcBorders>
              <w:top w:val="nil"/>
              <w:left w:val="nil"/>
              <w:bottom w:val="single" w:sz="4" w:space="0" w:color="auto"/>
              <w:right w:val="single" w:sz="4" w:space="0" w:color="auto"/>
            </w:tcBorders>
            <w:shd w:val="clear" w:color="auto" w:fill="auto"/>
            <w:noWrap/>
            <w:vAlign w:val="bottom"/>
            <w:hideMark/>
          </w:tcPr>
          <w:p w14:paraId="451FEB06"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5,33</w:t>
            </w:r>
          </w:p>
        </w:tc>
        <w:tc>
          <w:tcPr>
            <w:tcW w:w="688" w:type="dxa"/>
            <w:tcBorders>
              <w:top w:val="nil"/>
              <w:left w:val="nil"/>
              <w:bottom w:val="single" w:sz="4" w:space="0" w:color="auto"/>
              <w:right w:val="single" w:sz="4" w:space="0" w:color="auto"/>
            </w:tcBorders>
            <w:shd w:val="clear" w:color="auto" w:fill="auto"/>
            <w:noWrap/>
            <w:vAlign w:val="bottom"/>
            <w:hideMark/>
          </w:tcPr>
          <w:p w14:paraId="748810A1"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5,80</w:t>
            </w:r>
          </w:p>
        </w:tc>
      </w:tr>
      <w:tr w:rsidR="004B5136" w:rsidRPr="00E25833" w14:paraId="527DD59C" w14:textId="77777777" w:rsidTr="00BC35D5">
        <w:trPr>
          <w:trHeight w:val="30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5C872DF1" w14:textId="77777777" w:rsidR="004B5136" w:rsidRPr="00E25833" w:rsidRDefault="004B5136" w:rsidP="004B5136">
            <w:pPr>
              <w:spacing w:before="0" w:after="0" w:line="240" w:lineRule="auto"/>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932909 Palīgstrādnieks</w:t>
            </w:r>
          </w:p>
        </w:tc>
        <w:tc>
          <w:tcPr>
            <w:tcW w:w="888" w:type="dxa"/>
            <w:tcBorders>
              <w:top w:val="nil"/>
              <w:left w:val="nil"/>
              <w:bottom w:val="single" w:sz="4" w:space="0" w:color="auto"/>
              <w:right w:val="single" w:sz="4" w:space="0" w:color="auto"/>
            </w:tcBorders>
            <w:shd w:val="clear" w:color="auto" w:fill="auto"/>
            <w:noWrap/>
            <w:vAlign w:val="bottom"/>
            <w:hideMark/>
          </w:tcPr>
          <w:p w14:paraId="48FA5782"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1733</w:t>
            </w:r>
          </w:p>
        </w:tc>
        <w:tc>
          <w:tcPr>
            <w:tcW w:w="888" w:type="dxa"/>
            <w:tcBorders>
              <w:top w:val="nil"/>
              <w:left w:val="nil"/>
              <w:bottom w:val="single" w:sz="4" w:space="0" w:color="auto"/>
              <w:right w:val="single" w:sz="4" w:space="0" w:color="auto"/>
            </w:tcBorders>
            <w:shd w:val="clear" w:color="auto" w:fill="auto"/>
            <w:noWrap/>
            <w:vAlign w:val="bottom"/>
            <w:hideMark/>
          </w:tcPr>
          <w:p w14:paraId="46FBF1B7"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2525</w:t>
            </w:r>
          </w:p>
        </w:tc>
        <w:tc>
          <w:tcPr>
            <w:tcW w:w="888" w:type="dxa"/>
            <w:tcBorders>
              <w:top w:val="nil"/>
              <w:left w:val="nil"/>
              <w:bottom w:val="single" w:sz="4" w:space="0" w:color="auto"/>
              <w:right w:val="single" w:sz="4" w:space="0" w:color="auto"/>
            </w:tcBorders>
            <w:shd w:val="clear" w:color="auto" w:fill="auto"/>
            <w:noWrap/>
            <w:vAlign w:val="bottom"/>
            <w:hideMark/>
          </w:tcPr>
          <w:p w14:paraId="4A74CB01"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3087</w:t>
            </w:r>
          </w:p>
        </w:tc>
        <w:tc>
          <w:tcPr>
            <w:tcW w:w="888" w:type="dxa"/>
            <w:tcBorders>
              <w:top w:val="nil"/>
              <w:left w:val="nil"/>
              <w:bottom w:val="single" w:sz="4" w:space="0" w:color="auto"/>
              <w:right w:val="single" w:sz="4" w:space="0" w:color="auto"/>
            </w:tcBorders>
            <w:shd w:val="clear" w:color="auto" w:fill="auto"/>
            <w:noWrap/>
            <w:vAlign w:val="bottom"/>
            <w:hideMark/>
          </w:tcPr>
          <w:p w14:paraId="7D9CB0D0"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114</w:t>
            </w:r>
          </w:p>
        </w:tc>
        <w:tc>
          <w:tcPr>
            <w:tcW w:w="888" w:type="dxa"/>
            <w:tcBorders>
              <w:top w:val="nil"/>
              <w:left w:val="nil"/>
              <w:bottom w:val="single" w:sz="4" w:space="0" w:color="auto"/>
              <w:right w:val="single" w:sz="4" w:space="0" w:color="auto"/>
            </w:tcBorders>
            <w:shd w:val="clear" w:color="auto" w:fill="auto"/>
            <w:noWrap/>
            <w:vAlign w:val="bottom"/>
            <w:hideMark/>
          </w:tcPr>
          <w:p w14:paraId="7F381864"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113</w:t>
            </w:r>
          </w:p>
        </w:tc>
        <w:tc>
          <w:tcPr>
            <w:tcW w:w="888" w:type="dxa"/>
            <w:tcBorders>
              <w:top w:val="nil"/>
              <w:left w:val="nil"/>
              <w:bottom w:val="single" w:sz="4" w:space="0" w:color="auto"/>
              <w:right w:val="single" w:sz="4" w:space="0" w:color="auto"/>
            </w:tcBorders>
            <w:shd w:val="clear" w:color="auto" w:fill="auto"/>
            <w:noWrap/>
            <w:vAlign w:val="bottom"/>
            <w:hideMark/>
          </w:tcPr>
          <w:p w14:paraId="260CA5D9"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114</w:t>
            </w:r>
          </w:p>
        </w:tc>
        <w:tc>
          <w:tcPr>
            <w:tcW w:w="888" w:type="dxa"/>
            <w:tcBorders>
              <w:top w:val="nil"/>
              <w:left w:val="nil"/>
              <w:bottom w:val="single" w:sz="4" w:space="0" w:color="auto"/>
              <w:right w:val="single" w:sz="4" w:space="0" w:color="auto"/>
            </w:tcBorders>
            <w:shd w:val="clear" w:color="auto" w:fill="auto"/>
            <w:noWrap/>
            <w:vAlign w:val="bottom"/>
            <w:hideMark/>
          </w:tcPr>
          <w:p w14:paraId="4E433080"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3,88</w:t>
            </w:r>
          </w:p>
        </w:tc>
        <w:tc>
          <w:tcPr>
            <w:tcW w:w="888" w:type="dxa"/>
            <w:tcBorders>
              <w:top w:val="nil"/>
              <w:left w:val="nil"/>
              <w:bottom w:val="single" w:sz="4" w:space="0" w:color="auto"/>
              <w:right w:val="single" w:sz="4" w:space="0" w:color="auto"/>
            </w:tcBorders>
            <w:shd w:val="clear" w:color="auto" w:fill="auto"/>
            <w:noWrap/>
            <w:vAlign w:val="bottom"/>
            <w:hideMark/>
          </w:tcPr>
          <w:p w14:paraId="02A880F6"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4,32</w:t>
            </w:r>
          </w:p>
        </w:tc>
        <w:tc>
          <w:tcPr>
            <w:tcW w:w="688" w:type="dxa"/>
            <w:tcBorders>
              <w:top w:val="nil"/>
              <w:left w:val="nil"/>
              <w:bottom w:val="single" w:sz="4" w:space="0" w:color="auto"/>
              <w:right w:val="single" w:sz="4" w:space="0" w:color="auto"/>
            </w:tcBorders>
            <w:shd w:val="clear" w:color="auto" w:fill="auto"/>
            <w:noWrap/>
            <w:vAlign w:val="bottom"/>
            <w:hideMark/>
          </w:tcPr>
          <w:p w14:paraId="15680468"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4,74</w:t>
            </w:r>
          </w:p>
        </w:tc>
      </w:tr>
      <w:tr w:rsidR="004B5136" w:rsidRPr="00E25833" w14:paraId="30A02CE4" w14:textId="77777777" w:rsidTr="00BC35D5">
        <w:trPr>
          <w:trHeight w:val="30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4078AB9F" w14:textId="77777777" w:rsidR="004B5136" w:rsidRPr="00E25833" w:rsidRDefault="004B5136" w:rsidP="004B5136">
            <w:pPr>
              <w:spacing w:before="0" w:after="0" w:line="240" w:lineRule="auto"/>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132305 Būvdarbu vadītājs</w:t>
            </w:r>
          </w:p>
        </w:tc>
        <w:tc>
          <w:tcPr>
            <w:tcW w:w="888" w:type="dxa"/>
            <w:tcBorders>
              <w:top w:val="nil"/>
              <w:left w:val="nil"/>
              <w:bottom w:val="single" w:sz="4" w:space="0" w:color="auto"/>
              <w:right w:val="single" w:sz="4" w:space="0" w:color="auto"/>
            </w:tcBorders>
            <w:shd w:val="clear" w:color="auto" w:fill="auto"/>
            <w:noWrap/>
            <w:vAlign w:val="bottom"/>
            <w:hideMark/>
          </w:tcPr>
          <w:p w14:paraId="705CC674"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2437</w:t>
            </w:r>
          </w:p>
        </w:tc>
        <w:tc>
          <w:tcPr>
            <w:tcW w:w="888" w:type="dxa"/>
            <w:tcBorders>
              <w:top w:val="nil"/>
              <w:left w:val="nil"/>
              <w:bottom w:val="single" w:sz="4" w:space="0" w:color="auto"/>
              <w:right w:val="single" w:sz="4" w:space="0" w:color="auto"/>
            </w:tcBorders>
            <w:shd w:val="clear" w:color="auto" w:fill="auto"/>
            <w:noWrap/>
            <w:vAlign w:val="bottom"/>
            <w:hideMark/>
          </w:tcPr>
          <w:p w14:paraId="32364C39"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2690</w:t>
            </w:r>
          </w:p>
        </w:tc>
        <w:tc>
          <w:tcPr>
            <w:tcW w:w="888" w:type="dxa"/>
            <w:tcBorders>
              <w:top w:val="nil"/>
              <w:left w:val="nil"/>
              <w:bottom w:val="single" w:sz="4" w:space="0" w:color="auto"/>
              <w:right w:val="single" w:sz="4" w:space="0" w:color="auto"/>
            </w:tcBorders>
            <w:shd w:val="clear" w:color="auto" w:fill="auto"/>
            <w:noWrap/>
            <w:vAlign w:val="bottom"/>
            <w:hideMark/>
          </w:tcPr>
          <w:p w14:paraId="6816F8C0"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2840</w:t>
            </w:r>
          </w:p>
        </w:tc>
        <w:tc>
          <w:tcPr>
            <w:tcW w:w="888" w:type="dxa"/>
            <w:tcBorders>
              <w:top w:val="nil"/>
              <w:left w:val="nil"/>
              <w:bottom w:val="single" w:sz="4" w:space="0" w:color="auto"/>
              <w:right w:val="single" w:sz="4" w:space="0" w:color="auto"/>
            </w:tcBorders>
            <w:shd w:val="clear" w:color="auto" w:fill="auto"/>
            <w:noWrap/>
            <w:vAlign w:val="bottom"/>
            <w:hideMark/>
          </w:tcPr>
          <w:p w14:paraId="5451D9FB"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92</w:t>
            </w:r>
          </w:p>
        </w:tc>
        <w:tc>
          <w:tcPr>
            <w:tcW w:w="888" w:type="dxa"/>
            <w:tcBorders>
              <w:top w:val="nil"/>
              <w:left w:val="nil"/>
              <w:bottom w:val="single" w:sz="4" w:space="0" w:color="auto"/>
              <w:right w:val="single" w:sz="4" w:space="0" w:color="auto"/>
            </w:tcBorders>
            <w:shd w:val="clear" w:color="auto" w:fill="auto"/>
            <w:noWrap/>
            <w:vAlign w:val="bottom"/>
            <w:hideMark/>
          </w:tcPr>
          <w:p w14:paraId="6324522A"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89</w:t>
            </w:r>
          </w:p>
        </w:tc>
        <w:tc>
          <w:tcPr>
            <w:tcW w:w="888" w:type="dxa"/>
            <w:tcBorders>
              <w:top w:val="nil"/>
              <w:left w:val="nil"/>
              <w:bottom w:val="single" w:sz="4" w:space="0" w:color="auto"/>
              <w:right w:val="single" w:sz="4" w:space="0" w:color="auto"/>
            </w:tcBorders>
            <w:shd w:val="clear" w:color="auto" w:fill="auto"/>
            <w:noWrap/>
            <w:vAlign w:val="bottom"/>
            <w:hideMark/>
          </w:tcPr>
          <w:p w14:paraId="03710940"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87</w:t>
            </w:r>
          </w:p>
        </w:tc>
        <w:tc>
          <w:tcPr>
            <w:tcW w:w="888" w:type="dxa"/>
            <w:tcBorders>
              <w:top w:val="nil"/>
              <w:left w:val="nil"/>
              <w:bottom w:val="single" w:sz="4" w:space="0" w:color="auto"/>
              <w:right w:val="single" w:sz="4" w:space="0" w:color="auto"/>
            </w:tcBorders>
            <w:shd w:val="clear" w:color="auto" w:fill="auto"/>
            <w:noWrap/>
            <w:vAlign w:val="bottom"/>
            <w:hideMark/>
          </w:tcPr>
          <w:p w14:paraId="227C969F"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9,24</w:t>
            </w:r>
          </w:p>
        </w:tc>
        <w:tc>
          <w:tcPr>
            <w:tcW w:w="888" w:type="dxa"/>
            <w:tcBorders>
              <w:top w:val="nil"/>
              <w:left w:val="nil"/>
              <w:bottom w:val="single" w:sz="4" w:space="0" w:color="auto"/>
              <w:right w:val="single" w:sz="4" w:space="0" w:color="auto"/>
            </w:tcBorders>
            <w:shd w:val="clear" w:color="auto" w:fill="auto"/>
            <w:noWrap/>
            <w:vAlign w:val="bottom"/>
            <w:hideMark/>
          </w:tcPr>
          <w:p w14:paraId="20AB1859"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10,19</w:t>
            </w:r>
          </w:p>
        </w:tc>
        <w:tc>
          <w:tcPr>
            <w:tcW w:w="688" w:type="dxa"/>
            <w:tcBorders>
              <w:top w:val="nil"/>
              <w:left w:val="nil"/>
              <w:bottom w:val="single" w:sz="4" w:space="0" w:color="auto"/>
              <w:right w:val="single" w:sz="4" w:space="0" w:color="auto"/>
            </w:tcBorders>
            <w:shd w:val="clear" w:color="auto" w:fill="auto"/>
            <w:noWrap/>
            <w:vAlign w:val="bottom"/>
            <w:hideMark/>
          </w:tcPr>
          <w:p w14:paraId="5ED1C5DA"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11,12</w:t>
            </w:r>
          </w:p>
        </w:tc>
      </w:tr>
      <w:tr w:rsidR="004B5136" w:rsidRPr="00E25833" w14:paraId="005DEE29" w14:textId="77777777" w:rsidTr="00BC35D5">
        <w:trPr>
          <w:trHeight w:val="30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0BE6E180" w14:textId="77777777" w:rsidR="004B5136" w:rsidRPr="00E25833" w:rsidRDefault="004B5136" w:rsidP="004B5136">
            <w:pPr>
              <w:spacing w:before="0" w:after="0" w:line="240" w:lineRule="auto"/>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711102 Būvnieks</w:t>
            </w:r>
          </w:p>
        </w:tc>
        <w:tc>
          <w:tcPr>
            <w:tcW w:w="888" w:type="dxa"/>
            <w:tcBorders>
              <w:top w:val="nil"/>
              <w:left w:val="nil"/>
              <w:bottom w:val="single" w:sz="4" w:space="0" w:color="auto"/>
              <w:right w:val="single" w:sz="4" w:space="0" w:color="auto"/>
            </w:tcBorders>
            <w:shd w:val="clear" w:color="auto" w:fill="auto"/>
            <w:noWrap/>
            <w:vAlign w:val="bottom"/>
            <w:hideMark/>
          </w:tcPr>
          <w:p w14:paraId="3365A798"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1846</w:t>
            </w:r>
          </w:p>
        </w:tc>
        <w:tc>
          <w:tcPr>
            <w:tcW w:w="888" w:type="dxa"/>
            <w:tcBorders>
              <w:top w:val="nil"/>
              <w:left w:val="nil"/>
              <w:bottom w:val="single" w:sz="4" w:space="0" w:color="auto"/>
              <w:right w:val="single" w:sz="4" w:space="0" w:color="auto"/>
            </w:tcBorders>
            <w:shd w:val="clear" w:color="auto" w:fill="auto"/>
            <w:noWrap/>
            <w:vAlign w:val="bottom"/>
            <w:hideMark/>
          </w:tcPr>
          <w:p w14:paraId="5DDB3F9E"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2324</w:t>
            </w:r>
          </w:p>
        </w:tc>
        <w:tc>
          <w:tcPr>
            <w:tcW w:w="888" w:type="dxa"/>
            <w:tcBorders>
              <w:top w:val="nil"/>
              <w:left w:val="nil"/>
              <w:bottom w:val="single" w:sz="4" w:space="0" w:color="auto"/>
              <w:right w:val="single" w:sz="4" w:space="0" w:color="auto"/>
            </w:tcBorders>
            <w:shd w:val="clear" w:color="auto" w:fill="auto"/>
            <w:noWrap/>
            <w:vAlign w:val="bottom"/>
            <w:hideMark/>
          </w:tcPr>
          <w:p w14:paraId="3F248297"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2497</w:t>
            </w:r>
          </w:p>
        </w:tc>
        <w:tc>
          <w:tcPr>
            <w:tcW w:w="888" w:type="dxa"/>
            <w:tcBorders>
              <w:top w:val="nil"/>
              <w:left w:val="nil"/>
              <w:bottom w:val="single" w:sz="4" w:space="0" w:color="auto"/>
              <w:right w:val="single" w:sz="4" w:space="0" w:color="auto"/>
            </w:tcBorders>
            <w:shd w:val="clear" w:color="auto" w:fill="auto"/>
            <w:noWrap/>
            <w:vAlign w:val="bottom"/>
            <w:hideMark/>
          </w:tcPr>
          <w:p w14:paraId="76B2ADCC"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126</w:t>
            </w:r>
          </w:p>
        </w:tc>
        <w:tc>
          <w:tcPr>
            <w:tcW w:w="888" w:type="dxa"/>
            <w:tcBorders>
              <w:top w:val="nil"/>
              <w:left w:val="nil"/>
              <w:bottom w:val="single" w:sz="4" w:space="0" w:color="auto"/>
              <w:right w:val="single" w:sz="4" w:space="0" w:color="auto"/>
            </w:tcBorders>
            <w:shd w:val="clear" w:color="auto" w:fill="auto"/>
            <w:noWrap/>
            <w:vAlign w:val="bottom"/>
            <w:hideMark/>
          </w:tcPr>
          <w:p w14:paraId="3FC26E3C"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124</w:t>
            </w:r>
          </w:p>
        </w:tc>
        <w:tc>
          <w:tcPr>
            <w:tcW w:w="888" w:type="dxa"/>
            <w:tcBorders>
              <w:top w:val="nil"/>
              <w:left w:val="nil"/>
              <w:bottom w:val="single" w:sz="4" w:space="0" w:color="auto"/>
              <w:right w:val="single" w:sz="4" w:space="0" w:color="auto"/>
            </w:tcBorders>
            <w:shd w:val="clear" w:color="auto" w:fill="auto"/>
            <w:noWrap/>
            <w:vAlign w:val="bottom"/>
            <w:hideMark/>
          </w:tcPr>
          <w:p w14:paraId="210BC8D8"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124</w:t>
            </w:r>
          </w:p>
        </w:tc>
        <w:tc>
          <w:tcPr>
            <w:tcW w:w="888" w:type="dxa"/>
            <w:tcBorders>
              <w:top w:val="nil"/>
              <w:left w:val="nil"/>
              <w:bottom w:val="single" w:sz="4" w:space="0" w:color="auto"/>
              <w:right w:val="single" w:sz="4" w:space="0" w:color="auto"/>
            </w:tcBorders>
            <w:shd w:val="clear" w:color="auto" w:fill="auto"/>
            <w:noWrap/>
            <w:vAlign w:val="bottom"/>
            <w:hideMark/>
          </w:tcPr>
          <w:p w14:paraId="5C24C02A"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4,65</w:t>
            </w:r>
          </w:p>
        </w:tc>
        <w:tc>
          <w:tcPr>
            <w:tcW w:w="888" w:type="dxa"/>
            <w:tcBorders>
              <w:top w:val="nil"/>
              <w:left w:val="nil"/>
              <w:bottom w:val="single" w:sz="4" w:space="0" w:color="auto"/>
              <w:right w:val="single" w:sz="4" w:space="0" w:color="auto"/>
            </w:tcBorders>
            <w:shd w:val="clear" w:color="auto" w:fill="auto"/>
            <w:noWrap/>
            <w:vAlign w:val="bottom"/>
            <w:hideMark/>
          </w:tcPr>
          <w:p w14:paraId="08ECDFDB"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5,21</w:t>
            </w:r>
          </w:p>
        </w:tc>
        <w:tc>
          <w:tcPr>
            <w:tcW w:w="688" w:type="dxa"/>
            <w:tcBorders>
              <w:top w:val="nil"/>
              <w:left w:val="nil"/>
              <w:bottom w:val="single" w:sz="4" w:space="0" w:color="auto"/>
              <w:right w:val="single" w:sz="4" w:space="0" w:color="auto"/>
            </w:tcBorders>
            <w:shd w:val="clear" w:color="auto" w:fill="auto"/>
            <w:noWrap/>
            <w:vAlign w:val="bottom"/>
            <w:hideMark/>
          </w:tcPr>
          <w:p w14:paraId="02548AD0"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5,93</w:t>
            </w:r>
          </w:p>
        </w:tc>
      </w:tr>
      <w:tr w:rsidR="004B5136" w:rsidRPr="00E25833" w14:paraId="28183907" w14:textId="77777777" w:rsidTr="00BC35D5">
        <w:trPr>
          <w:trHeight w:val="30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2E864EE6" w14:textId="77777777" w:rsidR="004B5136" w:rsidRPr="00E25833" w:rsidRDefault="004B5136" w:rsidP="004B5136">
            <w:pPr>
              <w:spacing w:before="0" w:after="0" w:line="240" w:lineRule="auto"/>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112014 Valdes loceklis</w:t>
            </w:r>
          </w:p>
        </w:tc>
        <w:tc>
          <w:tcPr>
            <w:tcW w:w="888" w:type="dxa"/>
            <w:tcBorders>
              <w:top w:val="nil"/>
              <w:left w:val="nil"/>
              <w:bottom w:val="single" w:sz="4" w:space="0" w:color="auto"/>
              <w:right w:val="single" w:sz="4" w:space="0" w:color="auto"/>
            </w:tcBorders>
            <w:shd w:val="clear" w:color="auto" w:fill="auto"/>
            <w:noWrap/>
            <w:vAlign w:val="bottom"/>
            <w:hideMark/>
          </w:tcPr>
          <w:p w14:paraId="718D9A46"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1791</w:t>
            </w:r>
          </w:p>
        </w:tc>
        <w:tc>
          <w:tcPr>
            <w:tcW w:w="888" w:type="dxa"/>
            <w:tcBorders>
              <w:top w:val="nil"/>
              <w:left w:val="nil"/>
              <w:bottom w:val="single" w:sz="4" w:space="0" w:color="auto"/>
              <w:right w:val="single" w:sz="4" w:space="0" w:color="auto"/>
            </w:tcBorders>
            <w:shd w:val="clear" w:color="auto" w:fill="auto"/>
            <w:noWrap/>
            <w:vAlign w:val="bottom"/>
            <w:hideMark/>
          </w:tcPr>
          <w:p w14:paraId="60645F5F"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1913</w:t>
            </w:r>
          </w:p>
        </w:tc>
        <w:tc>
          <w:tcPr>
            <w:tcW w:w="888" w:type="dxa"/>
            <w:tcBorders>
              <w:top w:val="nil"/>
              <w:left w:val="nil"/>
              <w:bottom w:val="single" w:sz="4" w:space="0" w:color="auto"/>
              <w:right w:val="single" w:sz="4" w:space="0" w:color="auto"/>
            </w:tcBorders>
            <w:shd w:val="clear" w:color="auto" w:fill="auto"/>
            <w:noWrap/>
            <w:vAlign w:val="bottom"/>
            <w:hideMark/>
          </w:tcPr>
          <w:p w14:paraId="05ABA7BE"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2046</w:t>
            </w:r>
          </w:p>
        </w:tc>
        <w:tc>
          <w:tcPr>
            <w:tcW w:w="888" w:type="dxa"/>
            <w:tcBorders>
              <w:top w:val="nil"/>
              <w:left w:val="nil"/>
              <w:bottom w:val="single" w:sz="4" w:space="0" w:color="auto"/>
              <w:right w:val="single" w:sz="4" w:space="0" w:color="auto"/>
            </w:tcBorders>
            <w:shd w:val="clear" w:color="auto" w:fill="auto"/>
            <w:noWrap/>
            <w:vAlign w:val="bottom"/>
            <w:hideMark/>
          </w:tcPr>
          <w:p w14:paraId="254ECA8A"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105</w:t>
            </w:r>
          </w:p>
        </w:tc>
        <w:tc>
          <w:tcPr>
            <w:tcW w:w="888" w:type="dxa"/>
            <w:tcBorders>
              <w:top w:val="nil"/>
              <w:left w:val="nil"/>
              <w:bottom w:val="single" w:sz="4" w:space="0" w:color="auto"/>
              <w:right w:val="single" w:sz="4" w:space="0" w:color="auto"/>
            </w:tcBorders>
            <w:shd w:val="clear" w:color="auto" w:fill="auto"/>
            <w:noWrap/>
            <w:vAlign w:val="bottom"/>
            <w:hideMark/>
          </w:tcPr>
          <w:p w14:paraId="5ABCD18B"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104</w:t>
            </w:r>
          </w:p>
        </w:tc>
        <w:tc>
          <w:tcPr>
            <w:tcW w:w="888" w:type="dxa"/>
            <w:tcBorders>
              <w:top w:val="nil"/>
              <w:left w:val="nil"/>
              <w:bottom w:val="single" w:sz="4" w:space="0" w:color="auto"/>
              <w:right w:val="single" w:sz="4" w:space="0" w:color="auto"/>
            </w:tcBorders>
            <w:shd w:val="clear" w:color="auto" w:fill="auto"/>
            <w:noWrap/>
            <w:vAlign w:val="bottom"/>
            <w:hideMark/>
          </w:tcPr>
          <w:p w14:paraId="18BFB14B"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104</w:t>
            </w:r>
          </w:p>
        </w:tc>
        <w:tc>
          <w:tcPr>
            <w:tcW w:w="888" w:type="dxa"/>
            <w:tcBorders>
              <w:top w:val="nil"/>
              <w:left w:val="nil"/>
              <w:bottom w:val="single" w:sz="4" w:space="0" w:color="auto"/>
              <w:right w:val="single" w:sz="4" w:space="0" w:color="auto"/>
            </w:tcBorders>
            <w:shd w:val="clear" w:color="auto" w:fill="auto"/>
            <w:noWrap/>
            <w:vAlign w:val="bottom"/>
            <w:hideMark/>
          </w:tcPr>
          <w:p w14:paraId="0D013E06"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6,65</w:t>
            </w:r>
          </w:p>
        </w:tc>
        <w:tc>
          <w:tcPr>
            <w:tcW w:w="888" w:type="dxa"/>
            <w:tcBorders>
              <w:top w:val="nil"/>
              <w:left w:val="nil"/>
              <w:bottom w:val="single" w:sz="4" w:space="0" w:color="auto"/>
              <w:right w:val="single" w:sz="4" w:space="0" w:color="auto"/>
            </w:tcBorders>
            <w:shd w:val="clear" w:color="auto" w:fill="auto"/>
            <w:noWrap/>
            <w:vAlign w:val="bottom"/>
            <w:hideMark/>
          </w:tcPr>
          <w:p w14:paraId="03B5335E"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7,00</w:t>
            </w:r>
          </w:p>
        </w:tc>
        <w:tc>
          <w:tcPr>
            <w:tcW w:w="688" w:type="dxa"/>
            <w:tcBorders>
              <w:top w:val="nil"/>
              <w:left w:val="nil"/>
              <w:bottom w:val="single" w:sz="4" w:space="0" w:color="auto"/>
              <w:right w:val="single" w:sz="4" w:space="0" w:color="auto"/>
            </w:tcBorders>
            <w:shd w:val="clear" w:color="auto" w:fill="auto"/>
            <w:noWrap/>
            <w:vAlign w:val="bottom"/>
            <w:hideMark/>
          </w:tcPr>
          <w:p w14:paraId="59803FB0"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7,58</w:t>
            </w:r>
          </w:p>
        </w:tc>
      </w:tr>
      <w:tr w:rsidR="004B5136" w:rsidRPr="00E25833" w14:paraId="70F53508" w14:textId="77777777" w:rsidTr="00BC35D5">
        <w:trPr>
          <w:trHeight w:val="30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44507F36" w14:textId="77777777" w:rsidR="004B5136" w:rsidRPr="00E25833" w:rsidRDefault="004B5136" w:rsidP="004B5136">
            <w:pPr>
              <w:spacing w:before="0" w:after="0" w:line="240" w:lineRule="auto"/>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711101 Ēku celtnieks</w:t>
            </w:r>
          </w:p>
        </w:tc>
        <w:tc>
          <w:tcPr>
            <w:tcW w:w="888" w:type="dxa"/>
            <w:tcBorders>
              <w:top w:val="nil"/>
              <w:left w:val="nil"/>
              <w:bottom w:val="single" w:sz="4" w:space="0" w:color="auto"/>
              <w:right w:val="single" w:sz="4" w:space="0" w:color="auto"/>
            </w:tcBorders>
            <w:shd w:val="clear" w:color="auto" w:fill="auto"/>
            <w:noWrap/>
            <w:vAlign w:val="bottom"/>
            <w:hideMark/>
          </w:tcPr>
          <w:p w14:paraId="5F2D00E6"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1272</w:t>
            </w:r>
          </w:p>
        </w:tc>
        <w:tc>
          <w:tcPr>
            <w:tcW w:w="888" w:type="dxa"/>
            <w:tcBorders>
              <w:top w:val="nil"/>
              <w:left w:val="nil"/>
              <w:bottom w:val="single" w:sz="4" w:space="0" w:color="auto"/>
              <w:right w:val="single" w:sz="4" w:space="0" w:color="auto"/>
            </w:tcBorders>
            <w:shd w:val="clear" w:color="auto" w:fill="auto"/>
            <w:noWrap/>
            <w:vAlign w:val="bottom"/>
            <w:hideMark/>
          </w:tcPr>
          <w:p w14:paraId="5C885FEE"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1383</w:t>
            </w:r>
          </w:p>
        </w:tc>
        <w:tc>
          <w:tcPr>
            <w:tcW w:w="888" w:type="dxa"/>
            <w:tcBorders>
              <w:top w:val="nil"/>
              <w:left w:val="nil"/>
              <w:bottom w:val="single" w:sz="4" w:space="0" w:color="auto"/>
              <w:right w:val="single" w:sz="4" w:space="0" w:color="auto"/>
            </w:tcBorders>
            <w:shd w:val="clear" w:color="auto" w:fill="auto"/>
            <w:noWrap/>
            <w:vAlign w:val="bottom"/>
            <w:hideMark/>
          </w:tcPr>
          <w:p w14:paraId="76D50845"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1487</w:t>
            </w:r>
          </w:p>
        </w:tc>
        <w:tc>
          <w:tcPr>
            <w:tcW w:w="888" w:type="dxa"/>
            <w:tcBorders>
              <w:top w:val="nil"/>
              <w:left w:val="nil"/>
              <w:bottom w:val="single" w:sz="4" w:space="0" w:color="auto"/>
              <w:right w:val="single" w:sz="4" w:space="0" w:color="auto"/>
            </w:tcBorders>
            <w:shd w:val="clear" w:color="auto" w:fill="auto"/>
            <w:noWrap/>
            <w:vAlign w:val="bottom"/>
            <w:hideMark/>
          </w:tcPr>
          <w:p w14:paraId="65AB44F6"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121</w:t>
            </w:r>
          </w:p>
        </w:tc>
        <w:tc>
          <w:tcPr>
            <w:tcW w:w="888" w:type="dxa"/>
            <w:tcBorders>
              <w:top w:val="nil"/>
              <w:left w:val="nil"/>
              <w:bottom w:val="single" w:sz="4" w:space="0" w:color="auto"/>
              <w:right w:val="single" w:sz="4" w:space="0" w:color="auto"/>
            </w:tcBorders>
            <w:shd w:val="clear" w:color="auto" w:fill="auto"/>
            <w:noWrap/>
            <w:vAlign w:val="bottom"/>
            <w:hideMark/>
          </w:tcPr>
          <w:p w14:paraId="768181FB"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124</w:t>
            </w:r>
          </w:p>
        </w:tc>
        <w:tc>
          <w:tcPr>
            <w:tcW w:w="888" w:type="dxa"/>
            <w:tcBorders>
              <w:top w:val="nil"/>
              <w:left w:val="nil"/>
              <w:bottom w:val="single" w:sz="4" w:space="0" w:color="auto"/>
              <w:right w:val="single" w:sz="4" w:space="0" w:color="auto"/>
            </w:tcBorders>
            <w:shd w:val="clear" w:color="auto" w:fill="auto"/>
            <w:noWrap/>
            <w:vAlign w:val="bottom"/>
            <w:hideMark/>
          </w:tcPr>
          <w:p w14:paraId="61647A9C"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126</w:t>
            </w:r>
          </w:p>
        </w:tc>
        <w:tc>
          <w:tcPr>
            <w:tcW w:w="888" w:type="dxa"/>
            <w:tcBorders>
              <w:top w:val="nil"/>
              <w:left w:val="nil"/>
              <w:bottom w:val="single" w:sz="4" w:space="0" w:color="auto"/>
              <w:right w:val="single" w:sz="4" w:space="0" w:color="auto"/>
            </w:tcBorders>
            <w:shd w:val="clear" w:color="auto" w:fill="auto"/>
            <w:noWrap/>
            <w:vAlign w:val="bottom"/>
            <w:hideMark/>
          </w:tcPr>
          <w:p w14:paraId="66C09966"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4,49</w:t>
            </w:r>
          </w:p>
        </w:tc>
        <w:tc>
          <w:tcPr>
            <w:tcW w:w="888" w:type="dxa"/>
            <w:tcBorders>
              <w:top w:val="nil"/>
              <w:left w:val="nil"/>
              <w:bottom w:val="single" w:sz="4" w:space="0" w:color="auto"/>
              <w:right w:val="single" w:sz="4" w:space="0" w:color="auto"/>
            </w:tcBorders>
            <w:shd w:val="clear" w:color="auto" w:fill="auto"/>
            <w:noWrap/>
            <w:vAlign w:val="bottom"/>
            <w:hideMark/>
          </w:tcPr>
          <w:p w14:paraId="05C9B906"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5,11</w:t>
            </w:r>
          </w:p>
        </w:tc>
        <w:tc>
          <w:tcPr>
            <w:tcW w:w="688" w:type="dxa"/>
            <w:tcBorders>
              <w:top w:val="nil"/>
              <w:left w:val="nil"/>
              <w:bottom w:val="single" w:sz="4" w:space="0" w:color="auto"/>
              <w:right w:val="single" w:sz="4" w:space="0" w:color="auto"/>
            </w:tcBorders>
            <w:shd w:val="clear" w:color="auto" w:fill="auto"/>
            <w:noWrap/>
            <w:vAlign w:val="bottom"/>
            <w:hideMark/>
          </w:tcPr>
          <w:p w14:paraId="26CBBBED"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5,65</w:t>
            </w:r>
          </w:p>
        </w:tc>
      </w:tr>
      <w:tr w:rsidR="004B5136" w:rsidRPr="00E25833" w14:paraId="2BBFE432" w14:textId="77777777" w:rsidTr="00BC35D5">
        <w:trPr>
          <w:trHeight w:val="30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0A006E1E" w14:textId="77777777" w:rsidR="004B5136" w:rsidRPr="00E25833" w:rsidRDefault="004B5136" w:rsidP="004B5136">
            <w:pPr>
              <w:spacing w:before="0" w:after="0" w:line="240" w:lineRule="auto"/>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741102 Elektromontieris</w:t>
            </w:r>
          </w:p>
        </w:tc>
        <w:tc>
          <w:tcPr>
            <w:tcW w:w="888" w:type="dxa"/>
            <w:tcBorders>
              <w:top w:val="nil"/>
              <w:left w:val="nil"/>
              <w:bottom w:val="single" w:sz="4" w:space="0" w:color="auto"/>
              <w:right w:val="single" w:sz="4" w:space="0" w:color="auto"/>
            </w:tcBorders>
            <w:shd w:val="clear" w:color="auto" w:fill="auto"/>
            <w:noWrap/>
            <w:vAlign w:val="bottom"/>
            <w:hideMark/>
          </w:tcPr>
          <w:p w14:paraId="4D8D3244"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1252</w:t>
            </w:r>
          </w:p>
        </w:tc>
        <w:tc>
          <w:tcPr>
            <w:tcW w:w="888" w:type="dxa"/>
            <w:tcBorders>
              <w:top w:val="nil"/>
              <w:left w:val="nil"/>
              <w:bottom w:val="single" w:sz="4" w:space="0" w:color="auto"/>
              <w:right w:val="single" w:sz="4" w:space="0" w:color="auto"/>
            </w:tcBorders>
            <w:shd w:val="clear" w:color="auto" w:fill="auto"/>
            <w:noWrap/>
            <w:vAlign w:val="bottom"/>
            <w:hideMark/>
          </w:tcPr>
          <w:p w14:paraId="3CCE2B7A"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1324</w:t>
            </w:r>
          </w:p>
        </w:tc>
        <w:tc>
          <w:tcPr>
            <w:tcW w:w="888" w:type="dxa"/>
            <w:tcBorders>
              <w:top w:val="nil"/>
              <w:left w:val="nil"/>
              <w:bottom w:val="single" w:sz="4" w:space="0" w:color="auto"/>
              <w:right w:val="single" w:sz="4" w:space="0" w:color="auto"/>
            </w:tcBorders>
            <w:shd w:val="clear" w:color="auto" w:fill="auto"/>
            <w:noWrap/>
            <w:vAlign w:val="bottom"/>
            <w:hideMark/>
          </w:tcPr>
          <w:p w14:paraId="4C66B9D1"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1404</w:t>
            </w:r>
          </w:p>
        </w:tc>
        <w:tc>
          <w:tcPr>
            <w:tcW w:w="888" w:type="dxa"/>
            <w:tcBorders>
              <w:top w:val="nil"/>
              <w:left w:val="nil"/>
              <w:bottom w:val="single" w:sz="4" w:space="0" w:color="auto"/>
              <w:right w:val="single" w:sz="4" w:space="0" w:color="auto"/>
            </w:tcBorders>
            <w:shd w:val="clear" w:color="auto" w:fill="auto"/>
            <w:noWrap/>
            <w:vAlign w:val="bottom"/>
            <w:hideMark/>
          </w:tcPr>
          <w:p w14:paraId="1BF3603E"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132</w:t>
            </w:r>
          </w:p>
        </w:tc>
        <w:tc>
          <w:tcPr>
            <w:tcW w:w="888" w:type="dxa"/>
            <w:tcBorders>
              <w:top w:val="nil"/>
              <w:left w:val="nil"/>
              <w:bottom w:val="single" w:sz="4" w:space="0" w:color="auto"/>
              <w:right w:val="single" w:sz="4" w:space="0" w:color="auto"/>
            </w:tcBorders>
            <w:shd w:val="clear" w:color="auto" w:fill="auto"/>
            <w:noWrap/>
            <w:vAlign w:val="bottom"/>
            <w:hideMark/>
          </w:tcPr>
          <w:p w14:paraId="62BFF1C7"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132</w:t>
            </w:r>
          </w:p>
        </w:tc>
        <w:tc>
          <w:tcPr>
            <w:tcW w:w="888" w:type="dxa"/>
            <w:tcBorders>
              <w:top w:val="nil"/>
              <w:left w:val="nil"/>
              <w:bottom w:val="single" w:sz="4" w:space="0" w:color="auto"/>
              <w:right w:val="single" w:sz="4" w:space="0" w:color="auto"/>
            </w:tcBorders>
            <w:shd w:val="clear" w:color="auto" w:fill="auto"/>
            <w:noWrap/>
            <w:vAlign w:val="bottom"/>
            <w:hideMark/>
          </w:tcPr>
          <w:p w14:paraId="78AB5587"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132</w:t>
            </w:r>
          </w:p>
        </w:tc>
        <w:tc>
          <w:tcPr>
            <w:tcW w:w="888" w:type="dxa"/>
            <w:tcBorders>
              <w:top w:val="nil"/>
              <w:left w:val="nil"/>
              <w:bottom w:val="single" w:sz="4" w:space="0" w:color="auto"/>
              <w:right w:val="single" w:sz="4" w:space="0" w:color="auto"/>
            </w:tcBorders>
            <w:shd w:val="clear" w:color="auto" w:fill="auto"/>
            <w:noWrap/>
            <w:vAlign w:val="bottom"/>
            <w:hideMark/>
          </w:tcPr>
          <w:p w14:paraId="5FFD0E02"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6,57</w:t>
            </w:r>
          </w:p>
        </w:tc>
        <w:tc>
          <w:tcPr>
            <w:tcW w:w="888" w:type="dxa"/>
            <w:tcBorders>
              <w:top w:val="nil"/>
              <w:left w:val="nil"/>
              <w:bottom w:val="single" w:sz="4" w:space="0" w:color="auto"/>
              <w:right w:val="single" w:sz="4" w:space="0" w:color="auto"/>
            </w:tcBorders>
            <w:shd w:val="clear" w:color="auto" w:fill="auto"/>
            <w:noWrap/>
            <w:vAlign w:val="bottom"/>
            <w:hideMark/>
          </w:tcPr>
          <w:p w14:paraId="0A0F4736"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7,17</w:t>
            </w:r>
          </w:p>
        </w:tc>
        <w:tc>
          <w:tcPr>
            <w:tcW w:w="688" w:type="dxa"/>
            <w:tcBorders>
              <w:top w:val="nil"/>
              <w:left w:val="nil"/>
              <w:bottom w:val="single" w:sz="4" w:space="0" w:color="auto"/>
              <w:right w:val="single" w:sz="4" w:space="0" w:color="auto"/>
            </w:tcBorders>
            <w:shd w:val="clear" w:color="auto" w:fill="auto"/>
            <w:noWrap/>
            <w:vAlign w:val="bottom"/>
            <w:hideMark/>
          </w:tcPr>
          <w:p w14:paraId="072B85FD"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8,09</w:t>
            </w:r>
          </w:p>
        </w:tc>
      </w:tr>
      <w:tr w:rsidR="004B5136" w:rsidRPr="00E25833" w14:paraId="60C436F4" w14:textId="77777777" w:rsidTr="00BC35D5">
        <w:trPr>
          <w:trHeight w:val="45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BA22F39" w14:textId="77777777" w:rsidR="004B5136" w:rsidRPr="00E25833" w:rsidRDefault="004B5136" w:rsidP="004B5136">
            <w:pPr>
              <w:spacing w:before="0" w:after="0" w:line="240" w:lineRule="auto"/>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931201 Ceļa būves palīgstrādnieks</w:t>
            </w:r>
          </w:p>
        </w:tc>
        <w:tc>
          <w:tcPr>
            <w:tcW w:w="888" w:type="dxa"/>
            <w:tcBorders>
              <w:top w:val="nil"/>
              <w:left w:val="nil"/>
              <w:bottom w:val="single" w:sz="4" w:space="0" w:color="auto"/>
              <w:right w:val="single" w:sz="4" w:space="0" w:color="auto"/>
            </w:tcBorders>
            <w:shd w:val="clear" w:color="auto" w:fill="auto"/>
            <w:noWrap/>
            <w:vAlign w:val="bottom"/>
            <w:hideMark/>
          </w:tcPr>
          <w:p w14:paraId="17FA8E7A"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1077</w:t>
            </w:r>
          </w:p>
        </w:tc>
        <w:tc>
          <w:tcPr>
            <w:tcW w:w="888" w:type="dxa"/>
            <w:tcBorders>
              <w:top w:val="nil"/>
              <w:left w:val="nil"/>
              <w:bottom w:val="single" w:sz="4" w:space="0" w:color="auto"/>
              <w:right w:val="single" w:sz="4" w:space="0" w:color="auto"/>
            </w:tcBorders>
            <w:shd w:val="clear" w:color="auto" w:fill="auto"/>
            <w:noWrap/>
            <w:vAlign w:val="bottom"/>
            <w:hideMark/>
          </w:tcPr>
          <w:p w14:paraId="0238A009"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1281</w:t>
            </w:r>
          </w:p>
        </w:tc>
        <w:tc>
          <w:tcPr>
            <w:tcW w:w="888" w:type="dxa"/>
            <w:tcBorders>
              <w:top w:val="nil"/>
              <w:left w:val="nil"/>
              <w:bottom w:val="single" w:sz="4" w:space="0" w:color="auto"/>
              <w:right w:val="single" w:sz="4" w:space="0" w:color="auto"/>
            </w:tcBorders>
            <w:shd w:val="clear" w:color="auto" w:fill="auto"/>
            <w:noWrap/>
            <w:vAlign w:val="bottom"/>
            <w:hideMark/>
          </w:tcPr>
          <w:p w14:paraId="51603835"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1237</w:t>
            </w:r>
          </w:p>
        </w:tc>
        <w:tc>
          <w:tcPr>
            <w:tcW w:w="888" w:type="dxa"/>
            <w:tcBorders>
              <w:top w:val="nil"/>
              <w:left w:val="nil"/>
              <w:bottom w:val="single" w:sz="4" w:space="0" w:color="auto"/>
              <w:right w:val="single" w:sz="4" w:space="0" w:color="auto"/>
            </w:tcBorders>
            <w:shd w:val="clear" w:color="auto" w:fill="auto"/>
            <w:noWrap/>
            <w:vAlign w:val="bottom"/>
            <w:hideMark/>
          </w:tcPr>
          <w:p w14:paraId="73593945"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148</w:t>
            </w:r>
          </w:p>
        </w:tc>
        <w:tc>
          <w:tcPr>
            <w:tcW w:w="888" w:type="dxa"/>
            <w:tcBorders>
              <w:top w:val="nil"/>
              <w:left w:val="nil"/>
              <w:bottom w:val="single" w:sz="4" w:space="0" w:color="auto"/>
              <w:right w:val="single" w:sz="4" w:space="0" w:color="auto"/>
            </w:tcBorders>
            <w:shd w:val="clear" w:color="auto" w:fill="auto"/>
            <w:noWrap/>
            <w:vAlign w:val="bottom"/>
            <w:hideMark/>
          </w:tcPr>
          <w:p w14:paraId="40F7121D"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148</w:t>
            </w:r>
          </w:p>
        </w:tc>
        <w:tc>
          <w:tcPr>
            <w:tcW w:w="888" w:type="dxa"/>
            <w:tcBorders>
              <w:top w:val="nil"/>
              <w:left w:val="nil"/>
              <w:bottom w:val="single" w:sz="4" w:space="0" w:color="auto"/>
              <w:right w:val="single" w:sz="4" w:space="0" w:color="auto"/>
            </w:tcBorders>
            <w:shd w:val="clear" w:color="auto" w:fill="auto"/>
            <w:noWrap/>
            <w:vAlign w:val="bottom"/>
            <w:hideMark/>
          </w:tcPr>
          <w:p w14:paraId="617EBAB9"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149</w:t>
            </w:r>
          </w:p>
        </w:tc>
        <w:tc>
          <w:tcPr>
            <w:tcW w:w="888" w:type="dxa"/>
            <w:tcBorders>
              <w:top w:val="nil"/>
              <w:left w:val="nil"/>
              <w:bottom w:val="single" w:sz="4" w:space="0" w:color="auto"/>
              <w:right w:val="single" w:sz="4" w:space="0" w:color="auto"/>
            </w:tcBorders>
            <w:shd w:val="clear" w:color="auto" w:fill="auto"/>
            <w:noWrap/>
            <w:vAlign w:val="bottom"/>
            <w:hideMark/>
          </w:tcPr>
          <w:p w14:paraId="55CE4364"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5,92</w:t>
            </w:r>
          </w:p>
        </w:tc>
        <w:tc>
          <w:tcPr>
            <w:tcW w:w="888" w:type="dxa"/>
            <w:tcBorders>
              <w:top w:val="nil"/>
              <w:left w:val="nil"/>
              <w:bottom w:val="single" w:sz="4" w:space="0" w:color="auto"/>
              <w:right w:val="single" w:sz="4" w:space="0" w:color="auto"/>
            </w:tcBorders>
            <w:shd w:val="clear" w:color="auto" w:fill="auto"/>
            <w:noWrap/>
            <w:vAlign w:val="bottom"/>
            <w:hideMark/>
          </w:tcPr>
          <w:p w14:paraId="64FC3AA7"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6,33</w:t>
            </w:r>
          </w:p>
        </w:tc>
        <w:tc>
          <w:tcPr>
            <w:tcW w:w="688" w:type="dxa"/>
            <w:tcBorders>
              <w:top w:val="nil"/>
              <w:left w:val="nil"/>
              <w:bottom w:val="single" w:sz="4" w:space="0" w:color="auto"/>
              <w:right w:val="single" w:sz="4" w:space="0" w:color="auto"/>
            </w:tcBorders>
            <w:shd w:val="clear" w:color="auto" w:fill="auto"/>
            <w:noWrap/>
            <w:vAlign w:val="bottom"/>
            <w:hideMark/>
          </w:tcPr>
          <w:p w14:paraId="3B630504"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6,80</w:t>
            </w:r>
          </w:p>
        </w:tc>
      </w:tr>
      <w:tr w:rsidR="004B5136" w:rsidRPr="00E25833" w14:paraId="2ADBE2A4" w14:textId="77777777" w:rsidTr="00BC35D5">
        <w:trPr>
          <w:trHeight w:val="45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627D19F0" w14:textId="77777777" w:rsidR="004B5136" w:rsidRPr="00E25833" w:rsidRDefault="004B5136" w:rsidP="004B5136">
            <w:pPr>
              <w:spacing w:before="0" w:after="0" w:line="240" w:lineRule="auto"/>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833203 Kravas automobiļa vadītājs</w:t>
            </w:r>
          </w:p>
        </w:tc>
        <w:tc>
          <w:tcPr>
            <w:tcW w:w="888" w:type="dxa"/>
            <w:tcBorders>
              <w:top w:val="nil"/>
              <w:left w:val="nil"/>
              <w:bottom w:val="single" w:sz="4" w:space="0" w:color="auto"/>
              <w:right w:val="single" w:sz="4" w:space="0" w:color="auto"/>
            </w:tcBorders>
            <w:shd w:val="clear" w:color="auto" w:fill="auto"/>
            <w:noWrap/>
            <w:vAlign w:val="bottom"/>
            <w:hideMark/>
          </w:tcPr>
          <w:p w14:paraId="7458EA38"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1098</w:t>
            </w:r>
          </w:p>
        </w:tc>
        <w:tc>
          <w:tcPr>
            <w:tcW w:w="888" w:type="dxa"/>
            <w:tcBorders>
              <w:top w:val="nil"/>
              <w:left w:val="nil"/>
              <w:bottom w:val="single" w:sz="4" w:space="0" w:color="auto"/>
              <w:right w:val="single" w:sz="4" w:space="0" w:color="auto"/>
            </w:tcBorders>
            <w:shd w:val="clear" w:color="auto" w:fill="auto"/>
            <w:noWrap/>
            <w:vAlign w:val="bottom"/>
            <w:hideMark/>
          </w:tcPr>
          <w:p w14:paraId="121E64FA"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1147</w:t>
            </w:r>
          </w:p>
        </w:tc>
        <w:tc>
          <w:tcPr>
            <w:tcW w:w="888" w:type="dxa"/>
            <w:tcBorders>
              <w:top w:val="nil"/>
              <w:left w:val="nil"/>
              <w:bottom w:val="single" w:sz="4" w:space="0" w:color="auto"/>
              <w:right w:val="single" w:sz="4" w:space="0" w:color="auto"/>
            </w:tcBorders>
            <w:shd w:val="clear" w:color="auto" w:fill="auto"/>
            <w:noWrap/>
            <w:vAlign w:val="bottom"/>
            <w:hideMark/>
          </w:tcPr>
          <w:p w14:paraId="33147D66"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1200</w:t>
            </w:r>
          </w:p>
        </w:tc>
        <w:tc>
          <w:tcPr>
            <w:tcW w:w="888" w:type="dxa"/>
            <w:tcBorders>
              <w:top w:val="nil"/>
              <w:left w:val="nil"/>
              <w:bottom w:val="single" w:sz="4" w:space="0" w:color="auto"/>
              <w:right w:val="single" w:sz="4" w:space="0" w:color="auto"/>
            </w:tcBorders>
            <w:shd w:val="clear" w:color="auto" w:fill="auto"/>
            <w:noWrap/>
            <w:vAlign w:val="bottom"/>
            <w:hideMark/>
          </w:tcPr>
          <w:p w14:paraId="341B7CD6"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150</w:t>
            </w:r>
          </w:p>
        </w:tc>
        <w:tc>
          <w:tcPr>
            <w:tcW w:w="888" w:type="dxa"/>
            <w:tcBorders>
              <w:top w:val="nil"/>
              <w:left w:val="nil"/>
              <w:bottom w:val="single" w:sz="4" w:space="0" w:color="auto"/>
              <w:right w:val="single" w:sz="4" w:space="0" w:color="auto"/>
            </w:tcBorders>
            <w:shd w:val="clear" w:color="auto" w:fill="auto"/>
            <w:noWrap/>
            <w:vAlign w:val="bottom"/>
            <w:hideMark/>
          </w:tcPr>
          <w:p w14:paraId="1D90DBDC"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149</w:t>
            </w:r>
          </w:p>
        </w:tc>
        <w:tc>
          <w:tcPr>
            <w:tcW w:w="888" w:type="dxa"/>
            <w:tcBorders>
              <w:top w:val="nil"/>
              <w:left w:val="nil"/>
              <w:bottom w:val="single" w:sz="4" w:space="0" w:color="auto"/>
              <w:right w:val="single" w:sz="4" w:space="0" w:color="auto"/>
            </w:tcBorders>
            <w:shd w:val="clear" w:color="auto" w:fill="auto"/>
            <w:noWrap/>
            <w:vAlign w:val="bottom"/>
            <w:hideMark/>
          </w:tcPr>
          <w:p w14:paraId="594F50A6"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149</w:t>
            </w:r>
          </w:p>
        </w:tc>
        <w:tc>
          <w:tcPr>
            <w:tcW w:w="888" w:type="dxa"/>
            <w:tcBorders>
              <w:top w:val="nil"/>
              <w:left w:val="nil"/>
              <w:bottom w:val="single" w:sz="4" w:space="0" w:color="auto"/>
              <w:right w:val="single" w:sz="4" w:space="0" w:color="auto"/>
            </w:tcBorders>
            <w:shd w:val="clear" w:color="auto" w:fill="auto"/>
            <w:noWrap/>
            <w:vAlign w:val="bottom"/>
            <w:hideMark/>
          </w:tcPr>
          <w:p w14:paraId="52D5E651"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5,93</w:t>
            </w:r>
          </w:p>
        </w:tc>
        <w:tc>
          <w:tcPr>
            <w:tcW w:w="888" w:type="dxa"/>
            <w:tcBorders>
              <w:top w:val="nil"/>
              <w:left w:val="nil"/>
              <w:bottom w:val="single" w:sz="4" w:space="0" w:color="auto"/>
              <w:right w:val="single" w:sz="4" w:space="0" w:color="auto"/>
            </w:tcBorders>
            <w:shd w:val="clear" w:color="auto" w:fill="auto"/>
            <w:noWrap/>
            <w:vAlign w:val="bottom"/>
            <w:hideMark/>
          </w:tcPr>
          <w:p w14:paraId="72F18E7C"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6,59</w:t>
            </w:r>
          </w:p>
        </w:tc>
        <w:tc>
          <w:tcPr>
            <w:tcW w:w="688" w:type="dxa"/>
            <w:tcBorders>
              <w:top w:val="nil"/>
              <w:left w:val="nil"/>
              <w:bottom w:val="single" w:sz="4" w:space="0" w:color="auto"/>
              <w:right w:val="single" w:sz="4" w:space="0" w:color="auto"/>
            </w:tcBorders>
            <w:shd w:val="clear" w:color="auto" w:fill="auto"/>
            <w:noWrap/>
            <w:vAlign w:val="bottom"/>
            <w:hideMark/>
          </w:tcPr>
          <w:p w14:paraId="37F41BD1"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7,03</w:t>
            </w:r>
          </w:p>
        </w:tc>
      </w:tr>
      <w:tr w:rsidR="004B5136" w:rsidRPr="00E25833" w14:paraId="6ACD9584" w14:textId="77777777" w:rsidTr="00BC35D5">
        <w:trPr>
          <w:trHeight w:val="45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50926C84" w14:textId="77777777" w:rsidR="004B5136" w:rsidRPr="00E25833" w:rsidRDefault="004B5136" w:rsidP="004B5136">
            <w:pPr>
              <w:spacing w:before="0" w:after="0" w:line="240" w:lineRule="auto"/>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311229 Būvdarbu vadītāja palīgs</w:t>
            </w:r>
          </w:p>
        </w:tc>
        <w:tc>
          <w:tcPr>
            <w:tcW w:w="888" w:type="dxa"/>
            <w:tcBorders>
              <w:top w:val="nil"/>
              <w:left w:val="nil"/>
              <w:bottom w:val="single" w:sz="4" w:space="0" w:color="auto"/>
              <w:right w:val="single" w:sz="4" w:space="0" w:color="auto"/>
            </w:tcBorders>
            <w:shd w:val="clear" w:color="auto" w:fill="auto"/>
            <w:noWrap/>
            <w:vAlign w:val="bottom"/>
            <w:hideMark/>
          </w:tcPr>
          <w:p w14:paraId="1C59F3F9"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825</w:t>
            </w:r>
          </w:p>
        </w:tc>
        <w:tc>
          <w:tcPr>
            <w:tcW w:w="888" w:type="dxa"/>
            <w:tcBorders>
              <w:top w:val="nil"/>
              <w:left w:val="nil"/>
              <w:bottom w:val="single" w:sz="4" w:space="0" w:color="auto"/>
              <w:right w:val="single" w:sz="4" w:space="0" w:color="auto"/>
            </w:tcBorders>
            <w:shd w:val="clear" w:color="auto" w:fill="auto"/>
            <w:noWrap/>
            <w:vAlign w:val="bottom"/>
            <w:hideMark/>
          </w:tcPr>
          <w:p w14:paraId="41F16023"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965</w:t>
            </w:r>
          </w:p>
        </w:tc>
        <w:tc>
          <w:tcPr>
            <w:tcW w:w="888" w:type="dxa"/>
            <w:tcBorders>
              <w:top w:val="nil"/>
              <w:left w:val="nil"/>
              <w:bottom w:val="single" w:sz="4" w:space="0" w:color="auto"/>
              <w:right w:val="single" w:sz="4" w:space="0" w:color="auto"/>
            </w:tcBorders>
            <w:shd w:val="clear" w:color="auto" w:fill="auto"/>
            <w:noWrap/>
            <w:vAlign w:val="bottom"/>
            <w:hideMark/>
          </w:tcPr>
          <w:p w14:paraId="6401FFE5"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1053</w:t>
            </w:r>
          </w:p>
        </w:tc>
        <w:tc>
          <w:tcPr>
            <w:tcW w:w="888" w:type="dxa"/>
            <w:tcBorders>
              <w:top w:val="nil"/>
              <w:left w:val="nil"/>
              <w:bottom w:val="single" w:sz="4" w:space="0" w:color="auto"/>
              <w:right w:val="single" w:sz="4" w:space="0" w:color="auto"/>
            </w:tcBorders>
            <w:shd w:val="clear" w:color="auto" w:fill="auto"/>
            <w:noWrap/>
            <w:vAlign w:val="bottom"/>
            <w:hideMark/>
          </w:tcPr>
          <w:p w14:paraId="3BC2E496"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128</w:t>
            </w:r>
          </w:p>
        </w:tc>
        <w:tc>
          <w:tcPr>
            <w:tcW w:w="888" w:type="dxa"/>
            <w:tcBorders>
              <w:top w:val="nil"/>
              <w:left w:val="nil"/>
              <w:bottom w:val="single" w:sz="4" w:space="0" w:color="auto"/>
              <w:right w:val="single" w:sz="4" w:space="0" w:color="auto"/>
            </w:tcBorders>
            <w:shd w:val="clear" w:color="auto" w:fill="auto"/>
            <w:noWrap/>
            <w:vAlign w:val="bottom"/>
            <w:hideMark/>
          </w:tcPr>
          <w:p w14:paraId="3EC813A7"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131</w:t>
            </w:r>
          </w:p>
        </w:tc>
        <w:tc>
          <w:tcPr>
            <w:tcW w:w="888" w:type="dxa"/>
            <w:tcBorders>
              <w:top w:val="nil"/>
              <w:left w:val="nil"/>
              <w:bottom w:val="single" w:sz="4" w:space="0" w:color="auto"/>
              <w:right w:val="single" w:sz="4" w:space="0" w:color="auto"/>
            </w:tcBorders>
            <w:shd w:val="clear" w:color="auto" w:fill="auto"/>
            <w:noWrap/>
            <w:vAlign w:val="bottom"/>
            <w:hideMark/>
          </w:tcPr>
          <w:p w14:paraId="1CA6BA3F"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134</w:t>
            </w:r>
          </w:p>
        </w:tc>
        <w:tc>
          <w:tcPr>
            <w:tcW w:w="888" w:type="dxa"/>
            <w:tcBorders>
              <w:top w:val="nil"/>
              <w:left w:val="nil"/>
              <w:bottom w:val="single" w:sz="4" w:space="0" w:color="auto"/>
              <w:right w:val="single" w:sz="4" w:space="0" w:color="auto"/>
            </w:tcBorders>
            <w:shd w:val="clear" w:color="auto" w:fill="auto"/>
            <w:noWrap/>
            <w:vAlign w:val="bottom"/>
            <w:hideMark/>
          </w:tcPr>
          <w:p w14:paraId="4343CECA"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6,76</w:t>
            </w:r>
          </w:p>
        </w:tc>
        <w:tc>
          <w:tcPr>
            <w:tcW w:w="888" w:type="dxa"/>
            <w:tcBorders>
              <w:top w:val="nil"/>
              <w:left w:val="nil"/>
              <w:bottom w:val="single" w:sz="4" w:space="0" w:color="auto"/>
              <w:right w:val="single" w:sz="4" w:space="0" w:color="auto"/>
            </w:tcBorders>
            <w:shd w:val="clear" w:color="auto" w:fill="auto"/>
            <w:noWrap/>
            <w:vAlign w:val="bottom"/>
            <w:hideMark/>
          </w:tcPr>
          <w:p w14:paraId="1B60F54D"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7,63</w:t>
            </w:r>
          </w:p>
        </w:tc>
        <w:tc>
          <w:tcPr>
            <w:tcW w:w="688" w:type="dxa"/>
            <w:tcBorders>
              <w:top w:val="nil"/>
              <w:left w:val="nil"/>
              <w:bottom w:val="single" w:sz="4" w:space="0" w:color="auto"/>
              <w:right w:val="single" w:sz="4" w:space="0" w:color="auto"/>
            </w:tcBorders>
            <w:shd w:val="clear" w:color="auto" w:fill="auto"/>
            <w:noWrap/>
            <w:vAlign w:val="bottom"/>
            <w:hideMark/>
          </w:tcPr>
          <w:p w14:paraId="71AF3D3F"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8,32</w:t>
            </w:r>
          </w:p>
        </w:tc>
      </w:tr>
      <w:tr w:rsidR="004B5136" w:rsidRPr="00E25833" w14:paraId="0FD5017B" w14:textId="77777777" w:rsidTr="00BC35D5">
        <w:trPr>
          <w:trHeight w:val="30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6BEDDE10" w14:textId="77777777" w:rsidR="004B5136" w:rsidRPr="00E25833" w:rsidRDefault="004B5136" w:rsidP="004B5136">
            <w:pPr>
              <w:spacing w:before="0" w:after="0" w:line="240" w:lineRule="auto"/>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711401 Betonētājs</w:t>
            </w:r>
          </w:p>
        </w:tc>
        <w:tc>
          <w:tcPr>
            <w:tcW w:w="888" w:type="dxa"/>
            <w:tcBorders>
              <w:top w:val="nil"/>
              <w:left w:val="nil"/>
              <w:bottom w:val="single" w:sz="4" w:space="0" w:color="auto"/>
              <w:right w:val="single" w:sz="4" w:space="0" w:color="auto"/>
            </w:tcBorders>
            <w:shd w:val="clear" w:color="auto" w:fill="auto"/>
            <w:noWrap/>
            <w:vAlign w:val="bottom"/>
            <w:hideMark/>
          </w:tcPr>
          <w:p w14:paraId="1F6D086C"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928</w:t>
            </w:r>
          </w:p>
        </w:tc>
        <w:tc>
          <w:tcPr>
            <w:tcW w:w="888" w:type="dxa"/>
            <w:tcBorders>
              <w:top w:val="nil"/>
              <w:left w:val="nil"/>
              <w:bottom w:val="single" w:sz="4" w:space="0" w:color="auto"/>
              <w:right w:val="single" w:sz="4" w:space="0" w:color="auto"/>
            </w:tcBorders>
            <w:shd w:val="clear" w:color="auto" w:fill="auto"/>
            <w:noWrap/>
            <w:vAlign w:val="bottom"/>
            <w:hideMark/>
          </w:tcPr>
          <w:p w14:paraId="34E8CD69"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1058</w:t>
            </w:r>
          </w:p>
        </w:tc>
        <w:tc>
          <w:tcPr>
            <w:tcW w:w="888" w:type="dxa"/>
            <w:tcBorders>
              <w:top w:val="nil"/>
              <w:left w:val="nil"/>
              <w:bottom w:val="single" w:sz="4" w:space="0" w:color="auto"/>
              <w:right w:val="single" w:sz="4" w:space="0" w:color="auto"/>
            </w:tcBorders>
            <w:shd w:val="clear" w:color="auto" w:fill="auto"/>
            <w:vAlign w:val="bottom"/>
            <w:hideMark/>
          </w:tcPr>
          <w:p w14:paraId="621CF522" w14:textId="77777777" w:rsidR="004B5136" w:rsidRPr="00E25833" w:rsidRDefault="004B5136" w:rsidP="004B5136">
            <w:pPr>
              <w:spacing w:before="0" w:after="0" w:line="240" w:lineRule="auto"/>
              <w:jc w:val="right"/>
              <w:rPr>
                <w:rFonts w:ascii="Times New Roman" w:eastAsia="Times New Roman" w:hAnsi="Times New Roman" w:cs="Times New Roman"/>
                <w:sz w:val="16"/>
                <w:szCs w:val="16"/>
                <w:lang w:eastAsia="lv-LV"/>
              </w:rPr>
            </w:pPr>
            <w:r w:rsidRPr="00E25833">
              <w:rPr>
                <w:rFonts w:ascii="Times New Roman" w:eastAsia="Times New Roman" w:hAnsi="Times New Roman" w:cs="Times New Roman"/>
                <w:sz w:val="16"/>
                <w:szCs w:val="16"/>
                <w:lang w:eastAsia="lv-LV"/>
              </w:rPr>
              <w:t>990</w:t>
            </w:r>
          </w:p>
        </w:tc>
        <w:tc>
          <w:tcPr>
            <w:tcW w:w="888" w:type="dxa"/>
            <w:tcBorders>
              <w:top w:val="nil"/>
              <w:left w:val="nil"/>
              <w:bottom w:val="single" w:sz="4" w:space="0" w:color="auto"/>
              <w:right w:val="single" w:sz="4" w:space="0" w:color="auto"/>
            </w:tcBorders>
            <w:shd w:val="clear" w:color="auto" w:fill="auto"/>
            <w:noWrap/>
            <w:vAlign w:val="bottom"/>
            <w:hideMark/>
          </w:tcPr>
          <w:p w14:paraId="0BF4F7D7"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125</w:t>
            </w:r>
          </w:p>
        </w:tc>
        <w:tc>
          <w:tcPr>
            <w:tcW w:w="888" w:type="dxa"/>
            <w:tcBorders>
              <w:top w:val="nil"/>
              <w:left w:val="nil"/>
              <w:bottom w:val="single" w:sz="4" w:space="0" w:color="auto"/>
              <w:right w:val="single" w:sz="4" w:space="0" w:color="auto"/>
            </w:tcBorders>
            <w:shd w:val="clear" w:color="auto" w:fill="auto"/>
            <w:noWrap/>
            <w:vAlign w:val="bottom"/>
            <w:hideMark/>
          </w:tcPr>
          <w:p w14:paraId="4FD4A874"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130</w:t>
            </w:r>
          </w:p>
        </w:tc>
        <w:tc>
          <w:tcPr>
            <w:tcW w:w="888" w:type="dxa"/>
            <w:tcBorders>
              <w:top w:val="nil"/>
              <w:left w:val="nil"/>
              <w:bottom w:val="single" w:sz="4" w:space="0" w:color="auto"/>
              <w:right w:val="single" w:sz="4" w:space="0" w:color="auto"/>
            </w:tcBorders>
            <w:shd w:val="clear" w:color="auto" w:fill="auto"/>
            <w:noWrap/>
            <w:vAlign w:val="bottom"/>
            <w:hideMark/>
          </w:tcPr>
          <w:p w14:paraId="2C4F5092"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128</w:t>
            </w:r>
          </w:p>
        </w:tc>
        <w:tc>
          <w:tcPr>
            <w:tcW w:w="888" w:type="dxa"/>
            <w:tcBorders>
              <w:top w:val="nil"/>
              <w:left w:val="nil"/>
              <w:bottom w:val="single" w:sz="4" w:space="0" w:color="auto"/>
              <w:right w:val="single" w:sz="4" w:space="0" w:color="auto"/>
            </w:tcBorders>
            <w:shd w:val="clear" w:color="auto" w:fill="auto"/>
            <w:noWrap/>
            <w:vAlign w:val="bottom"/>
            <w:hideMark/>
          </w:tcPr>
          <w:p w14:paraId="79D2B020"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6,56</w:t>
            </w:r>
          </w:p>
        </w:tc>
        <w:tc>
          <w:tcPr>
            <w:tcW w:w="888" w:type="dxa"/>
            <w:tcBorders>
              <w:top w:val="nil"/>
              <w:left w:val="nil"/>
              <w:bottom w:val="single" w:sz="4" w:space="0" w:color="auto"/>
              <w:right w:val="single" w:sz="4" w:space="0" w:color="auto"/>
            </w:tcBorders>
            <w:shd w:val="clear" w:color="auto" w:fill="auto"/>
            <w:noWrap/>
            <w:vAlign w:val="bottom"/>
            <w:hideMark/>
          </w:tcPr>
          <w:p w14:paraId="22BBB995"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8,27</w:t>
            </w:r>
          </w:p>
        </w:tc>
        <w:tc>
          <w:tcPr>
            <w:tcW w:w="688" w:type="dxa"/>
            <w:tcBorders>
              <w:top w:val="nil"/>
              <w:left w:val="nil"/>
              <w:bottom w:val="single" w:sz="4" w:space="0" w:color="auto"/>
              <w:right w:val="single" w:sz="4" w:space="0" w:color="auto"/>
            </w:tcBorders>
            <w:shd w:val="clear" w:color="auto" w:fill="auto"/>
            <w:noWrap/>
            <w:vAlign w:val="bottom"/>
            <w:hideMark/>
          </w:tcPr>
          <w:p w14:paraId="16CB49A5"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9,36</w:t>
            </w:r>
          </w:p>
        </w:tc>
      </w:tr>
      <w:tr w:rsidR="004B5136" w:rsidRPr="00E25833" w14:paraId="51BFC566" w14:textId="77777777" w:rsidTr="00BC35D5">
        <w:trPr>
          <w:trHeight w:val="30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9A68A8C" w14:textId="77777777" w:rsidR="004B5136" w:rsidRPr="00E25833" w:rsidRDefault="004B5136" w:rsidP="004B5136">
            <w:pPr>
              <w:spacing w:before="0" w:after="0" w:line="240" w:lineRule="auto"/>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712601 Santehniķis</w:t>
            </w:r>
          </w:p>
        </w:tc>
        <w:tc>
          <w:tcPr>
            <w:tcW w:w="888" w:type="dxa"/>
            <w:tcBorders>
              <w:top w:val="nil"/>
              <w:left w:val="nil"/>
              <w:bottom w:val="single" w:sz="4" w:space="0" w:color="auto"/>
              <w:right w:val="single" w:sz="4" w:space="0" w:color="auto"/>
            </w:tcBorders>
            <w:shd w:val="clear" w:color="auto" w:fill="auto"/>
            <w:noWrap/>
            <w:vAlign w:val="bottom"/>
            <w:hideMark/>
          </w:tcPr>
          <w:p w14:paraId="051E05EA"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633</w:t>
            </w:r>
          </w:p>
        </w:tc>
        <w:tc>
          <w:tcPr>
            <w:tcW w:w="888" w:type="dxa"/>
            <w:tcBorders>
              <w:top w:val="nil"/>
              <w:left w:val="nil"/>
              <w:bottom w:val="single" w:sz="4" w:space="0" w:color="auto"/>
              <w:right w:val="single" w:sz="4" w:space="0" w:color="auto"/>
            </w:tcBorders>
            <w:shd w:val="clear" w:color="auto" w:fill="auto"/>
            <w:noWrap/>
            <w:vAlign w:val="bottom"/>
            <w:hideMark/>
          </w:tcPr>
          <w:p w14:paraId="6BD58898"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765</w:t>
            </w:r>
          </w:p>
        </w:tc>
        <w:tc>
          <w:tcPr>
            <w:tcW w:w="888" w:type="dxa"/>
            <w:tcBorders>
              <w:top w:val="nil"/>
              <w:left w:val="nil"/>
              <w:bottom w:val="single" w:sz="4" w:space="0" w:color="auto"/>
              <w:right w:val="single" w:sz="4" w:space="0" w:color="auto"/>
            </w:tcBorders>
            <w:shd w:val="clear" w:color="auto" w:fill="auto"/>
            <w:noWrap/>
            <w:vAlign w:val="bottom"/>
            <w:hideMark/>
          </w:tcPr>
          <w:p w14:paraId="79E61DF6"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920</w:t>
            </w:r>
          </w:p>
        </w:tc>
        <w:tc>
          <w:tcPr>
            <w:tcW w:w="888" w:type="dxa"/>
            <w:tcBorders>
              <w:top w:val="nil"/>
              <w:left w:val="nil"/>
              <w:bottom w:val="single" w:sz="4" w:space="0" w:color="auto"/>
              <w:right w:val="single" w:sz="4" w:space="0" w:color="auto"/>
            </w:tcBorders>
            <w:shd w:val="clear" w:color="auto" w:fill="auto"/>
            <w:noWrap/>
            <w:vAlign w:val="bottom"/>
            <w:hideMark/>
          </w:tcPr>
          <w:p w14:paraId="0C185231"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122</w:t>
            </w:r>
          </w:p>
        </w:tc>
        <w:tc>
          <w:tcPr>
            <w:tcW w:w="888" w:type="dxa"/>
            <w:tcBorders>
              <w:top w:val="nil"/>
              <w:left w:val="nil"/>
              <w:bottom w:val="single" w:sz="4" w:space="0" w:color="auto"/>
              <w:right w:val="single" w:sz="4" w:space="0" w:color="auto"/>
            </w:tcBorders>
            <w:shd w:val="clear" w:color="auto" w:fill="auto"/>
            <w:noWrap/>
            <w:vAlign w:val="bottom"/>
            <w:hideMark/>
          </w:tcPr>
          <w:p w14:paraId="1C15E3F7"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124</w:t>
            </w:r>
          </w:p>
        </w:tc>
        <w:tc>
          <w:tcPr>
            <w:tcW w:w="888" w:type="dxa"/>
            <w:tcBorders>
              <w:top w:val="nil"/>
              <w:left w:val="nil"/>
              <w:bottom w:val="single" w:sz="4" w:space="0" w:color="auto"/>
              <w:right w:val="single" w:sz="4" w:space="0" w:color="auto"/>
            </w:tcBorders>
            <w:shd w:val="clear" w:color="auto" w:fill="auto"/>
            <w:noWrap/>
            <w:vAlign w:val="bottom"/>
            <w:hideMark/>
          </w:tcPr>
          <w:p w14:paraId="0ED73D1F"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123</w:t>
            </w:r>
          </w:p>
        </w:tc>
        <w:tc>
          <w:tcPr>
            <w:tcW w:w="888" w:type="dxa"/>
            <w:tcBorders>
              <w:top w:val="nil"/>
              <w:left w:val="nil"/>
              <w:bottom w:val="single" w:sz="4" w:space="0" w:color="auto"/>
              <w:right w:val="single" w:sz="4" w:space="0" w:color="auto"/>
            </w:tcBorders>
            <w:shd w:val="clear" w:color="auto" w:fill="auto"/>
            <w:noWrap/>
            <w:vAlign w:val="bottom"/>
            <w:hideMark/>
          </w:tcPr>
          <w:p w14:paraId="72507F30"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4,57</w:t>
            </w:r>
          </w:p>
        </w:tc>
        <w:tc>
          <w:tcPr>
            <w:tcW w:w="888" w:type="dxa"/>
            <w:tcBorders>
              <w:top w:val="nil"/>
              <w:left w:val="nil"/>
              <w:bottom w:val="single" w:sz="4" w:space="0" w:color="auto"/>
              <w:right w:val="single" w:sz="4" w:space="0" w:color="auto"/>
            </w:tcBorders>
            <w:shd w:val="clear" w:color="auto" w:fill="auto"/>
            <w:noWrap/>
            <w:vAlign w:val="bottom"/>
            <w:hideMark/>
          </w:tcPr>
          <w:p w14:paraId="152C45BB"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5,25</w:t>
            </w:r>
          </w:p>
        </w:tc>
        <w:tc>
          <w:tcPr>
            <w:tcW w:w="688" w:type="dxa"/>
            <w:tcBorders>
              <w:top w:val="nil"/>
              <w:left w:val="nil"/>
              <w:bottom w:val="single" w:sz="4" w:space="0" w:color="auto"/>
              <w:right w:val="single" w:sz="4" w:space="0" w:color="auto"/>
            </w:tcBorders>
            <w:shd w:val="clear" w:color="auto" w:fill="auto"/>
            <w:noWrap/>
            <w:vAlign w:val="bottom"/>
            <w:hideMark/>
          </w:tcPr>
          <w:p w14:paraId="5E7BE2FC"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6,01</w:t>
            </w:r>
          </w:p>
        </w:tc>
      </w:tr>
      <w:tr w:rsidR="004B5136" w:rsidRPr="00E25833" w14:paraId="593A336B" w14:textId="77777777" w:rsidTr="00BC35D5">
        <w:trPr>
          <w:trHeight w:val="45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4504AA74" w14:textId="77777777" w:rsidR="004B5136" w:rsidRPr="00E25833" w:rsidRDefault="004B5136" w:rsidP="004B5136">
            <w:pPr>
              <w:spacing w:before="0" w:after="0" w:line="240" w:lineRule="auto"/>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712302 Apdares darbu strādnieks</w:t>
            </w:r>
          </w:p>
        </w:tc>
        <w:tc>
          <w:tcPr>
            <w:tcW w:w="888" w:type="dxa"/>
            <w:tcBorders>
              <w:top w:val="nil"/>
              <w:left w:val="nil"/>
              <w:bottom w:val="single" w:sz="4" w:space="0" w:color="auto"/>
              <w:right w:val="single" w:sz="4" w:space="0" w:color="auto"/>
            </w:tcBorders>
            <w:shd w:val="clear" w:color="auto" w:fill="auto"/>
            <w:noWrap/>
            <w:vAlign w:val="bottom"/>
            <w:hideMark/>
          </w:tcPr>
          <w:p w14:paraId="5F0BFA28"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677</w:t>
            </w:r>
          </w:p>
        </w:tc>
        <w:tc>
          <w:tcPr>
            <w:tcW w:w="888" w:type="dxa"/>
            <w:tcBorders>
              <w:top w:val="nil"/>
              <w:left w:val="nil"/>
              <w:bottom w:val="single" w:sz="4" w:space="0" w:color="auto"/>
              <w:right w:val="single" w:sz="4" w:space="0" w:color="auto"/>
            </w:tcBorders>
            <w:shd w:val="clear" w:color="auto" w:fill="auto"/>
            <w:noWrap/>
            <w:vAlign w:val="bottom"/>
            <w:hideMark/>
          </w:tcPr>
          <w:p w14:paraId="6988BE73"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781</w:t>
            </w:r>
          </w:p>
        </w:tc>
        <w:tc>
          <w:tcPr>
            <w:tcW w:w="888" w:type="dxa"/>
            <w:tcBorders>
              <w:top w:val="nil"/>
              <w:left w:val="nil"/>
              <w:bottom w:val="single" w:sz="4" w:space="0" w:color="auto"/>
              <w:right w:val="single" w:sz="4" w:space="0" w:color="auto"/>
            </w:tcBorders>
            <w:shd w:val="clear" w:color="auto" w:fill="auto"/>
            <w:noWrap/>
            <w:vAlign w:val="bottom"/>
            <w:hideMark/>
          </w:tcPr>
          <w:p w14:paraId="3DFF2D86"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859</w:t>
            </w:r>
          </w:p>
        </w:tc>
        <w:tc>
          <w:tcPr>
            <w:tcW w:w="888" w:type="dxa"/>
            <w:tcBorders>
              <w:top w:val="nil"/>
              <w:left w:val="nil"/>
              <w:bottom w:val="single" w:sz="4" w:space="0" w:color="auto"/>
              <w:right w:val="single" w:sz="4" w:space="0" w:color="auto"/>
            </w:tcBorders>
            <w:shd w:val="clear" w:color="auto" w:fill="auto"/>
            <w:noWrap/>
            <w:vAlign w:val="bottom"/>
            <w:hideMark/>
          </w:tcPr>
          <w:p w14:paraId="01824F2A"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116</w:t>
            </w:r>
          </w:p>
        </w:tc>
        <w:tc>
          <w:tcPr>
            <w:tcW w:w="888" w:type="dxa"/>
            <w:tcBorders>
              <w:top w:val="nil"/>
              <w:left w:val="nil"/>
              <w:bottom w:val="single" w:sz="4" w:space="0" w:color="auto"/>
              <w:right w:val="single" w:sz="4" w:space="0" w:color="auto"/>
            </w:tcBorders>
            <w:shd w:val="clear" w:color="auto" w:fill="auto"/>
            <w:noWrap/>
            <w:vAlign w:val="bottom"/>
            <w:hideMark/>
          </w:tcPr>
          <w:p w14:paraId="7F23BDCB"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118</w:t>
            </w:r>
          </w:p>
        </w:tc>
        <w:tc>
          <w:tcPr>
            <w:tcW w:w="888" w:type="dxa"/>
            <w:tcBorders>
              <w:top w:val="nil"/>
              <w:left w:val="nil"/>
              <w:bottom w:val="single" w:sz="4" w:space="0" w:color="auto"/>
              <w:right w:val="single" w:sz="4" w:space="0" w:color="auto"/>
            </w:tcBorders>
            <w:shd w:val="clear" w:color="auto" w:fill="auto"/>
            <w:noWrap/>
            <w:vAlign w:val="bottom"/>
            <w:hideMark/>
          </w:tcPr>
          <w:p w14:paraId="19351627"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121</w:t>
            </w:r>
          </w:p>
        </w:tc>
        <w:tc>
          <w:tcPr>
            <w:tcW w:w="888" w:type="dxa"/>
            <w:tcBorders>
              <w:top w:val="nil"/>
              <w:left w:val="nil"/>
              <w:bottom w:val="single" w:sz="4" w:space="0" w:color="auto"/>
              <w:right w:val="single" w:sz="4" w:space="0" w:color="auto"/>
            </w:tcBorders>
            <w:shd w:val="clear" w:color="auto" w:fill="auto"/>
            <w:noWrap/>
            <w:vAlign w:val="bottom"/>
            <w:hideMark/>
          </w:tcPr>
          <w:p w14:paraId="249F897F"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4,45</w:t>
            </w:r>
          </w:p>
        </w:tc>
        <w:tc>
          <w:tcPr>
            <w:tcW w:w="888" w:type="dxa"/>
            <w:tcBorders>
              <w:top w:val="nil"/>
              <w:left w:val="nil"/>
              <w:bottom w:val="single" w:sz="4" w:space="0" w:color="auto"/>
              <w:right w:val="single" w:sz="4" w:space="0" w:color="auto"/>
            </w:tcBorders>
            <w:shd w:val="clear" w:color="auto" w:fill="auto"/>
            <w:noWrap/>
            <w:vAlign w:val="bottom"/>
            <w:hideMark/>
          </w:tcPr>
          <w:p w14:paraId="176A90E0"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5,07</w:t>
            </w:r>
          </w:p>
        </w:tc>
        <w:tc>
          <w:tcPr>
            <w:tcW w:w="688" w:type="dxa"/>
            <w:tcBorders>
              <w:top w:val="nil"/>
              <w:left w:val="nil"/>
              <w:bottom w:val="single" w:sz="4" w:space="0" w:color="auto"/>
              <w:right w:val="single" w:sz="4" w:space="0" w:color="auto"/>
            </w:tcBorders>
            <w:shd w:val="clear" w:color="auto" w:fill="auto"/>
            <w:noWrap/>
            <w:vAlign w:val="bottom"/>
            <w:hideMark/>
          </w:tcPr>
          <w:p w14:paraId="6E449CA4"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5,64</w:t>
            </w:r>
          </w:p>
        </w:tc>
      </w:tr>
      <w:tr w:rsidR="004B5136" w:rsidRPr="00E25833" w14:paraId="1399BC20" w14:textId="77777777" w:rsidTr="00BC35D5">
        <w:trPr>
          <w:trHeight w:val="30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28D362D2" w14:textId="77777777" w:rsidR="004B5136" w:rsidRPr="00E25833" w:rsidRDefault="004B5136" w:rsidP="004B5136">
            <w:pPr>
              <w:spacing w:before="0" w:after="0" w:line="240" w:lineRule="auto"/>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242201 Projekta vadītājs</w:t>
            </w:r>
          </w:p>
        </w:tc>
        <w:tc>
          <w:tcPr>
            <w:tcW w:w="888" w:type="dxa"/>
            <w:tcBorders>
              <w:top w:val="nil"/>
              <w:left w:val="nil"/>
              <w:bottom w:val="single" w:sz="4" w:space="0" w:color="auto"/>
              <w:right w:val="single" w:sz="4" w:space="0" w:color="auto"/>
            </w:tcBorders>
            <w:shd w:val="clear" w:color="auto" w:fill="auto"/>
            <w:noWrap/>
            <w:vAlign w:val="bottom"/>
            <w:hideMark/>
          </w:tcPr>
          <w:p w14:paraId="5082C8B0"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749</w:t>
            </w:r>
          </w:p>
        </w:tc>
        <w:tc>
          <w:tcPr>
            <w:tcW w:w="888" w:type="dxa"/>
            <w:tcBorders>
              <w:top w:val="nil"/>
              <w:left w:val="nil"/>
              <w:bottom w:val="single" w:sz="4" w:space="0" w:color="auto"/>
              <w:right w:val="single" w:sz="4" w:space="0" w:color="auto"/>
            </w:tcBorders>
            <w:shd w:val="clear" w:color="auto" w:fill="auto"/>
            <w:noWrap/>
            <w:vAlign w:val="bottom"/>
            <w:hideMark/>
          </w:tcPr>
          <w:p w14:paraId="4459DCD5"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756</w:t>
            </w:r>
          </w:p>
        </w:tc>
        <w:tc>
          <w:tcPr>
            <w:tcW w:w="888" w:type="dxa"/>
            <w:tcBorders>
              <w:top w:val="nil"/>
              <w:left w:val="nil"/>
              <w:bottom w:val="single" w:sz="4" w:space="0" w:color="auto"/>
              <w:right w:val="single" w:sz="4" w:space="0" w:color="auto"/>
            </w:tcBorders>
            <w:shd w:val="clear" w:color="auto" w:fill="auto"/>
            <w:noWrap/>
            <w:vAlign w:val="bottom"/>
            <w:hideMark/>
          </w:tcPr>
          <w:p w14:paraId="4679A980"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771</w:t>
            </w:r>
          </w:p>
        </w:tc>
        <w:tc>
          <w:tcPr>
            <w:tcW w:w="888" w:type="dxa"/>
            <w:tcBorders>
              <w:top w:val="nil"/>
              <w:left w:val="nil"/>
              <w:bottom w:val="single" w:sz="4" w:space="0" w:color="auto"/>
              <w:right w:val="single" w:sz="4" w:space="0" w:color="auto"/>
            </w:tcBorders>
            <w:shd w:val="clear" w:color="auto" w:fill="auto"/>
            <w:noWrap/>
            <w:vAlign w:val="bottom"/>
            <w:hideMark/>
          </w:tcPr>
          <w:p w14:paraId="44687056"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122</w:t>
            </w:r>
          </w:p>
        </w:tc>
        <w:tc>
          <w:tcPr>
            <w:tcW w:w="888" w:type="dxa"/>
            <w:tcBorders>
              <w:top w:val="nil"/>
              <w:left w:val="nil"/>
              <w:bottom w:val="single" w:sz="4" w:space="0" w:color="auto"/>
              <w:right w:val="single" w:sz="4" w:space="0" w:color="auto"/>
            </w:tcBorders>
            <w:shd w:val="clear" w:color="auto" w:fill="auto"/>
            <w:noWrap/>
            <w:vAlign w:val="bottom"/>
            <w:hideMark/>
          </w:tcPr>
          <w:p w14:paraId="75AA6F1A"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121</w:t>
            </w:r>
          </w:p>
        </w:tc>
        <w:tc>
          <w:tcPr>
            <w:tcW w:w="888" w:type="dxa"/>
            <w:tcBorders>
              <w:top w:val="nil"/>
              <w:left w:val="nil"/>
              <w:bottom w:val="single" w:sz="4" w:space="0" w:color="auto"/>
              <w:right w:val="single" w:sz="4" w:space="0" w:color="auto"/>
            </w:tcBorders>
            <w:shd w:val="clear" w:color="auto" w:fill="auto"/>
            <w:noWrap/>
            <w:vAlign w:val="bottom"/>
            <w:hideMark/>
          </w:tcPr>
          <w:p w14:paraId="26752CD0"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122</w:t>
            </w:r>
          </w:p>
        </w:tc>
        <w:tc>
          <w:tcPr>
            <w:tcW w:w="888" w:type="dxa"/>
            <w:tcBorders>
              <w:top w:val="nil"/>
              <w:left w:val="nil"/>
              <w:bottom w:val="single" w:sz="4" w:space="0" w:color="auto"/>
              <w:right w:val="single" w:sz="4" w:space="0" w:color="auto"/>
            </w:tcBorders>
            <w:shd w:val="clear" w:color="auto" w:fill="auto"/>
            <w:noWrap/>
            <w:vAlign w:val="bottom"/>
            <w:hideMark/>
          </w:tcPr>
          <w:p w14:paraId="7844DE7B"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11,75</w:t>
            </w:r>
          </w:p>
        </w:tc>
        <w:tc>
          <w:tcPr>
            <w:tcW w:w="888" w:type="dxa"/>
            <w:tcBorders>
              <w:top w:val="nil"/>
              <w:left w:val="nil"/>
              <w:bottom w:val="single" w:sz="4" w:space="0" w:color="auto"/>
              <w:right w:val="single" w:sz="4" w:space="0" w:color="auto"/>
            </w:tcBorders>
            <w:shd w:val="clear" w:color="auto" w:fill="auto"/>
            <w:noWrap/>
            <w:vAlign w:val="bottom"/>
            <w:hideMark/>
          </w:tcPr>
          <w:p w14:paraId="05181A5C"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12,46</w:t>
            </w:r>
          </w:p>
        </w:tc>
        <w:tc>
          <w:tcPr>
            <w:tcW w:w="688" w:type="dxa"/>
            <w:tcBorders>
              <w:top w:val="nil"/>
              <w:left w:val="nil"/>
              <w:bottom w:val="single" w:sz="4" w:space="0" w:color="auto"/>
              <w:right w:val="single" w:sz="4" w:space="0" w:color="auto"/>
            </w:tcBorders>
            <w:shd w:val="clear" w:color="auto" w:fill="auto"/>
            <w:noWrap/>
            <w:vAlign w:val="bottom"/>
            <w:hideMark/>
          </w:tcPr>
          <w:p w14:paraId="08B7F0B3"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13,09</w:t>
            </w:r>
          </w:p>
        </w:tc>
      </w:tr>
      <w:tr w:rsidR="004B5136" w:rsidRPr="00E25833" w14:paraId="227149CB" w14:textId="77777777" w:rsidTr="00BC35D5">
        <w:trPr>
          <w:trHeight w:val="30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0BD2DAD7" w14:textId="77777777" w:rsidR="004B5136" w:rsidRPr="00E25833" w:rsidRDefault="004B5136" w:rsidP="004B5136">
            <w:pPr>
              <w:spacing w:before="0" w:after="0" w:line="240" w:lineRule="auto"/>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834210 Ekskavatora vadītājs</w:t>
            </w:r>
          </w:p>
        </w:tc>
        <w:tc>
          <w:tcPr>
            <w:tcW w:w="888" w:type="dxa"/>
            <w:tcBorders>
              <w:top w:val="nil"/>
              <w:left w:val="nil"/>
              <w:bottom w:val="single" w:sz="4" w:space="0" w:color="auto"/>
              <w:right w:val="single" w:sz="4" w:space="0" w:color="auto"/>
            </w:tcBorders>
            <w:shd w:val="clear" w:color="auto" w:fill="auto"/>
            <w:noWrap/>
            <w:vAlign w:val="bottom"/>
            <w:hideMark/>
          </w:tcPr>
          <w:p w14:paraId="33221AF6"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658</w:t>
            </w:r>
          </w:p>
        </w:tc>
        <w:tc>
          <w:tcPr>
            <w:tcW w:w="888" w:type="dxa"/>
            <w:tcBorders>
              <w:top w:val="nil"/>
              <w:left w:val="nil"/>
              <w:bottom w:val="single" w:sz="4" w:space="0" w:color="auto"/>
              <w:right w:val="single" w:sz="4" w:space="0" w:color="auto"/>
            </w:tcBorders>
            <w:shd w:val="clear" w:color="auto" w:fill="auto"/>
            <w:noWrap/>
            <w:vAlign w:val="bottom"/>
            <w:hideMark/>
          </w:tcPr>
          <w:p w14:paraId="3E711354"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705</w:t>
            </w:r>
          </w:p>
        </w:tc>
        <w:tc>
          <w:tcPr>
            <w:tcW w:w="888" w:type="dxa"/>
            <w:tcBorders>
              <w:top w:val="nil"/>
              <w:left w:val="nil"/>
              <w:bottom w:val="single" w:sz="4" w:space="0" w:color="auto"/>
              <w:right w:val="single" w:sz="4" w:space="0" w:color="auto"/>
            </w:tcBorders>
            <w:shd w:val="clear" w:color="auto" w:fill="auto"/>
            <w:noWrap/>
            <w:vAlign w:val="bottom"/>
            <w:hideMark/>
          </w:tcPr>
          <w:p w14:paraId="12FF4DB1"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761</w:t>
            </w:r>
          </w:p>
        </w:tc>
        <w:tc>
          <w:tcPr>
            <w:tcW w:w="888" w:type="dxa"/>
            <w:tcBorders>
              <w:top w:val="nil"/>
              <w:left w:val="nil"/>
              <w:bottom w:val="single" w:sz="4" w:space="0" w:color="auto"/>
              <w:right w:val="single" w:sz="4" w:space="0" w:color="auto"/>
            </w:tcBorders>
            <w:shd w:val="clear" w:color="auto" w:fill="auto"/>
            <w:noWrap/>
            <w:vAlign w:val="bottom"/>
            <w:hideMark/>
          </w:tcPr>
          <w:p w14:paraId="67544069"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144</w:t>
            </w:r>
          </w:p>
        </w:tc>
        <w:tc>
          <w:tcPr>
            <w:tcW w:w="888" w:type="dxa"/>
            <w:tcBorders>
              <w:top w:val="nil"/>
              <w:left w:val="nil"/>
              <w:bottom w:val="single" w:sz="4" w:space="0" w:color="auto"/>
              <w:right w:val="single" w:sz="4" w:space="0" w:color="auto"/>
            </w:tcBorders>
            <w:shd w:val="clear" w:color="auto" w:fill="auto"/>
            <w:noWrap/>
            <w:vAlign w:val="bottom"/>
            <w:hideMark/>
          </w:tcPr>
          <w:p w14:paraId="2637F66E"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143</w:t>
            </w:r>
          </w:p>
        </w:tc>
        <w:tc>
          <w:tcPr>
            <w:tcW w:w="888" w:type="dxa"/>
            <w:tcBorders>
              <w:top w:val="nil"/>
              <w:left w:val="nil"/>
              <w:bottom w:val="single" w:sz="4" w:space="0" w:color="auto"/>
              <w:right w:val="single" w:sz="4" w:space="0" w:color="auto"/>
            </w:tcBorders>
            <w:shd w:val="clear" w:color="auto" w:fill="auto"/>
            <w:noWrap/>
            <w:vAlign w:val="bottom"/>
            <w:hideMark/>
          </w:tcPr>
          <w:p w14:paraId="4BF59E38"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144</w:t>
            </w:r>
          </w:p>
        </w:tc>
        <w:tc>
          <w:tcPr>
            <w:tcW w:w="888" w:type="dxa"/>
            <w:tcBorders>
              <w:top w:val="nil"/>
              <w:left w:val="nil"/>
              <w:bottom w:val="single" w:sz="4" w:space="0" w:color="auto"/>
              <w:right w:val="single" w:sz="4" w:space="0" w:color="auto"/>
            </w:tcBorders>
            <w:shd w:val="clear" w:color="auto" w:fill="auto"/>
            <w:noWrap/>
            <w:vAlign w:val="bottom"/>
            <w:hideMark/>
          </w:tcPr>
          <w:p w14:paraId="28C3B664"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6,36</w:t>
            </w:r>
          </w:p>
        </w:tc>
        <w:tc>
          <w:tcPr>
            <w:tcW w:w="888" w:type="dxa"/>
            <w:tcBorders>
              <w:top w:val="nil"/>
              <w:left w:val="nil"/>
              <w:bottom w:val="single" w:sz="4" w:space="0" w:color="auto"/>
              <w:right w:val="single" w:sz="4" w:space="0" w:color="auto"/>
            </w:tcBorders>
            <w:shd w:val="clear" w:color="auto" w:fill="auto"/>
            <w:noWrap/>
            <w:vAlign w:val="bottom"/>
            <w:hideMark/>
          </w:tcPr>
          <w:p w14:paraId="7738F151"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6,85</w:t>
            </w:r>
          </w:p>
        </w:tc>
        <w:tc>
          <w:tcPr>
            <w:tcW w:w="688" w:type="dxa"/>
            <w:tcBorders>
              <w:top w:val="nil"/>
              <w:left w:val="nil"/>
              <w:bottom w:val="single" w:sz="4" w:space="0" w:color="auto"/>
              <w:right w:val="single" w:sz="4" w:space="0" w:color="auto"/>
            </w:tcBorders>
            <w:shd w:val="clear" w:color="auto" w:fill="auto"/>
            <w:noWrap/>
            <w:vAlign w:val="bottom"/>
            <w:hideMark/>
          </w:tcPr>
          <w:p w14:paraId="5E8EAC35" w14:textId="77777777" w:rsidR="004B5136" w:rsidRPr="00E25833" w:rsidRDefault="004B5136" w:rsidP="004B5136">
            <w:pPr>
              <w:spacing w:before="0" w:after="0" w:line="240" w:lineRule="auto"/>
              <w:jc w:val="right"/>
              <w:rPr>
                <w:rFonts w:ascii="Times New Roman" w:eastAsia="Times New Roman" w:hAnsi="Times New Roman" w:cs="Times New Roman"/>
                <w:color w:val="000000"/>
                <w:sz w:val="16"/>
                <w:szCs w:val="16"/>
                <w:lang w:eastAsia="lv-LV"/>
              </w:rPr>
            </w:pPr>
            <w:r w:rsidRPr="00E25833">
              <w:rPr>
                <w:rFonts w:ascii="Times New Roman" w:eastAsia="Times New Roman" w:hAnsi="Times New Roman" w:cs="Times New Roman"/>
                <w:color w:val="000000"/>
                <w:sz w:val="16"/>
                <w:szCs w:val="16"/>
                <w:lang w:eastAsia="lv-LV"/>
              </w:rPr>
              <w:t>7,58</w:t>
            </w:r>
          </w:p>
        </w:tc>
      </w:tr>
    </w:tbl>
    <w:p w14:paraId="6F28B0BB" w14:textId="77777777" w:rsidR="004B5136" w:rsidRPr="00E25833" w:rsidRDefault="004B5136" w:rsidP="004B5136">
      <w:pPr>
        <w:spacing w:before="0" w:after="0" w:line="240" w:lineRule="auto"/>
        <w:rPr>
          <w:rFonts w:ascii="Times New Roman" w:eastAsia="Times New Roman" w:hAnsi="Times New Roman" w:cs="Times New Roman"/>
          <w:color w:val="000000"/>
          <w:lang w:eastAsia="lv-LV"/>
        </w:rPr>
      </w:pPr>
    </w:p>
    <w:p w14:paraId="0710FAC9" w14:textId="77777777" w:rsidR="00FC7F51" w:rsidRDefault="00FC7F51" w:rsidP="004B5136">
      <w:pPr>
        <w:spacing w:before="0" w:after="0" w:line="240" w:lineRule="auto"/>
        <w:ind w:firstLine="720"/>
        <w:jc w:val="both"/>
        <w:rPr>
          <w:rFonts w:ascii="Times New Roman" w:eastAsia="Calibri" w:hAnsi="Times New Roman" w:cs="Times New Roman"/>
          <w:b/>
          <w:i/>
          <w:sz w:val="28"/>
          <w:szCs w:val="28"/>
        </w:rPr>
      </w:pPr>
    </w:p>
    <w:p w14:paraId="3171A672" w14:textId="77777777" w:rsidR="004B5136" w:rsidRPr="00E25833" w:rsidRDefault="004B5136" w:rsidP="004B5136">
      <w:pPr>
        <w:spacing w:before="0" w:after="0" w:line="240" w:lineRule="auto"/>
        <w:ind w:firstLine="720"/>
        <w:jc w:val="both"/>
        <w:rPr>
          <w:rFonts w:ascii="Times New Roman" w:eastAsia="Calibri" w:hAnsi="Times New Roman" w:cs="Times New Roman"/>
          <w:b/>
          <w:i/>
          <w:sz w:val="28"/>
          <w:szCs w:val="28"/>
        </w:rPr>
      </w:pPr>
      <w:r w:rsidRPr="00E25833">
        <w:rPr>
          <w:rFonts w:ascii="Times New Roman" w:eastAsia="Calibri" w:hAnsi="Times New Roman" w:cs="Times New Roman"/>
          <w:b/>
          <w:i/>
          <w:sz w:val="28"/>
          <w:szCs w:val="28"/>
        </w:rPr>
        <w:t xml:space="preserve">Informācija par uzņēmumiem, kuriem veikti kontroles pasākumi </w:t>
      </w:r>
      <w:r w:rsidR="00AB7CA9" w:rsidRPr="00E25833">
        <w:rPr>
          <w:rFonts w:ascii="Times New Roman" w:eastAsia="Calibri" w:hAnsi="Times New Roman" w:cs="Times New Roman"/>
          <w:b/>
          <w:i/>
          <w:sz w:val="28"/>
          <w:szCs w:val="28"/>
        </w:rPr>
        <w:t>būv</w:t>
      </w:r>
      <w:r w:rsidR="00AB7CA9">
        <w:rPr>
          <w:rFonts w:ascii="Times New Roman" w:eastAsia="Calibri" w:hAnsi="Times New Roman" w:cs="Times New Roman"/>
          <w:b/>
          <w:i/>
          <w:sz w:val="28"/>
          <w:szCs w:val="28"/>
        </w:rPr>
        <w:t>laukumos</w:t>
      </w:r>
    </w:p>
    <w:p w14:paraId="700B2A72" w14:textId="77777777" w:rsidR="004B5136" w:rsidRPr="004F397E" w:rsidRDefault="004B5136" w:rsidP="004B5136">
      <w:pPr>
        <w:spacing w:before="0" w:after="0" w:line="240" w:lineRule="auto"/>
        <w:ind w:firstLine="720"/>
        <w:jc w:val="both"/>
        <w:rPr>
          <w:rFonts w:ascii="Times New Roman" w:eastAsia="Calibri" w:hAnsi="Times New Roman" w:cs="Times New Roman"/>
          <w:sz w:val="28"/>
          <w:szCs w:val="28"/>
        </w:rPr>
      </w:pPr>
      <w:r w:rsidRPr="00E25833">
        <w:rPr>
          <w:rFonts w:ascii="Times New Roman" w:eastAsia="Calibri" w:hAnsi="Times New Roman" w:cs="Times New Roman"/>
          <w:sz w:val="28"/>
          <w:szCs w:val="28"/>
        </w:rPr>
        <w:t xml:space="preserve">Kontroles pasākumi saistībā ar </w:t>
      </w:r>
      <w:r w:rsidR="00AB7CA9">
        <w:rPr>
          <w:rFonts w:ascii="Times New Roman" w:eastAsia="Calibri" w:hAnsi="Times New Roman" w:cs="Times New Roman"/>
          <w:sz w:val="28"/>
          <w:szCs w:val="28"/>
        </w:rPr>
        <w:t xml:space="preserve">EDLUS </w:t>
      </w:r>
      <w:r w:rsidRPr="00E25833">
        <w:rPr>
          <w:rFonts w:ascii="Times New Roman" w:eastAsia="Calibri" w:hAnsi="Times New Roman" w:cs="Times New Roman"/>
          <w:sz w:val="28"/>
          <w:szCs w:val="28"/>
        </w:rPr>
        <w:t>ieviešanu no 2017.gada līdz 2019.gadam ir veikti 1039</w:t>
      </w:r>
      <w:r w:rsidR="003F3883">
        <w:rPr>
          <w:rFonts w:ascii="Times New Roman" w:eastAsia="Calibri" w:hAnsi="Times New Roman" w:cs="Times New Roman"/>
          <w:sz w:val="28"/>
          <w:szCs w:val="28"/>
        </w:rPr>
        <w:t> </w:t>
      </w:r>
      <w:r w:rsidRPr="00E25833">
        <w:rPr>
          <w:rFonts w:ascii="Times New Roman" w:eastAsia="Calibri" w:hAnsi="Times New Roman" w:cs="Times New Roman"/>
          <w:sz w:val="28"/>
          <w:szCs w:val="28"/>
        </w:rPr>
        <w:t xml:space="preserve">būvniecības nozares nodokļu maksātājiem. Uzņēmumos, kuri strādā vispārējā nodokļu maksāšanas režīmā, darba vietu skaits 2019.gadā bija </w:t>
      </w:r>
      <w:r w:rsidRPr="004F397E">
        <w:rPr>
          <w:rFonts w:ascii="Times New Roman" w:eastAsia="Calibri" w:hAnsi="Times New Roman" w:cs="Times New Roman"/>
          <w:sz w:val="28"/>
          <w:szCs w:val="28"/>
        </w:rPr>
        <w:t xml:space="preserve">31 505, kas, salīdzinot ar 2018.gadu, ir pieaudzis par 2,4 %, savukārt 2018.gadā, salīdzinot 2017.gadu, darba vietu skaitam bija novērojams pieaugums 16,5 % (skatīt </w:t>
      </w:r>
      <w:r w:rsidR="004F397E" w:rsidRPr="004F397E">
        <w:rPr>
          <w:rFonts w:ascii="Times New Roman" w:eastAsia="Calibri" w:hAnsi="Times New Roman" w:cs="Times New Roman"/>
          <w:sz w:val="28"/>
          <w:szCs w:val="28"/>
        </w:rPr>
        <w:t>11</w:t>
      </w:r>
      <w:r w:rsidRPr="004F397E">
        <w:rPr>
          <w:rFonts w:ascii="Times New Roman" w:eastAsia="Calibri" w:hAnsi="Times New Roman" w:cs="Times New Roman"/>
          <w:sz w:val="28"/>
          <w:szCs w:val="28"/>
        </w:rPr>
        <w:t xml:space="preserve">.tabulu). </w:t>
      </w:r>
    </w:p>
    <w:p w14:paraId="776838BE" w14:textId="6254B002" w:rsidR="00FC7F51" w:rsidRDefault="00FC7F51" w:rsidP="004B5136">
      <w:pPr>
        <w:spacing w:before="0" w:after="0" w:line="240" w:lineRule="auto"/>
        <w:ind w:firstLine="720"/>
        <w:jc w:val="right"/>
        <w:rPr>
          <w:rFonts w:ascii="Times New Roman" w:eastAsia="Calibri" w:hAnsi="Times New Roman" w:cs="Times New Roman"/>
          <w:sz w:val="28"/>
          <w:szCs w:val="22"/>
        </w:rPr>
      </w:pPr>
    </w:p>
    <w:p w14:paraId="65F125ED" w14:textId="6F48CFD5" w:rsidR="00F940BD" w:rsidRDefault="00F940BD" w:rsidP="004B5136">
      <w:pPr>
        <w:spacing w:before="0" w:after="0" w:line="240" w:lineRule="auto"/>
        <w:ind w:firstLine="720"/>
        <w:jc w:val="right"/>
        <w:rPr>
          <w:rFonts w:ascii="Times New Roman" w:eastAsia="Calibri" w:hAnsi="Times New Roman" w:cs="Times New Roman"/>
          <w:sz w:val="28"/>
          <w:szCs w:val="22"/>
        </w:rPr>
      </w:pPr>
    </w:p>
    <w:p w14:paraId="575A1D4E" w14:textId="37232E26" w:rsidR="00F940BD" w:rsidRDefault="00F940BD" w:rsidP="004B5136">
      <w:pPr>
        <w:spacing w:before="0" w:after="0" w:line="240" w:lineRule="auto"/>
        <w:ind w:firstLine="720"/>
        <w:jc w:val="right"/>
        <w:rPr>
          <w:rFonts w:ascii="Times New Roman" w:eastAsia="Calibri" w:hAnsi="Times New Roman" w:cs="Times New Roman"/>
          <w:sz w:val="28"/>
          <w:szCs w:val="22"/>
        </w:rPr>
      </w:pPr>
    </w:p>
    <w:p w14:paraId="5BAE4876" w14:textId="481EBCD8" w:rsidR="00F940BD" w:rsidRDefault="00F940BD" w:rsidP="004B5136">
      <w:pPr>
        <w:spacing w:before="0" w:after="0" w:line="240" w:lineRule="auto"/>
        <w:ind w:firstLine="720"/>
        <w:jc w:val="right"/>
        <w:rPr>
          <w:rFonts w:ascii="Times New Roman" w:eastAsia="Calibri" w:hAnsi="Times New Roman" w:cs="Times New Roman"/>
          <w:sz w:val="28"/>
          <w:szCs w:val="22"/>
        </w:rPr>
      </w:pPr>
    </w:p>
    <w:p w14:paraId="5E3F8C79" w14:textId="46FCEE46" w:rsidR="00F940BD" w:rsidRDefault="00F940BD" w:rsidP="004B5136">
      <w:pPr>
        <w:spacing w:before="0" w:after="0" w:line="240" w:lineRule="auto"/>
        <w:ind w:firstLine="720"/>
        <w:jc w:val="right"/>
        <w:rPr>
          <w:rFonts w:ascii="Times New Roman" w:eastAsia="Calibri" w:hAnsi="Times New Roman" w:cs="Times New Roman"/>
          <w:sz w:val="28"/>
          <w:szCs w:val="22"/>
        </w:rPr>
      </w:pPr>
    </w:p>
    <w:p w14:paraId="704DD7FB" w14:textId="7563AF3E" w:rsidR="00F940BD" w:rsidRDefault="00F940BD" w:rsidP="004B5136">
      <w:pPr>
        <w:spacing w:before="0" w:after="0" w:line="240" w:lineRule="auto"/>
        <w:ind w:firstLine="720"/>
        <w:jc w:val="right"/>
        <w:rPr>
          <w:rFonts w:ascii="Times New Roman" w:eastAsia="Calibri" w:hAnsi="Times New Roman" w:cs="Times New Roman"/>
          <w:sz w:val="28"/>
          <w:szCs w:val="22"/>
        </w:rPr>
      </w:pPr>
    </w:p>
    <w:p w14:paraId="0C46CF7E" w14:textId="77777777" w:rsidR="00F940BD" w:rsidRDefault="00F940BD" w:rsidP="004B5136">
      <w:pPr>
        <w:spacing w:before="0" w:after="0" w:line="240" w:lineRule="auto"/>
        <w:ind w:firstLine="720"/>
        <w:jc w:val="right"/>
        <w:rPr>
          <w:rFonts w:ascii="Times New Roman" w:eastAsia="Calibri" w:hAnsi="Times New Roman" w:cs="Times New Roman"/>
          <w:sz w:val="28"/>
          <w:szCs w:val="22"/>
        </w:rPr>
      </w:pPr>
    </w:p>
    <w:p w14:paraId="7455CF6D" w14:textId="77777777" w:rsidR="004B5136" w:rsidRPr="004F397E" w:rsidRDefault="004F397E" w:rsidP="004B5136">
      <w:pPr>
        <w:spacing w:before="0" w:after="0" w:line="240" w:lineRule="auto"/>
        <w:ind w:firstLine="720"/>
        <w:jc w:val="right"/>
        <w:rPr>
          <w:rFonts w:ascii="Times New Roman" w:eastAsia="Calibri" w:hAnsi="Times New Roman" w:cs="Times New Roman"/>
          <w:sz w:val="28"/>
          <w:szCs w:val="22"/>
        </w:rPr>
      </w:pPr>
      <w:r w:rsidRPr="004F397E">
        <w:rPr>
          <w:rFonts w:ascii="Times New Roman" w:eastAsia="Calibri" w:hAnsi="Times New Roman" w:cs="Times New Roman"/>
          <w:sz w:val="28"/>
          <w:szCs w:val="22"/>
        </w:rPr>
        <w:t>11</w:t>
      </w:r>
      <w:r w:rsidR="004B5136" w:rsidRPr="004F397E">
        <w:rPr>
          <w:rFonts w:ascii="Times New Roman" w:eastAsia="Calibri" w:hAnsi="Times New Roman" w:cs="Times New Roman"/>
          <w:sz w:val="28"/>
          <w:szCs w:val="22"/>
        </w:rPr>
        <w:t>.tabula</w:t>
      </w:r>
    </w:p>
    <w:p w14:paraId="1B0372EC" w14:textId="77777777" w:rsidR="004B5136" w:rsidRPr="00E25833" w:rsidRDefault="004B5136" w:rsidP="004B5136">
      <w:pPr>
        <w:spacing w:before="0" w:after="0" w:line="240" w:lineRule="auto"/>
        <w:jc w:val="center"/>
        <w:rPr>
          <w:rFonts w:ascii="Times New Roman" w:eastAsia="Calibri" w:hAnsi="Times New Roman" w:cs="Times New Roman"/>
          <w:b/>
          <w:sz w:val="28"/>
          <w:szCs w:val="28"/>
        </w:rPr>
      </w:pPr>
      <w:r w:rsidRPr="004F397E">
        <w:rPr>
          <w:rFonts w:ascii="Times New Roman" w:eastAsia="Calibri" w:hAnsi="Times New Roman" w:cs="Times New Roman"/>
          <w:b/>
          <w:sz w:val="28"/>
          <w:szCs w:val="28"/>
        </w:rPr>
        <w:t xml:space="preserve">Informācija par uzņēmumiem, kuriem veikti kontroles pasākumi </w:t>
      </w:r>
      <w:r w:rsidRPr="00E25833">
        <w:rPr>
          <w:rFonts w:ascii="Times New Roman" w:eastAsia="Calibri" w:hAnsi="Times New Roman" w:cs="Times New Roman"/>
          <w:b/>
          <w:sz w:val="28"/>
          <w:szCs w:val="28"/>
        </w:rPr>
        <w:t>būv</w:t>
      </w:r>
      <w:r w:rsidR="00C3578B">
        <w:rPr>
          <w:rFonts w:ascii="Times New Roman" w:eastAsia="Calibri" w:hAnsi="Times New Roman" w:cs="Times New Roman"/>
          <w:b/>
          <w:sz w:val="28"/>
          <w:szCs w:val="28"/>
        </w:rPr>
        <w:t>laukum</w:t>
      </w:r>
      <w:r w:rsidRPr="00E25833">
        <w:rPr>
          <w:rFonts w:ascii="Times New Roman" w:eastAsia="Calibri" w:hAnsi="Times New Roman" w:cs="Times New Roman"/>
          <w:b/>
          <w:sz w:val="28"/>
          <w:szCs w:val="28"/>
        </w:rPr>
        <w:t>os un kuri strādā vispārējā nodokļu maksāšanas režīmā</w:t>
      </w:r>
    </w:p>
    <w:p w14:paraId="6E5C97FB" w14:textId="77777777" w:rsidR="004B5136" w:rsidRPr="00E25833" w:rsidRDefault="004B5136" w:rsidP="004B5136">
      <w:pPr>
        <w:spacing w:before="0" w:after="0" w:line="240" w:lineRule="auto"/>
        <w:ind w:left="720"/>
        <w:rPr>
          <w:rFonts w:ascii="Times New Roman" w:eastAsia="Calibri" w:hAnsi="Times New Roman" w:cs="Times New Roman"/>
        </w:rPr>
      </w:pPr>
      <w:r w:rsidRPr="00E25833">
        <w:rPr>
          <w:rFonts w:ascii="Times New Roman" w:eastAsia="Calibri" w:hAnsi="Times New Roman" w:cs="Times New Roman"/>
        </w:rPr>
        <w:t xml:space="preserve"> Dati uz 2020.gada 31.martu</w:t>
      </w:r>
    </w:p>
    <w:tbl>
      <w:tblPr>
        <w:tblW w:w="7123" w:type="dxa"/>
        <w:jc w:val="center"/>
        <w:tblLook w:val="04A0" w:firstRow="1" w:lastRow="0" w:firstColumn="1" w:lastColumn="0" w:noHBand="0" w:noVBand="1"/>
      </w:tblPr>
      <w:tblGrid>
        <w:gridCol w:w="870"/>
        <w:gridCol w:w="1283"/>
        <w:gridCol w:w="1701"/>
        <w:gridCol w:w="1559"/>
        <w:gridCol w:w="1734"/>
      </w:tblGrid>
      <w:tr w:rsidR="004B5136" w:rsidRPr="00E25833" w14:paraId="51B32AC5" w14:textId="77777777" w:rsidTr="004B5136">
        <w:trPr>
          <w:trHeight w:val="652"/>
          <w:jc w:val="center"/>
        </w:trPr>
        <w:tc>
          <w:tcPr>
            <w:tcW w:w="846" w:type="dxa"/>
            <w:tcBorders>
              <w:top w:val="single" w:sz="4" w:space="0" w:color="auto"/>
              <w:left w:val="single" w:sz="4" w:space="0" w:color="auto"/>
              <w:bottom w:val="single" w:sz="4" w:space="0" w:color="auto"/>
              <w:right w:val="nil"/>
            </w:tcBorders>
            <w:shd w:val="clear" w:color="auto" w:fill="auto"/>
            <w:noWrap/>
            <w:vAlign w:val="center"/>
            <w:hideMark/>
          </w:tcPr>
          <w:p w14:paraId="713F66A0"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lang w:eastAsia="lv-LV"/>
              </w:rPr>
            </w:pPr>
            <w:r w:rsidRPr="00E25833">
              <w:rPr>
                <w:rFonts w:ascii="Times New Roman" w:eastAsia="Times New Roman" w:hAnsi="Times New Roman" w:cs="Times New Roman"/>
                <w:b/>
                <w:bCs/>
                <w:color w:val="000000"/>
                <w:sz w:val="16"/>
                <w:lang w:eastAsia="lv-LV"/>
              </w:rPr>
              <w:t>Periods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0FE70"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lang w:eastAsia="lv-LV"/>
              </w:rPr>
            </w:pPr>
            <w:r w:rsidRPr="00E25833">
              <w:rPr>
                <w:rFonts w:ascii="Times New Roman" w:eastAsia="Times New Roman" w:hAnsi="Times New Roman" w:cs="Times New Roman"/>
                <w:b/>
                <w:bCs/>
                <w:color w:val="000000"/>
                <w:sz w:val="16"/>
                <w:lang w:eastAsia="lv-LV"/>
              </w:rPr>
              <w:t>Darba vietu vidējais skaits mēnesī</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3DE155"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lang w:eastAsia="lv-LV"/>
              </w:rPr>
            </w:pPr>
            <w:r w:rsidRPr="00E25833">
              <w:rPr>
                <w:rFonts w:ascii="Times New Roman" w:eastAsia="Times New Roman" w:hAnsi="Times New Roman" w:cs="Times New Roman"/>
                <w:b/>
                <w:bCs/>
                <w:color w:val="000000"/>
                <w:sz w:val="16"/>
                <w:lang w:eastAsia="lv-LV"/>
              </w:rPr>
              <w:t>Vidējais nostrādāto stundu skaits vienai darba vietai mēnesī</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FA6121"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lang w:eastAsia="lv-LV"/>
              </w:rPr>
            </w:pPr>
            <w:r w:rsidRPr="00E25833">
              <w:rPr>
                <w:rFonts w:ascii="Times New Roman" w:eastAsia="Times New Roman" w:hAnsi="Times New Roman" w:cs="Times New Roman"/>
                <w:b/>
                <w:bCs/>
                <w:color w:val="000000"/>
                <w:sz w:val="16"/>
                <w:lang w:eastAsia="lv-LV"/>
              </w:rPr>
              <w:t xml:space="preserve">Kopējais nostrādāto stundu skaits </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14:paraId="766D145D" w14:textId="77777777" w:rsidR="004B5136" w:rsidRPr="00E25833" w:rsidRDefault="004B5136" w:rsidP="004B5136">
            <w:pPr>
              <w:spacing w:before="0" w:after="0" w:line="240" w:lineRule="auto"/>
              <w:jc w:val="center"/>
              <w:rPr>
                <w:rFonts w:ascii="Times New Roman" w:eastAsia="Times New Roman" w:hAnsi="Times New Roman" w:cs="Times New Roman"/>
                <w:b/>
                <w:bCs/>
                <w:color w:val="000000"/>
                <w:sz w:val="16"/>
                <w:lang w:eastAsia="lv-LV"/>
              </w:rPr>
            </w:pPr>
            <w:r w:rsidRPr="00E25833">
              <w:rPr>
                <w:rFonts w:ascii="Times New Roman" w:eastAsia="Times New Roman" w:hAnsi="Times New Roman" w:cs="Times New Roman"/>
                <w:b/>
                <w:bCs/>
                <w:color w:val="000000"/>
                <w:sz w:val="16"/>
                <w:lang w:eastAsia="lv-LV"/>
              </w:rPr>
              <w:t>Nodarbināto vidējie ienākumi mēnesī (</w:t>
            </w:r>
            <w:r w:rsidR="003F3883" w:rsidRPr="00E25833">
              <w:rPr>
                <w:rFonts w:ascii="Times New Roman" w:eastAsia="Times New Roman" w:hAnsi="Times New Roman" w:cs="Times New Roman"/>
                <w:b/>
                <w:bCs/>
                <w:color w:val="000000"/>
                <w:sz w:val="16"/>
                <w:lang w:eastAsia="lv-LV"/>
              </w:rPr>
              <w:t>bruto</w:t>
            </w:r>
            <w:r w:rsidRPr="00E25833">
              <w:rPr>
                <w:rFonts w:ascii="Times New Roman" w:eastAsia="Times New Roman" w:hAnsi="Times New Roman" w:cs="Times New Roman"/>
                <w:b/>
                <w:bCs/>
                <w:color w:val="000000"/>
                <w:sz w:val="16"/>
                <w:lang w:eastAsia="lv-LV"/>
              </w:rPr>
              <w:t xml:space="preserve">), </w:t>
            </w:r>
            <w:proofErr w:type="spellStart"/>
            <w:r w:rsidR="003F3883" w:rsidRPr="005E08CF">
              <w:rPr>
                <w:rFonts w:ascii="Times New Roman" w:eastAsia="Times New Roman" w:hAnsi="Times New Roman" w:cs="Times New Roman"/>
                <w:b/>
                <w:bCs/>
                <w:i/>
                <w:iCs/>
                <w:color w:val="000000"/>
                <w:sz w:val="16"/>
                <w:lang w:eastAsia="lv-LV"/>
              </w:rPr>
              <w:t>euro</w:t>
            </w:r>
            <w:proofErr w:type="spellEnd"/>
          </w:p>
        </w:tc>
      </w:tr>
      <w:tr w:rsidR="004B5136" w:rsidRPr="00E25833" w14:paraId="3C095908" w14:textId="77777777" w:rsidTr="004B5136">
        <w:trPr>
          <w:trHeight w:val="255"/>
          <w:jc w:val="center"/>
        </w:trPr>
        <w:tc>
          <w:tcPr>
            <w:tcW w:w="846" w:type="dxa"/>
            <w:tcBorders>
              <w:top w:val="nil"/>
              <w:left w:val="single" w:sz="4" w:space="0" w:color="auto"/>
              <w:bottom w:val="single" w:sz="4" w:space="0" w:color="auto"/>
              <w:right w:val="nil"/>
            </w:tcBorders>
            <w:shd w:val="clear" w:color="auto" w:fill="auto"/>
            <w:noWrap/>
            <w:vAlign w:val="bottom"/>
            <w:hideMark/>
          </w:tcPr>
          <w:p w14:paraId="617CB27D"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lang w:eastAsia="lv-LV"/>
              </w:rPr>
            </w:pPr>
            <w:r w:rsidRPr="00E25833">
              <w:rPr>
                <w:rFonts w:ascii="Times New Roman" w:eastAsia="Times New Roman" w:hAnsi="Times New Roman" w:cs="Times New Roman"/>
                <w:color w:val="000000"/>
                <w:sz w:val="16"/>
                <w:lang w:eastAsia="lv-LV"/>
              </w:rPr>
              <w:t>2017.gads</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7D846F8" w14:textId="77777777" w:rsidR="004B5136" w:rsidRPr="00E25833" w:rsidRDefault="004B5136" w:rsidP="00DC193A">
            <w:pPr>
              <w:spacing w:before="0" w:after="0" w:line="240" w:lineRule="auto"/>
              <w:jc w:val="center"/>
              <w:rPr>
                <w:rFonts w:ascii="Times New Roman" w:eastAsia="Times New Roman" w:hAnsi="Times New Roman" w:cs="Times New Roman"/>
                <w:color w:val="000000"/>
                <w:sz w:val="16"/>
                <w:lang w:eastAsia="lv-LV"/>
              </w:rPr>
            </w:pPr>
            <w:r w:rsidRPr="00E25833">
              <w:rPr>
                <w:rFonts w:ascii="Times New Roman" w:eastAsia="Times New Roman" w:hAnsi="Times New Roman" w:cs="Times New Roman"/>
                <w:color w:val="000000"/>
                <w:sz w:val="16"/>
                <w:lang w:eastAsia="lv-LV"/>
              </w:rPr>
              <w:t>26</w:t>
            </w:r>
            <w:r w:rsidR="003F3883">
              <w:rPr>
                <w:rFonts w:ascii="Times New Roman" w:eastAsia="Times New Roman" w:hAnsi="Times New Roman" w:cs="Times New Roman"/>
                <w:color w:val="000000"/>
                <w:sz w:val="16"/>
                <w:lang w:eastAsia="lv-LV"/>
              </w:rPr>
              <w:t> </w:t>
            </w:r>
            <w:r w:rsidRPr="00E25833">
              <w:rPr>
                <w:rFonts w:ascii="Times New Roman" w:eastAsia="Times New Roman" w:hAnsi="Times New Roman" w:cs="Times New Roman"/>
                <w:color w:val="000000"/>
                <w:sz w:val="16"/>
                <w:lang w:eastAsia="lv-LV"/>
              </w:rPr>
              <w:t>411</w:t>
            </w:r>
          </w:p>
        </w:tc>
        <w:tc>
          <w:tcPr>
            <w:tcW w:w="1701" w:type="dxa"/>
            <w:tcBorders>
              <w:top w:val="nil"/>
              <w:left w:val="nil"/>
              <w:bottom w:val="single" w:sz="4" w:space="0" w:color="auto"/>
              <w:right w:val="single" w:sz="4" w:space="0" w:color="auto"/>
            </w:tcBorders>
            <w:shd w:val="clear" w:color="auto" w:fill="auto"/>
            <w:noWrap/>
            <w:vAlign w:val="bottom"/>
            <w:hideMark/>
          </w:tcPr>
          <w:p w14:paraId="0F275E9B" w14:textId="77777777" w:rsidR="004B5136" w:rsidRPr="00E25833" w:rsidRDefault="004B5136" w:rsidP="00DC193A">
            <w:pPr>
              <w:spacing w:before="0" w:after="0" w:line="240" w:lineRule="auto"/>
              <w:jc w:val="center"/>
              <w:rPr>
                <w:rFonts w:ascii="Times New Roman" w:eastAsia="Times New Roman" w:hAnsi="Times New Roman" w:cs="Times New Roman"/>
                <w:color w:val="000000"/>
                <w:sz w:val="16"/>
                <w:lang w:eastAsia="lv-LV"/>
              </w:rPr>
            </w:pPr>
            <w:r w:rsidRPr="00E25833">
              <w:rPr>
                <w:rFonts w:ascii="Times New Roman" w:eastAsia="Times New Roman" w:hAnsi="Times New Roman" w:cs="Times New Roman"/>
                <w:color w:val="000000"/>
                <w:sz w:val="16"/>
                <w:lang w:eastAsia="lv-LV"/>
              </w:rPr>
              <w:t>116</w:t>
            </w:r>
          </w:p>
        </w:tc>
        <w:tc>
          <w:tcPr>
            <w:tcW w:w="1559" w:type="dxa"/>
            <w:tcBorders>
              <w:top w:val="nil"/>
              <w:left w:val="nil"/>
              <w:bottom w:val="single" w:sz="4" w:space="0" w:color="auto"/>
              <w:right w:val="single" w:sz="4" w:space="0" w:color="auto"/>
            </w:tcBorders>
            <w:shd w:val="clear" w:color="auto" w:fill="auto"/>
            <w:noWrap/>
            <w:vAlign w:val="bottom"/>
          </w:tcPr>
          <w:p w14:paraId="746510DC" w14:textId="77777777" w:rsidR="004B5136" w:rsidRPr="00E25833" w:rsidRDefault="004B5136" w:rsidP="00DC193A">
            <w:pPr>
              <w:spacing w:before="0" w:after="0" w:line="240" w:lineRule="auto"/>
              <w:jc w:val="center"/>
              <w:rPr>
                <w:rFonts w:ascii="Times New Roman" w:eastAsia="Times New Roman" w:hAnsi="Times New Roman" w:cs="Times New Roman"/>
                <w:color w:val="000000"/>
                <w:sz w:val="16"/>
                <w:lang w:eastAsia="lv-LV"/>
              </w:rPr>
            </w:pPr>
            <w:r w:rsidRPr="00E25833">
              <w:rPr>
                <w:rFonts w:ascii="Times New Roman" w:eastAsia="Times New Roman" w:hAnsi="Times New Roman" w:cs="Times New Roman"/>
                <w:color w:val="000000"/>
                <w:sz w:val="16"/>
                <w:lang w:eastAsia="lv-LV"/>
              </w:rPr>
              <w:t>36</w:t>
            </w:r>
            <w:r w:rsidR="003F3883">
              <w:rPr>
                <w:rFonts w:ascii="Times New Roman" w:eastAsia="Times New Roman" w:hAnsi="Times New Roman" w:cs="Times New Roman"/>
                <w:color w:val="000000"/>
                <w:sz w:val="16"/>
                <w:lang w:eastAsia="lv-LV"/>
              </w:rPr>
              <w:t> </w:t>
            </w:r>
            <w:r w:rsidRPr="00E25833">
              <w:rPr>
                <w:rFonts w:ascii="Times New Roman" w:eastAsia="Times New Roman" w:hAnsi="Times New Roman" w:cs="Times New Roman"/>
                <w:color w:val="000000"/>
                <w:sz w:val="16"/>
                <w:lang w:eastAsia="lv-LV"/>
              </w:rPr>
              <w:t>823</w:t>
            </w:r>
            <w:r w:rsidR="003F3883">
              <w:rPr>
                <w:rFonts w:ascii="Times New Roman" w:eastAsia="Times New Roman" w:hAnsi="Times New Roman" w:cs="Times New Roman"/>
                <w:color w:val="000000"/>
                <w:sz w:val="16"/>
                <w:lang w:eastAsia="lv-LV"/>
              </w:rPr>
              <w:t> </w:t>
            </w:r>
            <w:r w:rsidRPr="00E25833">
              <w:rPr>
                <w:rFonts w:ascii="Times New Roman" w:eastAsia="Times New Roman" w:hAnsi="Times New Roman" w:cs="Times New Roman"/>
                <w:color w:val="000000"/>
                <w:sz w:val="16"/>
                <w:lang w:eastAsia="lv-LV"/>
              </w:rPr>
              <w:t>434</w:t>
            </w:r>
          </w:p>
        </w:tc>
        <w:tc>
          <w:tcPr>
            <w:tcW w:w="1734" w:type="dxa"/>
            <w:tcBorders>
              <w:top w:val="nil"/>
              <w:left w:val="nil"/>
              <w:bottom w:val="single" w:sz="4" w:space="0" w:color="auto"/>
              <w:right w:val="single" w:sz="4" w:space="0" w:color="auto"/>
            </w:tcBorders>
            <w:shd w:val="clear" w:color="auto" w:fill="auto"/>
            <w:noWrap/>
            <w:vAlign w:val="bottom"/>
            <w:hideMark/>
          </w:tcPr>
          <w:p w14:paraId="6444BCBC" w14:textId="77777777" w:rsidR="004B5136" w:rsidRPr="00E25833" w:rsidRDefault="004B5136" w:rsidP="00DC193A">
            <w:pPr>
              <w:spacing w:before="0" w:after="0" w:line="240" w:lineRule="auto"/>
              <w:jc w:val="center"/>
              <w:rPr>
                <w:rFonts w:ascii="Times New Roman" w:eastAsia="Times New Roman" w:hAnsi="Times New Roman" w:cs="Times New Roman"/>
                <w:color w:val="000000"/>
                <w:sz w:val="16"/>
                <w:lang w:eastAsia="lv-LV"/>
              </w:rPr>
            </w:pPr>
            <w:r w:rsidRPr="00E25833">
              <w:rPr>
                <w:rFonts w:ascii="Times New Roman" w:eastAsia="Times New Roman" w:hAnsi="Times New Roman" w:cs="Times New Roman"/>
                <w:color w:val="000000"/>
                <w:sz w:val="16"/>
                <w:lang w:eastAsia="lv-LV"/>
              </w:rPr>
              <w:t>833,40</w:t>
            </w:r>
          </w:p>
        </w:tc>
      </w:tr>
      <w:tr w:rsidR="004B5136" w:rsidRPr="00E25833" w14:paraId="671C8BDF" w14:textId="77777777" w:rsidTr="004B5136">
        <w:trPr>
          <w:trHeight w:val="255"/>
          <w:jc w:val="center"/>
        </w:trPr>
        <w:tc>
          <w:tcPr>
            <w:tcW w:w="846" w:type="dxa"/>
            <w:tcBorders>
              <w:top w:val="nil"/>
              <w:left w:val="single" w:sz="4" w:space="0" w:color="auto"/>
              <w:bottom w:val="single" w:sz="4" w:space="0" w:color="auto"/>
              <w:right w:val="nil"/>
            </w:tcBorders>
            <w:shd w:val="clear" w:color="auto" w:fill="auto"/>
            <w:noWrap/>
            <w:vAlign w:val="bottom"/>
            <w:hideMark/>
          </w:tcPr>
          <w:p w14:paraId="4DA94E7D"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lang w:eastAsia="lv-LV"/>
              </w:rPr>
            </w:pPr>
            <w:r w:rsidRPr="00E25833">
              <w:rPr>
                <w:rFonts w:ascii="Times New Roman" w:eastAsia="Times New Roman" w:hAnsi="Times New Roman" w:cs="Times New Roman"/>
                <w:color w:val="000000"/>
                <w:sz w:val="16"/>
                <w:lang w:eastAsia="lv-LV"/>
              </w:rPr>
              <w:t>2018.gads</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334EF4B" w14:textId="77777777" w:rsidR="004B5136" w:rsidRPr="00E25833" w:rsidRDefault="004B5136" w:rsidP="00DC193A">
            <w:pPr>
              <w:spacing w:before="0" w:after="0" w:line="240" w:lineRule="auto"/>
              <w:jc w:val="center"/>
              <w:rPr>
                <w:rFonts w:ascii="Times New Roman" w:eastAsia="Times New Roman" w:hAnsi="Times New Roman" w:cs="Times New Roman"/>
                <w:color w:val="000000"/>
                <w:sz w:val="16"/>
                <w:lang w:eastAsia="lv-LV"/>
              </w:rPr>
            </w:pPr>
            <w:r w:rsidRPr="00E25833">
              <w:rPr>
                <w:rFonts w:ascii="Times New Roman" w:eastAsia="Times New Roman" w:hAnsi="Times New Roman" w:cs="Times New Roman"/>
                <w:color w:val="000000"/>
                <w:sz w:val="16"/>
                <w:lang w:eastAsia="lv-LV"/>
              </w:rPr>
              <w:t>30</w:t>
            </w:r>
            <w:r w:rsidR="003F3883">
              <w:rPr>
                <w:rFonts w:ascii="Times New Roman" w:eastAsia="Times New Roman" w:hAnsi="Times New Roman" w:cs="Times New Roman"/>
                <w:color w:val="000000"/>
                <w:sz w:val="16"/>
                <w:lang w:eastAsia="lv-LV"/>
              </w:rPr>
              <w:t> </w:t>
            </w:r>
            <w:r w:rsidRPr="00E25833">
              <w:rPr>
                <w:rFonts w:ascii="Times New Roman" w:eastAsia="Times New Roman" w:hAnsi="Times New Roman" w:cs="Times New Roman"/>
                <w:color w:val="000000"/>
                <w:sz w:val="16"/>
                <w:lang w:eastAsia="lv-LV"/>
              </w:rPr>
              <w:t>760</w:t>
            </w:r>
          </w:p>
        </w:tc>
        <w:tc>
          <w:tcPr>
            <w:tcW w:w="1701" w:type="dxa"/>
            <w:tcBorders>
              <w:top w:val="nil"/>
              <w:left w:val="nil"/>
              <w:bottom w:val="single" w:sz="4" w:space="0" w:color="auto"/>
              <w:right w:val="single" w:sz="4" w:space="0" w:color="auto"/>
            </w:tcBorders>
            <w:shd w:val="clear" w:color="auto" w:fill="auto"/>
            <w:noWrap/>
            <w:vAlign w:val="bottom"/>
            <w:hideMark/>
          </w:tcPr>
          <w:p w14:paraId="50CD00F0" w14:textId="77777777" w:rsidR="004B5136" w:rsidRPr="00E25833" w:rsidRDefault="004B5136" w:rsidP="00DC193A">
            <w:pPr>
              <w:spacing w:before="0" w:after="0" w:line="240" w:lineRule="auto"/>
              <w:jc w:val="center"/>
              <w:rPr>
                <w:rFonts w:ascii="Times New Roman" w:eastAsia="Times New Roman" w:hAnsi="Times New Roman" w:cs="Times New Roman"/>
                <w:color w:val="000000"/>
                <w:sz w:val="16"/>
                <w:lang w:eastAsia="lv-LV"/>
              </w:rPr>
            </w:pPr>
            <w:r w:rsidRPr="00E25833">
              <w:rPr>
                <w:rFonts w:ascii="Times New Roman" w:eastAsia="Times New Roman" w:hAnsi="Times New Roman" w:cs="Times New Roman"/>
                <w:color w:val="000000"/>
                <w:sz w:val="16"/>
                <w:lang w:eastAsia="lv-LV"/>
              </w:rPr>
              <w:t>115</w:t>
            </w:r>
          </w:p>
        </w:tc>
        <w:tc>
          <w:tcPr>
            <w:tcW w:w="1559" w:type="dxa"/>
            <w:tcBorders>
              <w:top w:val="nil"/>
              <w:left w:val="nil"/>
              <w:bottom w:val="single" w:sz="4" w:space="0" w:color="auto"/>
              <w:right w:val="single" w:sz="4" w:space="0" w:color="auto"/>
            </w:tcBorders>
            <w:shd w:val="clear" w:color="auto" w:fill="auto"/>
            <w:noWrap/>
            <w:vAlign w:val="bottom"/>
            <w:hideMark/>
          </w:tcPr>
          <w:p w14:paraId="63A9D838" w14:textId="77777777" w:rsidR="004B5136" w:rsidRPr="00E25833" w:rsidRDefault="004B5136" w:rsidP="00DC193A">
            <w:pPr>
              <w:spacing w:before="0" w:after="0" w:line="240" w:lineRule="auto"/>
              <w:jc w:val="center"/>
              <w:rPr>
                <w:rFonts w:ascii="Times New Roman" w:eastAsia="Times New Roman" w:hAnsi="Times New Roman" w:cs="Times New Roman"/>
                <w:color w:val="000000"/>
                <w:sz w:val="16"/>
                <w:lang w:eastAsia="lv-LV"/>
              </w:rPr>
            </w:pPr>
            <w:r w:rsidRPr="00E25833">
              <w:rPr>
                <w:rFonts w:ascii="Times New Roman" w:eastAsia="Times New Roman" w:hAnsi="Times New Roman" w:cs="Times New Roman"/>
                <w:color w:val="000000"/>
                <w:sz w:val="16"/>
                <w:lang w:eastAsia="lv-LV"/>
              </w:rPr>
              <w:t>42</w:t>
            </w:r>
            <w:r w:rsidR="003F3883">
              <w:rPr>
                <w:rFonts w:ascii="Times New Roman" w:eastAsia="Times New Roman" w:hAnsi="Times New Roman" w:cs="Times New Roman"/>
                <w:color w:val="000000"/>
                <w:sz w:val="16"/>
                <w:lang w:eastAsia="lv-LV"/>
              </w:rPr>
              <w:t> </w:t>
            </w:r>
            <w:r w:rsidRPr="00E25833">
              <w:rPr>
                <w:rFonts w:ascii="Times New Roman" w:eastAsia="Times New Roman" w:hAnsi="Times New Roman" w:cs="Times New Roman"/>
                <w:color w:val="000000"/>
                <w:sz w:val="16"/>
                <w:lang w:eastAsia="lv-LV"/>
              </w:rPr>
              <w:t>396</w:t>
            </w:r>
            <w:r w:rsidR="003F3883">
              <w:rPr>
                <w:rFonts w:ascii="Times New Roman" w:eastAsia="Times New Roman" w:hAnsi="Times New Roman" w:cs="Times New Roman"/>
                <w:color w:val="000000"/>
                <w:sz w:val="16"/>
                <w:lang w:eastAsia="lv-LV"/>
              </w:rPr>
              <w:t> </w:t>
            </w:r>
            <w:r w:rsidRPr="00E25833">
              <w:rPr>
                <w:rFonts w:ascii="Times New Roman" w:eastAsia="Times New Roman" w:hAnsi="Times New Roman" w:cs="Times New Roman"/>
                <w:color w:val="000000"/>
                <w:sz w:val="16"/>
                <w:lang w:eastAsia="lv-LV"/>
              </w:rPr>
              <w:t>719</w:t>
            </w:r>
          </w:p>
        </w:tc>
        <w:tc>
          <w:tcPr>
            <w:tcW w:w="1734" w:type="dxa"/>
            <w:tcBorders>
              <w:top w:val="nil"/>
              <w:left w:val="nil"/>
              <w:bottom w:val="single" w:sz="4" w:space="0" w:color="auto"/>
              <w:right w:val="single" w:sz="4" w:space="0" w:color="auto"/>
            </w:tcBorders>
            <w:shd w:val="clear" w:color="auto" w:fill="auto"/>
            <w:noWrap/>
            <w:vAlign w:val="bottom"/>
            <w:hideMark/>
          </w:tcPr>
          <w:p w14:paraId="05D8BECE" w14:textId="77777777" w:rsidR="004B5136" w:rsidRPr="00E25833" w:rsidRDefault="004B5136" w:rsidP="00DC193A">
            <w:pPr>
              <w:spacing w:before="0" w:after="0" w:line="240" w:lineRule="auto"/>
              <w:jc w:val="center"/>
              <w:rPr>
                <w:rFonts w:ascii="Times New Roman" w:eastAsia="Times New Roman" w:hAnsi="Times New Roman" w:cs="Times New Roman"/>
                <w:color w:val="000000"/>
                <w:sz w:val="16"/>
                <w:lang w:eastAsia="lv-LV"/>
              </w:rPr>
            </w:pPr>
            <w:r w:rsidRPr="00E25833">
              <w:rPr>
                <w:rFonts w:ascii="Times New Roman" w:eastAsia="Times New Roman" w:hAnsi="Times New Roman" w:cs="Times New Roman"/>
                <w:color w:val="000000"/>
                <w:sz w:val="16"/>
                <w:lang w:eastAsia="lv-LV"/>
              </w:rPr>
              <w:t>887,05</w:t>
            </w:r>
          </w:p>
        </w:tc>
      </w:tr>
      <w:tr w:rsidR="004B5136" w:rsidRPr="00E25833" w14:paraId="0B7A4E6C" w14:textId="77777777" w:rsidTr="004B5136">
        <w:trPr>
          <w:trHeight w:val="255"/>
          <w:jc w:val="center"/>
        </w:trPr>
        <w:tc>
          <w:tcPr>
            <w:tcW w:w="846" w:type="dxa"/>
            <w:tcBorders>
              <w:top w:val="nil"/>
              <w:left w:val="single" w:sz="4" w:space="0" w:color="auto"/>
              <w:bottom w:val="single" w:sz="4" w:space="0" w:color="auto"/>
              <w:right w:val="nil"/>
            </w:tcBorders>
            <w:shd w:val="clear" w:color="auto" w:fill="auto"/>
            <w:noWrap/>
            <w:vAlign w:val="bottom"/>
            <w:hideMark/>
          </w:tcPr>
          <w:p w14:paraId="4D2EDC34" w14:textId="77777777" w:rsidR="004B5136" w:rsidRPr="00E25833" w:rsidRDefault="004B5136" w:rsidP="004B5136">
            <w:pPr>
              <w:spacing w:before="0" w:after="0" w:line="240" w:lineRule="auto"/>
              <w:jc w:val="center"/>
              <w:rPr>
                <w:rFonts w:ascii="Times New Roman" w:eastAsia="Times New Roman" w:hAnsi="Times New Roman" w:cs="Times New Roman"/>
                <w:color w:val="000000"/>
                <w:sz w:val="16"/>
                <w:lang w:eastAsia="lv-LV"/>
              </w:rPr>
            </w:pPr>
            <w:r w:rsidRPr="00E25833">
              <w:rPr>
                <w:rFonts w:ascii="Times New Roman" w:eastAsia="Times New Roman" w:hAnsi="Times New Roman" w:cs="Times New Roman"/>
                <w:color w:val="000000"/>
                <w:sz w:val="16"/>
                <w:lang w:eastAsia="lv-LV"/>
              </w:rPr>
              <w:t>2019.gads</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9C289D7" w14:textId="77777777" w:rsidR="004B5136" w:rsidRPr="00E25833" w:rsidRDefault="004B5136" w:rsidP="00DC193A">
            <w:pPr>
              <w:spacing w:before="0" w:after="0" w:line="240" w:lineRule="auto"/>
              <w:jc w:val="center"/>
              <w:rPr>
                <w:rFonts w:ascii="Times New Roman" w:eastAsia="Times New Roman" w:hAnsi="Times New Roman" w:cs="Times New Roman"/>
                <w:color w:val="000000"/>
                <w:sz w:val="16"/>
                <w:lang w:eastAsia="lv-LV"/>
              </w:rPr>
            </w:pPr>
            <w:r w:rsidRPr="00E25833">
              <w:rPr>
                <w:rFonts w:ascii="Times New Roman" w:eastAsia="Times New Roman" w:hAnsi="Times New Roman" w:cs="Times New Roman"/>
                <w:color w:val="000000"/>
                <w:sz w:val="16"/>
                <w:lang w:eastAsia="lv-LV"/>
              </w:rPr>
              <w:t>31</w:t>
            </w:r>
            <w:r w:rsidR="003F3883">
              <w:rPr>
                <w:rFonts w:ascii="Times New Roman" w:eastAsia="Times New Roman" w:hAnsi="Times New Roman" w:cs="Times New Roman"/>
                <w:color w:val="000000"/>
                <w:sz w:val="16"/>
                <w:lang w:eastAsia="lv-LV"/>
              </w:rPr>
              <w:t> </w:t>
            </w:r>
            <w:r w:rsidRPr="00E25833">
              <w:rPr>
                <w:rFonts w:ascii="Times New Roman" w:eastAsia="Times New Roman" w:hAnsi="Times New Roman" w:cs="Times New Roman"/>
                <w:color w:val="000000"/>
                <w:sz w:val="16"/>
                <w:lang w:eastAsia="lv-LV"/>
              </w:rPr>
              <w:t>505</w:t>
            </w:r>
          </w:p>
        </w:tc>
        <w:tc>
          <w:tcPr>
            <w:tcW w:w="1701" w:type="dxa"/>
            <w:tcBorders>
              <w:top w:val="nil"/>
              <w:left w:val="nil"/>
              <w:bottom w:val="single" w:sz="4" w:space="0" w:color="auto"/>
              <w:right w:val="single" w:sz="4" w:space="0" w:color="auto"/>
            </w:tcBorders>
            <w:shd w:val="clear" w:color="auto" w:fill="auto"/>
            <w:noWrap/>
            <w:vAlign w:val="bottom"/>
            <w:hideMark/>
          </w:tcPr>
          <w:p w14:paraId="572EB381" w14:textId="77777777" w:rsidR="004B5136" w:rsidRPr="00E25833" w:rsidRDefault="004B5136" w:rsidP="00DC193A">
            <w:pPr>
              <w:spacing w:before="0" w:after="0" w:line="240" w:lineRule="auto"/>
              <w:jc w:val="center"/>
              <w:rPr>
                <w:rFonts w:ascii="Times New Roman" w:eastAsia="Times New Roman" w:hAnsi="Times New Roman" w:cs="Times New Roman"/>
                <w:color w:val="000000"/>
                <w:sz w:val="16"/>
                <w:lang w:eastAsia="lv-LV"/>
              </w:rPr>
            </w:pPr>
            <w:r w:rsidRPr="00E25833">
              <w:rPr>
                <w:rFonts w:ascii="Times New Roman" w:eastAsia="Times New Roman" w:hAnsi="Times New Roman" w:cs="Times New Roman"/>
                <w:color w:val="000000"/>
                <w:sz w:val="16"/>
                <w:lang w:eastAsia="lv-LV"/>
              </w:rPr>
              <w:t>115</w:t>
            </w:r>
          </w:p>
        </w:tc>
        <w:tc>
          <w:tcPr>
            <w:tcW w:w="1559" w:type="dxa"/>
            <w:tcBorders>
              <w:top w:val="nil"/>
              <w:left w:val="nil"/>
              <w:bottom w:val="single" w:sz="4" w:space="0" w:color="auto"/>
              <w:right w:val="single" w:sz="4" w:space="0" w:color="auto"/>
            </w:tcBorders>
            <w:shd w:val="clear" w:color="auto" w:fill="auto"/>
            <w:noWrap/>
            <w:vAlign w:val="bottom"/>
            <w:hideMark/>
          </w:tcPr>
          <w:p w14:paraId="35A930C2" w14:textId="77777777" w:rsidR="004B5136" w:rsidRPr="00E25833" w:rsidRDefault="004B5136" w:rsidP="00DC193A">
            <w:pPr>
              <w:spacing w:before="0" w:after="0" w:line="240" w:lineRule="auto"/>
              <w:jc w:val="center"/>
              <w:rPr>
                <w:rFonts w:ascii="Times New Roman" w:eastAsia="Times New Roman" w:hAnsi="Times New Roman" w:cs="Times New Roman"/>
                <w:color w:val="000000"/>
                <w:sz w:val="16"/>
                <w:lang w:eastAsia="lv-LV"/>
              </w:rPr>
            </w:pPr>
            <w:r w:rsidRPr="00E25833">
              <w:rPr>
                <w:rFonts w:ascii="Times New Roman" w:eastAsia="Times New Roman" w:hAnsi="Times New Roman" w:cs="Times New Roman"/>
                <w:color w:val="000000"/>
                <w:sz w:val="16"/>
                <w:lang w:eastAsia="lv-LV"/>
              </w:rPr>
              <w:t>43</w:t>
            </w:r>
            <w:r w:rsidR="003F3883">
              <w:rPr>
                <w:rFonts w:ascii="Times New Roman" w:eastAsia="Times New Roman" w:hAnsi="Times New Roman" w:cs="Times New Roman"/>
                <w:color w:val="000000"/>
                <w:sz w:val="16"/>
                <w:lang w:eastAsia="lv-LV"/>
              </w:rPr>
              <w:t> </w:t>
            </w:r>
            <w:r w:rsidRPr="00E25833">
              <w:rPr>
                <w:rFonts w:ascii="Times New Roman" w:eastAsia="Times New Roman" w:hAnsi="Times New Roman" w:cs="Times New Roman"/>
                <w:color w:val="000000"/>
                <w:sz w:val="16"/>
                <w:lang w:eastAsia="lv-LV"/>
              </w:rPr>
              <w:t>463</w:t>
            </w:r>
            <w:r w:rsidR="003F3883">
              <w:rPr>
                <w:rFonts w:ascii="Times New Roman" w:eastAsia="Times New Roman" w:hAnsi="Times New Roman" w:cs="Times New Roman"/>
                <w:color w:val="000000"/>
                <w:sz w:val="16"/>
                <w:lang w:eastAsia="lv-LV"/>
              </w:rPr>
              <w:t> </w:t>
            </w:r>
            <w:r w:rsidRPr="00E25833">
              <w:rPr>
                <w:rFonts w:ascii="Times New Roman" w:eastAsia="Times New Roman" w:hAnsi="Times New Roman" w:cs="Times New Roman"/>
                <w:color w:val="000000"/>
                <w:sz w:val="16"/>
                <w:lang w:eastAsia="lv-LV"/>
              </w:rPr>
              <w:t>923</w:t>
            </w:r>
          </w:p>
        </w:tc>
        <w:tc>
          <w:tcPr>
            <w:tcW w:w="1734" w:type="dxa"/>
            <w:tcBorders>
              <w:top w:val="nil"/>
              <w:left w:val="nil"/>
              <w:bottom w:val="single" w:sz="4" w:space="0" w:color="auto"/>
              <w:right w:val="single" w:sz="4" w:space="0" w:color="auto"/>
            </w:tcBorders>
            <w:shd w:val="clear" w:color="auto" w:fill="auto"/>
            <w:noWrap/>
            <w:vAlign w:val="bottom"/>
            <w:hideMark/>
          </w:tcPr>
          <w:p w14:paraId="36C05499" w14:textId="77777777" w:rsidR="004B5136" w:rsidRPr="00E25833" w:rsidRDefault="004B5136" w:rsidP="00DC193A">
            <w:pPr>
              <w:spacing w:before="0" w:after="0" w:line="240" w:lineRule="auto"/>
              <w:jc w:val="center"/>
              <w:rPr>
                <w:rFonts w:ascii="Times New Roman" w:eastAsia="Times New Roman" w:hAnsi="Times New Roman" w:cs="Times New Roman"/>
                <w:color w:val="000000"/>
                <w:sz w:val="16"/>
                <w:lang w:eastAsia="lv-LV"/>
              </w:rPr>
            </w:pPr>
            <w:r w:rsidRPr="00E25833">
              <w:rPr>
                <w:rFonts w:ascii="Times New Roman" w:eastAsia="Times New Roman" w:hAnsi="Times New Roman" w:cs="Times New Roman"/>
                <w:color w:val="000000"/>
                <w:sz w:val="16"/>
                <w:lang w:eastAsia="lv-LV"/>
              </w:rPr>
              <w:t>980,80</w:t>
            </w:r>
          </w:p>
        </w:tc>
      </w:tr>
    </w:tbl>
    <w:p w14:paraId="6E1F3ABB" w14:textId="77777777" w:rsidR="004B5136" w:rsidRPr="00E25833" w:rsidRDefault="004B5136" w:rsidP="00BE0A2B">
      <w:pPr>
        <w:spacing w:before="0" w:after="0" w:line="240" w:lineRule="auto"/>
        <w:ind w:firstLine="720"/>
        <w:jc w:val="both"/>
        <w:rPr>
          <w:rFonts w:ascii="Times New Roman" w:eastAsia="Calibri" w:hAnsi="Times New Roman" w:cs="Times New Roman"/>
          <w:sz w:val="28"/>
          <w:szCs w:val="28"/>
        </w:rPr>
      </w:pPr>
    </w:p>
    <w:p w14:paraId="3F1D0C4C" w14:textId="77777777" w:rsidR="004B5136" w:rsidRPr="00E25833" w:rsidRDefault="004B5136" w:rsidP="002F0967">
      <w:pPr>
        <w:spacing w:before="0" w:after="0" w:line="240" w:lineRule="auto"/>
        <w:ind w:firstLine="720"/>
        <w:jc w:val="both"/>
        <w:rPr>
          <w:rFonts w:ascii="Times New Roman" w:eastAsia="Calibri" w:hAnsi="Times New Roman" w:cs="Times New Roman"/>
          <w:sz w:val="28"/>
          <w:szCs w:val="28"/>
        </w:rPr>
      </w:pPr>
      <w:r w:rsidRPr="00E25833">
        <w:rPr>
          <w:rFonts w:ascii="Times New Roman" w:eastAsia="Calibri" w:hAnsi="Times New Roman" w:cs="Times New Roman"/>
          <w:sz w:val="28"/>
          <w:szCs w:val="28"/>
        </w:rPr>
        <w:t>Vidējais nostrādāto stundu skaits vienā darba vietā mēnesī bija 115 stundas gan 2018.gadā, gan 2019.gadā, un, salīdzinot ar nozares vidējo rādītāju, tas atpaliek par piecām stundām mēnesī jeb 4,2</w:t>
      </w:r>
      <w:r w:rsidR="00BE0A2B">
        <w:rPr>
          <w:rFonts w:ascii="Times New Roman" w:eastAsia="Calibri" w:hAnsi="Times New Roman" w:cs="Times New Roman"/>
          <w:sz w:val="28"/>
          <w:szCs w:val="28"/>
        </w:rPr>
        <w:t> </w:t>
      </w:r>
      <w:r w:rsidRPr="00E25833">
        <w:rPr>
          <w:rFonts w:ascii="Times New Roman" w:eastAsia="Calibri" w:hAnsi="Times New Roman" w:cs="Times New Roman"/>
          <w:sz w:val="28"/>
          <w:szCs w:val="28"/>
        </w:rPr>
        <w:t>%. Šajos uzņēmumos nodarbināto vidējie bruto darba ienākumi mēnesī 2019.gadā bija 981</w:t>
      </w:r>
      <w:r w:rsidR="00BE0A2B">
        <w:rPr>
          <w:rFonts w:ascii="Times New Roman" w:eastAsia="Calibri" w:hAnsi="Times New Roman" w:cs="Times New Roman"/>
          <w:sz w:val="28"/>
          <w:szCs w:val="28"/>
        </w:rPr>
        <w:t> </w:t>
      </w:r>
      <w:proofErr w:type="spellStart"/>
      <w:r w:rsidR="00F30009" w:rsidRPr="006610D8">
        <w:rPr>
          <w:rFonts w:ascii="Times New Roman" w:eastAsia="Calibri" w:hAnsi="Times New Roman" w:cs="Times New Roman"/>
          <w:i/>
          <w:iCs/>
          <w:sz w:val="28"/>
          <w:szCs w:val="28"/>
        </w:rPr>
        <w:t>euro</w:t>
      </w:r>
      <w:proofErr w:type="spellEnd"/>
      <w:r w:rsidRPr="00E25833">
        <w:rPr>
          <w:rFonts w:ascii="Times New Roman" w:eastAsia="Calibri" w:hAnsi="Times New Roman" w:cs="Times New Roman"/>
          <w:sz w:val="28"/>
          <w:szCs w:val="28"/>
        </w:rPr>
        <w:t xml:space="preserve">, kas, salīdzinot ar 2018.gadu, ir palielinājušies par 10,6 %. 2018.gadā, salīdzinot ar 2017.gadu, šajos uzņēmumos nodarbināto vidējie bruto darba ienākumi </w:t>
      </w:r>
      <w:r w:rsidR="003F0DE8">
        <w:rPr>
          <w:rFonts w:ascii="Times New Roman" w:eastAsia="Calibri" w:hAnsi="Times New Roman" w:cs="Times New Roman"/>
          <w:sz w:val="28"/>
          <w:szCs w:val="28"/>
        </w:rPr>
        <w:t xml:space="preserve">bija </w:t>
      </w:r>
      <w:r w:rsidRPr="00E25833">
        <w:rPr>
          <w:rFonts w:ascii="Times New Roman" w:eastAsia="Calibri" w:hAnsi="Times New Roman" w:cs="Times New Roman"/>
          <w:sz w:val="28"/>
          <w:szCs w:val="28"/>
        </w:rPr>
        <w:t>palielinājušies par 6,4 %.</w:t>
      </w:r>
    </w:p>
    <w:p w14:paraId="586D9CE5" w14:textId="77777777" w:rsidR="009D4ED2" w:rsidRPr="003D5FB1" w:rsidRDefault="009D4ED2" w:rsidP="00237CD7">
      <w:pPr>
        <w:spacing w:before="0" w:after="0" w:line="240" w:lineRule="auto"/>
        <w:ind w:firstLine="720"/>
        <w:jc w:val="both"/>
        <w:rPr>
          <w:rFonts w:ascii="Times New Roman" w:eastAsia="Calibri" w:hAnsi="Times New Roman" w:cs="Times New Roman"/>
          <w:color w:val="000000" w:themeColor="text1"/>
          <w:sz w:val="28"/>
          <w:szCs w:val="28"/>
        </w:rPr>
      </w:pPr>
      <w:r w:rsidRPr="00360BCF">
        <w:rPr>
          <w:rFonts w:ascii="Times New Roman" w:eastAsia="Calibri" w:hAnsi="Times New Roman" w:cs="Times New Roman"/>
          <w:sz w:val="28"/>
          <w:szCs w:val="28"/>
        </w:rPr>
        <w:t>Izvērtējot kontroles pasākumu rezultātus</w:t>
      </w:r>
      <w:r w:rsidR="00BE0A2B">
        <w:rPr>
          <w:rFonts w:ascii="Times New Roman" w:eastAsia="Calibri" w:hAnsi="Times New Roman" w:cs="Times New Roman"/>
          <w:sz w:val="28"/>
          <w:szCs w:val="28"/>
        </w:rPr>
        <w:t>,</w:t>
      </w:r>
      <w:r w:rsidRPr="00360BCF">
        <w:rPr>
          <w:rFonts w:ascii="Times New Roman" w:eastAsia="Calibri" w:hAnsi="Times New Roman" w:cs="Times New Roman"/>
          <w:sz w:val="28"/>
          <w:szCs w:val="28"/>
        </w:rPr>
        <w:t xml:space="preserve"> secināts, ka vairākumā gadījumu būvuzņēmēju darba ņēmēji viena mēneša ietvaros var tikt nodarbināti vairākos būvlaukumos, tai skaitā</w:t>
      </w:r>
      <w:r w:rsidR="004B2BEE">
        <w:rPr>
          <w:rFonts w:ascii="Times New Roman" w:eastAsia="Calibri" w:hAnsi="Times New Roman" w:cs="Times New Roman"/>
          <w:sz w:val="28"/>
          <w:szCs w:val="28"/>
        </w:rPr>
        <w:t xml:space="preserve"> tādos</w:t>
      </w:r>
      <w:r w:rsidRPr="00360BCF">
        <w:rPr>
          <w:rFonts w:ascii="Times New Roman" w:eastAsia="Calibri" w:hAnsi="Times New Roman" w:cs="Times New Roman"/>
          <w:sz w:val="28"/>
          <w:szCs w:val="28"/>
        </w:rPr>
        <w:t>, kas neatbilst EDLUS uzstādīšanas kritērijiem, un par šajos objektos nostrādāto laiku joprojām saglabājies faktiski nostrādāto stundu nedeklarēšanas risks.</w:t>
      </w:r>
    </w:p>
    <w:p w14:paraId="0028DC81" w14:textId="77777777" w:rsidR="004B5136" w:rsidRPr="00E25833" w:rsidRDefault="004B5136">
      <w:pPr>
        <w:spacing w:before="0" w:after="0" w:line="240" w:lineRule="auto"/>
        <w:ind w:firstLine="720"/>
        <w:jc w:val="both"/>
        <w:rPr>
          <w:rFonts w:ascii="Times New Roman" w:eastAsia="Calibri" w:hAnsi="Times New Roman" w:cs="Times New Roman"/>
          <w:sz w:val="28"/>
          <w:szCs w:val="28"/>
        </w:rPr>
      </w:pPr>
    </w:p>
    <w:p w14:paraId="3A9FF623" w14:textId="77777777" w:rsidR="004B5136" w:rsidRPr="00E25833" w:rsidRDefault="004B5136">
      <w:pPr>
        <w:spacing w:before="0" w:after="0" w:line="240" w:lineRule="auto"/>
        <w:ind w:firstLine="720"/>
        <w:jc w:val="both"/>
        <w:rPr>
          <w:rFonts w:ascii="Times New Roman" w:eastAsia="Calibri" w:hAnsi="Times New Roman" w:cs="Times New Roman"/>
          <w:b/>
          <w:i/>
          <w:sz w:val="28"/>
          <w:szCs w:val="28"/>
        </w:rPr>
      </w:pPr>
      <w:r w:rsidRPr="00E25833">
        <w:rPr>
          <w:rFonts w:ascii="Times New Roman" w:eastAsia="Calibri" w:hAnsi="Times New Roman" w:cs="Times New Roman"/>
          <w:b/>
          <w:i/>
          <w:sz w:val="28"/>
          <w:szCs w:val="28"/>
        </w:rPr>
        <w:t>Ēnu ekonomikas rādītāji</w:t>
      </w:r>
    </w:p>
    <w:p w14:paraId="25B27C2D" w14:textId="77777777" w:rsidR="004B5136" w:rsidRDefault="004B5136">
      <w:pPr>
        <w:spacing w:before="0" w:after="0" w:line="240" w:lineRule="auto"/>
        <w:ind w:firstLine="720"/>
        <w:jc w:val="both"/>
        <w:rPr>
          <w:rFonts w:ascii="Times New Roman" w:eastAsia="Calibri" w:hAnsi="Times New Roman" w:cs="Times New Roman"/>
          <w:sz w:val="28"/>
          <w:szCs w:val="28"/>
        </w:rPr>
      </w:pPr>
      <w:r w:rsidRPr="00E25833">
        <w:rPr>
          <w:rFonts w:ascii="Times New Roman" w:eastAsia="Calibri" w:hAnsi="Times New Roman" w:cs="Times New Roman"/>
          <w:sz w:val="28"/>
          <w:szCs w:val="28"/>
        </w:rPr>
        <w:t xml:space="preserve">Vērtējot </w:t>
      </w:r>
      <w:r w:rsidR="003E12D1">
        <w:rPr>
          <w:rFonts w:ascii="Times New Roman" w:eastAsia="Calibri" w:hAnsi="Times New Roman" w:cs="Times New Roman"/>
          <w:sz w:val="28"/>
          <w:szCs w:val="28"/>
        </w:rPr>
        <w:t>“</w:t>
      </w:r>
      <w:r w:rsidRPr="00E25833">
        <w:rPr>
          <w:rFonts w:ascii="Times New Roman" w:eastAsia="Calibri" w:hAnsi="Times New Roman" w:cs="Times New Roman"/>
          <w:sz w:val="28"/>
          <w:szCs w:val="28"/>
        </w:rPr>
        <w:t>aplokšņu</w:t>
      </w:r>
      <w:r w:rsidR="003E12D1">
        <w:rPr>
          <w:rFonts w:ascii="Times New Roman" w:eastAsia="Calibri" w:hAnsi="Times New Roman" w:cs="Times New Roman"/>
          <w:sz w:val="28"/>
          <w:szCs w:val="28"/>
        </w:rPr>
        <w:t>”</w:t>
      </w:r>
      <w:r w:rsidRPr="00E25833">
        <w:rPr>
          <w:rFonts w:ascii="Times New Roman" w:eastAsia="Calibri" w:hAnsi="Times New Roman" w:cs="Times New Roman"/>
          <w:sz w:val="28"/>
          <w:szCs w:val="28"/>
        </w:rPr>
        <w:t xml:space="preserve"> algas dinamiku, salīdzin</w:t>
      </w:r>
      <w:r w:rsidR="004D0160">
        <w:rPr>
          <w:rFonts w:ascii="Times New Roman" w:eastAsia="Calibri" w:hAnsi="Times New Roman" w:cs="Times New Roman"/>
          <w:sz w:val="28"/>
          <w:szCs w:val="28"/>
        </w:rPr>
        <w:t>ot</w:t>
      </w:r>
      <w:r w:rsidR="00F102F9">
        <w:rPr>
          <w:rFonts w:ascii="Times New Roman" w:eastAsia="Calibri" w:hAnsi="Times New Roman" w:cs="Times New Roman"/>
          <w:sz w:val="28"/>
          <w:szCs w:val="28"/>
        </w:rPr>
        <w:t xml:space="preserve"> </w:t>
      </w:r>
      <w:r w:rsidRPr="00E25833">
        <w:rPr>
          <w:rFonts w:ascii="Times New Roman" w:eastAsia="Calibri" w:hAnsi="Times New Roman" w:cs="Times New Roman"/>
          <w:sz w:val="28"/>
          <w:szCs w:val="28"/>
        </w:rPr>
        <w:t>būvniecības nozari ar 12</w:t>
      </w:r>
      <w:r w:rsidR="007A03C3">
        <w:rPr>
          <w:rFonts w:ascii="Times New Roman" w:eastAsia="Calibri" w:hAnsi="Times New Roman" w:cs="Times New Roman"/>
          <w:sz w:val="28"/>
          <w:szCs w:val="28"/>
        </w:rPr>
        <w:t> </w:t>
      </w:r>
      <w:r w:rsidRPr="00E25833">
        <w:rPr>
          <w:rFonts w:ascii="Times New Roman" w:eastAsia="Calibri" w:hAnsi="Times New Roman" w:cs="Times New Roman"/>
          <w:sz w:val="28"/>
          <w:szCs w:val="28"/>
        </w:rPr>
        <w:t xml:space="preserve">nozarēm, kurās identificēts lielākais (tūkst. </w:t>
      </w:r>
      <w:proofErr w:type="spellStart"/>
      <w:r w:rsidR="001155D8" w:rsidRPr="00E734B0">
        <w:rPr>
          <w:rFonts w:ascii="Times New Roman" w:eastAsia="Calibri" w:hAnsi="Times New Roman" w:cs="Times New Roman"/>
          <w:i/>
          <w:iCs/>
          <w:sz w:val="28"/>
          <w:szCs w:val="28"/>
        </w:rPr>
        <w:t>euro</w:t>
      </w:r>
      <w:proofErr w:type="spellEnd"/>
      <w:r w:rsidRPr="00E25833">
        <w:rPr>
          <w:rFonts w:ascii="Times New Roman" w:eastAsia="Calibri" w:hAnsi="Times New Roman" w:cs="Times New Roman"/>
          <w:sz w:val="28"/>
          <w:szCs w:val="28"/>
        </w:rPr>
        <w:t xml:space="preserve">) </w:t>
      </w:r>
      <w:bookmarkStart w:id="20" w:name="_Hlk43296553"/>
      <w:r w:rsidR="003E12D1">
        <w:rPr>
          <w:rFonts w:ascii="Times New Roman" w:eastAsia="Calibri" w:hAnsi="Times New Roman" w:cs="Times New Roman"/>
          <w:sz w:val="28"/>
          <w:szCs w:val="28"/>
        </w:rPr>
        <w:t>“</w:t>
      </w:r>
      <w:r w:rsidRPr="00E25833">
        <w:rPr>
          <w:rFonts w:ascii="Times New Roman" w:eastAsia="Calibri" w:hAnsi="Times New Roman" w:cs="Times New Roman"/>
          <w:sz w:val="28"/>
          <w:szCs w:val="28"/>
        </w:rPr>
        <w:t>aplokšņu</w:t>
      </w:r>
      <w:r w:rsidR="003E12D1">
        <w:rPr>
          <w:rFonts w:ascii="Times New Roman" w:eastAsia="Calibri" w:hAnsi="Times New Roman" w:cs="Times New Roman"/>
          <w:sz w:val="28"/>
          <w:szCs w:val="28"/>
        </w:rPr>
        <w:t>”</w:t>
      </w:r>
      <w:r w:rsidRPr="00E25833">
        <w:rPr>
          <w:rFonts w:ascii="Times New Roman" w:eastAsia="Calibri" w:hAnsi="Times New Roman" w:cs="Times New Roman"/>
          <w:sz w:val="28"/>
          <w:szCs w:val="28"/>
        </w:rPr>
        <w:t xml:space="preserve"> algu apmērs </w:t>
      </w:r>
      <w:bookmarkEnd w:id="20"/>
      <w:r w:rsidRPr="00E25833">
        <w:rPr>
          <w:rFonts w:ascii="Times New Roman" w:eastAsia="Calibri" w:hAnsi="Times New Roman" w:cs="Times New Roman"/>
          <w:sz w:val="28"/>
          <w:szCs w:val="28"/>
        </w:rPr>
        <w:t xml:space="preserve">2019.gadā, </w:t>
      </w:r>
      <w:r w:rsidR="004D0160">
        <w:rPr>
          <w:rFonts w:ascii="Times New Roman" w:eastAsia="Calibri" w:hAnsi="Times New Roman" w:cs="Times New Roman"/>
          <w:sz w:val="28"/>
          <w:szCs w:val="28"/>
        </w:rPr>
        <w:t>konstatēts, ka</w:t>
      </w:r>
      <w:r w:rsidR="00F102F9">
        <w:rPr>
          <w:rFonts w:ascii="Times New Roman" w:eastAsia="Calibri" w:hAnsi="Times New Roman" w:cs="Times New Roman"/>
          <w:sz w:val="28"/>
          <w:szCs w:val="28"/>
        </w:rPr>
        <w:t xml:space="preserve"> </w:t>
      </w:r>
      <w:r w:rsidR="007A03C3">
        <w:rPr>
          <w:rFonts w:ascii="Times New Roman" w:eastAsia="Calibri" w:hAnsi="Times New Roman" w:cs="Times New Roman"/>
          <w:sz w:val="28"/>
          <w:szCs w:val="28"/>
        </w:rPr>
        <w:t>ē</w:t>
      </w:r>
      <w:r w:rsidRPr="00E25833">
        <w:rPr>
          <w:rFonts w:ascii="Times New Roman" w:eastAsia="Calibri" w:hAnsi="Times New Roman" w:cs="Times New Roman"/>
          <w:sz w:val="28"/>
          <w:szCs w:val="28"/>
        </w:rPr>
        <w:t xml:space="preserve">ku būvniecības nozarē </w:t>
      </w:r>
      <w:r w:rsidR="003E12D1">
        <w:rPr>
          <w:rFonts w:ascii="Times New Roman" w:eastAsia="Calibri" w:hAnsi="Times New Roman" w:cs="Times New Roman"/>
          <w:sz w:val="28"/>
          <w:szCs w:val="28"/>
        </w:rPr>
        <w:t>“</w:t>
      </w:r>
      <w:r w:rsidRPr="00E25833">
        <w:rPr>
          <w:rFonts w:ascii="Times New Roman" w:eastAsia="Calibri" w:hAnsi="Times New Roman" w:cs="Times New Roman"/>
          <w:sz w:val="28"/>
          <w:szCs w:val="28"/>
        </w:rPr>
        <w:t>aplokšņu</w:t>
      </w:r>
      <w:r w:rsidR="003E12D1">
        <w:rPr>
          <w:rFonts w:ascii="Times New Roman" w:eastAsia="Calibri" w:hAnsi="Times New Roman" w:cs="Times New Roman"/>
          <w:sz w:val="28"/>
          <w:szCs w:val="28"/>
        </w:rPr>
        <w:t>”</w:t>
      </w:r>
      <w:r w:rsidRPr="00E25833">
        <w:rPr>
          <w:rFonts w:ascii="Times New Roman" w:eastAsia="Calibri" w:hAnsi="Times New Roman" w:cs="Times New Roman"/>
          <w:sz w:val="28"/>
          <w:szCs w:val="28"/>
        </w:rPr>
        <w:t xml:space="preserve"> algas īpatsvars (%) samazinājies par 1,69</w:t>
      </w:r>
      <w:r w:rsidR="007A03C3">
        <w:rPr>
          <w:rFonts w:ascii="Times New Roman" w:eastAsia="Calibri" w:hAnsi="Times New Roman" w:cs="Times New Roman"/>
          <w:sz w:val="28"/>
          <w:szCs w:val="28"/>
        </w:rPr>
        <w:t> </w:t>
      </w:r>
      <w:r w:rsidRPr="00E25833">
        <w:rPr>
          <w:rFonts w:ascii="Times New Roman" w:eastAsia="Calibri" w:hAnsi="Times New Roman" w:cs="Times New Roman"/>
          <w:sz w:val="28"/>
          <w:szCs w:val="28"/>
        </w:rPr>
        <w:t xml:space="preserve">procentpunktiem, bet </w:t>
      </w:r>
      <w:r w:rsidR="007A03C3">
        <w:rPr>
          <w:rFonts w:ascii="Times New Roman" w:eastAsia="Calibri" w:hAnsi="Times New Roman" w:cs="Times New Roman"/>
          <w:sz w:val="28"/>
          <w:szCs w:val="28"/>
        </w:rPr>
        <w:t>s</w:t>
      </w:r>
      <w:r w:rsidRPr="00E25833">
        <w:rPr>
          <w:rFonts w:ascii="Times New Roman" w:eastAsia="Calibri" w:hAnsi="Times New Roman" w:cs="Times New Roman"/>
          <w:sz w:val="28"/>
          <w:szCs w:val="28"/>
        </w:rPr>
        <w:t xml:space="preserve">pecializēto būvdarbu nozarē </w:t>
      </w:r>
      <w:r w:rsidR="003E12D1">
        <w:rPr>
          <w:rFonts w:ascii="Times New Roman" w:eastAsia="Calibri" w:hAnsi="Times New Roman" w:cs="Times New Roman"/>
          <w:sz w:val="28"/>
          <w:szCs w:val="28"/>
        </w:rPr>
        <w:t>“</w:t>
      </w:r>
      <w:r w:rsidRPr="00E25833">
        <w:rPr>
          <w:rFonts w:ascii="Times New Roman" w:eastAsia="Calibri" w:hAnsi="Times New Roman" w:cs="Times New Roman"/>
          <w:sz w:val="28"/>
          <w:szCs w:val="28"/>
        </w:rPr>
        <w:t>aplokšņu</w:t>
      </w:r>
      <w:r w:rsidR="003E12D1">
        <w:rPr>
          <w:rFonts w:ascii="Times New Roman" w:eastAsia="Calibri" w:hAnsi="Times New Roman" w:cs="Times New Roman"/>
          <w:sz w:val="28"/>
          <w:szCs w:val="28"/>
        </w:rPr>
        <w:t>”</w:t>
      </w:r>
      <w:r w:rsidRPr="00E25833">
        <w:rPr>
          <w:rFonts w:ascii="Times New Roman" w:eastAsia="Calibri" w:hAnsi="Times New Roman" w:cs="Times New Roman"/>
          <w:sz w:val="28"/>
          <w:szCs w:val="28"/>
        </w:rPr>
        <w:t xml:space="preserve"> algas īpatsvars samazinājies par 0,81</w:t>
      </w:r>
      <w:r w:rsidR="007A03C3">
        <w:rPr>
          <w:rFonts w:ascii="Times New Roman" w:eastAsia="Calibri" w:hAnsi="Times New Roman" w:cs="Times New Roman"/>
          <w:sz w:val="28"/>
          <w:szCs w:val="28"/>
        </w:rPr>
        <w:t> </w:t>
      </w:r>
      <w:r w:rsidRPr="00E25833">
        <w:rPr>
          <w:rFonts w:ascii="Times New Roman" w:eastAsia="Calibri" w:hAnsi="Times New Roman" w:cs="Times New Roman"/>
          <w:sz w:val="28"/>
          <w:szCs w:val="28"/>
        </w:rPr>
        <w:t>procentpunkt</w:t>
      </w:r>
      <w:r w:rsidR="004D0160">
        <w:rPr>
          <w:rFonts w:ascii="Times New Roman" w:eastAsia="Calibri" w:hAnsi="Times New Roman" w:cs="Times New Roman"/>
          <w:sz w:val="28"/>
          <w:szCs w:val="28"/>
        </w:rPr>
        <w:t>u</w:t>
      </w:r>
      <w:r w:rsidRPr="00E25833">
        <w:rPr>
          <w:rFonts w:ascii="Times New Roman" w:eastAsia="Calibri" w:hAnsi="Times New Roman" w:cs="Times New Roman"/>
          <w:sz w:val="28"/>
          <w:szCs w:val="28"/>
        </w:rPr>
        <w:t>. Šīs izmaiņas starp 12</w:t>
      </w:r>
      <w:r w:rsidR="007A03C3">
        <w:rPr>
          <w:rFonts w:ascii="Times New Roman" w:eastAsia="Calibri" w:hAnsi="Times New Roman" w:cs="Times New Roman"/>
          <w:sz w:val="28"/>
          <w:szCs w:val="28"/>
        </w:rPr>
        <w:t> </w:t>
      </w:r>
      <w:r w:rsidRPr="00E25833">
        <w:rPr>
          <w:rFonts w:ascii="Times New Roman" w:eastAsia="Calibri" w:hAnsi="Times New Roman" w:cs="Times New Roman"/>
          <w:sz w:val="28"/>
          <w:szCs w:val="28"/>
        </w:rPr>
        <w:t xml:space="preserve">nozarēm ar lielāko </w:t>
      </w:r>
      <w:r w:rsidR="007A03C3">
        <w:rPr>
          <w:rFonts w:ascii="Times New Roman" w:eastAsia="Calibri" w:hAnsi="Times New Roman" w:cs="Times New Roman"/>
          <w:sz w:val="28"/>
          <w:szCs w:val="28"/>
        </w:rPr>
        <w:t>“</w:t>
      </w:r>
      <w:r w:rsidRPr="00E25833">
        <w:rPr>
          <w:rFonts w:ascii="Times New Roman" w:eastAsia="Calibri" w:hAnsi="Times New Roman" w:cs="Times New Roman"/>
          <w:sz w:val="28"/>
          <w:szCs w:val="28"/>
        </w:rPr>
        <w:t>aplokšņu</w:t>
      </w:r>
      <w:r w:rsidR="007A03C3">
        <w:rPr>
          <w:rFonts w:ascii="Times New Roman" w:eastAsia="Calibri" w:hAnsi="Times New Roman" w:cs="Times New Roman"/>
          <w:sz w:val="28"/>
          <w:szCs w:val="28"/>
        </w:rPr>
        <w:t>”</w:t>
      </w:r>
      <w:r w:rsidRPr="00E25833">
        <w:rPr>
          <w:rFonts w:ascii="Times New Roman" w:eastAsia="Calibri" w:hAnsi="Times New Roman" w:cs="Times New Roman"/>
          <w:sz w:val="28"/>
          <w:szCs w:val="28"/>
        </w:rPr>
        <w:t xml:space="preserve"> algas apmēru (tūkst. </w:t>
      </w:r>
      <w:proofErr w:type="spellStart"/>
      <w:r w:rsidR="001155D8" w:rsidRPr="00E734B0">
        <w:rPr>
          <w:rFonts w:ascii="Times New Roman" w:eastAsia="Calibri" w:hAnsi="Times New Roman" w:cs="Times New Roman"/>
          <w:i/>
          <w:iCs/>
          <w:sz w:val="28"/>
          <w:szCs w:val="28"/>
        </w:rPr>
        <w:t>euro</w:t>
      </w:r>
      <w:proofErr w:type="spellEnd"/>
      <w:r w:rsidRPr="00E25833">
        <w:rPr>
          <w:rFonts w:ascii="Times New Roman" w:eastAsia="Calibri" w:hAnsi="Times New Roman" w:cs="Times New Roman"/>
          <w:sz w:val="28"/>
          <w:szCs w:val="28"/>
        </w:rPr>
        <w:t>) ir visstraujākās.</w:t>
      </w:r>
    </w:p>
    <w:p w14:paraId="4B529BF2" w14:textId="77777777" w:rsidR="004B5136" w:rsidRPr="00E25833" w:rsidRDefault="004B5136" w:rsidP="00454086">
      <w:pPr>
        <w:spacing w:before="0" w:after="0" w:line="240" w:lineRule="auto"/>
        <w:jc w:val="both"/>
        <w:rPr>
          <w:rFonts w:ascii="Times New Roman" w:eastAsia="Calibri" w:hAnsi="Times New Roman" w:cs="Times New Roman"/>
          <w:sz w:val="28"/>
          <w:szCs w:val="28"/>
        </w:rPr>
      </w:pPr>
      <w:r w:rsidRPr="00E25833">
        <w:rPr>
          <w:rFonts w:ascii="Calibri" w:eastAsia="Calibri" w:hAnsi="Calibri" w:cs="Times New Roman"/>
          <w:noProof/>
          <w:lang w:eastAsia="lv-LV"/>
        </w:rPr>
        <w:drawing>
          <wp:inline distT="0" distB="0" distL="0" distR="0" wp14:anchorId="15C36F19" wp14:editId="0589D5F9">
            <wp:extent cx="5441950" cy="2692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B356556" w14:textId="77777777" w:rsidR="00AB54A4" w:rsidRPr="00E25833" w:rsidRDefault="00AB54A4" w:rsidP="00AB54A4">
      <w:pPr>
        <w:spacing w:before="0" w:after="0" w:line="240" w:lineRule="auto"/>
        <w:ind w:firstLine="709"/>
        <w:rPr>
          <w:rFonts w:ascii="Times New Roman" w:eastAsia="Calibri" w:hAnsi="Times New Roman" w:cs="Times New Roman"/>
        </w:rPr>
      </w:pPr>
      <w:r w:rsidRPr="00E25833">
        <w:rPr>
          <w:rFonts w:ascii="Times New Roman" w:eastAsia="Calibri" w:hAnsi="Times New Roman" w:cs="Times New Roman"/>
        </w:rPr>
        <w:t>Dati uz 2020.gada 24.martu</w:t>
      </w:r>
    </w:p>
    <w:p w14:paraId="0A7D6698" w14:textId="77777777" w:rsidR="004D3B7B" w:rsidRDefault="004D3B7B" w:rsidP="00AB54A4">
      <w:pPr>
        <w:spacing w:before="0" w:after="0" w:line="240" w:lineRule="auto"/>
        <w:rPr>
          <w:rFonts w:ascii="Times New Roman" w:eastAsia="Calibri" w:hAnsi="Times New Roman" w:cs="Times New Roman"/>
          <w:sz w:val="28"/>
          <w:szCs w:val="22"/>
        </w:rPr>
      </w:pPr>
    </w:p>
    <w:p w14:paraId="07D57A3D" w14:textId="77777777" w:rsidR="00AB54A4" w:rsidRPr="00E25833" w:rsidRDefault="004F397E" w:rsidP="005E08CF">
      <w:pPr>
        <w:spacing w:before="0" w:after="0" w:line="240" w:lineRule="auto"/>
        <w:jc w:val="center"/>
        <w:rPr>
          <w:rFonts w:ascii="Times New Roman" w:eastAsia="Calibri" w:hAnsi="Times New Roman" w:cs="Times New Roman"/>
          <w:b/>
          <w:sz w:val="28"/>
          <w:szCs w:val="28"/>
        </w:rPr>
      </w:pPr>
      <w:r w:rsidRPr="004F397E">
        <w:rPr>
          <w:rFonts w:ascii="Times New Roman" w:eastAsia="Calibri" w:hAnsi="Times New Roman" w:cs="Times New Roman"/>
          <w:sz w:val="28"/>
          <w:szCs w:val="22"/>
        </w:rPr>
        <w:t>8</w:t>
      </w:r>
      <w:r w:rsidR="00AB54A4" w:rsidRPr="004F397E">
        <w:rPr>
          <w:rFonts w:ascii="Times New Roman" w:eastAsia="Calibri" w:hAnsi="Times New Roman" w:cs="Times New Roman"/>
          <w:sz w:val="28"/>
          <w:szCs w:val="22"/>
        </w:rPr>
        <w:t>.attēls</w:t>
      </w:r>
      <w:r w:rsidR="00AB54A4" w:rsidRPr="00E25833">
        <w:rPr>
          <w:rFonts w:ascii="Times New Roman" w:eastAsia="Calibri" w:hAnsi="Times New Roman" w:cs="Times New Roman"/>
          <w:sz w:val="28"/>
          <w:szCs w:val="22"/>
        </w:rPr>
        <w:t xml:space="preserve"> </w:t>
      </w:r>
      <w:r w:rsidR="00AB54A4" w:rsidRPr="00E25833">
        <w:rPr>
          <w:rFonts w:ascii="Times New Roman" w:eastAsia="Calibri" w:hAnsi="Times New Roman" w:cs="Times New Roman"/>
          <w:b/>
          <w:sz w:val="28"/>
          <w:szCs w:val="28"/>
        </w:rPr>
        <w:t xml:space="preserve">Informācija par </w:t>
      </w:r>
      <w:r w:rsidR="003E12D1">
        <w:rPr>
          <w:rFonts w:ascii="Times New Roman" w:eastAsia="Calibri" w:hAnsi="Times New Roman" w:cs="Times New Roman"/>
          <w:b/>
          <w:sz w:val="28"/>
          <w:szCs w:val="28"/>
        </w:rPr>
        <w:t>“</w:t>
      </w:r>
      <w:r w:rsidR="00AB54A4" w:rsidRPr="00E25833">
        <w:rPr>
          <w:rFonts w:ascii="Times New Roman" w:eastAsia="Calibri" w:hAnsi="Times New Roman" w:cs="Times New Roman"/>
          <w:b/>
          <w:sz w:val="28"/>
          <w:szCs w:val="28"/>
        </w:rPr>
        <w:t>aplokšņu</w:t>
      </w:r>
      <w:r w:rsidR="003E12D1">
        <w:rPr>
          <w:rFonts w:ascii="Times New Roman" w:eastAsia="Calibri" w:hAnsi="Times New Roman" w:cs="Times New Roman"/>
          <w:b/>
          <w:sz w:val="28"/>
          <w:szCs w:val="28"/>
        </w:rPr>
        <w:t>”</w:t>
      </w:r>
      <w:r w:rsidR="00AB54A4" w:rsidRPr="00E25833">
        <w:rPr>
          <w:rFonts w:ascii="Times New Roman" w:eastAsia="Calibri" w:hAnsi="Times New Roman" w:cs="Times New Roman"/>
          <w:b/>
          <w:sz w:val="28"/>
          <w:szCs w:val="28"/>
        </w:rPr>
        <w:t xml:space="preserve"> algas dinamiku būvniecības nozarē</w:t>
      </w:r>
    </w:p>
    <w:p w14:paraId="23BF1F4C" w14:textId="77777777" w:rsidR="00AB54A4" w:rsidRPr="00E25833" w:rsidRDefault="00AB54A4" w:rsidP="007A03C3">
      <w:pPr>
        <w:spacing w:before="0" w:after="0" w:line="240" w:lineRule="auto"/>
        <w:ind w:firstLine="720"/>
        <w:jc w:val="both"/>
        <w:rPr>
          <w:rFonts w:ascii="Times New Roman" w:eastAsia="Calibri" w:hAnsi="Times New Roman" w:cs="Times New Roman"/>
          <w:sz w:val="28"/>
          <w:szCs w:val="28"/>
        </w:rPr>
      </w:pPr>
    </w:p>
    <w:p w14:paraId="762075BB" w14:textId="30D30B55" w:rsidR="00CC2C0F" w:rsidRPr="00127D6A" w:rsidRDefault="00CC2C0F" w:rsidP="002F0967">
      <w:pPr>
        <w:spacing w:before="0" w:after="0" w:line="240" w:lineRule="auto"/>
        <w:ind w:firstLine="720"/>
        <w:jc w:val="both"/>
        <w:rPr>
          <w:rFonts w:ascii="Times New Roman" w:eastAsia="Calibri" w:hAnsi="Times New Roman" w:cs="Times New Roman"/>
          <w:sz w:val="28"/>
          <w:szCs w:val="28"/>
        </w:rPr>
      </w:pPr>
      <w:r w:rsidRPr="005B429D">
        <w:rPr>
          <w:rFonts w:ascii="Times New Roman" w:eastAsia="Calibri" w:hAnsi="Times New Roman" w:cs="Times New Roman"/>
          <w:sz w:val="28"/>
          <w:szCs w:val="28"/>
        </w:rPr>
        <w:t xml:space="preserve">Lai gan nedeklarētā bruto alga, </w:t>
      </w:r>
      <w:r w:rsidR="004D0160" w:rsidRPr="005B429D">
        <w:rPr>
          <w:rFonts w:ascii="Times New Roman" w:eastAsia="Calibri" w:hAnsi="Times New Roman" w:cs="Times New Roman"/>
          <w:sz w:val="28"/>
          <w:szCs w:val="28"/>
        </w:rPr>
        <w:t xml:space="preserve">valsts sociālās apdrošināšanas obligāto iemaksu </w:t>
      </w:r>
      <w:r w:rsidRPr="005B429D">
        <w:rPr>
          <w:rFonts w:ascii="Times New Roman" w:eastAsia="Calibri" w:hAnsi="Times New Roman" w:cs="Times New Roman"/>
          <w:sz w:val="28"/>
          <w:szCs w:val="28"/>
        </w:rPr>
        <w:t xml:space="preserve">un </w:t>
      </w:r>
      <w:r w:rsidR="004D0160" w:rsidRPr="005B429D">
        <w:rPr>
          <w:rFonts w:ascii="Times New Roman" w:eastAsia="Calibri" w:hAnsi="Times New Roman" w:cs="Times New Roman"/>
          <w:sz w:val="28"/>
          <w:szCs w:val="28"/>
        </w:rPr>
        <w:t>iedzīvotāju ienākuma nodokļa</w:t>
      </w:r>
      <w:r w:rsidRPr="005B429D">
        <w:rPr>
          <w:rFonts w:ascii="Times New Roman" w:eastAsia="Calibri" w:hAnsi="Times New Roman" w:cs="Times New Roman"/>
          <w:sz w:val="28"/>
          <w:szCs w:val="28"/>
        </w:rPr>
        <w:t xml:space="preserve"> zaudējumi pieaug (skatīt 1.attēlu), kas tiek skaidro</w:t>
      </w:r>
      <w:r w:rsidR="00292DAA" w:rsidRPr="005B429D">
        <w:rPr>
          <w:rFonts w:ascii="Times New Roman" w:eastAsia="Calibri" w:hAnsi="Times New Roman" w:cs="Times New Roman"/>
          <w:sz w:val="28"/>
          <w:szCs w:val="28"/>
        </w:rPr>
        <w:t>ts</w:t>
      </w:r>
      <w:r w:rsidRPr="005B429D">
        <w:rPr>
          <w:rFonts w:ascii="Times New Roman" w:eastAsia="Calibri" w:hAnsi="Times New Roman" w:cs="Times New Roman"/>
          <w:sz w:val="28"/>
          <w:szCs w:val="28"/>
        </w:rPr>
        <w:t xml:space="preserve"> ar VID </w:t>
      </w:r>
      <w:r w:rsidR="003E12D1" w:rsidRPr="005B429D">
        <w:rPr>
          <w:rFonts w:ascii="Times New Roman" w:eastAsia="Calibri" w:hAnsi="Times New Roman" w:cs="Times New Roman"/>
          <w:sz w:val="28"/>
          <w:szCs w:val="28"/>
        </w:rPr>
        <w:t>“</w:t>
      </w:r>
      <w:r w:rsidRPr="005B429D">
        <w:rPr>
          <w:rFonts w:ascii="Times New Roman" w:eastAsia="Calibri" w:hAnsi="Times New Roman" w:cs="Times New Roman"/>
          <w:sz w:val="28"/>
          <w:szCs w:val="28"/>
        </w:rPr>
        <w:t>aplokšņu</w:t>
      </w:r>
      <w:r w:rsidR="003E12D1" w:rsidRPr="005B429D">
        <w:rPr>
          <w:rFonts w:ascii="Times New Roman" w:eastAsia="Calibri" w:hAnsi="Times New Roman" w:cs="Times New Roman"/>
          <w:sz w:val="28"/>
          <w:szCs w:val="28"/>
        </w:rPr>
        <w:t>”</w:t>
      </w:r>
      <w:r w:rsidRPr="005B429D">
        <w:rPr>
          <w:rFonts w:ascii="Times New Roman" w:eastAsia="Calibri" w:hAnsi="Times New Roman" w:cs="Times New Roman"/>
          <w:sz w:val="28"/>
          <w:szCs w:val="28"/>
        </w:rPr>
        <w:t xml:space="preserve"> algas metodoloģijas īpatnībām</w:t>
      </w:r>
      <w:r w:rsidRPr="005B429D">
        <w:rPr>
          <w:rFonts w:ascii="Times New Roman" w:eastAsia="Calibri" w:hAnsi="Times New Roman" w:cs="Times New Roman"/>
          <w:sz w:val="28"/>
          <w:szCs w:val="28"/>
          <w:vertAlign w:val="superscript"/>
        </w:rPr>
        <w:footnoteReference w:id="14"/>
      </w:r>
      <w:r w:rsidR="006040A9" w:rsidRPr="005B429D">
        <w:rPr>
          <w:rFonts w:ascii="Times New Roman" w:eastAsia="Calibri" w:hAnsi="Times New Roman" w:cs="Times New Roman"/>
          <w:sz w:val="28"/>
          <w:szCs w:val="28"/>
        </w:rPr>
        <w:t>, “aplokšņu” algu īpatsvar</w:t>
      </w:r>
      <w:r w:rsidR="00B3158B" w:rsidRPr="005B429D">
        <w:rPr>
          <w:rFonts w:ascii="Times New Roman" w:eastAsia="Calibri" w:hAnsi="Times New Roman" w:cs="Times New Roman"/>
          <w:sz w:val="28"/>
          <w:szCs w:val="28"/>
        </w:rPr>
        <w:t>a</w:t>
      </w:r>
      <w:r w:rsidR="006040A9" w:rsidRPr="005B429D">
        <w:rPr>
          <w:rFonts w:ascii="Times New Roman" w:eastAsia="Calibri" w:hAnsi="Times New Roman" w:cs="Times New Roman"/>
          <w:sz w:val="28"/>
          <w:szCs w:val="28"/>
        </w:rPr>
        <w:t xml:space="preserve"> samazinā</w:t>
      </w:r>
      <w:r w:rsidR="00A30B3D" w:rsidRPr="005B429D">
        <w:rPr>
          <w:rFonts w:ascii="Times New Roman" w:eastAsia="Calibri" w:hAnsi="Times New Roman" w:cs="Times New Roman"/>
          <w:sz w:val="28"/>
          <w:szCs w:val="28"/>
        </w:rPr>
        <w:t>šan</w:t>
      </w:r>
      <w:r w:rsidR="00E27777" w:rsidRPr="005B429D">
        <w:rPr>
          <w:rFonts w:ascii="Times New Roman" w:eastAsia="Calibri" w:hAnsi="Times New Roman" w:cs="Times New Roman"/>
          <w:sz w:val="28"/>
          <w:szCs w:val="28"/>
        </w:rPr>
        <w:t>ās</w:t>
      </w:r>
      <w:r w:rsidR="00A30B3D" w:rsidRPr="005B429D">
        <w:rPr>
          <w:rFonts w:ascii="Times New Roman" w:eastAsia="Calibri" w:hAnsi="Times New Roman" w:cs="Times New Roman"/>
          <w:sz w:val="28"/>
          <w:szCs w:val="28"/>
        </w:rPr>
        <w:t xml:space="preserve"> novērota vis</w:t>
      </w:r>
      <w:r w:rsidR="00E27777" w:rsidRPr="005B429D">
        <w:rPr>
          <w:rFonts w:ascii="Times New Roman" w:eastAsia="Calibri" w:hAnsi="Times New Roman" w:cs="Times New Roman"/>
          <w:sz w:val="28"/>
          <w:szCs w:val="28"/>
        </w:rPr>
        <w:t>ā</w:t>
      </w:r>
      <w:r w:rsidR="00A30B3D" w:rsidRPr="005B429D">
        <w:rPr>
          <w:rFonts w:ascii="Times New Roman" w:eastAsia="Calibri" w:hAnsi="Times New Roman" w:cs="Times New Roman"/>
          <w:sz w:val="28"/>
          <w:szCs w:val="28"/>
        </w:rPr>
        <w:t xml:space="preserve"> vērtējamā periodā.</w:t>
      </w:r>
    </w:p>
    <w:p w14:paraId="56517FF1" w14:textId="77777777" w:rsidR="004D3B7B" w:rsidRDefault="004D3B7B" w:rsidP="00237CD7">
      <w:pPr>
        <w:spacing w:before="0" w:after="0" w:line="240" w:lineRule="auto"/>
        <w:ind w:firstLine="720"/>
        <w:jc w:val="both"/>
        <w:rPr>
          <w:rFonts w:ascii="Times New Roman" w:eastAsia="Calibri" w:hAnsi="Times New Roman" w:cs="Times New Roman"/>
          <w:sz w:val="28"/>
          <w:szCs w:val="28"/>
        </w:rPr>
      </w:pPr>
    </w:p>
    <w:p w14:paraId="0FA627E1" w14:textId="77777777" w:rsidR="004B5136" w:rsidRDefault="004B5136" w:rsidP="00237CD7">
      <w:pPr>
        <w:spacing w:before="0" w:after="0" w:line="240" w:lineRule="auto"/>
        <w:ind w:firstLine="720"/>
        <w:jc w:val="both"/>
        <w:rPr>
          <w:rFonts w:ascii="Times New Roman" w:eastAsia="Calibri" w:hAnsi="Times New Roman" w:cs="Times New Roman"/>
          <w:sz w:val="28"/>
          <w:szCs w:val="28"/>
        </w:rPr>
      </w:pPr>
      <w:r w:rsidRPr="00E25833">
        <w:rPr>
          <w:rFonts w:ascii="Times New Roman" w:eastAsia="Calibri" w:hAnsi="Times New Roman" w:cs="Times New Roman"/>
          <w:sz w:val="28"/>
          <w:szCs w:val="28"/>
        </w:rPr>
        <w:t xml:space="preserve">Atsevišķi izdalot būvniecības </w:t>
      </w:r>
      <w:proofErr w:type="spellStart"/>
      <w:r w:rsidR="00D52684">
        <w:rPr>
          <w:rFonts w:ascii="Times New Roman" w:eastAsia="Calibri" w:hAnsi="Times New Roman" w:cs="Times New Roman"/>
          <w:sz w:val="28"/>
          <w:szCs w:val="28"/>
        </w:rPr>
        <w:t>apakš</w:t>
      </w:r>
      <w:r w:rsidRPr="00E25833">
        <w:rPr>
          <w:rFonts w:ascii="Times New Roman" w:eastAsia="Calibri" w:hAnsi="Times New Roman" w:cs="Times New Roman"/>
          <w:sz w:val="28"/>
          <w:szCs w:val="28"/>
        </w:rPr>
        <w:t>nozares</w:t>
      </w:r>
      <w:proofErr w:type="spellEnd"/>
      <w:r w:rsidRPr="00E25833">
        <w:rPr>
          <w:rFonts w:ascii="Times New Roman" w:eastAsia="Calibri" w:hAnsi="Times New Roman" w:cs="Times New Roman"/>
          <w:sz w:val="28"/>
          <w:szCs w:val="28"/>
        </w:rPr>
        <w:t xml:space="preserve">, </w:t>
      </w:r>
      <w:r w:rsidR="00D52684">
        <w:rPr>
          <w:rFonts w:ascii="Times New Roman" w:eastAsia="Calibri" w:hAnsi="Times New Roman" w:cs="Times New Roman"/>
          <w:sz w:val="28"/>
          <w:szCs w:val="28"/>
        </w:rPr>
        <w:t>apkopotie rādītāji parāda</w:t>
      </w:r>
      <w:r w:rsidRPr="00E25833">
        <w:rPr>
          <w:rFonts w:ascii="Times New Roman" w:eastAsia="Calibri" w:hAnsi="Times New Roman" w:cs="Times New Roman"/>
          <w:sz w:val="28"/>
          <w:szCs w:val="28"/>
        </w:rPr>
        <w:t>, ka no 2017.g</w:t>
      </w:r>
      <w:r w:rsidR="007A03C3">
        <w:rPr>
          <w:rFonts w:ascii="Times New Roman" w:eastAsia="Calibri" w:hAnsi="Times New Roman" w:cs="Times New Roman"/>
          <w:sz w:val="28"/>
          <w:szCs w:val="28"/>
        </w:rPr>
        <w:t>ada</w:t>
      </w:r>
      <w:r w:rsidRPr="00E25833">
        <w:rPr>
          <w:rFonts w:ascii="Times New Roman" w:eastAsia="Calibri" w:hAnsi="Times New Roman" w:cs="Times New Roman"/>
          <w:sz w:val="28"/>
          <w:szCs w:val="28"/>
        </w:rPr>
        <w:t xml:space="preserve"> līdz 2018.g</w:t>
      </w:r>
      <w:r w:rsidR="007A03C3">
        <w:rPr>
          <w:rFonts w:ascii="Times New Roman" w:eastAsia="Calibri" w:hAnsi="Times New Roman" w:cs="Times New Roman"/>
          <w:sz w:val="28"/>
          <w:szCs w:val="28"/>
        </w:rPr>
        <w:t>adam</w:t>
      </w:r>
      <w:r w:rsidRPr="00E25833">
        <w:rPr>
          <w:rFonts w:ascii="Times New Roman" w:eastAsia="Calibri" w:hAnsi="Times New Roman" w:cs="Times New Roman"/>
          <w:sz w:val="28"/>
          <w:szCs w:val="28"/>
        </w:rPr>
        <w:t xml:space="preserve"> straujākās </w:t>
      </w:r>
      <w:r w:rsidR="003E12D1">
        <w:rPr>
          <w:rFonts w:ascii="Times New Roman" w:eastAsia="Calibri" w:hAnsi="Times New Roman" w:cs="Times New Roman"/>
          <w:sz w:val="28"/>
          <w:szCs w:val="28"/>
        </w:rPr>
        <w:t>“</w:t>
      </w:r>
      <w:r w:rsidRPr="00E25833">
        <w:rPr>
          <w:rFonts w:ascii="Times New Roman" w:eastAsia="Calibri" w:hAnsi="Times New Roman" w:cs="Times New Roman"/>
          <w:sz w:val="28"/>
          <w:szCs w:val="28"/>
        </w:rPr>
        <w:t>aplokšņu</w:t>
      </w:r>
      <w:r w:rsidR="003E12D1">
        <w:rPr>
          <w:rFonts w:ascii="Times New Roman" w:eastAsia="Calibri" w:hAnsi="Times New Roman" w:cs="Times New Roman"/>
          <w:sz w:val="28"/>
          <w:szCs w:val="28"/>
        </w:rPr>
        <w:t>”</w:t>
      </w:r>
      <w:r w:rsidRPr="00E25833">
        <w:rPr>
          <w:rFonts w:ascii="Times New Roman" w:eastAsia="Calibri" w:hAnsi="Times New Roman" w:cs="Times New Roman"/>
          <w:sz w:val="28"/>
          <w:szCs w:val="28"/>
        </w:rPr>
        <w:t xml:space="preserve"> algas </w:t>
      </w:r>
      <w:r w:rsidR="00EC4D9B">
        <w:rPr>
          <w:rFonts w:ascii="Times New Roman" w:eastAsia="Calibri" w:hAnsi="Times New Roman" w:cs="Times New Roman"/>
          <w:sz w:val="28"/>
          <w:szCs w:val="28"/>
        </w:rPr>
        <w:t xml:space="preserve">samazinājuma </w:t>
      </w:r>
      <w:r w:rsidRPr="00E25833">
        <w:rPr>
          <w:rFonts w:ascii="Times New Roman" w:eastAsia="Calibri" w:hAnsi="Times New Roman" w:cs="Times New Roman"/>
          <w:sz w:val="28"/>
          <w:szCs w:val="28"/>
        </w:rPr>
        <w:t xml:space="preserve">izmaiņas novērojamas </w:t>
      </w:r>
      <w:r w:rsidR="007A03C3">
        <w:rPr>
          <w:rFonts w:ascii="Times New Roman" w:eastAsia="Calibri" w:hAnsi="Times New Roman" w:cs="Times New Roman"/>
          <w:sz w:val="28"/>
          <w:szCs w:val="28"/>
        </w:rPr>
        <w:t>ē</w:t>
      </w:r>
      <w:r w:rsidRPr="00E25833">
        <w:rPr>
          <w:rFonts w:ascii="Times New Roman" w:eastAsia="Calibri" w:hAnsi="Times New Roman" w:cs="Times New Roman"/>
          <w:sz w:val="28"/>
          <w:szCs w:val="28"/>
        </w:rPr>
        <w:t>ku būvniecības nozarē</w:t>
      </w:r>
      <w:r w:rsidR="007A03C3">
        <w:rPr>
          <w:rFonts w:ascii="Times New Roman" w:eastAsia="Calibri" w:hAnsi="Times New Roman" w:cs="Times New Roman"/>
          <w:sz w:val="28"/>
          <w:szCs w:val="28"/>
        </w:rPr>
        <w:t> –</w:t>
      </w:r>
      <w:r w:rsidRPr="00E25833">
        <w:rPr>
          <w:rFonts w:ascii="Times New Roman" w:eastAsia="Calibri" w:hAnsi="Times New Roman" w:cs="Times New Roman"/>
          <w:sz w:val="28"/>
          <w:szCs w:val="28"/>
        </w:rPr>
        <w:t xml:space="preserve"> par 1,7</w:t>
      </w:r>
      <w:r w:rsidR="007A03C3">
        <w:rPr>
          <w:rFonts w:ascii="Times New Roman" w:eastAsia="Calibri" w:hAnsi="Times New Roman" w:cs="Times New Roman"/>
          <w:sz w:val="28"/>
          <w:szCs w:val="28"/>
        </w:rPr>
        <w:t> </w:t>
      </w:r>
      <w:r w:rsidRPr="00E25833">
        <w:rPr>
          <w:rFonts w:ascii="Times New Roman" w:eastAsia="Calibri" w:hAnsi="Times New Roman" w:cs="Times New Roman"/>
          <w:sz w:val="28"/>
          <w:szCs w:val="28"/>
        </w:rPr>
        <w:t xml:space="preserve">procentpunktiem un </w:t>
      </w:r>
      <w:r w:rsidR="007A03C3">
        <w:rPr>
          <w:rFonts w:ascii="Times New Roman" w:eastAsia="Calibri" w:hAnsi="Times New Roman" w:cs="Times New Roman"/>
          <w:sz w:val="28"/>
          <w:szCs w:val="28"/>
        </w:rPr>
        <w:t>s</w:t>
      </w:r>
      <w:r w:rsidRPr="00E25833">
        <w:rPr>
          <w:rFonts w:ascii="Times New Roman" w:eastAsia="Calibri" w:hAnsi="Times New Roman" w:cs="Times New Roman"/>
          <w:sz w:val="28"/>
          <w:szCs w:val="28"/>
        </w:rPr>
        <w:t>pecializēto būvdarbu nozarē</w:t>
      </w:r>
      <w:r w:rsidR="007A03C3">
        <w:rPr>
          <w:rFonts w:ascii="Times New Roman" w:eastAsia="Calibri" w:hAnsi="Times New Roman" w:cs="Times New Roman"/>
          <w:sz w:val="28"/>
          <w:szCs w:val="28"/>
        </w:rPr>
        <w:t> –</w:t>
      </w:r>
      <w:r w:rsidRPr="00E25833">
        <w:rPr>
          <w:rFonts w:ascii="Times New Roman" w:eastAsia="Calibri" w:hAnsi="Times New Roman" w:cs="Times New Roman"/>
          <w:sz w:val="28"/>
          <w:szCs w:val="28"/>
        </w:rPr>
        <w:t xml:space="preserve"> par 1,4</w:t>
      </w:r>
      <w:r w:rsidR="007A03C3">
        <w:rPr>
          <w:rFonts w:ascii="Times New Roman" w:eastAsia="Calibri" w:hAnsi="Times New Roman" w:cs="Times New Roman"/>
          <w:sz w:val="28"/>
          <w:szCs w:val="28"/>
        </w:rPr>
        <w:t> </w:t>
      </w:r>
      <w:r w:rsidRPr="00E25833">
        <w:rPr>
          <w:rFonts w:ascii="Times New Roman" w:eastAsia="Calibri" w:hAnsi="Times New Roman" w:cs="Times New Roman"/>
          <w:sz w:val="28"/>
          <w:szCs w:val="28"/>
        </w:rPr>
        <w:t xml:space="preserve">procentpunktiem (skatīt </w:t>
      </w:r>
      <w:r w:rsidR="004F397E">
        <w:rPr>
          <w:rFonts w:ascii="Times New Roman" w:eastAsia="Calibri" w:hAnsi="Times New Roman" w:cs="Times New Roman"/>
          <w:sz w:val="28"/>
          <w:szCs w:val="28"/>
        </w:rPr>
        <w:t>8</w:t>
      </w:r>
      <w:r w:rsidRPr="00E25833">
        <w:rPr>
          <w:rFonts w:ascii="Times New Roman" w:eastAsia="Calibri" w:hAnsi="Times New Roman" w:cs="Times New Roman"/>
          <w:sz w:val="28"/>
          <w:szCs w:val="28"/>
        </w:rPr>
        <w:t>.tabulu). Šī tendence turpinās arī no 2018.g</w:t>
      </w:r>
      <w:r w:rsidR="007A03C3">
        <w:rPr>
          <w:rFonts w:ascii="Times New Roman" w:eastAsia="Calibri" w:hAnsi="Times New Roman" w:cs="Times New Roman"/>
          <w:sz w:val="28"/>
          <w:szCs w:val="28"/>
        </w:rPr>
        <w:t>ada</w:t>
      </w:r>
      <w:r w:rsidRPr="00E25833">
        <w:rPr>
          <w:rFonts w:ascii="Times New Roman" w:eastAsia="Calibri" w:hAnsi="Times New Roman" w:cs="Times New Roman"/>
          <w:sz w:val="28"/>
          <w:szCs w:val="28"/>
        </w:rPr>
        <w:t xml:space="preserve"> līdz 2019.g</w:t>
      </w:r>
      <w:r w:rsidR="007A03C3">
        <w:rPr>
          <w:rFonts w:ascii="Times New Roman" w:eastAsia="Calibri" w:hAnsi="Times New Roman" w:cs="Times New Roman"/>
          <w:sz w:val="28"/>
          <w:szCs w:val="28"/>
        </w:rPr>
        <w:t>adam</w:t>
      </w:r>
      <w:r w:rsidRPr="00E25833">
        <w:rPr>
          <w:rFonts w:ascii="Times New Roman" w:eastAsia="Calibri" w:hAnsi="Times New Roman" w:cs="Times New Roman"/>
          <w:sz w:val="28"/>
          <w:szCs w:val="28"/>
        </w:rPr>
        <w:t xml:space="preserve">, </w:t>
      </w:r>
      <w:r w:rsidR="007A03C3">
        <w:rPr>
          <w:rFonts w:ascii="Times New Roman" w:eastAsia="Calibri" w:hAnsi="Times New Roman" w:cs="Times New Roman"/>
          <w:sz w:val="28"/>
          <w:szCs w:val="28"/>
        </w:rPr>
        <w:t>ē</w:t>
      </w:r>
      <w:r w:rsidRPr="00E25833">
        <w:rPr>
          <w:rFonts w:ascii="Times New Roman" w:eastAsia="Calibri" w:hAnsi="Times New Roman" w:cs="Times New Roman"/>
          <w:sz w:val="28"/>
          <w:szCs w:val="28"/>
        </w:rPr>
        <w:t xml:space="preserve">ku būvniecības nozarē </w:t>
      </w:r>
      <w:r w:rsidR="003E12D1">
        <w:rPr>
          <w:rFonts w:ascii="Times New Roman" w:eastAsia="Calibri" w:hAnsi="Times New Roman" w:cs="Times New Roman"/>
          <w:sz w:val="28"/>
          <w:szCs w:val="28"/>
        </w:rPr>
        <w:t>“</w:t>
      </w:r>
      <w:r w:rsidRPr="00E25833">
        <w:rPr>
          <w:rFonts w:ascii="Times New Roman" w:eastAsia="Calibri" w:hAnsi="Times New Roman" w:cs="Times New Roman"/>
          <w:sz w:val="28"/>
          <w:szCs w:val="28"/>
        </w:rPr>
        <w:t>aplokšņu</w:t>
      </w:r>
      <w:r w:rsidR="003E12D1">
        <w:rPr>
          <w:rFonts w:ascii="Times New Roman" w:eastAsia="Calibri" w:hAnsi="Times New Roman" w:cs="Times New Roman"/>
          <w:sz w:val="28"/>
          <w:szCs w:val="28"/>
        </w:rPr>
        <w:t>”</w:t>
      </w:r>
      <w:r w:rsidRPr="00E25833">
        <w:rPr>
          <w:rFonts w:ascii="Times New Roman" w:eastAsia="Calibri" w:hAnsi="Times New Roman" w:cs="Times New Roman"/>
          <w:sz w:val="28"/>
          <w:szCs w:val="28"/>
        </w:rPr>
        <w:t xml:space="preserve"> algas īpatsvars samazinājās par 1,7</w:t>
      </w:r>
      <w:r w:rsidR="007A03C3">
        <w:rPr>
          <w:rFonts w:ascii="Times New Roman" w:eastAsia="Calibri" w:hAnsi="Times New Roman" w:cs="Times New Roman"/>
          <w:sz w:val="28"/>
          <w:szCs w:val="28"/>
        </w:rPr>
        <w:t> </w:t>
      </w:r>
      <w:r w:rsidRPr="00E25833">
        <w:rPr>
          <w:rFonts w:ascii="Times New Roman" w:eastAsia="Calibri" w:hAnsi="Times New Roman" w:cs="Times New Roman"/>
          <w:sz w:val="28"/>
          <w:szCs w:val="28"/>
        </w:rPr>
        <w:t xml:space="preserve">procentpunktiem un </w:t>
      </w:r>
      <w:r w:rsidR="007A03C3">
        <w:rPr>
          <w:rFonts w:ascii="Times New Roman" w:eastAsia="Calibri" w:hAnsi="Times New Roman" w:cs="Times New Roman"/>
          <w:sz w:val="28"/>
          <w:szCs w:val="28"/>
        </w:rPr>
        <w:t>s</w:t>
      </w:r>
      <w:r w:rsidRPr="00E25833">
        <w:rPr>
          <w:rFonts w:ascii="Times New Roman" w:eastAsia="Calibri" w:hAnsi="Times New Roman" w:cs="Times New Roman"/>
          <w:sz w:val="28"/>
          <w:szCs w:val="28"/>
        </w:rPr>
        <w:t>pecializēto būvdarbu nozarē par 0,9</w:t>
      </w:r>
      <w:r w:rsidR="007A03C3">
        <w:rPr>
          <w:rFonts w:ascii="Times New Roman" w:eastAsia="Calibri" w:hAnsi="Times New Roman" w:cs="Times New Roman"/>
          <w:sz w:val="28"/>
          <w:szCs w:val="28"/>
        </w:rPr>
        <w:t> </w:t>
      </w:r>
      <w:r w:rsidRPr="00E25833">
        <w:rPr>
          <w:rFonts w:ascii="Times New Roman" w:eastAsia="Calibri" w:hAnsi="Times New Roman" w:cs="Times New Roman"/>
          <w:sz w:val="28"/>
          <w:szCs w:val="28"/>
        </w:rPr>
        <w:t xml:space="preserve">procentpunktiem. </w:t>
      </w:r>
    </w:p>
    <w:p w14:paraId="7454A8B8" w14:textId="77777777" w:rsidR="004D3B7B" w:rsidRPr="00E25833" w:rsidRDefault="004D3B7B">
      <w:pPr>
        <w:spacing w:before="0" w:after="0" w:line="240" w:lineRule="auto"/>
        <w:ind w:firstLine="720"/>
        <w:jc w:val="both"/>
        <w:rPr>
          <w:rFonts w:ascii="Times New Roman" w:eastAsia="Calibri" w:hAnsi="Times New Roman" w:cs="Times New Roman"/>
          <w:sz w:val="28"/>
          <w:szCs w:val="28"/>
        </w:rPr>
      </w:pPr>
    </w:p>
    <w:p w14:paraId="6ED98DB5" w14:textId="77777777" w:rsidR="004B5136" w:rsidRPr="004F397E" w:rsidRDefault="00FC7F51" w:rsidP="004B5136">
      <w:pPr>
        <w:spacing w:before="0" w:after="0" w:line="240" w:lineRule="auto"/>
        <w:ind w:firstLine="720"/>
        <w:jc w:val="right"/>
        <w:rPr>
          <w:rFonts w:ascii="Times New Roman" w:eastAsia="Calibri" w:hAnsi="Times New Roman" w:cs="Times New Roman"/>
          <w:sz w:val="28"/>
          <w:szCs w:val="22"/>
        </w:rPr>
      </w:pPr>
      <w:r>
        <w:rPr>
          <w:rFonts w:ascii="Times New Roman" w:eastAsia="Calibri" w:hAnsi="Times New Roman" w:cs="Times New Roman"/>
          <w:sz w:val="28"/>
          <w:szCs w:val="22"/>
        </w:rPr>
        <w:t>12</w:t>
      </w:r>
      <w:r w:rsidR="004F397E" w:rsidRPr="004F397E">
        <w:rPr>
          <w:rFonts w:ascii="Times New Roman" w:eastAsia="Calibri" w:hAnsi="Times New Roman" w:cs="Times New Roman"/>
          <w:sz w:val="28"/>
          <w:szCs w:val="22"/>
        </w:rPr>
        <w:t>.</w:t>
      </w:r>
      <w:r w:rsidR="004B5136" w:rsidRPr="004F397E">
        <w:rPr>
          <w:rFonts w:ascii="Times New Roman" w:eastAsia="Calibri" w:hAnsi="Times New Roman" w:cs="Times New Roman"/>
          <w:sz w:val="28"/>
          <w:szCs w:val="22"/>
        </w:rPr>
        <w:t>tabula</w:t>
      </w:r>
    </w:p>
    <w:p w14:paraId="2B1E4421" w14:textId="77777777" w:rsidR="004B5136" w:rsidRPr="00E25833" w:rsidRDefault="004B5136" w:rsidP="004B5136">
      <w:pPr>
        <w:spacing w:before="0" w:after="0" w:line="240" w:lineRule="auto"/>
        <w:jc w:val="center"/>
        <w:rPr>
          <w:rFonts w:ascii="Times New Roman" w:eastAsia="Calibri" w:hAnsi="Times New Roman" w:cs="Times New Roman"/>
          <w:b/>
          <w:sz w:val="28"/>
          <w:szCs w:val="28"/>
        </w:rPr>
      </w:pPr>
      <w:r w:rsidRPr="00E25833">
        <w:rPr>
          <w:rFonts w:ascii="Times New Roman" w:eastAsia="Calibri" w:hAnsi="Times New Roman" w:cs="Times New Roman"/>
          <w:b/>
          <w:sz w:val="28"/>
          <w:szCs w:val="28"/>
        </w:rPr>
        <w:t xml:space="preserve">Informācija par </w:t>
      </w:r>
      <w:r w:rsidR="003E12D1">
        <w:rPr>
          <w:rFonts w:ascii="Times New Roman" w:eastAsia="Calibri" w:hAnsi="Times New Roman" w:cs="Times New Roman"/>
          <w:b/>
          <w:sz w:val="28"/>
          <w:szCs w:val="28"/>
        </w:rPr>
        <w:t>“</w:t>
      </w:r>
      <w:r w:rsidRPr="00E25833">
        <w:rPr>
          <w:rFonts w:ascii="Times New Roman" w:eastAsia="Calibri" w:hAnsi="Times New Roman" w:cs="Times New Roman"/>
          <w:b/>
          <w:sz w:val="28"/>
          <w:szCs w:val="28"/>
        </w:rPr>
        <w:t>aplokšņu</w:t>
      </w:r>
      <w:r w:rsidR="003E12D1">
        <w:rPr>
          <w:rFonts w:ascii="Times New Roman" w:eastAsia="Calibri" w:hAnsi="Times New Roman" w:cs="Times New Roman"/>
          <w:b/>
          <w:sz w:val="28"/>
          <w:szCs w:val="28"/>
        </w:rPr>
        <w:t>”</w:t>
      </w:r>
      <w:r w:rsidRPr="00E25833">
        <w:rPr>
          <w:rFonts w:ascii="Times New Roman" w:eastAsia="Calibri" w:hAnsi="Times New Roman" w:cs="Times New Roman"/>
          <w:b/>
          <w:sz w:val="28"/>
          <w:szCs w:val="28"/>
        </w:rPr>
        <w:t xml:space="preserve"> algas dinamiku</w:t>
      </w:r>
      <w:r w:rsidR="007A03C3">
        <w:rPr>
          <w:rFonts w:ascii="Times New Roman" w:eastAsia="Calibri" w:hAnsi="Times New Roman" w:cs="Times New Roman"/>
          <w:b/>
          <w:sz w:val="28"/>
          <w:szCs w:val="28"/>
        </w:rPr>
        <w:t>,</w:t>
      </w:r>
      <w:r w:rsidRPr="00E25833">
        <w:rPr>
          <w:rFonts w:ascii="Times New Roman" w:eastAsia="Calibri" w:hAnsi="Times New Roman" w:cs="Times New Roman"/>
          <w:b/>
          <w:sz w:val="28"/>
          <w:szCs w:val="28"/>
        </w:rPr>
        <w:t xml:space="preserve"> atsevišķi izdalot būvniecības </w:t>
      </w:r>
      <w:proofErr w:type="spellStart"/>
      <w:r w:rsidR="00373111">
        <w:rPr>
          <w:rFonts w:ascii="Times New Roman" w:eastAsia="Calibri" w:hAnsi="Times New Roman" w:cs="Times New Roman"/>
          <w:b/>
          <w:sz w:val="28"/>
          <w:szCs w:val="28"/>
        </w:rPr>
        <w:t>apakš</w:t>
      </w:r>
      <w:r w:rsidRPr="00E25833">
        <w:rPr>
          <w:rFonts w:ascii="Times New Roman" w:eastAsia="Calibri" w:hAnsi="Times New Roman" w:cs="Times New Roman"/>
          <w:b/>
          <w:sz w:val="28"/>
          <w:szCs w:val="28"/>
        </w:rPr>
        <w:t>nozares</w:t>
      </w:r>
      <w:proofErr w:type="spellEnd"/>
    </w:p>
    <w:p w14:paraId="432864B4" w14:textId="77777777" w:rsidR="004B5136" w:rsidRPr="00E25833" w:rsidRDefault="004B5136" w:rsidP="004B5136">
      <w:pPr>
        <w:spacing w:before="0" w:after="0" w:line="240" w:lineRule="auto"/>
        <w:rPr>
          <w:rFonts w:ascii="Times New Roman" w:eastAsia="Calibri" w:hAnsi="Times New Roman" w:cs="Times New Roman"/>
        </w:rPr>
      </w:pPr>
      <w:r w:rsidRPr="00E25833">
        <w:rPr>
          <w:rFonts w:ascii="Times New Roman" w:eastAsia="Calibri" w:hAnsi="Times New Roman" w:cs="Times New Roman"/>
        </w:rPr>
        <w:t>Dati uz 2020.gada 24.martu</w:t>
      </w:r>
    </w:p>
    <w:tbl>
      <w:tblPr>
        <w:tblStyle w:val="TableGrid2"/>
        <w:tblW w:w="9404" w:type="dxa"/>
        <w:tblInd w:w="-289" w:type="dxa"/>
        <w:tblLook w:val="04A0" w:firstRow="1" w:lastRow="0" w:firstColumn="1" w:lastColumn="0" w:noHBand="0" w:noVBand="1"/>
      </w:tblPr>
      <w:tblGrid>
        <w:gridCol w:w="4112"/>
        <w:gridCol w:w="992"/>
        <w:gridCol w:w="992"/>
        <w:gridCol w:w="1040"/>
        <w:gridCol w:w="1134"/>
        <w:gridCol w:w="1134"/>
      </w:tblGrid>
      <w:tr w:rsidR="004B5136" w:rsidRPr="00E25833" w14:paraId="78B83AC8" w14:textId="77777777" w:rsidTr="004B5136">
        <w:trPr>
          <w:trHeight w:val="225"/>
        </w:trPr>
        <w:tc>
          <w:tcPr>
            <w:tcW w:w="4112" w:type="dxa"/>
            <w:noWrap/>
            <w:hideMark/>
          </w:tcPr>
          <w:p w14:paraId="7FAC2880" w14:textId="77777777" w:rsidR="004B5136" w:rsidRPr="00E25833" w:rsidRDefault="004B5136" w:rsidP="004B5136">
            <w:pPr>
              <w:jc w:val="both"/>
              <w:rPr>
                <w:rFonts w:ascii="Times New Roman" w:eastAsia="Calibri" w:hAnsi="Times New Roman"/>
                <w:sz w:val="18"/>
                <w:szCs w:val="18"/>
              </w:rPr>
            </w:pPr>
          </w:p>
        </w:tc>
        <w:tc>
          <w:tcPr>
            <w:tcW w:w="992" w:type="dxa"/>
            <w:noWrap/>
            <w:hideMark/>
          </w:tcPr>
          <w:p w14:paraId="0A9AB1E9" w14:textId="77777777" w:rsidR="004B5136" w:rsidRPr="00E25833" w:rsidRDefault="004B5136" w:rsidP="004B5136">
            <w:pPr>
              <w:jc w:val="center"/>
              <w:rPr>
                <w:rFonts w:ascii="Times New Roman" w:eastAsia="Calibri" w:hAnsi="Times New Roman"/>
                <w:b/>
                <w:sz w:val="18"/>
                <w:szCs w:val="18"/>
              </w:rPr>
            </w:pPr>
            <w:r w:rsidRPr="00E25833">
              <w:rPr>
                <w:rFonts w:ascii="Times New Roman" w:eastAsia="Calibri" w:hAnsi="Times New Roman"/>
                <w:b/>
                <w:sz w:val="18"/>
                <w:szCs w:val="18"/>
              </w:rPr>
              <w:t>2017.g.</w:t>
            </w:r>
          </w:p>
        </w:tc>
        <w:tc>
          <w:tcPr>
            <w:tcW w:w="992" w:type="dxa"/>
            <w:noWrap/>
            <w:hideMark/>
          </w:tcPr>
          <w:p w14:paraId="6BA7F169" w14:textId="77777777" w:rsidR="004B5136" w:rsidRPr="00E25833" w:rsidRDefault="004B5136" w:rsidP="004B5136">
            <w:pPr>
              <w:jc w:val="center"/>
              <w:rPr>
                <w:rFonts w:ascii="Times New Roman" w:eastAsia="Calibri" w:hAnsi="Times New Roman"/>
                <w:b/>
                <w:sz w:val="18"/>
                <w:szCs w:val="18"/>
              </w:rPr>
            </w:pPr>
            <w:r w:rsidRPr="00E25833">
              <w:rPr>
                <w:rFonts w:ascii="Times New Roman" w:eastAsia="Calibri" w:hAnsi="Times New Roman"/>
                <w:b/>
                <w:sz w:val="18"/>
                <w:szCs w:val="18"/>
              </w:rPr>
              <w:t>2018.g</w:t>
            </w:r>
          </w:p>
        </w:tc>
        <w:tc>
          <w:tcPr>
            <w:tcW w:w="1040" w:type="dxa"/>
            <w:noWrap/>
            <w:hideMark/>
          </w:tcPr>
          <w:p w14:paraId="24E54B12" w14:textId="77777777" w:rsidR="004B5136" w:rsidRPr="00E25833" w:rsidRDefault="004B5136" w:rsidP="004B5136">
            <w:pPr>
              <w:ind w:firstLine="25"/>
              <w:jc w:val="center"/>
              <w:rPr>
                <w:rFonts w:ascii="Times New Roman" w:eastAsia="Calibri" w:hAnsi="Times New Roman"/>
                <w:b/>
                <w:sz w:val="18"/>
                <w:szCs w:val="18"/>
              </w:rPr>
            </w:pPr>
            <w:r w:rsidRPr="00E25833">
              <w:rPr>
                <w:rFonts w:ascii="Times New Roman" w:eastAsia="Calibri" w:hAnsi="Times New Roman"/>
                <w:b/>
                <w:sz w:val="18"/>
                <w:szCs w:val="18"/>
              </w:rPr>
              <w:t>2019.g.</w:t>
            </w:r>
          </w:p>
        </w:tc>
        <w:tc>
          <w:tcPr>
            <w:tcW w:w="1134" w:type="dxa"/>
            <w:noWrap/>
            <w:hideMark/>
          </w:tcPr>
          <w:p w14:paraId="0B7DCA2F" w14:textId="77777777" w:rsidR="004B5136" w:rsidRPr="00E25833" w:rsidRDefault="004B5136" w:rsidP="004B5136">
            <w:pPr>
              <w:jc w:val="center"/>
              <w:rPr>
                <w:rFonts w:ascii="Times New Roman" w:eastAsia="Calibri" w:hAnsi="Times New Roman"/>
                <w:b/>
                <w:sz w:val="18"/>
                <w:szCs w:val="18"/>
              </w:rPr>
            </w:pPr>
            <w:r w:rsidRPr="00E25833">
              <w:rPr>
                <w:rFonts w:ascii="Times New Roman" w:eastAsia="Calibri" w:hAnsi="Times New Roman"/>
                <w:b/>
                <w:sz w:val="18"/>
                <w:szCs w:val="18"/>
              </w:rPr>
              <w:t>∆ 2018.g.</w:t>
            </w:r>
          </w:p>
        </w:tc>
        <w:tc>
          <w:tcPr>
            <w:tcW w:w="1134" w:type="dxa"/>
            <w:noWrap/>
            <w:hideMark/>
          </w:tcPr>
          <w:p w14:paraId="73C21BFA" w14:textId="77777777" w:rsidR="004B5136" w:rsidRPr="00E25833" w:rsidRDefault="004B5136" w:rsidP="004B5136">
            <w:pPr>
              <w:jc w:val="center"/>
              <w:rPr>
                <w:rFonts w:ascii="Times New Roman" w:eastAsia="Calibri" w:hAnsi="Times New Roman"/>
                <w:b/>
                <w:sz w:val="18"/>
                <w:szCs w:val="18"/>
              </w:rPr>
            </w:pPr>
            <w:r w:rsidRPr="00E25833">
              <w:rPr>
                <w:rFonts w:ascii="Times New Roman" w:eastAsia="Calibri" w:hAnsi="Times New Roman"/>
                <w:b/>
                <w:sz w:val="18"/>
                <w:szCs w:val="18"/>
              </w:rPr>
              <w:t>∆ 2019.g</w:t>
            </w:r>
          </w:p>
        </w:tc>
      </w:tr>
      <w:tr w:rsidR="004B5136" w:rsidRPr="00E25833" w14:paraId="6970C9EE" w14:textId="77777777" w:rsidTr="004B5136">
        <w:trPr>
          <w:trHeight w:val="225"/>
        </w:trPr>
        <w:tc>
          <w:tcPr>
            <w:tcW w:w="9404" w:type="dxa"/>
            <w:gridSpan w:val="6"/>
            <w:shd w:val="clear" w:color="auto" w:fill="D0CECE"/>
            <w:noWrap/>
            <w:hideMark/>
          </w:tcPr>
          <w:p w14:paraId="4EB3F953" w14:textId="77777777" w:rsidR="004B5136" w:rsidRPr="00E25833" w:rsidRDefault="004B5136" w:rsidP="004B5136">
            <w:pPr>
              <w:jc w:val="center"/>
              <w:rPr>
                <w:rFonts w:ascii="Times New Roman" w:eastAsia="Calibri" w:hAnsi="Times New Roman"/>
                <w:sz w:val="18"/>
                <w:szCs w:val="18"/>
              </w:rPr>
            </w:pPr>
            <w:r w:rsidRPr="005E08CF">
              <w:rPr>
                <w:rFonts w:ascii="Times New Roman" w:eastAsia="Calibri" w:hAnsi="Times New Roman"/>
                <w:b/>
                <w:bCs/>
                <w:i/>
                <w:iCs/>
                <w:sz w:val="18"/>
                <w:szCs w:val="18"/>
              </w:rPr>
              <w:t>NACE</w:t>
            </w:r>
            <w:r w:rsidRPr="00E25833">
              <w:rPr>
                <w:rFonts w:ascii="Times New Roman" w:eastAsia="Calibri" w:hAnsi="Times New Roman"/>
                <w:b/>
                <w:bCs/>
                <w:sz w:val="18"/>
                <w:szCs w:val="18"/>
              </w:rPr>
              <w:t xml:space="preserve"> 41 Ēku būvniecība</w:t>
            </w:r>
          </w:p>
        </w:tc>
      </w:tr>
      <w:tr w:rsidR="004B5136" w:rsidRPr="00E25833" w14:paraId="4710D904" w14:textId="77777777" w:rsidTr="004B5136">
        <w:trPr>
          <w:trHeight w:val="225"/>
        </w:trPr>
        <w:tc>
          <w:tcPr>
            <w:tcW w:w="4112" w:type="dxa"/>
            <w:noWrap/>
            <w:hideMark/>
          </w:tcPr>
          <w:p w14:paraId="26FF9511" w14:textId="77777777" w:rsidR="004B5136" w:rsidRPr="00E25833" w:rsidRDefault="004B5136" w:rsidP="004B5136">
            <w:pPr>
              <w:jc w:val="both"/>
              <w:rPr>
                <w:rFonts w:ascii="Times New Roman" w:eastAsia="Calibri" w:hAnsi="Times New Roman"/>
                <w:sz w:val="18"/>
                <w:szCs w:val="18"/>
              </w:rPr>
            </w:pPr>
            <w:r w:rsidRPr="00E25833">
              <w:rPr>
                <w:rFonts w:ascii="Times New Roman" w:eastAsia="Calibri" w:hAnsi="Times New Roman"/>
                <w:sz w:val="18"/>
                <w:szCs w:val="18"/>
              </w:rPr>
              <w:t xml:space="preserve">Nedeklarētā alga bruto kopā (tikai </w:t>
            </w:r>
            <w:proofErr w:type="spellStart"/>
            <w:r w:rsidRPr="00E25833">
              <w:rPr>
                <w:rFonts w:ascii="Times New Roman" w:eastAsia="Calibri" w:hAnsi="Times New Roman"/>
                <w:sz w:val="18"/>
                <w:szCs w:val="18"/>
              </w:rPr>
              <w:t>komercsektors</w:t>
            </w:r>
            <w:proofErr w:type="spellEnd"/>
            <w:r w:rsidRPr="00E25833">
              <w:rPr>
                <w:rFonts w:ascii="Times New Roman" w:eastAsia="Calibri" w:hAnsi="Times New Roman"/>
                <w:sz w:val="18"/>
                <w:szCs w:val="18"/>
              </w:rPr>
              <w:t xml:space="preserve">), tūkst. </w:t>
            </w:r>
            <w:proofErr w:type="spellStart"/>
            <w:r w:rsidR="00052521" w:rsidRPr="006610D8">
              <w:rPr>
                <w:rFonts w:ascii="Times New Roman" w:eastAsia="Calibri" w:hAnsi="Times New Roman"/>
                <w:i/>
                <w:iCs/>
                <w:sz w:val="18"/>
                <w:szCs w:val="18"/>
              </w:rPr>
              <w:t>euro</w:t>
            </w:r>
            <w:proofErr w:type="spellEnd"/>
          </w:p>
        </w:tc>
        <w:tc>
          <w:tcPr>
            <w:tcW w:w="992" w:type="dxa"/>
            <w:noWrap/>
            <w:vAlign w:val="center"/>
            <w:hideMark/>
          </w:tcPr>
          <w:p w14:paraId="36066C57"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36</w:t>
            </w:r>
            <w:r w:rsidR="004B26C6">
              <w:rPr>
                <w:rFonts w:ascii="Times New Roman" w:eastAsia="Calibri" w:hAnsi="Times New Roman"/>
                <w:sz w:val="18"/>
                <w:szCs w:val="18"/>
              </w:rPr>
              <w:t> </w:t>
            </w:r>
            <w:r w:rsidRPr="00E25833">
              <w:rPr>
                <w:rFonts w:ascii="Times New Roman" w:eastAsia="Calibri" w:hAnsi="Times New Roman"/>
                <w:sz w:val="18"/>
                <w:szCs w:val="18"/>
              </w:rPr>
              <w:t>832</w:t>
            </w:r>
          </w:p>
        </w:tc>
        <w:tc>
          <w:tcPr>
            <w:tcW w:w="992" w:type="dxa"/>
            <w:noWrap/>
            <w:vAlign w:val="center"/>
            <w:hideMark/>
          </w:tcPr>
          <w:p w14:paraId="2F77242B"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41</w:t>
            </w:r>
            <w:r w:rsidR="004B26C6">
              <w:rPr>
                <w:rFonts w:ascii="Times New Roman" w:eastAsia="Calibri" w:hAnsi="Times New Roman"/>
                <w:sz w:val="18"/>
                <w:szCs w:val="18"/>
              </w:rPr>
              <w:t> </w:t>
            </w:r>
            <w:r w:rsidRPr="00E25833">
              <w:rPr>
                <w:rFonts w:ascii="Times New Roman" w:eastAsia="Calibri" w:hAnsi="Times New Roman"/>
                <w:sz w:val="18"/>
                <w:szCs w:val="18"/>
              </w:rPr>
              <w:t>691</w:t>
            </w:r>
          </w:p>
        </w:tc>
        <w:tc>
          <w:tcPr>
            <w:tcW w:w="1040" w:type="dxa"/>
            <w:noWrap/>
            <w:vAlign w:val="center"/>
            <w:hideMark/>
          </w:tcPr>
          <w:p w14:paraId="08B341F1" w14:textId="77777777" w:rsidR="004B5136" w:rsidRPr="00E25833" w:rsidRDefault="004B5136" w:rsidP="004B5136">
            <w:pPr>
              <w:ind w:firstLine="25"/>
              <w:jc w:val="center"/>
              <w:rPr>
                <w:rFonts w:ascii="Times New Roman" w:eastAsia="Calibri" w:hAnsi="Times New Roman"/>
                <w:sz w:val="18"/>
                <w:szCs w:val="18"/>
              </w:rPr>
            </w:pPr>
            <w:r w:rsidRPr="00E25833">
              <w:rPr>
                <w:rFonts w:ascii="Times New Roman" w:eastAsia="Calibri" w:hAnsi="Times New Roman"/>
                <w:sz w:val="18"/>
                <w:szCs w:val="18"/>
              </w:rPr>
              <w:t>42</w:t>
            </w:r>
            <w:r w:rsidR="004B26C6">
              <w:rPr>
                <w:rFonts w:ascii="Times New Roman" w:eastAsia="Calibri" w:hAnsi="Times New Roman"/>
                <w:sz w:val="18"/>
                <w:szCs w:val="18"/>
              </w:rPr>
              <w:t> </w:t>
            </w:r>
            <w:r w:rsidRPr="00E25833">
              <w:rPr>
                <w:rFonts w:ascii="Times New Roman" w:eastAsia="Calibri" w:hAnsi="Times New Roman"/>
                <w:sz w:val="18"/>
                <w:szCs w:val="18"/>
              </w:rPr>
              <w:t>902</w:t>
            </w:r>
          </w:p>
        </w:tc>
        <w:tc>
          <w:tcPr>
            <w:tcW w:w="1134" w:type="dxa"/>
            <w:noWrap/>
            <w:vAlign w:val="center"/>
            <w:hideMark/>
          </w:tcPr>
          <w:p w14:paraId="5FF5767E"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4858</w:t>
            </w:r>
          </w:p>
        </w:tc>
        <w:tc>
          <w:tcPr>
            <w:tcW w:w="1134" w:type="dxa"/>
            <w:noWrap/>
            <w:vAlign w:val="center"/>
            <w:hideMark/>
          </w:tcPr>
          <w:p w14:paraId="66CFA599"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1211</w:t>
            </w:r>
          </w:p>
        </w:tc>
      </w:tr>
      <w:tr w:rsidR="004B5136" w:rsidRPr="00E25833" w14:paraId="41684B99" w14:textId="77777777" w:rsidTr="004B5136">
        <w:trPr>
          <w:trHeight w:val="225"/>
        </w:trPr>
        <w:tc>
          <w:tcPr>
            <w:tcW w:w="4112" w:type="dxa"/>
            <w:noWrap/>
            <w:hideMark/>
          </w:tcPr>
          <w:p w14:paraId="6C6240A6" w14:textId="77777777" w:rsidR="004B5136" w:rsidRPr="006610D8" w:rsidRDefault="004B5136" w:rsidP="004B5136">
            <w:pPr>
              <w:jc w:val="both"/>
              <w:rPr>
                <w:rFonts w:ascii="Times New Roman" w:eastAsia="Calibri" w:hAnsi="Times New Roman"/>
                <w:sz w:val="14"/>
                <w:szCs w:val="14"/>
              </w:rPr>
            </w:pPr>
            <w:r w:rsidRPr="00E25833">
              <w:rPr>
                <w:rFonts w:ascii="Times New Roman" w:eastAsia="Calibri" w:hAnsi="Times New Roman"/>
                <w:sz w:val="18"/>
                <w:szCs w:val="18"/>
              </w:rPr>
              <w:t xml:space="preserve">VSAOI zaudējumi no nedeklarētās algas, tūkst. </w:t>
            </w:r>
            <w:proofErr w:type="spellStart"/>
            <w:r w:rsidR="00052521" w:rsidRPr="00E734B0">
              <w:rPr>
                <w:rFonts w:ascii="Times New Roman" w:eastAsia="Calibri" w:hAnsi="Times New Roman"/>
                <w:i/>
                <w:iCs/>
                <w:sz w:val="18"/>
                <w:szCs w:val="18"/>
              </w:rPr>
              <w:t>euro</w:t>
            </w:r>
            <w:proofErr w:type="spellEnd"/>
          </w:p>
        </w:tc>
        <w:tc>
          <w:tcPr>
            <w:tcW w:w="992" w:type="dxa"/>
            <w:noWrap/>
            <w:hideMark/>
          </w:tcPr>
          <w:p w14:paraId="1057041D"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12</w:t>
            </w:r>
            <w:r w:rsidR="004B26C6">
              <w:rPr>
                <w:rFonts w:ascii="Times New Roman" w:eastAsia="Calibri" w:hAnsi="Times New Roman"/>
                <w:sz w:val="18"/>
                <w:szCs w:val="18"/>
              </w:rPr>
              <w:t> </w:t>
            </w:r>
            <w:r w:rsidRPr="00E25833">
              <w:rPr>
                <w:rFonts w:ascii="Times New Roman" w:eastAsia="Calibri" w:hAnsi="Times New Roman"/>
                <w:sz w:val="18"/>
                <w:szCs w:val="18"/>
              </w:rPr>
              <w:t>390</w:t>
            </w:r>
          </w:p>
        </w:tc>
        <w:tc>
          <w:tcPr>
            <w:tcW w:w="992" w:type="dxa"/>
            <w:noWrap/>
            <w:hideMark/>
          </w:tcPr>
          <w:p w14:paraId="75457DE9"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14</w:t>
            </w:r>
            <w:r w:rsidR="004B26C6">
              <w:rPr>
                <w:rFonts w:ascii="Times New Roman" w:eastAsia="Calibri" w:hAnsi="Times New Roman"/>
                <w:sz w:val="18"/>
                <w:szCs w:val="18"/>
              </w:rPr>
              <w:t> </w:t>
            </w:r>
            <w:r w:rsidRPr="00E25833">
              <w:rPr>
                <w:rFonts w:ascii="Times New Roman" w:eastAsia="Calibri" w:hAnsi="Times New Roman"/>
                <w:sz w:val="18"/>
                <w:szCs w:val="18"/>
              </w:rPr>
              <w:t>343</w:t>
            </w:r>
          </w:p>
        </w:tc>
        <w:tc>
          <w:tcPr>
            <w:tcW w:w="1040" w:type="dxa"/>
            <w:noWrap/>
            <w:hideMark/>
          </w:tcPr>
          <w:p w14:paraId="05FC4863" w14:textId="77777777" w:rsidR="004B5136" w:rsidRPr="00E25833" w:rsidRDefault="004B5136" w:rsidP="004B5136">
            <w:pPr>
              <w:ind w:firstLine="25"/>
              <w:jc w:val="center"/>
              <w:rPr>
                <w:rFonts w:ascii="Times New Roman" w:eastAsia="Calibri" w:hAnsi="Times New Roman"/>
                <w:sz w:val="18"/>
                <w:szCs w:val="18"/>
              </w:rPr>
            </w:pPr>
            <w:r w:rsidRPr="00E25833">
              <w:rPr>
                <w:rFonts w:ascii="Times New Roman" w:eastAsia="Calibri" w:hAnsi="Times New Roman"/>
                <w:sz w:val="18"/>
                <w:szCs w:val="18"/>
              </w:rPr>
              <w:t>14</w:t>
            </w:r>
            <w:r w:rsidR="004B26C6">
              <w:rPr>
                <w:rFonts w:ascii="Times New Roman" w:eastAsia="Calibri" w:hAnsi="Times New Roman"/>
                <w:sz w:val="18"/>
                <w:szCs w:val="18"/>
              </w:rPr>
              <w:t> </w:t>
            </w:r>
            <w:r w:rsidRPr="00E25833">
              <w:rPr>
                <w:rFonts w:ascii="Times New Roman" w:eastAsia="Calibri" w:hAnsi="Times New Roman"/>
                <w:sz w:val="18"/>
                <w:szCs w:val="18"/>
              </w:rPr>
              <w:t>745</w:t>
            </w:r>
          </w:p>
        </w:tc>
        <w:tc>
          <w:tcPr>
            <w:tcW w:w="1134" w:type="dxa"/>
            <w:noWrap/>
            <w:hideMark/>
          </w:tcPr>
          <w:p w14:paraId="3A71B171"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1953</w:t>
            </w:r>
          </w:p>
        </w:tc>
        <w:tc>
          <w:tcPr>
            <w:tcW w:w="1134" w:type="dxa"/>
            <w:noWrap/>
            <w:hideMark/>
          </w:tcPr>
          <w:p w14:paraId="36B10DB9"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401</w:t>
            </w:r>
          </w:p>
        </w:tc>
      </w:tr>
      <w:tr w:rsidR="004B5136" w:rsidRPr="00E25833" w14:paraId="169810DB" w14:textId="77777777" w:rsidTr="004B5136">
        <w:trPr>
          <w:trHeight w:val="225"/>
        </w:trPr>
        <w:tc>
          <w:tcPr>
            <w:tcW w:w="4112" w:type="dxa"/>
            <w:noWrap/>
            <w:hideMark/>
          </w:tcPr>
          <w:p w14:paraId="5928FACE" w14:textId="77777777" w:rsidR="004B5136" w:rsidRPr="00E25833" w:rsidRDefault="004B5136" w:rsidP="004B5136">
            <w:pPr>
              <w:jc w:val="both"/>
              <w:rPr>
                <w:rFonts w:ascii="Times New Roman" w:eastAsia="Calibri" w:hAnsi="Times New Roman"/>
                <w:sz w:val="18"/>
                <w:szCs w:val="18"/>
              </w:rPr>
            </w:pPr>
            <w:r w:rsidRPr="00E25833">
              <w:rPr>
                <w:rFonts w:ascii="Times New Roman" w:eastAsia="Calibri" w:hAnsi="Times New Roman"/>
                <w:sz w:val="18"/>
                <w:szCs w:val="18"/>
              </w:rPr>
              <w:t xml:space="preserve">IIN zaudējumi no nedeklarētās algas, tūkst. </w:t>
            </w:r>
            <w:proofErr w:type="spellStart"/>
            <w:r w:rsidR="00052521" w:rsidRPr="00E734B0">
              <w:rPr>
                <w:rFonts w:ascii="Times New Roman" w:eastAsia="Calibri" w:hAnsi="Times New Roman"/>
                <w:i/>
                <w:iCs/>
                <w:sz w:val="18"/>
                <w:szCs w:val="18"/>
              </w:rPr>
              <w:t>euro</w:t>
            </w:r>
            <w:proofErr w:type="spellEnd"/>
          </w:p>
        </w:tc>
        <w:tc>
          <w:tcPr>
            <w:tcW w:w="992" w:type="dxa"/>
            <w:noWrap/>
            <w:hideMark/>
          </w:tcPr>
          <w:p w14:paraId="142AA2F4"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6471</w:t>
            </w:r>
          </w:p>
        </w:tc>
        <w:tc>
          <w:tcPr>
            <w:tcW w:w="992" w:type="dxa"/>
            <w:noWrap/>
            <w:hideMark/>
          </w:tcPr>
          <w:p w14:paraId="42BA369E"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6557</w:t>
            </w:r>
          </w:p>
        </w:tc>
        <w:tc>
          <w:tcPr>
            <w:tcW w:w="1040" w:type="dxa"/>
            <w:noWrap/>
            <w:hideMark/>
          </w:tcPr>
          <w:p w14:paraId="7CCE2C47" w14:textId="77777777" w:rsidR="004B5136" w:rsidRPr="00E25833" w:rsidRDefault="004B5136" w:rsidP="004B5136">
            <w:pPr>
              <w:ind w:firstLine="25"/>
              <w:jc w:val="center"/>
              <w:rPr>
                <w:rFonts w:ascii="Times New Roman" w:eastAsia="Calibri" w:hAnsi="Times New Roman"/>
                <w:sz w:val="18"/>
                <w:szCs w:val="18"/>
              </w:rPr>
            </w:pPr>
            <w:r w:rsidRPr="00E25833">
              <w:rPr>
                <w:rFonts w:ascii="Times New Roman" w:eastAsia="Calibri" w:hAnsi="Times New Roman"/>
                <w:sz w:val="18"/>
                <w:szCs w:val="18"/>
              </w:rPr>
              <w:t>6735</w:t>
            </w:r>
          </w:p>
        </w:tc>
        <w:tc>
          <w:tcPr>
            <w:tcW w:w="1134" w:type="dxa"/>
            <w:noWrap/>
            <w:hideMark/>
          </w:tcPr>
          <w:p w14:paraId="0C859AAE"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86</w:t>
            </w:r>
          </w:p>
        </w:tc>
        <w:tc>
          <w:tcPr>
            <w:tcW w:w="1134" w:type="dxa"/>
            <w:noWrap/>
            <w:hideMark/>
          </w:tcPr>
          <w:p w14:paraId="7C8BB47D"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177</w:t>
            </w:r>
          </w:p>
        </w:tc>
      </w:tr>
      <w:tr w:rsidR="004B5136" w:rsidRPr="00E25833" w14:paraId="4CC5A6BE" w14:textId="77777777" w:rsidTr="004B5136">
        <w:trPr>
          <w:trHeight w:val="225"/>
        </w:trPr>
        <w:tc>
          <w:tcPr>
            <w:tcW w:w="4112" w:type="dxa"/>
            <w:noWrap/>
            <w:hideMark/>
          </w:tcPr>
          <w:p w14:paraId="62CB5555" w14:textId="77777777" w:rsidR="004B5136" w:rsidRPr="00E25833" w:rsidRDefault="004B5136" w:rsidP="004B5136">
            <w:pPr>
              <w:jc w:val="both"/>
              <w:rPr>
                <w:rFonts w:ascii="Times New Roman" w:eastAsia="Calibri" w:hAnsi="Times New Roman"/>
                <w:sz w:val="18"/>
                <w:szCs w:val="18"/>
              </w:rPr>
            </w:pPr>
            <w:r w:rsidRPr="00E25833">
              <w:rPr>
                <w:rFonts w:ascii="Times New Roman" w:eastAsia="Calibri" w:hAnsi="Times New Roman"/>
                <w:sz w:val="18"/>
                <w:szCs w:val="18"/>
              </w:rPr>
              <w:t>Nedeklarēto darba algas ienākumu īpatsvars, %</w:t>
            </w:r>
          </w:p>
        </w:tc>
        <w:tc>
          <w:tcPr>
            <w:tcW w:w="992" w:type="dxa"/>
            <w:noWrap/>
            <w:hideMark/>
          </w:tcPr>
          <w:p w14:paraId="2D958B6D"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19,3</w:t>
            </w:r>
            <w:r w:rsidR="004B26C6">
              <w:rPr>
                <w:rFonts w:ascii="Times New Roman" w:eastAsia="Calibri" w:hAnsi="Times New Roman"/>
                <w:sz w:val="18"/>
                <w:szCs w:val="18"/>
              </w:rPr>
              <w:t> </w:t>
            </w:r>
            <w:r w:rsidRPr="00E25833">
              <w:rPr>
                <w:rFonts w:ascii="Times New Roman" w:eastAsia="Calibri" w:hAnsi="Times New Roman"/>
                <w:sz w:val="18"/>
                <w:szCs w:val="18"/>
              </w:rPr>
              <w:t>%</w:t>
            </w:r>
          </w:p>
        </w:tc>
        <w:tc>
          <w:tcPr>
            <w:tcW w:w="992" w:type="dxa"/>
            <w:noWrap/>
            <w:hideMark/>
          </w:tcPr>
          <w:p w14:paraId="5D129D80"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17,6</w:t>
            </w:r>
            <w:r w:rsidR="004B26C6">
              <w:rPr>
                <w:rFonts w:ascii="Times New Roman" w:eastAsia="Calibri" w:hAnsi="Times New Roman"/>
                <w:sz w:val="18"/>
                <w:szCs w:val="18"/>
              </w:rPr>
              <w:t> </w:t>
            </w:r>
            <w:r w:rsidRPr="00E25833">
              <w:rPr>
                <w:rFonts w:ascii="Times New Roman" w:eastAsia="Calibri" w:hAnsi="Times New Roman"/>
                <w:sz w:val="18"/>
                <w:szCs w:val="18"/>
              </w:rPr>
              <w:t>%</w:t>
            </w:r>
          </w:p>
        </w:tc>
        <w:tc>
          <w:tcPr>
            <w:tcW w:w="1040" w:type="dxa"/>
            <w:noWrap/>
            <w:hideMark/>
          </w:tcPr>
          <w:p w14:paraId="2E312D97" w14:textId="77777777" w:rsidR="004B5136" w:rsidRPr="00E25833" w:rsidRDefault="004B5136" w:rsidP="004B5136">
            <w:pPr>
              <w:ind w:firstLine="25"/>
              <w:jc w:val="center"/>
              <w:rPr>
                <w:rFonts w:ascii="Times New Roman" w:eastAsia="Calibri" w:hAnsi="Times New Roman"/>
                <w:sz w:val="18"/>
                <w:szCs w:val="18"/>
              </w:rPr>
            </w:pPr>
            <w:r w:rsidRPr="00E25833">
              <w:rPr>
                <w:rFonts w:ascii="Times New Roman" w:eastAsia="Calibri" w:hAnsi="Times New Roman"/>
                <w:sz w:val="18"/>
                <w:szCs w:val="18"/>
              </w:rPr>
              <w:t>15,9</w:t>
            </w:r>
            <w:r w:rsidR="004B26C6">
              <w:rPr>
                <w:rFonts w:ascii="Times New Roman" w:eastAsia="Calibri" w:hAnsi="Times New Roman"/>
                <w:sz w:val="18"/>
                <w:szCs w:val="18"/>
              </w:rPr>
              <w:t> </w:t>
            </w:r>
            <w:r w:rsidRPr="00E25833">
              <w:rPr>
                <w:rFonts w:ascii="Times New Roman" w:eastAsia="Calibri" w:hAnsi="Times New Roman"/>
                <w:sz w:val="18"/>
                <w:szCs w:val="18"/>
              </w:rPr>
              <w:t>%</w:t>
            </w:r>
          </w:p>
        </w:tc>
        <w:tc>
          <w:tcPr>
            <w:tcW w:w="1134" w:type="dxa"/>
            <w:noWrap/>
            <w:hideMark/>
          </w:tcPr>
          <w:p w14:paraId="2FAEB786" w14:textId="77777777" w:rsidR="004B5136" w:rsidRPr="00E25833" w:rsidRDefault="004B26C6" w:rsidP="004B5136">
            <w:pPr>
              <w:jc w:val="center"/>
              <w:rPr>
                <w:rFonts w:ascii="Times New Roman" w:eastAsia="Calibri" w:hAnsi="Times New Roman"/>
                <w:sz w:val="18"/>
                <w:szCs w:val="18"/>
              </w:rPr>
            </w:pPr>
            <w:r>
              <w:rPr>
                <w:rFonts w:ascii="Times New Roman" w:eastAsia="Calibri" w:hAnsi="Times New Roman"/>
                <w:sz w:val="18"/>
                <w:szCs w:val="18"/>
              </w:rPr>
              <w:t>–</w:t>
            </w:r>
            <w:r w:rsidR="004B5136" w:rsidRPr="00E25833">
              <w:rPr>
                <w:rFonts w:ascii="Times New Roman" w:eastAsia="Calibri" w:hAnsi="Times New Roman"/>
                <w:sz w:val="18"/>
                <w:szCs w:val="18"/>
              </w:rPr>
              <w:t>1,7</w:t>
            </w:r>
          </w:p>
        </w:tc>
        <w:tc>
          <w:tcPr>
            <w:tcW w:w="1134" w:type="dxa"/>
            <w:noWrap/>
            <w:hideMark/>
          </w:tcPr>
          <w:p w14:paraId="5CC355F6" w14:textId="77777777" w:rsidR="004B5136" w:rsidRPr="00E25833" w:rsidRDefault="00194BFD" w:rsidP="004B5136">
            <w:pPr>
              <w:jc w:val="center"/>
              <w:rPr>
                <w:rFonts w:ascii="Times New Roman" w:eastAsia="Calibri" w:hAnsi="Times New Roman"/>
                <w:sz w:val="18"/>
                <w:szCs w:val="18"/>
              </w:rPr>
            </w:pPr>
            <w:r>
              <w:rPr>
                <w:rFonts w:ascii="Times New Roman" w:eastAsia="Calibri" w:hAnsi="Times New Roman"/>
                <w:sz w:val="18"/>
                <w:szCs w:val="18"/>
              </w:rPr>
              <w:t>–</w:t>
            </w:r>
            <w:r w:rsidR="004B5136" w:rsidRPr="00E25833">
              <w:rPr>
                <w:rFonts w:ascii="Times New Roman" w:eastAsia="Calibri" w:hAnsi="Times New Roman"/>
                <w:sz w:val="18"/>
                <w:szCs w:val="18"/>
              </w:rPr>
              <w:t>1,7</w:t>
            </w:r>
          </w:p>
        </w:tc>
      </w:tr>
      <w:tr w:rsidR="004B5136" w:rsidRPr="00E25833" w14:paraId="283F6E47" w14:textId="77777777" w:rsidTr="004B5136">
        <w:trPr>
          <w:trHeight w:val="225"/>
        </w:trPr>
        <w:tc>
          <w:tcPr>
            <w:tcW w:w="9404" w:type="dxa"/>
            <w:gridSpan w:val="6"/>
            <w:shd w:val="clear" w:color="auto" w:fill="D0CECE"/>
            <w:noWrap/>
            <w:hideMark/>
          </w:tcPr>
          <w:p w14:paraId="559AA1D6" w14:textId="77777777" w:rsidR="004B5136" w:rsidRPr="00E25833" w:rsidRDefault="004B5136" w:rsidP="004B5136">
            <w:pPr>
              <w:jc w:val="center"/>
              <w:rPr>
                <w:rFonts w:ascii="Times New Roman" w:eastAsia="Calibri" w:hAnsi="Times New Roman"/>
                <w:sz w:val="18"/>
                <w:szCs w:val="18"/>
              </w:rPr>
            </w:pPr>
            <w:r w:rsidRPr="005E08CF">
              <w:rPr>
                <w:rFonts w:ascii="Times New Roman" w:eastAsia="Calibri" w:hAnsi="Times New Roman"/>
                <w:b/>
                <w:bCs/>
                <w:i/>
                <w:iCs/>
                <w:sz w:val="18"/>
                <w:szCs w:val="18"/>
              </w:rPr>
              <w:t>NACE</w:t>
            </w:r>
            <w:r w:rsidRPr="00E25833">
              <w:rPr>
                <w:rFonts w:ascii="Times New Roman" w:eastAsia="Calibri" w:hAnsi="Times New Roman"/>
                <w:b/>
                <w:bCs/>
                <w:sz w:val="18"/>
                <w:szCs w:val="18"/>
              </w:rPr>
              <w:t xml:space="preserve"> 42 </w:t>
            </w:r>
            <w:proofErr w:type="spellStart"/>
            <w:r w:rsidRPr="00E25833">
              <w:rPr>
                <w:rFonts w:ascii="Times New Roman" w:eastAsia="Calibri" w:hAnsi="Times New Roman"/>
                <w:b/>
                <w:bCs/>
                <w:sz w:val="18"/>
                <w:szCs w:val="18"/>
              </w:rPr>
              <w:t>Inženierbūvniecība</w:t>
            </w:r>
            <w:proofErr w:type="spellEnd"/>
          </w:p>
        </w:tc>
      </w:tr>
      <w:tr w:rsidR="004B5136" w:rsidRPr="00E25833" w14:paraId="289112C9" w14:textId="77777777" w:rsidTr="004B5136">
        <w:trPr>
          <w:trHeight w:val="225"/>
        </w:trPr>
        <w:tc>
          <w:tcPr>
            <w:tcW w:w="4112" w:type="dxa"/>
            <w:noWrap/>
            <w:hideMark/>
          </w:tcPr>
          <w:p w14:paraId="247663F9" w14:textId="77777777" w:rsidR="004B5136" w:rsidRPr="00E25833" w:rsidRDefault="004B5136" w:rsidP="004B5136">
            <w:pPr>
              <w:jc w:val="both"/>
              <w:rPr>
                <w:rFonts w:ascii="Times New Roman" w:eastAsia="Calibri" w:hAnsi="Times New Roman"/>
                <w:sz w:val="18"/>
                <w:szCs w:val="18"/>
              </w:rPr>
            </w:pPr>
            <w:r w:rsidRPr="00E25833">
              <w:rPr>
                <w:rFonts w:ascii="Times New Roman" w:eastAsia="Calibri" w:hAnsi="Times New Roman"/>
                <w:sz w:val="18"/>
                <w:szCs w:val="18"/>
              </w:rPr>
              <w:t xml:space="preserve">Nedeklarētā alga bruto kopā (tikai </w:t>
            </w:r>
            <w:proofErr w:type="spellStart"/>
            <w:r w:rsidRPr="00E25833">
              <w:rPr>
                <w:rFonts w:ascii="Times New Roman" w:eastAsia="Calibri" w:hAnsi="Times New Roman"/>
                <w:sz w:val="18"/>
                <w:szCs w:val="18"/>
              </w:rPr>
              <w:t>komercsektors</w:t>
            </w:r>
            <w:proofErr w:type="spellEnd"/>
            <w:r w:rsidRPr="00E25833">
              <w:rPr>
                <w:rFonts w:ascii="Times New Roman" w:eastAsia="Calibri" w:hAnsi="Times New Roman"/>
                <w:sz w:val="18"/>
                <w:szCs w:val="18"/>
              </w:rPr>
              <w:t xml:space="preserve">), tūkst. </w:t>
            </w:r>
            <w:proofErr w:type="spellStart"/>
            <w:r w:rsidR="00052521" w:rsidRPr="00E734B0">
              <w:rPr>
                <w:rFonts w:ascii="Times New Roman" w:eastAsia="Calibri" w:hAnsi="Times New Roman"/>
                <w:i/>
                <w:iCs/>
                <w:sz w:val="18"/>
                <w:szCs w:val="18"/>
              </w:rPr>
              <w:t>euro</w:t>
            </w:r>
            <w:proofErr w:type="spellEnd"/>
          </w:p>
        </w:tc>
        <w:tc>
          <w:tcPr>
            <w:tcW w:w="992" w:type="dxa"/>
            <w:noWrap/>
            <w:vAlign w:val="center"/>
            <w:hideMark/>
          </w:tcPr>
          <w:p w14:paraId="6CE61A8D"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16</w:t>
            </w:r>
            <w:r w:rsidR="00194BFD">
              <w:rPr>
                <w:rFonts w:ascii="Times New Roman" w:eastAsia="Calibri" w:hAnsi="Times New Roman"/>
                <w:sz w:val="18"/>
                <w:szCs w:val="18"/>
              </w:rPr>
              <w:t> </w:t>
            </w:r>
            <w:r w:rsidRPr="00E25833">
              <w:rPr>
                <w:rFonts w:ascii="Times New Roman" w:eastAsia="Calibri" w:hAnsi="Times New Roman"/>
                <w:sz w:val="18"/>
                <w:szCs w:val="18"/>
              </w:rPr>
              <w:t>784</w:t>
            </w:r>
          </w:p>
        </w:tc>
        <w:tc>
          <w:tcPr>
            <w:tcW w:w="992" w:type="dxa"/>
            <w:noWrap/>
            <w:vAlign w:val="center"/>
            <w:hideMark/>
          </w:tcPr>
          <w:p w14:paraId="52957DEB"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19</w:t>
            </w:r>
            <w:r w:rsidR="00194BFD">
              <w:rPr>
                <w:rFonts w:ascii="Times New Roman" w:eastAsia="Calibri" w:hAnsi="Times New Roman"/>
                <w:sz w:val="18"/>
                <w:szCs w:val="18"/>
              </w:rPr>
              <w:t> </w:t>
            </w:r>
            <w:r w:rsidRPr="00E25833">
              <w:rPr>
                <w:rFonts w:ascii="Times New Roman" w:eastAsia="Calibri" w:hAnsi="Times New Roman"/>
                <w:sz w:val="18"/>
                <w:szCs w:val="18"/>
              </w:rPr>
              <w:t>610</w:t>
            </w:r>
          </w:p>
        </w:tc>
        <w:tc>
          <w:tcPr>
            <w:tcW w:w="1040" w:type="dxa"/>
            <w:noWrap/>
            <w:vAlign w:val="center"/>
            <w:hideMark/>
          </w:tcPr>
          <w:p w14:paraId="4C0C9363" w14:textId="77777777" w:rsidR="004B5136" w:rsidRPr="00E25833" w:rsidRDefault="004B5136" w:rsidP="004B5136">
            <w:pPr>
              <w:ind w:firstLine="25"/>
              <w:jc w:val="center"/>
              <w:rPr>
                <w:rFonts w:ascii="Times New Roman" w:eastAsia="Calibri" w:hAnsi="Times New Roman"/>
                <w:sz w:val="18"/>
                <w:szCs w:val="18"/>
              </w:rPr>
            </w:pPr>
            <w:r w:rsidRPr="00E25833">
              <w:rPr>
                <w:rFonts w:ascii="Times New Roman" w:eastAsia="Calibri" w:hAnsi="Times New Roman"/>
                <w:sz w:val="18"/>
                <w:szCs w:val="18"/>
              </w:rPr>
              <w:t>21</w:t>
            </w:r>
            <w:r w:rsidR="00194BFD">
              <w:rPr>
                <w:rFonts w:ascii="Times New Roman" w:eastAsia="Calibri" w:hAnsi="Times New Roman"/>
                <w:sz w:val="18"/>
                <w:szCs w:val="18"/>
              </w:rPr>
              <w:t> </w:t>
            </w:r>
            <w:r w:rsidRPr="00E25833">
              <w:rPr>
                <w:rFonts w:ascii="Times New Roman" w:eastAsia="Calibri" w:hAnsi="Times New Roman"/>
                <w:sz w:val="18"/>
                <w:szCs w:val="18"/>
              </w:rPr>
              <w:t>704</w:t>
            </w:r>
          </w:p>
        </w:tc>
        <w:tc>
          <w:tcPr>
            <w:tcW w:w="1134" w:type="dxa"/>
            <w:noWrap/>
            <w:vAlign w:val="center"/>
            <w:hideMark/>
          </w:tcPr>
          <w:p w14:paraId="197F0FD7"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2825</w:t>
            </w:r>
          </w:p>
        </w:tc>
        <w:tc>
          <w:tcPr>
            <w:tcW w:w="1134" w:type="dxa"/>
            <w:noWrap/>
            <w:vAlign w:val="center"/>
            <w:hideMark/>
          </w:tcPr>
          <w:p w14:paraId="3A8F5A89"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2094</w:t>
            </w:r>
          </w:p>
        </w:tc>
      </w:tr>
      <w:tr w:rsidR="004B5136" w:rsidRPr="00E25833" w14:paraId="03377F0D" w14:textId="77777777" w:rsidTr="004B5136">
        <w:trPr>
          <w:trHeight w:val="225"/>
        </w:trPr>
        <w:tc>
          <w:tcPr>
            <w:tcW w:w="4112" w:type="dxa"/>
            <w:noWrap/>
            <w:hideMark/>
          </w:tcPr>
          <w:p w14:paraId="608A7AC4" w14:textId="77777777" w:rsidR="004B5136" w:rsidRPr="00E25833" w:rsidRDefault="004B5136" w:rsidP="004B5136">
            <w:pPr>
              <w:jc w:val="both"/>
              <w:rPr>
                <w:rFonts w:ascii="Times New Roman" w:eastAsia="Calibri" w:hAnsi="Times New Roman"/>
                <w:sz w:val="18"/>
                <w:szCs w:val="18"/>
              </w:rPr>
            </w:pPr>
            <w:r w:rsidRPr="00E25833">
              <w:rPr>
                <w:rFonts w:ascii="Times New Roman" w:eastAsia="Calibri" w:hAnsi="Times New Roman"/>
                <w:sz w:val="18"/>
                <w:szCs w:val="18"/>
              </w:rPr>
              <w:t xml:space="preserve">VSAOI zaudējumi no nedeklarētās algas, tūkst. </w:t>
            </w:r>
            <w:proofErr w:type="spellStart"/>
            <w:r w:rsidR="00052521" w:rsidRPr="00E734B0">
              <w:rPr>
                <w:rFonts w:ascii="Times New Roman" w:eastAsia="Calibri" w:hAnsi="Times New Roman"/>
                <w:i/>
                <w:iCs/>
                <w:sz w:val="18"/>
                <w:szCs w:val="18"/>
              </w:rPr>
              <w:t>euro</w:t>
            </w:r>
            <w:proofErr w:type="spellEnd"/>
          </w:p>
        </w:tc>
        <w:tc>
          <w:tcPr>
            <w:tcW w:w="992" w:type="dxa"/>
            <w:noWrap/>
            <w:hideMark/>
          </w:tcPr>
          <w:p w14:paraId="3B949190"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5646</w:t>
            </w:r>
          </w:p>
        </w:tc>
        <w:tc>
          <w:tcPr>
            <w:tcW w:w="992" w:type="dxa"/>
            <w:noWrap/>
            <w:hideMark/>
          </w:tcPr>
          <w:p w14:paraId="4DA10B6B"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6746</w:t>
            </w:r>
          </w:p>
        </w:tc>
        <w:tc>
          <w:tcPr>
            <w:tcW w:w="1040" w:type="dxa"/>
            <w:noWrap/>
            <w:hideMark/>
          </w:tcPr>
          <w:p w14:paraId="363FD400" w14:textId="77777777" w:rsidR="004B5136" w:rsidRPr="00E25833" w:rsidRDefault="004B5136" w:rsidP="004B5136">
            <w:pPr>
              <w:ind w:firstLine="25"/>
              <w:jc w:val="center"/>
              <w:rPr>
                <w:rFonts w:ascii="Times New Roman" w:eastAsia="Calibri" w:hAnsi="Times New Roman"/>
                <w:sz w:val="18"/>
                <w:szCs w:val="18"/>
              </w:rPr>
            </w:pPr>
            <w:r w:rsidRPr="00E25833">
              <w:rPr>
                <w:rFonts w:ascii="Times New Roman" w:eastAsia="Calibri" w:hAnsi="Times New Roman"/>
                <w:sz w:val="18"/>
                <w:szCs w:val="18"/>
              </w:rPr>
              <w:t>7459</w:t>
            </w:r>
          </w:p>
        </w:tc>
        <w:tc>
          <w:tcPr>
            <w:tcW w:w="1134" w:type="dxa"/>
            <w:noWrap/>
            <w:hideMark/>
          </w:tcPr>
          <w:p w14:paraId="49B4CC75"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1100</w:t>
            </w:r>
          </w:p>
        </w:tc>
        <w:tc>
          <w:tcPr>
            <w:tcW w:w="1134" w:type="dxa"/>
            <w:noWrap/>
            <w:hideMark/>
          </w:tcPr>
          <w:p w14:paraId="381470C8"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712</w:t>
            </w:r>
          </w:p>
        </w:tc>
      </w:tr>
      <w:tr w:rsidR="004B5136" w:rsidRPr="00E25833" w14:paraId="624BEA24" w14:textId="77777777" w:rsidTr="004B5136">
        <w:trPr>
          <w:trHeight w:val="225"/>
        </w:trPr>
        <w:tc>
          <w:tcPr>
            <w:tcW w:w="4112" w:type="dxa"/>
            <w:noWrap/>
            <w:hideMark/>
          </w:tcPr>
          <w:p w14:paraId="0311D9C3" w14:textId="77777777" w:rsidR="004B5136" w:rsidRPr="00E25833" w:rsidRDefault="004B5136" w:rsidP="004B5136">
            <w:pPr>
              <w:jc w:val="both"/>
              <w:rPr>
                <w:rFonts w:ascii="Times New Roman" w:eastAsia="Calibri" w:hAnsi="Times New Roman"/>
                <w:sz w:val="18"/>
                <w:szCs w:val="18"/>
              </w:rPr>
            </w:pPr>
            <w:r w:rsidRPr="00E25833">
              <w:rPr>
                <w:rFonts w:ascii="Times New Roman" w:eastAsia="Calibri" w:hAnsi="Times New Roman"/>
                <w:sz w:val="18"/>
                <w:szCs w:val="18"/>
              </w:rPr>
              <w:t xml:space="preserve">IIN zaudējumi no nedeklarētās algas, tūkst. </w:t>
            </w:r>
            <w:proofErr w:type="spellStart"/>
            <w:r w:rsidR="00052521" w:rsidRPr="00E734B0">
              <w:rPr>
                <w:rFonts w:ascii="Times New Roman" w:eastAsia="Calibri" w:hAnsi="Times New Roman"/>
                <w:i/>
                <w:iCs/>
                <w:sz w:val="18"/>
                <w:szCs w:val="18"/>
              </w:rPr>
              <w:t>euro</w:t>
            </w:r>
            <w:proofErr w:type="spellEnd"/>
          </w:p>
        </w:tc>
        <w:tc>
          <w:tcPr>
            <w:tcW w:w="992" w:type="dxa"/>
            <w:noWrap/>
            <w:hideMark/>
          </w:tcPr>
          <w:p w14:paraId="5EDBBE9E"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2949</w:t>
            </w:r>
          </w:p>
        </w:tc>
        <w:tc>
          <w:tcPr>
            <w:tcW w:w="992" w:type="dxa"/>
            <w:noWrap/>
            <w:hideMark/>
          </w:tcPr>
          <w:p w14:paraId="2F2CADC1"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3081</w:t>
            </w:r>
          </w:p>
        </w:tc>
        <w:tc>
          <w:tcPr>
            <w:tcW w:w="1040" w:type="dxa"/>
            <w:noWrap/>
            <w:hideMark/>
          </w:tcPr>
          <w:p w14:paraId="601288B2" w14:textId="77777777" w:rsidR="004B5136" w:rsidRPr="00E25833" w:rsidRDefault="004B5136" w:rsidP="004B5136">
            <w:pPr>
              <w:ind w:firstLine="25"/>
              <w:jc w:val="center"/>
              <w:rPr>
                <w:rFonts w:ascii="Times New Roman" w:eastAsia="Calibri" w:hAnsi="Times New Roman"/>
                <w:sz w:val="18"/>
                <w:szCs w:val="18"/>
              </w:rPr>
            </w:pPr>
            <w:r w:rsidRPr="00E25833">
              <w:rPr>
                <w:rFonts w:ascii="Times New Roman" w:eastAsia="Calibri" w:hAnsi="Times New Roman"/>
                <w:sz w:val="18"/>
                <w:szCs w:val="18"/>
              </w:rPr>
              <w:t>3404</w:t>
            </w:r>
          </w:p>
        </w:tc>
        <w:tc>
          <w:tcPr>
            <w:tcW w:w="1134" w:type="dxa"/>
            <w:noWrap/>
            <w:hideMark/>
          </w:tcPr>
          <w:p w14:paraId="42130EB9"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132</w:t>
            </w:r>
          </w:p>
        </w:tc>
        <w:tc>
          <w:tcPr>
            <w:tcW w:w="1134" w:type="dxa"/>
            <w:noWrap/>
            <w:hideMark/>
          </w:tcPr>
          <w:p w14:paraId="7028A4EC"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322</w:t>
            </w:r>
          </w:p>
        </w:tc>
      </w:tr>
      <w:tr w:rsidR="004B5136" w:rsidRPr="00E25833" w14:paraId="41D6E673" w14:textId="77777777" w:rsidTr="004B5136">
        <w:trPr>
          <w:trHeight w:val="225"/>
        </w:trPr>
        <w:tc>
          <w:tcPr>
            <w:tcW w:w="4112" w:type="dxa"/>
            <w:noWrap/>
            <w:hideMark/>
          </w:tcPr>
          <w:p w14:paraId="15626363" w14:textId="77777777" w:rsidR="004B5136" w:rsidRPr="00E25833" w:rsidRDefault="004B5136" w:rsidP="004B5136">
            <w:pPr>
              <w:jc w:val="both"/>
              <w:rPr>
                <w:rFonts w:ascii="Times New Roman" w:eastAsia="Calibri" w:hAnsi="Times New Roman"/>
                <w:sz w:val="18"/>
                <w:szCs w:val="18"/>
              </w:rPr>
            </w:pPr>
            <w:r w:rsidRPr="00E25833">
              <w:rPr>
                <w:rFonts w:ascii="Times New Roman" w:eastAsia="Calibri" w:hAnsi="Times New Roman"/>
                <w:sz w:val="18"/>
                <w:szCs w:val="18"/>
              </w:rPr>
              <w:t>Nedeklarēto darba algas ienākumu īpatsvars, %</w:t>
            </w:r>
          </w:p>
        </w:tc>
        <w:tc>
          <w:tcPr>
            <w:tcW w:w="992" w:type="dxa"/>
            <w:noWrap/>
            <w:hideMark/>
          </w:tcPr>
          <w:p w14:paraId="7A8B8D8D"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9,7</w:t>
            </w:r>
            <w:r w:rsidR="00194BFD">
              <w:rPr>
                <w:rFonts w:ascii="Times New Roman" w:eastAsia="Calibri" w:hAnsi="Times New Roman"/>
                <w:sz w:val="18"/>
                <w:szCs w:val="18"/>
              </w:rPr>
              <w:t> </w:t>
            </w:r>
            <w:r w:rsidRPr="00E25833">
              <w:rPr>
                <w:rFonts w:ascii="Times New Roman" w:eastAsia="Calibri" w:hAnsi="Times New Roman"/>
                <w:sz w:val="18"/>
                <w:szCs w:val="18"/>
              </w:rPr>
              <w:t>%</w:t>
            </w:r>
          </w:p>
        </w:tc>
        <w:tc>
          <w:tcPr>
            <w:tcW w:w="992" w:type="dxa"/>
            <w:noWrap/>
            <w:hideMark/>
          </w:tcPr>
          <w:p w14:paraId="56C24A17"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9,7</w:t>
            </w:r>
            <w:r w:rsidR="00194BFD">
              <w:rPr>
                <w:rFonts w:ascii="Times New Roman" w:eastAsia="Calibri" w:hAnsi="Times New Roman"/>
                <w:sz w:val="18"/>
                <w:szCs w:val="18"/>
              </w:rPr>
              <w:t> </w:t>
            </w:r>
            <w:r w:rsidRPr="00E25833">
              <w:rPr>
                <w:rFonts w:ascii="Times New Roman" w:eastAsia="Calibri" w:hAnsi="Times New Roman"/>
                <w:sz w:val="18"/>
                <w:szCs w:val="18"/>
              </w:rPr>
              <w:t>%</w:t>
            </w:r>
          </w:p>
        </w:tc>
        <w:tc>
          <w:tcPr>
            <w:tcW w:w="1040" w:type="dxa"/>
            <w:noWrap/>
            <w:hideMark/>
          </w:tcPr>
          <w:p w14:paraId="76A13589" w14:textId="77777777" w:rsidR="004B5136" w:rsidRPr="00E25833" w:rsidRDefault="004B5136" w:rsidP="004B5136">
            <w:pPr>
              <w:ind w:firstLine="25"/>
              <w:jc w:val="center"/>
              <w:rPr>
                <w:rFonts w:ascii="Times New Roman" w:eastAsia="Calibri" w:hAnsi="Times New Roman"/>
                <w:sz w:val="18"/>
                <w:szCs w:val="18"/>
              </w:rPr>
            </w:pPr>
            <w:r w:rsidRPr="00E25833">
              <w:rPr>
                <w:rFonts w:ascii="Times New Roman" w:eastAsia="Calibri" w:hAnsi="Times New Roman"/>
                <w:sz w:val="18"/>
                <w:szCs w:val="18"/>
              </w:rPr>
              <w:t>9,5</w:t>
            </w:r>
            <w:r w:rsidR="00194BFD">
              <w:rPr>
                <w:rFonts w:ascii="Times New Roman" w:eastAsia="Calibri" w:hAnsi="Times New Roman"/>
                <w:sz w:val="18"/>
                <w:szCs w:val="18"/>
              </w:rPr>
              <w:t> </w:t>
            </w:r>
            <w:r w:rsidRPr="00E25833">
              <w:rPr>
                <w:rFonts w:ascii="Times New Roman" w:eastAsia="Calibri" w:hAnsi="Times New Roman"/>
                <w:sz w:val="18"/>
                <w:szCs w:val="18"/>
              </w:rPr>
              <w:t>%</w:t>
            </w:r>
          </w:p>
        </w:tc>
        <w:tc>
          <w:tcPr>
            <w:tcW w:w="1134" w:type="dxa"/>
            <w:noWrap/>
            <w:hideMark/>
          </w:tcPr>
          <w:p w14:paraId="218FB92A"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0,0</w:t>
            </w:r>
          </w:p>
        </w:tc>
        <w:tc>
          <w:tcPr>
            <w:tcW w:w="1134" w:type="dxa"/>
            <w:noWrap/>
            <w:hideMark/>
          </w:tcPr>
          <w:p w14:paraId="21BF456B" w14:textId="77777777" w:rsidR="004B5136" w:rsidRPr="00E25833" w:rsidRDefault="00194BFD" w:rsidP="004B5136">
            <w:pPr>
              <w:jc w:val="center"/>
              <w:rPr>
                <w:rFonts w:ascii="Times New Roman" w:eastAsia="Calibri" w:hAnsi="Times New Roman"/>
                <w:sz w:val="18"/>
                <w:szCs w:val="18"/>
              </w:rPr>
            </w:pPr>
            <w:r>
              <w:rPr>
                <w:rFonts w:ascii="Times New Roman" w:eastAsia="Calibri" w:hAnsi="Times New Roman"/>
                <w:sz w:val="18"/>
                <w:szCs w:val="18"/>
              </w:rPr>
              <w:t>–</w:t>
            </w:r>
            <w:r w:rsidR="004B5136" w:rsidRPr="00E25833">
              <w:rPr>
                <w:rFonts w:ascii="Times New Roman" w:eastAsia="Calibri" w:hAnsi="Times New Roman"/>
                <w:sz w:val="18"/>
                <w:szCs w:val="18"/>
              </w:rPr>
              <w:t>0,2</w:t>
            </w:r>
          </w:p>
        </w:tc>
      </w:tr>
      <w:tr w:rsidR="004B5136" w:rsidRPr="00E25833" w14:paraId="5DA20E20" w14:textId="77777777" w:rsidTr="004B5136">
        <w:trPr>
          <w:trHeight w:val="225"/>
        </w:trPr>
        <w:tc>
          <w:tcPr>
            <w:tcW w:w="9404" w:type="dxa"/>
            <w:gridSpan w:val="6"/>
            <w:shd w:val="clear" w:color="auto" w:fill="D0CECE"/>
            <w:noWrap/>
            <w:hideMark/>
          </w:tcPr>
          <w:p w14:paraId="6C5395AD" w14:textId="77777777" w:rsidR="004B5136" w:rsidRPr="00E25833" w:rsidRDefault="004B5136" w:rsidP="004B5136">
            <w:pPr>
              <w:jc w:val="center"/>
              <w:rPr>
                <w:rFonts w:ascii="Times New Roman" w:eastAsia="Calibri" w:hAnsi="Times New Roman"/>
                <w:sz w:val="18"/>
                <w:szCs w:val="18"/>
              </w:rPr>
            </w:pPr>
            <w:r w:rsidRPr="005E08CF">
              <w:rPr>
                <w:rFonts w:ascii="Times New Roman" w:eastAsia="Calibri" w:hAnsi="Times New Roman"/>
                <w:b/>
                <w:bCs/>
                <w:i/>
                <w:iCs/>
                <w:sz w:val="18"/>
                <w:szCs w:val="18"/>
              </w:rPr>
              <w:t xml:space="preserve">NACE </w:t>
            </w:r>
            <w:r w:rsidRPr="00E25833">
              <w:rPr>
                <w:rFonts w:ascii="Times New Roman" w:eastAsia="Calibri" w:hAnsi="Times New Roman"/>
                <w:b/>
                <w:bCs/>
                <w:sz w:val="18"/>
                <w:szCs w:val="18"/>
              </w:rPr>
              <w:t>43 Specializētie būvdarbi</w:t>
            </w:r>
          </w:p>
        </w:tc>
      </w:tr>
      <w:tr w:rsidR="004B5136" w:rsidRPr="00E25833" w14:paraId="71210465" w14:textId="77777777" w:rsidTr="004B5136">
        <w:trPr>
          <w:trHeight w:val="225"/>
        </w:trPr>
        <w:tc>
          <w:tcPr>
            <w:tcW w:w="4112" w:type="dxa"/>
            <w:noWrap/>
            <w:hideMark/>
          </w:tcPr>
          <w:p w14:paraId="2D04BA44" w14:textId="77777777" w:rsidR="004B5136" w:rsidRPr="00E25833" w:rsidRDefault="004B5136" w:rsidP="004B5136">
            <w:pPr>
              <w:rPr>
                <w:rFonts w:ascii="Times New Roman" w:eastAsia="Calibri" w:hAnsi="Times New Roman"/>
                <w:sz w:val="18"/>
                <w:szCs w:val="18"/>
              </w:rPr>
            </w:pPr>
            <w:r w:rsidRPr="00E25833">
              <w:rPr>
                <w:rFonts w:ascii="Times New Roman" w:eastAsia="Calibri" w:hAnsi="Times New Roman"/>
                <w:sz w:val="18"/>
                <w:szCs w:val="18"/>
              </w:rPr>
              <w:t xml:space="preserve">Nedeklarētā alga bruto kopā (tikai </w:t>
            </w:r>
            <w:proofErr w:type="spellStart"/>
            <w:r w:rsidRPr="00E25833">
              <w:rPr>
                <w:rFonts w:ascii="Times New Roman" w:eastAsia="Calibri" w:hAnsi="Times New Roman"/>
                <w:sz w:val="18"/>
                <w:szCs w:val="18"/>
              </w:rPr>
              <w:t>komercsektors</w:t>
            </w:r>
            <w:proofErr w:type="spellEnd"/>
            <w:r w:rsidRPr="00E25833">
              <w:rPr>
                <w:rFonts w:ascii="Times New Roman" w:eastAsia="Calibri" w:hAnsi="Times New Roman"/>
                <w:sz w:val="18"/>
                <w:szCs w:val="18"/>
              </w:rPr>
              <w:t xml:space="preserve">), tūkst. </w:t>
            </w:r>
            <w:proofErr w:type="spellStart"/>
            <w:r w:rsidR="00F30009" w:rsidRPr="00E734B0">
              <w:rPr>
                <w:rFonts w:ascii="Times New Roman" w:eastAsia="Calibri" w:hAnsi="Times New Roman"/>
                <w:i/>
                <w:iCs/>
                <w:sz w:val="18"/>
                <w:szCs w:val="18"/>
              </w:rPr>
              <w:t>euro</w:t>
            </w:r>
            <w:proofErr w:type="spellEnd"/>
          </w:p>
        </w:tc>
        <w:tc>
          <w:tcPr>
            <w:tcW w:w="992" w:type="dxa"/>
            <w:noWrap/>
            <w:vAlign w:val="center"/>
            <w:hideMark/>
          </w:tcPr>
          <w:p w14:paraId="296A97F9"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35</w:t>
            </w:r>
            <w:r w:rsidR="00194BFD">
              <w:rPr>
                <w:rFonts w:ascii="Times New Roman" w:eastAsia="Calibri" w:hAnsi="Times New Roman"/>
                <w:sz w:val="18"/>
                <w:szCs w:val="18"/>
              </w:rPr>
              <w:t> </w:t>
            </w:r>
            <w:r w:rsidRPr="00E25833">
              <w:rPr>
                <w:rFonts w:ascii="Times New Roman" w:eastAsia="Calibri" w:hAnsi="Times New Roman"/>
                <w:sz w:val="18"/>
                <w:szCs w:val="18"/>
              </w:rPr>
              <w:t>667</w:t>
            </w:r>
          </w:p>
        </w:tc>
        <w:tc>
          <w:tcPr>
            <w:tcW w:w="992" w:type="dxa"/>
            <w:noWrap/>
            <w:vAlign w:val="center"/>
            <w:hideMark/>
          </w:tcPr>
          <w:p w14:paraId="7954FA0E"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41</w:t>
            </w:r>
            <w:r w:rsidR="00194BFD">
              <w:rPr>
                <w:rFonts w:ascii="Times New Roman" w:eastAsia="Calibri" w:hAnsi="Times New Roman"/>
                <w:sz w:val="18"/>
                <w:szCs w:val="18"/>
              </w:rPr>
              <w:t> </w:t>
            </w:r>
            <w:r w:rsidRPr="00E25833">
              <w:rPr>
                <w:rFonts w:ascii="Times New Roman" w:eastAsia="Calibri" w:hAnsi="Times New Roman"/>
                <w:sz w:val="18"/>
                <w:szCs w:val="18"/>
              </w:rPr>
              <w:t>222</w:t>
            </w:r>
          </w:p>
        </w:tc>
        <w:tc>
          <w:tcPr>
            <w:tcW w:w="1040" w:type="dxa"/>
            <w:noWrap/>
            <w:vAlign w:val="center"/>
            <w:hideMark/>
          </w:tcPr>
          <w:p w14:paraId="4C09D9AE" w14:textId="77777777" w:rsidR="004B5136" w:rsidRPr="00E25833" w:rsidRDefault="004B5136" w:rsidP="004B5136">
            <w:pPr>
              <w:ind w:firstLine="25"/>
              <w:jc w:val="center"/>
              <w:rPr>
                <w:rFonts w:ascii="Times New Roman" w:eastAsia="Calibri" w:hAnsi="Times New Roman"/>
                <w:sz w:val="18"/>
                <w:szCs w:val="18"/>
              </w:rPr>
            </w:pPr>
            <w:r w:rsidRPr="00E25833">
              <w:rPr>
                <w:rFonts w:ascii="Times New Roman" w:eastAsia="Calibri" w:hAnsi="Times New Roman"/>
                <w:sz w:val="18"/>
                <w:szCs w:val="18"/>
              </w:rPr>
              <w:t>46</w:t>
            </w:r>
            <w:r w:rsidR="00194BFD">
              <w:rPr>
                <w:rFonts w:ascii="Times New Roman" w:eastAsia="Calibri" w:hAnsi="Times New Roman"/>
                <w:sz w:val="18"/>
                <w:szCs w:val="18"/>
              </w:rPr>
              <w:t> </w:t>
            </w:r>
            <w:r w:rsidRPr="00E25833">
              <w:rPr>
                <w:rFonts w:ascii="Times New Roman" w:eastAsia="Calibri" w:hAnsi="Times New Roman"/>
                <w:sz w:val="18"/>
                <w:szCs w:val="18"/>
              </w:rPr>
              <w:t>883</w:t>
            </w:r>
          </w:p>
        </w:tc>
        <w:tc>
          <w:tcPr>
            <w:tcW w:w="1134" w:type="dxa"/>
            <w:noWrap/>
            <w:vAlign w:val="center"/>
            <w:hideMark/>
          </w:tcPr>
          <w:p w14:paraId="30F0C5F3"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5555</w:t>
            </w:r>
          </w:p>
        </w:tc>
        <w:tc>
          <w:tcPr>
            <w:tcW w:w="1134" w:type="dxa"/>
            <w:noWrap/>
            <w:vAlign w:val="center"/>
            <w:hideMark/>
          </w:tcPr>
          <w:p w14:paraId="1FE6B7AC"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5661</w:t>
            </w:r>
          </w:p>
        </w:tc>
      </w:tr>
      <w:tr w:rsidR="004B5136" w:rsidRPr="00E25833" w14:paraId="14D955BF" w14:textId="77777777" w:rsidTr="004B5136">
        <w:trPr>
          <w:trHeight w:val="225"/>
        </w:trPr>
        <w:tc>
          <w:tcPr>
            <w:tcW w:w="4112" w:type="dxa"/>
            <w:noWrap/>
            <w:hideMark/>
          </w:tcPr>
          <w:p w14:paraId="1AB27867" w14:textId="77777777" w:rsidR="004B5136" w:rsidRPr="00E25833" w:rsidRDefault="004B5136" w:rsidP="004B5136">
            <w:pPr>
              <w:rPr>
                <w:rFonts w:ascii="Times New Roman" w:eastAsia="Calibri" w:hAnsi="Times New Roman"/>
                <w:sz w:val="18"/>
                <w:szCs w:val="18"/>
              </w:rPr>
            </w:pPr>
            <w:r w:rsidRPr="00E25833">
              <w:rPr>
                <w:rFonts w:ascii="Times New Roman" w:eastAsia="Calibri" w:hAnsi="Times New Roman"/>
                <w:sz w:val="18"/>
                <w:szCs w:val="18"/>
              </w:rPr>
              <w:t xml:space="preserve">VSAOI zaudējumi no nedeklarētās algas, tūkst. </w:t>
            </w:r>
            <w:proofErr w:type="spellStart"/>
            <w:r w:rsidR="00F30009" w:rsidRPr="00E734B0">
              <w:rPr>
                <w:rFonts w:ascii="Times New Roman" w:eastAsia="Calibri" w:hAnsi="Times New Roman"/>
                <w:i/>
                <w:iCs/>
                <w:sz w:val="18"/>
                <w:szCs w:val="18"/>
              </w:rPr>
              <w:t>euro</w:t>
            </w:r>
            <w:proofErr w:type="spellEnd"/>
          </w:p>
        </w:tc>
        <w:tc>
          <w:tcPr>
            <w:tcW w:w="992" w:type="dxa"/>
            <w:noWrap/>
            <w:hideMark/>
          </w:tcPr>
          <w:p w14:paraId="4BC1B580"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11</w:t>
            </w:r>
            <w:r w:rsidR="00194BFD">
              <w:rPr>
                <w:rFonts w:ascii="Times New Roman" w:eastAsia="Calibri" w:hAnsi="Times New Roman"/>
                <w:sz w:val="18"/>
                <w:szCs w:val="18"/>
              </w:rPr>
              <w:t> </w:t>
            </w:r>
            <w:r w:rsidRPr="00E25833">
              <w:rPr>
                <w:rFonts w:ascii="Times New Roman" w:eastAsia="Calibri" w:hAnsi="Times New Roman"/>
                <w:sz w:val="18"/>
                <w:szCs w:val="18"/>
              </w:rPr>
              <w:t>998</w:t>
            </w:r>
          </w:p>
        </w:tc>
        <w:tc>
          <w:tcPr>
            <w:tcW w:w="992" w:type="dxa"/>
            <w:noWrap/>
            <w:hideMark/>
          </w:tcPr>
          <w:p w14:paraId="615CBE2C"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14</w:t>
            </w:r>
            <w:r w:rsidR="00194BFD">
              <w:rPr>
                <w:rFonts w:ascii="Times New Roman" w:eastAsia="Calibri" w:hAnsi="Times New Roman"/>
                <w:sz w:val="18"/>
                <w:szCs w:val="18"/>
              </w:rPr>
              <w:t> </w:t>
            </w:r>
            <w:r w:rsidRPr="00E25833">
              <w:rPr>
                <w:rFonts w:ascii="Times New Roman" w:eastAsia="Calibri" w:hAnsi="Times New Roman"/>
                <w:sz w:val="18"/>
                <w:szCs w:val="18"/>
              </w:rPr>
              <w:t>182</w:t>
            </w:r>
          </w:p>
        </w:tc>
        <w:tc>
          <w:tcPr>
            <w:tcW w:w="1040" w:type="dxa"/>
            <w:noWrap/>
            <w:hideMark/>
          </w:tcPr>
          <w:p w14:paraId="3DF8938C" w14:textId="77777777" w:rsidR="004B5136" w:rsidRPr="00E25833" w:rsidRDefault="004B5136" w:rsidP="004B5136">
            <w:pPr>
              <w:ind w:firstLine="25"/>
              <w:jc w:val="center"/>
              <w:rPr>
                <w:rFonts w:ascii="Times New Roman" w:eastAsia="Calibri" w:hAnsi="Times New Roman"/>
                <w:sz w:val="18"/>
                <w:szCs w:val="18"/>
              </w:rPr>
            </w:pPr>
            <w:r w:rsidRPr="00E25833">
              <w:rPr>
                <w:rFonts w:ascii="Times New Roman" w:eastAsia="Calibri" w:hAnsi="Times New Roman"/>
                <w:sz w:val="18"/>
                <w:szCs w:val="18"/>
              </w:rPr>
              <w:t>16</w:t>
            </w:r>
            <w:r w:rsidR="00194BFD">
              <w:rPr>
                <w:rFonts w:ascii="Times New Roman" w:eastAsia="Calibri" w:hAnsi="Times New Roman"/>
                <w:sz w:val="18"/>
                <w:szCs w:val="18"/>
              </w:rPr>
              <w:t> </w:t>
            </w:r>
            <w:r w:rsidRPr="00E25833">
              <w:rPr>
                <w:rFonts w:ascii="Times New Roman" w:eastAsia="Calibri" w:hAnsi="Times New Roman"/>
                <w:sz w:val="18"/>
                <w:szCs w:val="18"/>
              </w:rPr>
              <w:t>113</w:t>
            </w:r>
          </w:p>
        </w:tc>
        <w:tc>
          <w:tcPr>
            <w:tcW w:w="1134" w:type="dxa"/>
            <w:noWrap/>
            <w:hideMark/>
          </w:tcPr>
          <w:p w14:paraId="04413B7A"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2183</w:t>
            </w:r>
          </w:p>
        </w:tc>
        <w:tc>
          <w:tcPr>
            <w:tcW w:w="1134" w:type="dxa"/>
            <w:noWrap/>
            <w:hideMark/>
          </w:tcPr>
          <w:p w14:paraId="55937416"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1930</w:t>
            </w:r>
          </w:p>
        </w:tc>
      </w:tr>
      <w:tr w:rsidR="004B5136" w:rsidRPr="00E25833" w14:paraId="43C85DA7" w14:textId="77777777" w:rsidTr="004B5136">
        <w:trPr>
          <w:trHeight w:val="225"/>
        </w:trPr>
        <w:tc>
          <w:tcPr>
            <w:tcW w:w="4112" w:type="dxa"/>
            <w:noWrap/>
            <w:hideMark/>
          </w:tcPr>
          <w:p w14:paraId="70BB4D7C" w14:textId="77777777" w:rsidR="004B5136" w:rsidRPr="00E25833" w:rsidRDefault="004B5136" w:rsidP="004B5136">
            <w:pPr>
              <w:rPr>
                <w:rFonts w:ascii="Times New Roman" w:eastAsia="Calibri" w:hAnsi="Times New Roman"/>
                <w:sz w:val="18"/>
                <w:szCs w:val="18"/>
              </w:rPr>
            </w:pPr>
            <w:r w:rsidRPr="00E25833">
              <w:rPr>
                <w:rFonts w:ascii="Times New Roman" w:eastAsia="Calibri" w:hAnsi="Times New Roman"/>
                <w:sz w:val="18"/>
                <w:szCs w:val="18"/>
              </w:rPr>
              <w:t xml:space="preserve">IIN zaudējumi no nedeklarētās algas, tūkst. </w:t>
            </w:r>
            <w:proofErr w:type="spellStart"/>
            <w:r w:rsidR="00F30009" w:rsidRPr="006610D8">
              <w:rPr>
                <w:rFonts w:ascii="Times New Roman" w:eastAsia="Calibri" w:hAnsi="Times New Roman"/>
                <w:i/>
                <w:iCs/>
                <w:sz w:val="18"/>
                <w:szCs w:val="18"/>
              </w:rPr>
              <w:t>euro</w:t>
            </w:r>
            <w:proofErr w:type="spellEnd"/>
          </w:p>
        </w:tc>
        <w:tc>
          <w:tcPr>
            <w:tcW w:w="992" w:type="dxa"/>
            <w:noWrap/>
            <w:hideMark/>
          </w:tcPr>
          <w:p w14:paraId="5C988ABA"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6266</w:t>
            </w:r>
          </w:p>
        </w:tc>
        <w:tc>
          <w:tcPr>
            <w:tcW w:w="992" w:type="dxa"/>
            <w:noWrap/>
            <w:hideMark/>
          </w:tcPr>
          <w:p w14:paraId="630EE500"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6482</w:t>
            </w:r>
          </w:p>
        </w:tc>
        <w:tc>
          <w:tcPr>
            <w:tcW w:w="1040" w:type="dxa"/>
            <w:noWrap/>
            <w:hideMark/>
          </w:tcPr>
          <w:p w14:paraId="4D740C43" w14:textId="77777777" w:rsidR="004B5136" w:rsidRPr="00E25833" w:rsidRDefault="004B5136" w:rsidP="004B5136">
            <w:pPr>
              <w:ind w:firstLine="25"/>
              <w:jc w:val="center"/>
              <w:rPr>
                <w:rFonts w:ascii="Times New Roman" w:eastAsia="Calibri" w:hAnsi="Times New Roman"/>
                <w:sz w:val="18"/>
                <w:szCs w:val="18"/>
              </w:rPr>
            </w:pPr>
            <w:r w:rsidRPr="00E25833">
              <w:rPr>
                <w:rFonts w:ascii="Times New Roman" w:eastAsia="Calibri" w:hAnsi="Times New Roman"/>
                <w:sz w:val="18"/>
                <w:szCs w:val="18"/>
              </w:rPr>
              <w:t>7358</w:t>
            </w:r>
          </w:p>
        </w:tc>
        <w:tc>
          <w:tcPr>
            <w:tcW w:w="1134" w:type="dxa"/>
            <w:noWrap/>
            <w:hideMark/>
          </w:tcPr>
          <w:p w14:paraId="78074951"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216</w:t>
            </w:r>
          </w:p>
        </w:tc>
        <w:tc>
          <w:tcPr>
            <w:tcW w:w="1134" w:type="dxa"/>
            <w:noWrap/>
            <w:hideMark/>
          </w:tcPr>
          <w:p w14:paraId="4A94A69B"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876</w:t>
            </w:r>
          </w:p>
        </w:tc>
      </w:tr>
      <w:tr w:rsidR="004B5136" w:rsidRPr="00E25833" w14:paraId="57A12460" w14:textId="77777777" w:rsidTr="004B5136">
        <w:trPr>
          <w:trHeight w:val="225"/>
        </w:trPr>
        <w:tc>
          <w:tcPr>
            <w:tcW w:w="4112" w:type="dxa"/>
            <w:noWrap/>
            <w:hideMark/>
          </w:tcPr>
          <w:p w14:paraId="78BDA53C" w14:textId="77777777" w:rsidR="004B5136" w:rsidRPr="00E25833" w:rsidRDefault="004B5136" w:rsidP="004B5136">
            <w:pPr>
              <w:rPr>
                <w:rFonts w:ascii="Times New Roman" w:eastAsia="Calibri" w:hAnsi="Times New Roman"/>
                <w:sz w:val="18"/>
                <w:szCs w:val="18"/>
              </w:rPr>
            </w:pPr>
            <w:r w:rsidRPr="00E25833">
              <w:rPr>
                <w:rFonts w:ascii="Times New Roman" w:eastAsia="Calibri" w:hAnsi="Times New Roman"/>
                <w:sz w:val="18"/>
                <w:szCs w:val="18"/>
              </w:rPr>
              <w:t>Nedeklarēto darba algas ienākumu īpatsvars, %</w:t>
            </w:r>
          </w:p>
        </w:tc>
        <w:tc>
          <w:tcPr>
            <w:tcW w:w="992" w:type="dxa"/>
            <w:noWrap/>
            <w:hideMark/>
          </w:tcPr>
          <w:p w14:paraId="1E78D946"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23,3</w:t>
            </w:r>
            <w:r w:rsidR="00194BFD">
              <w:rPr>
                <w:rFonts w:ascii="Times New Roman" w:eastAsia="Calibri" w:hAnsi="Times New Roman"/>
                <w:sz w:val="18"/>
                <w:szCs w:val="18"/>
              </w:rPr>
              <w:t> </w:t>
            </w:r>
            <w:r w:rsidRPr="00E25833">
              <w:rPr>
                <w:rFonts w:ascii="Times New Roman" w:eastAsia="Calibri" w:hAnsi="Times New Roman"/>
                <w:sz w:val="18"/>
                <w:szCs w:val="18"/>
              </w:rPr>
              <w:t>%</w:t>
            </w:r>
          </w:p>
        </w:tc>
        <w:tc>
          <w:tcPr>
            <w:tcW w:w="992" w:type="dxa"/>
            <w:noWrap/>
            <w:hideMark/>
          </w:tcPr>
          <w:p w14:paraId="1D340A41" w14:textId="77777777" w:rsidR="004B5136" w:rsidRPr="00E25833" w:rsidRDefault="004B5136" w:rsidP="004B5136">
            <w:pPr>
              <w:jc w:val="center"/>
              <w:rPr>
                <w:rFonts w:ascii="Times New Roman" w:eastAsia="Calibri" w:hAnsi="Times New Roman"/>
                <w:sz w:val="18"/>
                <w:szCs w:val="18"/>
              </w:rPr>
            </w:pPr>
            <w:r w:rsidRPr="00E25833">
              <w:rPr>
                <w:rFonts w:ascii="Times New Roman" w:eastAsia="Calibri" w:hAnsi="Times New Roman"/>
                <w:sz w:val="18"/>
                <w:szCs w:val="18"/>
              </w:rPr>
              <w:t>21,9</w:t>
            </w:r>
            <w:r w:rsidR="00194BFD">
              <w:rPr>
                <w:rFonts w:ascii="Times New Roman" w:eastAsia="Calibri" w:hAnsi="Times New Roman"/>
                <w:sz w:val="18"/>
                <w:szCs w:val="18"/>
              </w:rPr>
              <w:t> </w:t>
            </w:r>
            <w:r w:rsidRPr="00E25833">
              <w:rPr>
                <w:rFonts w:ascii="Times New Roman" w:eastAsia="Calibri" w:hAnsi="Times New Roman"/>
                <w:sz w:val="18"/>
                <w:szCs w:val="18"/>
              </w:rPr>
              <w:t>%</w:t>
            </w:r>
          </w:p>
        </w:tc>
        <w:tc>
          <w:tcPr>
            <w:tcW w:w="1040" w:type="dxa"/>
            <w:noWrap/>
            <w:hideMark/>
          </w:tcPr>
          <w:p w14:paraId="707A1F73" w14:textId="77777777" w:rsidR="004B5136" w:rsidRPr="00E25833" w:rsidRDefault="004B5136" w:rsidP="004B5136">
            <w:pPr>
              <w:ind w:firstLine="25"/>
              <w:jc w:val="center"/>
              <w:rPr>
                <w:rFonts w:ascii="Times New Roman" w:eastAsia="Calibri" w:hAnsi="Times New Roman"/>
                <w:sz w:val="18"/>
                <w:szCs w:val="18"/>
              </w:rPr>
            </w:pPr>
            <w:r w:rsidRPr="00E25833">
              <w:rPr>
                <w:rFonts w:ascii="Times New Roman" w:eastAsia="Calibri" w:hAnsi="Times New Roman"/>
                <w:sz w:val="18"/>
                <w:szCs w:val="18"/>
              </w:rPr>
              <w:t>21,0</w:t>
            </w:r>
            <w:r w:rsidR="00194BFD">
              <w:rPr>
                <w:rFonts w:ascii="Times New Roman" w:eastAsia="Calibri" w:hAnsi="Times New Roman"/>
                <w:sz w:val="18"/>
                <w:szCs w:val="18"/>
              </w:rPr>
              <w:t> </w:t>
            </w:r>
            <w:r w:rsidRPr="00E25833">
              <w:rPr>
                <w:rFonts w:ascii="Times New Roman" w:eastAsia="Calibri" w:hAnsi="Times New Roman"/>
                <w:sz w:val="18"/>
                <w:szCs w:val="18"/>
              </w:rPr>
              <w:t>%</w:t>
            </w:r>
          </w:p>
        </w:tc>
        <w:tc>
          <w:tcPr>
            <w:tcW w:w="1134" w:type="dxa"/>
            <w:noWrap/>
            <w:hideMark/>
          </w:tcPr>
          <w:p w14:paraId="181575B1" w14:textId="77777777" w:rsidR="004B5136" w:rsidRPr="00E25833" w:rsidRDefault="00194BFD" w:rsidP="004B5136">
            <w:pPr>
              <w:jc w:val="center"/>
              <w:rPr>
                <w:rFonts w:ascii="Times New Roman" w:eastAsia="Calibri" w:hAnsi="Times New Roman"/>
                <w:sz w:val="18"/>
                <w:szCs w:val="18"/>
              </w:rPr>
            </w:pPr>
            <w:r>
              <w:rPr>
                <w:rFonts w:ascii="Times New Roman" w:eastAsia="Calibri" w:hAnsi="Times New Roman"/>
                <w:sz w:val="18"/>
                <w:szCs w:val="18"/>
              </w:rPr>
              <w:t>–</w:t>
            </w:r>
            <w:r w:rsidR="004B5136" w:rsidRPr="00E25833">
              <w:rPr>
                <w:rFonts w:ascii="Times New Roman" w:eastAsia="Calibri" w:hAnsi="Times New Roman"/>
                <w:sz w:val="18"/>
                <w:szCs w:val="18"/>
              </w:rPr>
              <w:t>1,4</w:t>
            </w:r>
          </w:p>
        </w:tc>
        <w:tc>
          <w:tcPr>
            <w:tcW w:w="1134" w:type="dxa"/>
            <w:noWrap/>
            <w:hideMark/>
          </w:tcPr>
          <w:p w14:paraId="0A50C4F8" w14:textId="77777777" w:rsidR="004B5136" w:rsidRPr="00E25833" w:rsidRDefault="00194BFD" w:rsidP="004B5136">
            <w:pPr>
              <w:jc w:val="center"/>
              <w:rPr>
                <w:rFonts w:ascii="Times New Roman" w:eastAsia="Calibri" w:hAnsi="Times New Roman"/>
                <w:sz w:val="18"/>
                <w:szCs w:val="18"/>
              </w:rPr>
            </w:pPr>
            <w:r>
              <w:rPr>
                <w:rFonts w:ascii="Times New Roman" w:eastAsia="Calibri" w:hAnsi="Times New Roman"/>
                <w:sz w:val="18"/>
                <w:szCs w:val="18"/>
              </w:rPr>
              <w:t>–</w:t>
            </w:r>
            <w:r w:rsidR="004B5136" w:rsidRPr="00E25833">
              <w:rPr>
                <w:rFonts w:ascii="Times New Roman" w:eastAsia="Calibri" w:hAnsi="Times New Roman"/>
                <w:sz w:val="18"/>
                <w:szCs w:val="18"/>
              </w:rPr>
              <w:t>0,09</w:t>
            </w:r>
          </w:p>
        </w:tc>
      </w:tr>
    </w:tbl>
    <w:p w14:paraId="5BFD5F40" w14:textId="77777777" w:rsidR="005814E4" w:rsidRPr="00E25833" w:rsidRDefault="00C27F8F" w:rsidP="00C443E6">
      <w:pPr>
        <w:spacing w:before="240" w:after="0" w:line="240" w:lineRule="auto"/>
        <w:ind w:firstLine="720"/>
        <w:jc w:val="both"/>
        <w:rPr>
          <w:rFonts w:ascii="Times New Roman" w:eastAsia="Calibri" w:hAnsi="Times New Roman" w:cs="Times New Roman"/>
          <w:sz w:val="28"/>
          <w:szCs w:val="28"/>
        </w:rPr>
      </w:pPr>
      <w:r w:rsidRPr="006E266D">
        <w:rPr>
          <w:rFonts w:ascii="Times New Roman" w:hAnsi="Times New Roman" w:cs="Times New Roman"/>
          <w:sz w:val="28"/>
          <w:szCs w:val="28"/>
        </w:rPr>
        <w:t>Būvniecības nozarē darba vietu skaita ievērojams palielinājums kopsakarā ar pārbaudēs konstatēto</w:t>
      </w:r>
      <w:r w:rsidR="00C271B6" w:rsidRPr="006E266D">
        <w:rPr>
          <w:rFonts w:ascii="Times New Roman" w:hAnsi="Times New Roman" w:cs="Times New Roman"/>
          <w:sz w:val="28"/>
          <w:szCs w:val="28"/>
        </w:rPr>
        <w:t>,</w:t>
      </w:r>
      <w:r w:rsidRPr="006E266D">
        <w:rPr>
          <w:rFonts w:ascii="Times New Roman" w:hAnsi="Times New Roman" w:cs="Times New Roman"/>
          <w:sz w:val="28"/>
          <w:szCs w:val="28"/>
        </w:rPr>
        <w:t xml:space="preserve"> </w:t>
      </w:r>
      <w:r w:rsidR="00C271B6" w:rsidRPr="006E266D">
        <w:rPr>
          <w:rFonts w:ascii="Times New Roman" w:hAnsi="Times New Roman" w:cs="Times New Roman"/>
          <w:sz w:val="28"/>
          <w:szCs w:val="28"/>
        </w:rPr>
        <w:t xml:space="preserve">ka samazinājies </w:t>
      </w:r>
      <w:r w:rsidR="00C443E6">
        <w:rPr>
          <w:rFonts w:ascii="Times New Roman" w:hAnsi="Times New Roman" w:cs="Times New Roman"/>
          <w:sz w:val="28"/>
          <w:szCs w:val="28"/>
        </w:rPr>
        <w:t xml:space="preserve">to </w:t>
      </w:r>
      <w:r w:rsidR="00C271B6" w:rsidRPr="006E266D">
        <w:rPr>
          <w:rFonts w:ascii="Times New Roman" w:hAnsi="Times New Roman" w:cs="Times New Roman"/>
          <w:sz w:val="28"/>
          <w:szCs w:val="28"/>
        </w:rPr>
        <w:t>darba ņēmēju skaits</w:t>
      </w:r>
      <w:r w:rsidR="00C443E6">
        <w:rPr>
          <w:rFonts w:ascii="Times New Roman" w:hAnsi="Times New Roman" w:cs="Times New Roman"/>
          <w:sz w:val="28"/>
          <w:szCs w:val="28"/>
        </w:rPr>
        <w:t>,</w:t>
      </w:r>
      <w:r w:rsidR="00C271B6" w:rsidRPr="006E266D">
        <w:rPr>
          <w:rFonts w:ascii="Times New Roman" w:hAnsi="Times New Roman" w:cs="Times New Roman"/>
          <w:sz w:val="28"/>
          <w:szCs w:val="28"/>
        </w:rPr>
        <w:t xml:space="preserve"> par kuriem netiek iesniegtas ziņas VID, </w:t>
      </w:r>
      <w:r w:rsidRPr="006E266D">
        <w:rPr>
          <w:rFonts w:ascii="Times New Roman" w:hAnsi="Times New Roman" w:cs="Times New Roman"/>
          <w:sz w:val="28"/>
          <w:szCs w:val="28"/>
        </w:rPr>
        <w:t>liecina, ka</w:t>
      </w:r>
      <w:r w:rsidR="005814E4" w:rsidRPr="006E266D">
        <w:rPr>
          <w:rFonts w:ascii="Times New Roman" w:hAnsi="Times New Roman" w:cs="Times New Roman"/>
          <w:sz w:val="28"/>
          <w:szCs w:val="28"/>
        </w:rPr>
        <w:t xml:space="preserve"> </w:t>
      </w:r>
      <w:r w:rsidR="00C271B6" w:rsidRPr="006E266D">
        <w:rPr>
          <w:rFonts w:ascii="Times New Roman" w:hAnsi="Times New Roman" w:cs="Times New Roman"/>
          <w:sz w:val="28"/>
          <w:szCs w:val="28"/>
        </w:rPr>
        <w:t xml:space="preserve">viens no tā ietekmējošiem faktoriem ir </w:t>
      </w:r>
      <w:r w:rsidR="005814E4" w:rsidRPr="006E266D">
        <w:rPr>
          <w:rFonts w:ascii="Times New Roman" w:hAnsi="Times New Roman" w:cs="Times New Roman"/>
          <w:sz w:val="28"/>
          <w:szCs w:val="28"/>
        </w:rPr>
        <w:t>EDLUS ieviešana</w:t>
      </w:r>
      <w:r w:rsidR="00C271B6" w:rsidRPr="006E266D">
        <w:rPr>
          <w:rFonts w:ascii="Times New Roman" w:hAnsi="Times New Roman" w:cs="Times New Roman"/>
          <w:sz w:val="28"/>
          <w:szCs w:val="28"/>
        </w:rPr>
        <w:t>. Kopumā</w:t>
      </w:r>
      <w:r w:rsidR="005814E4" w:rsidRPr="006E266D">
        <w:rPr>
          <w:rFonts w:ascii="Times New Roman" w:hAnsi="Times New Roman" w:cs="Times New Roman"/>
          <w:sz w:val="28"/>
          <w:szCs w:val="28"/>
        </w:rPr>
        <w:t xml:space="preserve"> var secināt, </w:t>
      </w:r>
      <w:r w:rsidR="00C271B6" w:rsidRPr="006E266D">
        <w:rPr>
          <w:rFonts w:ascii="Times New Roman" w:hAnsi="Times New Roman" w:cs="Times New Roman"/>
          <w:sz w:val="28"/>
          <w:szCs w:val="28"/>
        </w:rPr>
        <w:t xml:space="preserve">ka </w:t>
      </w:r>
      <w:r w:rsidR="005814E4" w:rsidRPr="006E266D">
        <w:rPr>
          <w:rFonts w:ascii="Times New Roman" w:hAnsi="Times New Roman" w:cs="Times New Roman"/>
          <w:sz w:val="28"/>
          <w:szCs w:val="28"/>
        </w:rPr>
        <w:t>pieaug</w:t>
      </w:r>
      <w:r w:rsidR="005814E4">
        <w:rPr>
          <w:rFonts w:ascii="Times New Roman" w:hAnsi="Times New Roman" w:cs="Times New Roman"/>
          <w:sz w:val="28"/>
          <w:szCs w:val="28"/>
        </w:rPr>
        <w:t xml:space="preserve"> </w:t>
      </w:r>
      <w:r w:rsidR="003702E9">
        <w:rPr>
          <w:rFonts w:ascii="Times New Roman" w:hAnsi="Times New Roman" w:cs="Times New Roman"/>
          <w:sz w:val="28"/>
          <w:szCs w:val="28"/>
        </w:rPr>
        <w:t xml:space="preserve">to </w:t>
      </w:r>
      <w:r w:rsidR="005814E4">
        <w:rPr>
          <w:rFonts w:ascii="Times New Roman" w:hAnsi="Times New Roman" w:cs="Times New Roman"/>
          <w:sz w:val="28"/>
          <w:szCs w:val="28"/>
        </w:rPr>
        <w:t>nodarbināto skaits</w:t>
      </w:r>
      <w:r w:rsidR="004D0160">
        <w:rPr>
          <w:rFonts w:ascii="Times New Roman" w:hAnsi="Times New Roman" w:cs="Times New Roman"/>
          <w:sz w:val="28"/>
          <w:szCs w:val="28"/>
        </w:rPr>
        <w:t>,</w:t>
      </w:r>
      <w:r w:rsidR="005814E4">
        <w:rPr>
          <w:rFonts w:ascii="Times New Roman" w:hAnsi="Times New Roman" w:cs="Times New Roman"/>
          <w:sz w:val="28"/>
          <w:szCs w:val="28"/>
        </w:rPr>
        <w:t xml:space="preserve"> par kuriem uzskaitītās darba stundas izmantotas darba samaksas aprēķināšanai un deklarētas</w:t>
      </w:r>
      <w:r w:rsidR="004D0160" w:rsidRPr="004D0160">
        <w:rPr>
          <w:rFonts w:ascii="Times New Roman" w:hAnsi="Times New Roman" w:cs="Times New Roman"/>
          <w:sz w:val="28"/>
          <w:szCs w:val="28"/>
        </w:rPr>
        <w:t xml:space="preserve"> </w:t>
      </w:r>
      <w:r w:rsidR="004D0160">
        <w:rPr>
          <w:rFonts w:ascii="Times New Roman" w:hAnsi="Times New Roman" w:cs="Times New Roman"/>
          <w:sz w:val="28"/>
          <w:szCs w:val="28"/>
        </w:rPr>
        <w:t>VID</w:t>
      </w:r>
      <w:r w:rsidR="005814E4">
        <w:rPr>
          <w:rFonts w:ascii="Times New Roman" w:hAnsi="Times New Roman" w:cs="Times New Roman"/>
          <w:sz w:val="28"/>
          <w:szCs w:val="28"/>
        </w:rPr>
        <w:t xml:space="preserve">, </w:t>
      </w:r>
      <w:r w:rsidR="005814E4" w:rsidRPr="00177D8E">
        <w:rPr>
          <w:rFonts w:ascii="Times New Roman" w:eastAsia="Calibri" w:hAnsi="Times New Roman" w:cs="Times New Roman"/>
          <w:sz w:val="28"/>
          <w:szCs w:val="28"/>
        </w:rPr>
        <w:t>kā arī pieaug to darbinieku proporcija, kas mēnesī nopelna 700</w:t>
      </w:r>
      <w:r w:rsidR="003702E9">
        <w:rPr>
          <w:rFonts w:ascii="Times New Roman" w:eastAsia="Calibri" w:hAnsi="Times New Roman" w:cs="Times New Roman"/>
          <w:sz w:val="28"/>
          <w:szCs w:val="28"/>
        </w:rPr>
        <w:t> </w:t>
      </w:r>
      <w:proofErr w:type="spellStart"/>
      <w:r w:rsidR="00F30009" w:rsidRPr="006610D8">
        <w:rPr>
          <w:rFonts w:ascii="Times New Roman" w:eastAsia="Calibri" w:hAnsi="Times New Roman" w:cs="Times New Roman"/>
          <w:i/>
          <w:iCs/>
          <w:sz w:val="28"/>
          <w:szCs w:val="28"/>
        </w:rPr>
        <w:t>euro</w:t>
      </w:r>
      <w:proofErr w:type="spellEnd"/>
      <w:r w:rsidR="005814E4" w:rsidRPr="006610D8">
        <w:rPr>
          <w:rFonts w:ascii="Times New Roman" w:eastAsia="Calibri" w:hAnsi="Times New Roman" w:cs="Times New Roman"/>
          <w:i/>
          <w:iCs/>
          <w:sz w:val="28"/>
          <w:szCs w:val="28"/>
        </w:rPr>
        <w:t xml:space="preserve"> </w:t>
      </w:r>
      <w:r w:rsidR="005814E4" w:rsidRPr="00177D8E">
        <w:rPr>
          <w:rFonts w:ascii="Times New Roman" w:eastAsia="Calibri" w:hAnsi="Times New Roman" w:cs="Times New Roman"/>
          <w:sz w:val="28"/>
          <w:szCs w:val="28"/>
        </w:rPr>
        <w:t>un vairāk (sk</w:t>
      </w:r>
      <w:r w:rsidR="004D0160" w:rsidRPr="00177D8E">
        <w:rPr>
          <w:rFonts w:ascii="Times New Roman" w:eastAsia="Calibri" w:hAnsi="Times New Roman" w:cs="Times New Roman"/>
          <w:sz w:val="28"/>
          <w:szCs w:val="28"/>
        </w:rPr>
        <w:t>atīt</w:t>
      </w:r>
      <w:r w:rsidR="005814E4" w:rsidRPr="00177D8E">
        <w:rPr>
          <w:rFonts w:ascii="Times New Roman" w:eastAsia="Calibri" w:hAnsi="Times New Roman" w:cs="Times New Roman"/>
          <w:sz w:val="28"/>
          <w:szCs w:val="28"/>
        </w:rPr>
        <w:t xml:space="preserve"> </w:t>
      </w:r>
      <w:r w:rsidR="00177D8E" w:rsidRPr="00177D8E">
        <w:rPr>
          <w:rFonts w:ascii="Times New Roman" w:eastAsia="Calibri" w:hAnsi="Times New Roman" w:cs="Times New Roman"/>
          <w:sz w:val="28"/>
          <w:szCs w:val="28"/>
        </w:rPr>
        <w:t>6</w:t>
      </w:r>
      <w:r w:rsidR="003702E9">
        <w:rPr>
          <w:rFonts w:ascii="Times New Roman" w:eastAsia="Calibri" w:hAnsi="Times New Roman" w:cs="Times New Roman"/>
          <w:sz w:val="28"/>
          <w:szCs w:val="28"/>
        </w:rPr>
        <w:t>.</w:t>
      </w:r>
      <w:r w:rsidR="005814E4" w:rsidRPr="00177D8E">
        <w:rPr>
          <w:rFonts w:ascii="Times New Roman" w:eastAsia="Calibri" w:hAnsi="Times New Roman" w:cs="Times New Roman"/>
          <w:sz w:val="28"/>
          <w:szCs w:val="28"/>
        </w:rPr>
        <w:t xml:space="preserve">, </w:t>
      </w:r>
      <w:r w:rsidR="00177D8E" w:rsidRPr="00177D8E">
        <w:rPr>
          <w:rFonts w:ascii="Times New Roman" w:eastAsia="Calibri" w:hAnsi="Times New Roman" w:cs="Times New Roman"/>
          <w:sz w:val="28"/>
          <w:szCs w:val="28"/>
        </w:rPr>
        <w:t>7.</w:t>
      </w:r>
      <w:r w:rsidR="005814E4" w:rsidRPr="00177D8E">
        <w:rPr>
          <w:rFonts w:ascii="Times New Roman" w:eastAsia="Calibri" w:hAnsi="Times New Roman" w:cs="Times New Roman"/>
          <w:sz w:val="28"/>
          <w:szCs w:val="28"/>
        </w:rPr>
        <w:t>tabul</w:t>
      </w:r>
      <w:r w:rsidR="003702E9">
        <w:rPr>
          <w:rFonts w:ascii="Times New Roman" w:eastAsia="Calibri" w:hAnsi="Times New Roman" w:cs="Times New Roman"/>
          <w:sz w:val="28"/>
          <w:szCs w:val="28"/>
        </w:rPr>
        <w:t>u</w:t>
      </w:r>
      <w:r w:rsidR="005814E4">
        <w:rPr>
          <w:rFonts w:ascii="Times New Roman" w:eastAsia="Calibri" w:hAnsi="Times New Roman" w:cs="Times New Roman"/>
          <w:sz w:val="28"/>
          <w:szCs w:val="28"/>
        </w:rPr>
        <w:t>).</w:t>
      </w:r>
    </w:p>
    <w:p w14:paraId="223BF511" w14:textId="77777777" w:rsidR="005814E4" w:rsidRPr="00360BCF" w:rsidRDefault="005814E4" w:rsidP="002F0967">
      <w:pPr>
        <w:pStyle w:val="NoSpacing"/>
        <w:spacing w:before="0"/>
        <w:ind w:firstLine="720"/>
        <w:jc w:val="both"/>
        <w:rPr>
          <w:rFonts w:ascii="Times New Roman" w:hAnsi="Times New Roman" w:cs="Times New Roman"/>
          <w:sz w:val="28"/>
          <w:szCs w:val="28"/>
        </w:rPr>
      </w:pPr>
      <w:r>
        <w:rPr>
          <w:rFonts w:ascii="Times New Roman" w:hAnsi="Times New Roman" w:cs="Times New Roman"/>
          <w:sz w:val="28"/>
          <w:szCs w:val="28"/>
        </w:rPr>
        <w:t xml:space="preserve">Analizējot darba ņēmēju skaita pieauguma dinamiku </w:t>
      </w:r>
      <w:r w:rsidR="00240E74">
        <w:rPr>
          <w:rFonts w:ascii="Times New Roman" w:hAnsi="Times New Roman" w:cs="Times New Roman"/>
          <w:sz w:val="28"/>
          <w:szCs w:val="28"/>
        </w:rPr>
        <w:t xml:space="preserve">būvniecības nozarē </w:t>
      </w:r>
      <w:r>
        <w:rPr>
          <w:rFonts w:ascii="Times New Roman" w:hAnsi="Times New Roman" w:cs="Times New Roman"/>
          <w:sz w:val="28"/>
          <w:szCs w:val="28"/>
        </w:rPr>
        <w:t>izplatītākajās 15</w:t>
      </w:r>
      <w:r w:rsidR="004D0160">
        <w:rPr>
          <w:rFonts w:ascii="Times New Roman" w:hAnsi="Times New Roman" w:cs="Times New Roman"/>
          <w:sz w:val="28"/>
          <w:szCs w:val="28"/>
        </w:rPr>
        <w:t> </w:t>
      </w:r>
      <w:r>
        <w:rPr>
          <w:rFonts w:ascii="Times New Roman" w:hAnsi="Times New Roman" w:cs="Times New Roman"/>
          <w:sz w:val="28"/>
          <w:szCs w:val="28"/>
        </w:rPr>
        <w:t xml:space="preserve">profesijās, kopumā secināts, ka visās ir vērojams darba vietu skaita pieaugums. Turklāt īpaši nozīmīgs pieaugums ir zemākas kvalifikācijas profesijās. Piemēram, </w:t>
      </w:r>
      <w:r w:rsidR="00240E74">
        <w:rPr>
          <w:rFonts w:ascii="Times New Roman" w:hAnsi="Times New Roman" w:cs="Times New Roman"/>
          <w:sz w:val="28"/>
          <w:szCs w:val="28"/>
        </w:rPr>
        <w:t xml:space="preserve">ja darba vietu skaita </w:t>
      </w:r>
      <w:r>
        <w:rPr>
          <w:rFonts w:ascii="Times New Roman" w:hAnsi="Times New Roman" w:cs="Times New Roman"/>
          <w:sz w:val="28"/>
          <w:szCs w:val="28"/>
        </w:rPr>
        <w:t>pieaugum</w:t>
      </w:r>
      <w:r w:rsidR="00240E74">
        <w:rPr>
          <w:rFonts w:ascii="Times New Roman" w:hAnsi="Times New Roman" w:cs="Times New Roman"/>
          <w:sz w:val="28"/>
          <w:szCs w:val="28"/>
        </w:rPr>
        <w:t>s</w:t>
      </w:r>
      <w:r>
        <w:rPr>
          <w:rFonts w:ascii="Times New Roman" w:hAnsi="Times New Roman" w:cs="Times New Roman"/>
          <w:sz w:val="28"/>
          <w:szCs w:val="28"/>
        </w:rPr>
        <w:t xml:space="preserve"> būvdarbu vadītājiem 2019.gadā </w:t>
      </w:r>
      <w:r w:rsidR="00240E74">
        <w:rPr>
          <w:rFonts w:ascii="Times New Roman" w:hAnsi="Times New Roman" w:cs="Times New Roman"/>
          <w:sz w:val="28"/>
          <w:szCs w:val="28"/>
        </w:rPr>
        <w:t xml:space="preserve">ir </w:t>
      </w:r>
      <w:r>
        <w:rPr>
          <w:rFonts w:ascii="Times New Roman" w:hAnsi="Times New Roman" w:cs="Times New Roman"/>
          <w:sz w:val="28"/>
          <w:szCs w:val="28"/>
        </w:rPr>
        <w:t>5,6</w:t>
      </w:r>
      <w:r w:rsidR="003702E9">
        <w:rPr>
          <w:rFonts w:ascii="Times New Roman" w:hAnsi="Times New Roman" w:cs="Times New Roman"/>
          <w:sz w:val="28"/>
          <w:szCs w:val="28"/>
        </w:rPr>
        <w:t> </w:t>
      </w:r>
      <w:r>
        <w:rPr>
          <w:rFonts w:ascii="Times New Roman" w:hAnsi="Times New Roman" w:cs="Times New Roman"/>
          <w:sz w:val="28"/>
          <w:szCs w:val="28"/>
        </w:rPr>
        <w:t>%</w:t>
      </w:r>
      <w:r w:rsidR="00240E74">
        <w:rPr>
          <w:rFonts w:ascii="Times New Roman" w:hAnsi="Times New Roman" w:cs="Times New Roman"/>
          <w:sz w:val="28"/>
          <w:szCs w:val="28"/>
        </w:rPr>
        <w:t>,</w:t>
      </w:r>
      <w:r>
        <w:rPr>
          <w:rFonts w:ascii="Times New Roman" w:hAnsi="Times New Roman" w:cs="Times New Roman"/>
          <w:sz w:val="28"/>
          <w:szCs w:val="28"/>
        </w:rPr>
        <w:t xml:space="preserve"> salīdzinot ar 2018.gadu, tad palīgstrādnieku </w:t>
      </w:r>
      <w:r w:rsidR="00240E74">
        <w:rPr>
          <w:rFonts w:ascii="Times New Roman" w:hAnsi="Times New Roman" w:cs="Times New Roman"/>
          <w:sz w:val="28"/>
          <w:szCs w:val="28"/>
        </w:rPr>
        <w:t xml:space="preserve">darba vietu </w:t>
      </w:r>
      <w:r>
        <w:rPr>
          <w:rFonts w:ascii="Times New Roman" w:hAnsi="Times New Roman" w:cs="Times New Roman"/>
          <w:sz w:val="28"/>
          <w:szCs w:val="28"/>
        </w:rPr>
        <w:t>pieaugums 2019.gadā</w:t>
      </w:r>
      <w:r w:rsidR="00240E74">
        <w:rPr>
          <w:rFonts w:ascii="Times New Roman" w:hAnsi="Times New Roman" w:cs="Times New Roman"/>
          <w:sz w:val="28"/>
          <w:szCs w:val="28"/>
        </w:rPr>
        <w:t>, salīdzinot ar</w:t>
      </w:r>
      <w:r>
        <w:rPr>
          <w:rFonts w:ascii="Times New Roman" w:hAnsi="Times New Roman" w:cs="Times New Roman"/>
          <w:sz w:val="28"/>
          <w:szCs w:val="28"/>
        </w:rPr>
        <w:t xml:space="preserve"> 2018.gadu</w:t>
      </w:r>
      <w:r w:rsidR="00240E74">
        <w:rPr>
          <w:rFonts w:ascii="Times New Roman" w:hAnsi="Times New Roman" w:cs="Times New Roman"/>
          <w:sz w:val="28"/>
          <w:szCs w:val="28"/>
        </w:rPr>
        <w:t>,</w:t>
      </w:r>
      <w:r>
        <w:rPr>
          <w:rFonts w:ascii="Times New Roman" w:hAnsi="Times New Roman" w:cs="Times New Roman"/>
          <w:sz w:val="28"/>
          <w:szCs w:val="28"/>
        </w:rPr>
        <w:t xml:space="preserve"> ir 22,3</w:t>
      </w:r>
      <w:r w:rsidR="003702E9">
        <w:rPr>
          <w:rFonts w:ascii="Times New Roman" w:hAnsi="Times New Roman" w:cs="Times New Roman"/>
          <w:sz w:val="28"/>
          <w:szCs w:val="28"/>
        </w:rPr>
        <w:t> </w:t>
      </w:r>
      <w:r>
        <w:rPr>
          <w:rFonts w:ascii="Times New Roman" w:hAnsi="Times New Roman" w:cs="Times New Roman"/>
          <w:sz w:val="28"/>
          <w:szCs w:val="28"/>
        </w:rPr>
        <w:t>%</w:t>
      </w:r>
      <w:r w:rsidR="00240E74">
        <w:rPr>
          <w:rFonts w:ascii="Times New Roman" w:hAnsi="Times New Roman" w:cs="Times New Roman"/>
          <w:sz w:val="28"/>
          <w:szCs w:val="28"/>
        </w:rPr>
        <w:t>.</w:t>
      </w:r>
      <w:r>
        <w:rPr>
          <w:rFonts w:ascii="Times New Roman" w:hAnsi="Times New Roman" w:cs="Times New Roman"/>
          <w:sz w:val="28"/>
          <w:szCs w:val="28"/>
        </w:rPr>
        <w:t xml:space="preserve"> </w:t>
      </w:r>
      <w:r w:rsidR="00240E74">
        <w:rPr>
          <w:rFonts w:ascii="Times New Roman" w:hAnsi="Times New Roman" w:cs="Times New Roman"/>
          <w:sz w:val="28"/>
          <w:szCs w:val="28"/>
        </w:rPr>
        <w:t>Turklāt</w:t>
      </w:r>
      <w:r>
        <w:rPr>
          <w:rFonts w:ascii="Times New Roman" w:hAnsi="Times New Roman" w:cs="Times New Roman"/>
          <w:sz w:val="28"/>
          <w:szCs w:val="28"/>
        </w:rPr>
        <w:t xml:space="preserve"> 2017.gadā būvdarbu vadītāju bija par </w:t>
      </w:r>
      <w:r w:rsidRPr="00360BCF">
        <w:rPr>
          <w:rFonts w:ascii="Times New Roman" w:hAnsi="Times New Roman" w:cs="Times New Roman"/>
          <w:sz w:val="28"/>
          <w:szCs w:val="28"/>
        </w:rPr>
        <w:t>40,6</w:t>
      </w:r>
      <w:r w:rsidR="003702E9">
        <w:rPr>
          <w:rFonts w:ascii="Times New Roman" w:hAnsi="Times New Roman" w:cs="Times New Roman"/>
          <w:sz w:val="28"/>
          <w:szCs w:val="28"/>
        </w:rPr>
        <w:t> </w:t>
      </w:r>
      <w:r w:rsidRPr="00360BCF">
        <w:rPr>
          <w:rFonts w:ascii="Times New Roman" w:hAnsi="Times New Roman" w:cs="Times New Roman"/>
          <w:sz w:val="28"/>
          <w:szCs w:val="28"/>
        </w:rPr>
        <w:t>% vairāk nekā palīgstrādnieku, savukārt 2019.gadā palīgstrādnieku jau ir par 8,7</w:t>
      </w:r>
      <w:r w:rsidR="003702E9">
        <w:rPr>
          <w:rFonts w:ascii="Times New Roman" w:hAnsi="Times New Roman" w:cs="Times New Roman"/>
          <w:sz w:val="28"/>
          <w:szCs w:val="28"/>
        </w:rPr>
        <w:t> </w:t>
      </w:r>
      <w:r w:rsidRPr="00360BCF">
        <w:rPr>
          <w:rFonts w:ascii="Times New Roman" w:hAnsi="Times New Roman" w:cs="Times New Roman"/>
          <w:sz w:val="28"/>
          <w:szCs w:val="28"/>
        </w:rPr>
        <w:t xml:space="preserve">% vairāk </w:t>
      </w:r>
      <w:r w:rsidR="003702E9">
        <w:rPr>
          <w:rFonts w:ascii="Times New Roman" w:hAnsi="Times New Roman" w:cs="Times New Roman"/>
          <w:sz w:val="28"/>
          <w:szCs w:val="28"/>
        </w:rPr>
        <w:t>ne</w:t>
      </w:r>
      <w:r w:rsidRPr="00360BCF">
        <w:rPr>
          <w:rFonts w:ascii="Times New Roman" w:hAnsi="Times New Roman" w:cs="Times New Roman"/>
          <w:sz w:val="28"/>
          <w:szCs w:val="28"/>
        </w:rPr>
        <w:t>kā būvdarbu vadītāju (sk</w:t>
      </w:r>
      <w:r w:rsidR="00240E74" w:rsidRPr="00360BCF">
        <w:rPr>
          <w:rFonts w:ascii="Times New Roman" w:hAnsi="Times New Roman" w:cs="Times New Roman"/>
          <w:sz w:val="28"/>
          <w:szCs w:val="28"/>
        </w:rPr>
        <w:t>atīt</w:t>
      </w:r>
      <w:r w:rsidRPr="00360BCF">
        <w:rPr>
          <w:rFonts w:ascii="Times New Roman" w:hAnsi="Times New Roman" w:cs="Times New Roman"/>
          <w:sz w:val="28"/>
          <w:szCs w:val="28"/>
        </w:rPr>
        <w:t xml:space="preserve"> </w:t>
      </w:r>
      <w:r w:rsidR="00177D8E" w:rsidRPr="00360BCF">
        <w:rPr>
          <w:rFonts w:ascii="Times New Roman" w:hAnsi="Times New Roman" w:cs="Times New Roman"/>
          <w:sz w:val="28"/>
          <w:szCs w:val="28"/>
        </w:rPr>
        <w:t>10.</w:t>
      </w:r>
      <w:r w:rsidR="00240E74" w:rsidRPr="00360BCF">
        <w:rPr>
          <w:rFonts w:ascii="Times New Roman" w:hAnsi="Times New Roman" w:cs="Times New Roman"/>
          <w:sz w:val="28"/>
          <w:szCs w:val="28"/>
        </w:rPr>
        <w:t>tabulu</w:t>
      </w:r>
      <w:r w:rsidRPr="00360BCF">
        <w:rPr>
          <w:rFonts w:ascii="Times New Roman" w:hAnsi="Times New Roman" w:cs="Times New Roman"/>
          <w:sz w:val="28"/>
          <w:szCs w:val="28"/>
        </w:rPr>
        <w:t>).</w:t>
      </w:r>
    </w:p>
    <w:p w14:paraId="71354658" w14:textId="77777777" w:rsidR="005814E4" w:rsidRPr="00360BCF" w:rsidRDefault="009D4ED2" w:rsidP="002F0967">
      <w:pPr>
        <w:pStyle w:val="NoSpacing"/>
        <w:spacing w:before="0"/>
        <w:ind w:firstLine="720"/>
        <w:jc w:val="both"/>
        <w:rPr>
          <w:rFonts w:ascii="Times New Roman" w:hAnsi="Times New Roman" w:cs="Times New Roman"/>
          <w:sz w:val="28"/>
          <w:szCs w:val="28"/>
        </w:rPr>
      </w:pPr>
      <w:r w:rsidRPr="00360BCF">
        <w:rPr>
          <w:rFonts w:ascii="Times New Roman" w:hAnsi="Times New Roman" w:cs="Times New Roman"/>
          <w:sz w:val="28"/>
          <w:szCs w:val="28"/>
        </w:rPr>
        <w:t>Kopumā 2017.</w:t>
      </w:r>
      <w:r w:rsidR="002D1AE5">
        <w:rPr>
          <w:rFonts w:ascii="Times New Roman" w:hAnsi="Times New Roman" w:cs="Times New Roman"/>
          <w:sz w:val="28"/>
          <w:szCs w:val="28"/>
        </w:rPr>
        <w:t>–</w:t>
      </w:r>
      <w:r w:rsidRPr="00360BCF">
        <w:rPr>
          <w:rFonts w:ascii="Times New Roman" w:hAnsi="Times New Roman" w:cs="Times New Roman"/>
          <w:sz w:val="28"/>
          <w:szCs w:val="28"/>
        </w:rPr>
        <w:t xml:space="preserve">2019.gadā vērojams nozīmīgs pieaugums darbaspēka nodokļu ieņēmumos, kas galvenokārt skaidrojams ar nozarē nodarbināto darba ienākumu un darba vietu skaita pieaugumu. </w:t>
      </w:r>
      <w:r w:rsidR="005814E4" w:rsidRPr="00360BCF">
        <w:rPr>
          <w:rFonts w:ascii="Times New Roman" w:hAnsi="Times New Roman" w:cs="Times New Roman"/>
          <w:sz w:val="28"/>
          <w:szCs w:val="28"/>
        </w:rPr>
        <w:t>Analizējot komersantu deklarētās darba stundas sadalījumā pa būvnieku profesijām kopumā, var secināt, ka lielāk</w:t>
      </w:r>
      <w:r w:rsidR="001B7D92">
        <w:rPr>
          <w:rFonts w:ascii="Times New Roman" w:hAnsi="Times New Roman" w:cs="Times New Roman"/>
          <w:sz w:val="28"/>
          <w:szCs w:val="28"/>
        </w:rPr>
        <w:t>aj</w:t>
      </w:r>
      <w:r w:rsidR="005814E4" w:rsidRPr="00360BCF">
        <w:rPr>
          <w:rFonts w:ascii="Times New Roman" w:hAnsi="Times New Roman" w:cs="Times New Roman"/>
          <w:sz w:val="28"/>
          <w:szCs w:val="28"/>
        </w:rPr>
        <w:t>ai daļai no tām palielinājies vidēji nostrādāto stundu skaits par 1,3 %.</w:t>
      </w:r>
    </w:p>
    <w:p w14:paraId="23D88E83" w14:textId="77777777" w:rsidR="005814E4" w:rsidRPr="00360BCF" w:rsidRDefault="005814E4" w:rsidP="00237CD7">
      <w:pPr>
        <w:pStyle w:val="NoSpacing"/>
        <w:spacing w:before="0"/>
        <w:ind w:firstLine="720"/>
        <w:jc w:val="both"/>
        <w:rPr>
          <w:rFonts w:ascii="Times New Roman" w:hAnsi="Times New Roman" w:cs="Times New Roman"/>
          <w:i/>
          <w:sz w:val="28"/>
          <w:szCs w:val="28"/>
        </w:rPr>
      </w:pPr>
    </w:p>
    <w:p w14:paraId="45E00AD6" w14:textId="77777777" w:rsidR="005814E4" w:rsidRPr="00360BCF" w:rsidRDefault="005814E4" w:rsidP="00237CD7">
      <w:pPr>
        <w:spacing w:before="0" w:after="0" w:line="240" w:lineRule="auto"/>
        <w:ind w:firstLine="720"/>
        <w:jc w:val="both"/>
        <w:rPr>
          <w:rFonts w:ascii="Times New Roman" w:eastAsia="Calibri" w:hAnsi="Times New Roman" w:cs="Times New Roman"/>
          <w:b/>
          <w:i/>
          <w:sz w:val="28"/>
          <w:szCs w:val="28"/>
        </w:rPr>
      </w:pPr>
      <w:proofErr w:type="spellStart"/>
      <w:r w:rsidRPr="00360BCF">
        <w:rPr>
          <w:rFonts w:ascii="Times New Roman" w:eastAsia="Calibri" w:hAnsi="Times New Roman" w:cs="Times New Roman"/>
          <w:b/>
          <w:i/>
          <w:sz w:val="28"/>
          <w:szCs w:val="28"/>
        </w:rPr>
        <w:t>Mikrouzņēmumu</w:t>
      </w:r>
      <w:proofErr w:type="spellEnd"/>
      <w:r w:rsidRPr="00360BCF">
        <w:rPr>
          <w:rFonts w:ascii="Times New Roman" w:eastAsia="Calibri" w:hAnsi="Times New Roman" w:cs="Times New Roman"/>
          <w:b/>
          <w:i/>
          <w:sz w:val="28"/>
          <w:szCs w:val="28"/>
        </w:rPr>
        <w:t xml:space="preserve"> nodokļa maksāšanas režīmā strādājošo</w:t>
      </w:r>
      <w:r w:rsidR="006E58AD" w:rsidRPr="00360BCF">
        <w:rPr>
          <w:rFonts w:ascii="Times New Roman" w:eastAsia="Calibri" w:hAnsi="Times New Roman" w:cs="Times New Roman"/>
          <w:b/>
          <w:i/>
          <w:sz w:val="28"/>
          <w:szCs w:val="28"/>
        </w:rPr>
        <w:t xml:space="preserve"> uzņēmumu</w:t>
      </w:r>
      <w:r w:rsidRPr="00360BCF">
        <w:rPr>
          <w:rFonts w:ascii="Times New Roman" w:eastAsia="Calibri" w:hAnsi="Times New Roman" w:cs="Times New Roman"/>
          <w:b/>
          <w:i/>
          <w:sz w:val="28"/>
          <w:szCs w:val="28"/>
        </w:rPr>
        <w:t xml:space="preserve"> </w:t>
      </w:r>
      <w:r w:rsidR="00127D6A" w:rsidRPr="00360BCF">
        <w:rPr>
          <w:rFonts w:ascii="Times New Roman" w:eastAsia="Calibri" w:hAnsi="Times New Roman" w:cs="Times New Roman"/>
          <w:b/>
          <w:i/>
          <w:sz w:val="28"/>
          <w:szCs w:val="28"/>
        </w:rPr>
        <w:t>rādītāji</w:t>
      </w:r>
    </w:p>
    <w:p w14:paraId="3F0C8604" w14:textId="77777777" w:rsidR="009D4ED2" w:rsidRDefault="00F30009">
      <w:pPr>
        <w:spacing w:before="0" w:after="0" w:line="240" w:lineRule="auto"/>
        <w:ind w:firstLine="720"/>
        <w:jc w:val="both"/>
        <w:rPr>
          <w:rFonts w:ascii="Times New Roman" w:eastAsia="Calibri" w:hAnsi="Times New Roman" w:cs="Times New Roman"/>
          <w:sz w:val="28"/>
          <w:szCs w:val="28"/>
        </w:rPr>
      </w:pPr>
      <w:r w:rsidRPr="00360BCF">
        <w:rPr>
          <w:rFonts w:ascii="Times New Roman" w:eastAsia="Calibri" w:hAnsi="Times New Roman" w:cs="Times New Roman"/>
          <w:sz w:val="28"/>
          <w:szCs w:val="28"/>
        </w:rPr>
        <w:t xml:space="preserve">Atbilstoši VID rīcībā esošajai </w:t>
      </w:r>
      <w:r w:rsidR="00023606" w:rsidRPr="00360BCF">
        <w:rPr>
          <w:rFonts w:ascii="Times New Roman" w:eastAsia="Calibri" w:hAnsi="Times New Roman" w:cs="Times New Roman"/>
          <w:sz w:val="28"/>
          <w:szCs w:val="28"/>
        </w:rPr>
        <w:t>informācija</w:t>
      </w:r>
      <w:r w:rsidRPr="00360BCF">
        <w:rPr>
          <w:rFonts w:ascii="Times New Roman" w:eastAsia="Calibri" w:hAnsi="Times New Roman" w:cs="Times New Roman"/>
          <w:sz w:val="28"/>
          <w:szCs w:val="28"/>
        </w:rPr>
        <w:t>i</w:t>
      </w:r>
      <w:r w:rsidR="00023606" w:rsidRPr="00360BCF">
        <w:rPr>
          <w:rFonts w:ascii="Times New Roman" w:eastAsia="Calibri" w:hAnsi="Times New Roman" w:cs="Times New Roman"/>
          <w:sz w:val="28"/>
          <w:szCs w:val="28"/>
        </w:rPr>
        <w:t xml:space="preserve"> </w:t>
      </w:r>
      <w:bookmarkStart w:id="21" w:name="_Hlk40437266"/>
      <w:r w:rsidR="009D4ED2" w:rsidRPr="00360BCF">
        <w:rPr>
          <w:rFonts w:ascii="Times New Roman" w:eastAsia="Calibri" w:hAnsi="Times New Roman" w:cs="Times New Roman"/>
          <w:sz w:val="28"/>
          <w:szCs w:val="28"/>
        </w:rPr>
        <w:t>2017.</w:t>
      </w:r>
      <w:r w:rsidR="001B7D92">
        <w:rPr>
          <w:rFonts w:ascii="Times New Roman" w:eastAsia="Calibri" w:hAnsi="Times New Roman" w:cs="Times New Roman"/>
          <w:sz w:val="28"/>
          <w:szCs w:val="28"/>
        </w:rPr>
        <w:t>–</w:t>
      </w:r>
      <w:r w:rsidR="009D4ED2" w:rsidRPr="00360BCF">
        <w:rPr>
          <w:rFonts w:ascii="Times New Roman" w:eastAsia="Calibri" w:hAnsi="Times New Roman" w:cs="Times New Roman"/>
          <w:sz w:val="28"/>
          <w:szCs w:val="28"/>
        </w:rPr>
        <w:t>2019.gad</w:t>
      </w:r>
      <w:r w:rsidR="001B7D92">
        <w:rPr>
          <w:rFonts w:ascii="Times New Roman" w:eastAsia="Calibri" w:hAnsi="Times New Roman" w:cs="Times New Roman"/>
          <w:sz w:val="28"/>
          <w:szCs w:val="28"/>
        </w:rPr>
        <w:t>ā</w:t>
      </w:r>
      <w:r w:rsidR="009D4ED2" w:rsidRPr="00360BCF">
        <w:rPr>
          <w:rFonts w:ascii="Times New Roman" w:eastAsia="Calibri" w:hAnsi="Times New Roman" w:cs="Times New Roman"/>
          <w:sz w:val="28"/>
          <w:szCs w:val="28"/>
        </w:rPr>
        <w:t xml:space="preserve"> vairāk nekā 20</w:t>
      </w:r>
      <w:r w:rsidR="001B7D92">
        <w:rPr>
          <w:rFonts w:ascii="Times New Roman" w:eastAsia="Calibri" w:hAnsi="Times New Roman" w:cs="Times New Roman"/>
          <w:sz w:val="28"/>
          <w:szCs w:val="28"/>
        </w:rPr>
        <w:t> %</w:t>
      </w:r>
      <w:r w:rsidR="009D4ED2" w:rsidRPr="00360BCF">
        <w:rPr>
          <w:rFonts w:ascii="Times New Roman" w:eastAsia="Calibri" w:hAnsi="Times New Roman" w:cs="Times New Roman"/>
          <w:sz w:val="28"/>
          <w:szCs w:val="28"/>
        </w:rPr>
        <w:t xml:space="preserve"> būvniecības nozarē strādājošo komersantu izmanto </w:t>
      </w:r>
      <w:proofErr w:type="spellStart"/>
      <w:r w:rsidR="00BD4FDE">
        <w:rPr>
          <w:rFonts w:ascii="Times New Roman" w:eastAsia="Calibri" w:hAnsi="Times New Roman" w:cs="Times New Roman"/>
          <w:sz w:val="28"/>
          <w:szCs w:val="28"/>
        </w:rPr>
        <w:t>m</w:t>
      </w:r>
      <w:r w:rsidR="009D4ED2" w:rsidRPr="00360BCF">
        <w:rPr>
          <w:rFonts w:ascii="Times New Roman" w:eastAsia="Calibri" w:hAnsi="Times New Roman" w:cs="Times New Roman"/>
          <w:sz w:val="28"/>
          <w:szCs w:val="28"/>
        </w:rPr>
        <w:t>ikrouzņēmumu</w:t>
      </w:r>
      <w:proofErr w:type="spellEnd"/>
      <w:r w:rsidR="009D4ED2" w:rsidRPr="00360BCF">
        <w:rPr>
          <w:rFonts w:ascii="Times New Roman" w:eastAsia="Calibri" w:hAnsi="Times New Roman" w:cs="Times New Roman"/>
          <w:sz w:val="28"/>
          <w:szCs w:val="28"/>
        </w:rPr>
        <w:t xml:space="preserve"> nodokļa maksāšanas režīmu (skatīt </w:t>
      </w:r>
      <w:r w:rsidR="00FC7F51">
        <w:rPr>
          <w:rFonts w:ascii="Times New Roman" w:eastAsia="Calibri" w:hAnsi="Times New Roman" w:cs="Times New Roman"/>
          <w:sz w:val="28"/>
          <w:szCs w:val="28"/>
        </w:rPr>
        <w:t>9</w:t>
      </w:r>
      <w:r w:rsidR="009D4ED2" w:rsidRPr="00360BCF">
        <w:rPr>
          <w:rFonts w:ascii="Times New Roman" w:eastAsia="Calibri" w:hAnsi="Times New Roman" w:cs="Times New Roman"/>
          <w:sz w:val="28"/>
          <w:szCs w:val="28"/>
        </w:rPr>
        <w:t>.attēlu).</w:t>
      </w:r>
      <w:r w:rsidR="009D4ED2" w:rsidRPr="009D4ED2">
        <w:rPr>
          <w:rFonts w:ascii="Times New Roman" w:eastAsia="Calibri" w:hAnsi="Times New Roman" w:cs="Times New Roman"/>
          <w:sz w:val="28"/>
          <w:szCs w:val="28"/>
        </w:rPr>
        <w:t xml:space="preserve"> </w:t>
      </w:r>
    </w:p>
    <w:p w14:paraId="5E7E0BDC" w14:textId="77777777" w:rsidR="001C3730" w:rsidRPr="009D4ED2" w:rsidRDefault="001C3730" w:rsidP="009D4ED2">
      <w:pPr>
        <w:spacing w:before="0" w:after="0" w:line="240" w:lineRule="auto"/>
        <w:ind w:firstLine="720"/>
        <w:jc w:val="both"/>
        <w:rPr>
          <w:rFonts w:ascii="Times New Roman" w:eastAsia="Calibri" w:hAnsi="Times New Roman" w:cs="Times New Roman"/>
          <w:sz w:val="28"/>
          <w:szCs w:val="28"/>
        </w:rPr>
      </w:pPr>
    </w:p>
    <w:bookmarkEnd w:id="21"/>
    <w:p w14:paraId="2499F0E8" w14:textId="77777777" w:rsidR="009D4ED2" w:rsidRPr="009D4ED2" w:rsidRDefault="009D4ED2" w:rsidP="009D4ED2">
      <w:pPr>
        <w:spacing w:before="0" w:after="0" w:line="240" w:lineRule="auto"/>
        <w:ind w:firstLine="567"/>
        <w:jc w:val="both"/>
        <w:rPr>
          <w:rFonts w:ascii="Times New Roman" w:eastAsia="Calibri" w:hAnsi="Times New Roman" w:cs="Times New Roman"/>
          <w:sz w:val="28"/>
          <w:szCs w:val="28"/>
        </w:rPr>
      </w:pPr>
      <w:r w:rsidRPr="009D4ED2">
        <w:rPr>
          <w:noProof/>
          <w:lang w:eastAsia="lv-LV"/>
        </w:rPr>
        <w:drawing>
          <wp:inline distT="0" distB="0" distL="0" distR="0" wp14:anchorId="13E2544D" wp14:editId="6CC8D334">
            <wp:extent cx="4867275" cy="2857500"/>
            <wp:effectExtent l="0" t="0" r="9525" b="0"/>
            <wp:docPr id="13" name="Chart 13">
              <a:extLst xmlns:a="http://schemas.openxmlformats.org/drawingml/2006/main">
                <a:ext uri="{FF2B5EF4-FFF2-40B4-BE49-F238E27FC236}">
                  <a16:creationId xmlns:a16="http://schemas.microsoft.com/office/drawing/2014/main" id="{9A47D1B2-4E18-400D-BDCD-960ACE34AA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BBC308" w14:textId="77777777" w:rsidR="009D4ED2" w:rsidRPr="009D4ED2" w:rsidRDefault="004F397E" w:rsidP="005E08CF">
      <w:pPr>
        <w:spacing w:before="0" w:after="0" w:line="240" w:lineRule="auto"/>
        <w:jc w:val="center"/>
        <w:rPr>
          <w:rFonts w:ascii="Times New Roman" w:eastAsia="Calibri" w:hAnsi="Times New Roman" w:cs="Times New Roman"/>
          <w:b/>
          <w:sz w:val="28"/>
          <w:szCs w:val="28"/>
        </w:rPr>
      </w:pPr>
      <w:r w:rsidRPr="004F397E">
        <w:rPr>
          <w:rFonts w:ascii="Times New Roman" w:eastAsia="Calibri" w:hAnsi="Times New Roman" w:cs="Times New Roman"/>
          <w:sz w:val="28"/>
          <w:szCs w:val="28"/>
        </w:rPr>
        <w:t>9</w:t>
      </w:r>
      <w:r w:rsidR="009D4ED2" w:rsidRPr="009D4ED2">
        <w:rPr>
          <w:rFonts w:ascii="Times New Roman" w:eastAsia="Calibri" w:hAnsi="Times New Roman" w:cs="Times New Roman"/>
          <w:sz w:val="28"/>
          <w:szCs w:val="28"/>
        </w:rPr>
        <w:t>.attēls</w:t>
      </w:r>
      <w:r w:rsidR="00113EB1">
        <w:rPr>
          <w:rFonts w:ascii="Times New Roman" w:eastAsia="Calibri" w:hAnsi="Times New Roman" w:cs="Times New Roman"/>
          <w:sz w:val="28"/>
          <w:szCs w:val="28"/>
        </w:rPr>
        <w:t>.</w:t>
      </w:r>
      <w:r w:rsidR="009D4ED2" w:rsidRPr="009D4ED2">
        <w:rPr>
          <w:rFonts w:ascii="Times New Roman" w:eastAsia="Calibri" w:hAnsi="Times New Roman" w:cs="Times New Roman"/>
          <w:sz w:val="28"/>
          <w:szCs w:val="28"/>
        </w:rPr>
        <w:t xml:space="preserve"> </w:t>
      </w:r>
      <w:proofErr w:type="spellStart"/>
      <w:r w:rsidR="009D4ED2" w:rsidRPr="009D4ED2">
        <w:rPr>
          <w:rFonts w:ascii="Times New Roman" w:eastAsia="Calibri" w:hAnsi="Times New Roman" w:cs="Times New Roman"/>
          <w:b/>
          <w:sz w:val="28"/>
          <w:szCs w:val="28"/>
        </w:rPr>
        <w:t>Mikrouzņēmumu</w:t>
      </w:r>
      <w:proofErr w:type="spellEnd"/>
      <w:r w:rsidR="009D4ED2" w:rsidRPr="009D4ED2">
        <w:rPr>
          <w:rFonts w:ascii="Times New Roman" w:eastAsia="Calibri" w:hAnsi="Times New Roman" w:cs="Times New Roman"/>
          <w:b/>
          <w:sz w:val="28"/>
          <w:szCs w:val="28"/>
        </w:rPr>
        <w:t xml:space="preserve"> īpatsvars būvniecības nozarē</w:t>
      </w:r>
    </w:p>
    <w:p w14:paraId="7E35E012" w14:textId="77777777" w:rsidR="0065663E" w:rsidRPr="002542ED" w:rsidRDefault="0065663E" w:rsidP="00E7750F">
      <w:pPr>
        <w:spacing w:before="0" w:after="0" w:line="240" w:lineRule="auto"/>
        <w:ind w:firstLine="720"/>
        <w:jc w:val="both"/>
        <w:rPr>
          <w:rFonts w:ascii="Times New Roman" w:eastAsia="Calibri" w:hAnsi="Times New Roman" w:cs="Times New Roman"/>
          <w:sz w:val="28"/>
          <w:szCs w:val="28"/>
        </w:rPr>
      </w:pPr>
    </w:p>
    <w:p w14:paraId="73E20E65" w14:textId="77777777" w:rsidR="009D4ED2" w:rsidRPr="00360BCF" w:rsidRDefault="009D4ED2" w:rsidP="005E08CF">
      <w:pPr>
        <w:spacing w:before="0" w:after="0" w:line="240" w:lineRule="auto"/>
        <w:ind w:firstLine="720"/>
        <w:jc w:val="both"/>
        <w:rPr>
          <w:rFonts w:ascii="Times New Roman" w:eastAsia="Calibri" w:hAnsi="Times New Roman" w:cs="Times New Roman"/>
          <w:sz w:val="28"/>
          <w:szCs w:val="28"/>
        </w:rPr>
      </w:pPr>
      <w:r w:rsidRPr="00360BCF">
        <w:rPr>
          <w:rFonts w:ascii="Times New Roman" w:eastAsia="Calibri" w:hAnsi="Times New Roman" w:cs="Times New Roman"/>
          <w:sz w:val="28"/>
          <w:szCs w:val="28"/>
        </w:rPr>
        <w:t xml:space="preserve">Saskaņā ar minētajiem datiem būvniecības nozarē strādājošo </w:t>
      </w:r>
      <w:proofErr w:type="spellStart"/>
      <w:r w:rsidRPr="00360BCF">
        <w:rPr>
          <w:rFonts w:ascii="Times New Roman" w:eastAsia="Calibri" w:hAnsi="Times New Roman" w:cs="Times New Roman"/>
          <w:sz w:val="28"/>
          <w:szCs w:val="28"/>
        </w:rPr>
        <w:t>mikrouzņēmumu</w:t>
      </w:r>
      <w:proofErr w:type="spellEnd"/>
      <w:r w:rsidRPr="00360BCF">
        <w:rPr>
          <w:rFonts w:ascii="Times New Roman" w:eastAsia="Calibri" w:hAnsi="Times New Roman" w:cs="Times New Roman"/>
          <w:sz w:val="28"/>
          <w:szCs w:val="28"/>
        </w:rPr>
        <w:t xml:space="preserve"> nodokļ</w:t>
      </w:r>
      <w:r w:rsidR="00E7750F">
        <w:rPr>
          <w:rFonts w:ascii="Times New Roman" w:eastAsia="Calibri" w:hAnsi="Times New Roman" w:cs="Times New Roman"/>
          <w:sz w:val="28"/>
          <w:szCs w:val="28"/>
        </w:rPr>
        <w:t>a</w:t>
      </w:r>
      <w:r w:rsidRPr="00360BCF">
        <w:rPr>
          <w:rFonts w:ascii="Times New Roman" w:eastAsia="Calibri" w:hAnsi="Times New Roman" w:cs="Times New Roman"/>
          <w:sz w:val="28"/>
          <w:szCs w:val="28"/>
        </w:rPr>
        <w:t xml:space="preserve"> maksātāju kopējais skaits analizējamā periodā ir samazinājies, vienlai</w:t>
      </w:r>
      <w:r w:rsidR="00E7750F">
        <w:rPr>
          <w:rFonts w:ascii="Times New Roman" w:eastAsia="Calibri" w:hAnsi="Times New Roman" w:cs="Times New Roman"/>
          <w:sz w:val="28"/>
          <w:szCs w:val="28"/>
        </w:rPr>
        <w:t>kus</w:t>
      </w:r>
      <w:r w:rsidRPr="00360BCF">
        <w:rPr>
          <w:rFonts w:ascii="Times New Roman" w:eastAsia="Calibri" w:hAnsi="Times New Roman" w:cs="Times New Roman"/>
          <w:sz w:val="28"/>
          <w:szCs w:val="28"/>
        </w:rPr>
        <w:t xml:space="preserve"> </w:t>
      </w:r>
      <w:proofErr w:type="spellStart"/>
      <w:r w:rsidRPr="00360BCF">
        <w:rPr>
          <w:rFonts w:ascii="Times New Roman" w:eastAsia="Calibri" w:hAnsi="Times New Roman" w:cs="Times New Roman"/>
          <w:sz w:val="28"/>
          <w:szCs w:val="28"/>
        </w:rPr>
        <w:t>mikrouzņēmumu</w:t>
      </w:r>
      <w:proofErr w:type="spellEnd"/>
      <w:r w:rsidRPr="00360BCF">
        <w:rPr>
          <w:rFonts w:ascii="Times New Roman" w:eastAsia="Calibri" w:hAnsi="Times New Roman" w:cs="Times New Roman"/>
          <w:sz w:val="28"/>
          <w:szCs w:val="28"/>
        </w:rPr>
        <w:t xml:space="preserve"> īpatsvars uz 2019.gada sākumu</w:t>
      </w:r>
      <w:r w:rsidR="00E7750F">
        <w:rPr>
          <w:rFonts w:ascii="Times New Roman" w:eastAsia="Calibri" w:hAnsi="Times New Roman" w:cs="Times New Roman"/>
          <w:sz w:val="28"/>
          <w:szCs w:val="28"/>
        </w:rPr>
        <w:t>,</w:t>
      </w:r>
      <w:r w:rsidRPr="00360BCF">
        <w:rPr>
          <w:rFonts w:ascii="Times New Roman" w:eastAsia="Calibri" w:hAnsi="Times New Roman" w:cs="Times New Roman"/>
          <w:sz w:val="28"/>
          <w:szCs w:val="28"/>
        </w:rPr>
        <w:t xml:space="preserve"> salīdzino</w:t>
      </w:r>
      <w:r w:rsidR="00E7750F">
        <w:rPr>
          <w:rFonts w:ascii="Times New Roman" w:eastAsia="Calibri" w:hAnsi="Times New Roman" w:cs="Times New Roman"/>
          <w:sz w:val="28"/>
          <w:szCs w:val="28"/>
        </w:rPr>
        <w:t>t</w:t>
      </w:r>
      <w:r w:rsidRPr="00360BCF">
        <w:rPr>
          <w:rFonts w:ascii="Times New Roman" w:eastAsia="Calibri" w:hAnsi="Times New Roman" w:cs="Times New Roman"/>
          <w:sz w:val="28"/>
          <w:szCs w:val="28"/>
        </w:rPr>
        <w:t xml:space="preserve"> ar datiem uz 2017.gada sākumu</w:t>
      </w:r>
      <w:r w:rsidR="00E7750F">
        <w:rPr>
          <w:rFonts w:ascii="Times New Roman" w:eastAsia="Calibri" w:hAnsi="Times New Roman" w:cs="Times New Roman"/>
          <w:sz w:val="28"/>
          <w:szCs w:val="28"/>
        </w:rPr>
        <w:t>,</w:t>
      </w:r>
      <w:r w:rsidRPr="00360BCF">
        <w:rPr>
          <w:rFonts w:ascii="Times New Roman" w:eastAsia="Calibri" w:hAnsi="Times New Roman" w:cs="Times New Roman"/>
          <w:sz w:val="28"/>
          <w:szCs w:val="28"/>
        </w:rPr>
        <w:t xml:space="preserve"> ir palielinājies par 0,8</w:t>
      </w:r>
      <w:r w:rsidR="00E7750F">
        <w:rPr>
          <w:rFonts w:ascii="Times New Roman" w:eastAsia="Calibri" w:hAnsi="Times New Roman" w:cs="Times New Roman"/>
          <w:sz w:val="28"/>
          <w:szCs w:val="28"/>
        </w:rPr>
        <w:t> </w:t>
      </w:r>
      <w:r w:rsidRPr="00360BCF">
        <w:rPr>
          <w:rFonts w:ascii="Times New Roman" w:eastAsia="Calibri" w:hAnsi="Times New Roman" w:cs="Times New Roman"/>
          <w:sz w:val="28"/>
          <w:szCs w:val="28"/>
        </w:rPr>
        <w:t>procentpunktiem, savukārt uz 2020.gada sākumu, salīdzinot ar datiem uz 2019.gada sākumu, samazinājies par 0,9</w:t>
      </w:r>
      <w:r w:rsidR="00E7750F">
        <w:rPr>
          <w:rFonts w:ascii="Times New Roman" w:eastAsia="Calibri" w:hAnsi="Times New Roman" w:cs="Times New Roman"/>
          <w:sz w:val="28"/>
          <w:szCs w:val="28"/>
        </w:rPr>
        <w:t> </w:t>
      </w:r>
      <w:r w:rsidRPr="00360BCF">
        <w:rPr>
          <w:rFonts w:ascii="Times New Roman" w:eastAsia="Calibri" w:hAnsi="Times New Roman" w:cs="Times New Roman"/>
          <w:sz w:val="28"/>
          <w:szCs w:val="28"/>
        </w:rPr>
        <w:t xml:space="preserve">procentpunktiem un faktiski līdzinās 2017.gada līmenim. </w:t>
      </w:r>
    </w:p>
    <w:p w14:paraId="424F1C45" w14:textId="77777777" w:rsidR="00A57E6F" w:rsidRDefault="00D52EF9" w:rsidP="00E7750F">
      <w:pPr>
        <w:spacing w:before="0" w:after="0" w:line="240" w:lineRule="auto"/>
        <w:ind w:firstLine="720"/>
        <w:jc w:val="both"/>
        <w:rPr>
          <w:rFonts w:ascii="Times New Roman" w:eastAsia="Calibri" w:hAnsi="Times New Roman" w:cs="Times New Roman"/>
          <w:sz w:val="28"/>
          <w:szCs w:val="28"/>
        </w:rPr>
      </w:pPr>
      <w:r w:rsidRPr="00360BCF">
        <w:rPr>
          <w:rFonts w:ascii="Times New Roman" w:eastAsia="Calibri" w:hAnsi="Times New Roman" w:cs="Times New Roman"/>
          <w:sz w:val="28"/>
          <w:szCs w:val="28"/>
        </w:rPr>
        <w:t>Vispārējā nodokļu maksāšanas režīmā strādājošo darba devēju v</w:t>
      </w:r>
      <w:r w:rsidR="00501E4D" w:rsidRPr="00360BCF">
        <w:rPr>
          <w:rFonts w:ascii="Times New Roman" w:eastAsia="Calibri" w:hAnsi="Times New Roman" w:cs="Times New Roman"/>
          <w:sz w:val="28"/>
          <w:szCs w:val="28"/>
        </w:rPr>
        <w:t xml:space="preserve">alsts sociālās apdrošināšanas obligātās iemaksas </w:t>
      </w:r>
      <w:r w:rsidRPr="00360BCF">
        <w:rPr>
          <w:rFonts w:ascii="Times New Roman" w:eastAsia="Calibri" w:hAnsi="Times New Roman" w:cs="Times New Roman"/>
          <w:sz w:val="28"/>
          <w:szCs w:val="28"/>
        </w:rPr>
        <w:t xml:space="preserve">par </w:t>
      </w:r>
      <w:r w:rsidR="00501E4D" w:rsidRPr="00360BCF">
        <w:rPr>
          <w:rFonts w:ascii="Times New Roman" w:eastAsia="Calibri" w:hAnsi="Times New Roman" w:cs="Times New Roman"/>
          <w:sz w:val="28"/>
          <w:szCs w:val="28"/>
        </w:rPr>
        <w:t>nodarbinātajiem 2019.gadā bija vidēji 334,45</w:t>
      </w:r>
      <w:r w:rsidR="00E7750F">
        <w:rPr>
          <w:rFonts w:ascii="Times New Roman" w:eastAsia="Calibri" w:hAnsi="Times New Roman" w:cs="Times New Roman"/>
          <w:sz w:val="28"/>
          <w:szCs w:val="28"/>
        </w:rPr>
        <w:t> </w:t>
      </w:r>
      <w:proofErr w:type="spellStart"/>
      <w:r w:rsidR="00052521" w:rsidRPr="00E734B0">
        <w:rPr>
          <w:rFonts w:ascii="Times New Roman" w:eastAsia="Calibri" w:hAnsi="Times New Roman" w:cs="Times New Roman"/>
          <w:i/>
          <w:iCs/>
          <w:sz w:val="28"/>
          <w:szCs w:val="28"/>
        </w:rPr>
        <w:t>euro</w:t>
      </w:r>
      <w:proofErr w:type="spellEnd"/>
      <w:r w:rsidR="00052521">
        <w:rPr>
          <w:rFonts w:ascii="Times New Roman" w:eastAsia="Calibri" w:hAnsi="Times New Roman" w:cs="Times New Roman"/>
          <w:i/>
          <w:iCs/>
          <w:sz w:val="28"/>
          <w:szCs w:val="28"/>
        </w:rPr>
        <w:t xml:space="preserve"> </w:t>
      </w:r>
      <w:r w:rsidRPr="002542ED">
        <w:rPr>
          <w:rFonts w:ascii="Times New Roman" w:eastAsia="Calibri" w:hAnsi="Times New Roman" w:cs="Times New Roman"/>
          <w:sz w:val="28"/>
          <w:szCs w:val="28"/>
        </w:rPr>
        <w:t>mēnesī</w:t>
      </w:r>
      <w:r w:rsidR="00501E4D" w:rsidRPr="002542ED">
        <w:rPr>
          <w:rFonts w:ascii="Times New Roman" w:eastAsia="Calibri" w:hAnsi="Times New Roman" w:cs="Times New Roman"/>
          <w:sz w:val="28"/>
          <w:szCs w:val="28"/>
        </w:rPr>
        <w:t>, savukārt</w:t>
      </w:r>
      <w:r w:rsidR="00C64FF1" w:rsidRPr="002542ED">
        <w:rPr>
          <w:rFonts w:ascii="Times New Roman" w:eastAsia="Calibri" w:hAnsi="Times New Roman" w:cs="Times New Roman"/>
          <w:sz w:val="28"/>
          <w:szCs w:val="28"/>
        </w:rPr>
        <w:t xml:space="preserve"> </w:t>
      </w:r>
      <w:proofErr w:type="spellStart"/>
      <w:r w:rsidR="0009268D" w:rsidRPr="002542ED">
        <w:rPr>
          <w:rFonts w:ascii="Times New Roman" w:eastAsia="Calibri" w:hAnsi="Times New Roman" w:cs="Times New Roman"/>
          <w:sz w:val="28"/>
          <w:szCs w:val="28"/>
        </w:rPr>
        <w:t>m</w:t>
      </w:r>
      <w:r w:rsidR="00C64FF1" w:rsidRPr="002542ED">
        <w:rPr>
          <w:rFonts w:ascii="Times New Roman" w:eastAsia="Calibri" w:hAnsi="Times New Roman" w:cs="Times New Roman"/>
          <w:sz w:val="28"/>
          <w:szCs w:val="28"/>
        </w:rPr>
        <w:t>ikrouzņēmumu</w:t>
      </w:r>
      <w:proofErr w:type="spellEnd"/>
      <w:r w:rsidR="00C64FF1" w:rsidRPr="002542ED">
        <w:rPr>
          <w:rFonts w:ascii="Times New Roman" w:eastAsia="Calibri" w:hAnsi="Times New Roman" w:cs="Times New Roman"/>
          <w:sz w:val="28"/>
          <w:szCs w:val="28"/>
        </w:rPr>
        <w:t xml:space="preserve"> nodokļa maksāšanas režīmā strādājošo darba devēju nodarbinātajiem tikai </w:t>
      </w:r>
      <w:r w:rsidR="00501E4D" w:rsidRPr="002542ED">
        <w:rPr>
          <w:rFonts w:ascii="Times New Roman" w:eastAsia="Calibri" w:hAnsi="Times New Roman" w:cs="Times New Roman"/>
          <w:sz w:val="28"/>
          <w:szCs w:val="28"/>
        </w:rPr>
        <w:t>99,10</w:t>
      </w:r>
      <w:r w:rsidR="00E7750F">
        <w:rPr>
          <w:rFonts w:ascii="Times New Roman" w:eastAsia="Calibri" w:hAnsi="Times New Roman" w:cs="Times New Roman"/>
          <w:sz w:val="28"/>
          <w:szCs w:val="28"/>
        </w:rPr>
        <w:t> </w:t>
      </w:r>
      <w:proofErr w:type="spellStart"/>
      <w:r w:rsidR="00052521" w:rsidRPr="00E734B0">
        <w:rPr>
          <w:rFonts w:ascii="Times New Roman" w:eastAsia="Calibri" w:hAnsi="Times New Roman" w:cs="Times New Roman"/>
          <w:i/>
          <w:iCs/>
          <w:sz w:val="28"/>
          <w:szCs w:val="28"/>
        </w:rPr>
        <w:t>euro</w:t>
      </w:r>
      <w:proofErr w:type="spellEnd"/>
      <w:r w:rsidR="00501E4D" w:rsidRPr="002542ED">
        <w:rPr>
          <w:rFonts w:ascii="Times New Roman" w:eastAsia="Calibri" w:hAnsi="Times New Roman" w:cs="Times New Roman"/>
          <w:sz w:val="28"/>
          <w:szCs w:val="28"/>
        </w:rPr>
        <w:t xml:space="preserve"> mēnesī, kas </w:t>
      </w:r>
      <w:r w:rsidR="00F30009">
        <w:rPr>
          <w:rFonts w:ascii="Times New Roman" w:eastAsia="Calibri" w:hAnsi="Times New Roman" w:cs="Times New Roman"/>
          <w:sz w:val="28"/>
          <w:szCs w:val="28"/>
        </w:rPr>
        <w:t xml:space="preserve">ir </w:t>
      </w:r>
      <w:r w:rsidR="00A57E6F" w:rsidRPr="002542ED">
        <w:rPr>
          <w:rFonts w:ascii="Times New Roman" w:eastAsia="Calibri" w:hAnsi="Times New Roman" w:cs="Times New Roman"/>
          <w:sz w:val="28"/>
          <w:szCs w:val="28"/>
        </w:rPr>
        <w:t xml:space="preserve">vairāk </w:t>
      </w:r>
      <w:r w:rsidR="00E7750F">
        <w:rPr>
          <w:rFonts w:ascii="Times New Roman" w:eastAsia="Calibri" w:hAnsi="Times New Roman" w:cs="Times New Roman"/>
          <w:sz w:val="28"/>
          <w:szCs w:val="28"/>
        </w:rPr>
        <w:t>ne</w:t>
      </w:r>
      <w:r w:rsidR="00A57E6F" w:rsidRPr="002542ED">
        <w:rPr>
          <w:rFonts w:ascii="Times New Roman" w:eastAsia="Calibri" w:hAnsi="Times New Roman" w:cs="Times New Roman"/>
          <w:sz w:val="28"/>
          <w:szCs w:val="28"/>
        </w:rPr>
        <w:t>kā trīs reizes mazākas</w:t>
      </w:r>
      <w:r w:rsidR="001B21FD">
        <w:rPr>
          <w:rFonts w:ascii="Times New Roman" w:eastAsia="Calibri" w:hAnsi="Times New Roman" w:cs="Times New Roman"/>
          <w:sz w:val="28"/>
          <w:szCs w:val="28"/>
        </w:rPr>
        <w:t>, salīdzinot ar</w:t>
      </w:r>
      <w:r w:rsidR="00A57E6F" w:rsidRPr="002542ED">
        <w:rPr>
          <w:rFonts w:ascii="Times New Roman" w:eastAsia="Calibri" w:hAnsi="Times New Roman" w:cs="Times New Roman"/>
          <w:sz w:val="28"/>
          <w:szCs w:val="28"/>
        </w:rPr>
        <w:t xml:space="preserve"> būvniecības nozarē vispārējā nodokļu maksāšanas režīmā nodarbinātajiem.</w:t>
      </w:r>
    </w:p>
    <w:p w14:paraId="6FFC6C57" w14:textId="77777777" w:rsidR="001C3730" w:rsidRDefault="001C3730" w:rsidP="002F0967">
      <w:pPr>
        <w:spacing w:before="0" w:after="0" w:line="240" w:lineRule="auto"/>
        <w:ind w:firstLine="720"/>
        <w:jc w:val="both"/>
        <w:rPr>
          <w:rFonts w:ascii="Times New Roman" w:eastAsia="Calibri" w:hAnsi="Times New Roman" w:cs="Times New Roman"/>
          <w:sz w:val="28"/>
          <w:szCs w:val="28"/>
        </w:rPr>
      </w:pPr>
    </w:p>
    <w:p w14:paraId="41D52750" w14:textId="77777777" w:rsidR="00C42FB1" w:rsidRPr="00C42FB1" w:rsidRDefault="006925E0" w:rsidP="00C42FB1">
      <w:pPr>
        <w:spacing w:before="0"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13</w:t>
      </w:r>
      <w:r w:rsidR="00C42FB1" w:rsidRPr="00C42FB1">
        <w:rPr>
          <w:rFonts w:ascii="Times New Roman" w:eastAsia="Calibri" w:hAnsi="Times New Roman" w:cs="Times New Roman"/>
          <w:sz w:val="28"/>
          <w:szCs w:val="28"/>
        </w:rPr>
        <w:t>.tabula</w:t>
      </w:r>
    </w:p>
    <w:p w14:paraId="2951FC82" w14:textId="77777777" w:rsidR="00C42FB1" w:rsidRPr="00C42FB1" w:rsidRDefault="00C42FB1" w:rsidP="00C42FB1">
      <w:pPr>
        <w:spacing w:before="0" w:after="0" w:line="240" w:lineRule="auto"/>
        <w:jc w:val="center"/>
        <w:rPr>
          <w:rFonts w:ascii="Times New Roman" w:eastAsia="Calibri" w:hAnsi="Times New Roman" w:cs="Times New Roman"/>
          <w:b/>
          <w:sz w:val="28"/>
          <w:szCs w:val="28"/>
        </w:rPr>
      </w:pPr>
      <w:r w:rsidRPr="00C42FB1">
        <w:rPr>
          <w:rFonts w:ascii="Times New Roman" w:eastAsia="Calibri" w:hAnsi="Times New Roman" w:cs="Times New Roman"/>
          <w:b/>
          <w:sz w:val="28"/>
          <w:szCs w:val="28"/>
        </w:rPr>
        <w:t xml:space="preserve">Darba ņēmēju (pie </w:t>
      </w:r>
      <w:proofErr w:type="spellStart"/>
      <w:r w:rsidRPr="00C42FB1">
        <w:rPr>
          <w:rFonts w:ascii="Times New Roman" w:eastAsia="Calibri" w:hAnsi="Times New Roman" w:cs="Times New Roman"/>
          <w:b/>
          <w:sz w:val="28"/>
          <w:szCs w:val="28"/>
        </w:rPr>
        <w:t>mikrouzņēmumu</w:t>
      </w:r>
      <w:proofErr w:type="spellEnd"/>
      <w:r w:rsidRPr="00C42FB1">
        <w:rPr>
          <w:rFonts w:ascii="Times New Roman" w:eastAsia="Calibri" w:hAnsi="Times New Roman" w:cs="Times New Roman"/>
          <w:b/>
          <w:sz w:val="28"/>
          <w:szCs w:val="28"/>
        </w:rPr>
        <w:t xml:space="preserve"> nodokļa maksāšanas režīmā strādājošiem darba devējiem) sadalījums pēc darba ienākumu apmēra</w:t>
      </w:r>
      <w:r w:rsidRPr="00C42FB1">
        <w:rPr>
          <w:rFonts w:ascii="Times New Roman" w:eastAsia="Calibri" w:hAnsi="Times New Roman" w:cs="Times New Roman"/>
          <w:b/>
          <w:sz w:val="28"/>
          <w:szCs w:val="28"/>
          <w:vertAlign w:val="superscript"/>
        </w:rPr>
        <w:footnoteReference w:id="15"/>
      </w:r>
    </w:p>
    <w:p w14:paraId="4950D5E7" w14:textId="77777777" w:rsidR="00C42FB1" w:rsidRPr="00C42FB1" w:rsidRDefault="00C42FB1" w:rsidP="00C42FB1">
      <w:pPr>
        <w:spacing w:before="0" w:after="0" w:line="240" w:lineRule="auto"/>
        <w:rPr>
          <w:rFonts w:ascii="Times New Roman" w:eastAsia="Calibri" w:hAnsi="Times New Roman" w:cs="Times New Roman"/>
          <w:sz w:val="18"/>
          <w:szCs w:val="18"/>
        </w:rPr>
      </w:pPr>
      <w:r w:rsidRPr="00C42FB1">
        <w:rPr>
          <w:rFonts w:ascii="Times New Roman" w:eastAsia="Calibri" w:hAnsi="Times New Roman" w:cs="Times New Roman"/>
          <w:sz w:val="18"/>
          <w:szCs w:val="18"/>
        </w:rPr>
        <w:t>Dati uz 2020.</w:t>
      </w:r>
      <w:r w:rsidR="003B0F4B">
        <w:rPr>
          <w:rFonts w:ascii="Times New Roman" w:eastAsia="Calibri" w:hAnsi="Times New Roman" w:cs="Times New Roman"/>
          <w:sz w:val="18"/>
          <w:szCs w:val="18"/>
        </w:rPr>
        <w:t>gada 26.martu</w:t>
      </w:r>
    </w:p>
    <w:tbl>
      <w:tblPr>
        <w:tblW w:w="8961" w:type="dxa"/>
        <w:tblInd w:w="-5" w:type="dxa"/>
        <w:tblLook w:val="04A0" w:firstRow="1" w:lastRow="0" w:firstColumn="1" w:lastColumn="0" w:noHBand="0" w:noVBand="1"/>
      </w:tblPr>
      <w:tblGrid>
        <w:gridCol w:w="1255"/>
        <w:gridCol w:w="2147"/>
        <w:gridCol w:w="812"/>
        <w:gridCol w:w="1455"/>
        <w:gridCol w:w="1844"/>
        <w:gridCol w:w="1448"/>
      </w:tblGrid>
      <w:tr w:rsidR="00C42FB1" w:rsidRPr="00C42FB1" w14:paraId="6CEC8A98" w14:textId="77777777" w:rsidTr="00010FF5">
        <w:trPr>
          <w:trHeight w:val="214"/>
        </w:trPr>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2ACE1E" w14:textId="77777777" w:rsidR="00C42FB1" w:rsidRPr="00C42FB1" w:rsidRDefault="00C42FB1" w:rsidP="00C42FB1">
            <w:pPr>
              <w:spacing w:before="0" w:after="0" w:line="240" w:lineRule="auto"/>
              <w:jc w:val="center"/>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bCs/>
                <w:color w:val="000000"/>
                <w:sz w:val="18"/>
                <w:szCs w:val="18"/>
                <w:lang w:eastAsia="lv-LV"/>
              </w:rPr>
              <w:t>Periods</w:t>
            </w:r>
          </w:p>
        </w:tc>
        <w:tc>
          <w:tcPr>
            <w:tcW w:w="2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322E84" w14:textId="77777777" w:rsidR="00C42FB1" w:rsidRPr="00C42FB1" w:rsidRDefault="00C42FB1" w:rsidP="00C42FB1">
            <w:pPr>
              <w:spacing w:before="0" w:after="0" w:line="240" w:lineRule="auto"/>
              <w:jc w:val="center"/>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bCs/>
                <w:color w:val="000000"/>
                <w:sz w:val="18"/>
                <w:szCs w:val="18"/>
                <w:lang w:eastAsia="lv-LV"/>
              </w:rPr>
              <w:t>Apskatāmā kopa</w:t>
            </w:r>
          </w:p>
        </w:tc>
        <w:tc>
          <w:tcPr>
            <w:tcW w:w="5559" w:type="dxa"/>
            <w:gridSpan w:val="4"/>
            <w:tcBorders>
              <w:top w:val="single" w:sz="4" w:space="0" w:color="auto"/>
              <w:left w:val="nil"/>
              <w:bottom w:val="single" w:sz="4" w:space="0" w:color="auto"/>
              <w:right w:val="single" w:sz="4" w:space="0" w:color="auto"/>
            </w:tcBorders>
            <w:shd w:val="clear" w:color="auto" w:fill="auto"/>
            <w:noWrap/>
            <w:vAlign w:val="center"/>
            <w:hideMark/>
          </w:tcPr>
          <w:p w14:paraId="562F3AB8" w14:textId="77777777" w:rsidR="00C42FB1" w:rsidRPr="00C42FB1" w:rsidRDefault="00C42FB1" w:rsidP="00C42FB1">
            <w:pPr>
              <w:spacing w:before="0" w:after="0" w:line="240" w:lineRule="auto"/>
              <w:jc w:val="center"/>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bCs/>
                <w:color w:val="000000"/>
                <w:sz w:val="18"/>
                <w:szCs w:val="18"/>
                <w:lang w:eastAsia="lv-LV"/>
              </w:rPr>
              <w:t>Darba ņēmēju darba ienākumu apmērs</w:t>
            </w:r>
          </w:p>
        </w:tc>
      </w:tr>
      <w:tr w:rsidR="00C42FB1" w:rsidRPr="00C42FB1" w14:paraId="5248927E" w14:textId="77777777" w:rsidTr="00010FF5">
        <w:trPr>
          <w:trHeight w:val="958"/>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498DDCAF" w14:textId="77777777" w:rsidR="00C42FB1" w:rsidRPr="00C42FB1" w:rsidRDefault="00C42FB1" w:rsidP="00C42FB1">
            <w:pPr>
              <w:spacing w:before="0" w:after="0" w:line="240" w:lineRule="auto"/>
              <w:rPr>
                <w:rFonts w:ascii="Times New Roman" w:eastAsia="Times New Roman" w:hAnsi="Times New Roman" w:cs="Times New Roman"/>
                <w:bCs/>
                <w:color w:val="000000"/>
                <w:sz w:val="18"/>
                <w:szCs w:val="18"/>
                <w:lang w:eastAsia="lv-LV"/>
              </w:rPr>
            </w:pPr>
          </w:p>
        </w:tc>
        <w:tc>
          <w:tcPr>
            <w:tcW w:w="2147" w:type="dxa"/>
            <w:vMerge/>
            <w:tcBorders>
              <w:top w:val="single" w:sz="4" w:space="0" w:color="auto"/>
              <w:left w:val="single" w:sz="4" w:space="0" w:color="auto"/>
              <w:bottom w:val="single" w:sz="4" w:space="0" w:color="auto"/>
              <w:right w:val="single" w:sz="4" w:space="0" w:color="auto"/>
            </w:tcBorders>
            <w:vAlign w:val="center"/>
            <w:hideMark/>
          </w:tcPr>
          <w:p w14:paraId="6257FBF7" w14:textId="77777777" w:rsidR="00C42FB1" w:rsidRPr="00C42FB1" w:rsidRDefault="00C42FB1" w:rsidP="00C42FB1">
            <w:pPr>
              <w:spacing w:before="0" w:after="0" w:line="240" w:lineRule="auto"/>
              <w:rPr>
                <w:rFonts w:ascii="Times New Roman" w:eastAsia="Times New Roman" w:hAnsi="Times New Roman" w:cs="Times New Roman"/>
                <w:bCs/>
                <w:color w:val="000000"/>
                <w:sz w:val="18"/>
                <w:szCs w:val="18"/>
                <w:lang w:eastAsia="lv-LV"/>
              </w:rPr>
            </w:pPr>
          </w:p>
        </w:tc>
        <w:tc>
          <w:tcPr>
            <w:tcW w:w="812" w:type="dxa"/>
            <w:tcBorders>
              <w:top w:val="nil"/>
              <w:left w:val="nil"/>
              <w:bottom w:val="single" w:sz="4" w:space="0" w:color="auto"/>
              <w:right w:val="single" w:sz="4" w:space="0" w:color="auto"/>
            </w:tcBorders>
            <w:shd w:val="clear" w:color="auto" w:fill="auto"/>
            <w:vAlign w:val="center"/>
            <w:hideMark/>
          </w:tcPr>
          <w:p w14:paraId="646A1D20" w14:textId="77777777" w:rsidR="00C42FB1" w:rsidRPr="00C42FB1" w:rsidRDefault="00C42FB1" w:rsidP="00C42FB1">
            <w:pPr>
              <w:spacing w:before="0" w:after="0" w:line="240" w:lineRule="auto"/>
              <w:jc w:val="center"/>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bCs/>
                <w:color w:val="000000"/>
                <w:sz w:val="18"/>
                <w:szCs w:val="18"/>
                <w:lang w:eastAsia="lv-LV"/>
              </w:rPr>
              <w:t>0 </w:t>
            </w:r>
            <w:proofErr w:type="spellStart"/>
            <w:r w:rsidR="003B0F4B" w:rsidRPr="005E08CF">
              <w:rPr>
                <w:rFonts w:ascii="Times New Roman" w:eastAsia="Times New Roman" w:hAnsi="Times New Roman" w:cs="Times New Roman"/>
                <w:bCs/>
                <w:i/>
                <w:iCs/>
                <w:color w:val="000000"/>
                <w:sz w:val="18"/>
                <w:szCs w:val="18"/>
                <w:lang w:eastAsia="lv-LV"/>
              </w:rPr>
              <w:t>euro</w:t>
            </w:r>
            <w:proofErr w:type="spellEnd"/>
          </w:p>
        </w:tc>
        <w:tc>
          <w:tcPr>
            <w:tcW w:w="1455" w:type="dxa"/>
            <w:tcBorders>
              <w:top w:val="nil"/>
              <w:left w:val="nil"/>
              <w:bottom w:val="single" w:sz="4" w:space="0" w:color="auto"/>
              <w:right w:val="single" w:sz="4" w:space="0" w:color="auto"/>
            </w:tcBorders>
            <w:shd w:val="clear" w:color="auto" w:fill="auto"/>
            <w:vAlign w:val="center"/>
            <w:hideMark/>
          </w:tcPr>
          <w:p w14:paraId="55EC5221" w14:textId="77777777" w:rsidR="00C42FB1" w:rsidRPr="00C42FB1" w:rsidRDefault="00C42FB1" w:rsidP="00C42FB1">
            <w:pPr>
              <w:spacing w:before="0" w:after="0" w:line="240" w:lineRule="auto"/>
              <w:jc w:val="center"/>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bCs/>
                <w:color w:val="000000"/>
                <w:sz w:val="18"/>
                <w:szCs w:val="18"/>
                <w:lang w:eastAsia="lv-LV"/>
              </w:rPr>
              <w:t>mazāks par valstī noteikto minimālo darba algu</w:t>
            </w:r>
          </w:p>
        </w:tc>
        <w:tc>
          <w:tcPr>
            <w:tcW w:w="1844" w:type="dxa"/>
            <w:tcBorders>
              <w:top w:val="nil"/>
              <w:left w:val="nil"/>
              <w:bottom w:val="single" w:sz="4" w:space="0" w:color="auto"/>
              <w:right w:val="single" w:sz="4" w:space="0" w:color="auto"/>
            </w:tcBorders>
            <w:shd w:val="clear" w:color="auto" w:fill="auto"/>
            <w:vAlign w:val="center"/>
            <w:hideMark/>
          </w:tcPr>
          <w:p w14:paraId="66179F57" w14:textId="77777777" w:rsidR="00C42FB1" w:rsidRPr="00C42FB1" w:rsidRDefault="00C42FB1" w:rsidP="00C42FB1">
            <w:pPr>
              <w:spacing w:before="0" w:after="0" w:line="240" w:lineRule="auto"/>
              <w:jc w:val="center"/>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bCs/>
                <w:color w:val="000000"/>
                <w:sz w:val="18"/>
                <w:szCs w:val="18"/>
                <w:lang w:eastAsia="lv-LV"/>
              </w:rPr>
              <w:t>no valstī noteiktās minimālās darba algas</w:t>
            </w:r>
          </w:p>
          <w:p w14:paraId="3348C744" w14:textId="77777777" w:rsidR="00C42FB1" w:rsidRPr="00C42FB1" w:rsidRDefault="00C42FB1" w:rsidP="00C42FB1">
            <w:pPr>
              <w:spacing w:before="0" w:after="0" w:line="240" w:lineRule="auto"/>
              <w:jc w:val="center"/>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bCs/>
                <w:color w:val="000000"/>
                <w:sz w:val="18"/>
                <w:szCs w:val="18"/>
                <w:lang w:eastAsia="lv-LV"/>
              </w:rPr>
              <w:t>līdz likumdošanā noteiktajam ierobežojumam (720</w:t>
            </w:r>
            <w:r w:rsidR="003B0F4B">
              <w:rPr>
                <w:rFonts w:ascii="Times New Roman" w:eastAsia="Times New Roman" w:hAnsi="Times New Roman" w:cs="Times New Roman"/>
                <w:bCs/>
                <w:color w:val="000000"/>
                <w:sz w:val="18"/>
                <w:szCs w:val="18"/>
                <w:lang w:eastAsia="lv-LV"/>
              </w:rPr>
              <w:t> </w:t>
            </w:r>
            <w:proofErr w:type="spellStart"/>
            <w:r w:rsidR="003B0F4B" w:rsidRPr="005E08CF">
              <w:rPr>
                <w:rFonts w:ascii="Times New Roman" w:eastAsia="Times New Roman" w:hAnsi="Times New Roman" w:cs="Times New Roman"/>
                <w:bCs/>
                <w:i/>
                <w:iCs/>
                <w:color w:val="000000"/>
                <w:sz w:val="18"/>
                <w:szCs w:val="18"/>
                <w:lang w:eastAsia="lv-LV"/>
              </w:rPr>
              <w:t>euro</w:t>
            </w:r>
            <w:proofErr w:type="spellEnd"/>
            <w:r w:rsidRPr="00C42FB1">
              <w:rPr>
                <w:rFonts w:ascii="Times New Roman" w:eastAsia="Times New Roman" w:hAnsi="Times New Roman" w:cs="Times New Roman"/>
                <w:bCs/>
                <w:color w:val="000000"/>
                <w:sz w:val="18"/>
                <w:szCs w:val="18"/>
                <w:lang w:eastAsia="lv-LV"/>
              </w:rPr>
              <w:t>)</w:t>
            </w:r>
          </w:p>
        </w:tc>
        <w:tc>
          <w:tcPr>
            <w:tcW w:w="1448" w:type="dxa"/>
            <w:tcBorders>
              <w:top w:val="nil"/>
              <w:left w:val="nil"/>
              <w:bottom w:val="single" w:sz="4" w:space="0" w:color="auto"/>
              <w:right w:val="single" w:sz="4" w:space="0" w:color="auto"/>
            </w:tcBorders>
            <w:shd w:val="clear" w:color="auto" w:fill="auto"/>
            <w:vAlign w:val="center"/>
            <w:hideMark/>
          </w:tcPr>
          <w:p w14:paraId="0A113C72" w14:textId="77777777" w:rsidR="00C42FB1" w:rsidRPr="00C42FB1" w:rsidRDefault="00C42FB1" w:rsidP="00C42FB1">
            <w:pPr>
              <w:spacing w:before="0" w:after="0" w:line="240" w:lineRule="auto"/>
              <w:jc w:val="center"/>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bCs/>
                <w:color w:val="000000"/>
                <w:sz w:val="18"/>
                <w:szCs w:val="18"/>
                <w:lang w:eastAsia="lv-LV"/>
              </w:rPr>
              <w:t>virs ierobežojuma</w:t>
            </w:r>
          </w:p>
        </w:tc>
      </w:tr>
      <w:tr w:rsidR="00C42FB1" w:rsidRPr="00C42FB1" w14:paraId="13E12293" w14:textId="77777777" w:rsidTr="00010FF5">
        <w:trPr>
          <w:trHeight w:val="322"/>
        </w:trPr>
        <w:tc>
          <w:tcPr>
            <w:tcW w:w="1255" w:type="dxa"/>
            <w:tcBorders>
              <w:top w:val="single" w:sz="4" w:space="0" w:color="auto"/>
              <w:left w:val="single" w:sz="4" w:space="0" w:color="auto"/>
              <w:bottom w:val="single" w:sz="4" w:space="0" w:color="auto"/>
              <w:right w:val="single" w:sz="4" w:space="0" w:color="auto"/>
            </w:tcBorders>
            <w:vAlign w:val="center"/>
          </w:tcPr>
          <w:p w14:paraId="4528C4A3" w14:textId="77777777" w:rsidR="00C42FB1" w:rsidRPr="00C42FB1" w:rsidRDefault="00C42FB1" w:rsidP="00C42FB1">
            <w:pPr>
              <w:spacing w:before="0" w:after="0" w:line="240" w:lineRule="auto"/>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bCs/>
                <w:color w:val="000000"/>
                <w:sz w:val="18"/>
                <w:szCs w:val="18"/>
                <w:lang w:eastAsia="lv-LV"/>
              </w:rPr>
              <w:t>2017.gads</w:t>
            </w:r>
          </w:p>
        </w:tc>
        <w:tc>
          <w:tcPr>
            <w:tcW w:w="2147" w:type="dxa"/>
            <w:tcBorders>
              <w:top w:val="single" w:sz="4" w:space="0" w:color="auto"/>
              <w:left w:val="single" w:sz="4" w:space="0" w:color="auto"/>
              <w:bottom w:val="single" w:sz="4" w:space="0" w:color="auto"/>
              <w:right w:val="single" w:sz="4" w:space="0" w:color="auto"/>
            </w:tcBorders>
            <w:vAlign w:val="center"/>
          </w:tcPr>
          <w:p w14:paraId="480C8B63" w14:textId="77777777" w:rsidR="00C42FB1" w:rsidRPr="00C42FB1" w:rsidRDefault="00C42FB1" w:rsidP="00C42FB1">
            <w:pPr>
              <w:spacing w:before="0" w:after="0" w:line="240" w:lineRule="auto"/>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color w:val="000000"/>
                <w:sz w:val="18"/>
                <w:szCs w:val="18"/>
                <w:lang w:eastAsia="lv-LV"/>
              </w:rPr>
              <w:t>Darba ņēmēju sadalījums</w:t>
            </w:r>
          </w:p>
        </w:tc>
        <w:tc>
          <w:tcPr>
            <w:tcW w:w="812" w:type="dxa"/>
            <w:tcBorders>
              <w:top w:val="nil"/>
              <w:left w:val="nil"/>
              <w:bottom w:val="single" w:sz="4" w:space="0" w:color="auto"/>
              <w:right w:val="single" w:sz="4" w:space="0" w:color="auto"/>
            </w:tcBorders>
            <w:shd w:val="clear" w:color="auto" w:fill="auto"/>
            <w:vAlign w:val="center"/>
          </w:tcPr>
          <w:p w14:paraId="244C3D91" w14:textId="77777777" w:rsidR="00C42FB1" w:rsidRPr="00C42FB1" w:rsidRDefault="00C42FB1" w:rsidP="00C42FB1">
            <w:pPr>
              <w:spacing w:before="0" w:after="0" w:line="240" w:lineRule="auto"/>
              <w:jc w:val="center"/>
              <w:rPr>
                <w:rFonts w:ascii="Times New Roman" w:eastAsia="Times New Roman" w:hAnsi="Times New Roman" w:cs="Times New Roman"/>
                <w:bCs/>
                <w:color w:val="000000"/>
                <w:sz w:val="18"/>
                <w:szCs w:val="18"/>
                <w:lang w:eastAsia="lv-LV"/>
              </w:rPr>
            </w:pPr>
            <w:r w:rsidRPr="00C42FB1">
              <w:rPr>
                <w:rFonts w:ascii="Times New Roman" w:hAnsi="Times New Roman" w:cs="Times New Roman"/>
                <w:color w:val="000000"/>
                <w:sz w:val="18"/>
                <w:szCs w:val="18"/>
              </w:rPr>
              <w:t>28,5</w:t>
            </w:r>
            <w:r w:rsidR="003B0F4B">
              <w:rPr>
                <w:rFonts w:ascii="Times New Roman" w:hAnsi="Times New Roman" w:cs="Times New Roman"/>
                <w:color w:val="000000"/>
                <w:sz w:val="18"/>
                <w:szCs w:val="18"/>
              </w:rPr>
              <w:t> </w:t>
            </w:r>
            <w:r w:rsidRPr="00C42FB1">
              <w:rPr>
                <w:rFonts w:ascii="Times New Roman" w:hAnsi="Times New Roman" w:cs="Times New Roman"/>
                <w:color w:val="000000"/>
                <w:sz w:val="18"/>
                <w:szCs w:val="18"/>
              </w:rPr>
              <w:t>%</w:t>
            </w:r>
          </w:p>
        </w:tc>
        <w:tc>
          <w:tcPr>
            <w:tcW w:w="1455" w:type="dxa"/>
            <w:tcBorders>
              <w:top w:val="nil"/>
              <w:left w:val="nil"/>
              <w:bottom w:val="single" w:sz="4" w:space="0" w:color="auto"/>
              <w:right w:val="single" w:sz="4" w:space="0" w:color="auto"/>
            </w:tcBorders>
            <w:shd w:val="clear" w:color="auto" w:fill="auto"/>
            <w:vAlign w:val="center"/>
          </w:tcPr>
          <w:p w14:paraId="1BE2AD08" w14:textId="77777777" w:rsidR="00C42FB1" w:rsidRPr="00C42FB1" w:rsidRDefault="00C42FB1" w:rsidP="00C42FB1">
            <w:pPr>
              <w:spacing w:before="0" w:after="0" w:line="240" w:lineRule="auto"/>
              <w:jc w:val="center"/>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bCs/>
                <w:color w:val="000000"/>
                <w:sz w:val="18"/>
                <w:szCs w:val="18"/>
                <w:lang w:eastAsia="lv-LV"/>
              </w:rPr>
              <w:t>15,2</w:t>
            </w:r>
            <w:r w:rsidR="003B0F4B">
              <w:rPr>
                <w:rFonts w:ascii="Times New Roman" w:eastAsia="Times New Roman" w:hAnsi="Times New Roman" w:cs="Times New Roman"/>
                <w:bCs/>
                <w:color w:val="000000"/>
                <w:sz w:val="18"/>
                <w:szCs w:val="18"/>
                <w:lang w:eastAsia="lv-LV"/>
              </w:rPr>
              <w:t> </w:t>
            </w:r>
            <w:r w:rsidRPr="00C42FB1">
              <w:rPr>
                <w:rFonts w:ascii="Times New Roman" w:eastAsia="Times New Roman" w:hAnsi="Times New Roman" w:cs="Times New Roman"/>
                <w:bCs/>
                <w:color w:val="000000"/>
                <w:sz w:val="18"/>
                <w:szCs w:val="18"/>
                <w:lang w:eastAsia="lv-LV"/>
              </w:rPr>
              <w:t>%</w:t>
            </w:r>
          </w:p>
        </w:tc>
        <w:tc>
          <w:tcPr>
            <w:tcW w:w="1844" w:type="dxa"/>
            <w:tcBorders>
              <w:top w:val="nil"/>
              <w:left w:val="nil"/>
              <w:bottom w:val="single" w:sz="4" w:space="0" w:color="auto"/>
              <w:right w:val="single" w:sz="4" w:space="0" w:color="auto"/>
            </w:tcBorders>
            <w:shd w:val="clear" w:color="auto" w:fill="auto"/>
            <w:vAlign w:val="center"/>
          </w:tcPr>
          <w:p w14:paraId="6214DF13" w14:textId="77777777" w:rsidR="00C42FB1" w:rsidRPr="00C42FB1" w:rsidRDefault="00C42FB1" w:rsidP="00C42FB1">
            <w:pPr>
              <w:spacing w:before="0" w:after="0" w:line="240" w:lineRule="auto"/>
              <w:jc w:val="center"/>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bCs/>
                <w:color w:val="000000"/>
                <w:sz w:val="18"/>
                <w:szCs w:val="18"/>
                <w:lang w:eastAsia="lv-LV"/>
              </w:rPr>
              <w:t>55,8</w:t>
            </w:r>
            <w:r w:rsidR="003B0F4B">
              <w:rPr>
                <w:rFonts w:ascii="Times New Roman" w:eastAsia="Times New Roman" w:hAnsi="Times New Roman" w:cs="Times New Roman"/>
                <w:bCs/>
                <w:color w:val="000000"/>
                <w:sz w:val="18"/>
                <w:szCs w:val="18"/>
                <w:lang w:eastAsia="lv-LV"/>
              </w:rPr>
              <w:t> </w:t>
            </w:r>
            <w:r w:rsidRPr="00C42FB1">
              <w:rPr>
                <w:rFonts w:ascii="Times New Roman" w:eastAsia="Times New Roman" w:hAnsi="Times New Roman" w:cs="Times New Roman"/>
                <w:bCs/>
                <w:color w:val="000000"/>
                <w:sz w:val="18"/>
                <w:szCs w:val="18"/>
                <w:lang w:eastAsia="lv-LV"/>
              </w:rPr>
              <w:t>%</w:t>
            </w:r>
          </w:p>
        </w:tc>
        <w:tc>
          <w:tcPr>
            <w:tcW w:w="1448" w:type="dxa"/>
            <w:tcBorders>
              <w:top w:val="nil"/>
              <w:left w:val="nil"/>
              <w:bottom w:val="single" w:sz="4" w:space="0" w:color="auto"/>
              <w:right w:val="single" w:sz="4" w:space="0" w:color="auto"/>
            </w:tcBorders>
            <w:shd w:val="clear" w:color="auto" w:fill="auto"/>
            <w:vAlign w:val="center"/>
          </w:tcPr>
          <w:p w14:paraId="55BECD91" w14:textId="77777777" w:rsidR="00C42FB1" w:rsidRPr="00C42FB1" w:rsidRDefault="00C42FB1" w:rsidP="00C42FB1">
            <w:pPr>
              <w:spacing w:before="0" w:after="0" w:line="240" w:lineRule="auto"/>
              <w:jc w:val="center"/>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bCs/>
                <w:color w:val="000000"/>
                <w:sz w:val="18"/>
                <w:szCs w:val="18"/>
                <w:lang w:eastAsia="lv-LV"/>
              </w:rPr>
              <w:t>0,5</w:t>
            </w:r>
            <w:r w:rsidR="003B0F4B">
              <w:rPr>
                <w:rFonts w:ascii="Times New Roman" w:eastAsia="Times New Roman" w:hAnsi="Times New Roman" w:cs="Times New Roman"/>
                <w:bCs/>
                <w:color w:val="000000"/>
                <w:sz w:val="18"/>
                <w:szCs w:val="18"/>
                <w:lang w:eastAsia="lv-LV"/>
              </w:rPr>
              <w:t> </w:t>
            </w:r>
            <w:r w:rsidRPr="00C42FB1">
              <w:rPr>
                <w:rFonts w:ascii="Times New Roman" w:eastAsia="Times New Roman" w:hAnsi="Times New Roman" w:cs="Times New Roman"/>
                <w:bCs/>
                <w:color w:val="000000"/>
                <w:sz w:val="18"/>
                <w:szCs w:val="18"/>
                <w:lang w:eastAsia="lv-LV"/>
              </w:rPr>
              <w:t>%</w:t>
            </w:r>
          </w:p>
        </w:tc>
      </w:tr>
      <w:tr w:rsidR="00C42FB1" w:rsidRPr="00C42FB1" w14:paraId="38C6E017" w14:textId="77777777" w:rsidTr="00010FF5">
        <w:trPr>
          <w:trHeight w:val="269"/>
        </w:trPr>
        <w:tc>
          <w:tcPr>
            <w:tcW w:w="1255" w:type="dxa"/>
            <w:tcBorders>
              <w:top w:val="single" w:sz="4" w:space="0" w:color="auto"/>
              <w:left w:val="single" w:sz="4" w:space="0" w:color="auto"/>
              <w:bottom w:val="single" w:sz="4" w:space="0" w:color="auto"/>
              <w:right w:val="single" w:sz="4" w:space="0" w:color="auto"/>
            </w:tcBorders>
            <w:vAlign w:val="center"/>
          </w:tcPr>
          <w:p w14:paraId="3EF80E49" w14:textId="77777777" w:rsidR="00C42FB1" w:rsidRPr="00C42FB1" w:rsidRDefault="00C42FB1" w:rsidP="00C42FB1">
            <w:pPr>
              <w:spacing w:before="0" w:after="0" w:line="240" w:lineRule="auto"/>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bCs/>
                <w:color w:val="000000"/>
                <w:sz w:val="18"/>
                <w:szCs w:val="18"/>
                <w:lang w:eastAsia="lv-LV"/>
              </w:rPr>
              <w:t>2018.gads</w:t>
            </w:r>
          </w:p>
        </w:tc>
        <w:tc>
          <w:tcPr>
            <w:tcW w:w="2147" w:type="dxa"/>
            <w:tcBorders>
              <w:top w:val="single" w:sz="4" w:space="0" w:color="auto"/>
              <w:left w:val="single" w:sz="4" w:space="0" w:color="auto"/>
              <w:bottom w:val="single" w:sz="4" w:space="0" w:color="auto"/>
              <w:right w:val="single" w:sz="4" w:space="0" w:color="auto"/>
            </w:tcBorders>
            <w:vAlign w:val="center"/>
          </w:tcPr>
          <w:p w14:paraId="4D48D8CA" w14:textId="77777777" w:rsidR="00C42FB1" w:rsidRPr="00C42FB1" w:rsidRDefault="00C42FB1" w:rsidP="00C42FB1">
            <w:pPr>
              <w:spacing w:before="0" w:after="0" w:line="240" w:lineRule="auto"/>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color w:val="000000"/>
                <w:sz w:val="18"/>
                <w:szCs w:val="18"/>
                <w:lang w:eastAsia="lv-LV"/>
              </w:rPr>
              <w:t xml:space="preserve">Darba ņēmēju sadalījums </w:t>
            </w:r>
          </w:p>
        </w:tc>
        <w:tc>
          <w:tcPr>
            <w:tcW w:w="812" w:type="dxa"/>
            <w:tcBorders>
              <w:top w:val="nil"/>
              <w:left w:val="nil"/>
              <w:bottom w:val="single" w:sz="4" w:space="0" w:color="auto"/>
              <w:right w:val="single" w:sz="4" w:space="0" w:color="auto"/>
            </w:tcBorders>
            <w:shd w:val="clear" w:color="auto" w:fill="auto"/>
            <w:vAlign w:val="center"/>
          </w:tcPr>
          <w:p w14:paraId="7EB1A827" w14:textId="77777777" w:rsidR="00C42FB1" w:rsidRPr="00C42FB1" w:rsidRDefault="00C42FB1" w:rsidP="00C42FB1">
            <w:pPr>
              <w:spacing w:before="0" w:after="0" w:line="240" w:lineRule="auto"/>
              <w:jc w:val="center"/>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bCs/>
                <w:color w:val="000000"/>
                <w:sz w:val="18"/>
                <w:szCs w:val="18"/>
                <w:lang w:eastAsia="lv-LV"/>
              </w:rPr>
              <w:t>29,1</w:t>
            </w:r>
            <w:r w:rsidR="003B0F4B">
              <w:rPr>
                <w:rFonts w:ascii="Times New Roman" w:eastAsia="Times New Roman" w:hAnsi="Times New Roman" w:cs="Times New Roman"/>
                <w:bCs/>
                <w:color w:val="000000"/>
                <w:sz w:val="18"/>
                <w:szCs w:val="18"/>
                <w:lang w:eastAsia="lv-LV"/>
              </w:rPr>
              <w:t> </w:t>
            </w:r>
            <w:r w:rsidRPr="00C42FB1">
              <w:rPr>
                <w:rFonts w:ascii="Times New Roman" w:eastAsia="Times New Roman" w:hAnsi="Times New Roman" w:cs="Times New Roman"/>
                <w:bCs/>
                <w:color w:val="000000"/>
                <w:sz w:val="18"/>
                <w:szCs w:val="18"/>
                <w:lang w:eastAsia="lv-LV"/>
              </w:rPr>
              <w:t>%</w:t>
            </w:r>
          </w:p>
        </w:tc>
        <w:tc>
          <w:tcPr>
            <w:tcW w:w="1455" w:type="dxa"/>
            <w:tcBorders>
              <w:top w:val="nil"/>
              <w:left w:val="nil"/>
              <w:bottom w:val="single" w:sz="4" w:space="0" w:color="auto"/>
              <w:right w:val="single" w:sz="4" w:space="0" w:color="auto"/>
            </w:tcBorders>
            <w:shd w:val="clear" w:color="auto" w:fill="auto"/>
            <w:vAlign w:val="center"/>
          </w:tcPr>
          <w:p w14:paraId="008CDA28" w14:textId="77777777" w:rsidR="00C42FB1" w:rsidRPr="00C42FB1" w:rsidRDefault="00C42FB1" w:rsidP="00C42FB1">
            <w:pPr>
              <w:spacing w:before="0" w:after="0" w:line="240" w:lineRule="auto"/>
              <w:jc w:val="center"/>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bCs/>
                <w:color w:val="000000"/>
                <w:sz w:val="18"/>
                <w:szCs w:val="18"/>
                <w:lang w:eastAsia="lv-LV"/>
              </w:rPr>
              <w:t>16,5</w:t>
            </w:r>
            <w:r w:rsidR="003B0F4B">
              <w:rPr>
                <w:rFonts w:ascii="Times New Roman" w:eastAsia="Times New Roman" w:hAnsi="Times New Roman" w:cs="Times New Roman"/>
                <w:bCs/>
                <w:color w:val="000000"/>
                <w:sz w:val="18"/>
                <w:szCs w:val="18"/>
                <w:lang w:eastAsia="lv-LV"/>
              </w:rPr>
              <w:t> </w:t>
            </w:r>
            <w:r w:rsidRPr="00C42FB1">
              <w:rPr>
                <w:rFonts w:ascii="Times New Roman" w:eastAsia="Times New Roman" w:hAnsi="Times New Roman" w:cs="Times New Roman"/>
                <w:bCs/>
                <w:color w:val="000000"/>
                <w:sz w:val="18"/>
                <w:szCs w:val="18"/>
                <w:lang w:eastAsia="lv-LV"/>
              </w:rPr>
              <w:t>%</w:t>
            </w:r>
          </w:p>
        </w:tc>
        <w:tc>
          <w:tcPr>
            <w:tcW w:w="1844" w:type="dxa"/>
            <w:tcBorders>
              <w:top w:val="nil"/>
              <w:left w:val="nil"/>
              <w:bottom w:val="single" w:sz="4" w:space="0" w:color="auto"/>
              <w:right w:val="single" w:sz="4" w:space="0" w:color="auto"/>
            </w:tcBorders>
            <w:shd w:val="clear" w:color="auto" w:fill="auto"/>
            <w:vAlign w:val="center"/>
          </w:tcPr>
          <w:p w14:paraId="3699D8EB" w14:textId="77777777" w:rsidR="00C42FB1" w:rsidRPr="00C42FB1" w:rsidRDefault="00C42FB1" w:rsidP="00C42FB1">
            <w:pPr>
              <w:spacing w:before="0" w:after="0" w:line="240" w:lineRule="auto"/>
              <w:jc w:val="center"/>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bCs/>
                <w:color w:val="000000"/>
                <w:sz w:val="18"/>
                <w:szCs w:val="18"/>
                <w:lang w:eastAsia="lv-LV"/>
              </w:rPr>
              <w:t>53,7</w:t>
            </w:r>
            <w:r w:rsidR="003B0F4B">
              <w:rPr>
                <w:rFonts w:ascii="Times New Roman" w:eastAsia="Times New Roman" w:hAnsi="Times New Roman" w:cs="Times New Roman"/>
                <w:bCs/>
                <w:color w:val="000000"/>
                <w:sz w:val="18"/>
                <w:szCs w:val="18"/>
                <w:lang w:eastAsia="lv-LV"/>
              </w:rPr>
              <w:t> </w:t>
            </w:r>
            <w:r w:rsidRPr="00C42FB1">
              <w:rPr>
                <w:rFonts w:ascii="Times New Roman" w:eastAsia="Times New Roman" w:hAnsi="Times New Roman" w:cs="Times New Roman"/>
                <w:bCs/>
                <w:color w:val="000000"/>
                <w:sz w:val="18"/>
                <w:szCs w:val="18"/>
                <w:lang w:eastAsia="lv-LV"/>
              </w:rPr>
              <w:t>%</w:t>
            </w:r>
          </w:p>
        </w:tc>
        <w:tc>
          <w:tcPr>
            <w:tcW w:w="1448" w:type="dxa"/>
            <w:tcBorders>
              <w:top w:val="nil"/>
              <w:left w:val="nil"/>
              <w:bottom w:val="single" w:sz="4" w:space="0" w:color="auto"/>
              <w:right w:val="single" w:sz="4" w:space="0" w:color="auto"/>
            </w:tcBorders>
            <w:shd w:val="clear" w:color="auto" w:fill="auto"/>
            <w:vAlign w:val="center"/>
          </w:tcPr>
          <w:p w14:paraId="4723858A" w14:textId="77777777" w:rsidR="00C42FB1" w:rsidRPr="00C42FB1" w:rsidRDefault="00C42FB1" w:rsidP="00C42FB1">
            <w:pPr>
              <w:spacing w:before="0" w:after="0" w:line="240" w:lineRule="auto"/>
              <w:jc w:val="center"/>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bCs/>
                <w:color w:val="000000"/>
                <w:sz w:val="18"/>
                <w:szCs w:val="18"/>
                <w:lang w:eastAsia="lv-LV"/>
              </w:rPr>
              <w:t>0,7</w:t>
            </w:r>
            <w:r w:rsidR="003B0F4B">
              <w:rPr>
                <w:rFonts w:ascii="Times New Roman" w:eastAsia="Times New Roman" w:hAnsi="Times New Roman" w:cs="Times New Roman"/>
                <w:bCs/>
                <w:color w:val="000000"/>
                <w:sz w:val="18"/>
                <w:szCs w:val="18"/>
                <w:lang w:eastAsia="lv-LV"/>
              </w:rPr>
              <w:t> </w:t>
            </w:r>
            <w:r w:rsidRPr="00C42FB1">
              <w:rPr>
                <w:rFonts w:ascii="Times New Roman" w:eastAsia="Times New Roman" w:hAnsi="Times New Roman" w:cs="Times New Roman"/>
                <w:bCs/>
                <w:color w:val="000000"/>
                <w:sz w:val="18"/>
                <w:szCs w:val="18"/>
                <w:lang w:eastAsia="lv-LV"/>
              </w:rPr>
              <w:t>%</w:t>
            </w:r>
          </w:p>
        </w:tc>
      </w:tr>
      <w:tr w:rsidR="00C42FB1" w:rsidRPr="00C42FB1" w14:paraId="1785FC87" w14:textId="77777777" w:rsidTr="00010FF5">
        <w:trPr>
          <w:trHeight w:val="274"/>
        </w:trPr>
        <w:tc>
          <w:tcPr>
            <w:tcW w:w="1255" w:type="dxa"/>
            <w:tcBorders>
              <w:top w:val="single" w:sz="4" w:space="0" w:color="auto"/>
              <w:left w:val="single" w:sz="4" w:space="0" w:color="auto"/>
              <w:bottom w:val="single" w:sz="4" w:space="0" w:color="auto"/>
              <w:right w:val="single" w:sz="4" w:space="0" w:color="auto"/>
            </w:tcBorders>
            <w:vAlign w:val="center"/>
          </w:tcPr>
          <w:p w14:paraId="408FADD8" w14:textId="77777777" w:rsidR="00C42FB1" w:rsidRPr="00C42FB1" w:rsidRDefault="00C42FB1" w:rsidP="00C42FB1">
            <w:pPr>
              <w:spacing w:before="0" w:after="0" w:line="240" w:lineRule="auto"/>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bCs/>
                <w:color w:val="000000"/>
                <w:sz w:val="18"/>
                <w:szCs w:val="18"/>
                <w:lang w:eastAsia="lv-LV"/>
              </w:rPr>
              <w:t>2019.gads</w:t>
            </w:r>
          </w:p>
        </w:tc>
        <w:tc>
          <w:tcPr>
            <w:tcW w:w="2147" w:type="dxa"/>
            <w:tcBorders>
              <w:top w:val="single" w:sz="4" w:space="0" w:color="auto"/>
              <w:left w:val="single" w:sz="4" w:space="0" w:color="auto"/>
              <w:bottom w:val="single" w:sz="4" w:space="0" w:color="auto"/>
              <w:right w:val="single" w:sz="4" w:space="0" w:color="auto"/>
            </w:tcBorders>
            <w:vAlign w:val="center"/>
          </w:tcPr>
          <w:p w14:paraId="630D08FD" w14:textId="77777777" w:rsidR="00C42FB1" w:rsidRPr="00C42FB1" w:rsidRDefault="00C42FB1" w:rsidP="00C42FB1">
            <w:pPr>
              <w:spacing w:before="0" w:after="0" w:line="240" w:lineRule="auto"/>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color w:val="000000"/>
                <w:sz w:val="18"/>
                <w:szCs w:val="18"/>
                <w:lang w:eastAsia="lv-LV"/>
              </w:rPr>
              <w:t>Darba ņēmēju sadalījums</w:t>
            </w:r>
          </w:p>
        </w:tc>
        <w:tc>
          <w:tcPr>
            <w:tcW w:w="812" w:type="dxa"/>
            <w:tcBorders>
              <w:top w:val="nil"/>
              <w:left w:val="nil"/>
              <w:bottom w:val="single" w:sz="4" w:space="0" w:color="auto"/>
              <w:right w:val="single" w:sz="4" w:space="0" w:color="auto"/>
            </w:tcBorders>
            <w:shd w:val="clear" w:color="auto" w:fill="auto"/>
            <w:vAlign w:val="center"/>
          </w:tcPr>
          <w:p w14:paraId="061EC3BB" w14:textId="77777777" w:rsidR="00C42FB1" w:rsidRPr="00C42FB1" w:rsidRDefault="00C42FB1" w:rsidP="00C42FB1">
            <w:pPr>
              <w:spacing w:before="0" w:after="0" w:line="240" w:lineRule="auto"/>
              <w:jc w:val="center"/>
              <w:rPr>
                <w:rFonts w:ascii="Times New Roman" w:eastAsia="Times New Roman" w:hAnsi="Times New Roman" w:cs="Times New Roman"/>
                <w:bCs/>
                <w:color w:val="000000"/>
                <w:sz w:val="18"/>
                <w:szCs w:val="18"/>
                <w:lang w:eastAsia="lv-LV"/>
              </w:rPr>
            </w:pPr>
            <w:r w:rsidRPr="00C42FB1">
              <w:rPr>
                <w:rFonts w:ascii="Times New Roman" w:hAnsi="Times New Roman" w:cs="Times New Roman"/>
                <w:sz w:val="18"/>
                <w:szCs w:val="18"/>
              </w:rPr>
              <w:t>29,5</w:t>
            </w:r>
            <w:r w:rsidR="003B0F4B">
              <w:rPr>
                <w:rFonts w:ascii="Times New Roman" w:hAnsi="Times New Roman" w:cs="Times New Roman"/>
                <w:sz w:val="18"/>
                <w:szCs w:val="18"/>
              </w:rPr>
              <w:t> </w:t>
            </w:r>
            <w:r w:rsidRPr="00C42FB1">
              <w:rPr>
                <w:rFonts w:ascii="Times New Roman" w:hAnsi="Times New Roman" w:cs="Times New Roman"/>
                <w:sz w:val="18"/>
                <w:szCs w:val="18"/>
              </w:rPr>
              <w:t>%</w:t>
            </w:r>
          </w:p>
        </w:tc>
        <w:tc>
          <w:tcPr>
            <w:tcW w:w="1455" w:type="dxa"/>
            <w:tcBorders>
              <w:top w:val="nil"/>
              <w:left w:val="nil"/>
              <w:bottom w:val="single" w:sz="4" w:space="0" w:color="auto"/>
              <w:right w:val="single" w:sz="4" w:space="0" w:color="auto"/>
            </w:tcBorders>
            <w:shd w:val="clear" w:color="auto" w:fill="auto"/>
            <w:vAlign w:val="center"/>
          </w:tcPr>
          <w:p w14:paraId="65478D09" w14:textId="77777777" w:rsidR="00C42FB1" w:rsidRPr="00C42FB1" w:rsidRDefault="00C42FB1" w:rsidP="00C42FB1">
            <w:pPr>
              <w:spacing w:before="0" w:after="0" w:line="240" w:lineRule="auto"/>
              <w:jc w:val="center"/>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bCs/>
                <w:color w:val="000000"/>
                <w:sz w:val="18"/>
                <w:szCs w:val="18"/>
                <w:lang w:eastAsia="lv-LV"/>
              </w:rPr>
              <w:t>15,4</w:t>
            </w:r>
            <w:r w:rsidR="003B0F4B">
              <w:rPr>
                <w:rFonts w:ascii="Times New Roman" w:eastAsia="Times New Roman" w:hAnsi="Times New Roman" w:cs="Times New Roman"/>
                <w:bCs/>
                <w:color w:val="000000"/>
                <w:sz w:val="18"/>
                <w:szCs w:val="18"/>
                <w:lang w:eastAsia="lv-LV"/>
              </w:rPr>
              <w:t> </w:t>
            </w:r>
            <w:r w:rsidRPr="00C42FB1">
              <w:rPr>
                <w:rFonts w:ascii="Times New Roman" w:eastAsia="Times New Roman" w:hAnsi="Times New Roman" w:cs="Times New Roman"/>
                <w:bCs/>
                <w:color w:val="000000"/>
                <w:sz w:val="18"/>
                <w:szCs w:val="18"/>
                <w:lang w:eastAsia="lv-LV"/>
              </w:rPr>
              <w:t>%</w:t>
            </w:r>
          </w:p>
        </w:tc>
        <w:tc>
          <w:tcPr>
            <w:tcW w:w="1844" w:type="dxa"/>
            <w:tcBorders>
              <w:top w:val="nil"/>
              <w:left w:val="nil"/>
              <w:bottom w:val="single" w:sz="4" w:space="0" w:color="auto"/>
              <w:right w:val="single" w:sz="4" w:space="0" w:color="auto"/>
            </w:tcBorders>
            <w:shd w:val="clear" w:color="auto" w:fill="auto"/>
            <w:vAlign w:val="center"/>
          </w:tcPr>
          <w:p w14:paraId="04FA83A4" w14:textId="77777777" w:rsidR="00C42FB1" w:rsidRPr="00C42FB1" w:rsidRDefault="00C42FB1" w:rsidP="00C42FB1">
            <w:pPr>
              <w:spacing w:before="0" w:after="0" w:line="240" w:lineRule="auto"/>
              <w:jc w:val="center"/>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bCs/>
                <w:color w:val="000000"/>
                <w:sz w:val="18"/>
                <w:szCs w:val="18"/>
                <w:lang w:eastAsia="lv-LV"/>
              </w:rPr>
              <w:t>54,6</w:t>
            </w:r>
            <w:r w:rsidR="003B0F4B">
              <w:rPr>
                <w:rFonts w:ascii="Times New Roman" w:eastAsia="Times New Roman" w:hAnsi="Times New Roman" w:cs="Times New Roman"/>
                <w:bCs/>
                <w:color w:val="000000"/>
                <w:sz w:val="18"/>
                <w:szCs w:val="18"/>
                <w:lang w:eastAsia="lv-LV"/>
              </w:rPr>
              <w:t> </w:t>
            </w:r>
            <w:r w:rsidRPr="00C42FB1">
              <w:rPr>
                <w:rFonts w:ascii="Times New Roman" w:eastAsia="Times New Roman" w:hAnsi="Times New Roman" w:cs="Times New Roman"/>
                <w:bCs/>
                <w:color w:val="000000"/>
                <w:sz w:val="18"/>
                <w:szCs w:val="18"/>
                <w:lang w:eastAsia="lv-LV"/>
              </w:rPr>
              <w:t>%</w:t>
            </w:r>
          </w:p>
        </w:tc>
        <w:tc>
          <w:tcPr>
            <w:tcW w:w="1448" w:type="dxa"/>
            <w:tcBorders>
              <w:top w:val="nil"/>
              <w:left w:val="nil"/>
              <w:bottom w:val="single" w:sz="4" w:space="0" w:color="auto"/>
              <w:right w:val="single" w:sz="4" w:space="0" w:color="auto"/>
            </w:tcBorders>
            <w:shd w:val="clear" w:color="auto" w:fill="auto"/>
            <w:vAlign w:val="center"/>
          </w:tcPr>
          <w:p w14:paraId="1998D73D" w14:textId="77777777" w:rsidR="00C42FB1" w:rsidRPr="00C42FB1" w:rsidRDefault="00C42FB1" w:rsidP="00C42FB1">
            <w:pPr>
              <w:spacing w:before="0" w:after="0" w:line="240" w:lineRule="auto"/>
              <w:jc w:val="center"/>
              <w:rPr>
                <w:rFonts w:ascii="Times New Roman" w:eastAsia="Times New Roman" w:hAnsi="Times New Roman" w:cs="Times New Roman"/>
                <w:bCs/>
                <w:color w:val="000000"/>
                <w:sz w:val="18"/>
                <w:szCs w:val="18"/>
                <w:lang w:eastAsia="lv-LV"/>
              </w:rPr>
            </w:pPr>
            <w:r w:rsidRPr="00C42FB1">
              <w:rPr>
                <w:rFonts w:ascii="Times New Roman" w:eastAsia="Times New Roman" w:hAnsi="Times New Roman" w:cs="Times New Roman"/>
                <w:bCs/>
                <w:color w:val="000000"/>
                <w:sz w:val="18"/>
                <w:szCs w:val="18"/>
                <w:lang w:eastAsia="lv-LV"/>
              </w:rPr>
              <w:t>0,5</w:t>
            </w:r>
            <w:r w:rsidR="003B0F4B">
              <w:rPr>
                <w:rFonts w:ascii="Times New Roman" w:eastAsia="Times New Roman" w:hAnsi="Times New Roman" w:cs="Times New Roman"/>
                <w:bCs/>
                <w:color w:val="000000"/>
                <w:sz w:val="18"/>
                <w:szCs w:val="18"/>
                <w:lang w:eastAsia="lv-LV"/>
              </w:rPr>
              <w:t> </w:t>
            </w:r>
            <w:r w:rsidRPr="00C42FB1">
              <w:rPr>
                <w:rFonts w:ascii="Times New Roman" w:eastAsia="Times New Roman" w:hAnsi="Times New Roman" w:cs="Times New Roman"/>
                <w:bCs/>
                <w:color w:val="000000"/>
                <w:sz w:val="18"/>
                <w:szCs w:val="18"/>
                <w:lang w:eastAsia="lv-LV"/>
              </w:rPr>
              <w:t>%</w:t>
            </w:r>
          </w:p>
        </w:tc>
      </w:tr>
    </w:tbl>
    <w:p w14:paraId="0A3597D2" w14:textId="77777777" w:rsidR="00C42FB1" w:rsidRPr="00C42FB1" w:rsidRDefault="00C42FB1" w:rsidP="00C42FB1">
      <w:pPr>
        <w:spacing w:before="0" w:after="0" w:line="240" w:lineRule="auto"/>
        <w:jc w:val="both"/>
        <w:rPr>
          <w:rFonts w:ascii="Times New Roman" w:eastAsia="Calibri" w:hAnsi="Times New Roman" w:cs="Times New Roman"/>
          <w:sz w:val="28"/>
          <w:szCs w:val="28"/>
        </w:rPr>
      </w:pPr>
    </w:p>
    <w:p w14:paraId="450DFF6C" w14:textId="77777777" w:rsidR="00C42FB1" w:rsidRPr="00360BCF" w:rsidRDefault="00C42FB1" w:rsidP="00D320C1">
      <w:pPr>
        <w:spacing w:before="0" w:after="0" w:line="240" w:lineRule="auto"/>
        <w:ind w:firstLine="720"/>
        <w:jc w:val="both"/>
        <w:rPr>
          <w:rFonts w:ascii="Times New Roman" w:eastAsia="Calibri" w:hAnsi="Times New Roman" w:cs="Times New Roman"/>
          <w:sz w:val="28"/>
          <w:szCs w:val="28"/>
        </w:rPr>
      </w:pPr>
      <w:r w:rsidRPr="00360BCF">
        <w:rPr>
          <w:rFonts w:ascii="Times New Roman" w:eastAsia="Calibri" w:hAnsi="Times New Roman" w:cs="Times New Roman"/>
          <w:sz w:val="28"/>
          <w:szCs w:val="28"/>
        </w:rPr>
        <w:t>2018.gadā</w:t>
      </w:r>
      <w:r w:rsidR="00F45AA7">
        <w:rPr>
          <w:rFonts w:ascii="Times New Roman" w:eastAsia="Calibri" w:hAnsi="Times New Roman" w:cs="Times New Roman"/>
          <w:sz w:val="28"/>
          <w:szCs w:val="28"/>
        </w:rPr>
        <w:t>,</w:t>
      </w:r>
      <w:r w:rsidRPr="00360BCF">
        <w:rPr>
          <w:rFonts w:ascii="Times New Roman" w:eastAsia="Calibri" w:hAnsi="Times New Roman" w:cs="Times New Roman"/>
          <w:sz w:val="28"/>
          <w:szCs w:val="28"/>
        </w:rPr>
        <w:t xml:space="preserve"> salīdzino</w:t>
      </w:r>
      <w:r w:rsidR="00F45AA7">
        <w:rPr>
          <w:rFonts w:ascii="Times New Roman" w:eastAsia="Calibri" w:hAnsi="Times New Roman" w:cs="Times New Roman"/>
          <w:sz w:val="28"/>
          <w:szCs w:val="28"/>
        </w:rPr>
        <w:t>t</w:t>
      </w:r>
      <w:r w:rsidRPr="00360BCF">
        <w:rPr>
          <w:rFonts w:ascii="Times New Roman" w:eastAsia="Calibri" w:hAnsi="Times New Roman" w:cs="Times New Roman"/>
          <w:sz w:val="28"/>
          <w:szCs w:val="28"/>
        </w:rPr>
        <w:t xml:space="preserve"> ar 2017.gadu</w:t>
      </w:r>
      <w:r w:rsidR="00F45AA7">
        <w:rPr>
          <w:rFonts w:ascii="Times New Roman" w:eastAsia="Calibri" w:hAnsi="Times New Roman" w:cs="Times New Roman"/>
          <w:sz w:val="28"/>
          <w:szCs w:val="28"/>
        </w:rPr>
        <w:t>,</w:t>
      </w:r>
      <w:r w:rsidRPr="00360BCF">
        <w:rPr>
          <w:rFonts w:ascii="Times New Roman" w:eastAsia="Calibri" w:hAnsi="Times New Roman" w:cs="Times New Roman"/>
          <w:sz w:val="28"/>
          <w:szCs w:val="28"/>
        </w:rPr>
        <w:t xml:space="preserve"> palielinājies </w:t>
      </w:r>
      <w:proofErr w:type="spellStart"/>
      <w:r w:rsidR="00346D50">
        <w:rPr>
          <w:rFonts w:ascii="Times New Roman" w:eastAsia="Calibri" w:hAnsi="Times New Roman" w:cs="Times New Roman"/>
          <w:sz w:val="28"/>
          <w:szCs w:val="28"/>
        </w:rPr>
        <w:t>m</w:t>
      </w:r>
      <w:r w:rsidRPr="00360BCF">
        <w:rPr>
          <w:rFonts w:ascii="Times New Roman" w:eastAsia="Calibri" w:hAnsi="Times New Roman" w:cs="Times New Roman"/>
          <w:sz w:val="28"/>
          <w:szCs w:val="28"/>
        </w:rPr>
        <w:t>ikrouzņēmumu</w:t>
      </w:r>
      <w:proofErr w:type="spellEnd"/>
      <w:r w:rsidRPr="00360BCF">
        <w:rPr>
          <w:rFonts w:ascii="Times New Roman" w:eastAsia="Calibri" w:hAnsi="Times New Roman" w:cs="Times New Roman"/>
          <w:sz w:val="28"/>
          <w:szCs w:val="28"/>
        </w:rPr>
        <w:t xml:space="preserve"> nodokļ</w:t>
      </w:r>
      <w:r w:rsidR="00F45AA7">
        <w:rPr>
          <w:rFonts w:ascii="Times New Roman" w:eastAsia="Calibri" w:hAnsi="Times New Roman" w:cs="Times New Roman"/>
          <w:sz w:val="28"/>
          <w:szCs w:val="28"/>
        </w:rPr>
        <w:t>a</w:t>
      </w:r>
      <w:r w:rsidRPr="00360BCF">
        <w:rPr>
          <w:rFonts w:ascii="Times New Roman" w:eastAsia="Calibri" w:hAnsi="Times New Roman" w:cs="Times New Roman"/>
          <w:sz w:val="28"/>
          <w:szCs w:val="28"/>
        </w:rPr>
        <w:t xml:space="preserve"> maksātāju darba ņēmēju īpatsvars, kuri vidēji saņem mazāk par valstī noteikto minimālo darba algu vai kuriem atalgojums nav aprēķināts, savukārt</w:t>
      </w:r>
      <w:r w:rsidR="00F45AA7">
        <w:rPr>
          <w:rFonts w:ascii="Times New Roman" w:eastAsia="Calibri" w:hAnsi="Times New Roman" w:cs="Times New Roman"/>
          <w:sz w:val="28"/>
          <w:szCs w:val="28"/>
        </w:rPr>
        <w:t xml:space="preserve"> to</w:t>
      </w:r>
      <w:r w:rsidRPr="00360BCF">
        <w:rPr>
          <w:rFonts w:ascii="Times New Roman" w:eastAsia="Calibri" w:hAnsi="Times New Roman" w:cs="Times New Roman"/>
          <w:sz w:val="28"/>
          <w:szCs w:val="28"/>
        </w:rPr>
        <w:t xml:space="preserve"> darba ņēmēju īpatsvars, kuri saņem ienākumus virs valstī noteiktās minimālās algas</w:t>
      </w:r>
      <w:r w:rsidR="00F45AA7">
        <w:rPr>
          <w:rFonts w:ascii="Times New Roman" w:eastAsia="Calibri" w:hAnsi="Times New Roman" w:cs="Times New Roman"/>
          <w:sz w:val="28"/>
          <w:szCs w:val="28"/>
        </w:rPr>
        <w:t>, ir</w:t>
      </w:r>
      <w:r w:rsidRPr="00360BCF">
        <w:rPr>
          <w:rFonts w:ascii="Times New Roman" w:eastAsia="Calibri" w:hAnsi="Times New Roman" w:cs="Times New Roman"/>
          <w:sz w:val="28"/>
          <w:szCs w:val="28"/>
        </w:rPr>
        <w:t xml:space="preserve"> samazinājies.</w:t>
      </w:r>
    </w:p>
    <w:p w14:paraId="450CAB8D" w14:textId="77777777" w:rsidR="00C42FB1" w:rsidRPr="002542ED" w:rsidRDefault="00C42FB1" w:rsidP="002F0967">
      <w:pPr>
        <w:spacing w:before="0" w:after="0" w:line="240" w:lineRule="auto"/>
        <w:ind w:firstLine="720"/>
        <w:jc w:val="both"/>
        <w:rPr>
          <w:rFonts w:ascii="Times New Roman" w:eastAsia="Calibri" w:hAnsi="Times New Roman" w:cs="Times New Roman"/>
          <w:sz w:val="28"/>
          <w:szCs w:val="28"/>
        </w:rPr>
      </w:pPr>
    </w:p>
    <w:p w14:paraId="121E077C" w14:textId="641D541C" w:rsidR="00C64FF1" w:rsidRPr="002542ED" w:rsidRDefault="006E58AD" w:rsidP="00237CD7">
      <w:pPr>
        <w:spacing w:before="0" w:after="0" w:line="240" w:lineRule="auto"/>
        <w:ind w:firstLine="720"/>
        <w:jc w:val="both"/>
        <w:rPr>
          <w:rFonts w:ascii="Times New Roman" w:eastAsia="Calibri" w:hAnsi="Times New Roman" w:cs="Times New Roman"/>
          <w:sz w:val="28"/>
          <w:szCs w:val="28"/>
        </w:rPr>
      </w:pPr>
      <w:r w:rsidRPr="002542ED">
        <w:rPr>
          <w:rFonts w:ascii="Times New Roman" w:eastAsia="Calibri" w:hAnsi="Times New Roman" w:cs="Times New Roman"/>
          <w:sz w:val="28"/>
          <w:szCs w:val="28"/>
        </w:rPr>
        <w:t>Veicot</w:t>
      </w:r>
      <w:r w:rsidR="00C64FF1" w:rsidRPr="002542ED">
        <w:rPr>
          <w:rFonts w:ascii="Times New Roman" w:eastAsia="Calibri" w:hAnsi="Times New Roman" w:cs="Times New Roman"/>
          <w:sz w:val="28"/>
          <w:szCs w:val="28"/>
        </w:rPr>
        <w:t xml:space="preserve"> </w:t>
      </w:r>
      <w:r w:rsidR="003E12D1">
        <w:rPr>
          <w:rFonts w:ascii="Times New Roman" w:eastAsia="Calibri" w:hAnsi="Times New Roman" w:cs="Times New Roman"/>
          <w:sz w:val="28"/>
          <w:szCs w:val="28"/>
        </w:rPr>
        <w:t>“</w:t>
      </w:r>
      <w:r w:rsidR="00C64FF1" w:rsidRPr="002542ED">
        <w:rPr>
          <w:rFonts w:ascii="Times New Roman" w:eastAsia="Calibri" w:hAnsi="Times New Roman" w:cs="Times New Roman"/>
          <w:sz w:val="28"/>
          <w:szCs w:val="28"/>
        </w:rPr>
        <w:t>aplokšņu</w:t>
      </w:r>
      <w:r w:rsidR="003E12D1">
        <w:rPr>
          <w:rFonts w:ascii="Times New Roman" w:eastAsia="Calibri" w:hAnsi="Times New Roman" w:cs="Times New Roman"/>
          <w:sz w:val="28"/>
          <w:szCs w:val="28"/>
        </w:rPr>
        <w:t>”</w:t>
      </w:r>
      <w:r w:rsidR="00C64FF1" w:rsidRPr="002542ED">
        <w:rPr>
          <w:rFonts w:ascii="Times New Roman" w:eastAsia="Calibri" w:hAnsi="Times New Roman" w:cs="Times New Roman"/>
          <w:sz w:val="28"/>
          <w:szCs w:val="28"/>
        </w:rPr>
        <w:t xml:space="preserve"> algas</w:t>
      </w:r>
      <w:r w:rsidRPr="002542ED">
        <w:rPr>
          <w:rFonts w:ascii="Times New Roman" w:eastAsia="Calibri" w:hAnsi="Times New Roman" w:cs="Times New Roman"/>
          <w:sz w:val="28"/>
          <w:szCs w:val="28"/>
        </w:rPr>
        <w:t xml:space="preserve"> risku vērtējumu būvniecības nozarē strādājošiem </w:t>
      </w:r>
      <w:proofErr w:type="spellStart"/>
      <w:r w:rsidRPr="002542ED">
        <w:rPr>
          <w:rFonts w:ascii="Times New Roman" w:eastAsia="Calibri" w:hAnsi="Times New Roman" w:cs="Times New Roman"/>
          <w:sz w:val="28"/>
          <w:szCs w:val="28"/>
        </w:rPr>
        <w:t>mikrouzņēmumiem</w:t>
      </w:r>
      <w:proofErr w:type="spellEnd"/>
      <w:r w:rsidR="00D320C1">
        <w:rPr>
          <w:rFonts w:ascii="Times New Roman" w:eastAsia="Calibri" w:hAnsi="Times New Roman" w:cs="Times New Roman"/>
          <w:sz w:val="28"/>
          <w:szCs w:val="28"/>
        </w:rPr>
        <w:t>,</w:t>
      </w:r>
      <w:r w:rsidRPr="002542ED">
        <w:rPr>
          <w:rFonts w:ascii="Times New Roman" w:eastAsia="Calibri" w:hAnsi="Times New Roman" w:cs="Times New Roman"/>
          <w:sz w:val="28"/>
          <w:szCs w:val="28"/>
        </w:rPr>
        <w:t xml:space="preserve"> </w:t>
      </w:r>
      <w:r w:rsidR="00C64FF1" w:rsidRPr="002542ED">
        <w:rPr>
          <w:rFonts w:ascii="Times New Roman" w:eastAsia="Calibri" w:hAnsi="Times New Roman" w:cs="Times New Roman"/>
          <w:sz w:val="28"/>
          <w:szCs w:val="28"/>
        </w:rPr>
        <w:t>novērots, ka</w:t>
      </w:r>
      <w:r w:rsidR="00F30009">
        <w:rPr>
          <w:rFonts w:ascii="Times New Roman" w:eastAsia="Calibri" w:hAnsi="Times New Roman" w:cs="Times New Roman"/>
          <w:sz w:val="28"/>
          <w:szCs w:val="28"/>
        </w:rPr>
        <w:t>,</w:t>
      </w:r>
      <w:r w:rsidR="00C64FF1" w:rsidRPr="002542ED">
        <w:rPr>
          <w:rFonts w:ascii="Times New Roman" w:eastAsia="Calibri" w:hAnsi="Times New Roman" w:cs="Times New Roman"/>
          <w:sz w:val="28"/>
          <w:szCs w:val="28"/>
        </w:rPr>
        <w:t xml:space="preserve"> sākot ar 2018.gadu</w:t>
      </w:r>
      <w:r w:rsidR="00D320C1">
        <w:rPr>
          <w:rFonts w:ascii="Times New Roman" w:eastAsia="Calibri" w:hAnsi="Times New Roman" w:cs="Times New Roman"/>
          <w:sz w:val="28"/>
          <w:szCs w:val="28"/>
        </w:rPr>
        <w:t>,</w:t>
      </w:r>
      <w:r w:rsidR="00C64FF1" w:rsidRPr="002542ED">
        <w:rPr>
          <w:rFonts w:ascii="Times New Roman" w:eastAsia="Calibri" w:hAnsi="Times New Roman" w:cs="Times New Roman"/>
          <w:sz w:val="28"/>
          <w:szCs w:val="28"/>
        </w:rPr>
        <w:t xml:space="preserve"> </w:t>
      </w:r>
      <w:r w:rsidR="003E12D1">
        <w:rPr>
          <w:rFonts w:ascii="Times New Roman" w:eastAsia="Calibri" w:hAnsi="Times New Roman" w:cs="Times New Roman"/>
          <w:sz w:val="28"/>
          <w:szCs w:val="28"/>
        </w:rPr>
        <w:t>“</w:t>
      </w:r>
      <w:r w:rsidR="00C64FF1" w:rsidRPr="002542ED">
        <w:rPr>
          <w:rFonts w:ascii="Times New Roman" w:eastAsia="Calibri" w:hAnsi="Times New Roman" w:cs="Times New Roman"/>
          <w:sz w:val="28"/>
          <w:szCs w:val="28"/>
        </w:rPr>
        <w:t>aplokšņu</w:t>
      </w:r>
      <w:r w:rsidR="003E12D1">
        <w:rPr>
          <w:rFonts w:ascii="Times New Roman" w:eastAsia="Calibri" w:hAnsi="Times New Roman" w:cs="Times New Roman"/>
          <w:sz w:val="28"/>
          <w:szCs w:val="28"/>
        </w:rPr>
        <w:t>”</w:t>
      </w:r>
      <w:r w:rsidR="00C64FF1" w:rsidRPr="002542ED">
        <w:rPr>
          <w:rFonts w:ascii="Times New Roman" w:eastAsia="Calibri" w:hAnsi="Times New Roman" w:cs="Times New Roman"/>
          <w:sz w:val="28"/>
          <w:szCs w:val="28"/>
        </w:rPr>
        <w:t xml:space="preserve"> algas īpatsvars</w:t>
      </w:r>
      <w:r w:rsidR="00600847">
        <w:rPr>
          <w:rStyle w:val="FootnoteReference"/>
          <w:rFonts w:ascii="Times New Roman" w:eastAsia="Calibri" w:hAnsi="Times New Roman" w:cs="Times New Roman"/>
          <w:sz w:val="28"/>
          <w:szCs w:val="28"/>
        </w:rPr>
        <w:footnoteReference w:id="16"/>
      </w:r>
      <w:r w:rsidR="00C64FF1" w:rsidRPr="002542ED">
        <w:rPr>
          <w:rFonts w:ascii="Times New Roman" w:eastAsia="Calibri" w:hAnsi="Times New Roman" w:cs="Times New Roman"/>
          <w:sz w:val="28"/>
          <w:szCs w:val="28"/>
        </w:rPr>
        <w:t xml:space="preserve"> </w:t>
      </w:r>
      <w:r w:rsidR="00920F34" w:rsidRPr="002542ED">
        <w:rPr>
          <w:rFonts w:ascii="Times New Roman" w:eastAsia="Calibri" w:hAnsi="Times New Roman" w:cs="Times New Roman"/>
          <w:sz w:val="28"/>
          <w:szCs w:val="28"/>
        </w:rPr>
        <w:t>(%)</w:t>
      </w:r>
      <w:r w:rsidRPr="002542ED">
        <w:rPr>
          <w:rFonts w:ascii="Times New Roman" w:eastAsia="Calibri" w:hAnsi="Times New Roman" w:cs="Times New Roman"/>
          <w:sz w:val="28"/>
          <w:szCs w:val="28"/>
        </w:rPr>
        <w:t>, salīdzinot ar 2017.gadu</w:t>
      </w:r>
      <w:r w:rsidR="00D320C1">
        <w:rPr>
          <w:rFonts w:ascii="Times New Roman" w:eastAsia="Calibri" w:hAnsi="Times New Roman" w:cs="Times New Roman"/>
          <w:sz w:val="28"/>
          <w:szCs w:val="28"/>
        </w:rPr>
        <w:t>, ir</w:t>
      </w:r>
      <w:r w:rsidRPr="002542ED">
        <w:rPr>
          <w:rFonts w:ascii="Times New Roman" w:eastAsia="Calibri" w:hAnsi="Times New Roman" w:cs="Times New Roman"/>
          <w:sz w:val="28"/>
          <w:szCs w:val="28"/>
        </w:rPr>
        <w:t xml:space="preserve"> </w:t>
      </w:r>
      <w:r w:rsidR="00C64FF1" w:rsidRPr="002542ED">
        <w:rPr>
          <w:rFonts w:ascii="Times New Roman" w:eastAsia="Calibri" w:hAnsi="Times New Roman" w:cs="Times New Roman"/>
          <w:sz w:val="28"/>
          <w:szCs w:val="28"/>
        </w:rPr>
        <w:t xml:space="preserve">strauji palielinājies </w:t>
      </w:r>
      <w:r w:rsidR="00F30009">
        <w:rPr>
          <w:rFonts w:ascii="Times New Roman" w:eastAsia="Calibri" w:hAnsi="Times New Roman" w:cs="Times New Roman"/>
          <w:sz w:val="28"/>
          <w:szCs w:val="28"/>
        </w:rPr>
        <w:t>–</w:t>
      </w:r>
      <w:r w:rsidR="00C64FF1" w:rsidRPr="002542ED">
        <w:rPr>
          <w:rFonts w:ascii="Times New Roman" w:eastAsia="Calibri" w:hAnsi="Times New Roman" w:cs="Times New Roman"/>
          <w:sz w:val="28"/>
          <w:szCs w:val="28"/>
        </w:rPr>
        <w:t xml:space="preserve"> par 13,1</w:t>
      </w:r>
      <w:r w:rsidR="00D320C1">
        <w:rPr>
          <w:rFonts w:ascii="Times New Roman" w:eastAsia="Calibri" w:hAnsi="Times New Roman" w:cs="Times New Roman"/>
          <w:sz w:val="28"/>
          <w:szCs w:val="28"/>
        </w:rPr>
        <w:t> </w:t>
      </w:r>
      <w:r w:rsidR="00C64FF1" w:rsidRPr="002542ED">
        <w:rPr>
          <w:rFonts w:ascii="Times New Roman" w:eastAsia="Calibri" w:hAnsi="Times New Roman" w:cs="Times New Roman"/>
          <w:sz w:val="28"/>
          <w:szCs w:val="28"/>
        </w:rPr>
        <w:t>procentpunkt</w:t>
      </w:r>
      <w:r w:rsidR="00F30009">
        <w:rPr>
          <w:rFonts w:ascii="Times New Roman" w:eastAsia="Calibri" w:hAnsi="Times New Roman" w:cs="Times New Roman"/>
          <w:sz w:val="28"/>
          <w:szCs w:val="28"/>
        </w:rPr>
        <w:t>u</w:t>
      </w:r>
      <w:r w:rsidR="00C64FF1" w:rsidRPr="002542ED">
        <w:rPr>
          <w:rFonts w:ascii="Times New Roman" w:eastAsia="Calibri" w:hAnsi="Times New Roman" w:cs="Times New Roman"/>
          <w:sz w:val="28"/>
          <w:szCs w:val="28"/>
        </w:rPr>
        <w:t>, savukārt 2019.gadā</w:t>
      </w:r>
      <w:r w:rsidR="0009268D" w:rsidRPr="002542ED">
        <w:rPr>
          <w:rFonts w:ascii="Times New Roman" w:eastAsia="Calibri" w:hAnsi="Times New Roman" w:cs="Times New Roman"/>
          <w:sz w:val="28"/>
          <w:szCs w:val="28"/>
        </w:rPr>
        <w:t>,</w:t>
      </w:r>
      <w:r w:rsidR="00C64FF1" w:rsidRPr="002542ED">
        <w:rPr>
          <w:rFonts w:ascii="Times New Roman" w:eastAsia="Calibri" w:hAnsi="Times New Roman" w:cs="Times New Roman"/>
          <w:sz w:val="28"/>
          <w:szCs w:val="28"/>
        </w:rPr>
        <w:t xml:space="preserve"> </w:t>
      </w:r>
      <w:r w:rsidR="0009268D" w:rsidRPr="002542ED">
        <w:rPr>
          <w:rFonts w:ascii="Times New Roman" w:eastAsia="Calibri" w:hAnsi="Times New Roman" w:cs="Times New Roman"/>
          <w:sz w:val="28"/>
          <w:szCs w:val="28"/>
        </w:rPr>
        <w:t>salīdzino</w:t>
      </w:r>
      <w:r w:rsidR="00F30009">
        <w:rPr>
          <w:rFonts w:ascii="Times New Roman" w:eastAsia="Calibri" w:hAnsi="Times New Roman" w:cs="Times New Roman"/>
          <w:sz w:val="28"/>
          <w:szCs w:val="28"/>
        </w:rPr>
        <w:t>t</w:t>
      </w:r>
      <w:r w:rsidR="0009268D" w:rsidRPr="002542ED">
        <w:rPr>
          <w:rFonts w:ascii="Times New Roman" w:eastAsia="Calibri" w:hAnsi="Times New Roman" w:cs="Times New Roman"/>
          <w:sz w:val="28"/>
          <w:szCs w:val="28"/>
        </w:rPr>
        <w:t xml:space="preserve"> ar 2018.gadu, </w:t>
      </w:r>
      <w:r w:rsidR="00C64FF1" w:rsidRPr="002542ED">
        <w:rPr>
          <w:rFonts w:ascii="Times New Roman" w:eastAsia="Calibri" w:hAnsi="Times New Roman" w:cs="Times New Roman"/>
          <w:sz w:val="28"/>
          <w:szCs w:val="28"/>
        </w:rPr>
        <w:t>samazinājies par 1,5</w:t>
      </w:r>
      <w:r w:rsidR="00D320C1">
        <w:rPr>
          <w:rFonts w:ascii="Times New Roman" w:eastAsia="Calibri" w:hAnsi="Times New Roman" w:cs="Times New Roman"/>
          <w:sz w:val="28"/>
          <w:szCs w:val="28"/>
        </w:rPr>
        <w:t> </w:t>
      </w:r>
      <w:r w:rsidR="00C64FF1" w:rsidRPr="002542ED">
        <w:rPr>
          <w:rFonts w:ascii="Times New Roman" w:eastAsia="Calibri" w:hAnsi="Times New Roman" w:cs="Times New Roman"/>
          <w:sz w:val="28"/>
          <w:szCs w:val="28"/>
        </w:rPr>
        <w:t>procentpunktiem.</w:t>
      </w:r>
    </w:p>
    <w:p w14:paraId="2511C98F" w14:textId="77777777" w:rsidR="00501E4D" w:rsidRPr="002542ED" w:rsidRDefault="00501E4D" w:rsidP="004B5136">
      <w:pPr>
        <w:spacing w:before="0" w:after="0" w:line="240" w:lineRule="auto"/>
        <w:ind w:firstLine="720"/>
        <w:jc w:val="both"/>
        <w:rPr>
          <w:rFonts w:ascii="Times New Roman" w:eastAsia="Calibri" w:hAnsi="Times New Roman" w:cs="Times New Roman"/>
          <w:b/>
          <w:sz w:val="28"/>
          <w:szCs w:val="28"/>
        </w:rPr>
      </w:pPr>
    </w:p>
    <w:p w14:paraId="366E3E8E" w14:textId="77777777" w:rsidR="00A57E6F" w:rsidRPr="002542ED" w:rsidRDefault="00A57E6F" w:rsidP="005024B0">
      <w:pPr>
        <w:spacing w:before="0" w:after="0" w:line="240" w:lineRule="auto"/>
        <w:ind w:firstLine="426"/>
        <w:jc w:val="both"/>
        <w:rPr>
          <w:rFonts w:ascii="Times New Roman" w:eastAsia="Calibri" w:hAnsi="Times New Roman" w:cs="Times New Roman"/>
          <w:b/>
          <w:sz w:val="28"/>
          <w:szCs w:val="28"/>
        </w:rPr>
      </w:pPr>
      <w:r w:rsidRPr="002542ED">
        <w:rPr>
          <w:noProof/>
          <w:lang w:eastAsia="lv-LV"/>
        </w:rPr>
        <w:drawing>
          <wp:inline distT="0" distB="0" distL="0" distR="0" wp14:anchorId="6F5B6BCC" wp14:editId="21435F55">
            <wp:extent cx="5064981" cy="1963972"/>
            <wp:effectExtent l="0" t="0" r="2540" b="17780"/>
            <wp:docPr id="1" name="Chart 1">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E628BA1" w14:textId="77777777" w:rsidR="00A57E6F" w:rsidRPr="002542ED" w:rsidRDefault="006F1539" w:rsidP="005E08CF">
      <w:pPr>
        <w:spacing w:before="0"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10</w:t>
      </w:r>
      <w:r w:rsidR="00A57E6F" w:rsidRPr="004F397E">
        <w:rPr>
          <w:rFonts w:ascii="Times New Roman" w:eastAsia="Calibri" w:hAnsi="Times New Roman" w:cs="Times New Roman"/>
          <w:sz w:val="28"/>
          <w:szCs w:val="28"/>
        </w:rPr>
        <w:t>.attēls</w:t>
      </w:r>
      <w:r w:rsidR="00D320C1">
        <w:rPr>
          <w:rFonts w:ascii="Times New Roman" w:eastAsia="Calibri" w:hAnsi="Times New Roman" w:cs="Times New Roman"/>
          <w:sz w:val="28"/>
          <w:szCs w:val="28"/>
        </w:rPr>
        <w:t>.</w:t>
      </w:r>
      <w:r w:rsidR="00A57E6F" w:rsidRPr="002542ED">
        <w:rPr>
          <w:rFonts w:ascii="Times New Roman" w:eastAsia="Calibri" w:hAnsi="Times New Roman" w:cs="Times New Roman"/>
          <w:b/>
          <w:sz w:val="28"/>
          <w:szCs w:val="28"/>
        </w:rPr>
        <w:t xml:space="preserve"> Informācija par </w:t>
      </w:r>
      <w:r w:rsidR="003E12D1">
        <w:rPr>
          <w:rFonts w:ascii="Times New Roman" w:eastAsia="Calibri" w:hAnsi="Times New Roman" w:cs="Times New Roman"/>
          <w:b/>
          <w:sz w:val="28"/>
          <w:szCs w:val="28"/>
        </w:rPr>
        <w:t>“</w:t>
      </w:r>
      <w:r w:rsidR="00A57E6F" w:rsidRPr="002542ED">
        <w:rPr>
          <w:rFonts w:ascii="Times New Roman" w:eastAsia="Calibri" w:hAnsi="Times New Roman" w:cs="Times New Roman"/>
          <w:b/>
          <w:sz w:val="28"/>
          <w:szCs w:val="28"/>
        </w:rPr>
        <w:t>aplokšņu</w:t>
      </w:r>
      <w:r w:rsidR="003E12D1">
        <w:rPr>
          <w:rFonts w:ascii="Times New Roman" w:eastAsia="Calibri" w:hAnsi="Times New Roman" w:cs="Times New Roman"/>
          <w:b/>
          <w:sz w:val="28"/>
          <w:szCs w:val="28"/>
        </w:rPr>
        <w:t>”</w:t>
      </w:r>
      <w:r w:rsidR="00A57E6F" w:rsidRPr="002542ED">
        <w:rPr>
          <w:rFonts w:ascii="Times New Roman" w:eastAsia="Calibri" w:hAnsi="Times New Roman" w:cs="Times New Roman"/>
          <w:b/>
          <w:sz w:val="28"/>
          <w:szCs w:val="28"/>
        </w:rPr>
        <w:t xml:space="preserve"> algas dinamiku būvniecības nozarē</w:t>
      </w:r>
    </w:p>
    <w:p w14:paraId="6593623F" w14:textId="77777777" w:rsidR="006F1539" w:rsidRDefault="006F1539" w:rsidP="00C42FB1">
      <w:pPr>
        <w:spacing w:before="0" w:after="0" w:line="240" w:lineRule="auto"/>
        <w:ind w:firstLine="720"/>
        <w:jc w:val="both"/>
        <w:rPr>
          <w:rFonts w:ascii="Times New Roman" w:eastAsia="Calibri" w:hAnsi="Times New Roman" w:cs="Times New Roman"/>
          <w:sz w:val="28"/>
          <w:szCs w:val="28"/>
        </w:rPr>
      </w:pPr>
    </w:p>
    <w:p w14:paraId="622D0505" w14:textId="77777777" w:rsidR="00E82E32" w:rsidRPr="00360BCF" w:rsidRDefault="001D6A7E" w:rsidP="00373279">
      <w:pPr>
        <w:spacing w:before="0" w:after="0" w:line="240" w:lineRule="auto"/>
        <w:ind w:firstLine="720"/>
        <w:jc w:val="both"/>
        <w:rPr>
          <w:rFonts w:ascii="Times New Roman" w:eastAsia="Calibri" w:hAnsi="Times New Roman" w:cs="Times New Roman"/>
          <w:sz w:val="28"/>
          <w:szCs w:val="28"/>
        </w:rPr>
      </w:pPr>
      <w:r w:rsidRPr="00360BCF">
        <w:rPr>
          <w:rFonts w:ascii="Times New Roman" w:eastAsia="Calibri" w:hAnsi="Times New Roman" w:cs="Times New Roman"/>
          <w:sz w:val="28"/>
          <w:szCs w:val="28"/>
        </w:rPr>
        <w:t>Konstatēt</w:t>
      </w:r>
      <w:r w:rsidR="00AC75CC" w:rsidRPr="00360BCF">
        <w:rPr>
          <w:rFonts w:ascii="Times New Roman" w:eastAsia="Calibri" w:hAnsi="Times New Roman" w:cs="Times New Roman"/>
          <w:sz w:val="28"/>
          <w:szCs w:val="28"/>
        </w:rPr>
        <w:t>ā</w:t>
      </w:r>
      <w:r w:rsidRPr="00360BCF">
        <w:rPr>
          <w:rFonts w:ascii="Times New Roman" w:eastAsia="Calibri" w:hAnsi="Times New Roman" w:cs="Times New Roman"/>
          <w:sz w:val="28"/>
          <w:szCs w:val="28"/>
        </w:rPr>
        <w:t>s tendences skaidrojamas ar</w:t>
      </w:r>
      <w:r w:rsidR="00E82E32" w:rsidRPr="00360BCF">
        <w:rPr>
          <w:rFonts w:ascii="Times New Roman" w:eastAsia="Calibri" w:hAnsi="Times New Roman" w:cs="Times New Roman"/>
          <w:sz w:val="28"/>
          <w:szCs w:val="28"/>
        </w:rPr>
        <w:t xml:space="preserve"> vispārējā nodokļu maksāšanas režīmā strādājošo būvuzņēmēju darba ņēmēju atalgojuma palielinājumu, tai pat laikā ievērojams būvuzņēmēju skaits izvēlas darboties atvieglotā</w:t>
      </w:r>
      <w:r w:rsidR="00D320C1">
        <w:rPr>
          <w:rFonts w:ascii="Times New Roman" w:eastAsia="Calibri" w:hAnsi="Times New Roman" w:cs="Times New Roman"/>
          <w:sz w:val="28"/>
          <w:szCs w:val="28"/>
        </w:rPr>
        <w:t> –</w:t>
      </w:r>
      <w:r w:rsidR="00E82E32" w:rsidRPr="00360BCF">
        <w:rPr>
          <w:rFonts w:ascii="Times New Roman" w:eastAsia="Calibri" w:hAnsi="Times New Roman" w:cs="Times New Roman"/>
          <w:sz w:val="28"/>
          <w:szCs w:val="28"/>
        </w:rPr>
        <w:t xml:space="preserve"> </w:t>
      </w:r>
      <w:proofErr w:type="spellStart"/>
      <w:r w:rsidR="00E82E32" w:rsidRPr="00360BCF">
        <w:rPr>
          <w:rFonts w:ascii="Times New Roman" w:hAnsi="Times New Roman" w:cs="Times New Roman"/>
          <w:sz w:val="28"/>
          <w:szCs w:val="28"/>
        </w:rPr>
        <w:t>mikrouzņēmumu</w:t>
      </w:r>
      <w:proofErr w:type="spellEnd"/>
      <w:r w:rsidR="00E82E32" w:rsidRPr="00360BCF">
        <w:rPr>
          <w:rFonts w:ascii="Times New Roman" w:hAnsi="Times New Roman" w:cs="Times New Roman"/>
          <w:sz w:val="28"/>
          <w:szCs w:val="28"/>
        </w:rPr>
        <w:t xml:space="preserve"> nodokļa maksāšanas</w:t>
      </w:r>
      <w:r w:rsidR="00E069B7">
        <w:rPr>
          <w:rFonts w:ascii="Times New Roman" w:hAnsi="Times New Roman" w:cs="Times New Roman"/>
          <w:sz w:val="28"/>
          <w:szCs w:val="28"/>
        </w:rPr>
        <w:t> –</w:t>
      </w:r>
      <w:r w:rsidR="00E82E32" w:rsidRPr="00360BCF">
        <w:rPr>
          <w:rFonts w:ascii="Times New Roman" w:hAnsi="Times New Roman" w:cs="Times New Roman"/>
          <w:sz w:val="28"/>
          <w:szCs w:val="28"/>
        </w:rPr>
        <w:t xml:space="preserve"> režīmā</w:t>
      </w:r>
      <w:r w:rsidR="002916B7" w:rsidRPr="00360BCF">
        <w:rPr>
          <w:rFonts w:ascii="Times New Roman" w:hAnsi="Times New Roman" w:cs="Times New Roman"/>
          <w:sz w:val="28"/>
          <w:szCs w:val="28"/>
        </w:rPr>
        <w:t xml:space="preserve"> ar ierobežotu atalgojuma apmēru.</w:t>
      </w:r>
    </w:p>
    <w:p w14:paraId="74266D80" w14:textId="77777777" w:rsidR="00C42FB1" w:rsidRPr="002B5DA2" w:rsidRDefault="00C42FB1" w:rsidP="005A6E45">
      <w:pPr>
        <w:pStyle w:val="CommentText"/>
        <w:spacing w:before="0" w:after="0"/>
        <w:ind w:firstLine="720"/>
        <w:jc w:val="both"/>
        <w:rPr>
          <w:rFonts w:ascii="Times New Roman" w:eastAsia="Calibri" w:hAnsi="Times New Roman" w:cs="Times New Roman"/>
          <w:sz w:val="28"/>
          <w:szCs w:val="28"/>
        </w:rPr>
      </w:pPr>
      <w:r w:rsidRPr="00373279">
        <w:rPr>
          <w:rFonts w:ascii="Times New Roman" w:eastAsia="Calibri" w:hAnsi="Times New Roman" w:cs="Times New Roman"/>
          <w:sz w:val="28"/>
          <w:szCs w:val="28"/>
        </w:rPr>
        <w:t xml:space="preserve">Savukārt </w:t>
      </w:r>
      <w:proofErr w:type="spellStart"/>
      <w:r w:rsidRPr="00373279">
        <w:rPr>
          <w:rFonts w:ascii="Times New Roman" w:eastAsia="Calibri" w:hAnsi="Times New Roman" w:cs="Times New Roman"/>
          <w:sz w:val="28"/>
          <w:szCs w:val="28"/>
        </w:rPr>
        <w:t>mikrouzņēmumu</w:t>
      </w:r>
      <w:proofErr w:type="spellEnd"/>
      <w:r w:rsidRPr="00373279">
        <w:rPr>
          <w:rFonts w:ascii="Times New Roman" w:eastAsia="Calibri" w:hAnsi="Times New Roman" w:cs="Times New Roman"/>
          <w:sz w:val="28"/>
          <w:szCs w:val="28"/>
        </w:rPr>
        <w:t xml:space="preserve"> īpatsvara un to nedeklarētās darba samaksas samazinājum</w:t>
      </w:r>
      <w:r w:rsidR="00373279">
        <w:rPr>
          <w:rFonts w:ascii="Times New Roman" w:hAnsi="Times New Roman" w:cs="Times New Roman"/>
          <w:sz w:val="28"/>
          <w:szCs w:val="28"/>
        </w:rPr>
        <w:t xml:space="preserve">a </w:t>
      </w:r>
      <w:r w:rsidR="00373279">
        <w:rPr>
          <w:rFonts w:ascii="Times New Roman" w:eastAsia="Calibri" w:hAnsi="Times New Roman" w:cs="Times New Roman"/>
          <w:sz w:val="28"/>
          <w:szCs w:val="28"/>
        </w:rPr>
        <w:t>p</w:t>
      </w:r>
      <w:r w:rsidR="00373279" w:rsidRPr="005A6E45">
        <w:rPr>
          <w:rFonts w:ascii="Times New Roman" w:hAnsi="Times New Roman" w:cs="Times New Roman"/>
          <w:sz w:val="28"/>
          <w:szCs w:val="28"/>
        </w:rPr>
        <w:t>eriods</w:t>
      </w:r>
      <w:r w:rsidR="00373279">
        <w:rPr>
          <w:rFonts w:ascii="Times New Roman" w:hAnsi="Times New Roman" w:cs="Times New Roman"/>
          <w:sz w:val="28"/>
          <w:szCs w:val="28"/>
        </w:rPr>
        <w:t xml:space="preserve"> </w:t>
      </w:r>
      <w:r w:rsidR="00373279" w:rsidRPr="005A6E45">
        <w:rPr>
          <w:rFonts w:ascii="Times New Roman" w:hAnsi="Times New Roman" w:cs="Times New Roman"/>
          <w:sz w:val="28"/>
          <w:szCs w:val="28"/>
        </w:rPr>
        <w:t xml:space="preserve">pārklājas ar būvniecības nozares </w:t>
      </w:r>
      <w:proofErr w:type="spellStart"/>
      <w:r w:rsidR="00373279" w:rsidRPr="005A6E45">
        <w:rPr>
          <w:rFonts w:ascii="Times New Roman" w:hAnsi="Times New Roman" w:cs="Times New Roman"/>
          <w:sz w:val="28"/>
          <w:szCs w:val="28"/>
        </w:rPr>
        <w:t>ģenerālvienošanās</w:t>
      </w:r>
      <w:proofErr w:type="spellEnd"/>
      <w:r w:rsidR="00373279" w:rsidRPr="005A6E45">
        <w:rPr>
          <w:rFonts w:ascii="Times New Roman" w:hAnsi="Times New Roman" w:cs="Times New Roman"/>
          <w:sz w:val="28"/>
          <w:szCs w:val="28"/>
        </w:rPr>
        <w:t xml:space="preserve"> paredzēto p</w:t>
      </w:r>
      <w:r w:rsidR="00E069B7">
        <w:rPr>
          <w:rFonts w:ascii="Times New Roman" w:hAnsi="Times New Roman" w:cs="Times New Roman"/>
          <w:sz w:val="28"/>
          <w:szCs w:val="28"/>
        </w:rPr>
        <w:t>ārejas</w:t>
      </w:r>
      <w:r w:rsidR="00373279" w:rsidRPr="005A6E45">
        <w:rPr>
          <w:rFonts w:ascii="Times New Roman" w:hAnsi="Times New Roman" w:cs="Times New Roman"/>
          <w:sz w:val="28"/>
          <w:szCs w:val="28"/>
        </w:rPr>
        <w:t xml:space="preserve"> periodu (no 2019.gada novembra līdz 20</w:t>
      </w:r>
      <w:r w:rsidR="00373279">
        <w:rPr>
          <w:rFonts w:ascii="Times New Roman" w:hAnsi="Times New Roman" w:cs="Times New Roman"/>
          <w:sz w:val="28"/>
          <w:szCs w:val="28"/>
        </w:rPr>
        <w:t>20</w:t>
      </w:r>
      <w:r w:rsidR="00373279" w:rsidRPr="005A6E45">
        <w:rPr>
          <w:rFonts w:ascii="Times New Roman" w:hAnsi="Times New Roman" w:cs="Times New Roman"/>
          <w:sz w:val="28"/>
          <w:szCs w:val="28"/>
        </w:rPr>
        <w:t>.gada aprīlim), kurā nozares komersantiem jāpāriet uz minimālo atalgojumu 780</w:t>
      </w:r>
      <w:r w:rsidR="005275B2">
        <w:rPr>
          <w:rFonts w:ascii="Times New Roman" w:hAnsi="Times New Roman" w:cs="Times New Roman"/>
          <w:sz w:val="28"/>
          <w:szCs w:val="28"/>
        </w:rPr>
        <w:t> </w:t>
      </w:r>
      <w:proofErr w:type="spellStart"/>
      <w:r w:rsidR="00E069B7" w:rsidRPr="005E08CF">
        <w:rPr>
          <w:rFonts w:ascii="Times New Roman" w:hAnsi="Times New Roman" w:cs="Times New Roman"/>
          <w:i/>
          <w:iCs/>
          <w:sz w:val="28"/>
          <w:szCs w:val="28"/>
        </w:rPr>
        <w:t>euro</w:t>
      </w:r>
      <w:proofErr w:type="spellEnd"/>
      <w:r w:rsidR="00373279" w:rsidRPr="005A6E45">
        <w:rPr>
          <w:rFonts w:ascii="Times New Roman" w:hAnsi="Times New Roman" w:cs="Times New Roman"/>
          <w:sz w:val="28"/>
          <w:szCs w:val="28"/>
        </w:rPr>
        <w:t>, kas ir augstāk</w:t>
      </w:r>
      <w:r w:rsidR="00373279">
        <w:rPr>
          <w:rFonts w:ascii="Times New Roman" w:hAnsi="Times New Roman" w:cs="Times New Roman"/>
          <w:sz w:val="28"/>
          <w:szCs w:val="28"/>
        </w:rPr>
        <w:t>s</w:t>
      </w:r>
      <w:r w:rsidR="00373279" w:rsidRPr="005A6E45">
        <w:rPr>
          <w:rFonts w:ascii="Times New Roman" w:hAnsi="Times New Roman" w:cs="Times New Roman"/>
          <w:sz w:val="28"/>
          <w:szCs w:val="28"/>
        </w:rPr>
        <w:t xml:space="preserve"> atalgojums nekā </w:t>
      </w:r>
      <w:proofErr w:type="spellStart"/>
      <w:r w:rsidR="00373279" w:rsidRPr="00373279">
        <w:rPr>
          <w:rFonts w:ascii="Times New Roman" w:eastAsia="Calibri" w:hAnsi="Times New Roman" w:cs="Times New Roman"/>
          <w:sz w:val="28"/>
          <w:szCs w:val="28"/>
        </w:rPr>
        <w:t>mikrouzņēmumu</w:t>
      </w:r>
      <w:proofErr w:type="spellEnd"/>
      <w:r w:rsidR="00373279" w:rsidRPr="00360BCF">
        <w:rPr>
          <w:rFonts w:ascii="Times New Roman" w:eastAsia="Calibri" w:hAnsi="Times New Roman" w:cs="Times New Roman"/>
          <w:sz w:val="28"/>
          <w:szCs w:val="28"/>
        </w:rPr>
        <w:t xml:space="preserve"> nodokļ</w:t>
      </w:r>
      <w:r w:rsidR="00E069B7">
        <w:rPr>
          <w:rFonts w:ascii="Times New Roman" w:eastAsia="Calibri" w:hAnsi="Times New Roman" w:cs="Times New Roman"/>
          <w:sz w:val="28"/>
          <w:szCs w:val="28"/>
        </w:rPr>
        <w:t>a</w:t>
      </w:r>
      <w:r w:rsidR="00373279" w:rsidRPr="00360BCF">
        <w:rPr>
          <w:rFonts w:ascii="Times New Roman" w:eastAsia="Calibri" w:hAnsi="Times New Roman" w:cs="Times New Roman"/>
          <w:sz w:val="28"/>
          <w:szCs w:val="28"/>
        </w:rPr>
        <w:t xml:space="preserve"> maksātāju</w:t>
      </w:r>
      <w:r w:rsidR="00373279" w:rsidRPr="005A6E45">
        <w:rPr>
          <w:rFonts w:ascii="Times New Roman" w:hAnsi="Times New Roman" w:cs="Times New Roman"/>
          <w:sz w:val="28"/>
          <w:szCs w:val="28"/>
        </w:rPr>
        <w:t xml:space="preserve"> režīm</w:t>
      </w:r>
      <w:r w:rsidR="00373279">
        <w:rPr>
          <w:rFonts w:ascii="Times New Roman" w:hAnsi="Times New Roman" w:cs="Times New Roman"/>
          <w:sz w:val="28"/>
          <w:szCs w:val="28"/>
        </w:rPr>
        <w:t>ā</w:t>
      </w:r>
      <w:r w:rsidR="00373279" w:rsidRPr="005A6E45">
        <w:rPr>
          <w:rFonts w:ascii="Times New Roman" w:hAnsi="Times New Roman" w:cs="Times New Roman"/>
          <w:sz w:val="28"/>
          <w:szCs w:val="28"/>
        </w:rPr>
        <w:t xml:space="preserve"> paredzētais maksimālais atalgojums (720</w:t>
      </w:r>
      <w:r w:rsidR="00E069B7">
        <w:rPr>
          <w:rFonts w:ascii="Times New Roman" w:hAnsi="Times New Roman" w:cs="Times New Roman"/>
          <w:sz w:val="28"/>
          <w:szCs w:val="28"/>
        </w:rPr>
        <w:t> </w:t>
      </w:r>
      <w:proofErr w:type="spellStart"/>
      <w:r w:rsidR="00E069B7" w:rsidRPr="005E08CF">
        <w:rPr>
          <w:rFonts w:ascii="Times New Roman" w:hAnsi="Times New Roman" w:cs="Times New Roman"/>
          <w:i/>
          <w:iCs/>
          <w:sz w:val="28"/>
          <w:szCs w:val="28"/>
        </w:rPr>
        <w:t>euro</w:t>
      </w:r>
      <w:proofErr w:type="spellEnd"/>
      <w:r w:rsidR="00373279" w:rsidRPr="005A6E45">
        <w:rPr>
          <w:rFonts w:ascii="Times New Roman" w:hAnsi="Times New Roman" w:cs="Times New Roman"/>
          <w:sz w:val="28"/>
          <w:szCs w:val="28"/>
        </w:rPr>
        <w:t>)</w:t>
      </w:r>
      <w:r w:rsidR="00373279">
        <w:rPr>
          <w:rFonts w:ascii="Times New Roman" w:hAnsi="Times New Roman" w:cs="Times New Roman"/>
          <w:sz w:val="28"/>
          <w:szCs w:val="28"/>
        </w:rPr>
        <w:t xml:space="preserve"> </w:t>
      </w:r>
      <w:r w:rsidRPr="00360BCF">
        <w:rPr>
          <w:rFonts w:ascii="Times New Roman" w:eastAsia="Calibri" w:hAnsi="Times New Roman" w:cs="Times New Roman"/>
          <w:sz w:val="28"/>
          <w:szCs w:val="28"/>
        </w:rPr>
        <w:t xml:space="preserve">un kopsakarā ar EDLUS ieviešanas sliekšņa samazināšanu no 2020.gada 1.janvāra ir </w:t>
      </w:r>
      <w:r w:rsidRPr="002B5DA2">
        <w:rPr>
          <w:rFonts w:ascii="Times New Roman" w:eastAsia="Calibri" w:hAnsi="Times New Roman" w:cs="Times New Roman"/>
          <w:sz w:val="28"/>
          <w:szCs w:val="28"/>
        </w:rPr>
        <w:t>nopietns ierobežojošais mehānisms ienākumu nedeklarēšanai.</w:t>
      </w:r>
    </w:p>
    <w:p w14:paraId="0143BBCB" w14:textId="77777777" w:rsidR="005024B0" w:rsidRPr="002B5DA2" w:rsidRDefault="005024B0" w:rsidP="00AE06AF">
      <w:pPr>
        <w:spacing w:before="0" w:after="0" w:line="240" w:lineRule="auto"/>
        <w:ind w:firstLine="720"/>
        <w:jc w:val="center"/>
        <w:rPr>
          <w:rFonts w:ascii="Times New Roman" w:hAnsi="Times New Roman" w:cs="Times New Roman"/>
          <w:sz w:val="28"/>
          <w:szCs w:val="28"/>
        </w:rPr>
      </w:pPr>
    </w:p>
    <w:p w14:paraId="1E880AA1" w14:textId="77777777" w:rsidR="00C42FB1" w:rsidRPr="00B37387" w:rsidRDefault="00C14B3E" w:rsidP="005E08CF">
      <w:pPr>
        <w:spacing w:before="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8. </w:t>
      </w:r>
      <w:r w:rsidR="00C42FB1" w:rsidRPr="00B37387">
        <w:rPr>
          <w:rFonts w:ascii="Times New Roman" w:hAnsi="Times New Roman" w:cs="Times New Roman"/>
          <w:b/>
          <w:sz w:val="28"/>
          <w:szCs w:val="28"/>
        </w:rPr>
        <w:t>KOPSAVILKUMS</w:t>
      </w:r>
    </w:p>
    <w:p w14:paraId="640C7896" w14:textId="77777777" w:rsidR="00C42FB1" w:rsidRPr="002B5DA2" w:rsidRDefault="00C42FB1" w:rsidP="00E069B7">
      <w:pPr>
        <w:spacing w:before="0" w:after="0" w:line="240" w:lineRule="auto"/>
        <w:ind w:firstLine="720"/>
        <w:jc w:val="both"/>
        <w:rPr>
          <w:rFonts w:ascii="Times New Roman" w:hAnsi="Times New Roman" w:cs="Times New Roman"/>
          <w:sz w:val="28"/>
          <w:szCs w:val="28"/>
        </w:rPr>
      </w:pPr>
    </w:p>
    <w:p w14:paraId="4D7AFD60" w14:textId="77777777" w:rsidR="00C42FB1" w:rsidRPr="002B5DA2" w:rsidRDefault="00C42FB1" w:rsidP="00E069B7">
      <w:pPr>
        <w:spacing w:before="0" w:after="0" w:line="240" w:lineRule="auto"/>
        <w:ind w:firstLine="720"/>
        <w:jc w:val="both"/>
        <w:rPr>
          <w:rFonts w:ascii="Times New Roman" w:hAnsi="Times New Roman" w:cs="Times New Roman"/>
          <w:sz w:val="28"/>
          <w:szCs w:val="28"/>
        </w:rPr>
      </w:pPr>
      <w:r w:rsidRPr="002B5DA2">
        <w:rPr>
          <w:rFonts w:ascii="Times New Roman" w:eastAsia="Times New Roman" w:hAnsi="Times New Roman" w:cs="Times New Roman"/>
          <w:sz w:val="28"/>
          <w:szCs w:val="28"/>
          <w:lang w:eastAsia="lv-LV"/>
        </w:rPr>
        <w:t xml:space="preserve">EDLU būvniecībā ir ieviesta kā risinājums, </w:t>
      </w:r>
      <w:r w:rsidRPr="002B5DA2">
        <w:rPr>
          <w:rFonts w:ascii="Times New Roman" w:hAnsi="Times New Roman" w:cs="Times New Roman"/>
          <w:sz w:val="28"/>
          <w:szCs w:val="28"/>
        </w:rPr>
        <w:t>veicinot nodokļu nomaksu par nodarbinātajiem, novēršot nekorekt</w:t>
      </w:r>
      <w:r w:rsidR="00E069B7">
        <w:rPr>
          <w:rFonts w:ascii="Times New Roman" w:hAnsi="Times New Roman" w:cs="Times New Roman"/>
          <w:sz w:val="28"/>
          <w:szCs w:val="28"/>
        </w:rPr>
        <w:t>u</w:t>
      </w:r>
      <w:r w:rsidRPr="002B5DA2">
        <w:rPr>
          <w:rFonts w:ascii="Times New Roman" w:hAnsi="Times New Roman" w:cs="Times New Roman"/>
          <w:sz w:val="28"/>
          <w:szCs w:val="28"/>
        </w:rPr>
        <w:t xml:space="preserve"> darba laika uzskaiti</w:t>
      </w:r>
      <w:r w:rsidR="00E069B7">
        <w:rPr>
          <w:rFonts w:ascii="Times New Roman" w:hAnsi="Times New Roman" w:cs="Times New Roman"/>
          <w:sz w:val="28"/>
          <w:szCs w:val="28"/>
        </w:rPr>
        <w:t xml:space="preserve"> un</w:t>
      </w:r>
      <w:r w:rsidRPr="002B5DA2">
        <w:rPr>
          <w:rFonts w:ascii="Times New Roman" w:hAnsi="Times New Roman" w:cs="Times New Roman"/>
          <w:sz w:val="28"/>
          <w:szCs w:val="28"/>
        </w:rPr>
        <w:t xml:space="preserve"> tād</w:t>
      </w:r>
      <w:r w:rsidR="00E069B7">
        <w:rPr>
          <w:rFonts w:ascii="Times New Roman" w:hAnsi="Times New Roman" w:cs="Times New Roman"/>
          <w:sz w:val="28"/>
          <w:szCs w:val="28"/>
        </w:rPr>
        <w:t>ē</w:t>
      </w:r>
      <w:r w:rsidRPr="002B5DA2">
        <w:rPr>
          <w:rFonts w:ascii="Times New Roman" w:hAnsi="Times New Roman" w:cs="Times New Roman"/>
          <w:sz w:val="28"/>
          <w:szCs w:val="28"/>
        </w:rPr>
        <w:t xml:space="preserve">jādi uzlabojot sabiedrības labklājību un sociālo nodrošināšanu. </w:t>
      </w:r>
    </w:p>
    <w:p w14:paraId="02573D2C" w14:textId="77777777" w:rsidR="00C42FB1" w:rsidRPr="002B5DA2" w:rsidRDefault="00C42FB1" w:rsidP="00570BD0">
      <w:pPr>
        <w:spacing w:before="0" w:after="0" w:line="240" w:lineRule="auto"/>
        <w:ind w:firstLine="720"/>
        <w:jc w:val="both"/>
        <w:rPr>
          <w:rFonts w:ascii="Times New Roman" w:hAnsi="Times New Roman" w:cs="Times New Roman"/>
          <w:sz w:val="28"/>
          <w:szCs w:val="28"/>
        </w:rPr>
      </w:pPr>
      <w:r w:rsidRPr="002B5DA2">
        <w:rPr>
          <w:rFonts w:ascii="Times New Roman" w:hAnsi="Times New Roman" w:cs="Times New Roman"/>
          <w:iCs/>
          <w:sz w:val="28"/>
          <w:szCs w:val="28"/>
        </w:rPr>
        <w:t>EDLUS ieviešanas uzraudzības sākumposm</w:t>
      </w:r>
      <w:r w:rsidR="00010FF5" w:rsidRPr="002B5DA2">
        <w:rPr>
          <w:rFonts w:ascii="Times New Roman" w:hAnsi="Times New Roman" w:cs="Times New Roman"/>
          <w:iCs/>
          <w:sz w:val="28"/>
          <w:szCs w:val="28"/>
        </w:rPr>
        <w:t>ā</w:t>
      </w:r>
      <w:r w:rsidRPr="002B5DA2">
        <w:rPr>
          <w:rFonts w:ascii="Times New Roman" w:hAnsi="Times New Roman" w:cs="Times New Roman"/>
          <w:iCs/>
          <w:sz w:val="28"/>
          <w:szCs w:val="28"/>
        </w:rPr>
        <w:t xml:space="preserve"> kontroles pasākumiem bija </w:t>
      </w:r>
      <w:r w:rsidRPr="002B5DA2">
        <w:rPr>
          <w:rFonts w:ascii="Times New Roman" w:hAnsi="Times New Roman" w:cs="Times New Roman"/>
          <w:sz w:val="28"/>
          <w:szCs w:val="28"/>
        </w:rPr>
        <w:t xml:space="preserve">konsultatīvs raksturs, skaidrojot nodokļu maksātājiem EDLU ieviešanas reglamentējošās normas, nosakot termiņus konstatēto neatbilstību novēršanai un iegūto informāciju neizmantojot nodokļu papildu aprēķināšanai. </w:t>
      </w:r>
    </w:p>
    <w:p w14:paraId="67D266AC" w14:textId="050209B4" w:rsidR="004F0945" w:rsidRPr="00570BD0" w:rsidRDefault="006F6AD8" w:rsidP="00570BD0">
      <w:pPr>
        <w:spacing w:before="0" w:after="0" w:line="240" w:lineRule="auto"/>
        <w:ind w:firstLine="720"/>
        <w:jc w:val="both"/>
      </w:pPr>
      <w:r w:rsidRPr="002B5DA2">
        <w:rPr>
          <w:rFonts w:ascii="Times New Roman" w:hAnsi="Times New Roman" w:cs="Times New Roman"/>
          <w:sz w:val="28"/>
          <w:szCs w:val="28"/>
        </w:rPr>
        <w:t>VID ieskatā, problēmas saistībā ar EDLUS risinājumiem, kas nespēj nodrošināt normatīvo aktu prasību izpildi, būvuzņēmēji kopumā atrisināja</w:t>
      </w:r>
      <w:r>
        <w:rPr>
          <w:rFonts w:ascii="Times New Roman" w:hAnsi="Times New Roman" w:cs="Times New Roman"/>
          <w:sz w:val="28"/>
          <w:szCs w:val="28"/>
        </w:rPr>
        <w:t>,</w:t>
      </w:r>
      <w:r w:rsidRPr="002B5DA2">
        <w:rPr>
          <w:rFonts w:ascii="Times New Roman" w:hAnsi="Times New Roman" w:cs="Times New Roman"/>
          <w:sz w:val="28"/>
          <w:szCs w:val="28"/>
        </w:rPr>
        <w:t xml:space="preserve"> izvēloties EDLUS</w:t>
      </w:r>
      <w:r>
        <w:rPr>
          <w:rFonts w:ascii="Times New Roman" w:hAnsi="Times New Roman" w:cs="Times New Roman"/>
          <w:sz w:val="28"/>
          <w:szCs w:val="28"/>
        </w:rPr>
        <w:t xml:space="preserve"> no izstrādātājiem, kas nodrošina to atbilstību normatīvajam regulējumam.</w:t>
      </w:r>
      <w:r>
        <w:t xml:space="preserve"> </w:t>
      </w:r>
      <w:r w:rsidR="00E069B7">
        <w:rPr>
          <w:rFonts w:ascii="Times New Roman" w:hAnsi="Times New Roman" w:cs="Times New Roman"/>
          <w:sz w:val="28"/>
          <w:szCs w:val="28"/>
        </w:rPr>
        <w:t>S</w:t>
      </w:r>
      <w:r w:rsidR="00C42FB1" w:rsidRPr="002B5DA2">
        <w:rPr>
          <w:rFonts w:ascii="Times New Roman" w:hAnsi="Times New Roman" w:cs="Times New Roman"/>
          <w:sz w:val="28"/>
          <w:szCs w:val="28"/>
        </w:rPr>
        <w:t>avukārt datu ticamības problēmu novēršanai tika izstrādāt</w:t>
      </w:r>
      <w:r w:rsidR="00146658">
        <w:rPr>
          <w:rFonts w:ascii="Times New Roman" w:hAnsi="Times New Roman" w:cs="Times New Roman"/>
          <w:sz w:val="28"/>
          <w:szCs w:val="28"/>
        </w:rPr>
        <w:t>s</w:t>
      </w:r>
      <w:r w:rsidR="00C42FB1" w:rsidRPr="002B5DA2">
        <w:rPr>
          <w:rFonts w:ascii="Times New Roman" w:hAnsi="Times New Roman" w:cs="Times New Roman"/>
          <w:sz w:val="28"/>
          <w:szCs w:val="28"/>
        </w:rPr>
        <w:t xml:space="preserve"> normatīv</w:t>
      </w:r>
      <w:r w:rsidR="006F5350">
        <w:rPr>
          <w:rFonts w:ascii="Times New Roman" w:hAnsi="Times New Roman" w:cs="Times New Roman"/>
          <w:sz w:val="28"/>
          <w:szCs w:val="28"/>
        </w:rPr>
        <w:t>ai</w:t>
      </w:r>
      <w:r w:rsidR="00146658">
        <w:rPr>
          <w:rFonts w:ascii="Times New Roman" w:hAnsi="Times New Roman" w:cs="Times New Roman"/>
          <w:sz w:val="28"/>
          <w:szCs w:val="28"/>
        </w:rPr>
        <w:t>s</w:t>
      </w:r>
      <w:r w:rsidR="00C42FB1" w:rsidRPr="002B5DA2">
        <w:rPr>
          <w:rFonts w:ascii="Times New Roman" w:hAnsi="Times New Roman" w:cs="Times New Roman"/>
          <w:sz w:val="28"/>
          <w:szCs w:val="28"/>
        </w:rPr>
        <w:t xml:space="preserve"> regulējum</w:t>
      </w:r>
      <w:r w:rsidR="006F5350">
        <w:rPr>
          <w:rFonts w:ascii="Times New Roman" w:hAnsi="Times New Roman" w:cs="Times New Roman"/>
          <w:sz w:val="28"/>
          <w:szCs w:val="28"/>
        </w:rPr>
        <w:t>s</w:t>
      </w:r>
      <w:r w:rsidR="00C42FB1" w:rsidRPr="002B5DA2">
        <w:rPr>
          <w:rFonts w:ascii="Times New Roman" w:hAnsi="Times New Roman" w:cs="Times New Roman"/>
          <w:sz w:val="28"/>
          <w:szCs w:val="28"/>
        </w:rPr>
        <w:t xml:space="preserve">, nosakot EDLUS datu reģistrēšanas, nodošanas VEDLUDB un glabāšanas nosacījumus un to drošības prasības. </w:t>
      </w:r>
    </w:p>
    <w:p w14:paraId="0DB9BC57" w14:textId="77777777" w:rsidR="00C42FB1" w:rsidRPr="002B5DA2" w:rsidRDefault="00C42FB1" w:rsidP="00570BD0">
      <w:pPr>
        <w:spacing w:before="0" w:after="0" w:line="240" w:lineRule="auto"/>
        <w:ind w:firstLine="720"/>
        <w:jc w:val="both"/>
        <w:rPr>
          <w:rFonts w:ascii="Times New Roman" w:hAnsi="Times New Roman" w:cs="Times New Roman"/>
          <w:sz w:val="28"/>
          <w:szCs w:val="28"/>
        </w:rPr>
      </w:pPr>
      <w:r w:rsidRPr="002B5DA2">
        <w:rPr>
          <w:rFonts w:ascii="Times New Roman" w:hAnsi="Times New Roman" w:cs="Times New Roman"/>
          <w:sz w:val="28"/>
          <w:szCs w:val="28"/>
        </w:rPr>
        <w:t>Par EDLUS ieviešanas veiksmīgu norisi liecina kontroles pasākumos konstatēto pārkāpumu skaita samazināšanās, īpaši</w:t>
      </w:r>
      <w:r w:rsidR="006561E2" w:rsidRPr="002B5DA2">
        <w:rPr>
          <w:rFonts w:ascii="Times New Roman" w:hAnsi="Times New Roman" w:cs="Times New Roman"/>
          <w:sz w:val="28"/>
          <w:szCs w:val="28"/>
        </w:rPr>
        <w:t xml:space="preserve"> </w:t>
      </w:r>
      <w:r w:rsidRPr="002B5DA2">
        <w:rPr>
          <w:rFonts w:ascii="Times New Roman" w:hAnsi="Times New Roman" w:cs="Times New Roman"/>
          <w:sz w:val="28"/>
          <w:szCs w:val="28"/>
        </w:rPr>
        <w:t>attiec</w:t>
      </w:r>
      <w:r w:rsidR="006561E2" w:rsidRPr="002B5DA2">
        <w:rPr>
          <w:rFonts w:ascii="Times New Roman" w:hAnsi="Times New Roman" w:cs="Times New Roman"/>
          <w:sz w:val="28"/>
          <w:szCs w:val="28"/>
        </w:rPr>
        <w:t>ībā</w:t>
      </w:r>
      <w:r w:rsidRPr="002B5DA2">
        <w:rPr>
          <w:rFonts w:ascii="Times New Roman" w:hAnsi="Times New Roman" w:cs="Times New Roman"/>
          <w:sz w:val="28"/>
          <w:szCs w:val="28"/>
        </w:rPr>
        <w:t xml:space="preserve"> uz izmantojamo EDLUS risinājumu un elektroniskās informācijas uzskaiti</w:t>
      </w:r>
      <w:r w:rsidR="006561E2" w:rsidRPr="002B5DA2">
        <w:rPr>
          <w:rFonts w:ascii="Times New Roman" w:hAnsi="Times New Roman" w:cs="Times New Roman"/>
          <w:sz w:val="28"/>
          <w:szCs w:val="28"/>
        </w:rPr>
        <w:t xml:space="preserve"> un </w:t>
      </w:r>
      <w:r w:rsidRPr="002B5DA2">
        <w:rPr>
          <w:rFonts w:ascii="Times New Roman" w:hAnsi="Times New Roman" w:cs="Times New Roman"/>
          <w:sz w:val="28"/>
          <w:szCs w:val="28"/>
        </w:rPr>
        <w:t>būvuzņēmēju praktisko iemaņu apguvi EDLUS lietošanā.</w:t>
      </w:r>
    </w:p>
    <w:p w14:paraId="297B16A5" w14:textId="76136E2C" w:rsidR="00C42FB1" w:rsidRPr="002B5DA2" w:rsidRDefault="006561E2">
      <w:pPr>
        <w:spacing w:before="0" w:after="0" w:line="240" w:lineRule="auto"/>
        <w:ind w:firstLine="720"/>
        <w:jc w:val="both"/>
        <w:rPr>
          <w:rFonts w:ascii="Times New Roman" w:hAnsi="Times New Roman" w:cs="Times New Roman"/>
          <w:strike/>
          <w:sz w:val="28"/>
          <w:szCs w:val="28"/>
        </w:rPr>
      </w:pPr>
      <w:r w:rsidRPr="002B5DA2">
        <w:rPr>
          <w:rFonts w:ascii="Times New Roman" w:hAnsi="Times New Roman" w:cs="Times New Roman"/>
          <w:sz w:val="28"/>
          <w:szCs w:val="28"/>
        </w:rPr>
        <w:t xml:space="preserve">Pārbaudēs konstatētie pārkāpumi </w:t>
      </w:r>
      <w:r w:rsidR="006F5979">
        <w:rPr>
          <w:rFonts w:ascii="Times New Roman" w:hAnsi="Times New Roman" w:cs="Times New Roman"/>
          <w:sz w:val="28"/>
          <w:szCs w:val="28"/>
        </w:rPr>
        <w:t xml:space="preserve">saistībā </w:t>
      </w:r>
      <w:r w:rsidR="006F5979" w:rsidRPr="002B5DA2">
        <w:rPr>
          <w:rFonts w:ascii="Times New Roman" w:hAnsi="Times New Roman" w:cs="Times New Roman"/>
          <w:sz w:val="28"/>
          <w:szCs w:val="28"/>
        </w:rPr>
        <w:t xml:space="preserve">ar </w:t>
      </w:r>
      <w:r w:rsidRPr="002B5DA2">
        <w:rPr>
          <w:rFonts w:ascii="Times New Roman" w:hAnsi="Times New Roman" w:cs="Times New Roman"/>
          <w:sz w:val="28"/>
          <w:szCs w:val="28"/>
        </w:rPr>
        <w:t>būvuzņēmēju pienākum</w:t>
      </w:r>
      <w:r w:rsidR="006F5979">
        <w:rPr>
          <w:rFonts w:ascii="Times New Roman" w:hAnsi="Times New Roman" w:cs="Times New Roman"/>
          <w:sz w:val="28"/>
          <w:szCs w:val="28"/>
        </w:rPr>
        <w:t>a</w:t>
      </w:r>
      <w:r w:rsidRPr="002B5DA2">
        <w:rPr>
          <w:rFonts w:ascii="Times New Roman" w:hAnsi="Times New Roman" w:cs="Times New Roman"/>
          <w:sz w:val="28"/>
          <w:szCs w:val="28"/>
        </w:rPr>
        <w:t xml:space="preserve"> </w:t>
      </w:r>
      <w:r w:rsidR="006F5979">
        <w:rPr>
          <w:rFonts w:ascii="Times New Roman" w:hAnsi="Times New Roman" w:cs="Times New Roman"/>
          <w:sz w:val="28"/>
          <w:szCs w:val="28"/>
        </w:rPr>
        <w:t xml:space="preserve">– </w:t>
      </w:r>
      <w:r w:rsidR="0045119E" w:rsidRPr="002B5DA2">
        <w:rPr>
          <w:rFonts w:ascii="Times New Roman" w:hAnsi="Times New Roman" w:cs="Times New Roman"/>
          <w:sz w:val="28"/>
          <w:szCs w:val="28"/>
        </w:rPr>
        <w:t xml:space="preserve">nodrošināt darba ņēmēju </w:t>
      </w:r>
      <w:r w:rsidRPr="002B5DA2">
        <w:rPr>
          <w:rFonts w:ascii="Times New Roman" w:hAnsi="Times New Roman" w:cs="Times New Roman"/>
          <w:sz w:val="28"/>
          <w:szCs w:val="28"/>
        </w:rPr>
        <w:t>darba laik</w:t>
      </w:r>
      <w:r w:rsidR="008A2B0A" w:rsidRPr="002B5DA2">
        <w:rPr>
          <w:rFonts w:ascii="Times New Roman" w:hAnsi="Times New Roman" w:cs="Times New Roman"/>
          <w:sz w:val="28"/>
          <w:szCs w:val="28"/>
        </w:rPr>
        <w:t>a reģistrāciju</w:t>
      </w:r>
      <w:r w:rsidRPr="002B5DA2">
        <w:rPr>
          <w:rFonts w:ascii="Times New Roman" w:hAnsi="Times New Roman" w:cs="Times New Roman"/>
          <w:sz w:val="28"/>
          <w:szCs w:val="28"/>
        </w:rPr>
        <w:t xml:space="preserve"> EDLUS</w:t>
      </w:r>
      <w:r w:rsidR="00E069B7">
        <w:rPr>
          <w:rFonts w:ascii="Times New Roman" w:hAnsi="Times New Roman" w:cs="Times New Roman"/>
          <w:sz w:val="28"/>
          <w:szCs w:val="28"/>
        </w:rPr>
        <w:t> –</w:t>
      </w:r>
      <w:r w:rsidR="006F5979" w:rsidRPr="006F5979">
        <w:rPr>
          <w:rFonts w:ascii="Times New Roman" w:hAnsi="Times New Roman" w:cs="Times New Roman"/>
          <w:sz w:val="28"/>
          <w:szCs w:val="28"/>
        </w:rPr>
        <w:t xml:space="preserve"> </w:t>
      </w:r>
      <w:r w:rsidR="006F5979" w:rsidRPr="002B5DA2">
        <w:rPr>
          <w:rFonts w:ascii="Times New Roman" w:hAnsi="Times New Roman" w:cs="Times New Roman"/>
          <w:sz w:val="28"/>
          <w:szCs w:val="28"/>
        </w:rPr>
        <w:t>nepildīšanu</w:t>
      </w:r>
      <w:r w:rsidRPr="002B5DA2">
        <w:rPr>
          <w:rFonts w:ascii="Times New Roman" w:hAnsi="Times New Roman" w:cs="Times New Roman"/>
          <w:sz w:val="28"/>
          <w:szCs w:val="28"/>
        </w:rPr>
        <w:t xml:space="preserve"> liecina </w:t>
      </w:r>
      <w:r w:rsidR="00C42FB1" w:rsidRPr="002B5DA2">
        <w:rPr>
          <w:rFonts w:ascii="Times New Roman" w:hAnsi="Times New Roman" w:cs="Times New Roman"/>
          <w:sz w:val="28"/>
          <w:szCs w:val="28"/>
        </w:rPr>
        <w:t>par reģistrēšan</w:t>
      </w:r>
      <w:r w:rsidR="008A2B0A" w:rsidRPr="002B5DA2">
        <w:rPr>
          <w:rFonts w:ascii="Times New Roman" w:hAnsi="Times New Roman" w:cs="Times New Roman"/>
          <w:sz w:val="28"/>
          <w:szCs w:val="28"/>
        </w:rPr>
        <w:t>ā</w:t>
      </w:r>
      <w:r w:rsidR="00C42FB1" w:rsidRPr="002B5DA2">
        <w:rPr>
          <w:rFonts w:ascii="Times New Roman" w:hAnsi="Times New Roman" w:cs="Times New Roman"/>
          <w:sz w:val="28"/>
          <w:szCs w:val="28"/>
        </w:rPr>
        <w:t xml:space="preserve">s disciplīnas neievērošanu nodarbināto vidū. </w:t>
      </w:r>
      <w:r w:rsidR="006F5350">
        <w:rPr>
          <w:rFonts w:ascii="Times New Roman" w:hAnsi="Times New Roman" w:cs="Times New Roman"/>
          <w:sz w:val="28"/>
          <w:szCs w:val="28"/>
        </w:rPr>
        <w:t>A</w:t>
      </w:r>
      <w:r w:rsidR="00ED60AB">
        <w:rPr>
          <w:rFonts w:ascii="Times New Roman" w:hAnsi="Times New Roman" w:cs="Times New Roman"/>
          <w:sz w:val="28"/>
          <w:szCs w:val="28"/>
        </w:rPr>
        <w:t>dministratīv</w:t>
      </w:r>
      <w:r w:rsidR="006F5350">
        <w:rPr>
          <w:rFonts w:ascii="Times New Roman" w:hAnsi="Times New Roman" w:cs="Times New Roman"/>
          <w:sz w:val="28"/>
          <w:szCs w:val="28"/>
        </w:rPr>
        <w:t>ās</w:t>
      </w:r>
      <w:r w:rsidR="00ED60AB">
        <w:rPr>
          <w:rFonts w:ascii="Times New Roman" w:hAnsi="Times New Roman" w:cs="Times New Roman"/>
          <w:sz w:val="28"/>
          <w:szCs w:val="28"/>
        </w:rPr>
        <w:t xml:space="preserve"> atbildīb</w:t>
      </w:r>
      <w:r w:rsidR="006F5350">
        <w:rPr>
          <w:rFonts w:ascii="Times New Roman" w:hAnsi="Times New Roman" w:cs="Times New Roman"/>
          <w:sz w:val="28"/>
          <w:szCs w:val="28"/>
        </w:rPr>
        <w:t>as par</w:t>
      </w:r>
      <w:r w:rsidR="00345FDB" w:rsidRPr="0022274B">
        <w:rPr>
          <w:rFonts w:ascii="Times New Roman" w:hAnsi="Times New Roman" w:cs="Times New Roman"/>
          <w:sz w:val="28"/>
          <w:szCs w:val="28"/>
        </w:rPr>
        <w:t xml:space="preserve"> EDLU regulējuma neievērošan</w:t>
      </w:r>
      <w:r w:rsidR="006F5350">
        <w:rPr>
          <w:rFonts w:ascii="Times New Roman" w:hAnsi="Times New Roman" w:cs="Times New Roman"/>
          <w:sz w:val="28"/>
          <w:szCs w:val="28"/>
        </w:rPr>
        <w:t>u noteikšan</w:t>
      </w:r>
      <w:r w:rsidR="00CE6E18">
        <w:rPr>
          <w:rFonts w:ascii="Times New Roman" w:hAnsi="Times New Roman" w:cs="Times New Roman"/>
          <w:sz w:val="28"/>
          <w:szCs w:val="28"/>
        </w:rPr>
        <w:t>a</w:t>
      </w:r>
      <w:r w:rsidR="00345FDB" w:rsidRPr="0022274B">
        <w:rPr>
          <w:rFonts w:ascii="Times New Roman" w:hAnsi="Times New Roman" w:cs="Times New Roman"/>
          <w:sz w:val="28"/>
          <w:szCs w:val="28"/>
        </w:rPr>
        <w:t xml:space="preserve">, kas </w:t>
      </w:r>
      <w:r w:rsidR="00C42FB1" w:rsidRPr="0022274B">
        <w:rPr>
          <w:rFonts w:ascii="Times New Roman" w:hAnsi="Times New Roman" w:cs="Times New Roman"/>
          <w:sz w:val="28"/>
          <w:szCs w:val="28"/>
        </w:rPr>
        <w:t>stā</w:t>
      </w:r>
      <w:r w:rsidR="00345FDB" w:rsidRPr="0022274B">
        <w:rPr>
          <w:rFonts w:ascii="Times New Roman" w:hAnsi="Times New Roman" w:cs="Times New Roman"/>
          <w:sz w:val="28"/>
          <w:szCs w:val="28"/>
        </w:rPr>
        <w:t>sies</w:t>
      </w:r>
      <w:r w:rsidR="00C42FB1" w:rsidRPr="0022274B">
        <w:rPr>
          <w:rFonts w:ascii="Times New Roman" w:hAnsi="Times New Roman" w:cs="Times New Roman"/>
          <w:sz w:val="28"/>
          <w:szCs w:val="28"/>
        </w:rPr>
        <w:t xml:space="preserve"> spēkā 2020.gada 1.jūlij</w:t>
      </w:r>
      <w:r w:rsidR="00E069B7">
        <w:rPr>
          <w:rFonts w:ascii="Times New Roman" w:hAnsi="Times New Roman" w:cs="Times New Roman"/>
          <w:sz w:val="28"/>
          <w:szCs w:val="28"/>
        </w:rPr>
        <w:t>ā</w:t>
      </w:r>
      <w:r w:rsidR="008A2B0A" w:rsidRPr="0022274B">
        <w:rPr>
          <w:rFonts w:ascii="Times New Roman" w:hAnsi="Times New Roman" w:cs="Times New Roman"/>
          <w:sz w:val="28"/>
          <w:szCs w:val="28"/>
        </w:rPr>
        <w:t>,</w:t>
      </w:r>
      <w:r w:rsidR="00C42FB1" w:rsidRPr="0022274B">
        <w:rPr>
          <w:rFonts w:ascii="Times New Roman" w:hAnsi="Times New Roman" w:cs="Times New Roman"/>
          <w:sz w:val="28"/>
          <w:szCs w:val="28"/>
        </w:rPr>
        <w:t xml:space="preserve"> </w:t>
      </w:r>
      <w:r w:rsidR="008A04C9" w:rsidRPr="0022274B">
        <w:rPr>
          <w:rFonts w:ascii="Times New Roman" w:hAnsi="Times New Roman" w:cs="Times New Roman"/>
          <w:sz w:val="28"/>
          <w:szCs w:val="28"/>
        </w:rPr>
        <w:t>veicinās būvuzņēmējus nodrošināt kontroli</w:t>
      </w:r>
      <w:r w:rsidR="00E069B7">
        <w:rPr>
          <w:rFonts w:ascii="Times New Roman" w:hAnsi="Times New Roman" w:cs="Times New Roman"/>
          <w:sz w:val="28"/>
          <w:szCs w:val="28"/>
        </w:rPr>
        <w:t xml:space="preserve"> un</w:t>
      </w:r>
      <w:r w:rsidR="008A04C9" w:rsidRPr="0022274B">
        <w:rPr>
          <w:rFonts w:ascii="Times New Roman" w:hAnsi="Times New Roman" w:cs="Times New Roman"/>
          <w:sz w:val="28"/>
          <w:szCs w:val="28"/>
        </w:rPr>
        <w:t xml:space="preserve"> </w:t>
      </w:r>
      <w:r w:rsidR="0022274B">
        <w:rPr>
          <w:rFonts w:ascii="Times New Roman" w:hAnsi="Times New Roman" w:cs="Times New Roman"/>
          <w:sz w:val="28"/>
          <w:szCs w:val="28"/>
        </w:rPr>
        <w:t>paaugstinās</w:t>
      </w:r>
      <w:r w:rsidR="0022274B" w:rsidRPr="0022274B">
        <w:rPr>
          <w:rFonts w:ascii="Times New Roman" w:hAnsi="Times New Roman" w:cs="Times New Roman"/>
          <w:sz w:val="28"/>
          <w:szCs w:val="28"/>
        </w:rPr>
        <w:t xml:space="preserve"> </w:t>
      </w:r>
      <w:r w:rsidR="00C42FB1" w:rsidRPr="0022274B">
        <w:rPr>
          <w:rFonts w:ascii="Times New Roman" w:hAnsi="Times New Roman" w:cs="Times New Roman"/>
          <w:sz w:val="28"/>
          <w:szCs w:val="28"/>
        </w:rPr>
        <w:t>būvdarbu veicēju atbildību, vienlai</w:t>
      </w:r>
      <w:r w:rsidR="00E069B7">
        <w:rPr>
          <w:rFonts w:ascii="Times New Roman" w:hAnsi="Times New Roman" w:cs="Times New Roman"/>
          <w:sz w:val="28"/>
          <w:szCs w:val="28"/>
        </w:rPr>
        <w:t>kus</w:t>
      </w:r>
      <w:r w:rsidR="00C42FB1" w:rsidRPr="0022274B">
        <w:rPr>
          <w:rFonts w:ascii="Times New Roman" w:hAnsi="Times New Roman" w:cs="Times New Roman"/>
          <w:sz w:val="28"/>
          <w:szCs w:val="28"/>
        </w:rPr>
        <w:t xml:space="preserve"> nostiprinot EDLUS izmantošanas paradumus.</w:t>
      </w:r>
      <w:r w:rsidR="00C42FB1" w:rsidRPr="002B5DA2">
        <w:rPr>
          <w:rFonts w:ascii="Times New Roman" w:hAnsi="Times New Roman" w:cs="Times New Roman"/>
          <w:sz w:val="28"/>
          <w:szCs w:val="28"/>
        </w:rPr>
        <w:t xml:space="preserve"> </w:t>
      </w:r>
    </w:p>
    <w:p w14:paraId="722084E4" w14:textId="77777777" w:rsidR="00284AFF" w:rsidRDefault="007207C2">
      <w:pPr>
        <w:autoSpaceDE w:val="0"/>
        <w:autoSpaceDN w:val="0"/>
        <w:adjustRightInd w:val="0"/>
        <w:spacing w:before="0" w:after="0" w:line="240" w:lineRule="auto"/>
        <w:ind w:firstLine="720"/>
        <w:jc w:val="both"/>
        <w:rPr>
          <w:rFonts w:ascii="Times New Roman" w:eastAsia="Calibri" w:hAnsi="Times New Roman" w:cs="Times New Roman"/>
          <w:sz w:val="28"/>
          <w:szCs w:val="28"/>
        </w:rPr>
      </w:pPr>
      <w:r w:rsidRPr="002B5DA2">
        <w:rPr>
          <w:rFonts w:ascii="Times New Roman" w:eastAsia="Calibri" w:hAnsi="Times New Roman" w:cs="Times New Roman"/>
          <w:sz w:val="28"/>
          <w:szCs w:val="28"/>
        </w:rPr>
        <w:t>VDI ieskatā</w:t>
      </w:r>
      <w:r w:rsidR="00D2134C">
        <w:rPr>
          <w:rFonts w:ascii="Times New Roman" w:eastAsia="Calibri" w:hAnsi="Times New Roman" w:cs="Times New Roman"/>
          <w:sz w:val="28"/>
          <w:szCs w:val="28"/>
        </w:rPr>
        <w:t>,</w:t>
      </w:r>
      <w:r w:rsidRPr="002B5DA2">
        <w:rPr>
          <w:rFonts w:ascii="Times New Roman" w:eastAsia="Calibri" w:hAnsi="Times New Roman" w:cs="Times New Roman"/>
          <w:sz w:val="28"/>
          <w:szCs w:val="28"/>
        </w:rPr>
        <w:t xml:space="preserve"> EDLUS ieviešana vērtējama pozitīvi, jo ļauj samazināt nelegālās nodarbinātības riskus būvniecības nozarē. Vienlaikus EDLUS ir instruments kontroles īstenošanai un operatīvas informācijas iegūšanai.</w:t>
      </w:r>
    </w:p>
    <w:p w14:paraId="64970D92" w14:textId="77777777" w:rsidR="007207C2" w:rsidRPr="002B5DA2" w:rsidRDefault="007207C2">
      <w:pPr>
        <w:autoSpaceDE w:val="0"/>
        <w:autoSpaceDN w:val="0"/>
        <w:adjustRightInd w:val="0"/>
        <w:spacing w:before="0" w:after="0" w:line="240" w:lineRule="auto"/>
        <w:ind w:firstLine="720"/>
        <w:jc w:val="both"/>
        <w:rPr>
          <w:rFonts w:ascii="Times New Roman" w:eastAsia="Calibri" w:hAnsi="Times New Roman" w:cs="Times New Roman"/>
          <w:sz w:val="28"/>
          <w:szCs w:val="28"/>
        </w:rPr>
      </w:pPr>
      <w:r w:rsidRPr="002B5DA2">
        <w:rPr>
          <w:rFonts w:ascii="Times New Roman" w:eastAsia="Calibri" w:hAnsi="Times New Roman" w:cs="Times New Roman"/>
          <w:sz w:val="28"/>
          <w:szCs w:val="28"/>
        </w:rPr>
        <w:t xml:space="preserve"> </w:t>
      </w:r>
    </w:p>
    <w:p w14:paraId="11F085DD" w14:textId="77777777" w:rsidR="00C42FB1" w:rsidRPr="002B5DA2" w:rsidRDefault="00C42FB1">
      <w:pPr>
        <w:spacing w:before="0" w:after="0" w:line="240" w:lineRule="auto"/>
        <w:ind w:firstLine="720"/>
        <w:jc w:val="both"/>
        <w:rPr>
          <w:rFonts w:ascii="Times New Roman" w:hAnsi="Times New Roman" w:cs="Times New Roman"/>
          <w:sz w:val="28"/>
          <w:szCs w:val="28"/>
        </w:rPr>
      </w:pPr>
      <w:r w:rsidRPr="002B5DA2">
        <w:rPr>
          <w:rFonts w:ascii="Times New Roman" w:hAnsi="Times New Roman" w:cs="Times New Roman"/>
          <w:sz w:val="28"/>
          <w:szCs w:val="28"/>
        </w:rPr>
        <w:t>Novērtējot EDLUS ieviešanas ietekmi uz būvniecības nozares attīstības r</w:t>
      </w:r>
      <w:r w:rsidR="00D2134C">
        <w:rPr>
          <w:rFonts w:ascii="Times New Roman" w:hAnsi="Times New Roman" w:cs="Times New Roman"/>
          <w:sz w:val="28"/>
          <w:szCs w:val="28"/>
        </w:rPr>
        <w:t>ā</w:t>
      </w:r>
      <w:r w:rsidRPr="002B5DA2">
        <w:rPr>
          <w:rFonts w:ascii="Times New Roman" w:hAnsi="Times New Roman" w:cs="Times New Roman"/>
          <w:sz w:val="28"/>
          <w:szCs w:val="28"/>
        </w:rPr>
        <w:t>dītājiem</w:t>
      </w:r>
      <w:r w:rsidR="00D2134C">
        <w:rPr>
          <w:rFonts w:ascii="Times New Roman" w:hAnsi="Times New Roman" w:cs="Times New Roman"/>
          <w:sz w:val="28"/>
          <w:szCs w:val="28"/>
        </w:rPr>
        <w:t>,</w:t>
      </w:r>
      <w:r w:rsidRPr="002B5DA2">
        <w:rPr>
          <w:rFonts w:ascii="Times New Roman" w:hAnsi="Times New Roman" w:cs="Times New Roman"/>
          <w:sz w:val="28"/>
          <w:szCs w:val="28"/>
        </w:rPr>
        <w:t xml:space="preserve"> secināts</w:t>
      </w:r>
      <w:r w:rsidR="00D2134C">
        <w:rPr>
          <w:rFonts w:ascii="Times New Roman" w:hAnsi="Times New Roman" w:cs="Times New Roman"/>
          <w:sz w:val="28"/>
          <w:szCs w:val="28"/>
        </w:rPr>
        <w:t>, ka</w:t>
      </w:r>
      <w:r w:rsidRPr="002B5DA2">
        <w:rPr>
          <w:rFonts w:ascii="Times New Roman" w:hAnsi="Times New Roman" w:cs="Times New Roman"/>
          <w:sz w:val="28"/>
          <w:szCs w:val="28"/>
        </w:rPr>
        <w:t>:</w:t>
      </w:r>
    </w:p>
    <w:p w14:paraId="534C315F" w14:textId="77777777" w:rsidR="00C42FB1" w:rsidRDefault="007A68BF" w:rsidP="00F02640">
      <w:pPr>
        <w:numPr>
          <w:ilvl w:val="0"/>
          <w:numId w:val="6"/>
        </w:numPr>
        <w:tabs>
          <w:tab w:val="left" w:pos="1134"/>
        </w:tabs>
        <w:spacing w:before="0" w:after="0" w:line="240" w:lineRule="auto"/>
        <w:ind w:left="0" w:firstLine="720"/>
        <w:contextualSpacing/>
        <w:jc w:val="both"/>
        <w:rPr>
          <w:rFonts w:ascii="Times New Roman" w:hAnsi="Times New Roman" w:cs="Times New Roman"/>
          <w:sz w:val="28"/>
          <w:szCs w:val="28"/>
        </w:rPr>
      </w:pPr>
      <w:r w:rsidRPr="002B5DA2">
        <w:rPr>
          <w:rFonts w:ascii="Times New Roman" w:hAnsi="Times New Roman" w:cs="Times New Roman"/>
          <w:sz w:val="28"/>
          <w:szCs w:val="28"/>
        </w:rPr>
        <w:t xml:space="preserve">samazinājies </w:t>
      </w:r>
      <w:r w:rsidR="002F0967">
        <w:rPr>
          <w:rFonts w:ascii="Times New Roman" w:hAnsi="Times New Roman" w:cs="Times New Roman"/>
          <w:sz w:val="28"/>
          <w:szCs w:val="28"/>
        </w:rPr>
        <w:t xml:space="preserve">to </w:t>
      </w:r>
      <w:r w:rsidRPr="002B5DA2">
        <w:rPr>
          <w:rFonts w:ascii="Times New Roman" w:hAnsi="Times New Roman" w:cs="Times New Roman"/>
          <w:sz w:val="28"/>
          <w:szCs w:val="28"/>
        </w:rPr>
        <w:t>darba ņēmēju</w:t>
      </w:r>
      <w:r w:rsidR="005025B0" w:rsidRPr="002B5DA2">
        <w:rPr>
          <w:rFonts w:ascii="Times New Roman" w:hAnsi="Times New Roman" w:cs="Times New Roman"/>
          <w:sz w:val="28"/>
          <w:szCs w:val="28"/>
        </w:rPr>
        <w:t xml:space="preserve"> skait</w:t>
      </w:r>
      <w:r w:rsidR="00C32871" w:rsidRPr="002B5DA2">
        <w:rPr>
          <w:rFonts w:ascii="Times New Roman" w:hAnsi="Times New Roman" w:cs="Times New Roman"/>
          <w:sz w:val="28"/>
          <w:szCs w:val="28"/>
        </w:rPr>
        <w:t>s</w:t>
      </w:r>
      <w:r w:rsidR="00345FDB">
        <w:rPr>
          <w:rFonts w:ascii="Times New Roman" w:hAnsi="Times New Roman" w:cs="Times New Roman"/>
          <w:sz w:val="28"/>
          <w:szCs w:val="28"/>
        </w:rPr>
        <w:t>,</w:t>
      </w:r>
      <w:r w:rsidR="005025B0" w:rsidRPr="002B5DA2">
        <w:rPr>
          <w:rFonts w:ascii="Times New Roman" w:hAnsi="Times New Roman" w:cs="Times New Roman"/>
          <w:sz w:val="28"/>
          <w:szCs w:val="28"/>
        </w:rPr>
        <w:t xml:space="preserve"> par </w:t>
      </w:r>
      <w:r w:rsidR="00223F86" w:rsidRPr="002B5DA2">
        <w:rPr>
          <w:rFonts w:ascii="Times New Roman" w:hAnsi="Times New Roman" w:cs="Times New Roman"/>
          <w:sz w:val="28"/>
          <w:szCs w:val="28"/>
        </w:rPr>
        <w:t>kuriem netiek iesniegtas ziņas</w:t>
      </w:r>
      <w:r w:rsidRPr="002B5DA2">
        <w:rPr>
          <w:rFonts w:ascii="Times New Roman" w:hAnsi="Times New Roman" w:cs="Times New Roman"/>
          <w:sz w:val="28"/>
          <w:szCs w:val="28"/>
        </w:rPr>
        <w:t xml:space="preserve"> VID</w:t>
      </w:r>
      <w:r w:rsidR="00C42FB1" w:rsidRPr="002B5DA2">
        <w:rPr>
          <w:rFonts w:ascii="Times New Roman" w:hAnsi="Times New Roman" w:cs="Times New Roman"/>
          <w:sz w:val="28"/>
          <w:szCs w:val="28"/>
        </w:rPr>
        <w:t>, ko apliecina VID būvlaukumos veikto kontroles pasākumu rezultāti. Analizējot darba ņēmēju skaita pieauguma dinamiku izplatītākajās profesijās, secinām</w:t>
      </w:r>
      <w:r w:rsidR="002F0967">
        <w:rPr>
          <w:rFonts w:ascii="Times New Roman" w:hAnsi="Times New Roman" w:cs="Times New Roman"/>
          <w:sz w:val="28"/>
          <w:szCs w:val="28"/>
        </w:rPr>
        <w:t>s</w:t>
      </w:r>
      <w:r w:rsidR="00C42FB1" w:rsidRPr="002B5DA2">
        <w:rPr>
          <w:rFonts w:ascii="Times New Roman" w:hAnsi="Times New Roman" w:cs="Times New Roman"/>
          <w:sz w:val="28"/>
          <w:szCs w:val="28"/>
        </w:rPr>
        <w:t>, ka ir vērojams darba vietu skaita pieaugums. Turklāt īpaši nozīmīgs pieaugums ir zemākas kvalifikācijas profesijās;</w:t>
      </w:r>
    </w:p>
    <w:p w14:paraId="2D0EEB4B" w14:textId="77777777" w:rsidR="007207C2" w:rsidRDefault="007207C2" w:rsidP="00F02640">
      <w:pPr>
        <w:pStyle w:val="ListParagraph"/>
        <w:numPr>
          <w:ilvl w:val="0"/>
          <w:numId w:val="6"/>
        </w:numPr>
        <w:tabs>
          <w:tab w:val="left" w:pos="1134"/>
        </w:tabs>
        <w:spacing w:before="0" w:after="0" w:line="240" w:lineRule="auto"/>
        <w:ind w:left="0" w:firstLine="720"/>
        <w:jc w:val="both"/>
        <w:rPr>
          <w:rFonts w:ascii="Times New Roman" w:hAnsi="Times New Roman" w:cs="Times New Roman"/>
          <w:sz w:val="28"/>
          <w:szCs w:val="28"/>
        </w:rPr>
      </w:pPr>
      <w:r w:rsidRPr="002B5DA2">
        <w:rPr>
          <w:rFonts w:ascii="Times New Roman" w:hAnsi="Times New Roman" w:cs="Times New Roman"/>
          <w:sz w:val="28"/>
          <w:szCs w:val="28"/>
        </w:rPr>
        <w:t xml:space="preserve">kopumā ir </w:t>
      </w:r>
      <w:r w:rsidR="00C42FB1" w:rsidRPr="002B5DA2">
        <w:rPr>
          <w:rFonts w:ascii="Times New Roman" w:hAnsi="Times New Roman" w:cs="Times New Roman"/>
          <w:sz w:val="28"/>
          <w:szCs w:val="28"/>
        </w:rPr>
        <w:t>ievērojams pieaugums darbaspēka nodokļu ieņēmumos</w:t>
      </w:r>
      <w:r w:rsidRPr="002B5DA2">
        <w:rPr>
          <w:rFonts w:ascii="Times New Roman" w:hAnsi="Times New Roman" w:cs="Times New Roman"/>
          <w:sz w:val="28"/>
          <w:szCs w:val="28"/>
        </w:rPr>
        <w:t>,</w:t>
      </w:r>
      <w:r w:rsidR="00C42FB1" w:rsidRPr="002B5DA2">
        <w:rPr>
          <w:rFonts w:ascii="Times New Roman" w:hAnsi="Times New Roman" w:cs="Times New Roman"/>
          <w:sz w:val="28"/>
          <w:szCs w:val="28"/>
        </w:rPr>
        <w:t xml:space="preserve"> </w:t>
      </w:r>
      <w:r w:rsidRPr="002B5DA2">
        <w:rPr>
          <w:rFonts w:ascii="Times New Roman" w:hAnsi="Times New Roman" w:cs="Times New Roman"/>
          <w:sz w:val="28"/>
          <w:szCs w:val="28"/>
        </w:rPr>
        <w:t>kā arī vērojama pozitīva “aplokšņu” algas samazinājuma dinamika, kas skaidrojams gan ar darba vietu skaita, gan vispārējā nodokļu maksāšanas režīmā strādājošo darba ņēmēju darba ienākumu pieaugumu;</w:t>
      </w:r>
    </w:p>
    <w:p w14:paraId="306577A9" w14:textId="77777777" w:rsidR="00C42FB1" w:rsidRPr="00475720" w:rsidRDefault="00C42FB1" w:rsidP="00F02640">
      <w:pPr>
        <w:numPr>
          <w:ilvl w:val="0"/>
          <w:numId w:val="6"/>
        </w:numPr>
        <w:tabs>
          <w:tab w:val="left" w:pos="1134"/>
        </w:tabs>
        <w:spacing w:before="0" w:after="0" w:line="240" w:lineRule="auto"/>
        <w:ind w:left="0" w:firstLine="720"/>
        <w:contextualSpacing/>
        <w:jc w:val="both"/>
        <w:rPr>
          <w:rFonts w:ascii="Times New Roman" w:eastAsia="Calibri" w:hAnsi="Times New Roman" w:cs="Times New Roman"/>
          <w:sz w:val="28"/>
          <w:szCs w:val="28"/>
        </w:rPr>
      </w:pPr>
      <w:r w:rsidRPr="002B5DA2">
        <w:rPr>
          <w:rFonts w:ascii="Times New Roman" w:hAnsi="Times New Roman" w:cs="Times New Roman"/>
          <w:sz w:val="28"/>
          <w:szCs w:val="28"/>
        </w:rPr>
        <w:t>analizējot komersantu deklarēto vidēji nostrādāto stundu skaitu (vispārējā nodokļu maksāšanas režīmā) sadalījumā pa būvnieku profesijām kopumā, lielāk</w:t>
      </w:r>
      <w:r w:rsidR="002F0967">
        <w:rPr>
          <w:rFonts w:ascii="Times New Roman" w:hAnsi="Times New Roman" w:cs="Times New Roman"/>
          <w:sz w:val="28"/>
          <w:szCs w:val="28"/>
        </w:rPr>
        <w:t>aj</w:t>
      </w:r>
      <w:r w:rsidRPr="002B5DA2">
        <w:rPr>
          <w:rFonts w:ascii="Times New Roman" w:hAnsi="Times New Roman" w:cs="Times New Roman"/>
          <w:sz w:val="28"/>
          <w:szCs w:val="28"/>
        </w:rPr>
        <w:t xml:space="preserve">ai daļai </w:t>
      </w:r>
      <w:r w:rsidR="007207C2" w:rsidRPr="002B5DA2">
        <w:rPr>
          <w:rFonts w:ascii="Times New Roman" w:hAnsi="Times New Roman" w:cs="Times New Roman"/>
          <w:sz w:val="28"/>
          <w:szCs w:val="28"/>
        </w:rPr>
        <w:t xml:space="preserve">komersantu </w:t>
      </w:r>
      <w:r w:rsidRPr="002B5DA2">
        <w:rPr>
          <w:rFonts w:ascii="Times New Roman" w:hAnsi="Times New Roman" w:cs="Times New Roman"/>
          <w:sz w:val="28"/>
          <w:szCs w:val="28"/>
        </w:rPr>
        <w:t>novērots neliels pieaugums. Savukārt</w:t>
      </w:r>
      <w:r w:rsidR="007207C2" w:rsidRPr="002B5DA2">
        <w:rPr>
          <w:rFonts w:ascii="Times New Roman" w:hAnsi="Times New Roman" w:cs="Times New Roman"/>
          <w:sz w:val="28"/>
          <w:szCs w:val="28"/>
        </w:rPr>
        <w:t>,</w:t>
      </w:r>
      <w:r w:rsidRPr="002B5DA2">
        <w:rPr>
          <w:rFonts w:ascii="Times New Roman" w:hAnsi="Times New Roman" w:cs="Times New Roman"/>
          <w:sz w:val="28"/>
          <w:szCs w:val="28"/>
        </w:rPr>
        <w:t xml:space="preserve"> pamatojoties uz kontroles pasākumu rezultātiem</w:t>
      </w:r>
      <w:bookmarkStart w:id="22" w:name="_Hlk40254971"/>
      <w:r w:rsidR="00345FDB">
        <w:rPr>
          <w:rFonts w:ascii="Times New Roman" w:hAnsi="Times New Roman" w:cs="Times New Roman"/>
          <w:sz w:val="28"/>
          <w:szCs w:val="28"/>
        </w:rPr>
        <w:t>,</w:t>
      </w:r>
      <w:r w:rsidRPr="002B5DA2">
        <w:rPr>
          <w:rFonts w:ascii="Times New Roman" w:hAnsi="Times New Roman" w:cs="Times New Roman"/>
          <w:sz w:val="28"/>
          <w:szCs w:val="28"/>
        </w:rPr>
        <w:t xml:space="preserve"> secināts, ka viena būvlaukuma pārbaudes </w:t>
      </w:r>
      <w:r w:rsidR="007207C2" w:rsidRPr="002B5DA2">
        <w:rPr>
          <w:rFonts w:ascii="Times New Roman" w:hAnsi="Times New Roman" w:cs="Times New Roman"/>
          <w:sz w:val="28"/>
          <w:szCs w:val="28"/>
        </w:rPr>
        <w:t>laikā</w:t>
      </w:r>
      <w:r w:rsidRPr="002B5DA2">
        <w:rPr>
          <w:rFonts w:ascii="Times New Roman" w:hAnsi="Times New Roman" w:cs="Times New Roman"/>
          <w:sz w:val="28"/>
          <w:szCs w:val="28"/>
        </w:rPr>
        <w:t xml:space="preserve"> EDLUS datu salīdzinājums ar darbinieku deklarēto darba laiku neļauj objektīvi novērtēt konkrēta būvuzņēmēja iespējamo faktisko nedeklarēto darba laika apmēru gadījumos, kad būvuzņēmēja darbinieki </w:t>
      </w:r>
      <w:r w:rsidR="002F0967">
        <w:rPr>
          <w:rFonts w:ascii="Times New Roman" w:hAnsi="Times New Roman" w:cs="Times New Roman"/>
          <w:sz w:val="28"/>
          <w:szCs w:val="28"/>
        </w:rPr>
        <w:t xml:space="preserve">ir </w:t>
      </w:r>
      <w:r w:rsidRPr="002B5DA2">
        <w:rPr>
          <w:rFonts w:ascii="Times New Roman" w:hAnsi="Times New Roman" w:cs="Times New Roman"/>
          <w:sz w:val="28"/>
          <w:szCs w:val="28"/>
        </w:rPr>
        <w:t xml:space="preserve">nodarbināti arī citos būvlaukumos, kas neatbilst EDLUS ieviešanas kritērijiem. Par </w:t>
      </w:r>
      <w:r w:rsidRPr="00475720">
        <w:rPr>
          <w:rFonts w:ascii="Times New Roman" w:hAnsi="Times New Roman" w:cs="Times New Roman"/>
          <w:sz w:val="28"/>
          <w:szCs w:val="28"/>
        </w:rPr>
        <w:t xml:space="preserve">darbinieku </w:t>
      </w:r>
      <w:r w:rsidRPr="00475720">
        <w:rPr>
          <w:rFonts w:ascii="Times New Roman" w:eastAsia="Calibri" w:hAnsi="Times New Roman" w:cs="Times New Roman"/>
          <w:sz w:val="28"/>
          <w:szCs w:val="28"/>
        </w:rPr>
        <w:t xml:space="preserve">nostrādāto laiku </w:t>
      </w:r>
      <w:r w:rsidRPr="00475720">
        <w:rPr>
          <w:rFonts w:ascii="Times New Roman" w:hAnsi="Times New Roman" w:cs="Times New Roman"/>
          <w:sz w:val="28"/>
          <w:szCs w:val="28"/>
        </w:rPr>
        <w:t>būvlaukumos, k</w:t>
      </w:r>
      <w:r w:rsidR="002F0967" w:rsidRPr="00475720">
        <w:rPr>
          <w:rFonts w:ascii="Times New Roman" w:hAnsi="Times New Roman" w:cs="Times New Roman"/>
          <w:sz w:val="28"/>
          <w:szCs w:val="28"/>
        </w:rPr>
        <w:t>as</w:t>
      </w:r>
      <w:r w:rsidRPr="00475720">
        <w:rPr>
          <w:rFonts w:ascii="Times New Roman" w:hAnsi="Times New Roman" w:cs="Times New Roman"/>
          <w:sz w:val="28"/>
          <w:szCs w:val="28"/>
        </w:rPr>
        <w:t xml:space="preserve"> </w:t>
      </w:r>
      <w:r w:rsidRPr="00475720">
        <w:rPr>
          <w:rFonts w:ascii="Times New Roman" w:eastAsia="Calibri" w:hAnsi="Times New Roman" w:cs="Times New Roman"/>
          <w:sz w:val="28"/>
          <w:szCs w:val="28"/>
        </w:rPr>
        <w:t>neatbilst EDLUS uzstādīšanas kritērijiem, joprojām saglabāj</w:t>
      </w:r>
      <w:r w:rsidR="00DE4146" w:rsidRPr="00475720">
        <w:rPr>
          <w:rFonts w:ascii="Times New Roman" w:eastAsia="Calibri" w:hAnsi="Times New Roman" w:cs="Times New Roman"/>
          <w:sz w:val="28"/>
          <w:szCs w:val="28"/>
        </w:rPr>
        <w:t>a</w:t>
      </w:r>
      <w:r w:rsidRPr="00475720">
        <w:rPr>
          <w:rFonts w:ascii="Times New Roman" w:eastAsia="Calibri" w:hAnsi="Times New Roman" w:cs="Times New Roman"/>
          <w:sz w:val="28"/>
          <w:szCs w:val="28"/>
        </w:rPr>
        <w:t xml:space="preserve">s </w:t>
      </w:r>
      <w:r w:rsidR="00DE4146" w:rsidRPr="00475720">
        <w:rPr>
          <w:rFonts w:ascii="Times New Roman" w:eastAsia="Calibri" w:hAnsi="Times New Roman" w:cs="Times New Roman"/>
          <w:sz w:val="28"/>
          <w:szCs w:val="28"/>
        </w:rPr>
        <w:t xml:space="preserve">augsts </w:t>
      </w:r>
      <w:r w:rsidRPr="00475720">
        <w:rPr>
          <w:rFonts w:ascii="Times New Roman" w:eastAsia="Calibri" w:hAnsi="Times New Roman" w:cs="Times New Roman"/>
          <w:sz w:val="28"/>
          <w:szCs w:val="28"/>
        </w:rPr>
        <w:t>nostrādāto stundu nedeklarēšanas risks</w:t>
      </w:r>
      <w:r w:rsidR="005E71F7" w:rsidRPr="00475720">
        <w:rPr>
          <w:rFonts w:ascii="Times New Roman" w:eastAsia="Calibri" w:hAnsi="Times New Roman" w:cs="Times New Roman"/>
          <w:sz w:val="28"/>
          <w:szCs w:val="28"/>
        </w:rPr>
        <w:t>;</w:t>
      </w:r>
    </w:p>
    <w:bookmarkEnd w:id="22"/>
    <w:p w14:paraId="3FAC58F3" w14:textId="77777777" w:rsidR="00C42FB1" w:rsidRPr="002B5DA2" w:rsidRDefault="005E71F7" w:rsidP="00F02640">
      <w:pPr>
        <w:numPr>
          <w:ilvl w:val="0"/>
          <w:numId w:val="6"/>
        </w:numPr>
        <w:tabs>
          <w:tab w:val="left" w:pos="1134"/>
        </w:tabs>
        <w:spacing w:before="0" w:after="0"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n</w:t>
      </w:r>
      <w:r w:rsidR="00C42FB1" w:rsidRPr="002B5DA2">
        <w:rPr>
          <w:rFonts w:ascii="Times New Roman" w:hAnsi="Times New Roman" w:cs="Times New Roman"/>
          <w:sz w:val="28"/>
          <w:szCs w:val="28"/>
        </w:rPr>
        <w:t>ovērots</w:t>
      </w:r>
      <w:r w:rsidR="00543CA9" w:rsidRPr="002B5DA2">
        <w:rPr>
          <w:rFonts w:ascii="Times New Roman" w:hAnsi="Times New Roman" w:cs="Times New Roman"/>
          <w:sz w:val="28"/>
          <w:szCs w:val="28"/>
        </w:rPr>
        <w:t xml:space="preserve">, </w:t>
      </w:r>
      <w:r>
        <w:rPr>
          <w:rFonts w:ascii="Times New Roman" w:hAnsi="Times New Roman" w:cs="Times New Roman"/>
          <w:sz w:val="28"/>
          <w:szCs w:val="28"/>
        </w:rPr>
        <w:t>ka pēc</w:t>
      </w:r>
      <w:r w:rsidRPr="002B5DA2">
        <w:rPr>
          <w:rFonts w:ascii="Times New Roman" w:hAnsi="Times New Roman" w:cs="Times New Roman"/>
          <w:sz w:val="28"/>
          <w:szCs w:val="28"/>
        </w:rPr>
        <w:t xml:space="preserve"> </w:t>
      </w:r>
      <w:r w:rsidR="001A3B34" w:rsidRPr="002B5DA2">
        <w:rPr>
          <w:rFonts w:ascii="Times New Roman" w:hAnsi="Times New Roman" w:cs="Times New Roman"/>
          <w:sz w:val="28"/>
          <w:szCs w:val="28"/>
        </w:rPr>
        <w:t>EDLUS ieviešanas</w:t>
      </w:r>
      <w:r w:rsidR="00543CA9" w:rsidRPr="002B5DA2">
        <w:rPr>
          <w:rFonts w:ascii="Times New Roman" w:hAnsi="Times New Roman" w:cs="Times New Roman"/>
          <w:sz w:val="28"/>
          <w:szCs w:val="28"/>
        </w:rPr>
        <w:t xml:space="preserve"> saglabājas</w:t>
      </w:r>
      <w:r w:rsidR="001A3B34" w:rsidRPr="002B5DA2">
        <w:rPr>
          <w:rFonts w:ascii="Times New Roman" w:hAnsi="Times New Roman" w:cs="Times New Roman"/>
          <w:sz w:val="28"/>
          <w:szCs w:val="28"/>
        </w:rPr>
        <w:t xml:space="preserve"> augsts</w:t>
      </w:r>
      <w:r w:rsidR="00C42FB1" w:rsidRPr="002B5DA2">
        <w:rPr>
          <w:rFonts w:ascii="Times New Roman" w:hAnsi="Times New Roman" w:cs="Times New Roman"/>
          <w:sz w:val="28"/>
          <w:szCs w:val="28"/>
        </w:rPr>
        <w:t xml:space="preserve"> </w:t>
      </w:r>
      <w:proofErr w:type="spellStart"/>
      <w:r w:rsidR="00C42FB1" w:rsidRPr="002B5DA2">
        <w:rPr>
          <w:rFonts w:ascii="Times New Roman" w:hAnsi="Times New Roman" w:cs="Times New Roman"/>
          <w:sz w:val="28"/>
          <w:szCs w:val="28"/>
        </w:rPr>
        <w:t>mikrouzņēmumu</w:t>
      </w:r>
      <w:proofErr w:type="spellEnd"/>
      <w:r w:rsidR="00C42FB1" w:rsidRPr="002B5DA2">
        <w:rPr>
          <w:rFonts w:ascii="Times New Roman" w:hAnsi="Times New Roman" w:cs="Times New Roman"/>
          <w:sz w:val="28"/>
          <w:szCs w:val="28"/>
        </w:rPr>
        <w:t xml:space="preserve"> nodokļa maksāšanas režīmā strādājošo uzņēmumu īpatsvar</w:t>
      </w:r>
      <w:r w:rsidR="001A3B34" w:rsidRPr="002B5DA2">
        <w:rPr>
          <w:rFonts w:ascii="Times New Roman" w:hAnsi="Times New Roman" w:cs="Times New Roman"/>
          <w:sz w:val="28"/>
          <w:szCs w:val="28"/>
        </w:rPr>
        <w:t>s</w:t>
      </w:r>
      <w:r w:rsidR="0086286F" w:rsidRPr="002B5DA2">
        <w:rPr>
          <w:rFonts w:ascii="Times New Roman" w:hAnsi="Times New Roman" w:cs="Times New Roman"/>
          <w:sz w:val="28"/>
          <w:szCs w:val="28"/>
        </w:rPr>
        <w:t>.</w:t>
      </w:r>
      <w:r w:rsidR="001A3B34" w:rsidRPr="002B5DA2">
        <w:rPr>
          <w:rFonts w:ascii="Times New Roman" w:hAnsi="Times New Roman" w:cs="Times New Roman"/>
          <w:sz w:val="28"/>
          <w:szCs w:val="28"/>
        </w:rPr>
        <w:t xml:space="preserve"> </w:t>
      </w:r>
      <w:r w:rsidR="00DE4146" w:rsidRPr="002B5DA2">
        <w:rPr>
          <w:rFonts w:ascii="Times New Roman" w:hAnsi="Times New Roman" w:cs="Times New Roman"/>
          <w:sz w:val="28"/>
          <w:szCs w:val="28"/>
        </w:rPr>
        <w:t>V</w:t>
      </w:r>
      <w:r w:rsidR="00DE4146" w:rsidRPr="002B5DA2">
        <w:rPr>
          <w:rFonts w:ascii="Times New Roman" w:eastAsia="Calibri" w:hAnsi="Times New Roman" w:cs="Times New Roman"/>
          <w:sz w:val="28"/>
          <w:szCs w:val="28"/>
        </w:rPr>
        <w:t>ērtējot “aplokšņu” algas risku</w:t>
      </w:r>
      <w:r w:rsidR="00DE4146" w:rsidRPr="002B5DA2" w:rsidDel="00F644E7">
        <w:rPr>
          <w:rFonts w:ascii="Times New Roman" w:hAnsi="Times New Roman" w:cs="Times New Roman"/>
          <w:sz w:val="28"/>
          <w:szCs w:val="28"/>
        </w:rPr>
        <w:t xml:space="preserve"> </w:t>
      </w:r>
      <w:proofErr w:type="spellStart"/>
      <w:r w:rsidR="00C42FB1" w:rsidRPr="002B5DA2">
        <w:rPr>
          <w:rFonts w:ascii="Times New Roman" w:hAnsi="Times New Roman" w:cs="Times New Roman"/>
          <w:sz w:val="28"/>
          <w:szCs w:val="28"/>
        </w:rPr>
        <w:t>mikrouzņēmumu</w:t>
      </w:r>
      <w:proofErr w:type="spellEnd"/>
      <w:r w:rsidR="00C42FB1" w:rsidRPr="002B5DA2">
        <w:rPr>
          <w:rFonts w:ascii="Times New Roman" w:hAnsi="Times New Roman" w:cs="Times New Roman"/>
          <w:sz w:val="28"/>
          <w:szCs w:val="28"/>
        </w:rPr>
        <w:t xml:space="preserve"> nodokļa maksātājiem</w:t>
      </w:r>
      <w:r w:rsidR="00C42FB1" w:rsidRPr="002B5DA2">
        <w:rPr>
          <w:rFonts w:ascii="Times New Roman" w:eastAsia="Calibri" w:hAnsi="Times New Roman" w:cs="Times New Roman"/>
          <w:sz w:val="28"/>
          <w:szCs w:val="28"/>
        </w:rPr>
        <w:t>, konstatēts, ka 2018</w:t>
      </w:r>
      <w:r w:rsidR="00DE4146" w:rsidRPr="002B5DA2">
        <w:rPr>
          <w:rFonts w:ascii="Times New Roman" w:eastAsia="Calibri" w:hAnsi="Times New Roman" w:cs="Times New Roman"/>
          <w:sz w:val="28"/>
          <w:szCs w:val="28"/>
        </w:rPr>
        <w:t>.</w:t>
      </w:r>
      <w:r w:rsidR="00C42FB1" w:rsidRPr="002B5DA2">
        <w:rPr>
          <w:rFonts w:ascii="Times New Roman" w:eastAsia="Calibri" w:hAnsi="Times New Roman" w:cs="Times New Roman"/>
          <w:sz w:val="28"/>
          <w:szCs w:val="28"/>
        </w:rPr>
        <w:t xml:space="preserve">gadā </w:t>
      </w:r>
      <w:r w:rsidR="00C42FB1" w:rsidRPr="002B5DA2">
        <w:rPr>
          <w:rFonts w:ascii="Times New Roman" w:hAnsi="Times New Roman" w:cs="Times New Roman"/>
          <w:sz w:val="28"/>
          <w:szCs w:val="28"/>
        </w:rPr>
        <w:t>ievērojami palielinājies nedeklarēto darba ienākumu īpatsvars</w:t>
      </w:r>
      <w:r w:rsidR="008C1029" w:rsidRPr="002B5DA2">
        <w:rPr>
          <w:rFonts w:ascii="Times New Roman" w:hAnsi="Times New Roman" w:cs="Times New Roman"/>
          <w:sz w:val="28"/>
          <w:szCs w:val="28"/>
        </w:rPr>
        <w:t>,</w:t>
      </w:r>
      <w:r w:rsidR="00CF7DC7" w:rsidRPr="002B5DA2">
        <w:rPr>
          <w:rFonts w:ascii="Times New Roman" w:hAnsi="Times New Roman" w:cs="Times New Roman"/>
          <w:sz w:val="28"/>
          <w:szCs w:val="28"/>
        </w:rPr>
        <w:t xml:space="preserve"> un šī tendence</w:t>
      </w:r>
      <w:r w:rsidR="0086286F" w:rsidRPr="002B5DA2">
        <w:rPr>
          <w:rFonts w:ascii="Times New Roman" w:hAnsi="Times New Roman" w:cs="Times New Roman"/>
          <w:sz w:val="28"/>
          <w:szCs w:val="28"/>
        </w:rPr>
        <w:t xml:space="preserve"> norāda uz risku </w:t>
      </w:r>
      <w:proofErr w:type="spellStart"/>
      <w:r w:rsidR="0086286F" w:rsidRPr="002B5DA2">
        <w:rPr>
          <w:rFonts w:ascii="Times New Roman" w:hAnsi="Times New Roman" w:cs="Times New Roman"/>
          <w:sz w:val="28"/>
          <w:szCs w:val="28"/>
        </w:rPr>
        <w:t>mikrouzņēmumu</w:t>
      </w:r>
      <w:proofErr w:type="spellEnd"/>
      <w:r w:rsidR="0086286F" w:rsidRPr="002B5DA2">
        <w:rPr>
          <w:rFonts w:ascii="Times New Roman" w:hAnsi="Times New Roman" w:cs="Times New Roman"/>
          <w:sz w:val="28"/>
          <w:szCs w:val="28"/>
        </w:rPr>
        <w:t xml:space="preserve"> nodokļa maksāšanas režīm</w:t>
      </w:r>
      <w:r w:rsidR="001D1947">
        <w:rPr>
          <w:rFonts w:ascii="Times New Roman" w:hAnsi="Times New Roman" w:cs="Times New Roman"/>
          <w:sz w:val="28"/>
          <w:szCs w:val="28"/>
        </w:rPr>
        <w:t>u</w:t>
      </w:r>
      <w:r w:rsidR="0086286F" w:rsidRPr="002B5DA2">
        <w:rPr>
          <w:rFonts w:ascii="Times New Roman" w:hAnsi="Times New Roman" w:cs="Times New Roman"/>
          <w:sz w:val="28"/>
          <w:szCs w:val="28"/>
        </w:rPr>
        <w:t xml:space="preserve"> izmanto</w:t>
      </w:r>
      <w:r w:rsidR="001D1947">
        <w:rPr>
          <w:rFonts w:ascii="Times New Roman" w:hAnsi="Times New Roman" w:cs="Times New Roman"/>
          <w:sz w:val="28"/>
          <w:szCs w:val="28"/>
        </w:rPr>
        <w:t>t</w:t>
      </w:r>
      <w:r w:rsidR="0086286F" w:rsidRPr="002B5DA2">
        <w:rPr>
          <w:rFonts w:ascii="Times New Roman" w:hAnsi="Times New Roman" w:cs="Times New Roman"/>
          <w:sz w:val="28"/>
          <w:szCs w:val="28"/>
        </w:rPr>
        <w:t xml:space="preserve"> nodokļu optimizācijas nolūk</w:t>
      </w:r>
      <w:r w:rsidR="00DE4131">
        <w:rPr>
          <w:rFonts w:ascii="Times New Roman" w:hAnsi="Times New Roman" w:cs="Times New Roman"/>
          <w:sz w:val="28"/>
          <w:szCs w:val="28"/>
        </w:rPr>
        <w:t>ā</w:t>
      </w:r>
      <w:r w:rsidR="0086286F" w:rsidRPr="002B5DA2">
        <w:rPr>
          <w:rFonts w:ascii="Times New Roman" w:hAnsi="Times New Roman" w:cs="Times New Roman"/>
          <w:sz w:val="28"/>
          <w:szCs w:val="28"/>
        </w:rPr>
        <w:t>.</w:t>
      </w:r>
      <w:r w:rsidR="002B5DA2" w:rsidRPr="002B5DA2">
        <w:rPr>
          <w:rFonts w:ascii="Times New Roman" w:hAnsi="Times New Roman" w:cs="Times New Roman"/>
          <w:sz w:val="28"/>
          <w:szCs w:val="28"/>
        </w:rPr>
        <w:t xml:space="preserve"> </w:t>
      </w:r>
      <w:r w:rsidR="00C42FB1" w:rsidRPr="002B5DA2">
        <w:rPr>
          <w:rFonts w:ascii="Times New Roman" w:hAnsi="Times New Roman" w:cs="Times New Roman"/>
          <w:sz w:val="28"/>
          <w:szCs w:val="28"/>
        </w:rPr>
        <w:t>Ņemot vērā, k</w:t>
      </w:r>
      <w:r w:rsidR="005E547D">
        <w:rPr>
          <w:rFonts w:ascii="Times New Roman" w:hAnsi="Times New Roman" w:cs="Times New Roman"/>
          <w:sz w:val="28"/>
          <w:szCs w:val="28"/>
        </w:rPr>
        <w:t>a</w:t>
      </w:r>
      <w:r w:rsidR="00C42FB1" w:rsidRPr="002B5DA2">
        <w:rPr>
          <w:rFonts w:ascii="Times New Roman" w:hAnsi="Times New Roman" w:cs="Times New Roman"/>
          <w:sz w:val="28"/>
          <w:szCs w:val="28"/>
        </w:rPr>
        <w:t xml:space="preserve"> </w:t>
      </w:r>
      <w:proofErr w:type="spellStart"/>
      <w:r w:rsidR="00C42FB1" w:rsidRPr="002B5DA2">
        <w:rPr>
          <w:rFonts w:ascii="Times New Roman" w:hAnsi="Times New Roman" w:cs="Times New Roman"/>
          <w:sz w:val="28"/>
          <w:szCs w:val="28"/>
        </w:rPr>
        <w:t>mikrouzņēmumu</w:t>
      </w:r>
      <w:proofErr w:type="spellEnd"/>
      <w:r w:rsidR="00C42FB1" w:rsidRPr="002B5DA2">
        <w:rPr>
          <w:rFonts w:ascii="Times New Roman" w:hAnsi="Times New Roman" w:cs="Times New Roman"/>
          <w:sz w:val="28"/>
          <w:szCs w:val="28"/>
        </w:rPr>
        <w:t xml:space="preserve"> nodokļ</w:t>
      </w:r>
      <w:r w:rsidR="005E547D">
        <w:rPr>
          <w:rFonts w:ascii="Times New Roman" w:hAnsi="Times New Roman" w:cs="Times New Roman"/>
          <w:sz w:val="28"/>
          <w:szCs w:val="28"/>
        </w:rPr>
        <w:t>a</w:t>
      </w:r>
      <w:r w:rsidR="00C42FB1" w:rsidRPr="002B5DA2">
        <w:rPr>
          <w:rFonts w:ascii="Times New Roman" w:hAnsi="Times New Roman" w:cs="Times New Roman"/>
          <w:sz w:val="28"/>
          <w:szCs w:val="28"/>
        </w:rPr>
        <w:t xml:space="preserve"> maksātājiem nostrādātais darba laiks VID </w:t>
      </w:r>
      <w:r w:rsidRPr="002B5DA2">
        <w:rPr>
          <w:rFonts w:ascii="Times New Roman" w:hAnsi="Times New Roman" w:cs="Times New Roman"/>
          <w:sz w:val="28"/>
          <w:szCs w:val="28"/>
        </w:rPr>
        <w:t xml:space="preserve">nav </w:t>
      </w:r>
      <w:r w:rsidR="00C42FB1" w:rsidRPr="002B5DA2">
        <w:rPr>
          <w:rFonts w:ascii="Times New Roman" w:hAnsi="Times New Roman" w:cs="Times New Roman"/>
          <w:sz w:val="28"/>
          <w:szCs w:val="28"/>
        </w:rPr>
        <w:t xml:space="preserve">jādeklarē, </w:t>
      </w:r>
      <w:r w:rsidRPr="002B5DA2">
        <w:rPr>
          <w:rFonts w:ascii="Times New Roman" w:hAnsi="Times New Roman" w:cs="Times New Roman"/>
          <w:sz w:val="28"/>
          <w:szCs w:val="28"/>
        </w:rPr>
        <w:t xml:space="preserve">ir ierobežota </w:t>
      </w:r>
      <w:r w:rsidR="00C42FB1" w:rsidRPr="002B5DA2">
        <w:rPr>
          <w:rFonts w:ascii="Times New Roman" w:hAnsi="Times New Roman" w:cs="Times New Roman"/>
          <w:sz w:val="28"/>
          <w:szCs w:val="28"/>
        </w:rPr>
        <w:t>EDLUS informācijas izmantošana darba laika uzskaites datu salīdzināšanai par šiem būvuzņēmējiem.</w:t>
      </w:r>
    </w:p>
    <w:p w14:paraId="51DD31DA" w14:textId="77777777" w:rsidR="00C42FB1" w:rsidRPr="002B5DA2" w:rsidRDefault="00C42FB1" w:rsidP="005E08CF">
      <w:pPr>
        <w:spacing w:before="0" w:after="0" w:line="240" w:lineRule="auto"/>
        <w:ind w:firstLine="720"/>
        <w:contextualSpacing/>
        <w:jc w:val="both"/>
        <w:rPr>
          <w:rFonts w:ascii="Times New Roman" w:hAnsi="Times New Roman" w:cs="Times New Roman"/>
          <w:sz w:val="28"/>
          <w:szCs w:val="28"/>
        </w:rPr>
      </w:pPr>
    </w:p>
    <w:p w14:paraId="2DCE4E4A" w14:textId="77777777" w:rsidR="00C42FB1" w:rsidRPr="002B5DA2" w:rsidRDefault="00C42FB1" w:rsidP="005E08CF">
      <w:pPr>
        <w:spacing w:before="0" w:after="0" w:line="240" w:lineRule="auto"/>
        <w:ind w:firstLine="720"/>
        <w:contextualSpacing/>
        <w:jc w:val="both"/>
        <w:rPr>
          <w:rFonts w:ascii="Times New Roman" w:hAnsi="Times New Roman" w:cs="Times New Roman"/>
          <w:sz w:val="28"/>
          <w:szCs w:val="28"/>
        </w:rPr>
      </w:pPr>
      <w:r w:rsidRPr="002B5DA2">
        <w:rPr>
          <w:rFonts w:ascii="Times New Roman" w:hAnsi="Times New Roman" w:cs="Times New Roman"/>
          <w:sz w:val="28"/>
          <w:szCs w:val="28"/>
        </w:rPr>
        <w:t xml:space="preserve">Novērtējot EDLUS ieviešanas gaitu un </w:t>
      </w:r>
      <w:r w:rsidR="005E71F7">
        <w:rPr>
          <w:rFonts w:ascii="Times New Roman" w:hAnsi="Times New Roman" w:cs="Times New Roman"/>
          <w:sz w:val="28"/>
          <w:szCs w:val="28"/>
        </w:rPr>
        <w:t>tās</w:t>
      </w:r>
      <w:r w:rsidR="005E71F7" w:rsidRPr="002B5DA2">
        <w:rPr>
          <w:rFonts w:ascii="Times New Roman" w:hAnsi="Times New Roman" w:cs="Times New Roman"/>
          <w:sz w:val="28"/>
          <w:szCs w:val="28"/>
        </w:rPr>
        <w:t xml:space="preserve"> </w:t>
      </w:r>
      <w:r w:rsidRPr="002B5DA2">
        <w:rPr>
          <w:rFonts w:ascii="Times New Roman" w:hAnsi="Times New Roman" w:cs="Times New Roman"/>
          <w:sz w:val="28"/>
          <w:szCs w:val="28"/>
        </w:rPr>
        <w:t>izmantošanu ēnu ekonomikas mazināšanā</w:t>
      </w:r>
      <w:r w:rsidR="001971F6" w:rsidRPr="001971F6">
        <w:rPr>
          <w:rFonts w:ascii="Times New Roman" w:hAnsi="Times New Roman" w:cs="Times New Roman"/>
          <w:sz w:val="28"/>
          <w:szCs w:val="28"/>
        </w:rPr>
        <w:t xml:space="preserve"> </w:t>
      </w:r>
      <w:r w:rsidR="001971F6" w:rsidRPr="002B5DA2">
        <w:rPr>
          <w:rFonts w:ascii="Times New Roman" w:hAnsi="Times New Roman" w:cs="Times New Roman"/>
          <w:sz w:val="28"/>
          <w:szCs w:val="28"/>
        </w:rPr>
        <w:t>būvniecības nozarē</w:t>
      </w:r>
      <w:r w:rsidRPr="002B5DA2">
        <w:rPr>
          <w:rFonts w:ascii="Times New Roman" w:hAnsi="Times New Roman" w:cs="Times New Roman"/>
          <w:sz w:val="28"/>
          <w:szCs w:val="28"/>
        </w:rPr>
        <w:t>, godīga</w:t>
      </w:r>
      <w:r w:rsidR="00D72885" w:rsidRPr="002B5DA2">
        <w:rPr>
          <w:rFonts w:ascii="Times New Roman" w:hAnsi="Times New Roman" w:cs="Times New Roman"/>
          <w:sz w:val="28"/>
          <w:szCs w:val="28"/>
        </w:rPr>
        <w:t>s</w:t>
      </w:r>
      <w:r w:rsidRPr="002B5DA2">
        <w:rPr>
          <w:rFonts w:ascii="Times New Roman" w:hAnsi="Times New Roman" w:cs="Times New Roman"/>
          <w:sz w:val="28"/>
          <w:szCs w:val="28"/>
        </w:rPr>
        <w:t xml:space="preserve"> konkurence</w:t>
      </w:r>
      <w:r w:rsidR="00D72885" w:rsidRPr="002B5DA2">
        <w:rPr>
          <w:rFonts w:ascii="Times New Roman" w:hAnsi="Times New Roman" w:cs="Times New Roman"/>
          <w:sz w:val="28"/>
          <w:szCs w:val="28"/>
        </w:rPr>
        <w:t>s nodrošināšan</w:t>
      </w:r>
      <w:r w:rsidR="00817EDA" w:rsidRPr="002B5DA2">
        <w:rPr>
          <w:rFonts w:ascii="Times New Roman" w:hAnsi="Times New Roman" w:cs="Times New Roman"/>
          <w:sz w:val="28"/>
          <w:szCs w:val="28"/>
        </w:rPr>
        <w:t>ā</w:t>
      </w:r>
      <w:r w:rsidR="005E547D">
        <w:rPr>
          <w:rFonts w:ascii="Times New Roman" w:hAnsi="Times New Roman" w:cs="Times New Roman"/>
          <w:sz w:val="28"/>
          <w:szCs w:val="28"/>
        </w:rPr>
        <w:t xml:space="preserve"> un</w:t>
      </w:r>
      <w:r w:rsidRPr="002B5DA2">
        <w:rPr>
          <w:rFonts w:ascii="Times New Roman" w:hAnsi="Times New Roman" w:cs="Times New Roman"/>
          <w:sz w:val="28"/>
          <w:szCs w:val="28"/>
        </w:rPr>
        <w:t xml:space="preserve"> nodokļu nomaksas veicināšanā</w:t>
      </w:r>
      <w:r w:rsidR="00D72885" w:rsidRPr="002B5DA2">
        <w:rPr>
          <w:rFonts w:ascii="Times New Roman" w:hAnsi="Times New Roman" w:cs="Times New Roman"/>
          <w:sz w:val="28"/>
          <w:szCs w:val="28"/>
        </w:rPr>
        <w:t>,</w:t>
      </w:r>
      <w:r w:rsidRPr="002B5DA2">
        <w:rPr>
          <w:rFonts w:ascii="Times New Roman" w:hAnsi="Times New Roman" w:cs="Times New Roman"/>
          <w:sz w:val="28"/>
          <w:szCs w:val="28"/>
        </w:rPr>
        <w:t xml:space="preserve"> pozitīvi vērtē</w:t>
      </w:r>
      <w:r w:rsidR="0002009A">
        <w:rPr>
          <w:rFonts w:ascii="Times New Roman" w:hAnsi="Times New Roman" w:cs="Times New Roman"/>
          <w:sz w:val="28"/>
          <w:szCs w:val="28"/>
        </w:rPr>
        <w:t>jams</w:t>
      </w:r>
      <w:r w:rsidRPr="002B5DA2">
        <w:rPr>
          <w:rFonts w:ascii="Times New Roman" w:hAnsi="Times New Roman" w:cs="Times New Roman"/>
          <w:sz w:val="28"/>
          <w:szCs w:val="28"/>
        </w:rPr>
        <w:t>:</w:t>
      </w:r>
    </w:p>
    <w:p w14:paraId="5E9E3B68" w14:textId="77777777" w:rsidR="00C42FB1" w:rsidRPr="002B5DA2" w:rsidRDefault="00DD6C89" w:rsidP="00F02640">
      <w:pPr>
        <w:numPr>
          <w:ilvl w:val="0"/>
          <w:numId w:val="7"/>
        </w:numPr>
        <w:tabs>
          <w:tab w:val="left" w:pos="1134"/>
        </w:tabs>
        <w:spacing w:before="0" w:after="0"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veiktie grozījumi</w:t>
      </w:r>
      <w:r w:rsidRPr="002B5DA2">
        <w:rPr>
          <w:rFonts w:ascii="Times New Roman" w:hAnsi="Times New Roman" w:cs="Times New Roman"/>
          <w:sz w:val="28"/>
          <w:szCs w:val="28"/>
        </w:rPr>
        <w:t xml:space="preserve"> normatīv</w:t>
      </w:r>
      <w:r>
        <w:rPr>
          <w:rFonts w:ascii="Times New Roman" w:hAnsi="Times New Roman" w:cs="Times New Roman"/>
          <w:sz w:val="28"/>
          <w:szCs w:val="28"/>
        </w:rPr>
        <w:t>ajos aktos</w:t>
      </w:r>
      <w:r w:rsidRPr="002B5DA2">
        <w:rPr>
          <w:rFonts w:ascii="Times New Roman" w:hAnsi="Times New Roman" w:cs="Times New Roman"/>
          <w:sz w:val="28"/>
          <w:szCs w:val="28"/>
        </w:rPr>
        <w:t xml:space="preserve"> </w:t>
      </w:r>
      <w:r w:rsidR="00C42FB1" w:rsidRPr="002B5DA2">
        <w:rPr>
          <w:rFonts w:ascii="Times New Roman" w:hAnsi="Times New Roman" w:cs="Times New Roman"/>
          <w:sz w:val="28"/>
          <w:szCs w:val="28"/>
        </w:rPr>
        <w:t>EDLUS ieviešanas gaitā</w:t>
      </w:r>
      <w:r w:rsidR="00502060">
        <w:rPr>
          <w:rFonts w:ascii="Times New Roman" w:hAnsi="Times New Roman" w:cs="Times New Roman"/>
          <w:sz w:val="28"/>
          <w:szCs w:val="28"/>
        </w:rPr>
        <w:t>,</w:t>
      </w:r>
      <w:r w:rsidR="00C42FB1" w:rsidRPr="002B5DA2">
        <w:rPr>
          <w:rFonts w:ascii="Times New Roman" w:hAnsi="Times New Roman" w:cs="Times New Roman"/>
          <w:sz w:val="28"/>
          <w:szCs w:val="28"/>
        </w:rPr>
        <w:t xml:space="preserve"> </w:t>
      </w:r>
      <w:r w:rsidR="0002009A">
        <w:rPr>
          <w:rFonts w:ascii="Times New Roman" w:hAnsi="Times New Roman" w:cs="Times New Roman"/>
          <w:sz w:val="28"/>
          <w:szCs w:val="28"/>
        </w:rPr>
        <w:t>kons</w:t>
      </w:r>
      <w:r w:rsidR="00502060">
        <w:rPr>
          <w:rFonts w:ascii="Times New Roman" w:hAnsi="Times New Roman" w:cs="Times New Roman"/>
          <w:sz w:val="28"/>
          <w:szCs w:val="28"/>
        </w:rPr>
        <w:t>tatējot riskus</w:t>
      </w:r>
      <w:r w:rsidR="00C42FB1" w:rsidRPr="002B5DA2">
        <w:rPr>
          <w:rFonts w:ascii="Times New Roman" w:hAnsi="Times New Roman" w:cs="Times New Roman"/>
          <w:sz w:val="28"/>
          <w:szCs w:val="28"/>
        </w:rPr>
        <w:t xml:space="preserve">, tajā skaitā datu ticamības riskus, </w:t>
      </w:r>
      <w:r>
        <w:rPr>
          <w:rFonts w:ascii="Times New Roman" w:hAnsi="Times New Roman" w:cs="Times New Roman"/>
          <w:sz w:val="28"/>
          <w:szCs w:val="28"/>
        </w:rPr>
        <w:t>kā rezultātā</w:t>
      </w:r>
      <w:r w:rsidR="00C42FB1" w:rsidRPr="002B5DA2">
        <w:rPr>
          <w:rFonts w:ascii="Times New Roman" w:hAnsi="Times New Roman" w:cs="Times New Roman"/>
          <w:sz w:val="28"/>
          <w:szCs w:val="28"/>
        </w:rPr>
        <w:t xml:space="preserve"> nodrošin</w:t>
      </w:r>
      <w:r w:rsidR="005E71F7">
        <w:rPr>
          <w:rFonts w:ascii="Times New Roman" w:hAnsi="Times New Roman" w:cs="Times New Roman"/>
          <w:sz w:val="28"/>
          <w:szCs w:val="28"/>
        </w:rPr>
        <w:t>āt</w:t>
      </w:r>
      <w:r>
        <w:rPr>
          <w:rFonts w:ascii="Times New Roman" w:hAnsi="Times New Roman" w:cs="Times New Roman"/>
          <w:sz w:val="28"/>
          <w:szCs w:val="28"/>
        </w:rPr>
        <w:t>a</w:t>
      </w:r>
      <w:r w:rsidR="00C42FB1" w:rsidRPr="002B5DA2">
        <w:rPr>
          <w:rFonts w:ascii="Times New Roman" w:hAnsi="Times New Roman" w:cs="Times New Roman"/>
          <w:sz w:val="28"/>
          <w:szCs w:val="28"/>
        </w:rPr>
        <w:t xml:space="preserve"> datu kvalitāt</w:t>
      </w:r>
      <w:r>
        <w:rPr>
          <w:rFonts w:ascii="Times New Roman" w:hAnsi="Times New Roman" w:cs="Times New Roman"/>
          <w:sz w:val="28"/>
          <w:szCs w:val="28"/>
        </w:rPr>
        <w:t>e un</w:t>
      </w:r>
      <w:r w:rsidR="00C42FB1" w:rsidRPr="002B5DA2">
        <w:rPr>
          <w:rFonts w:ascii="Times New Roman" w:hAnsi="Times New Roman" w:cs="Times New Roman"/>
          <w:sz w:val="28"/>
          <w:szCs w:val="28"/>
        </w:rPr>
        <w:t xml:space="preserve"> drošīb</w:t>
      </w:r>
      <w:r>
        <w:rPr>
          <w:rFonts w:ascii="Times New Roman" w:hAnsi="Times New Roman" w:cs="Times New Roman"/>
          <w:sz w:val="28"/>
          <w:szCs w:val="28"/>
        </w:rPr>
        <w:t>a</w:t>
      </w:r>
      <w:r w:rsidR="00C42FB1" w:rsidRPr="002B5DA2">
        <w:rPr>
          <w:rFonts w:ascii="Times New Roman" w:hAnsi="Times New Roman" w:cs="Times New Roman"/>
          <w:sz w:val="28"/>
          <w:szCs w:val="28"/>
        </w:rPr>
        <w:t xml:space="preserve"> un </w:t>
      </w:r>
      <w:r>
        <w:rPr>
          <w:rFonts w:ascii="Times New Roman" w:hAnsi="Times New Roman" w:cs="Times New Roman"/>
          <w:sz w:val="28"/>
          <w:szCs w:val="28"/>
        </w:rPr>
        <w:t>uzlabota</w:t>
      </w:r>
      <w:r w:rsidRPr="002B5DA2">
        <w:rPr>
          <w:rFonts w:ascii="Times New Roman" w:hAnsi="Times New Roman" w:cs="Times New Roman"/>
          <w:sz w:val="28"/>
          <w:szCs w:val="28"/>
        </w:rPr>
        <w:t xml:space="preserve"> </w:t>
      </w:r>
      <w:r w:rsidR="00C42FB1" w:rsidRPr="002B5DA2">
        <w:rPr>
          <w:rFonts w:ascii="Times New Roman" w:hAnsi="Times New Roman" w:cs="Times New Roman"/>
          <w:sz w:val="28"/>
          <w:szCs w:val="28"/>
        </w:rPr>
        <w:t>datu pieejamīb</w:t>
      </w:r>
      <w:r>
        <w:rPr>
          <w:rFonts w:ascii="Times New Roman" w:hAnsi="Times New Roman" w:cs="Times New Roman"/>
          <w:sz w:val="28"/>
          <w:szCs w:val="28"/>
        </w:rPr>
        <w:t>a</w:t>
      </w:r>
      <w:r w:rsidR="00C42FB1" w:rsidRPr="002B5DA2">
        <w:rPr>
          <w:rFonts w:ascii="Times New Roman" w:hAnsi="Times New Roman" w:cs="Times New Roman"/>
          <w:sz w:val="28"/>
          <w:szCs w:val="28"/>
        </w:rPr>
        <w:t xml:space="preserve"> kontrolējošo institūciju funkciju izpildei;</w:t>
      </w:r>
    </w:p>
    <w:p w14:paraId="7759EC67" w14:textId="77777777" w:rsidR="00C42FB1" w:rsidRPr="002B5DA2" w:rsidRDefault="00C42FB1" w:rsidP="00F02640">
      <w:pPr>
        <w:numPr>
          <w:ilvl w:val="0"/>
          <w:numId w:val="7"/>
        </w:numPr>
        <w:tabs>
          <w:tab w:val="left" w:pos="1134"/>
        </w:tabs>
        <w:spacing w:before="0" w:after="0" w:line="240" w:lineRule="auto"/>
        <w:ind w:left="0" w:firstLine="720"/>
        <w:contextualSpacing/>
        <w:jc w:val="both"/>
        <w:rPr>
          <w:rFonts w:ascii="Times New Roman" w:eastAsia="Times New Roman" w:hAnsi="Times New Roman" w:cs="Times New Roman"/>
          <w:sz w:val="28"/>
          <w:szCs w:val="28"/>
          <w:lang w:eastAsia="lv-LV"/>
        </w:rPr>
      </w:pPr>
      <w:r w:rsidRPr="002B5DA2">
        <w:rPr>
          <w:rFonts w:ascii="Times New Roman" w:hAnsi="Times New Roman" w:cs="Times New Roman"/>
          <w:sz w:val="28"/>
          <w:szCs w:val="28"/>
        </w:rPr>
        <w:t>VEDLUDB darbības uzsākšan</w:t>
      </w:r>
      <w:r w:rsidR="00502060">
        <w:rPr>
          <w:rFonts w:ascii="Times New Roman" w:hAnsi="Times New Roman" w:cs="Times New Roman"/>
          <w:sz w:val="28"/>
          <w:szCs w:val="28"/>
        </w:rPr>
        <w:t>a</w:t>
      </w:r>
      <w:r w:rsidRPr="002B5DA2">
        <w:rPr>
          <w:rFonts w:ascii="Times New Roman" w:hAnsi="Times New Roman" w:cs="Times New Roman"/>
          <w:sz w:val="28"/>
          <w:szCs w:val="28"/>
        </w:rPr>
        <w:t xml:space="preserve"> ar 2020.gada 1.februāri, nodrošinot </w:t>
      </w:r>
      <w:r w:rsidRPr="002B5DA2">
        <w:rPr>
          <w:rFonts w:ascii="Times New Roman" w:eastAsia="Times New Roman" w:hAnsi="Times New Roman" w:cs="Times New Roman"/>
          <w:sz w:val="28"/>
          <w:szCs w:val="28"/>
          <w:lang w:eastAsia="lv-LV"/>
        </w:rPr>
        <w:t>EDLUS datu apkopošanu un informācijas pieejamību kontrolējošām institūcijām. EDLU informācija</w:t>
      </w:r>
      <w:r w:rsidR="009E5435" w:rsidRPr="002B5DA2">
        <w:rPr>
          <w:rFonts w:ascii="Times New Roman" w:eastAsia="Times New Roman" w:hAnsi="Times New Roman" w:cs="Times New Roman"/>
          <w:sz w:val="28"/>
          <w:szCs w:val="28"/>
          <w:lang w:eastAsia="lv-LV"/>
        </w:rPr>
        <w:t>s</w:t>
      </w:r>
      <w:r w:rsidRPr="002B5DA2">
        <w:rPr>
          <w:rFonts w:ascii="Times New Roman" w:eastAsia="Times New Roman" w:hAnsi="Times New Roman" w:cs="Times New Roman"/>
          <w:sz w:val="28"/>
          <w:szCs w:val="28"/>
          <w:lang w:eastAsia="lv-LV"/>
        </w:rPr>
        <w:t xml:space="preserve"> izmantošan</w:t>
      </w:r>
      <w:r w:rsidR="0042332E" w:rsidRPr="002B5DA2">
        <w:rPr>
          <w:rFonts w:ascii="Times New Roman" w:eastAsia="Times New Roman" w:hAnsi="Times New Roman" w:cs="Times New Roman"/>
          <w:sz w:val="28"/>
          <w:szCs w:val="28"/>
          <w:lang w:eastAsia="lv-LV"/>
        </w:rPr>
        <w:t>a</w:t>
      </w:r>
      <w:r w:rsidRPr="002B5DA2">
        <w:rPr>
          <w:rFonts w:ascii="Times New Roman" w:eastAsia="Times New Roman" w:hAnsi="Times New Roman" w:cs="Times New Roman"/>
          <w:sz w:val="28"/>
          <w:szCs w:val="28"/>
          <w:lang w:eastAsia="lv-LV"/>
        </w:rPr>
        <w:t xml:space="preserve"> risku analīzei un nodokļu samaks</w:t>
      </w:r>
      <w:r w:rsidR="009E5435" w:rsidRPr="002B5DA2">
        <w:rPr>
          <w:rFonts w:ascii="Times New Roman" w:eastAsia="Times New Roman" w:hAnsi="Times New Roman" w:cs="Times New Roman"/>
          <w:sz w:val="28"/>
          <w:szCs w:val="28"/>
          <w:lang w:eastAsia="lv-LV"/>
        </w:rPr>
        <w:t>as</w:t>
      </w:r>
      <w:r w:rsidRPr="002B5DA2">
        <w:rPr>
          <w:rFonts w:ascii="Times New Roman" w:eastAsia="Times New Roman" w:hAnsi="Times New Roman" w:cs="Times New Roman"/>
          <w:sz w:val="28"/>
          <w:szCs w:val="28"/>
          <w:lang w:eastAsia="lv-LV"/>
        </w:rPr>
        <w:t xml:space="preserve"> veicināšanai</w:t>
      </w:r>
      <w:r w:rsidR="0042332E" w:rsidRPr="002B5DA2">
        <w:rPr>
          <w:rFonts w:ascii="Times New Roman" w:eastAsia="Times New Roman" w:hAnsi="Times New Roman" w:cs="Times New Roman"/>
          <w:sz w:val="28"/>
          <w:szCs w:val="28"/>
          <w:lang w:eastAsia="lv-LV"/>
        </w:rPr>
        <w:t xml:space="preserve"> </w:t>
      </w:r>
      <w:r w:rsidRPr="002B5DA2">
        <w:rPr>
          <w:rFonts w:ascii="Times New Roman" w:eastAsia="Times New Roman" w:hAnsi="Times New Roman" w:cs="Times New Roman"/>
          <w:sz w:val="28"/>
          <w:szCs w:val="28"/>
          <w:lang w:eastAsia="lv-LV"/>
        </w:rPr>
        <w:t xml:space="preserve">paaugstinās VID uzdevumu izpildes efektivitāti. </w:t>
      </w:r>
      <w:r w:rsidRPr="002B5DA2">
        <w:rPr>
          <w:rFonts w:ascii="Times New Roman" w:eastAsia="Calibri" w:hAnsi="Times New Roman" w:cs="Times New Roman"/>
          <w:sz w:val="28"/>
          <w:szCs w:val="28"/>
        </w:rPr>
        <w:t xml:space="preserve">BVKB un VID </w:t>
      </w:r>
      <w:r w:rsidR="0063610C">
        <w:rPr>
          <w:rFonts w:ascii="Times New Roman" w:eastAsia="Calibri" w:hAnsi="Times New Roman" w:cs="Times New Roman"/>
          <w:sz w:val="28"/>
          <w:szCs w:val="28"/>
        </w:rPr>
        <w:t>s</w:t>
      </w:r>
      <w:r w:rsidR="0063610C" w:rsidRPr="002B5DA2">
        <w:rPr>
          <w:rFonts w:ascii="Times New Roman" w:eastAsia="Calibri" w:hAnsi="Times New Roman" w:cs="Times New Roman"/>
          <w:sz w:val="28"/>
          <w:szCs w:val="28"/>
        </w:rPr>
        <w:t xml:space="preserve">adarbībā </w:t>
      </w:r>
      <w:r w:rsidRPr="002B5DA2">
        <w:rPr>
          <w:rFonts w:ascii="Times New Roman" w:eastAsia="Calibri" w:hAnsi="Times New Roman" w:cs="Times New Roman"/>
          <w:sz w:val="28"/>
          <w:szCs w:val="28"/>
        </w:rPr>
        <w:t>izstrādāta starpresoru vienošanās “Par Vienotās elektroniskās darba laika uzskaites datubāzes lietošanu”, kā arī veiktas darbības, lai nodrošinātu datu no VEDLUDB saņemšanu un koplietošanu ar citiem VID Datu noliktavas sistēmas analīzes objektiem;</w:t>
      </w:r>
      <w:r w:rsidRPr="002B5DA2">
        <w:rPr>
          <w:rFonts w:ascii="Times New Roman" w:eastAsia="Times New Roman" w:hAnsi="Times New Roman" w:cs="Times New Roman"/>
          <w:sz w:val="28"/>
          <w:szCs w:val="28"/>
          <w:lang w:eastAsia="lv-LV"/>
        </w:rPr>
        <w:t xml:space="preserve"> </w:t>
      </w:r>
    </w:p>
    <w:p w14:paraId="4FCF33A3" w14:textId="53F35DFA" w:rsidR="00C42FB1" w:rsidRPr="002B5DA2" w:rsidRDefault="004F759D" w:rsidP="00F02640">
      <w:pPr>
        <w:numPr>
          <w:ilvl w:val="0"/>
          <w:numId w:val="7"/>
        </w:numPr>
        <w:tabs>
          <w:tab w:val="left" w:pos="1134"/>
        </w:tabs>
        <w:spacing w:before="0" w:after="0" w:line="240" w:lineRule="auto"/>
        <w:ind w:left="0"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w:t>
      </w:r>
      <w:r w:rsidR="00C42FB1" w:rsidRPr="002B5DA2">
        <w:rPr>
          <w:rFonts w:ascii="Times New Roman" w:eastAsia="Times New Roman" w:hAnsi="Times New Roman" w:cs="Times New Roman"/>
          <w:sz w:val="28"/>
          <w:szCs w:val="28"/>
          <w:lang w:eastAsia="lv-LV"/>
        </w:rPr>
        <w:t>inimālā atalgojuma noteikšan</w:t>
      </w:r>
      <w:r w:rsidR="00502060">
        <w:rPr>
          <w:rFonts w:ascii="Times New Roman" w:eastAsia="Times New Roman" w:hAnsi="Times New Roman" w:cs="Times New Roman"/>
          <w:sz w:val="28"/>
          <w:szCs w:val="28"/>
          <w:lang w:eastAsia="lv-LV"/>
        </w:rPr>
        <w:t>a</w:t>
      </w:r>
      <w:r w:rsidR="00C42FB1" w:rsidRPr="002B5DA2">
        <w:rPr>
          <w:rFonts w:ascii="Times New Roman" w:eastAsia="Times New Roman" w:hAnsi="Times New Roman" w:cs="Times New Roman"/>
          <w:sz w:val="28"/>
          <w:szCs w:val="28"/>
          <w:lang w:eastAsia="lv-LV"/>
        </w:rPr>
        <w:t xml:space="preserve"> būvniecības nozarē strādājošiem darba ņēmējiem, kas ir lielāk</w:t>
      </w:r>
      <w:r w:rsidR="00CE6E18">
        <w:rPr>
          <w:rFonts w:ascii="Times New Roman" w:eastAsia="Times New Roman" w:hAnsi="Times New Roman" w:cs="Times New Roman"/>
          <w:sz w:val="28"/>
          <w:szCs w:val="28"/>
          <w:lang w:eastAsia="lv-LV"/>
        </w:rPr>
        <w:t>s</w:t>
      </w:r>
      <w:r w:rsidR="00C42FB1" w:rsidRPr="002B5DA2">
        <w:rPr>
          <w:rFonts w:ascii="Times New Roman" w:eastAsia="Times New Roman" w:hAnsi="Times New Roman" w:cs="Times New Roman"/>
          <w:sz w:val="28"/>
          <w:szCs w:val="28"/>
          <w:lang w:eastAsia="lv-LV"/>
        </w:rPr>
        <w:t xml:space="preserve"> nekā normatīv</w:t>
      </w:r>
      <w:r w:rsidR="006B2C4D" w:rsidRPr="002B5DA2">
        <w:rPr>
          <w:rFonts w:ascii="Times New Roman" w:eastAsia="Times New Roman" w:hAnsi="Times New Roman" w:cs="Times New Roman"/>
          <w:sz w:val="28"/>
          <w:szCs w:val="28"/>
          <w:lang w:eastAsia="lv-LV"/>
        </w:rPr>
        <w:t>aj</w:t>
      </w:r>
      <w:r w:rsidR="00C42FB1" w:rsidRPr="002B5DA2">
        <w:rPr>
          <w:rFonts w:ascii="Times New Roman" w:eastAsia="Times New Roman" w:hAnsi="Times New Roman" w:cs="Times New Roman"/>
          <w:sz w:val="28"/>
          <w:szCs w:val="28"/>
          <w:lang w:eastAsia="lv-LV"/>
        </w:rPr>
        <w:t xml:space="preserve">os aktos noteiktais maksimālais atalgojums </w:t>
      </w:r>
      <w:proofErr w:type="spellStart"/>
      <w:r w:rsidR="00C42FB1" w:rsidRPr="002B5DA2">
        <w:rPr>
          <w:rFonts w:ascii="Times New Roman" w:eastAsia="Times New Roman" w:hAnsi="Times New Roman" w:cs="Times New Roman"/>
          <w:sz w:val="28"/>
          <w:szCs w:val="28"/>
          <w:lang w:eastAsia="lv-LV"/>
        </w:rPr>
        <w:t>mikrouzņēmumiem</w:t>
      </w:r>
      <w:proofErr w:type="spellEnd"/>
      <w:r w:rsidR="00C42FB1" w:rsidRPr="002B5DA2">
        <w:rPr>
          <w:rFonts w:ascii="Times New Roman" w:eastAsia="Times New Roman" w:hAnsi="Times New Roman" w:cs="Times New Roman"/>
          <w:sz w:val="28"/>
          <w:szCs w:val="28"/>
          <w:lang w:eastAsia="lv-LV"/>
        </w:rPr>
        <w:t>, kopsakarā ar EDLUS ieviešan</w:t>
      </w:r>
      <w:r w:rsidR="00ED60AB">
        <w:rPr>
          <w:rFonts w:ascii="Times New Roman" w:eastAsia="Times New Roman" w:hAnsi="Times New Roman" w:cs="Times New Roman"/>
          <w:sz w:val="28"/>
          <w:szCs w:val="28"/>
          <w:lang w:eastAsia="lv-LV"/>
        </w:rPr>
        <w:t>u arī būvlaukumos, kuros</w:t>
      </w:r>
      <w:r w:rsidR="00C42FB1" w:rsidRPr="002B5DA2">
        <w:rPr>
          <w:rFonts w:ascii="Times New Roman" w:eastAsia="Times New Roman" w:hAnsi="Times New Roman" w:cs="Times New Roman"/>
          <w:sz w:val="28"/>
          <w:szCs w:val="28"/>
          <w:lang w:eastAsia="lv-LV"/>
        </w:rPr>
        <w:t xml:space="preserve"> būvdarbu izmaks</w:t>
      </w:r>
      <w:r w:rsidR="00ED60AB">
        <w:rPr>
          <w:rFonts w:ascii="Times New Roman" w:eastAsia="Times New Roman" w:hAnsi="Times New Roman" w:cs="Times New Roman"/>
          <w:sz w:val="28"/>
          <w:szCs w:val="28"/>
          <w:lang w:eastAsia="lv-LV"/>
        </w:rPr>
        <w:t xml:space="preserve">as ir no 350 000 </w:t>
      </w:r>
      <w:proofErr w:type="spellStart"/>
      <w:r w:rsidR="00ED60AB" w:rsidRPr="008821D3">
        <w:rPr>
          <w:rFonts w:ascii="Times New Roman" w:eastAsia="Times New Roman" w:hAnsi="Times New Roman" w:cs="Times New Roman"/>
          <w:i/>
          <w:sz w:val="28"/>
          <w:szCs w:val="28"/>
          <w:lang w:eastAsia="lv-LV"/>
        </w:rPr>
        <w:t>euro</w:t>
      </w:r>
      <w:proofErr w:type="spellEnd"/>
      <w:r w:rsidR="00ED60AB">
        <w:rPr>
          <w:rFonts w:ascii="Times New Roman" w:eastAsia="Times New Roman" w:hAnsi="Times New Roman" w:cs="Times New Roman"/>
          <w:sz w:val="28"/>
          <w:szCs w:val="28"/>
          <w:lang w:eastAsia="lv-LV"/>
        </w:rPr>
        <w:t xml:space="preserve"> un vairāk</w:t>
      </w:r>
      <w:r w:rsidR="00C42FB1" w:rsidRPr="002B5DA2">
        <w:rPr>
          <w:rFonts w:ascii="Times New Roman" w:eastAsia="Times New Roman" w:hAnsi="Times New Roman" w:cs="Times New Roman"/>
          <w:sz w:val="28"/>
          <w:szCs w:val="28"/>
          <w:lang w:eastAsia="lv-LV"/>
        </w:rPr>
        <w:t xml:space="preserve">. Līdz ar VEDLUDB datu izmantošanas uzsākšanu EDLU informācijas apkopojums par darba ņēmēju nostrādātajām stundām vienā datubāzē dos iespēju izvērtēt </w:t>
      </w:r>
      <w:proofErr w:type="spellStart"/>
      <w:r w:rsidR="00C42FB1" w:rsidRPr="002B5DA2">
        <w:rPr>
          <w:rFonts w:ascii="Times New Roman" w:eastAsia="Times New Roman" w:hAnsi="Times New Roman" w:cs="Times New Roman"/>
          <w:sz w:val="28"/>
          <w:szCs w:val="28"/>
          <w:lang w:eastAsia="lv-LV"/>
        </w:rPr>
        <w:t>mikrouzņēmumu</w:t>
      </w:r>
      <w:proofErr w:type="spellEnd"/>
      <w:r w:rsidR="00C42FB1" w:rsidRPr="002B5DA2">
        <w:rPr>
          <w:rFonts w:ascii="Times New Roman" w:eastAsia="Times New Roman" w:hAnsi="Times New Roman" w:cs="Times New Roman"/>
          <w:sz w:val="28"/>
          <w:szCs w:val="28"/>
          <w:lang w:eastAsia="lv-LV"/>
        </w:rPr>
        <w:t xml:space="preserve"> iesniegtajās deklarācijās norādīto darbinieku atalgojumu kopsakarā ar Latvijā noteikto minimālo atalgojumu, identificējot “aplokšņu</w:t>
      </w:r>
      <w:r w:rsidR="00237CD7">
        <w:rPr>
          <w:rFonts w:ascii="Times New Roman" w:eastAsia="Times New Roman" w:hAnsi="Times New Roman" w:cs="Times New Roman"/>
          <w:sz w:val="28"/>
          <w:szCs w:val="28"/>
          <w:lang w:eastAsia="lv-LV"/>
        </w:rPr>
        <w:t>”</w:t>
      </w:r>
      <w:r w:rsidR="00C42FB1" w:rsidRPr="002B5DA2">
        <w:rPr>
          <w:rFonts w:ascii="Times New Roman" w:eastAsia="Times New Roman" w:hAnsi="Times New Roman" w:cs="Times New Roman"/>
          <w:sz w:val="28"/>
          <w:szCs w:val="28"/>
          <w:lang w:eastAsia="lv-LV"/>
        </w:rPr>
        <w:t xml:space="preserve"> algas risku un uzņēmumus, kas nepamatoti izmanto atviegloto nodokļu režīmu;</w:t>
      </w:r>
    </w:p>
    <w:p w14:paraId="5AFCD6BF" w14:textId="77777777" w:rsidR="00C42FB1" w:rsidRPr="002B5DA2" w:rsidRDefault="00C42FB1" w:rsidP="00F02640">
      <w:pPr>
        <w:numPr>
          <w:ilvl w:val="0"/>
          <w:numId w:val="7"/>
        </w:numPr>
        <w:tabs>
          <w:tab w:val="left" w:pos="1134"/>
        </w:tabs>
        <w:spacing w:before="0" w:after="0" w:line="240" w:lineRule="auto"/>
        <w:ind w:left="0" w:firstLine="720"/>
        <w:jc w:val="both"/>
        <w:rPr>
          <w:rFonts w:ascii="Times New Roman" w:hAnsi="Times New Roman" w:cs="Times New Roman"/>
          <w:sz w:val="28"/>
          <w:szCs w:val="28"/>
        </w:rPr>
      </w:pPr>
      <w:bookmarkStart w:id="23" w:name="_Hlk40268669"/>
      <w:r w:rsidRPr="002B5DA2">
        <w:rPr>
          <w:rFonts w:ascii="Times New Roman" w:eastAsia="Times New Roman" w:hAnsi="Times New Roman" w:cs="Times New Roman"/>
          <w:sz w:val="28"/>
          <w:szCs w:val="28"/>
          <w:lang w:eastAsia="lv-LV"/>
        </w:rPr>
        <w:t>VEDLUDB datu izmantošan</w:t>
      </w:r>
      <w:r w:rsidR="00502060">
        <w:rPr>
          <w:rFonts w:ascii="Times New Roman" w:eastAsia="Times New Roman" w:hAnsi="Times New Roman" w:cs="Times New Roman"/>
          <w:sz w:val="28"/>
          <w:szCs w:val="28"/>
          <w:lang w:eastAsia="lv-LV"/>
        </w:rPr>
        <w:t>a</w:t>
      </w:r>
      <w:r w:rsidRPr="002B5DA2">
        <w:rPr>
          <w:rFonts w:ascii="Times New Roman" w:eastAsia="Times New Roman" w:hAnsi="Times New Roman" w:cs="Times New Roman"/>
          <w:sz w:val="28"/>
          <w:szCs w:val="28"/>
          <w:lang w:eastAsia="lv-LV"/>
        </w:rPr>
        <w:t xml:space="preserve"> viesstrādnieku nodarbinātības un ārvalstu komersantu darbības uzraudzībā Latvijas </w:t>
      </w:r>
      <w:r w:rsidR="00194C5F" w:rsidRPr="002B5DA2">
        <w:rPr>
          <w:rFonts w:ascii="Times New Roman" w:eastAsia="Times New Roman" w:hAnsi="Times New Roman" w:cs="Times New Roman"/>
          <w:sz w:val="28"/>
          <w:szCs w:val="28"/>
          <w:lang w:eastAsia="lv-LV"/>
        </w:rPr>
        <w:t>būvlaukumos</w:t>
      </w:r>
      <w:r w:rsidRPr="002B5DA2">
        <w:rPr>
          <w:rFonts w:ascii="Times New Roman" w:eastAsia="Times New Roman" w:hAnsi="Times New Roman" w:cs="Times New Roman"/>
          <w:sz w:val="28"/>
          <w:szCs w:val="28"/>
          <w:lang w:eastAsia="lv-LV"/>
        </w:rPr>
        <w:t xml:space="preserve">. </w:t>
      </w:r>
      <w:r w:rsidR="00194C5F" w:rsidRPr="002B5DA2">
        <w:rPr>
          <w:rFonts w:ascii="Times New Roman" w:hAnsi="Times New Roman" w:cs="Times New Roman"/>
          <w:sz w:val="28"/>
          <w:szCs w:val="28"/>
        </w:rPr>
        <w:t>V</w:t>
      </w:r>
      <w:r w:rsidRPr="002B5DA2">
        <w:rPr>
          <w:rFonts w:ascii="Times New Roman" w:hAnsi="Times New Roman" w:cs="Times New Roman"/>
          <w:sz w:val="28"/>
          <w:szCs w:val="28"/>
        </w:rPr>
        <w:t>eikto pārbaužu rezultāti liecina, ka VEDLUDB pieejamā EDLU</w:t>
      </w:r>
      <w:r w:rsidR="00ED60AB">
        <w:rPr>
          <w:rFonts w:ascii="Times New Roman" w:hAnsi="Times New Roman" w:cs="Times New Roman"/>
          <w:sz w:val="28"/>
          <w:szCs w:val="28"/>
        </w:rPr>
        <w:t>S</w:t>
      </w:r>
      <w:r w:rsidRPr="002B5DA2">
        <w:rPr>
          <w:rFonts w:ascii="Times New Roman" w:hAnsi="Times New Roman" w:cs="Times New Roman"/>
          <w:sz w:val="28"/>
          <w:szCs w:val="28"/>
        </w:rPr>
        <w:t xml:space="preserve"> informācija būs būtisks instruments</w:t>
      </w:r>
      <w:r w:rsidR="004F759D">
        <w:rPr>
          <w:rFonts w:ascii="Times New Roman" w:hAnsi="Times New Roman" w:cs="Times New Roman"/>
          <w:sz w:val="28"/>
          <w:szCs w:val="28"/>
        </w:rPr>
        <w:t>,</w:t>
      </w:r>
      <w:r w:rsidRPr="002B5DA2">
        <w:rPr>
          <w:rFonts w:ascii="Times New Roman" w:hAnsi="Times New Roman" w:cs="Times New Roman"/>
          <w:sz w:val="28"/>
          <w:szCs w:val="28"/>
        </w:rPr>
        <w:t xml:space="preserve"> identificējot nodokļu </w:t>
      </w:r>
      <w:proofErr w:type="spellStart"/>
      <w:r w:rsidRPr="002B5DA2">
        <w:rPr>
          <w:rFonts w:ascii="Times New Roman" w:hAnsi="Times New Roman" w:cs="Times New Roman"/>
          <w:sz w:val="28"/>
          <w:szCs w:val="28"/>
        </w:rPr>
        <w:t>nenomaksas</w:t>
      </w:r>
      <w:proofErr w:type="spellEnd"/>
      <w:r w:rsidRPr="002B5DA2">
        <w:rPr>
          <w:rFonts w:ascii="Times New Roman" w:hAnsi="Times New Roman" w:cs="Times New Roman"/>
          <w:sz w:val="28"/>
          <w:szCs w:val="28"/>
        </w:rPr>
        <w:t xml:space="preserve"> riskus </w:t>
      </w:r>
      <w:r w:rsidR="006B2C4D" w:rsidRPr="002B5DA2">
        <w:rPr>
          <w:rFonts w:ascii="Times New Roman" w:hAnsi="Times New Roman" w:cs="Times New Roman"/>
          <w:sz w:val="28"/>
          <w:szCs w:val="28"/>
        </w:rPr>
        <w:t>saistībā a</w:t>
      </w:r>
      <w:r w:rsidRPr="002B5DA2">
        <w:rPr>
          <w:rFonts w:ascii="Times New Roman" w:hAnsi="Times New Roman" w:cs="Times New Roman"/>
          <w:sz w:val="28"/>
          <w:szCs w:val="28"/>
        </w:rPr>
        <w:t>r ārvalstu komersantu darba ņēmēju nodarbinātību Latvijas teritorijā un atklājot viesstrādnieku nodarbinātības krāpnieciskās shēmas;</w:t>
      </w:r>
    </w:p>
    <w:bookmarkEnd w:id="23"/>
    <w:p w14:paraId="30C731C2" w14:textId="77777777" w:rsidR="00C42FB1" w:rsidRPr="002B5DA2" w:rsidRDefault="00C42FB1" w:rsidP="00F02640">
      <w:pPr>
        <w:numPr>
          <w:ilvl w:val="0"/>
          <w:numId w:val="7"/>
        </w:numPr>
        <w:tabs>
          <w:tab w:val="left" w:pos="1134"/>
        </w:tabs>
        <w:spacing w:before="0" w:after="0" w:line="240" w:lineRule="auto"/>
        <w:ind w:left="0" w:firstLine="720"/>
        <w:contextualSpacing/>
        <w:jc w:val="both"/>
        <w:rPr>
          <w:rFonts w:ascii="Times New Roman" w:hAnsi="Times New Roman" w:cs="Times New Roman"/>
          <w:sz w:val="28"/>
          <w:szCs w:val="28"/>
        </w:rPr>
      </w:pPr>
      <w:r w:rsidRPr="002B5DA2">
        <w:rPr>
          <w:rFonts w:ascii="Times New Roman" w:hAnsi="Times New Roman" w:cs="Times New Roman"/>
          <w:sz w:val="28"/>
          <w:szCs w:val="28"/>
        </w:rPr>
        <w:t>EDLU</w:t>
      </w:r>
      <w:r w:rsidR="00ED60AB">
        <w:rPr>
          <w:rFonts w:ascii="Times New Roman" w:hAnsi="Times New Roman" w:cs="Times New Roman"/>
          <w:sz w:val="28"/>
          <w:szCs w:val="28"/>
        </w:rPr>
        <w:t>S</w:t>
      </w:r>
      <w:r w:rsidRPr="002B5DA2">
        <w:rPr>
          <w:rFonts w:ascii="Times New Roman" w:hAnsi="Times New Roman" w:cs="Times New Roman"/>
          <w:sz w:val="28"/>
          <w:szCs w:val="28"/>
        </w:rPr>
        <w:t xml:space="preserve"> informācijas izmantošan</w:t>
      </w:r>
      <w:r w:rsidR="00502060">
        <w:rPr>
          <w:rFonts w:ascii="Times New Roman" w:hAnsi="Times New Roman" w:cs="Times New Roman"/>
          <w:sz w:val="28"/>
          <w:szCs w:val="28"/>
        </w:rPr>
        <w:t>a</w:t>
      </w:r>
      <w:r w:rsidRPr="002B5DA2">
        <w:rPr>
          <w:rFonts w:ascii="Times New Roman" w:hAnsi="Times New Roman" w:cs="Times New Roman"/>
          <w:sz w:val="28"/>
          <w:szCs w:val="28"/>
        </w:rPr>
        <w:t xml:space="preserve"> būvuzņēmēju vidū kā efektīv</w:t>
      </w:r>
      <w:r w:rsidR="00502060">
        <w:rPr>
          <w:rFonts w:ascii="Times New Roman" w:hAnsi="Times New Roman" w:cs="Times New Roman"/>
          <w:sz w:val="28"/>
          <w:szCs w:val="28"/>
        </w:rPr>
        <w:t>s</w:t>
      </w:r>
      <w:r w:rsidRPr="002B5DA2">
        <w:rPr>
          <w:rFonts w:ascii="Times New Roman" w:hAnsi="Times New Roman" w:cs="Times New Roman"/>
          <w:sz w:val="28"/>
          <w:szCs w:val="28"/>
        </w:rPr>
        <w:t xml:space="preserve"> pārraudzības instrument</w:t>
      </w:r>
      <w:r w:rsidR="00502060">
        <w:rPr>
          <w:rFonts w:ascii="Times New Roman" w:hAnsi="Times New Roman" w:cs="Times New Roman"/>
          <w:sz w:val="28"/>
          <w:szCs w:val="28"/>
        </w:rPr>
        <w:t>s</w:t>
      </w:r>
      <w:r w:rsidRPr="002B5DA2">
        <w:rPr>
          <w:rFonts w:ascii="Times New Roman" w:hAnsi="Times New Roman" w:cs="Times New Roman"/>
          <w:sz w:val="28"/>
          <w:szCs w:val="28"/>
        </w:rPr>
        <w:t xml:space="preserve">, reālā laikā iegūstot informāciju par darbiniekiem un viesiem, kas atrodas objektā, atvieglojot nodarbināto darba laika uzskaiti grāmatvedībā un </w:t>
      </w:r>
      <w:r w:rsidR="00237CD7">
        <w:rPr>
          <w:rFonts w:ascii="Times New Roman" w:hAnsi="Times New Roman" w:cs="Times New Roman"/>
          <w:sz w:val="28"/>
          <w:szCs w:val="28"/>
        </w:rPr>
        <w:t>pārskatu</w:t>
      </w:r>
      <w:r w:rsidRPr="002B5DA2">
        <w:rPr>
          <w:rFonts w:ascii="Times New Roman" w:hAnsi="Times New Roman" w:cs="Times New Roman"/>
          <w:sz w:val="28"/>
          <w:szCs w:val="28"/>
        </w:rPr>
        <w:t xml:space="preserve"> sagatavošanā, izmantot informāciju uzņēmumu iekšējo procesu plānošanā un darbinieku disciplinētības un produktivitātes palielināšanā, kas kopumā pozitīvi ietekmēs būvniecības nozares attīstību un darbības efektivitāti.</w:t>
      </w:r>
    </w:p>
    <w:p w14:paraId="64CCA72E" w14:textId="77777777" w:rsidR="00C42FB1" w:rsidRPr="002B5DA2" w:rsidRDefault="00C42FB1" w:rsidP="005E08CF">
      <w:pPr>
        <w:spacing w:before="0" w:after="0" w:line="240" w:lineRule="auto"/>
        <w:ind w:firstLine="720"/>
        <w:jc w:val="both"/>
        <w:rPr>
          <w:rFonts w:ascii="Times New Roman" w:eastAsia="Times New Roman" w:hAnsi="Times New Roman" w:cs="Times New Roman"/>
          <w:sz w:val="28"/>
          <w:szCs w:val="28"/>
          <w:lang w:eastAsia="lv-LV"/>
        </w:rPr>
      </w:pPr>
    </w:p>
    <w:p w14:paraId="1A368966" w14:textId="12BFAF7D" w:rsidR="00C42FB1" w:rsidRDefault="00C42FB1" w:rsidP="005E08CF">
      <w:pPr>
        <w:spacing w:before="0" w:after="0" w:line="240" w:lineRule="auto"/>
        <w:ind w:firstLine="720"/>
        <w:jc w:val="both"/>
        <w:rPr>
          <w:rFonts w:ascii="Times New Roman" w:hAnsi="Times New Roman" w:cs="Times New Roman"/>
          <w:sz w:val="28"/>
          <w:szCs w:val="28"/>
        </w:rPr>
      </w:pPr>
      <w:r w:rsidRPr="002B5DA2">
        <w:rPr>
          <w:rFonts w:ascii="Times New Roman" w:hAnsi="Times New Roman" w:cs="Times New Roman"/>
          <w:sz w:val="28"/>
          <w:szCs w:val="28"/>
        </w:rPr>
        <w:t xml:space="preserve">VID un VDI secina, ka </w:t>
      </w:r>
      <w:r w:rsidR="006F5979">
        <w:rPr>
          <w:rFonts w:ascii="Times New Roman" w:hAnsi="Times New Roman" w:cs="Times New Roman"/>
          <w:sz w:val="28"/>
          <w:szCs w:val="28"/>
        </w:rPr>
        <w:t xml:space="preserve">veikto pārbaužu par EDLU ieviešanu būvniecībā rezultātā </w:t>
      </w:r>
      <w:r w:rsidR="004F759D">
        <w:rPr>
          <w:rFonts w:ascii="Times New Roman" w:hAnsi="Times New Roman" w:cs="Times New Roman"/>
          <w:sz w:val="28"/>
          <w:szCs w:val="28"/>
        </w:rPr>
        <w:t>panākts</w:t>
      </w:r>
      <w:r w:rsidR="006F5979">
        <w:rPr>
          <w:rFonts w:ascii="Times New Roman" w:hAnsi="Times New Roman" w:cs="Times New Roman"/>
          <w:sz w:val="28"/>
          <w:szCs w:val="28"/>
        </w:rPr>
        <w:t xml:space="preserve"> </w:t>
      </w:r>
      <w:r w:rsidR="00DD6C89">
        <w:rPr>
          <w:rFonts w:ascii="Times New Roman" w:hAnsi="Times New Roman" w:cs="Times New Roman"/>
          <w:sz w:val="28"/>
          <w:szCs w:val="28"/>
        </w:rPr>
        <w:t xml:space="preserve">būtisks uzlabojums ēnu ekonomikas mazināšanā būvniecības nozarē un </w:t>
      </w:r>
      <w:r w:rsidRPr="002B5DA2">
        <w:rPr>
          <w:rFonts w:ascii="Times New Roman" w:hAnsi="Times New Roman" w:cs="Times New Roman"/>
          <w:sz w:val="28"/>
          <w:szCs w:val="28"/>
        </w:rPr>
        <w:t>sekmīgi īstenoti uzdevumi pārbaužu veikšanā saistībā ar EDLUS ieviešanas uzraudzību</w:t>
      </w:r>
      <w:r w:rsidR="00E344D7">
        <w:rPr>
          <w:rFonts w:ascii="Times New Roman" w:hAnsi="Times New Roman" w:cs="Times New Roman"/>
          <w:sz w:val="28"/>
          <w:szCs w:val="28"/>
        </w:rPr>
        <w:t xml:space="preserve">, </w:t>
      </w:r>
      <w:r w:rsidR="00E344D7" w:rsidRPr="00E344D7">
        <w:rPr>
          <w:rFonts w:ascii="Times New Roman" w:hAnsi="Times New Roman" w:cs="Times New Roman"/>
          <w:sz w:val="28"/>
          <w:szCs w:val="28"/>
        </w:rPr>
        <w:t xml:space="preserve">tiesiskā regulējuma pilnveidošanu un EDLU informācijas izmantošanu nodokļu </w:t>
      </w:r>
      <w:proofErr w:type="spellStart"/>
      <w:r w:rsidR="00E344D7" w:rsidRPr="00E344D7">
        <w:rPr>
          <w:rFonts w:ascii="Times New Roman" w:hAnsi="Times New Roman" w:cs="Times New Roman"/>
          <w:sz w:val="28"/>
          <w:szCs w:val="28"/>
        </w:rPr>
        <w:t>ne</w:t>
      </w:r>
      <w:r w:rsidR="006F5979">
        <w:rPr>
          <w:rFonts w:ascii="Times New Roman" w:hAnsi="Times New Roman" w:cs="Times New Roman"/>
          <w:sz w:val="28"/>
          <w:szCs w:val="28"/>
        </w:rPr>
        <w:t>no</w:t>
      </w:r>
      <w:r w:rsidR="00E344D7" w:rsidRPr="00E344D7">
        <w:rPr>
          <w:rFonts w:ascii="Times New Roman" w:hAnsi="Times New Roman" w:cs="Times New Roman"/>
          <w:sz w:val="28"/>
          <w:szCs w:val="28"/>
        </w:rPr>
        <w:t>maksas</w:t>
      </w:r>
      <w:proofErr w:type="spellEnd"/>
      <w:r w:rsidR="00E344D7" w:rsidRPr="00E344D7">
        <w:rPr>
          <w:rFonts w:ascii="Times New Roman" w:hAnsi="Times New Roman" w:cs="Times New Roman"/>
          <w:sz w:val="28"/>
          <w:szCs w:val="28"/>
        </w:rPr>
        <w:t xml:space="preserve"> riska identificēšanā un nodokļu nomaksas veicināšanā.</w:t>
      </w:r>
      <w:r w:rsidR="003E751F" w:rsidRPr="003E751F">
        <w:t xml:space="preserve"> </w:t>
      </w:r>
      <w:r w:rsidR="003E751F" w:rsidRPr="003E751F">
        <w:rPr>
          <w:rFonts w:ascii="Times New Roman" w:hAnsi="Times New Roman" w:cs="Times New Roman"/>
          <w:sz w:val="28"/>
          <w:szCs w:val="28"/>
        </w:rPr>
        <w:t>EDLU ieviešana būvniecībā veicinās godprātīgu nodokļu nomaksu, kam ir cieša sasaiste ar cilvēka labklājības līmeni, pozitīvi ietekmējot būvniecības nozares attīstību.</w:t>
      </w:r>
    </w:p>
    <w:p w14:paraId="57388DA6" w14:textId="77777777" w:rsidR="007C0824" w:rsidRPr="005B429D" w:rsidRDefault="007C0824" w:rsidP="007C0824">
      <w:pPr>
        <w:spacing w:before="0" w:after="0" w:line="240" w:lineRule="auto"/>
        <w:ind w:firstLine="720"/>
        <w:jc w:val="both"/>
        <w:rPr>
          <w:rFonts w:ascii="Times New Roman" w:eastAsia="Calibri" w:hAnsi="Times New Roman" w:cs="Times New Roman"/>
          <w:sz w:val="28"/>
          <w:szCs w:val="28"/>
        </w:rPr>
      </w:pPr>
      <w:r w:rsidRPr="005B429D">
        <w:rPr>
          <w:rFonts w:ascii="Times New Roman" w:eastAsia="Calibri" w:hAnsi="Times New Roman" w:cs="Times New Roman"/>
          <w:sz w:val="28"/>
          <w:szCs w:val="28"/>
        </w:rPr>
        <w:t xml:space="preserve">Ēnu ekonomikas mazināšanai būvniecības nozarē, lai stiprinātu būvdarbu veicēju atbildību un motivētu būvdarbu veicējus ieviest būvlaukumos normatīvo aktu prasībām atbilstošu EDLUS, veikt tajā objektīvu un precīzu katra nodarbinātā faktiski nostrādātā laika uzskaiti un datu glabāšanu, ar 2020.gada 1.jūliju stāsies spēkā normatīvais regulējums par administratīvo atbildību EDLU regulējuma neievērošanā. </w:t>
      </w:r>
    </w:p>
    <w:p w14:paraId="2F9EFA6A" w14:textId="42286C71" w:rsidR="007C0824" w:rsidRPr="005B429D" w:rsidRDefault="007C0824" w:rsidP="007C0824">
      <w:pPr>
        <w:spacing w:before="0" w:after="0" w:line="240" w:lineRule="auto"/>
        <w:ind w:firstLine="720"/>
        <w:jc w:val="both"/>
        <w:rPr>
          <w:rFonts w:ascii="Times New Roman" w:eastAsia="Calibri" w:hAnsi="Times New Roman" w:cs="Times New Roman"/>
          <w:sz w:val="28"/>
          <w:szCs w:val="28"/>
        </w:rPr>
      </w:pPr>
      <w:r w:rsidRPr="005B429D">
        <w:rPr>
          <w:rFonts w:ascii="Times New Roman" w:eastAsia="Calibri" w:hAnsi="Times New Roman" w:cs="Times New Roman"/>
          <w:sz w:val="28"/>
          <w:szCs w:val="28"/>
          <w:lang w:eastAsia="lv-LV"/>
        </w:rPr>
        <w:t xml:space="preserve">EDLUS datu sniegšana iekļaušanai VEDLUDB, </w:t>
      </w:r>
      <w:r w:rsidRPr="005B429D">
        <w:rPr>
          <w:rFonts w:ascii="Times New Roman" w:eastAsia="Calibri" w:hAnsi="Times New Roman" w:cs="Times New Roman"/>
          <w:sz w:val="28"/>
          <w:szCs w:val="28"/>
        </w:rPr>
        <w:t>kuras pārzinis un turētājs ir BVKB</w:t>
      </w:r>
      <w:r w:rsidRPr="005B429D">
        <w:rPr>
          <w:rFonts w:ascii="Times New Roman" w:eastAsia="Calibri" w:hAnsi="Times New Roman" w:cs="Times New Roman"/>
          <w:sz w:val="28"/>
          <w:szCs w:val="28"/>
          <w:lang w:eastAsia="lv-LV"/>
        </w:rPr>
        <w:t>, tika</w:t>
      </w:r>
      <w:r w:rsidRPr="005B429D">
        <w:rPr>
          <w:rFonts w:ascii="Times New Roman" w:eastAsia="Calibri" w:hAnsi="Times New Roman" w:cs="Times New Roman"/>
          <w:sz w:val="28"/>
          <w:szCs w:val="28"/>
        </w:rPr>
        <w:t xml:space="preserve"> uzsākta tikai ar 2020.gada 1.februār</w:t>
      </w:r>
      <w:r w:rsidR="00477A29" w:rsidRPr="005B429D">
        <w:rPr>
          <w:rFonts w:ascii="Times New Roman" w:eastAsia="Calibri" w:hAnsi="Times New Roman" w:cs="Times New Roman"/>
          <w:sz w:val="28"/>
          <w:szCs w:val="28"/>
        </w:rPr>
        <w:t>i</w:t>
      </w:r>
      <w:r w:rsidRPr="005B429D">
        <w:rPr>
          <w:rFonts w:ascii="Times New Roman" w:eastAsia="Calibri" w:hAnsi="Times New Roman" w:cs="Times New Roman"/>
          <w:sz w:val="28"/>
          <w:szCs w:val="28"/>
        </w:rPr>
        <w:t>, tādējādi liedzot objektīvi un operatīvi novērtēt EDLU ietekmi uz būvniecības nozares attīstības rādītājiem.</w:t>
      </w:r>
    </w:p>
    <w:p w14:paraId="00F97793" w14:textId="7EB97216" w:rsidR="007C0824" w:rsidRPr="007C0824" w:rsidRDefault="007C0824" w:rsidP="007C0824">
      <w:pPr>
        <w:spacing w:before="0" w:after="0" w:line="240" w:lineRule="auto"/>
        <w:ind w:firstLine="720"/>
        <w:jc w:val="both"/>
        <w:rPr>
          <w:rFonts w:ascii="Verdana" w:eastAsia="Calibri" w:hAnsi="Verdana" w:cs="Calibri"/>
        </w:rPr>
      </w:pPr>
      <w:r w:rsidRPr="005B429D">
        <w:rPr>
          <w:rFonts w:ascii="Times New Roman" w:eastAsia="Calibri" w:hAnsi="Times New Roman" w:cs="Times New Roman"/>
          <w:sz w:val="28"/>
          <w:szCs w:val="28"/>
        </w:rPr>
        <w:t>Lai novērtētu EDLU un VEDLUDB ieviešanas ietekmi uz būvniecības nozari, tajā skaitā arī par periodu, kad uzsāk EDLUS uzkrāto datu nodošanu uz VEDLUDB, Ekonomikas ministrijai sadarbībā ar Finanšu ministriju (Valsts ieņēmumu dienestu) un Labklājības ministriju (Valsts darba inspekciju) līdz 202</w:t>
      </w:r>
      <w:r w:rsidR="00686F8A">
        <w:rPr>
          <w:rFonts w:ascii="Times New Roman" w:eastAsia="Calibri" w:hAnsi="Times New Roman" w:cs="Times New Roman"/>
          <w:sz w:val="28"/>
          <w:szCs w:val="28"/>
        </w:rPr>
        <w:t>1</w:t>
      </w:r>
      <w:r w:rsidRPr="005B429D">
        <w:rPr>
          <w:rFonts w:ascii="Times New Roman" w:eastAsia="Calibri" w:hAnsi="Times New Roman" w:cs="Times New Roman"/>
          <w:sz w:val="28"/>
          <w:szCs w:val="28"/>
        </w:rPr>
        <w:t>.gada 1.</w:t>
      </w:r>
      <w:r w:rsidR="00686F8A">
        <w:rPr>
          <w:rFonts w:ascii="Times New Roman" w:eastAsia="Calibri" w:hAnsi="Times New Roman" w:cs="Times New Roman"/>
          <w:sz w:val="28"/>
          <w:szCs w:val="28"/>
        </w:rPr>
        <w:t>jūlijam</w:t>
      </w:r>
      <w:r w:rsidRPr="005B429D">
        <w:rPr>
          <w:rFonts w:ascii="Times New Roman" w:eastAsia="Calibri" w:hAnsi="Times New Roman" w:cs="Times New Roman"/>
          <w:sz w:val="28"/>
          <w:szCs w:val="28"/>
        </w:rPr>
        <w:t xml:space="preserve"> nepieciešams sagatavot informatīvo ziņojumu par EDLUS ieviešanas un VEDLUDB datu izmantošanas efektivitāti un ietekmi </w:t>
      </w:r>
      <w:r w:rsidRPr="005B429D">
        <w:rPr>
          <w:rFonts w:ascii="Times New Roman" w:eastAsia="Calibri" w:hAnsi="Times New Roman" w:cs="Times New Roman"/>
          <w:sz w:val="28"/>
          <w:szCs w:val="28"/>
          <w:lang w:eastAsia="lv-LV"/>
        </w:rPr>
        <w:t>uz būvniecības nozares attīstību un ēnu ekonomikas mazināšanos.</w:t>
      </w:r>
    </w:p>
    <w:p w14:paraId="58087FA8" w14:textId="591625F9" w:rsidR="007C0824" w:rsidRDefault="007C0824" w:rsidP="005E08CF">
      <w:pPr>
        <w:spacing w:before="0" w:after="0" w:line="240" w:lineRule="auto"/>
        <w:ind w:firstLine="720"/>
        <w:jc w:val="both"/>
        <w:rPr>
          <w:rFonts w:ascii="Times New Roman" w:eastAsia="Times New Roman" w:hAnsi="Times New Roman" w:cs="Times New Roman"/>
          <w:i/>
          <w:sz w:val="28"/>
          <w:szCs w:val="28"/>
          <w:lang w:eastAsia="lv-LV"/>
        </w:rPr>
      </w:pPr>
    </w:p>
    <w:p w14:paraId="2A93511D" w14:textId="77777777" w:rsidR="004B7CF4" w:rsidRDefault="004B7CF4" w:rsidP="0067345F">
      <w:pPr>
        <w:pStyle w:val="NoSpacing"/>
        <w:spacing w:before="0"/>
        <w:ind w:firstLine="360"/>
        <w:jc w:val="both"/>
        <w:rPr>
          <w:rFonts w:ascii="Times New Roman" w:eastAsia="Times New Roman" w:hAnsi="Times New Roman" w:cs="Times New Roman"/>
          <w:i/>
          <w:color w:val="1F4E79" w:themeColor="accent1" w:themeShade="80"/>
          <w:sz w:val="24"/>
          <w:szCs w:val="24"/>
          <w:lang w:eastAsia="lv-LV"/>
        </w:rPr>
      </w:pPr>
    </w:p>
    <w:p w14:paraId="1C5DC1A3" w14:textId="619DE1BD" w:rsidR="004B7CF4" w:rsidRPr="00550F94" w:rsidRDefault="004B7CF4" w:rsidP="00550F94">
      <w:pPr>
        <w:tabs>
          <w:tab w:val="left" w:pos="7938"/>
        </w:tabs>
        <w:spacing w:before="0" w:after="0" w:line="240" w:lineRule="auto"/>
        <w:jc w:val="both"/>
        <w:rPr>
          <w:rFonts w:ascii="Times New Roman" w:hAnsi="Times New Roman" w:cs="Times New Roman"/>
          <w:sz w:val="28"/>
          <w:szCs w:val="28"/>
        </w:rPr>
      </w:pPr>
      <w:r w:rsidRPr="004B7CF4">
        <w:rPr>
          <w:rFonts w:ascii="Times New Roman" w:hAnsi="Times New Roman" w:cs="Times New Roman"/>
          <w:sz w:val="28"/>
          <w:szCs w:val="28"/>
        </w:rPr>
        <w:t xml:space="preserve">Finanšu ministrs </w:t>
      </w:r>
      <w:r w:rsidR="0067345F">
        <w:rPr>
          <w:rFonts w:ascii="Times New Roman" w:hAnsi="Times New Roman" w:cs="Times New Roman"/>
          <w:sz w:val="28"/>
          <w:szCs w:val="28"/>
        </w:rPr>
        <w:tab/>
      </w:r>
      <w:proofErr w:type="spellStart"/>
      <w:r w:rsidRPr="004B7CF4">
        <w:rPr>
          <w:rFonts w:ascii="Times New Roman" w:hAnsi="Times New Roman" w:cs="Times New Roman"/>
          <w:sz w:val="28"/>
          <w:szCs w:val="28"/>
        </w:rPr>
        <w:t>J.Reirs</w:t>
      </w:r>
      <w:proofErr w:type="spellEnd"/>
    </w:p>
    <w:sectPr w:rsidR="004B7CF4" w:rsidRPr="00550F94" w:rsidSect="005E08CF">
      <w:headerReference w:type="default" r:id="rId18"/>
      <w:footerReference w:type="default" r:id="rId19"/>
      <w:headerReference w:type="first" r:id="rId20"/>
      <w:footerReference w:type="first" r:id="rId21"/>
      <w:pgSz w:w="11906" w:h="16838"/>
      <w:pgMar w:top="1134" w:right="851"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FB96" w16cex:dateUtc="2020-06-08T15:01:00Z"/>
  <w16cex:commentExtensible w16cex:durableId="2288FE2A" w16cex:dateUtc="2020-06-08T15: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50A3A" w14:textId="77777777" w:rsidR="00C9746C" w:rsidRDefault="00C9746C" w:rsidP="002F056A">
      <w:pPr>
        <w:spacing w:before="0" w:after="0" w:line="240" w:lineRule="auto"/>
      </w:pPr>
      <w:r>
        <w:separator/>
      </w:r>
    </w:p>
  </w:endnote>
  <w:endnote w:type="continuationSeparator" w:id="0">
    <w:p w14:paraId="2A806CC0" w14:textId="77777777" w:rsidR="00C9746C" w:rsidRDefault="00C9746C" w:rsidP="002F05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5380" w14:textId="41E55268" w:rsidR="00C9746C" w:rsidRPr="00014517" w:rsidRDefault="00C9746C">
    <w:pPr>
      <w:pStyle w:val="Footer"/>
      <w:rPr>
        <w:rFonts w:ascii="Times New Roman" w:hAnsi="Times New Roman" w:cs="Times New Roman"/>
      </w:rPr>
    </w:pPr>
    <w:r w:rsidRPr="00014517">
      <w:rPr>
        <w:rFonts w:ascii="Times New Roman" w:hAnsi="Times New Roman" w:cs="Times New Roman"/>
      </w:rPr>
      <w:fldChar w:fldCharType="begin"/>
    </w:r>
    <w:r w:rsidRPr="00D20578">
      <w:rPr>
        <w:rFonts w:ascii="Times New Roman" w:hAnsi="Times New Roman" w:cs="Times New Roman"/>
      </w:rPr>
      <w:instrText xml:space="preserve"> FILENAME   \* MERGEFORMAT </w:instrText>
    </w:r>
    <w:r w:rsidRPr="00014517">
      <w:rPr>
        <w:rFonts w:ascii="Times New Roman" w:hAnsi="Times New Roman" w:cs="Times New Roman"/>
      </w:rPr>
      <w:fldChar w:fldCharType="separate"/>
    </w:r>
    <w:r>
      <w:rPr>
        <w:rFonts w:ascii="Times New Roman" w:hAnsi="Times New Roman" w:cs="Times New Roman"/>
        <w:noProof/>
      </w:rPr>
      <w:t>FMzin_</w:t>
    </w:r>
    <w:r w:rsidR="00985397">
      <w:rPr>
        <w:rFonts w:ascii="Times New Roman" w:hAnsi="Times New Roman" w:cs="Times New Roman"/>
        <w:noProof/>
      </w:rPr>
      <w:t>06</w:t>
    </w:r>
    <w:r>
      <w:rPr>
        <w:rFonts w:ascii="Times New Roman" w:hAnsi="Times New Roman" w:cs="Times New Roman"/>
        <w:noProof/>
      </w:rPr>
      <w:t>0</w:t>
    </w:r>
    <w:r w:rsidR="00862D19">
      <w:rPr>
        <w:rFonts w:ascii="Times New Roman" w:hAnsi="Times New Roman" w:cs="Times New Roman"/>
        <w:noProof/>
      </w:rPr>
      <w:t>7</w:t>
    </w:r>
    <w:r>
      <w:rPr>
        <w:rFonts w:ascii="Times New Roman" w:hAnsi="Times New Roman" w:cs="Times New Roman"/>
        <w:noProof/>
      </w:rPr>
      <w:t>20_EDLUS</w:t>
    </w:r>
    <w:r w:rsidRPr="00014517">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4CC5" w14:textId="35803CB4" w:rsidR="00C9746C" w:rsidRPr="0058674D" w:rsidRDefault="00C9746C">
    <w:pPr>
      <w:pStyle w:val="Footer"/>
      <w:rPr>
        <w:rFonts w:ascii="Times New Roman" w:hAnsi="Times New Roman" w:cs="Times New Roman"/>
      </w:rPr>
    </w:pPr>
    <w:r>
      <w:rPr>
        <w:rFonts w:ascii="Times New Roman" w:hAnsi="Times New Roman" w:cs="Times New Roman"/>
        <w:noProof/>
      </w:rPr>
      <w:t>FMzin_</w:t>
    </w:r>
    <w:r w:rsidR="00985397">
      <w:rPr>
        <w:rFonts w:ascii="Times New Roman" w:hAnsi="Times New Roman" w:cs="Times New Roman"/>
        <w:noProof/>
      </w:rPr>
      <w:t>06</w:t>
    </w:r>
    <w:r>
      <w:rPr>
        <w:rFonts w:ascii="Times New Roman" w:hAnsi="Times New Roman" w:cs="Times New Roman"/>
        <w:noProof/>
      </w:rPr>
      <w:t>0</w:t>
    </w:r>
    <w:r w:rsidR="00862D19">
      <w:rPr>
        <w:rFonts w:ascii="Times New Roman" w:hAnsi="Times New Roman" w:cs="Times New Roman"/>
        <w:noProof/>
      </w:rPr>
      <w:t>7</w:t>
    </w:r>
    <w:r>
      <w:rPr>
        <w:rFonts w:ascii="Times New Roman" w:hAnsi="Times New Roman" w:cs="Times New Roman"/>
        <w:noProof/>
      </w:rPr>
      <w:t>20_EDLUS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BBADA" w14:textId="77777777" w:rsidR="00C9746C" w:rsidRDefault="00C9746C" w:rsidP="002F056A">
      <w:pPr>
        <w:spacing w:before="0" w:after="0" w:line="240" w:lineRule="auto"/>
      </w:pPr>
      <w:r>
        <w:separator/>
      </w:r>
    </w:p>
  </w:footnote>
  <w:footnote w:type="continuationSeparator" w:id="0">
    <w:p w14:paraId="622D63BE" w14:textId="77777777" w:rsidR="00C9746C" w:rsidRDefault="00C9746C" w:rsidP="002F056A">
      <w:pPr>
        <w:spacing w:before="0" w:after="0" w:line="240" w:lineRule="auto"/>
      </w:pPr>
      <w:r>
        <w:continuationSeparator/>
      </w:r>
    </w:p>
  </w:footnote>
  <w:footnote w:id="1">
    <w:p w14:paraId="40B5EB72" w14:textId="77777777" w:rsidR="00C9746C" w:rsidRDefault="00C9746C" w:rsidP="00A3090E">
      <w:pPr>
        <w:pStyle w:val="FootnoteText"/>
      </w:pPr>
      <w:r w:rsidRPr="00BB7EBC">
        <w:rPr>
          <w:rStyle w:val="FootnoteReference"/>
        </w:rPr>
        <w:footnoteRef/>
      </w:r>
      <w:r w:rsidRPr="00BB7EBC">
        <w:t xml:space="preserve"> </w:t>
      </w:r>
      <w:hyperlink r:id="rId1" w:history="1">
        <w:r w:rsidRPr="00570BD0">
          <w:rPr>
            <w:rStyle w:val="Hyperlink"/>
            <w:color w:val="auto"/>
          </w:rPr>
          <w:t>https://latvijasbuvnieki.lv/enu-ekonomika-buvnieciba-mazinas-pozitivas-tendences-saglabasanai-nepieciesams-prognozejams-pasutijuma-apjoms/</w:t>
        </w:r>
      </w:hyperlink>
    </w:p>
  </w:footnote>
  <w:footnote w:id="2">
    <w:p w14:paraId="2238AB2D" w14:textId="77777777" w:rsidR="00C9746C" w:rsidRPr="00AE06AF" w:rsidRDefault="00C9746C">
      <w:pPr>
        <w:pStyle w:val="Default"/>
        <w:jc w:val="both"/>
        <w:rPr>
          <w:color w:val="auto"/>
          <w:sz w:val="20"/>
          <w:szCs w:val="20"/>
        </w:rPr>
      </w:pPr>
      <w:r w:rsidRPr="00AE06AF">
        <w:rPr>
          <w:rStyle w:val="FootnoteReference"/>
          <w:color w:val="auto"/>
          <w:sz w:val="20"/>
          <w:szCs w:val="20"/>
        </w:rPr>
        <w:footnoteRef/>
      </w:r>
      <w:r w:rsidRPr="00AE06AF">
        <w:rPr>
          <w:color w:val="auto"/>
        </w:rPr>
        <w:t xml:space="preserve"> </w:t>
      </w:r>
      <w:hyperlink r:id="rId2" w:history="1">
        <w:r w:rsidRPr="00AE06AF">
          <w:rPr>
            <w:rStyle w:val="Hyperlink"/>
            <w:color w:val="auto"/>
            <w:sz w:val="20"/>
            <w:szCs w:val="20"/>
          </w:rPr>
          <w:t>https://www.em.gov.lv/lv/nozares_politika/buvnieciba/statistika__petijumi/</w:t>
        </w:r>
      </w:hyperlink>
      <w:r w:rsidRPr="00AE06AF">
        <w:rPr>
          <w:color w:val="auto"/>
          <w:sz w:val="20"/>
          <w:szCs w:val="20"/>
        </w:rPr>
        <w:t xml:space="preserve"> </w:t>
      </w:r>
    </w:p>
    <w:p w14:paraId="730BB4DC" w14:textId="77777777" w:rsidR="00C9746C" w:rsidRPr="00AE06AF" w:rsidRDefault="00C9746C">
      <w:pPr>
        <w:pStyle w:val="Default"/>
        <w:jc w:val="both"/>
        <w:rPr>
          <w:color w:val="auto"/>
        </w:rPr>
      </w:pPr>
      <w:r>
        <w:rPr>
          <w:color w:val="auto"/>
          <w:sz w:val="20"/>
          <w:szCs w:val="20"/>
        </w:rPr>
        <w:t>“</w:t>
      </w:r>
      <w:r w:rsidRPr="00AE06AF">
        <w:rPr>
          <w:color w:val="auto"/>
          <w:sz w:val="20"/>
          <w:szCs w:val="20"/>
        </w:rPr>
        <w:t>Pētījums par prognozētām izmaiņām darbaspēka un būvmateriālu izmaksās būvniecības nozarē Latvijā</w:t>
      </w:r>
      <w:r>
        <w:rPr>
          <w:color w:val="auto"/>
          <w:sz w:val="20"/>
          <w:szCs w:val="20"/>
        </w:rPr>
        <w:t>”</w:t>
      </w:r>
      <w:r w:rsidRPr="00AE06AF">
        <w:rPr>
          <w:color w:val="auto"/>
          <w:sz w:val="20"/>
          <w:szCs w:val="20"/>
        </w:rPr>
        <w:t xml:space="preserve"> sagatavots atbilstoši 2018.gada 25.maij</w:t>
      </w:r>
      <w:r>
        <w:rPr>
          <w:color w:val="auto"/>
          <w:sz w:val="20"/>
          <w:szCs w:val="20"/>
        </w:rPr>
        <w:t>ā</w:t>
      </w:r>
      <w:r w:rsidRPr="00AE06AF">
        <w:rPr>
          <w:color w:val="auto"/>
          <w:sz w:val="20"/>
          <w:szCs w:val="20"/>
        </w:rPr>
        <w:t xml:space="preserve"> noslēgtajam līgumam starp Ekonomikas </w:t>
      </w:r>
      <w:r>
        <w:rPr>
          <w:color w:val="auto"/>
          <w:sz w:val="20"/>
          <w:szCs w:val="20"/>
        </w:rPr>
        <w:t>m</w:t>
      </w:r>
      <w:r w:rsidRPr="00AE06AF">
        <w:rPr>
          <w:color w:val="auto"/>
          <w:sz w:val="20"/>
          <w:szCs w:val="20"/>
        </w:rPr>
        <w:t>inistriju un izpētes kompāniju SIA</w:t>
      </w:r>
      <w:r>
        <w:rPr>
          <w:color w:val="auto"/>
          <w:sz w:val="20"/>
          <w:szCs w:val="20"/>
        </w:rPr>
        <w:t> “</w:t>
      </w:r>
      <w:r w:rsidRPr="00AE06AF">
        <w:rPr>
          <w:color w:val="auto"/>
          <w:sz w:val="20"/>
          <w:szCs w:val="20"/>
        </w:rPr>
        <w:t>Inovatīvās Konstrukcijas</w:t>
      </w:r>
      <w:r>
        <w:rPr>
          <w:color w:val="auto"/>
          <w:sz w:val="20"/>
          <w:szCs w:val="20"/>
        </w:rPr>
        <w:t>”</w:t>
      </w:r>
      <w:r w:rsidRPr="00AE06AF">
        <w:rPr>
          <w:color w:val="auto"/>
          <w:sz w:val="20"/>
          <w:szCs w:val="20"/>
        </w:rPr>
        <w:t>, kas pētījumu veikusi</w:t>
      </w:r>
      <w:r>
        <w:rPr>
          <w:color w:val="auto"/>
          <w:sz w:val="20"/>
          <w:szCs w:val="20"/>
        </w:rPr>
        <w:t>,</w:t>
      </w:r>
      <w:r w:rsidRPr="00AE06AF">
        <w:rPr>
          <w:color w:val="auto"/>
          <w:sz w:val="20"/>
          <w:szCs w:val="20"/>
        </w:rPr>
        <w:t xml:space="preserve"> sadarbojoties ar Latvijas Universitātes ekonomikas jomas zinātniekiem.</w:t>
      </w:r>
    </w:p>
  </w:footnote>
  <w:footnote w:id="3">
    <w:p w14:paraId="2326621F" w14:textId="77777777" w:rsidR="00C9746C" w:rsidRPr="00C97F3E" w:rsidRDefault="00C9746C" w:rsidP="006610D8">
      <w:pPr>
        <w:pStyle w:val="FootnoteText"/>
        <w:jc w:val="both"/>
        <w:rPr>
          <w:rFonts w:ascii="Times New Roman" w:hAnsi="Times New Roman"/>
        </w:rPr>
      </w:pPr>
      <w:r w:rsidRPr="00AE06AF">
        <w:rPr>
          <w:rStyle w:val="FootnoteReference"/>
        </w:rPr>
        <w:footnoteRef/>
      </w:r>
      <w:r w:rsidRPr="00AE06AF">
        <w:t xml:space="preserve"> </w:t>
      </w:r>
      <w:r w:rsidRPr="005E08CF">
        <w:rPr>
          <w:rFonts w:ascii="Times New Roman" w:hAnsi="Times New Roman" w:cs="Times New Roman"/>
        </w:rPr>
        <w:t>“</w:t>
      </w:r>
      <w:r w:rsidRPr="00AE06AF">
        <w:rPr>
          <w:rFonts w:ascii="Times New Roman" w:hAnsi="Times New Roman"/>
          <w:szCs w:val="22"/>
        </w:rPr>
        <w:t>Pētījums par prognozētām izmaiņām darbaspēka un būvmateriālu izmaksās būvniecības nozarē Latvijā</w:t>
      </w:r>
      <w:r>
        <w:rPr>
          <w:rFonts w:ascii="Times New Roman" w:hAnsi="Times New Roman"/>
          <w:szCs w:val="22"/>
        </w:rPr>
        <w:t>”</w:t>
      </w:r>
      <w:r w:rsidRPr="00AE06AF">
        <w:rPr>
          <w:rFonts w:ascii="Times New Roman" w:hAnsi="Times New Roman"/>
          <w:szCs w:val="22"/>
        </w:rPr>
        <w:t xml:space="preserve"> sagatavots atbilstoši 2019.gada 14.maij</w:t>
      </w:r>
      <w:r>
        <w:rPr>
          <w:rFonts w:ascii="Times New Roman" w:hAnsi="Times New Roman"/>
          <w:szCs w:val="22"/>
        </w:rPr>
        <w:t>ā</w:t>
      </w:r>
      <w:r w:rsidRPr="00AE06AF">
        <w:rPr>
          <w:rFonts w:ascii="Times New Roman" w:hAnsi="Times New Roman"/>
          <w:szCs w:val="22"/>
        </w:rPr>
        <w:t xml:space="preserve"> noslēgtajam līgumam starp Ekonomikas </w:t>
      </w:r>
      <w:r>
        <w:rPr>
          <w:rFonts w:ascii="Times New Roman" w:hAnsi="Times New Roman"/>
          <w:szCs w:val="22"/>
        </w:rPr>
        <w:t>m</w:t>
      </w:r>
      <w:r w:rsidRPr="00AE06AF">
        <w:rPr>
          <w:rFonts w:ascii="Times New Roman" w:hAnsi="Times New Roman"/>
          <w:szCs w:val="22"/>
        </w:rPr>
        <w:t>inistriju un pētniecības uzņēmumu SIA</w:t>
      </w:r>
      <w:r>
        <w:rPr>
          <w:rFonts w:ascii="Times New Roman" w:hAnsi="Times New Roman"/>
          <w:szCs w:val="22"/>
        </w:rPr>
        <w:t> “</w:t>
      </w:r>
      <w:proofErr w:type="spellStart"/>
      <w:r w:rsidRPr="00AE06AF">
        <w:rPr>
          <w:rFonts w:ascii="Times New Roman" w:hAnsi="Times New Roman"/>
          <w:szCs w:val="22"/>
        </w:rPr>
        <w:t>Oxford</w:t>
      </w:r>
      <w:proofErr w:type="spellEnd"/>
      <w:r w:rsidRPr="00AE06AF">
        <w:rPr>
          <w:rFonts w:ascii="Times New Roman" w:hAnsi="Times New Roman"/>
          <w:szCs w:val="22"/>
        </w:rPr>
        <w:t xml:space="preserve"> </w:t>
      </w:r>
      <w:proofErr w:type="spellStart"/>
      <w:r w:rsidRPr="00AE06AF">
        <w:rPr>
          <w:rFonts w:ascii="Times New Roman" w:hAnsi="Times New Roman"/>
          <w:szCs w:val="22"/>
        </w:rPr>
        <w:t>Research</w:t>
      </w:r>
      <w:proofErr w:type="spellEnd"/>
      <w:r w:rsidRPr="00AE06AF">
        <w:rPr>
          <w:rFonts w:ascii="Times New Roman" w:hAnsi="Times New Roman"/>
          <w:szCs w:val="22"/>
        </w:rPr>
        <w:t xml:space="preserve"> Baltics</w:t>
      </w:r>
      <w:r>
        <w:rPr>
          <w:rFonts w:ascii="Times New Roman" w:hAnsi="Times New Roman"/>
          <w:szCs w:val="22"/>
        </w:rPr>
        <w:t>”.</w:t>
      </w:r>
    </w:p>
  </w:footnote>
  <w:footnote w:id="4">
    <w:p w14:paraId="128EFF07" w14:textId="77777777" w:rsidR="00C9746C" w:rsidRDefault="00C9746C" w:rsidP="00BE057E">
      <w:pPr>
        <w:pStyle w:val="FootnoteText"/>
        <w:jc w:val="both"/>
      </w:pPr>
      <w:r>
        <w:rPr>
          <w:rStyle w:val="FootnoteReference"/>
        </w:rPr>
        <w:footnoteRef/>
      </w:r>
      <w:r>
        <w:t xml:space="preserve"> </w:t>
      </w:r>
      <w:r w:rsidRPr="00302CD3">
        <w:rPr>
          <w:rFonts w:ascii="Times New Roman" w:hAnsi="Times New Roman" w:cs="Times New Roman"/>
        </w:rPr>
        <w:t>Apkopota informācija par VID vei</w:t>
      </w:r>
      <w:r>
        <w:rPr>
          <w:rFonts w:ascii="Times New Roman" w:hAnsi="Times New Roman" w:cs="Times New Roman"/>
        </w:rPr>
        <w:t>ktaj</w:t>
      </w:r>
      <w:r w:rsidRPr="00302CD3">
        <w:rPr>
          <w:rFonts w:ascii="Times New Roman" w:hAnsi="Times New Roman" w:cs="Times New Roman"/>
        </w:rPr>
        <w:t xml:space="preserve">ām tematiskajām pārbaudēm un apsekošanām būvniecības nozarē strādājošiem uzņēmumiem ar </w:t>
      </w:r>
      <w:r w:rsidRPr="005E08CF">
        <w:rPr>
          <w:rFonts w:ascii="Times New Roman" w:hAnsi="Times New Roman" w:cs="Times New Roman"/>
          <w:i/>
          <w:iCs/>
        </w:rPr>
        <w:t>NACE</w:t>
      </w:r>
      <w:r w:rsidRPr="00302CD3">
        <w:rPr>
          <w:rFonts w:ascii="Times New Roman" w:hAnsi="Times New Roman" w:cs="Times New Roman"/>
        </w:rPr>
        <w:t xml:space="preserve"> 2.redakcijas apkopojošiem kodiem: 41 – Ēku būvniecība; 42 – </w:t>
      </w:r>
      <w:proofErr w:type="spellStart"/>
      <w:r w:rsidRPr="00302CD3">
        <w:rPr>
          <w:rFonts w:ascii="Times New Roman" w:hAnsi="Times New Roman" w:cs="Times New Roman"/>
        </w:rPr>
        <w:t>Inženierbūvniecība</w:t>
      </w:r>
      <w:proofErr w:type="spellEnd"/>
      <w:r w:rsidRPr="00302CD3">
        <w:rPr>
          <w:rFonts w:ascii="Times New Roman" w:hAnsi="Times New Roman" w:cs="Times New Roman"/>
        </w:rPr>
        <w:t>; 43 – Specializētie būvdarbi.</w:t>
      </w:r>
    </w:p>
  </w:footnote>
  <w:footnote w:id="5">
    <w:p w14:paraId="12DA7920" w14:textId="77777777" w:rsidR="00C9746C" w:rsidRPr="00C64003" w:rsidRDefault="00C9746C">
      <w:pPr>
        <w:pStyle w:val="FootnoteText"/>
        <w:rPr>
          <w:rFonts w:ascii="Times New Roman" w:hAnsi="Times New Roman" w:cs="Times New Roman"/>
        </w:rPr>
      </w:pPr>
      <w:r w:rsidRPr="00C64003">
        <w:rPr>
          <w:rStyle w:val="FootnoteReference"/>
          <w:rFonts w:ascii="Times New Roman" w:hAnsi="Times New Roman" w:cs="Times New Roman"/>
        </w:rPr>
        <w:footnoteRef/>
      </w:r>
      <w:r w:rsidRPr="00C64003">
        <w:rPr>
          <w:rFonts w:ascii="Times New Roman" w:hAnsi="Times New Roman" w:cs="Times New Roman"/>
        </w:rPr>
        <w:t xml:space="preserve"> Likuma </w:t>
      </w:r>
      <w:r>
        <w:rPr>
          <w:rFonts w:ascii="Times New Roman" w:hAnsi="Times New Roman" w:cs="Times New Roman"/>
        </w:rPr>
        <w:t>“</w:t>
      </w:r>
      <w:r w:rsidRPr="00C64003">
        <w:rPr>
          <w:rFonts w:ascii="Times New Roman" w:hAnsi="Times New Roman" w:cs="Times New Roman"/>
        </w:rPr>
        <w:t>Par nodokļiem un nodevām</w:t>
      </w:r>
      <w:r>
        <w:rPr>
          <w:rFonts w:ascii="Times New Roman" w:hAnsi="Times New Roman" w:cs="Times New Roman"/>
        </w:rPr>
        <w:t>”</w:t>
      </w:r>
      <w:r w:rsidRPr="00C64003">
        <w:rPr>
          <w:rFonts w:ascii="Times New Roman" w:hAnsi="Times New Roman" w:cs="Times New Roman"/>
        </w:rPr>
        <w:t xml:space="preserve"> 116.panta 9.punkts, 117.panta 4.punkts</w:t>
      </w:r>
      <w:r>
        <w:rPr>
          <w:rFonts w:ascii="Times New Roman" w:hAnsi="Times New Roman" w:cs="Times New Roman"/>
        </w:rPr>
        <w:t>.</w:t>
      </w:r>
    </w:p>
  </w:footnote>
  <w:footnote w:id="6">
    <w:p w14:paraId="62658256" w14:textId="77777777" w:rsidR="00C9746C" w:rsidRDefault="00C9746C" w:rsidP="004B5136">
      <w:pPr>
        <w:pStyle w:val="FootnoteText"/>
      </w:pPr>
      <w:r w:rsidRPr="006A6FE6">
        <w:rPr>
          <w:rStyle w:val="FootnoteReference"/>
          <w:rFonts w:ascii="Times New Roman" w:hAnsi="Times New Roman" w:cs="Times New Roman"/>
        </w:rPr>
        <w:footnoteRef/>
      </w:r>
      <w:r w:rsidRPr="006A6FE6">
        <w:rPr>
          <w:rFonts w:ascii="Times New Roman" w:hAnsi="Times New Roman" w:cs="Times New Roman"/>
        </w:rPr>
        <w:t xml:space="preserve"> </w:t>
      </w:r>
      <w:r w:rsidRPr="006A6FE6">
        <w:rPr>
          <w:rFonts w:ascii="Times New Roman" w:hAnsi="Times New Roman" w:cs="Times New Roman"/>
          <w:i/>
        </w:rPr>
        <w:t>NACE</w:t>
      </w:r>
      <w:r w:rsidRPr="006A6FE6">
        <w:rPr>
          <w:rFonts w:ascii="Times New Roman" w:hAnsi="Times New Roman" w:cs="Times New Roman"/>
        </w:rPr>
        <w:t xml:space="preserve"> 2.redakcijas apkopojošie kodi: 41</w:t>
      </w:r>
      <w:r>
        <w:rPr>
          <w:rFonts w:ascii="Times New Roman" w:hAnsi="Times New Roman" w:cs="Times New Roman"/>
        </w:rPr>
        <w:t> </w:t>
      </w:r>
      <w:r w:rsidRPr="006A6FE6">
        <w:rPr>
          <w:rFonts w:ascii="Times New Roman" w:hAnsi="Times New Roman" w:cs="Times New Roman"/>
        </w:rPr>
        <w:t>– Ēku būvniecība; 42</w:t>
      </w:r>
      <w:r>
        <w:rPr>
          <w:rFonts w:ascii="Times New Roman" w:hAnsi="Times New Roman" w:cs="Times New Roman"/>
        </w:rPr>
        <w:t> </w:t>
      </w:r>
      <w:r w:rsidRPr="006A6FE6">
        <w:rPr>
          <w:rFonts w:ascii="Times New Roman" w:hAnsi="Times New Roman" w:cs="Times New Roman"/>
        </w:rPr>
        <w:t xml:space="preserve">– </w:t>
      </w:r>
      <w:proofErr w:type="spellStart"/>
      <w:r w:rsidRPr="006A6FE6">
        <w:rPr>
          <w:rFonts w:ascii="Times New Roman" w:hAnsi="Times New Roman" w:cs="Times New Roman"/>
        </w:rPr>
        <w:t>Inženierbūvniecība</w:t>
      </w:r>
      <w:proofErr w:type="spellEnd"/>
      <w:r w:rsidRPr="006A6FE6">
        <w:rPr>
          <w:rFonts w:ascii="Times New Roman" w:hAnsi="Times New Roman" w:cs="Times New Roman"/>
        </w:rPr>
        <w:t>; 43</w:t>
      </w:r>
      <w:r>
        <w:rPr>
          <w:rFonts w:ascii="Times New Roman" w:hAnsi="Times New Roman" w:cs="Times New Roman"/>
        </w:rPr>
        <w:t> </w:t>
      </w:r>
      <w:r w:rsidRPr="006A6FE6">
        <w:rPr>
          <w:rFonts w:ascii="Times New Roman" w:hAnsi="Times New Roman" w:cs="Times New Roman"/>
        </w:rPr>
        <w:t>– Specializētie būvdarbi</w:t>
      </w:r>
      <w:r>
        <w:rPr>
          <w:rFonts w:ascii="Times New Roman" w:hAnsi="Times New Roman" w:cs="Times New Roman"/>
        </w:rPr>
        <w:t>.</w:t>
      </w:r>
    </w:p>
  </w:footnote>
  <w:footnote w:id="7">
    <w:p w14:paraId="6B46028B" w14:textId="77777777" w:rsidR="00C9746C" w:rsidRPr="006A6FE6" w:rsidRDefault="00C9746C" w:rsidP="005E08CF">
      <w:pPr>
        <w:pStyle w:val="FootnoteText"/>
        <w:jc w:val="both"/>
        <w:rPr>
          <w:rFonts w:ascii="Times New Roman" w:hAnsi="Times New Roman" w:cs="Times New Roman"/>
        </w:rPr>
      </w:pPr>
      <w:r w:rsidRPr="006A6FE6">
        <w:rPr>
          <w:rStyle w:val="FootnoteReference"/>
          <w:rFonts w:ascii="Times New Roman" w:hAnsi="Times New Roman" w:cs="Times New Roman"/>
        </w:rPr>
        <w:footnoteRef/>
      </w:r>
      <w:r w:rsidRPr="006A6FE6">
        <w:rPr>
          <w:rFonts w:ascii="Times New Roman" w:hAnsi="Times New Roman" w:cs="Times New Roman"/>
        </w:rPr>
        <w:t xml:space="preserve"> </w:t>
      </w:r>
      <w:r>
        <w:rPr>
          <w:rFonts w:ascii="Times New Roman" w:hAnsi="Times New Roman" w:cs="Times New Roman"/>
        </w:rPr>
        <w:t>I</w:t>
      </w:r>
      <w:r w:rsidRPr="005E7184">
        <w:rPr>
          <w:rFonts w:ascii="Times New Roman" w:hAnsi="Times New Roman" w:cs="Times New Roman"/>
        </w:rPr>
        <w:t xml:space="preserve">zņemot vieglo automobiļu un motociklu nodokļa, transportlīdzekļa ekspluatācijas nodokļa un uzņēmumu vieglo transportlīdzekļu nodokļa ieņēmumus, jo maksājumi, kas veikti VAS </w:t>
      </w:r>
      <w:r>
        <w:rPr>
          <w:rFonts w:ascii="Times New Roman" w:hAnsi="Times New Roman" w:cs="Times New Roman"/>
        </w:rPr>
        <w:t>“</w:t>
      </w:r>
      <w:r w:rsidRPr="005E7184">
        <w:rPr>
          <w:rFonts w:ascii="Times New Roman" w:hAnsi="Times New Roman" w:cs="Times New Roman"/>
        </w:rPr>
        <w:t>Ceļu satiksmes drošības direkcij</w:t>
      </w:r>
      <w:r>
        <w:rPr>
          <w:rFonts w:ascii="Times New Roman" w:hAnsi="Times New Roman" w:cs="Times New Roman"/>
        </w:rPr>
        <w:t>a”</w:t>
      </w:r>
      <w:r w:rsidRPr="005E7184">
        <w:rPr>
          <w:rFonts w:ascii="Times New Roman" w:hAnsi="Times New Roman" w:cs="Times New Roman"/>
        </w:rPr>
        <w:t xml:space="preserve"> (tehniskās apskates stacijās), VID datubāzē netiek piesaistīti nodokļu maksātājiem.</w:t>
      </w:r>
    </w:p>
  </w:footnote>
  <w:footnote w:id="8">
    <w:p w14:paraId="77DC7E83" w14:textId="77777777" w:rsidR="00C9746C" w:rsidRPr="00D06664" w:rsidRDefault="00C9746C" w:rsidP="005E08CF">
      <w:pPr>
        <w:pStyle w:val="FootnoteText"/>
        <w:jc w:val="both"/>
        <w:rPr>
          <w:rFonts w:ascii="Times New Roman" w:hAnsi="Times New Roman" w:cs="Times New Roman"/>
        </w:rPr>
      </w:pPr>
      <w:r w:rsidRPr="00D06664">
        <w:rPr>
          <w:rStyle w:val="FootnoteReference"/>
          <w:rFonts w:ascii="Times New Roman" w:hAnsi="Times New Roman" w:cs="Times New Roman"/>
        </w:rPr>
        <w:footnoteRef/>
      </w:r>
      <w:r w:rsidRPr="00D06664">
        <w:rPr>
          <w:rFonts w:ascii="Times New Roman" w:hAnsi="Times New Roman" w:cs="Times New Roman"/>
        </w:rPr>
        <w:t xml:space="preserve"> Nodarbinātā ienākumi tiek saskaitīti, ja nodarbinātais vienlaikus strādā pie vairākiem darba devējiem, informācija no pārskatiem </w:t>
      </w:r>
      <w:r>
        <w:rPr>
          <w:rFonts w:ascii="Times New Roman" w:hAnsi="Times New Roman" w:cs="Times New Roman"/>
        </w:rPr>
        <w:t>“</w:t>
      </w:r>
      <w:r w:rsidRPr="00D06664">
        <w:rPr>
          <w:rFonts w:ascii="Times New Roman" w:hAnsi="Times New Roman" w:cs="Times New Roman"/>
        </w:rPr>
        <w:t>Ziņojums par valsts sociālās apdrošināšanas obligātajām iemaksām no darba ņēmēju darba ienākumiem, iedzīvotāju ienākuma nodokli un uzņēmējdarbības riska valsts nodevu pārskata mēnesī</w:t>
      </w:r>
      <w:r>
        <w:rPr>
          <w:rFonts w:ascii="Times New Roman" w:hAnsi="Times New Roman" w:cs="Times New Roman"/>
        </w:rPr>
        <w:t>”.</w:t>
      </w:r>
    </w:p>
  </w:footnote>
  <w:footnote w:id="9">
    <w:p w14:paraId="60EE56B5" w14:textId="77777777" w:rsidR="00C9746C" w:rsidRPr="00D06664" w:rsidRDefault="00C9746C" w:rsidP="004B5136">
      <w:pPr>
        <w:pStyle w:val="FootnoteText"/>
        <w:rPr>
          <w:rFonts w:ascii="Times New Roman" w:hAnsi="Times New Roman" w:cs="Times New Roman"/>
        </w:rPr>
      </w:pPr>
      <w:r w:rsidRPr="00D06664">
        <w:rPr>
          <w:rStyle w:val="FootnoteReference"/>
          <w:rFonts w:ascii="Times New Roman" w:hAnsi="Times New Roman" w:cs="Times New Roman"/>
        </w:rPr>
        <w:footnoteRef/>
      </w:r>
      <w:r w:rsidRPr="00D06664">
        <w:rPr>
          <w:rFonts w:ascii="Times New Roman" w:hAnsi="Times New Roman" w:cs="Times New Roman"/>
        </w:rPr>
        <w:t xml:space="preserve"> Minimālā alga 2017.gadā </w:t>
      </w:r>
      <w:r>
        <w:rPr>
          <w:rFonts w:ascii="Times New Roman" w:hAnsi="Times New Roman" w:cs="Times New Roman"/>
        </w:rPr>
        <w:t>–</w:t>
      </w:r>
      <w:r w:rsidRPr="00D06664">
        <w:rPr>
          <w:rFonts w:ascii="Times New Roman" w:hAnsi="Times New Roman" w:cs="Times New Roman"/>
        </w:rPr>
        <w:t xml:space="preserve"> 380 </w:t>
      </w:r>
      <w:proofErr w:type="spellStart"/>
      <w:r w:rsidRPr="006610D8">
        <w:rPr>
          <w:rFonts w:ascii="Times New Roman" w:hAnsi="Times New Roman" w:cs="Times New Roman"/>
          <w:i/>
          <w:iCs/>
        </w:rPr>
        <w:t>euro</w:t>
      </w:r>
      <w:proofErr w:type="spellEnd"/>
      <w:r w:rsidRPr="00D06664">
        <w:rPr>
          <w:rFonts w:ascii="Times New Roman" w:hAnsi="Times New Roman" w:cs="Times New Roman"/>
        </w:rPr>
        <w:t xml:space="preserve">, 2018. un 2019.gadā </w:t>
      </w:r>
      <w:r>
        <w:rPr>
          <w:rFonts w:ascii="Times New Roman" w:hAnsi="Times New Roman" w:cs="Times New Roman"/>
        </w:rPr>
        <w:t>–</w:t>
      </w:r>
      <w:r w:rsidRPr="00D06664">
        <w:rPr>
          <w:rFonts w:ascii="Times New Roman" w:hAnsi="Times New Roman" w:cs="Times New Roman"/>
        </w:rPr>
        <w:t xml:space="preserve"> 430 </w:t>
      </w:r>
      <w:proofErr w:type="spellStart"/>
      <w:r w:rsidRPr="006610D8">
        <w:rPr>
          <w:rFonts w:ascii="Times New Roman" w:hAnsi="Times New Roman" w:cs="Times New Roman"/>
          <w:i/>
          <w:iCs/>
        </w:rPr>
        <w:t>euro</w:t>
      </w:r>
      <w:proofErr w:type="spellEnd"/>
      <w:r w:rsidRPr="00D06664">
        <w:rPr>
          <w:rFonts w:ascii="Times New Roman" w:hAnsi="Times New Roman" w:cs="Times New Roman"/>
        </w:rPr>
        <w:t>.</w:t>
      </w:r>
    </w:p>
  </w:footnote>
  <w:footnote w:id="10">
    <w:p w14:paraId="328145FB" w14:textId="77777777" w:rsidR="00C9746C" w:rsidRPr="00E11E99" w:rsidRDefault="00C9746C" w:rsidP="006610D8">
      <w:pPr>
        <w:pStyle w:val="FootnoteText"/>
        <w:jc w:val="both"/>
        <w:rPr>
          <w:color w:val="FF0000"/>
        </w:rPr>
      </w:pPr>
      <w:r w:rsidRPr="009D4ED2">
        <w:rPr>
          <w:rStyle w:val="FootnoteReference"/>
          <w:rFonts w:ascii="Times New Roman" w:hAnsi="Times New Roman" w:cs="Times New Roman"/>
        </w:rPr>
        <w:footnoteRef/>
      </w:r>
      <w:r w:rsidRPr="009D4ED2">
        <w:rPr>
          <w:rFonts w:ascii="Times New Roman" w:hAnsi="Times New Roman" w:cs="Times New Roman"/>
        </w:rPr>
        <w:t xml:space="preserve"> </w:t>
      </w:r>
      <w:proofErr w:type="spellStart"/>
      <w:r w:rsidRPr="009D4ED2">
        <w:rPr>
          <w:rFonts w:ascii="Times New Roman" w:hAnsi="Times New Roman" w:cs="Times New Roman"/>
        </w:rPr>
        <w:t>Ģenerālvienošanās</w:t>
      </w:r>
      <w:proofErr w:type="spellEnd"/>
      <w:r w:rsidRPr="009D4ED2">
        <w:rPr>
          <w:rFonts w:ascii="Times New Roman" w:hAnsi="Times New Roman" w:cs="Times New Roman"/>
        </w:rPr>
        <w:t xml:space="preserve"> par minimālo algu būvniecībā nosaka minimālo bruto algu 780</w:t>
      </w:r>
      <w:r>
        <w:rPr>
          <w:rFonts w:ascii="Times New Roman" w:hAnsi="Times New Roman" w:cs="Times New Roman"/>
        </w:rPr>
        <w:t> </w:t>
      </w:r>
      <w:proofErr w:type="spellStart"/>
      <w:r w:rsidRPr="006610D8">
        <w:rPr>
          <w:rFonts w:ascii="Times New Roman" w:hAnsi="Times New Roman" w:cs="Times New Roman"/>
          <w:i/>
          <w:iCs/>
        </w:rPr>
        <w:t>euro</w:t>
      </w:r>
      <w:proofErr w:type="spellEnd"/>
      <w:r w:rsidRPr="009D4ED2">
        <w:rPr>
          <w:rFonts w:ascii="Times New Roman" w:hAnsi="Times New Roman" w:cs="Times New Roman"/>
        </w:rPr>
        <w:t xml:space="preserve"> mēnesī, minimālo stundas tarifa likmi 4,67</w:t>
      </w:r>
      <w:r>
        <w:rPr>
          <w:rFonts w:ascii="Times New Roman" w:hAnsi="Times New Roman" w:cs="Times New Roman"/>
        </w:rPr>
        <w:t> </w:t>
      </w:r>
      <w:proofErr w:type="spellStart"/>
      <w:r w:rsidRPr="006610D8">
        <w:rPr>
          <w:rFonts w:ascii="Times New Roman" w:hAnsi="Times New Roman" w:cs="Times New Roman"/>
          <w:i/>
          <w:iCs/>
        </w:rPr>
        <w:t>euro</w:t>
      </w:r>
      <w:proofErr w:type="spellEnd"/>
      <w:r w:rsidRPr="009D4ED2">
        <w:rPr>
          <w:rFonts w:ascii="Times New Roman" w:hAnsi="Times New Roman" w:cs="Times New Roman"/>
        </w:rPr>
        <w:t xml:space="preserve"> un obligātu 5</w:t>
      </w:r>
      <w:r>
        <w:rPr>
          <w:rFonts w:ascii="Times New Roman" w:hAnsi="Times New Roman" w:cs="Times New Roman"/>
        </w:rPr>
        <w:t> </w:t>
      </w:r>
      <w:r w:rsidRPr="009D4ED2">
        <w:rPr>
          <w:rFonts w:ascii="Times New Roman" w:hAnsi="Times New Roman" w:cs="Times New Roman"/>
        </w:rPr>
        <w:t>% piemaksu, ja nodarbinātais ir ieguvis profesijai atbilstošu izglītību. Līdz 2020.gada 2.maijam uzņēmumiem ir iespēja piemērot pārejas periodu, nosakot minimālo mēneša algu 650</w:t>
      </w:r>
      <w:r>
        <w:rPr>
          <w:rFonts w:ascii="Times New Roman" w:hAnsi="Times New Roman" w:cs="Times New Roman"/>
        </w:rPr>
        <w:t> </w:t>
      </w:r>
      <w:proofErr w:type="spellStart"/>
      <w:r w:rsidRPr="006610D8">
        <w:rPr>
          <w:rFonts w:ascii="Times New Roman" w:hAnsi="Times New Roman" w:cs="Times New Roman"/>
          <w:i/>
          <w:iCs/>
        </w:rPr>
        <w:t>euro</w:t>
      </w:r>
      <w:proofErr w:type="spellEnd"/>
      <w:r w:rsidRPr="009D4ED2">
        <w:rPr>
          <w:rFonts w:ascii="Times New Roman" w:hAnsi="Times New Roman" w:cs="Times New Roman"/>
        </w:rPr>
        <w:t xml:space="preserve"> un minimālo stundas tarifa likmi 3,89</w:t>
      </w:r>
      <w:r>
        <w:rPr>
          <w:rFonts w:ascii="Times New Roman" w:hAnsi="Times New Roman" w:cs="Times New Roman"/>
        </w:rPr>
        <w:t> </w:t>
      </w:r>
      <w:proofErr w:type="spellStart"/>
      <w:r w:rsidRPr="006610D8">
        <w:rPr>
          <w:rFonts w:ascii="Times New Roman" w:hAnsi="Times New Roman" w:cs="Times New Roman"/>
          <w:i/>
          <w:iCs/>
        </w:rPr>
        <w:t>euro</w:t>
      </w:r>
      <w:proofErr w:type="spellEnd"/>
      <w:r w:rsidRPr="009D4ED2">
        <w:rPr>
          <w:rFonts w:ascii="Times New Roman" w:hAnsi="Times New Roman" w:cs="Times New Roman"/>
        </w:rPr>
        <w:t>.</w:t>
      </w:r>
    </w:p>
  </w:footnote>
  <w:footnote w:id="11">
    <w:p w14:paraId="24667B10" w14:textId="77777777" w:rsidR="00C9746C" w:rsidRPr="008A5029" w:rsidRDefault="00C9746C" w:rsidP="006610D8">
      <w:pPr>
        <w:pStyle w:val="FootnoteText"/>
        <w:jc w:val="both"/>
        <w:rPr>
          <w:rFonts w:ascii="Times New Roman" w:hAnsi="Times New Roman" w:cs="Times New Roman"/>
        </w:rPr>
      </w:pPr>
      <w:r w:rsidRPr="008A5029">
        <w:rPr>
          <w:rStyle w:val="FootnoteReference"/>
          <w:rFonts w:ascii="Times New Roman" w:hAnsi="Times New Roman" w:cs="Times New Roman"/>
        </w:rPr>
        <w:footnoteRef/>
      </w:r>
      <w:r w:rsidRPr="008A5029">
        <w:rPr>
          <w:rFonts w:ascii="Times New Roman" w:hAnsi="Times New Roman" w:cs="Times New Roman"/>
        </w:rPr>
        <w:t xml:space="preserve"> Nodarbinātā ienākumi tiek saskaitīti, ja nodarbinātais vienlaikus strādā pie vairākiem darba devējiem, informācija no pārskatiem </w:t>
      </w:r>
      <w:r>
        <w:rPr>
          <w:rFonts w:ascii="Times New Roman" w:hAnsi="Times New Roman" w:cs="Times New Roman"/>
        </w:rPr>
        <w:t>“</w:t>
      </w:r>
      <w:r w:rsidRPr="008A5029">
        <w:rPr>
          <w:rFonts w:ascii="Times New Roman" w:hAnsi="Times New Roman" w:cs="Times New Roman"/>
        </w:rPr>
        <w:t>Ziņojums par valsts sociālās apdrošināšanas obligātajām iemaksām no darba ņēmēju darba ienākumiem, iedzīvotāju ienākuma nodokli un uzņēmējdarbības riska valsts nodevu pārskata mēnesī</w:t>
      </w:r>
      <w:r>
        <w:rPr>
          <w:rFonts w:ascii="Times New Roman" w:hAnsi="Times New Roman" w:cs="Times New Roman"/>
        </w:rPr>
        <w:t>”.</w:t>
      </w:r>
    </w:p>
  </w:footnote>
  <w:footnote w:id="12">
    <w:p w14:paraId="0A8BD63A" w14:textId="77777777" w:rsidR="00C9746C" w:rsidRDefault="00C9746C" w:rsidP="006610D8">
      <w:pPr>
        <w:pStyle w:val="FootnoteText"/>
        <w:jc w:val="both"/>
      </w:pPr>
      <w:r w:rsidRPr="008A5029">
        <w:rPr>
          <w:rStyle w:val="FootnoteReference"/>
          <w:rFonts w:ascii="Times New Roman" w:hAnsi="Times New Roman" w:cs="Times New Roman"/>
        </w:rPr>
        <w:footnoteRef/>
      </w:r>
      <w:r w:rsidRPr="008A5029">
        <w:rPr>
          <w:rFonts w:ascii="Times New Roman" w:hAnsi="Times New Roman" w:cs="Times New Roman"/>
        </w:rPr>
        <w:t xml:space="preserve"> Minimālā alga 2017.gadā </w:t>
      </w:r>
      <w:r>
        <w:rPr>
          <w:rFonts w:ascii="Times New Roman" w:hAnsi="Times New Roman" w:cs="Times New Roman"/>
        </w:rPr>
        <w:t>–</w:t>
      </w:r>
      <w:r w:rsidRPr="008A5029">
        <w:rPr>
          <w:rFonts w:ascii="Times New Roman" w:hAnsi="Times New Roman" w:cs="Times New Roman"/>
        </w:rPr>
        <w:t xml:space="preserve"> 380 </w:t>
      </w:r>
      <w:proofErr w:type="spellStart"/>
      <w:r w:rsidRPr="006610D8">
        <w:rPr>
          <w:rFonts w:ascii="Times New Roman" w:hAnsi="Times New Roman" w:cs="Times New Roman"/>
          <w:i/>
          <w:iCs/>
        </w:rPr>
        <w:t>euro</w:t>
      </w:r>
      <w:proofErr w:type="spellEnd"/>
      <w:r>
        <w:rPr>
          <w:rFonts w:ascii="Times New Roman" w:hAnsi="Times New Roman" w:cs="Times New Roman"/>
        </w:rPr>
        <w:t xml:space="preserve"> </w:t>
      </w:r>
      <w:r w:rsidRPr="008A5029">
        <w:rPr>
          <w:rFonts w:ascii="Times New Roman" w:hAnsi="Times New Roman" w:cs="Times New Roman"/>
        </w:rPr>
        <w:t xml:space="preserve">, 2018., 2019. un 2020.gadā </w:t>
      </w:r>
      <w:r>
        <w:rPr>
          <w:rFonts w:ascii="Times New Roman" w:hAnsi="Times New Roman" w:cs="Times New Roman"/>
        </w:rPr>
        <w:t>–</w:t>
      </w:r>
      <w:r w:rsidRPr="008A5029">
        <w:rPr>
          <w:rFonts w:ascii="Times New Roman" w:hAnsi="Times New Roman" w:cs="Times New Roman"/>
        </w:rPr>
        <w:t xml:space="preserve"> 430 </w:t>
      </w:r>
      <w:proofErr w:type="spellStart"/>
      <w:r w:rsidRPr="006610D8">
        <w:rPr>
          <w:rFonts w:ascii="Times New Roman" w:hAnsi="Times New Roman" w:cs="Times New Roman"/>
          <w:i/>
          <w:iCs/>
        </w:rPr>
        <w:t>e</w:t>
      </w:r>
      <w:r>
        <w:rPr>
          <w:rFonts w:ascii="Times New Roman" w:hAnsi="Times New Roman" w:cs="Times New Roman"/>
          <w:i/>
          <w:iCs/>
        </w:rPr>
        <w:t>u</w:t>
      </w:r>
      <w:r w:rsidRPr="006610D8">
        <w:rPr>
          <w:rFonts w:ascii="Times New Roman" w:hAnsi="Times New Roman" w:cs="Times New Roman"/>
          <w:i/>
          <w:iCs/>
        </w:rPr>
        <w:t>ro</w:t>
      </w:r>
      <w:proofErr w:type="spellEnd"/>
      <w:r w:rsidRPr="008A5029">
        <w:rPr>
          <w:rFonts w:ascii="Times New Roman" w:hAnsi="Times New Roman" w:cs="Times New Roman"/>
        </w:rPr>
        <w:t>.</w:t>
      </w:r>
    </w:p>
  </w:footnote>
  <w:footnote w:id="13">
    <w:p w14:paraId="31A63880" w14:textId="77777777" w:rsidR="00C9746C" w:rsidRPr="008A5029" w:rsidRDefault="00C9746C" w:rsidP="006610D8">
      <w:pPr>
        <w:pStyle w:val="FootnoteText"/>
        <w:jc w:val="both"/>
        <w:rPr>
          <w:rFonts w:ascii="Times New Roman" w:hAnsi="Times New Roman" w:cs="Times New Roman"/>
        </w:rPr>
      </w:pPr>
      <w:r w:rsidRPr="008A5029">
        <w:rPr>
          <w:rStyle w:val="FootnoteReference"/>
          <w:rFonts w:ascii="Times New Roman" w:hAnsi="Times New Roman" w:cs="Times New Roman"/>
        </w:rPr>
        <w:footnoteRef/>
      </w:r>
      <w:r w:rsidRPr="008A5029">
        <w:rPr>
          <w:rFonts w:ascii="Times New Roman" w:hAnsi="Times New Roman" w:cs="Times New Roman"/>
        </w:rPr>
        <w:t xml:space="preserve"> Nodarbinātā ienākumi tiek saskaitīti, ja nodarbinātais vienlaikus strādā pie vairākiem darba devējiem, informācija no pārskatiem </w:t>
      </w:r>
      <w:r>
        <w:rPr>
          <w:rFonts w:ascii="Times New Roman" w:hAnsi="Times New Roman" w:cs="Times New Roman"/>
        </w:rPr>
        <w:t>“</w:t>
      </w:r>
      <w:r w:rsidRPr="008A5029">
        <w:rPr>
          <w:rFonts w:ascii="Times New Roman" w:hAnsi="Times New Roman" w:cs="Times New Roman"/>
        </w:rPr>
        <w:t>Ziņojums par valsts sociālās apdrošināšanas obligātajām iemaksām no darba ņēmēju darba ienākumiem, iedzīvotāju ienākuma nodokli un uzņēmējdarbības riska valsts nodevu pārskata mēnesī</w:t>
      </w:r>
      <w:r>
        <w:rPr>
          <w:rFonts w:ascii="Times New Roman" w:hAnsi="Times New Roman" w:cs="Times New Roman"/>
        </w:rPr>
        <w:t>”.</w:t>
      </w:r>
    </w:p>
  </w:footnote>
  <w:footnote w:id="14">
    <w:p w14:paraId="50D260A3" w14:textId="19F200DD" w:rsidR="00C9746C" w:rsidRPr="007A03C3" w:rsidRDefault="00C9746C" w:rsidP="006610D8">
      <w:pPr>
        <w:pStyle w:val="FootnoteText"/>
        <w:jc w:val="both"/>
        <w:rPr>
          <w:rFonts w:ascii="Times New Roman" w:hAnsi="Times New Roman" w:cs="Times New Roman"/>
        </w:rPr>
      </w:pPr>
      <w:r w:rsidRPr="00CC2C0F">
        <w:rPr>
          <w:rStyle w:val="FootnoteReference"/>
          <w:rFonts w:ascii="Times New Roman" w:hAnsi="Times New Roman" w:cs="Times New Roman"/>
        </w:rPr>
        <w:footnoteRef/>
      </w:r>
      <w:r w:rsidRPr="00CC2C0F">
        <w:rPr>
          <w:rFonts w:ascii="Times New Roman" w:hAnsi="Times New Roman" w:cs="Times New Roman"/>
        </w:rPr>
        <w:t xml:space="preserve"> </w:t>
      </w:r>
      <w:r w:rsidRPr="007A03C3">
        <w:rPr>
          <w:rFonts w:ascii="Times New Roman" w:hAnsi="Times New Roman" w:cs="Times New Roman"/>
        </w:rPr>
        <w:t>Pēc VID “aplokšņu</w:t>
      </w:r>
      <w:r>
        <w:rPr>
          <w:rFonts w:ascii="Times New Roman" w:hAnsi="Times New Roman" w:cs="Times New Roman"/>
        </w:rPr>
        <w:t xml:space="preserve"> </w:t>
      </w:r>
      <w:r w:rsidRPr="007A03C3">
        <w:rPr>
          <w:rFonts w:ascii="Times New Roman" w:hAnsi="Times New Roman" w:cs="Times New Roman"/>
        </w:rPr>
        <w:t>”algas metodoloģijas</w:t>
      </w:r>
      <w:r w:rsidRPr="005E08CF">
        <w:rPr>
          <w:rFonts w:ascii="Times New Roman" w:hAnsi="Times New Roman" w:cs="Times New Roman"/>
        </w:rPr>
        <w:t>“</w:t>
      </w:r>
      <w:r>
        <w:rPr>
          <w:rFonts w:ascii="Times New Roman" w:hAnsi="Times New Roman" w:cs="Times New Roman"/>
        </w:rPr>
        <w:t xml:space="preserve"> </w:t>
      </w:r>
      <w:r w:rsidRPr="005E08CF">
        <w:rPr>
          <w:rFonts w:ascii="Times New Roman" w:hAnsi="Times New Roman" w:cs="Times New Roman"/>
        </w:rPr>
        <w:t xml:space="preserve">aplokšņu” alga tiek identificēta, ja darba ņēmēja (konkrētajai profesijai) izmaksātais atalgojums vispārīgajā nodokļu režīma sistemātiski ir zem nozares un reģiona vidējā atalgojuma.  Ja šāda īpatnība tiek identificēta, vismaz piecus mēnešus un pārsniedz 100 </w:t>
      </w:r>
      <w:proofErr w:type="spellStart"/>
      <w:r w:rsidRPr="005E08CF">
        <w:rPr>
          <w:rFonts w:ascii="Times New Roman" w:hAnsi="Times New Roman" w:cs="Times New Roman"/>
          <w:i/>
          <w:iCs/>
        </w:rPr>
        <w:t>euro</w:t>
      </w:r>
      <w:proofErr w:type="spellEnd"/>
      <w:r w:rsidRPr="005E08CF">
        <w:rPr>
          <w:rFonts w:ascii="Times New Roman" w:hAnsi="Times New Roman" w:cs="Times New Roman"/>
        </w:rPr>
        <w:t xml:space="preserve"> mēnesī, tad VID ir </w:t>
      </w:r>
      <w:r w:rsidRPr="005B429D">
        <w:rPr>
          <w:rFonts w:ascii="Times New Roman" w:hAnsi="Times New Roman" w:cs="Times New Roman"/>
        </w:rPr>
        <w:t>pamats uzskatīt, ka darba ņēmējam tiek izmaksāta papildus atlīdzība “aploksnē”.</w:t>
      </w:r>
      <w:r w:rsidRPr="005B429D">
        <w:t xml:space="preserve"> </w:t>
      </w:r>
      <w:r w:rsidRPr="005B429D">
        <w:rPr>
          <w:rFonts w:ascii="Times New Roman" w:hAnsi="Times New Roman" w:cs="Times New Roman"/>
        </w:rPr>
        <w:t>Ņemot vērā, ka Latvijā un nozarē atalgojums ir pieaudzis,  tā salīdzināšanas bāze pieaug.</w:t>
      </w:r>
    </w:p>
  </w:footnote>
  <w:footnote w:id="15">
    <w:p w14:paraId="31D23AC3" w14:textId="77777777" w:rsidR="00C9746C" w:rsidRPr="00787894" w:rsidRDefault="00C9746C" w:rsidP="00E27777">
      <w:pPr>
        <w:pStyle w:val="FootnoteText"/>
        <w:jc w:val="both"/>
        <w:rPr>
          <w:rFonts w:ascii="Times New Roman" w:hAnsi="Times New Roman" w:cs="Times New Roman"/>
        </w:rPr>
      </w:pPr>
      <w:r w:rsidRPr="00787894">
        <w:rPr>
          <w:rStyle w:val="FootnoteReference"/>
          <w:rFonts w:ascii="Times New Roman" w:hAnsi="Times New Roman" w:cs="Times New Roman"/>
        </w:rPr>
        <w:footnoteRef/>
      </w:r>
      <w:r w:rsidRPr="00787894">
        <w:rPr>
          <w:rFonts w:ascii="Times New Roman" w:hAnsi="Times New Roman" w:cs="Times New Roman"/>
        </w:rPr>
        <w:t xml:space="preserve"> Vidējie rādītāji gadā, kas aprēķināti, izmantojot </w:t>
      </w:r>
      <w:proofErr w:type="spellStart"/>
      <w:r w:rsidRPr="00787894">
        <w:rPr>
          <w:rFonts w:ascii="Times New Roman" w:hAnsi="Times New Roman" w:cs="Times New Roman"/>
        </w:rPr>
        <w:t>mikrouzņēmumu</w:t>
      </w:r>
      <w:proofErr w:type="spellEnd"/>
      <w:r w:rsidRPr="00787894">
        <w:rPr>
          <w:rFonts w:ascii="Times New Roman" w:hAnsi="Times New Roman" w:cs="Times New Roman"/>
        </w:rPr>
        <w:t xml:space="preserve"> deklarācijās norādītos datus. Ja darba ņēmējs nav bijis darba tiesiskajās attiecībās visus mēnešus pārskata ceturksnī, tad mēnešos, kuros viņš nav strādājis, ienākumu ailē tiek </w:t>
      </w:r>
      <w:r>
        <w:rPr>
          <w:rFonts w:ascii="Times New Roman" w:hAnsi="Times New Roman" w:cs="Times New Roman"/>
        </w:rPr>
        <w:t>no</w:t>
      </w:r>
      <w:r w:rsidRPr="00787894">
        <w:rPr>
          <w:rFonts w:ascii="Times New Roman" w:hAnsi="Times New Roman" w:cs="Times New Roman"/>
        </w:rPr>
        <w:t xml:space="preserve">rādīta nulle.  </w:t>
      </w:r>
    </w:p>
  </w:footnote>
  <w:footnote w:id="16">
    <w:p w14:paraId="5430ADD5" w14:textId="5F29A7A4" w:rsidR="00C9746C" w:rsidRPr="00E27777" w:rsidRDefault="00C9746C" w:rsidP="00E27777">
      <w:pPr>
        <w:pStyle w:val="FootnoteText"/>
        <w:jc w:val="both"/>
        <w:rPr>
          <w:rFonts w:ascii="Times New Roman" w:hAnsi="Times New Roman" w:cs="Times New Roman"/>
        </w:rPr>
      </w:pPr>
      <w:r w:rsidRPr="005B429D">
        <w:rPr>
          <w:rStyle w:val="FootnoteReference"/>
          <w:rFonts w:ascii="Times New Roman" w:hAnsi="Times New Roman" w:cs="Times New Roman"/>
        </w:rPr>
        <w:footnoteRef/>
      </w:r>
      <w:r w:rsidRPr="005B429D">
        <w:rPr>
          <w:rFonts w:ascii="Times New Roman" w:hAnsi="Times New Roman" w:cs="Times New Roman"/>
        </w:rPr>
        <w:t xml:space="preserve"> Tiek salīdzināti </w:t>
      </w:r>
      <w:proofErr w:type="spellStart"/>
      <w:r w:rsidRPr="005B429D">
        <w:rPr>
          <w:rFonts w:ascii="Times New Roman" w:hAnsi="Times New Roman" w:cs="Times New Roman"/>
        </w:rPr>
        <w:t>mikrouzņēmumu</w:t>
      </w:r>
      <w:proofErr w:type="spellEnd"/>
      <w:r w:rsidRPr="005B429D">
        <w:rPr>
          <w:rFonts w:ascii="Times New Roman" w:hAnsi="Times New Roman" w:cs="Times New Roman"/>
        </w:rPr>
        <w:t xml:space="preserve"> nodokļu maksātāja darba ņēmēja saņemtie ienākumi pret darba ņēmēju ienākumiem vispārīgajā nodokļu režīmā. Ņemot vērā, ka Latvijā un nozarē atalgojums ir pieaudzis un vidējā salīdzināšanas bāze pieauga, līdz ar to pieauga tas algas apmērs, kas salīdzināts pret </w:t>
      </w:r>
      <w:proofErr w:type="spellStart"/>
      <w:r w:rsidRPr="005B429D">
        <w:rPr>
          <w:rFonts w:ascii="Times New Roman" w:hAnsi="Times New Roman" w:cs="Times New Roman"/>
        </w:rPr>
        <w:t>mikrouzņēmuma</w:t>
      </w:r>
      <w:proofErr w:type="spellEnd"/>
      <w:r w:rsidRPr="005B429D">
        <w:rPr>
          <w:rFonts w:ascii="Times New Roman" w:hAnsi="Times New Roman" w:cs="Times New Roman"/>
        </w:rPr>
        <w:t xml:space="preserve"> darba ņēmēja saņemto atalgojumu.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483580"/>
      <w:docPartObj>
        <w:docPartGallery w:val="Page Numbers (Top of Page)"/>
        <w:docPartUnique/>
      </w:docPartObj>
    </w:sdtPr>
    <w:sdtEndPr>
      <w:rPr>
        <w:rFonts w:ascii="Times New Roman" w:hAnsi="Times New Roman" w:cs="Times New Roman"/>
        <w:noProof/>
        <w:sz w:val="24"/>
        <w:szCs w:val="24"/>
      </w:rPr>
    </w:sdtEndPr>
    <w:sdtContent>
      <w:p w14:paraId="5E4FE5A6" w14:textId="7C24DB50" w:rsidR="00C9746C" w:rsidRPr="006A6FE6" w:rsidRDefault="00C9746C" w:rsidP="006A6FE6">
        <w:pPr>
          <w:pStyle w:val="Header"/>
          <w:jc w:val="center"/>
          <w:rPr>
            <w:rFonts w:ascii="Times New Roman" w:hAnsi="Times New Roman" w:cs="Times New Roman"/>
            <w:sz w:val="24"/>
            <w:szCs w:val="24"/>
          </w:rPr>
        </w:pPr>
        <w:r w:rsidRPr="006A6FE6">
          <w:rPr>
            <w:rFonts w:ascii="Times New Roman" w:hAnsi="Times New Roman" w:cs="Times New Roman"/>
            <w:sz w:val="24"/>
            <w:szCs w:val="24"/>
          </w:rPr>
          <w:fldChar w:fldCharType="begin"/>
        </w:r>
        <w:r w:rsidRPr="006A6FE6">
          <w:rPr>
            <w:rFonts w:ascii="Times New Roman" w:hAnsi="Times New Roman" w:cs="Times New Roman"/>
            <w:sz w:val="24"/>
            <w:szCs w:val="24"/>
          </w:rPr>
          <w:instrText xml:space="preserve"> PAGE   \* MERGEFORMAT </w:instrText>
        </w:r>
        <w:r w:rsidRPr="006A6FE6">
          <w:rPr>
            <w:rFonts w:ascii="Times New Roman" w:hAnsi="Times New Roman" w:cs="Times New Roman"/>
            <w:sz w:val="24"/>
            <w:szCs w:val="24"/>
          </w:rPr>
          <w:fldChar w:fldCharType="separate"/>
        </w:r>
        <w:r w:rsidR="00985397">
          <w:rPr>
            <w:rFonts w:ascii="Times New Roman" w:hAnsi="Times New Roman" w:cs="Times New Roman"/>
            <w:noProof/>
            <w:sz w:val="24"/>
            <w:szCs w:val="24"/>
          </w:rPr>
          <w:t>28</w:t>
        </w:r>
        <w:r w:rsidRPr="006A6FE6">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D1B11" w14:textId="77777777" w:rsidR="00C9746C" w:rsidRDefault="00C9746C" w:rsidP="00D205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3AD"/>
    <w:multiLevelType w:val="hybridMultilevel"/>
    <w:tmpl w:val="A27A8F42"/>
    <w:lvl w:ilvl="0" w:tplc="0ADC0100">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A21188"/>
    <w:multiLevelType w:val="hybridMultilevel"/>
    <w:tmpl w:val="95542F72"/>
    <w:lvl w:ilvl="0" w:tplc="0ADC0100">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CE2CEB"/>
    <w:multiLevelType w:val="hybridMultilevel"/>
    <w:tmpl w:val="CB4468DC"/>
    <w:lvl w:ilvl="0" w:tplc="0ADC0100">
      <w:start w:val="2019"/>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175982"/>
    <w:multiLevelType w:val="hybridMultilevel"/>
    <w:tmpl w:val="F07EBC72"/>
    <w:lvl w:ilvl="0" w:tplc="0ADC0100">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E645428"/>
    <w:multiLevelType w:val="hybridMultilevel"/>
    <w:tmpl w:val="46CC90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65155A"/>
    <w:multiLevelType w:val="hybridMultilevel"/>
    <w:tmpl w:val="B156E65A"/>
    <w:lvl w:ilvl="0" w:tplc="0ADC0100">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1E5156"/>
    <w:multiLevelType w:val="hybridMultilevel"/>
    <w:tmpl w:val="6D34ECE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FA100A8"/>
    <w:multiLevelType w:val="hybridMultilevel"/>
    <w:tmpl w:val="B7B8930E"/>
    <w:lvl w:ilvl="0" w:tplc="0ADC0100">
      <w:start w:val="2019"/>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8641842"/>
    <w:multiLevelType w:val="hybridMultilevel"/>
    <w:tmpl w:val="31AC1080"/>
    <w:lvl w:ilvl="0" w:tplc="0ADC0100">
      <w:start w:val="2019"/>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6F6719BB"/>
    <w:multiLevelType w:val="hybridMultilevel"/>
    <w:tmpl w:val="F17819F2"/>
    <w:lvl w:ilvl="0" w:tplc="0ADC0100">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C1A407F"/>
    <w:multiLevelType w:val="hybridMultilevel"/>
    <w:tmpl w:val="6AF23E8C"/>
    <w:lvl w:ilvl="0" w:tplc="0ADC0100">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0"/>
  </w:num>
  <w:num w:numId="6">
    <w:abstractNumId w:val="3"/>
  </w:num>
  <w:num w:numId="7">
    <w:abstractNumId w:val="1"/>
  </w:num>
  <w:num w:numId="8">
    <w:abstractNumId w:val="4"/>
  </w:num>
  <w:num w:numId="9">
    <w:abstractNumId w:val="2"/>
  </w:num>
  <w:num w:numId="10">
    <w:abstractNumId w:val="5"/>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55"/>
    <w:rsid w:val="0000077F"/>
    <w:rsid w:val="000007E1"/>
    <w:rsid w:val="0000088A"/>
    <w:rsid w:val="00000D4F"/>
    <w:rsid w:val="00000E70"/>
    <w:rsid w:val="00001076"/>
    <w:rsid w:val="00001647"/>
    <w:rsid w:val="00001C54"/>
    <w:rsid w:val="00002011"/>
    <w:rsid w:val="000022F8"/>
    <w:rsid w:val="000030E7"/>
    <w:rsid w:val="0000398B"/>
    <w:rsid w:val="00004E0D"/>
    <w:rsid w:val="00005694"/>
    <w:rsid w:val="00005AFC"/>
    <w:rsid w:val="00005DE6"/>
    <w:rsid w:val="00005EBD"/>
    <w:rsid w:val="000067E2"/>
    <w:rsid w:val="00006CDB"/>
    <w:rsid w:val="00007208"/>
    <w:rsid w:val="00007677"/>
    <w:rsid w:val="0000788A"/>
    <w:rsid w:val="00010FF5"/>
    <w:rsid w:val="0001115A"/>
    <w:rsid w:val="000118DE"/>
    <w:rsid w:val="00011E12"/>
    <w:rsid w:val="000125D9"/>
    <w:rsid w:val="00012B86"/>
    <w:rsid w:val="00013715"/>
    <w:rsid w:val="0001398F"/>
    <w:rsid w:val="00014517"/>
    <w:rsid w:val="000146AC"/>
    <w:rsid w:val="00014EB4"/>
    <w:rsid w:val="00015EC6"/>
    <w:rsid w:val="00016043"/>
    <w:rsid w:val="00016697"/>
    <w:rsid w:val="00016D33"/>
    <w:rsid w:val="00017092"/>
    <w:rsid w:val="0001744E"/>
    <w:rsid w:val="00017B4E"/>
    <w:rsid w:val="00017B6C"/>
    <w:rsid w:val="00017B77"/>
    <w:rsid w:val="00017FC2"/>
    <w:rsid w:val="0002009A"/>
    <w:rsid w:val="0002060F"/>
    <w:rsid w:val="000207F4"/>
    <w:rsid w:val="000219E2"/>
    <w:rsid w:val="00021F10"/>
    <w:rsid w:val="0002211B"/>
    <w:rsid w:val="00022D83"/>
    <w:rsid w:val="000235F6"/>
    <w:rsid w:val="00023606"/>
    <w:rsid w:val="00023FF2"/>
    <w:rsid w:val="00024504"/>
    <w:rsid w:val="00024A51"/>
    <w:rsid w:val="0002541A"/>
    <w:rsid w:val="0002594A"/>
    <w:rsid w:val="00025C1A"/>
    <w:rsid w:val="00026429"/>
    <w:rsid w:val="00026AAB"/>
    <w:rsid w:val="00026E9E"/>
    <w:rsid w:val="000270EF"/>
    <w:rsid w:val="000300AF"/>
    <w:rsid w:val="0003120B"/>
    <w:rsid w:val="000319D7"/>
    <w:rsid w:val="00031BD1"/>
    <w:rsid w:val="00031E86"/>
    <w:rsid w:val="00032EC3"/>
    <w:rsid w:val="00033391"/>
    <w:rsid w:val="000335A0"/>
    <w:rsid w:val="0003363F"/>
    <w:rsid w:val="00033F1E"/>
    <w:rsid w:val="0003433D"/>
    <w:rsid w:val="00034B06"/>
    <w:rsid w:val="0003501A"/>
    <w:rsid w:val="000350D8"/>
    <w:rsid w:val="00035A58"/>
    <w:rsid w:val="00036352"/>
    <w:rsid w:val="00036C08"/>
    <w:rsid w:val="00037596"/>
    <w:rsid w:val="0003786B"/>
    <w:rsid w:val="00037D5A"/>
    <w:rsid w:val="000412F9"/>
    <w:rsid w:val="00041330"/>
    <w:rsid w:val="00044BC7"/>
    <w:rsid w:val="00045495"/>
    <w:rsid w:val="000455A3"/>
    <w:rsid w:val="00045DA9"/>
    <w:rsid w:val="00045F40"/>
    <w:rsid w:val="000504FC"/>
    <w:rsid w:val="00051BBC"/>
    <w:rsid w:val="00052521"/>
    <w:rsid w:val="00053328"/>
    <w:rsid w:val="000536B1"/>
    <w:rsid w:val="00053BD4"/>
    <w:rsid w:val="00055AAD"/>
    <w:rsid w:val="000565EE"/>
    <w:rsid w:val="00056778"/>
    <w:rsid w:val="000572C2"/>
    <w:rsid w:val="000602CA"/>
    <w:rsid w:val="000623F0"/>
    <w:rsid w:val="000632B9"/>
    <w:rsid w:val="00063D8E"/>
    <w:rsid w:val="000645EE"/>
    <w:rsid w:val="00064C90"/>
    <w:rsid w:val="00065B7E"/>
    <w:rsid w:val="00065DEB"/>
    <w:rsid w:val="000668EF"/>
    <w:rsid w:val="00066E0D"/>
    <w:rsid w:val="00066E33"/>
    <w:rsid w:val="00071220"/>
    <w:rsid w:val="00071721"/>
    <w:rsid w:val="00071B13"/>
    <w:rsid w:val="000723AA"/>
    <w:rsid w:val="0007282A"/>
    <w:rsid w:val="000738C1"/>
    <w:rsid w:val="000746D0"/>
    <w:rsid w:val="000746E9"/>
    <w:rsid w:val="00074E7E"/>
    <w:rsid w:val="0007543C"/>
    <w:rsid w:val="00075A8D"/>
    <w:rsid w:val="000770E9"/>
    <w:rsid w:val="000814BA"/>
    <w:rsid w:val="00081739"/>
    <w:rsid w:val="00081871"/>
    <w:rsid w:val="00081C6F"/>
    <w:rsid w:val="00081F67"/>
    <w:rsid w:val="00081F9E"/>
    <w:rsid w:val="0008254C"/>
    <w:rsid w:val="00083087"/>
    <w:rsid w:val="0008338F"/>
    <w:rsid w:val="00083449"/>
    <w:rsid w:val="0008487C"/>
    <w:rsid w:val="000849A1"/>
    <w:rsid w:val="000856AB"/>
    <w:rsid w:val="00085E93"/>
    <w:rsid w:val="00086663"/>
    <w:rsid w:val="0008704D"/>
    <w:rsid w:val="00087213"/>
    <w:rsid w:val="0008750C"/>
    <w:rsid w:val="00087BE8"/>
    <w:rsid w:val="00090211"/>
    <w:rsid w:val="00090216"/>
    <w:rsid w:val="00090578"/>
    <w:rsid w:val="000905CA"/>
    <w:rsid w:val="00090668"/>
    <w:rsid w:val="00090A23"/>
    <w:rsid w:val="00090A78"/>
    <w:rsid w:val="00091E5C"/>
    <w:rsid w:val="00091EDE"/>
    <w:rsid w:val="0009268D"/>
    <w:rsid w:val="00092E44"/>
    <w:rsid w:val="00093B14"/>
    <w:rsid w:val="0009435B"/>
    <w:rsid w:val="00095869"/>
    <w:rsid w:val="0009654C"/>
    <w:rsid w:val="00097394"/>
    <w:rsid w:val="000975B0"/>
    <w:rsid w:val="000976E2"/>
    <w:rsid w:val="000A0981"/>
    <w:rsid w:val="000A0B87"/>
    <w:rsid w:val="000A131B"/>
    <w:rsid w:val="000A15B4"/>
    <w:rsid w:val="000A1DF0"/>
    <w:rsid w:val="000A2CA3"/>
    <w:rsid w:val="000A3AFD"/>
    <w:rsid w:val="000A4D33"/>
    <w:rsid w:val="000A4FE0"/>
    <w:rsid w:val="000A50D4"/>
    <w:rsid w:val="000A5AF8"/>
    <w:rsid w:val="000A5EE5"/>
    <w:rsid w:val="000A7445"/>
    <w:rsid w:val="000A78CD"/>
    <w:rsid w:val="000A7AE0"/>
    <w:rsid w:val="000B00DA"/>
    <w:rsid w:val="000B0644"/>
    <w:rsid w:val="000B07DE"/>
    <w:rsid w:val="000B103C"/>
    <w:rsid w:val="000B1622"/>
    <w:rsid w:val="000B20C2"/>
    <w:rsid w:val="000B2C92"/>
    <w:rsid w:val="000B2D89"/>
    <w:rsid w:val="000B2E09"/>
    <w:rsid w:val="000B3953"/>
    <w:rsid w:val="000B3F9C"/>
    <w:rsid w:val="000B4301"/>
    <w:rsid w:val="000B4F84"/>
    <w:rsid w:val="000B588E"/>
    <w:rsid w:val="000B6082"/>
    <w:rsid w:val="000B744B"/>
    <w:rsid w:val="000B7B68"/>
    <w:rsid w:val="000C0CF8"/>
    <w:rsid w:val="000C2357"/>
    <w:rsid w:val="000C2A24"/>
    <w:rsid w:val="000C2C20"/>
    <w:rsid w:val="000C2D64"/>
    <w:rsid w:val="000C2FCB"/>
    <w:rsid w:val="000C31A3"/>
    <w:rsid w:val="000C3744"/>
    <w:rsid w:val="000C3D85"/>
    <w:rsid w:val="000C4239"/>
    <w:rsid w:val="000C49A2"/>
    <w:rsid w:val="000C5B08"/>
    <w:rsid w:val="000C5BBD"/>
    <w:rsid w:val="000C5BF5"/>
    <w:rsid w:val="000C6010"/>
    <w:rsid w:val="000C6108"/>
    <w:rsid w:val="000C6236"/>
    <w:rsid w:val="000C6AFA"/>
    <w:rsid w:val="000C6D8C"/>
    <w:rsid w:val="000C740F"/>
    <w:rsid w:val="000C7D5C"/>
    <w:rsid w:val="000C7EAD"/>
    <w:rsid w:val="000D0A0F"/>
    <w:rsid w:val="000D159B"/>
    <w:rsid w:val="000D1AC3"/>
    <w:rsid w:val="000D1CEE"/>
    <w:rsid w:val="000D21C3"/>
    <w:rsid w:val="000D2613"/>
    <w:rsid w:val="000D29B2"/>
    <w:rsid w:val="000D2D98"/>
    <w:rsid w:val="000D319C"/>
    <w:rsid w:val="000D48FC"/>
    <w:rsid w:val="000D58F2"/>
    <w:rsid w:val="000D6092"/>
    <w:rsid w:val="000D7189"/>
    <w:rsid w:val="000D75EC"/>
    <w:rsid w:val="000D7DF1"/>
    <w:rsid w:val="000E00FC"/>
    <w:rsid w:val="000E01CB"/>
    <w:rsid w:val="000E0E16"/>
    <w:rsid w:val="000E13F0"/>
    <w:rsid w:val="000E1BB1"/>
    <w:rsid w:val="000E2296"/>
    <w:rsid w:val="000E251B"/>
    <w:rsid w:val="000E2682"/>
    <w:rsid w:val="000E2C9D"/>
    <w:rsid w:val="000E3335"/>
    <w:rsid w:val="000E36D6"/>
    <w:rsid w:val="000E3B96"/>
    <w:rsid w:val="000E45D0"/>
    <w:rsid w:val="000E477C"/>
    <w:rsid w:val="000E48F9"/>
    <w:rsid w:val="000E4B1A"/>
    <w:rsid w:val="000E4C46"/>
    <w:rsid w:val="000E506A"/>
    <w:rsid w:val="000E51A7"/>
    <w:rsid w:val="000E5534"/>
    <w:rsid w:val="000E69E5"/>
    <w:rsid w:val="000E7E0E"/>
    <w:rsid w:val="000F03A9"/>
    <w:rsid w:val="000F05D6"/>
    <w:rsid w:val="000F1369"/>
    <w:rsid w:val="000F1C75"/>
    <w:rsid w:val="000F2317"/>
    <w:rsid w:val="000F2382"/>
    <w:rsid w:val="000F2578"/>
    <w:rsid w:val="000F3A5C"/>
    <w:rsid w:val="000F4332"/>
    <w:rsid w:val="000F4447"/>
    <w:rsid w:val="000F445E"/>
    <w:rsid w:val="000F4570"/>
    <w:rsid w:val="000F532E"/>
    <w:rsid w:val="000F64DD"/>
    <w:rsid w:val="000F6853"/>
    <w:rsid w:val="000F7158"/>
    <w:rsid w:val="000F79B8"/>
    <w:rsid w:val="001005B1"/>
    <w:rsid w:val="0010078C"/>
    <w:rsid w:val="001015E5"/>
    <w:rsid w:val="00101B4F"/>
    <w:rsid w:val="001025D6"/>
    <w:rsid w:val="001028B6"/>
    <w:rsid w:val="00102A11"/>
    <w:rsid w:val="00102B07"/>
    <w:rsid w:val="001047C3"/>
    <w:rsid w:val="00104D82"/>
    <w:rsid w:val="00105055"/>
    <w:rsid w:val="001050D6"/>
    <w:rsid w:val="001050ED"/>
    <w:rsid w:val="001056DA"/>
    <w:rsid w:val="00105D6D"/>
    <w:rsid w:val="001069DA"/>
    <w:rsid w:val="00107521"/>
    <w:rsid w:val="0011017B"/>
    <w:rsid w:val="001107CE"/>
    <w:rsid w:val="00111C7F"/>
    <w:rsid w:val="00111EC1"/>
    <w:rsid w:val="00111F64"/>
    <w:rsid w:val="00111F92"/>
    <w:rsid w:val="0011255B"/>
    <w:rsid w:val="0011263F"/>
    <w:rsid w:val="001127B5"/>
    <w:rsid w:val="00113420"/>
    <w:rsid w:val="00113EB1"/>
    <w:rsid w:val="00114FE8"/>
    <w:rsid w:val="001155D8"/>
    <w:rsid w:val="00116C7C"/>
    <w:rsid w:val="001170DE"/>
    <w:rsid w:val="001200A7"/>
    <w:rsid w:val="00120787"/>
    <w:rsid w:val="001218DE"/>
    <w:rsid w:val="0012295C"/>
    <w:rsid w:val="00124186"/>
    <w:rsid w:val="00124457"/>
    <w:rsid w:val="001246D2"/>
    <w:rsid w:val="00124949"/>
    <w:rsid w:val="00125D90"/>
    <w:rsid w:val="00125DDC"/>
    <w:rsid w:val="00126107"/>
    <w:rsid w:val="001272A4"/>
    <w:rsid w:val="00127D6A"/>
    <w:rsid w:val="00127EB8"/>
    <w:rsid w:val="00131E89"/>
    <w:rsid w:val="00132500"/>
    <w:rsid w:val="001330A7"/>
    <w:rsid w:val="0013363E"/>
    <w:rsid w:val="00135BEF"/>
    <w:rsid w:val="00136A7C"/>
    <w:rsid w:val="00136D31"/>
    <w:rsid w:val="00140591"/>
    <w:rsid w:val="00140B63"/>
    <w:rsid w:val="00140F5C"/>
    <w:rsid w:val="0014187E"/>
    <w:rsid w:val="001423B3"/>
    <w:rsid w:val="00142D3F"/>
    <w:rsid w:val="00142ED9"/>
    <w:rsid w:val="00143636"/>
    <w:rsid w:val="00143909"/>
    <w:rsid w:val="00143C57"/>
    <w:rsid w:val="00143D60"/>
    <w:rsid w:val="001445BC"/>
    <w:rsid w:val="00145756"/>
    <w:rsid w:val="00145996"/>
    <w:rsid w:val="00145DFD"/>
    <w:rsid w:val="001461D0"/>
    <w:rsid w:val="00146658"/>
    <w:rsid w:val="00146ECF"/>
    <w:rsid w:val="00147C8C"/>
    <w:rsid w:val="0015038D"/>
    <w:rsid w:val="00151BC8"/>
    <w:rsid w:val="0015251E"/>
    <w:rsid w:val="00152600"/>
    <w:rsid w:val="0015270E"/>
    <w:rsid w:val="00153D84"/>
    <w:rsid w:val="00154023"/>
    <w:rsid w:val="0015475B"/>
    <w:rsid w:val="00154804"/>
    <w:rsid w:val="001555A0"/>
    <w:rsid w:val="0015569A"/>
    <w:rsid w:val="00155A2C"/>
    <w:rsid w:val="00155EE5"/>
    <w:rsid w:val="001563BD"/>
    <w:rsid w:val="001564F8"/>
    <w:rsid w:val="0015671D"/>
    <w:rsid w:val="0015684E"/>
    <w:rsid w:val="00156FEB"/>
    <w:rsid w:val="00157607"/>
    <w:rsid w:val="00157DD4"/>
    <w:rsid w:val="00160703"/>
    <w:rsid w:val="00161318"/>
    <w:rsid w:val="001614B1"/>
    <w:rsid w:val="00161BD2"/>
    <w:rsid w:val="00161DE3"/>
    <w:rsid w:val="00161E5F"/>
    <w:rsid w:val="00162768"/>
    <w:rsid w:val="001635C1"/>
    <w:rsid w:val="00163D44"/>
    <w:rsid w:val="0016458B"/>
    <w:rsid w:val="00164B0A"/>
    <w:rsid w:val="00164C3C"/>
    <w:rsid w:val="00164CC1"/>
    <w:rsid w:val="00164F66"/>
    <w:rsid w:val="00164F88"/>
    <w:rsid w:val="001650ED"/>
    <w:rsid w:val="00165596"/>
    <w:rsid w:val="001659CD"/>
    <w:rsid w:val="00165B32"/>
    <w:rsid w:val="00165D2D"/>
    <w:rsid w:val="00165FCC"/>
    <w:rsid w:val="0016658D"/>
    <w:rsid w:val="00167218"/>
    <w:rsid w:val="0016790C"/>
    <w:rsid w:val="00167D02"/>
    <w:rsid w:val="001712A8"/>
    <w:rsid w:val="00172F78"/>
    <w:rsid w:val="001739BA"/>
    <w:rsid w:val="001740FE"/>
    <w:rsid w:val="00174301"/>
    <w:rsid w:val="001746BD"/>
    <w:rsid w:val="00174DC3"/>
    <w:rsid w:val="00174E76"/>
    <w:rsid w:val="001751B0"/>
    <w:rsid w:val="0017550A"/>
    <w:rsid w:val="001757A5"/>
    <w:rsid w:val="00175ADA"/>
    <w:rsid w:val="001768DE"/>
    <w:rsid w:val="00176AA5"/>
    <w:rsid w:val="001778B8"/>
    <w:rsid w:val="00177BCE"/>
    <w:rsid w:val="00177D8E"/>
    <w:rsid w:val="00177E58"/>
    <w:rsid w:val="0018037B"/>
    <w:rsid w:val="00180C82"/>
    <w:rsid w:val="00180EF7"/>
    <w:rsid w:val="001828E4"/>
    <w:rsid w:val="00182DBC"/>
    <w:rsid w:val="00183298"/>
    <w:rsid w:val="00183FFE"/>
    <w:rsid w:val="001841CA"/>
    <w:rsid w:val="00185B87"/>
    <w:rsid w:val="00185F8B"/>
    <w:rsid w:val="00186BDC"/>
    <w:rsid w:val="0018714F"/>
    <w:rsid w:val="00190B3A"/>
    <w:rsid w:val="001914CD"/>
    <w:rsid w:val="00191D36"/>
    <w:rsid w:val="00191D80"/>
    <w:rsid w:val="00191E65"/>
    <w:rsid w:val="00192157"/>
    <w:rsid w:val="00192468"/>
    <w:rsid w:val="00194BFD"/>
    <w:rsid w:val="00194C5F"/>
    <w:rsid w:val="00194E66"/>
    <w:rsid w:val="00195173"/>
    <w:rsid w:val="00195713"/>
    <w:rsid w:val="0019583D"/>
    <w:rsid w:val="001960E7"/>
    <w:rsid w:val="001963F8"/>
    <w:rsid w:val="00196BB4"/>
    <w:rsid w:val="00196D56"/>
    <w:rsid w:val="001971F6"/>
    <w:rsid w:val="001978B9"/>
    <w:rsid w:val="00197AF5"/>
    <w:rsid w:val="00197C1A"/>
    <w:rsid w:val="001A0049"/>
    <w:rsid w:val="001A05ED"/>
    <w:rsid w:val="001A0C72"/>
    <w:rsid w:val="001A1BE2"/>
    <w:rsid w:val="001A22B4"/>
    <w:rsid w:val="001A23BA"/>
    <w:rsid w:val="001A31D3"/>
    <w:rsid w:val="001A3B34"/>
    <w:rsid w:val="001A4216"/>
    <w:rsid w:val="001A5564"/>
    <w:rsid w:val="001A55F9"/>
    <w:rsid w:val="001A5BA6"/>
    <w:rsid w:val="001A6331"/>
    <w:rsid w:val="001A70B5"/>
    <w:rsid w:val="001A7F8A"/>
    <w:rsid w:val="001B10D5"/>
    <w:rsid w:val="001B1359"/>
    <w:rsid w:val="001B1CC4"/>
    <w:rsid w:val="001B21FD"/>
    <w:rsid w:val="001B262C"/>
    <w:rsid w:val="001B281A"/>
    <w:rsid w:val="001B2ED1"/>
    <w:rsid w:val="001B39B1"/>
    <w:rsid w:val="001B3BFF"/>
    <w:rsid w:val="001B4234"/>
    <w:rsid w:val="001B5E3F"/>
    <w:rsid w:val="001B6B86"/>
    <w:rsid w:val="001B6E2E"/>
    <w:rsid w:val="001B7123"/>
    <w:rsid w:val="001B78E9"/>
    <w:rsid w:val="001B7D92"/>
    <w:rsid w:val="001C10C2"/>
    <w:rsid w:val="001C264A"/>
    <w:rsid w:val="001C2B46"/>
    <w:rsid w:val="001C33DB"/>
    <w:rsid w:val="001C3730"/>
    <w:rsid w:val="001C3752"/>
    <w:rsid w:val="001C4EA1"/>
    <w:rsid w:val="001C5418"/>
    <w:rsid w:val="001C5626"/>
    <w:rsid w:val="001C5E59"/>
    <w:rsid w:val="001C616C"/>
    <w:rsid w:val="001C6297"/>
    <w:rsid w:val="001C6B10"/>
    <w:rsid w:val="001C7165"/>
    <w:rsid w:val="001C7341"/>
    <w:rsid w:val="001C7B77"/>
    <w:rsid w:val="001C7FD3"/>
    <w:rsid w:val="001D16FD"/>
    <w:rsid w:val="001D1947"/>
    <w:rsid w:val="001D2327"/>
    <w:rsid w:val="001D3CE6"/>
    <w:rsid w:val="001D4202"/>
    <w:rsid w:val="001D4FE6"/>
    <w:rsid w:val="001D50BD"/>
    <w:rsid w:val="001D5C45"/>
    <w:rsid w:val="001D625A"/>
    <w:rsid w:val="001D6A7E"/>
    <w:rsid w:val="001D6F5F"/>
    <w:rsid w:val="001D7E9D"/>
    <w:rsid w:val="001E0E6B"/>
    <w:rsid w:val="001E1C37"/>
    <w:rsid w:val="001E2515"/>
    <w:rsid w:val="001E2679"/>
    <w:rsid w:val="001E325B"/>
    <w:rsid w:val="001E3A51"/>
    <w:rsid w:val="001E412E"/>
    <w:rsid w:val="001E4B46"/>
    <w:rsid w:val="001E53BD"/>
    <w:rsid w:val="001E6A2E"/>
    <w:rsid w:val="001E6F04"/>
    <w:rsid w:val="001E71C3"/>
    <w:rsid w:val="001E7FDF"/>
    <w:rsid w:val="001F0FC3"/>
    <w:rsid w:val="001F20C3"/>
    <w:rsid w:val="001F29FC"/>
    <w:rsid w:val="001F46F9"/>
    <w:rsid w:val="001F4DBF"/>
    <w:rsid w:val="001F5EFB"/>
    <w:rsid w:val="001F6844"/>
    <w:rsid w:val="001F7166"/>
    <w:rsid w:val="001F7C78"/>
    <w:rsid w:val="001F7E87"/>
    <w:rsid w:val="00200947"/>
    <w:rsid w:val="00200F01"/>
    <w:rsid w:val="00201414"/>
    <w:rsid w:val="0020182F"/>
    <w:rsid w:val="00202017"/>
    <w:rsid w:val="00202058"/>
    <w:rsid w:val="00202294"/>
    <w:rsid w:val="0020237C"/>
    <w:rsid w:val="00202604"/>
    <w:rsid w:val="0020367B"/>
    <w:rsid w:val="002045AC"/>
    <w:rsid w:val="00204893"/>
    <w:rsid w:val="002049B4"/>
    <w:rsid w:val="002050BA"/>
    <w:rsid w:val="0020781A"/>
    <w:rsid w:val="00207ED8"/>
    <w:rsid w:val="002104DA"/>
    <w:rsid w:val="00210EBD"/>
    <w:rsid w:val="0021141B"/>
    <w:rsid w:val="00211E6A"/>
    <w:rsid w:val="0021223F"/>
    <w:rsid w:val="0021318C"/>
    <w:rsid w:val="002132B5"/>
    <w:rsid w:val="002134D1"/>
    <w:rsid w:val="00213803"/>
    <w:rsid w:val="002138FE"/>
    <w:rsid w:val="00214D4F"/>
    <w:rsid w:val="00215A40"/>
    <w:rsid w:val="00217405"/>
    <w:rsid w:val="00220369"/>
    <w:rsid w:val="0022274B"/>
    <w:rsid w:val="0022301E"/>
    <w:rsid w:val="00223603"/>
    <w:rsid w:val="00223980"/>
    <w:rsid w:val="00223F86"/>
    <w:rsid w:val="002240E8"/>
    <w:rsid w:val="002241B4"/>
    <w:rsid w:val="002243F2"/>
    <w:rsid w:val="0022481E"/>
    <w:rsid w:val="00225A80"/>
    <w:rsid w:val="002262C2"/>
    <w:rsid w:val="00226530"/>
    <w:rsid w:val="0022666F"/>
    <w:rsid w:val="002272F7"/>
    <w:rsid w:val="002274F2"/>
    <w:rsid w:val="00227697"/>
    <w:rsid w:val="00227DE7"/>
    <w:rsid w:val="0023070F"/>
    <w:rsid w:val="002308BA"/>
    <w:rsid w:val="0023099D"/>
    <w:rsid w:val="00230AD2"/>
    <w:rsid w:val="00230E62"/>
    <w:rsid w:val="00232463"/>
    <w:rsid w:val="00232A2C"/>
    <w:rsid w:val="00232F98"/>
    <w:rsid w:val="002336FF"/>
    <w:rsid w:val="00233B2E"/>
    <w:rsid w:val="002346AC"/>
    <w:rsid w:val="0023489E"/>
    <w:rsid w:val="00235743"/>
    <w:rsid w:val="00235C2E"/>
    <w:rsid w:val="00235C55"/>
    <w:rsid w:val="00236340"/>
    <w:rsid w:val="0023654A"/>
    <w:rsid w:val="00237394"/>
    <w:rsid w:val="00237CD7"/>
    <w:rsid w:val="00240E74"/>
    <w:rsid w:val="0024110A"/>
    <w:rsid w:val="00241451"/>
    <w:rsid w:val="0024191C"/>
    <w:rsid w:val="0024195B"/>
    <w:rsid w:val="00241AD1"/>
    <w:rsid w:val="002426A9"/>
    <w:rsid w:val="00242CD8"/>
    <w:rsid w:val="002439B6"/>
    <w:rsid w:val="00243C92"/>
    <w:rsid w:val="0024433E"/>
    <w:rsid w:val="0024445F"/>
    <w:rsid w:val="00244F58"/>
    <w:rsid w:val="002467AF"/>
    <w:rsid w:val="00250263"/>
    <w:rsid w:val="00251275"/>
    <w:rsid w:val="00251B9A"/>
    <w:rsid w:val="00251C09"/>
    <w:rsid w:val="00252106"/>
    <w:rsid w:val="00252C54"/>
    <w:rsid w:val="002536D7"/>
    <w:rsid w:val="00253F2D"/>
    <w:rsid w:val="00254025"/>
    <w:rsid w:val="002542ED"/>
    <w:rsid w:val="00254BCC"/>
    <w:rsid w:val="0025500A"/>
    <w:rsid w:val="00256118"/>
    <w:rsid w:val="00256153"/>
    <w:rsid w:val="00256677"/>
    <w:rsid w:val="00256748"/>
    <w:rsid w:val="00256BBC"/>
    <w:rsid w:val="002570F7"/>
    <w:rsid w:val="0025758C"/>
    <w:rsid w:val="00257A36"/>
    <w:rsid w:val="00260836"/>
    <w:rsid w:val="002609E9"/>
    <w:rsid w:val="00260E0B"/>
    <w:rsid w:val="002621C0"/>
    <w:rsid w:val="00262672"/>
    <w:rsid w:val="00262BD7"/>
    <w:rsid w:val="00262E5F"/>
    <w:rsid w:val="00263376"/>
    <w:rsid w:val="00263A9C"/>
    <w:rsid w:val="00264F7D"/>
    <w:rsid w:val="00265500"/>
    <w:rsid w:val="00265773"/>
    <w:rsid w:val="00266003"/>
    <w:rsid w:val="0026694A"/>
    <w:rsid w:val="00267BF7"/>
    <w:rsid w:val="00267CFE"/>
    <w:rsid w:val="00267DCD"/>
    <w:rsid w:val="002707EA"/>
    <w:rsid w:val="002724FC"/>
    <w:rsid w:val="00272B05"/>
    <w:rsid w:val="00272EEB"/>
    <w:rsid w:val="0027361A"/>
    <w:rsid w:val="0027450F"/>
    <w:rsid w:val="002745E0"/>
    <w:rsid w:val="00274D13"/>
    <w:rsid w:val="0027520F"/>
    <w:rsid w:val="002752D8"/>
    <w:rsid w:val="00275755"/>
    <w:rsid w:val="00276143"/>
    <w:rsid w:val="00276C76"/>
    <w:rsid w:val="0027799B"/>
    <w:rsid w:val="002810AA"/>
    <w:rsid w:val="00281824"/>
    <w:rsid w:val="00282988"/>
    <w:rsid w:val="00283B9A"/>
    <w:rsid w:val="00283CA9"/>
    <w:rsid w:val="002848DB"/>
    <w:rsid w:val="00284AFF"/>
    <w:rsid w:val="0028624C"/>
    <w:rsid w:val="00286547"/>
    <w:rsid w:val="0028663F"/>
    <w:rsid w:val="00286662"/>
    <w:rsid w:val="002900A4"/>
    <w:rsid w:val="002905BD"/>
    <w:rsid w:val="002916B7"/>
    <w:rsid w:val="002919E2"/>
    <w:rsid w:val="00291E86"/>
    <w:rsid w:val="0029206A"/>
    <w:rsid w:val="002924A4"/>
    <w:rsid w:val="00292DAA"/>
    <w:rsid w:val="00292E24"/>
    <w:rsid w:val="00292FC9"/>
    <w:rsid w:val="00293211"/>
    <w:rsid w:val="002932C1"/>
    <w:rsid w:val="0029365C"/>
    <w:rsid w:val="00294286"/>
    <w:rsid w:val="00294ADB"/>
    <w:rsid w:val="00294D20"/>
    <w:rsid w:val="00294FB3"/>
    <w:rsid w:val="0029535E"/>
    <w:rsid w:val="00295B22"/>
    <w:rsid w:val="00296104"/>
    <w:rsid w:val="002974C8"/>
    <w:rsid w:val="002A03E7"/>
    <w:rsid w:val="002A0A92"/>
    <w:rsid w:val="002A0DD3"/>
    <w:rsid w:val="002A152F"/>
    <w:rsid w:val="002A1611"/>
    <w:rsid w:val="002A182F"/>
    <w:rsid w:val="002A1945"/>
    <w:rsid w:val="002A2216"/>
    <w:rsid w:val="002A2CAD"/>
    <w:rsid w:val="002A3D39"/>
    <w:rsid w:val="002A3F9D"/>
    <w:rsid w:val="002A5711"/>
    <w:rsid w:val="002A5F17"/>
    <w:rsid w:val="002A67DF"/>
    <w:rsid w:val="002A7BCE"/>
    <w:rsid w:val="002A7EF1"/>
    <w:rsid w:val="002B0325"/>
    <w:rsid w:val="002B03CC"/>
    <w:rsid w:val="002B052E"/>
    <w:rsid w:val="002B1709"/>
    <w:rsid w:val="002B19BA"/>
    <w:rsid w:val="002B385C"/>
    <w:rsid w:val="002B426F"/>
    <w:rsid w:val="002B4276"/>
    <w:rsid w:val="002B5612"/>
    <w:rsid w:val="002B5DA2"/>
    <w:rsid w:val="002B6057"/>
    <w:rsid w:val="002B6149"/>
    <w:rsid w:val="002B6423"/>
    <w:rsid w:val="002B777F"/>
    <w:rsid w:val="002B7A80"/>
    <w:rsid w:val="002C00A4"/>
    <w:rsid w:val="002C0838"/>
    <w:rsid w:val="002C110D"/>
    <w:rsid w:val="002C1156"/>
    <w:rsid w:val="002C19EA"/>
    <w:rsid w:val="002C223C"/>
    <w:rsid w:val="002C2621"/>
    <w:rsid w:val="002C3773"/>
    <w:rsid w:val="002C3F41"/>
    <w:rsid w:val="002C4D60"/>
    <w:rsid w:val="002C504B"/>
    <w:rsid w:val="002C57F4"/>
    <w:rsid w:val="002C5BC6"/>
    <w:rsid w:val="002C5ECC"/>
    <w:rsid w:val="002C6E44"/>
    <w:rsid w:val="002D058E"/>
    <w:rsid w:val="002D0651"/>
    <w:rsid w:val="002D0BED"/>
    <w:rsid w:val="002D10A7"/>
    <w:rsid w:val="002D14B1"/>
    <w:rsid w:val="002D16F5"/>
    <w:rsid w:val="002D1847"/>
    <w:rsid w:val="002D1AE5"/>
    <w:rsid w:val="002D2630"/>
    <w:rsid w:val="002D26BA"/>
    <w:rsid w:val="002D27D6"/>
    <w:rsid w:val="002D2AF3"/>
    <w:rsid w:val="002D3332"/>
    <w:rsid w:val="002D452E"/>
    <w:rsid w:val="002D4A18"/>
    <w:rsid w:val="002D4B1E"/>
    <w:rsid w:val="002D50CB"/>
    <w:rsid w:val="002D53B5"/>
    <w:rsid w:val="002D5DD3"/>
    <w:rsid w:val="002D6570"/>
    <w:rsid w:val="002D73AE"/>
    <w:rsid w:val="002D7D78"/>
    <w:rsid w:val="002E06D5"/>
    <w:rsid w:val="002E0908"/>
    <w:rsid w:val="002E0C72"/>
    <w:rsid w:val="002E1D2F"/>
    <w:rsid w:val="002E1E5C"/>
    <w:rsid w:val="002E1EE1"/>
    <w:rsid w:val="002E2D97"/>
    <w:rsid w:val="002E43DD"/>
    <w:rsid w:val="002E520F"/>
    <w:rsid w:val="002E5586"/>
    <w:rsid w:val="002E5C5D"/>
    <w:rsid w:val="002E5D81"/>
    <w:rsid w:val="002E5E1D"/>
    <w:rsid w:val="002E634D"/>
    <w:rsid w:val="002E75B2"/>
    <w:rsid w:val="002E7B22"/>
    <w:rsid w:val="002E7CFE"/>
    <w:rsid w:val="002F04D2"/>
    <w:rsid w:val="002F056A"/>
    <w:rsid w:val="002F07D0"/>
    <w:rsid w:val="002F0967"/>
    <w:rsid w:val="002F0EA3"/>
    <w:rsid w:val="002F1253"/>
    <w:rsid w:val="002F189B"/>
    <w:rsid w:val="002F1BD5"/>
    <w:rsid w:val="002F1CB4"/>
    <w:rsid w:val="002F28D0"/>
    <w:rsid w:val="002F37CA"/>
    <w:rsid w:val="002F3831"/>
    <w:rsid w:val="002F5613"/>
    <w:rsid w:val="002F5F27"/>
    <w:rsid w:val="002F6B8A"/>
    <w:rsid w:val="002F7FD7"/>
    <w:rsid w:val="00300CD5"/>
    <w:rsid w:val="00300D8F"/>
    <w:rsid w:val="00301E81"/>
    <w:rsid w:val="00302568"/>
    <w:rsid w:val="003029AF"/>
    <w:rsid w:val="00302C66"/>
    <w:rsid w:val="00302CD3"/>
    <w:rsid w:val="003039F6"/>
    <w:rsid w:val="00303C1C"/>
    <w:rsid w:val="003044A3"/>
    <w:rsid w:val="00305251"/>
    <w:rsid w:val="0030526A"/>
    <w:rsid w:val="00305BB2"/>
    <w:rsid w:val="00306893"/>
    <w:rsid w:val="00306A47"/>
    <w:rsid w:val="00310043"/>
    <w:rsid w:val="00313708"/>
    <w:rsid w:val="00313E60"/>
    <w:rsid w:val="0031458C"/>
    <w:rsid w:val="003149D4"/>
    <w:rsid w:val="00314C44"/>
    <w:rsid w:val="00314C99"/>
    <w:rsid w:val="00315B64"/>
    <w:rsid w:val="00315D66"/>
    <w:rsid w:val="00317862"/>
    <w:rsid w:val="00317BDF"/>
    <w:rsid w:val="0032154B"/>
    <w:rsid w:val="0032210D"/>
    <w:rsid w:val="003224A9"/>
    <w:rsid w:val="00323062"/>
    <w:rsid w:val="0032465C"/>
    <w:rsid w:val="003247CB"/>
    <w:rsid w:val="00324D95"/>
    <w:rsid w:val="0032525C"/>
    <w:rsid w:val="00326030"/>
    <w:rsid w:val="0032609D"/>
    <w:rsid w:val="00326BF3"/>
    <w:rsid w:val="00327971"/>
    <w:rsid w:val="00330902"/>
    <w:rsid w:val="00330D15"/>
    <w:rsid w:val="00331945"/>
    <w:rsid w:val="00331F0F"/>
    <w:rsid w:val="0033375E"/>
    <w:rsid w:val="00333B83"/>
    <w:rsid w:val="00333BFA"/>
    <w:rsid w:val="00333C58"/>
    <w:rsid w:val="0033405A"/>
    <w:rsid w:val="00334AFE"/>
    <w:rsid w:val="0033523E"/>
    <w:rsid w:val="003353FE"/>
    <w:rsid w:val="00336207"/>
    <w:rsid w:val="003364FF"/>
    <w:rsid w:val="00336B4F"/>
    <w:rsid w:val="003373F7"/>
    <w:rsid w:val="00337D2E"/>
    <w:rsid w:val="00337DA8"/>
    <w:rsid w:val="00342944"/>
    <w:rsid w:val="00342CC3"/>
    <w:rsid w:val="00343C34"/>
    <w:rsid w:val="00344799"/>
    <w:rsid w:val="00344AAF"/>
    <w:rsid w:val="00344D2F"/>
    <w:rsid w:val="00345047"/>
    <w:rsid w:val="0034585D"/>
    <w:rsid w:val="00345E18"/>
    <w:rsid w:val="00345FDB"/>
    <w:rsid w:val="003461D4"/>
    <w:rsid w:val="0034668E"/>
    <w:rsid w:val="00346D50"/>
    <w:rsid w:val="0034769C"/>
    <w:rsid w:val="00347956"/>
    <w:rsid w:val="00347CE3"/>
    <w:rsid w:val="0035013F"/>
    <w:rsid w:val="0035037D"/>
    <w:rsid w:val="00350545"/>
    <w:rsid w:val="00351C0F"/>
    <w:rsid w:val="00351EDD"/>
    <w:rsid w:val="0035294F"/>
    <w:rsid w:val="00352E4B"/>
    <w:rsid w:val="0035485A"/>
    <w:rsid w:val="00354C96"/>
    <w:rsid w:val="00355767"/>
    <w:rsid w:val="00355817"/>
    <w:rsid w:val="00356F28"/>
    <w:rsid w:val="003575BA"/>
    <w:rsid w:val="00357727"/>
    <w:rsid w:val="00360051"/>
    <w:rsid w:val="003603A0"/>
    <w:rsid w:val="00360BCF"/>
    <w:rsid w:val="0036102F"/>
    <w:rsid w:val="0036130A"/>
    <w:rsid w:val="00361B35"/>
    <w:rsid w:val="00361C53"/>
    <w:rsid w:val="00361EA8"/>
    <w:rsid w:val="0036233A"/>
    <w:rsid w:val="00363777"/>
    <w:rsid w:val="00363BA3"/>
    <w:rsid w:val="00363F09"/>
    <w:rsid w:val="00364B21"/>
    <w:rsid w:val="003651E2"/>
    <w:rsid w:val="0036563D"/>
    <w:rsid w:val="00366774"/>
    <w:rsid w:val="00366EAD"/>
    <w:rsid w:val="00367E82"/>
    <w:rsid w:val="003702E9"/>
    <w:rsid w:val="0037065C"/>
    <w:rsid w:val="00370C19"/>
    <w:rsid w:val="00370E47"/>
    <w:rsid w:val="003713BD"/>
    <w:rsid w:val="00372868"/>
    <w:rsid w:val="00373111"/>
    <w:rsid w:val="00373270"/>
    <w:rsid w:val="00373279"/>
    <w:rsid w:val="003738FD"/>
    <w:rsid w:val="00373C60"/>
    <w:rsid w:val="00373EC6"/>
    <w:rsid w:val="00374F8A"/>
    <w:rsid w:val="00375011"/>
    <w:rsid w:val="00375241"/>
    <w:rsid w:val="0038061E"/>
    <w:rsid w:val="00380659"/>
    <w:rsid w:val="00380687"/>
    <w:rsid w:val="003809AE"/>
    <w:rsid w:val="00380F78"/>
    <w:rsid w:val="00382276"/>
    <w:rsid w:val="003837E0"/>
    <w:rsid w:val="003842FE"/>
    <w:rsid w:val="0038465B"/>
    <w:rsid w:val="00384C2A"/>
    <w:rsid w:val="00386061"/>
    <w:rsid w:val="0038699B"/>
    <w:rsid w:val="00387CEB"/>
    <w:rsid w:val="0039080F"/>
    <w:rsid w:val="00390C69"/>
    <w:rsid w:val="00390FE2"/>
    <w:rsid w:val="0039262B"/>
    <w:rsid w:val="003929F0"/>
    <w:rsid w:val="00394E00"/>
    <w:rsid w:val="00395437"/>
    <w:rsid w:val="0039671C"/>
    <w:rsid w:val="00396BCD"/>
    <w:rsid w:val="00396CC2"/>
    <w:rsid w:val="003977E6"/>
    <w:rsid w:val="00397FC3"/>
    <w:rsid w:val="003A125E"/>
    <w:rsid w:val="003A1988"/>
    <w:rsid w:val="003A1C2A"/>
    <w:rsid w:val="003A23CE"/>
    <w:rsid w:val="003A44B1"/>
    <w:rsid w:val="003A4781"/>
    <w:rsid w:val="003A47DA"/>
    <w:rsid w:val="003A4A03"/>
    <w:rsid w:val="003A4A9A"/>
    <w:rsid w:val="003A5201"/>
    <w:rsid w:val="003A5A0D"/>
    <w:rsid w:val="003A5E37"/>
    <w:rsid w:val="003A6363"/>
    <w:rsid w:val="003A6A15"/>
    <w:rsid w:val="003A6D2C"/>
    <w:rsid w:val="003A7759"/>
    <w:rsid w:val="003B03FB"/>
    <w:rsid w:val="003B0EF4"/>
    <w:rsid w:val="003B0F4B"/>
    <w:rsid w:val="003B186D"/>
    <w:rsid w:val="003B268A"/>
    <w:rsid w:val="003B2FE5"/>
    <w:rsid w:val="003B327D"/>
    <w:rsid w:val="003B3A7F"/>
    <w:rsid w:val="003B443F"/>
    <w:rsid w:val="003B541C"/>
    <w:rsid w:val="003B624E"/>
    <w:rsid w:val="003B6458"/>
    <w:rsid w:val="003B655F"/>
    <w:rsid w:val="003B6F3A"/>
    <w:rsid w:val="003B772E"/>
    <w:rsid w:val="003B7731"/>
    <w:rsid w:val="003B779C"/>
    <w:rsid w:val="003B7CE5"/>
    <w:rsid w:val="003C010C"/>
    <w:rsid w:val="003C02F2"/>
    <w:rsid w:val="003C0410"/>
    <w:rsid w:val="003C07BE"/>
    <w:rsid w:val="003C0E58"/>
    <w:rsid w:val="003C0FE5"/>
    <w:rsid w:val="003C144E"/>
    <w:rsid w:val="003C14A2"/>
    <w:rsid w:val="003C255E"/>
    <w:rsid w:val="003C355E"/>
    <w:rsid w:val="003C35DE"/>
    <w:rsid w:val="003C5C0F"/>
    <w:rsid w:val="003C6667"/>
    <w:rsid w:val="003C6704"/>
    <w:rsid w:val="003C74B7"/>
    <w:rsid w:val="003D1A76"/>
    <w:rsid w:val="003D2076"/>
    <w:rsid w:val="003D21C3"/>
    <w:rsid w:val="003D2219"/>
    <w:rsid w:val="003D2413"/>
    <w:rsid w:val="003D2D68"/>
    <w:rsid w:val="003D2EFD"/>
    <w:rsid w:val="003D36FF"/>
    <w:rsid w:val="003D56CF"/>
    <w:rsid w:val="003D5F41"/>
    <w:rsid w:val="003D63A6"/>
    <w:rsid w:val="003D76A9"/>
    <w:rsid w:val="003E0322"/>
    <w:rsid w:val="003E0D68"/>
    <w:rsid w:val="003E12D1"/>
    <w:rsid w:val="003E1817"/>
    <w:rsid w:val="003E1BC6"/>
    <w:rsid w:val="003E1F1F"/>
    <w:rsid w:val="003E2993"/>
    <w:rsid w:val="003E2BE0"/>
    <w:rsid w:val="003E2D8B"/>
    <w:rsid w:val="003E2F1D"/>
    <w:rsid w:val="003E41F7"/>
    <w:rsid w:val="003E47DD"/>
    <w:rsid w:val="003E4943"/>
    <w:rsid w:val="003E4CC6"/>
    <w:rsid w:val="003E4E0A"/>
    <w:rsid w:val="003E5338"/>
    <w:rsid w:val="003E5A4A"/>
    <w:rsid w:val="003E5C7F"/>
    <w:rsid w:val="003E62C2"/>
    <w:rsid w:val="003E65E7"/>
    <w:rsid w:val="003E751F"/>
    <w:rsid w:val="003E77C3"/>
    <w:rsid w:val="003F0BD8"/>
    <w:rsid w:val="003F0BF3"/>
    <w:rsid w:val="003F0DE8"/>
    <w:rsid w:val="003F1325"/>
    <w:rsid w:val="003F37AD"/>
    <w:rsid w:val="003F3883"/>
    <w:rsid w:val="003F3D83"/>
    <w:rsid w:val="003F4761"/>
    <w:rsid w:val="003F7E40"/>
    <w:rsid w:val="004002AB"/>
    <w:rsid w:val="00401034"/>
    <w:rsid w:val="0040199E"/>
    <w:rsid w:val="00402124"/>
    <w:rsid w:val="00402A11"/>
    <w:rsid w:val="004033CF"/>
    <w:rsid w:val="00403A1C"/>
    <w:rsid w:val="00404813"/>
    <w:rsid w:val="00404D17"/>
    <w:rsid w:val="00405969"/>
    <w:rsid w:val="00406104"/>
    <w:rsid w:val="004068BB"/>
    <w:rsid w:val="0040741A"/>
    <w:rsid w:val="00407A9C"/>
    <w:rsid w:val="00407FDE"/>
    <w:rsid w:val="004102E1"/>
    <w:rsid w:val="00410954"/>
    <w:rsid w:val="00411E3B"/>
    <w:rsid w:val="004120A2"/>
    <w:rsid w:val="00412605"/>
    <w:rsid w:val="00412C1C"/>
    <w:rsid w:val="00413080"/>
    <w:rsid w:val="00413A61"/>
    <w:rsid w:val="0041424C"/>
    <w:rsid w:val="00414EB3"/>
    <w:rsid w:val="00414FD4"/>
    <w:rsid w:val="004152A8"/>
    <w:rsid w:val="00415DD0"/>
    <w:rsid w:val="004168F8"/>
    <w:rsid w:val="00416AE2"/>
    <w:rsid w:val="0041724B"/>
    <w:rsid w:val="0041724E"/>
    <w:rsid w:val="00420543"/>
    <w:rsid w:val="00420EBF"/>
    <w:rsid w:val="00421485"/>
    <w:rsid w:val="004216BF"/>
    <w:rsid w:val="004219B2"/>
    <w:rsid w:val="004220D3"/>
    <w:rsid w:val="00422291"/>
    <w:rsid w:val="0042259F"/>
    <w:rsid w:val="00422F60"/>
    <w:rsid w:val="0042332E"/>
    <w:rsid w:val="004233A3"/>
    <w:rsid w:val="0042375B"/>
    <w:rsid w:val="00423938"/>
    <w:rsid w:val="00423C0D"/>
    <w:rsid w:val="00424631"/>
    <w:rsid w:val="004246E8"/>
    <w:rsid w:val="00425098"/>
    <w:rsid w:val="004253E2"/>
    <w:rsid w:val="00425995"/>
    <w:rsid w:val="00425C9E"/>
    <w:rsid w:val="004267A7"/>
    <w:rsid w:val="00426A48"/>
    <w:rsid w:val="00427946"/>
    <w:rsid w:val="00431302"/>
    <w:rsid w:val="0043158D"/>
    <w:rsid w:val="0043255B"/>
    <w:rsid w:val="00432EE2"/>
    <w:rsid w:val="0043385B"/>
    <w:rsid w:val="00433FB6"/>
    <w:rsid w:val="0043428F"/>
    <w:rsid w:val="00436E2C"/>
    <w:rsid w:val="004372A1"/>
    <w:rsid w:val="004378B0"/>
    <w:rsid w:val="00437F5F"/>
    <w:rsid w:val="00437F94"/>
    <w:rsid w:val="004406CD"/>
    <w:rsid w:val="00442246"/>
    <w:rsid w:val="0044391D"/>
    <w:rsid w:val="00443AC9"/>
    <w:rsid w:val="00443C18"/>
    <w:rsid w:val="00443E00"/>
    <w:rsid w:val="00444048"/>
    <w:rsid w:val="00444050"/>
    <w:rsid w:val="00444CD3"/>
    <w:rsid w:val="00444E86"/>
    <w:rsid w:val="0044582D"/>
    <w:rsid w:val="00445B18"/>
    <w:rsid w:val="00445D3D"/>
    <w:rsid w:val="004475B5"/>
    <w:rsid w:val="0045119E"/>
    <w:rsid w:val="004519C0"/>
    <w:rsid w:val="00451EA2"/>
    <w:rsid w:val="00453418"/>
    <w:rsid w:val="00453698"/>
    <w:rsid w:val="00453FDD"/>
    <w:rsid w:val="00454086"/>
    <w:rsid w:val="004543AB"/>
    <w:rsid w:val="00455132"/>
    <w:rsid w:val="004554EF"/>
    <w:rsid w:val="0045683E"/>
    <w:rsid w:val="00460243"/>
    <w:rsid w:val="0046072C"/>
    <w:rsid w:val="00460D61"/>
    <w:rsid w:val="00461598"/>
    <w:rsid w:val="0046175E"/>
    <w:rsid w:val="00462059"/>
    <w:rsid w:val="0046273F"/>
    <w:rsid w:val="004629FE"/>
    <w:rsid w:val="00462A17"/>
    <w:rsid w:val="00462A24"/>
    <w:rsid w:val="0046403C"/>
    <w:rsid w:val="00464AD2"/>
    <w:rsid w:val="00464C82"/>
    <w:rsid w:val="00465773"/>
    <w:rsid w:val="00465829"/>
    <w:rsid w:val="00465964"/>
    <w:rsid w:val="00465975"/>
    <w:rsid w:val="00466F43"/>
    <w:rsid w:val="00467EDC"/>
    <w:rsid w:val="004706DC"/>
    <w:rsid w:val="004711CA"/>
    <w:rsid w:val="004711DE"/>
    <w:rsid w:val="004715DE"/>
    <w:rsid w:val="00471777"/>
    <w:rsid w:val="004717D9"/>
    <w:rsid w:val="00471D3B"/>
    <w:rsid w:val="004720BE"/>
    <w:rsid w:val="0047225F"/>
    <w:rsid w:val="0047283C"/>
    <w:rsid w:val="00472F08"/>
    <w:rsid w:val="00475720"/>
    <w:rsid w:val="00475F34"/>
    <w:rsid w:val="00476AFE"/>
    <w:rsid w:val="00476F9D"/>
    <w:rsid w:val="00477222"/>
    <w:rsid w:val="004772CF"/>
    <w:rsid w:val="00477761"/>
    <w:rsid w:val="00477A29"/>
    <w:rsid w:val="0048095E"/>
    <w:rsid w:val="00480BB2"/>
    <w:rsid w:val="00480D9E"/>
    <w:rsid w:val="00481597"/>
    <w:rsid w:val="004815CB"/>
    <w:rsid w:val="004816BC"/>
    <w:rsid w:val="0048261E"/>
    <w:rsid w:val="004826D9"/>
    <w:rsid w:val="004837E7"/>
    <w:rsid w:val="00483873"/>
    <w:rsid w:val="00483C69"/>
    <w:rsid w:val="004842CE"/>
    <w:rsid w:val="0048457A"/>
    <w:rsid w:val="0048466B"/>
    <w:rsid w:val="00484DCC"/>
    <w:rsid w:val="004857C4"/>
    <w:rsid w:val="00486DD9"/>
    <w:rsid w:val="004873D1"/>
    <w:rsid w:val="0048768D"/>
    <w:rsid w:val="00490060"/>
    <w:rsid w:val="004900B7"/>
    <w:rsid w:val="00490441"/>
    <w:rsid w:val="00490499"/>
    <w:rsid w:val="00490CF6"/>
    <w:rsid w:val="00490F2E"/>
    <w:rsid w:val="00492679"/>
    <w:rsid w:val="00493283"/>
    <w:rsid w:val="0049361C"/>
    <w:rsid w:val="004938E0"/>
    <w:rsid w:val="00493B8E"/>
    <w:rsid w:val="0049471A"/>
    <w:rsid w:val="00494815"/>
    <w:rsid w:val="004949F0"/>
    <w:rsid w:val="00494D13"/>
    <w:rsid w:val="004956DC"/>
    <w:rsid w:val="00495ABB"/>
    <w:rsid w:val="00495F90"/>
    <w:rsid w:val="004966AA"/>
    <w:rsid w:val="00497B66"/>
    <w:rsid w:val="004A0F21"/>
    <w:rsid w:val="004A1A35"/>
    <w:rsid w:val="004A1C4F"/>
    <w:rsid w:val="004A1CED"/>
    <w:rsid w:val="004A2F4D"/>
    <w:rsid w:val="004A3155"/>
    <w:rsid w:val="004A3A2F"/>
    <w:rsid w:val="004A40BC"/>
    <w:rsid w:val="004A49B5"/>
    <w:rsid w:val="004A5638"/>
    <w:rsid w:val="004A59B6"/>
    <w:rsid w:val="004A7B26"/>
    <w:rsid w:val="004B0E39"/>
    <w:rsid w:val="004B16F0"/>
    <w:rsid w:val="004B2045"/>
    <w:rsid w:val="004B26C6"/>
    <w:rsid w:val="004B2BEE"/>
    <w:rsid w:val="004B4B4F"/>
    <w:rsid w:val="004B4C50"/>
    <w:rsid w:val="004B5136"/>
    <w:rsid w:val="004B529E"/>
    <w:rsid w:val="004B5B65"/>
    <w:rsid w:val="004B5D70"/>
    <w:rsid w:val="004B5E00"/>
    <w:rsid w:val="004B6743"/>
    <w:rsid w:val="004B6B21"/>
    <w:rsid w:val="004B6B62"/>
    <w:rsid w:val="004B7014"/>
    <w:rsid w:val="004B76AC"/>
    <w:rsid w:val="004B7CF4"/>
    <w:rsid w:val="004B7D70"/>
    <w:rsid w:val="004C0265"/>
    <w:rsid w:val="004C03BD"/>
    <w:rsid w:val="004C05CA"/>
    <w:rsid w:val="004C087B"/>
    <w:rsid w:val="004C1221"/>
    <w:rsid w:val="004C1347"/>
    <w:rsid w:val="004C16EB"/>
    <w:rsid w:val="004C188D"/>
    <w:rsid w:val="004C28D4"/>
    <w:rsid w:val="004C3231"/>
    <w:rsid w:val="004C33C4"/>
    <w:rsid w:val="004C35A1"/>
    <w:rsid w:val="004C35B4"/>
    <w:rsid w:val="004C3D98"/>
    <w:rsid w:val="004C3F5A"/>
    <w:rsid w:val="004C5588"/>
    <w:rsid w:val="004C5B19"/>
    <w:rsid w:val="004C6395"/>
    <w:rsid w:val="004C6B9D"/>
    <w:rsid w:val="004C7646"/>
    <w:rsid w:val="004D0160"/>
    <w:rsid w:val="004D06DA"/>
    <w:rsid w:val="004D1F00"/>
    <w:rsid w:val="004D240C"/>
    <w:rsid w:val="004D25FE"/>
    <w:rsid w:val="004D27C6"/>
    <w:rsid w:val="004D34AF"/>
    <w:rsid w:val="004D3B7B"/>
    <w:rsid w:val="004D3EDE"/>
    <w:rsid w:val="004D46EA"/>
    <w:rsid w:val="004D4C78"/>
    <w:rsid w:val="004D4CF6"/>
    <w:rsid w:val="004D5078"/>
    <w:rsid w:val="004D50B7"/>
    <w:rsid w:val="004D53C5"/>
    <w:rsid w:val="004D5658"/>
    <w:rsid w:val="004D5A4D"/>
    <w:rsid w:val="004D5E59"/>
    <w:rsid w:val="004D6489"/>
    <w:rsid w:val="004D6D17"/>
    <w:rsid w:val="004D7546"/>
    <w:rsid w:val="004D7E0D"/>
    <w:rsid w:val="004E0BAD"/>
    <w:rsid w:val="004E0E5E"/>
    <w:rsid w:val="004E10CB"/>
    <w:rsid w:val="004E21DF"/>
    <w:rsid w:val="004E2288"/>
    <w:rsid w:val="004E2B75"/>
    <w:rsid w:val="004E2CCF"/>
    <w:rsid w:val="004E2E46"/>
    <w:rsid w:val="004E2FA6"/>
    <w:rsid w:val="004E314E"/>
    <w:rsid w:val="004E464C"/>
    <w:rsid w:val="004E4D82"/>
    <w:rsid w:val="004E5512"/>
    <w:rsid w:val="004E5939"/>
    <w:rsid w:val="004E66A4"/>
    <w:rsid w:val="004E6E5E"/>
    <w:rsid w:val="004F0945"/>
    <w:rsid w:val="004F164D"/>
    <w:rsid w:val="004F1800"/>
    <w:rsid w:val="004F2022"/>
    <w:rsid w:val="004F306B"/>
    <w:rsid w:val="004F3232"/>
    <w:rsid w:val="004F397E"/>
    <w:rsid w:val="004F4C7D"/>
    <w:rsid w:val="004F4E34"/>
    <w:rsid w:val="004F519D"/>
    <w:rsid w:val="004F58B8"/>
    <w:rsid w:val="004F5983"/>
    <w:rsid w:val="004F64C4"/>
    <w:rsid w:val="004F6638"/>
    <w:rsid w:val="004F6997"/>
    <w:rsid w:val="004F759D"/>
    <w:rsid w:val="005004C4"/>
    <w:rsid w:val="00500AB7"/>
    <w:rsid w:val="00501576"/>
    <w:rsid w:val="00501C77"/>
    <w:rsid w:val="00501E4D"/>
    <w:rsid w:val="00502060"/>
    <w:rsid w:val="005024B0"/>
    <w:rsid w:val="0050251D"/>
    <w:rsid w:val="005025B0"/>
    <w:rsid w:val="00502D8E"/>
    <w:rsid w:val="00502F97"/>
    <w:rsid w:val="00503043"/>
    <w:rsid w:val="005034C8"/>
    <w:rsid w:val="0050356E"/>
    <w:rsid w:val="005056ED"/>
    <w:rsid w:val="0050599D"/>
    <w:rsid w:val="0050605A"/>
    <w:rsid w:val="0050679E"/>
    <w:rsid w:val="00506D07"/>
    <w:rsid w:val="00506EAE"/>
    <w:rsid w:val="00507E84"/>
    <w:rsid w:val="00507F98"/>
    <w:rsid w:val="005115D3"/>
    <w:rsid w:val="00512494"/>
    <w:rsid w:val="0051360E"/>
    <w:rsid w:val="005139C6"/>
    <w:rsid w:val="00514253"/>
    <w:rsid w:val="0051483B"/>
    <w:rsid w:val="00514E1E"/>
    <w:rsid w:val="0051509F"/>
    <w:rsid w:val="005152B7"/>
    <w:rsid w:val="005152D5"/>
    <w:rsid w:val="00515489"/>
    <w:rsid w:val="00516553"/>
    <w:rsid w:val="00517670"/>
    <w:rsid w:val="00517ED5"/>
    <w:rsid w:val="00520995"/>
    <w:rsid w:val="00520C0E"/>
    <w:rsid w:val="00522FA1"/>
    <w:rsid w:val="005233DD"/>
    <w:rsid w:val="00523F39"/>
    <w:rsid w:val="0052597C"/>
    <w:rsid w:val="00525BCD"/>
    <w:rsid w:val="005260C9"/>
    <w:rsid w:val="005260E0"/>
    <w:rsid w:val="00526374"/>
    <w:rsid w:val="0052680F"/>
    <w:rsid w:val="005275B2"/>
    <w:rsid w:val="00527ED9"/>
    <w:rsid w:val="005301A5"/>
    <w:rsid w:val="00531013"/>
    <w:rsid w:val="005312D6"/>
    <w:rsid w:val="00531F3E"/>
    <w:rsid w:val="005322D6"/>
    <w:rsid w:val="005325BF"/>
    <w:rsid w:val="005333B4"/>
    <w:rsid w:val="005339EE"/>
    <w:rsid w:val="00533E3F"/>
    <w:rsid w:val="00533EAE"/>
    <w:rsid w:val="00534414"/>
    <w:rsid w:val="0053473F"/>
    <w:rsid w:val="0053544D"/>
    <w:rsid w:val="0053619C"/>
    <w:rsid w:val="00536956"/>
    <w:rsid w:val="00536FC3"/>
    <w:rsid w:val="00537007"/>
    <w:rsid w:val="00537D38"/>
    <w:rsid w:val="00540949"/>
    <w:rsid w:val="00541097"/>
    <w:rsid w:val="005419C6"/>
    <w:rsid w:val="0054208C"/>
    <w:rsid w:val="00542F80"/>
    <w:rsid w:val="00543047"/>
    <w:rsid w:val="00543498"/>
    <w:rsid w:val="00543CA9"/>
    <w:rsid w:val="00544285"/>
    <w:rsid w:val="00544702"/>
    <w:rsid w:val="0054487F"/>
    <w:rsid w:val="00545CF3"/>
    <w:rsid w:val="00545FCD"/>
    <w:rsid w:val="00546DD3"/>
    <w:rsid w:val="00547838"/>
    <w:rsid w:val="00547DAC"/>
    <w:rsid w:val="00550D29"/>
    <w:rsid w:val="00550F94"/>
    <w:rsid w:val="00551CCC"/>
    <w:rsid w:val="00551E05"/>
    <w:rsid w:val="005522BC"/>
    <w:rsid w:val="00552650"/>
    <w:rsid w:val="005529D5"/>
    <w:rsid w:val="00552C08"/>
    <w:rsid w:val="00553432"/>
    <w:rsid w:val="00553958"/>
    <w:rsid w:val="00553E49"/>
    <w:rsid w:val="0055504A"/>
    <w:rsid w:val="00555889"/>
    <w:rsid w:val="00555900"/>
    <w:rsid w:val="00556E3D"/>
    <w:rsid w:val="00557CE3"/>
    <w:rsid w:val="00560D5A"/>
    <w:rsid w:val="00560F09"/>
    <w:rsid w:val="00561ACB"/>
    <w:rsid w:val="005626B9"/>
    <w:rsid w:val="00562C69"/>
    <w:rsid w:val="00562F56"/>
    <w:rsid w:val="00563644"/>
    <w:rsid w:val="00563990"/>
    <w:rsid w:val="00563D81"/>
    <w:rsid w:val="00564838"/>
    <w:rsid w:val="005654C5"/>
    <w:rsid w:val="00565E33"/>
    <w:rsid w:val="005663C7"/>
    <w:rsid w:val="00566F41"/>
    <w:rsid w:val="00567C1C"/>
    <w:rsid w:val="005709B6"/>
    <w:rsid w:val="00570BD0"/>
    <w:rsid w:val="005719ED"/>
    <w:rsid w:val="00572ABF"/>
    <w:rsid w:val="00573459"/>
    <w:rsid w:val="00573BF1"/>
    <w:rsid w:val="00574ABA"/>
    <w:rsid w:val="00576B6D"/>
    <w:rsid w:val="00576C76"/>
    <w:rsid w:val="00576F51"/>
    <w:rsid w:val="00577227"/>
    <w:rsid w:val="00577D32"/>
    <w:rsid w:val="00577FFA"/>
    <w:rsid w:val="00580B09"/>
    <w:rsid w:val="00580B4C"/>
    <w:rsid w:val="00581075"/>
    <w:rsid w:val="005814CB"/>
    <w:rsid w:val="005814E4"/>
    <w:rsid w:val="00581711"/>
    <w:rsid w:val="00582115"/>
    <w:rsid w:val="0058435E"/>
    <w:rsid w:val="00584B42"/>
    <w:rsid w:val="00585BC5"/>
    <w:rsid w:val="0058674D"/>
    <w:rsid w:val="005867DE"/>
    <w:rsid w:val="00586C08"/>
    <w:rsid w:val="005876A6"/>
    <w:rsid w:val="005878CC"/>
    <w:rsid w:val="00587951"/>
    <w:rsid w:val="00587B5E"/>
    <w:rsid w:val="00590026"/>
    <w:rsid w:val="00590100"/>
    <w:rsid w:val="00590880"/>
    <w:rsid w:val="00590AF3"/>
    <w:rsid w:val="005916D4"/>
    <w:rsid w:val="005929D5"/>
    <w:rsid w:val="00592EE8"/>
    <w:rsid w:val="005935BA"/>
    <w:rsid w:val="00593D68"/>
    <w:rsid w:val="00593E60"/>
    <w:rsid w:val="0059458D"/>
    <w:rsid w:val="00595039"/>
    <w:rsid w:val="00595553"/>
    <w:rsid w:val="00596305"/>
    <w:rsid w:val="005971B2"/>
    <w:rsid w:val="005975BF"/>
    <w:rsid w:val="00597706"/>
    <w:rsid w:val="005979A7"/>
    <w:rsid w:val="005A05CF"/>
    <w:rsid w:val="005A13D0"/>
    <w:rsid w:val="005A1449"/>
    <w:rsid w:val="005A1787"/>
    <w:rsid w:val="005A1D74"/>
    <w:rsid w:val="005A1FA8"/>
    <w:rsid w:val="005A1FC7"/>
    <w:rsid w:val="005A22B4"/>
    <w:rsid w:val="005A39A5"/>
    <w:rsid w:val="005A49A9"/>
    <w:rsid w:val="005A4D70"/>
    <w:rsid w:val="005A55A1"/>
    <w:rsid w:val="005A5C38"/>
    <w:rsid w:val="005A5E16"/>
    <w:rsid w:val="005A60EC"/>
    <w:rsid w:val="005A6197"/>
    <w:rsid w:val="005A6200"/>
    <w:rsid w:val="005A6822"/>
    <w:rsid w:val="005A6D8F"/>
    <w:rsid w:val="005A6E45"/>
    <w:rsid w:val="005A72C6"/>
    <w:rsid w:val="005A7C85"/>
    <w:rsid w:val="005A7D42"/>
    <w:rsid w:val="005A7F67"/>
    <w:rsid w:val="005B008B"/>
    <w:rsid w:val="005B19A0"/>
    <w:rsid w:val="005B28A3"/>
    <w:rsid w:val="005B2CEB"/>
    <w:rsid w:val="005B3E0B"/>
    <w:rsid w:val="005B4131"/>
    <w:rsid w:val="005B429D"/>
    <w:rsid w:val="005B47B5"/>
    <w:rsid w:val="005B4A25"/>
    <w:rsid w:val="005B4AF5"/>
    <w:rsid w:val="005B618E"/>
    <w:rsid w:val="005B65B6"/>
    <w:rsid w:val="005B6648"/>
    <w:rsid w:val="005B70C4"/>
    <w:rsid w:val="005B716F"/>
    <w:rsid w:val="005B7B36"/>
    <w:rsid w:val="005C1524"/>
    <w:rsid w:val="005C176C"/>
    <w:rsid w:val="005C1C7D"/>
    <w:rsid w:val="005C2BAD"/>
    <w:rsid w:val="005C3B37"/>
    <w:rsid w:val="005C3D3A"/>
    <w:rsid w:val="005C4045"/>
    <w:rsid w:val="005C44D9"/>
    <w:rsid w:val="005C488C"/>
    <w:rsid w:val="005C4F9A"/>
    <w:rsid w:val="005C545E"/>
    <w:rsid w:val="005C5BFE"/>
    <w:rsid w:val="005C6115"/>
    <w:rsid w:val="005C6159"/>
    <w:rsid w:val="005C6BAD"/>
    <w:rsid w:val="005C7055"/>
    <w:rsid w:val="005C73D5"/>
    <w:rsid w:val="005D0543"/>
    <w:rsid w:val="005D059A"/>
    <w:rsid w:val="005D05EB"/>
    <w:rsid w:val="005D0830"/>
    <w:rsid w:val="005D0A5F"/>
    <w:rsid w:val="005D1F19"/>
    <w:rsid w:val="005D22C5"/>
    <w:rsid w:val="005D24FE"/>
    <w:rsid w:val="005D29E9"/>
    <w:rsid w:val="005D2F13"/>
    <w:rsid w:val="005D3A84"/>
    <w:rsid w:val="005D44BC"/>
    <w:rsid w:val="005D45BC"/>
    <w:rsid w:val="005D46DD"/>
    <w:rsid w:val="005D5561"/>
    <w:rsid w:val="005D5B86"/>
    <w:rsid w:val="005D68B2"/>
    <w:rsid w:val="005D7AFF"/>
    <w:rsid w:val="005E002D"/>
    <w:rsid w:val="005E0744"/>
    <w:rsid w:val="005E08CF"/>
    <w:rsid w:val="005E101A"/>
    <w:rsid w:val="005E1065"/>
    <w:rsid w:val="005E12D5"/>
    <w:rsid w:val="005E1348"/>
    <w:rsid w:val="005E1590"/>
    <w:rsid w:val="005E1774"/>
    <w:rsid w:val="005E2DB2"/>
    <w:rsid w:val="005E2E88"/>
    <w:rsid w:val="005E4D18"/>
    <w:rsid w:val="005E5108"/>
    <w:rsid w:val="005E547D"/>
    <w:rsid w:val="005E61AF"/>
    <w:rsid w:val="005E64F5"/>
    <w:rsid w:val="005E6616"/>
    <w:rsid w:val="005E680E"/>
    <w:rsid w:val="005E6CD2"/>
    <w:rsid w:val="005E7049"/>
    <w:rsid w:val="005E71F7"/>
    <w:rsid w:val="005F067D"/>
    <w:rsid w:val="005F0BE9"/>
    <w:rsid w:val="005F0D4E"/>
    <w:rsid w:val="005F1765"/>
    <w:rsid w:val="005F181E"/>
    <w:rsid w:val="005F2019"/>
    <w:rsid w:val="005F27D2"/>
    <w:rsid w:val="005F2D37"/>
    <w:rsid w:val="005F3354"/>
    <w:rsid w:val="005F3D75"/>
    <w:rsid w:val="005F52EE"/>
    <w:rsid w:val="0060050F"/>
    <w:rsid w:val="00600847"/>
    <w:rsid w:val="006024D7"/>
    <w:rsid w:val="006026BB"/>
    <w:rsid w:val="006027B2"/>
    <w:rsid w:val="00602817"/>
    <w:rsid w:val="00602929"/>
    <w:rsid w:val="00603C01"/>
    <w:rsid w:val="006040A9"/>
    <w:rsid w:val="0060499D"/>
    <w:rsid w:val="0060559C"/>
    <w:rsid w:val="00605F54"/>
    <w:rsid w:val="00607F33"/>
    <w:rsid w:val="00610CF1"/>
    <w:rsid w:val="00612776"/>
    <w:rsid w:val="00612E6A"/>
    <w:rsid w:val="00613C7F"/>
    <w:rsid w:val="006143C1"/>
    <w:rsid w:val="0061475E"/>
    <w:rsid w:val="00614AF9"/>
    <w:rsid w:val="00616AF0"/>
    <w:rsid w:val="00617C23"/>
    <w:rsid w:val="00617F25"/>
    <w:rsid w:val="00617F2C"/>
    <w:rsid w:val="00620686"/>
    <w:rsid w:val="006215E7"/>
    <w:rsid w:val="006223C5"/>
    <w:rsid w:val="0062272A"/>
    <w:rsid w:val="00622B62"/>
    <w:rsid w:val="00623115"/>
    <w:rsid w:val="006234A1"/>
    <w:rsid w:val="00624AB4"/>
    <w:rsid w:val="00624E8E"/>
    <w:rsid w:val="0062623C"/>
    <w:rsid w:val="00626580"/>
    <w:rsid w:val="00626FFA"/>
    <w:rsid w:val="0062708F"/>
    <w:rsid w:val="00630C57"/>
    <w:rsid w:val="00631605"/>
    <w:rsid w:val="00631B52"/>
    <w:rsid w:val="00632132"/>
    <w:rsid w:val="00632C48"/>
    <w:rsid w:val="00632C7E"/>
    <w:rsid w:val="00633663"/>
    <w:rsid w:val="0063446D"/>
    <w:rsid w:val="00634B9C"/>
    <w:rsid w:val="00634D4A"/>
    <w:rsid w:val="00634ED1"/>
    <w:rsid w:val="00635EAF"/>
    <w:rsid w:val="0063610C"/>
    <w:rsid w:val="0063671D"/>
    <w:rsid w:val="00641905"/>
    <w:rsid w:val="006420A9"/>
    <w:rsid w:val="0064217E"/>
    <w:rsid w:val="00643C71"/>
    <w:rsid w:val="00644169"/>
    <w:rsid w:val="00644207"/>
    <w:rsid w:val="006445CD"/>
    <w:rsid w:val="0064473A"/>
    <w:rsid w:val="006447A9"/>
    <w:rsid w:val="006450DE"/>
    <w:rsid w:val="00645123"/>
    <w:rsid w:val="006453A7"/>
    <w:rsid w:val="00645540"/>
    <w:rsid w:val="00645857"/>
    <w:rsid w:val="006465B2"/>
    <w:rsid w:val="00646CDE"/>
    <w:rsid w:val="00647B72"/>
    <w:rsid w:val="00647E4D"/>
    <w:rsid w:val="00647EB1"/>
    <w:rsid w:val="006508DA"/>
    <w:rsid w:val="00650C48"/>
    <w:rsid w:val="00650DDD"/>
    <w:rsid w:val="0065196D"/>
    <w:rsid w:val="006519E7"/>
    <w:rsid w:val="0065321C"/>
    <w:rsid w:val="006538E3"/>
    <w:rsid w:val="0065433D"/>
    <w:rsid w:val="00654648"/>
    <w:rsid w:val="00654C0D"/>
    <w:rsid w:val="00654DB9"/>
    <w:rsid w:val="006556A6"/>
    <w:rsid w:val="006558EF"/>
    <w:rsid w:val="00655A76"/>
    <w:rsid w:val="00655B82"/>
    <w:rsid w:val="00655E77"/>
    <w:rsid w:val="006561E2"/>
    <w:rsid w:val="0065663E"/>
    <w:rsid w:val="00657093"/>
    <w:rsid w:val="006605ED"/>
    <w:rsid w:val="00660D7D"/>
    <w:rsid w:val="00660DC0"/>
    <w:rsid w:val="006610D8"/>
    <w:rsid w:val="00661B12"/>
    <w:rsid w:val="00663466"/>
    <w:rsid w:val="00664260"/>
    <w:rsid w:val="0066445C"/>
    <w:rsid w:val="00664E40"/>
    <w:rsid w:val="00666FE3"/>
    <w:rsid w:val="00667783"/>
    <w:rsid w:val="0067047B"/>
    <w:rsid w:val="0067056E"/>
    <w:rsid w:val="006708ED"/>
    <w:rsid w:val="00670FEA"/>
    <w:rsid w:val="0067161F"/>
    <w:rsid w:val="00671AE0"/>
    <w:rsid w:val="00671D0D"/>
    <w:rsid w:val="0067241B"/>
    <w:rsid w:val="006725D4"/>
    <w:rsid w:val="0067345F"/>
    <w:rsid w:val="00673F4A"/>
    <w:rsid w:val="00674177"/>
    <w:rsid w:val="00674F09"/>
    <w:rsid w:val="00674F2C"/>
    <w:rsid w:val="00675939"/>
    <w:rsid w:val="00675A3D"/>
    <w:rsid w:val="006773CD"/>
    <w:rsid w:val="00681BB6"/>
    <w:rsid w:val="006829A3"/>
    <w:rsid w:val="006829B8"/>
    <w:rsid w:val="00683711"/>
    <w:rsid w:val="00683C07"/>
    <w:rsid w:val="00684055"/>
    <w:rsid w:val="006851B1"/>
    <w:rsid w:val="00685AF8"/>
    <w:rsid w:val="00685B6D"/>
    <w:rsid w:val="006863C0"/>
    <w:rsid w:val="00686F8A"/>
    <w:rsid w:val="006908C0"/>
    <w:rsid w:val="0069139C"/>
    <w:rsid w:val="0069190B"/>
    <w:rsid w:val="00691BF1"/>
    <w:rsid w:val="006925E0"/>
    <w:rsid w:val="00692F47"/>
    <w:rsid w:val="0069304D"/>
    <w:rsid w:val="00693103"/>
    <w:rsid w:val="00693834"/>
    <w:rsid w:val="0069483E"/>
    <w:rsid w:val="0069493F"/>
    <w:rsid w:val="00694B52"/>
    <w:rsid w:val="00695633"/>
    <w:rsid w:val="006974C7"/>
    <w:rsid w:val="0069770B"/>
    <w:rsid w:val="006A07E1"/>
    <w:rsid w:val="006A0836"/>
    <w:rsid w:val="006A09AA"/>
    <w:rsid w:val="006A1083"/>
    <w:rsid w:val="006A1928"/>
    <w:rsid w:val="006A2749"/>
    <w:rsid w:val="006A2B97"/>
    <w:rsid w:val="006A598F"/>
    <w:rsid w:val="006A643C"/>
    <w:rsid w:val="006A6B7A"/>
    <w:rsid w:val="006A6C09"/>
    <w:rsid w:val="006A6FE6"/>
    <w:rsid w:val="006A7564"/>
    <w:rsid w:val="006A7ABF"/>
    <w:rsid w:val="006B032A"/>
    <w:rsid w:val="006B0394"/>
    <w:rsid w:val="006B076E"/>
    <w:rsid w:val="006B0D5E"/>
    <w:rsid w:val="006B1042"/>
    <w:rsid w:val="006B1157"/>
    <w:rsid w:val="006B16AC"/>
    <w:rsid w:val="006B1882"/>
    <w:rsid w:val="006B2106"/>
    <w:rsid w:val="006B2353"/>
    <w:rsid w:val="006B2C4D"/>
    <w:rsid w:val="006B3279"/>
    <w:rsid w:val="006B385F"/>
    <w:rsid w:val="006B3D5B"/>
    <w:rsid w:val="006B4383"/>
    <w:rsid w:val="006B4FE1"/>
    <w:rsid w:val="006B7166"/>
    <w:rsid w:val="006B75E1"/>
    <w:rsid w:val="006B7660"/>
    <w:rsid w:val="006C015E"/>
    <w:rsid w:val="006C0C9A"/>
    <w:rsid w:val="006C211D"/>
    <w:rsid w:val="006C2689"/>
    <w:rsid w:val="006C2DDC"/>
    <w:rsid w:val="006C2E4A"/>
    <w:rsid w:val="006C3477"/>
    <w:rsid w:val="006C44BF"/>
    <w:rsid w:val="006C4F63"/>
    <w:rsid w:val="006C518B"/>
    <w:rsid w:val="006C560C"/>
    <w:rsid w:val="006C5CDD"/>
    <w:rsid w:val="006C7292"/>
    <w:rsid w:val="006C7D5B"/>
    <w:rsid w:val="006D0754"/>
    <w:rsid w:val="006D084E"/>
    <w:rsid w:val="006D153C"/>
    <w:rsid w:val="006D16D7"/>
    <w:rsid w:val="006D2555"/>
    <w:rsid w:val="006D283C"/>
    <w:rsid w:val="006D409D"/>
    <w:rsid w:val="006D464A"/>
    <w:rsid w:val="006D6403"/>
    <w:rsid w:val="006D6536"/>
    <w:rsid w:val="006D6A84"/>
    <w:rsid w:val="006D7C73"/>
    <w:rsid w:val="006E0D58"/>
    <w:rsid w:val="006E22AA"/>
    <w:rsid w:val="006E22E5"/>
    <w:rsid w:val="006E266D"/>
    <w:rsid w:val="006E2CDC"/>
    <w:rsid w:val="006E3DB7"/>
    <w:rsid w:val="006E56F9"/>
    <w:rsid w:val="006E58AD"/>
    <w:rsid w:val="006E60A0"/>
    <w:rsid w:val="006E63E5"/>
    <w:rsid w:val="006E6461"/>
    <w:rsid w:val="006E6B7F"/>
    <w:rsid w:val="006E6BEA"/>
    <w:rsid w:val="006E7AC6"/>
    <w:rsid w:val="006E7B1A"/>
    <w:rsid w:val="006E7F9C"/>
    <w:rsid w:val="006F0876"/>
    <w:rsid w:val="006F10B3"/>
    <w:rsid w:val="006F1539"/>
    <w:rsid w:val="006F17F1"/>
    <w:rsid w:val="006F18D6"/>
    <w:rsid w:val="006F19B5"/>
    <w:rsid w:val="006F21CC"/>
    <w:rsid w:val="006F2366"/>
    <w:rsid w:val="006F2DA1"/>
    <w:rsid w:val="006F2F8F"/>
    <w:rsid w:val="006F3FE0"/>
    <w:rsid w:val="006F42FD"/>
    <w:rsid w:val="006F4863"/>
    <w:rsid w:val="006F5350"/>
    <w:rsid w:val="006F57F8"/>
    <w:rsid w:val="006F5979"/>
    <w:rsid w:val="006F5C39"/>
    <w:rsid w:val="006F6ABD"/>
    <w:rsid w:val="006F6AD8"/>
    <w:rsid w:val="006F6D34"/>
    <w:rsid w:val="006F798A"/>
    <w:rsid w:val="006F7D7D"/>
    <w:rsid w:val="0070010D"/>
    <w:rsid w:val="00702043"/>
    <w:rsid w:val="00703002"/>
    <w:rsid w:val="00703D48"/>
    <w:rsid w:val="00703EC3"/>
    <w:rsid w:val="0070557F"/>
    <w:rsid w:val="00705798"/>
    <w:rsid w:val="0070636E"/>
    <w:rsid w:val="0070744C"/>
    <w:rsid w:val="007075F2"/>
    <w:rsid w:val="00707D7F"/>
    <w:rsid w:val="00710381"/>
    <w:rsid w:val="007104EA"/>
    <w:rsid w:val="007126BB"/>
    <w:rsid w:val="00712913"/>
    <w:rsid w:val="00712B17"/>
    <w:rsid w:val="00712E2D"/>
    <w:rsid w:val="00714F3E"/>
    <w:rsid w:val="00715194"/>
    <w:rsid w:val="007151D9"/>
    <w:rsid w:val="0071566C"/>
    <w:rsid w:val="0071570C"/>
    <w:rsid w:val="00715F19"/>
    <w:rsid w:val="007165FE"/>
    <w:rsid w:val="00716628"/>
    <w:rsid w:val="00716D16"/>
    <w:rsid w:val="007172C6"/>
    <w:rsid w:val="007205B5"/>
    <w:rsid w:val="007207C2"/>
    <w:rsid w:val="0072080A"/>
    <w:rsid w:val="007208DD"/>
    <w:rsid w:val="00720C41"/>
    <w:rsid w:val="00721D0A"/>
    <w:rsid w:val="00721FC8"/>
    <w:rsid w:val="00724433"/>
    <w:rsid w:val="007253CD"/>
    <w:rsid w:val="007260E1"/>
    <w:rsid w:val="00726DAC"/>
    <w:rsid w:val="007275A6"/>
    <w:rsid w:val="00727CAF"/>
    <w:rsid w:val="007304DB"/>
    <w:rsid w:val="007310CF"/>
    <w:rsid w:val="007313B6"/>
    <w:rsid w:val="00731C6B"/>
    <w:rsid w:val="0073300B"/>
    <w:rsid w:val="0073397D"/>
    <w:rsid w:val="00733E67"/>
    <w:rsid w:val="007345B2"/>
    <w:rsid w:val="00734D43"/>
    <w:rsid w:val="007355AD"/>
    <w:rsid w:val="00735B3D"/>
    <w:rsid w:val="00736602"/>
    <w:rsid w:val="0073689D"/>
    <w:rsid w:val="0073697E"/>
    <w:rsid w:val="007375EE"/>
    <w:rsid w:val="00737FF9"/>
    <w:rsid w:val="007409BC"/>
    <w:rsid w:val="00740E6C"/>
    <w:rsid w:val="00741637"/>
    <w:rsid w:val="0074214D"/>
    <w:rsid w:val="0074294D"/>
    <w:rsid w:val="00742F8C"/>
    <w:rsid w:val="00742FFA"/>
    <w:rsid w:val="007435DD"/>
    <w:rsid w:val="0074390C"/>
    <w:rsid w:val="007445D1"/>
    <w:rsid w:val="0074471F"/>
    <w:rsid w:val="00744F04"/>
    <w:rsid w:val="0074564A"/>
    <w:rsid w:val="007456C9"/>
    <w:rsid w:val="0074645A"/>
    <w:rsid w:val="007465DB"/>
    <w:rsid w:val="007476B3"/>
    <w:rsid w:val="007476C3"/>
    <w:rsid w:val="007509D1"/>
    <w:rsid w:val="00750BD4"/>
    <w:rsid w:val="007517CC"/>
    <w:rsid w:val="00751888"/>
    <w:rsid w:val="00751B1B"/>
    <w:rsid w:val="007520A6"/>
    <w:rsid w:val="0075225E"/>
    <w:rsid w:val="007523D8"/>
    <w:rsid w:val="0075339A"/>
    <w:rsid w:val="00753551"/>
    <w:rsid w:val="00754BEB"/>
    <w:rsid w:val="007554E5"/>
    <w:rsid w:val="007562AE"/>
    <w:rsid w:val="00757280"/>
    <w:rsid w:val="007604BB"/>
    <w:rsid w:val="00760755"/>
    <w:rsid w:val="0076112E"/>
    <w:rsid w:val="00761510"/>
    <w:rsid w:val="0076260D"/>
    <w:rsid w:val="00762D63"/>
    <w:rsid w:val="0076342A"/>
    <w:rsid w:val="00764421"/>
    <w:rsid w:val="00764709"/>
    <w:rsid w:val="00764B7D"/>
    <w:rsid w:val="00764C5C"/>
    <w:rsid w:val="007650A2"/>
    <w:rsid w:val="0076518E"/>
    <w:rsid w:val="007653F9"/>
    <w:rsid w:val="0076569A"/>
    <w:rsid w:val="00765BC7"/>
    <w:rsid w:val="00767076"/>
    <w:rsid w:val="007673DB"/>
    <w:rsid w:val="0076773F"/>
    <w:rsid w:val="00767B6B"/>
    <w:rsid w:val="00770518"/>
    <w:rsid w:val="0077053C"/>
    <w:rsid w:val="0077063D"/>
    <w:rsid w:val="0077066A"/>
    <w:rsid w:val="00770AA4"/>
    <w:rsid w:val="00770E7E"/>
    <w:rsid w:val="00770ED2"/>
    <w:rsid w:val="00771F16"/>
    <w:rsid w:val="00771F40"/>
    <w:rsid w:val="0077209E"/>
    <w:rsid w:val="00773828"/>
    <w:rsid w:val="00773AAC"/>
    <w:rsid w:val="00773BAA"/>
    <w:rsid w:val="007740B6"/>
    <w:rsid w:val="00774D55"/>
    <w:rsid w:val="00774DAB"/>
    <w:rsid w:val="00775327"/>
    <w:rsid w:val="00775363"/>
    <w:rsid w:val="00776995"/>
    <w:rsid w:val="007775B7"/>
    <w:rsid w:val="007775D3"/>
    <w:rsid w:val="007776D9"/>
    <w:rsid w:val="0077772F"/>
    <w:rsid w:val="00777D58"/>
    <w:rsid w:val="007805BF"/>
    <w:rsid w:val="007807F8"/>
    <w:rsid w:val="00780CD7"/>
    <w:rsid w:val="00781234"/>
    <w:rsid w:val="0078194E"/>
    <w:rsid w:val="00782E57"/>
    <w:rsid w:val="00783234"/>
    <w:rsid w:val="0078375D"/>
    <w:rsid w:val="00783B24"/>
    <w:rsid w:val="00783C6F"/>
    <w:rsid w:val="00783ECE"/>
    <w:rsid w:val="007848F3"/>
    <w:rsid w:val="0078545B"/>
    <w:rsid w:val="0078617B"/>
    <w:rsid w:val="00786455"/>
    <w:rsid w:val="007866E3"/>
    <w:rsid w:val="00786A72"/>
    <w:rsid w:val="00786C76"/>
    <w:rsid w:val="007877F1"/>
    <w:rsid w:val="00787D88"/>
    <w:rsid w:val="00790313"/>
    <w:rsid w:val="0079044E"/>
    <w:rsid w:val="00790C3C"/>
    <w:rsid w:val="00791093"/>
    <w:rsid w:val="007912E4"/>
    <w:rsid w:val="007919C1"/>
    <w:rsid w:val="00792038"/>
    <w:rsid w:val="00792116"/>
    <w:rsid w:val="00792926"/>
    <w:rsid w:val="0079296E"/>
    <w:rsid w:val="00793C5D"/>
    <w:rsid w:val="00795679"/>
    <w:rsid w:val="0079568E"/>
    <w:rsid w:val="007957C8"/>
    <w:rsid w:val="00795AF2"/>
    <w:rsid w:val="00796022"/>
    <w:rsid w:val="00796365"/>
    <w:rsid w:val="007965A7"/>
    <w:rsid w:val="00796BEF"/>
    <w:rsid w:val="00796DF1"/>
    <w:rsid w:val="00797FF7"/>
    <w:rsid w:val="007A0110"/>
    <w:rsid w:val="007A03C3"/>
    <w:rsid w:val="007A0FE9"/>
    <w:rsid w:val="007A2264"/>
    <w:rsid w:val="007A23B8"/>
    <w:rsid w:val="007A2CF8"/>
    <w:rsid w:val="007A4387"/>
    <w:rsid w:val="007A5283"/>
    <w:rsid w:val="007A5662"/>
    <w:rsid w:val="007A56D8"/>
    <w:rsid w:val="007A58CC"/>
    <w:rsid w:val="007A5EF1"/>
    <w:rsid w:val="007A68BF"/>
    <w:rsid w:val="007A6A60"/>
    <w:rsid w:val="007A6A62"/>
    <w:rsid w:val="007A6CF8"/>
    <w:rsid w:val="007A6DA2"/>
    <w:rsid w:val="007A7978"/>
    <w:rsid w:val="007B01C5"/>
    <w:rsid w:val="007B08B4"/>
    <w:rsid w:val="007B0C92"/>
    <w:rsid w:val="007B2049"/>
    <w:rsid w:val="007B2E55"/>
    <w:rsid w:val="007B3AE1"/>
    <w:rsid w:val="007B4AAC"/>
    <w:rsid w:val="007B4DA9"/>
    <w:rsid w:val="007B51FF"/>
    <w:rsid w:val="007C059F"/>
    <w:rsid w:val="007C0824"/>
    <w:rsid w:val="007C13B6"/>
    <w:rsid w:val="007C160E"/>
    <w:rsid w:val="007C28FF"/>
    <w:rsid w:val="007C3EF7"/>
    <w:rsid w:val="007C4B00"/>
    <w:rsid w:val="007C4CB7"/>
    <w:rsid w:val="007C5059"/>
    <w:rsid w:val="007C7186"/>
    <w:rsid w:val="007C7D6C"/>
    <w:rsid w:val="007D0CB2"/>
    <w:rsid w:val="007D0EB8"/>
    <w:rsid w:val="007D24BE"/>
    <w:rsid w:val="007D25EF"/>
    <w:rsid w:val="007D2695"/>
    <w:rsid w:val="007D3333"/>
    <w:rsid w:val="007D3356"/>
    <w:rsid w:val="007D3B95"/>
    <w:rsid w:val="007D3DEA"/>
    <w:rsid w:val="007D418B"/>
    <w:rsid w:val="007D419D"/>
    <w:rsid w:val="007D448A"/>
    <w:rsid w:val="007D45BD"/>
    <w:rsid w:val="007D5F42"/>
    <w:rsid w:val="007D6B6A"/>
    <w:rsid w:val="007D6B91"/>
    <w:rsid w:val="007D7200"/>
    <w:rsid w:val="007D76DE"/>
    <w:rsid w:val="007E112E"/>
    <w:rsid w:val="007E1670"/>
    <w:rsid w:val="007E1F03"/>
    <w:rsid w:val="007E20E6"/>
    <w:rsid w:val="007E2DF9"/>
    <w:rsid w:val="007E328F"/>
    <w:rsid w:val="007E3927"/>
    <w:rsid w:val="007E40E6"/>
    <w:rsid w:val="007E410A"/>
    <w:rsid w:val="007E47DC"/>
    <w:rsid w:val="007E47EE"/>
    <w:rsid w:val="007E66A3"/>
    <w:rsid w:val="007E6D58"/>
    <w:rsid w:val="007E7440"/>
    <w:rsid w:val="007E7875"/>
    <w:rsid w:val="007F0CE2"/>
    <w:rsid w:val="007F182D"/>
    <w:rsid w:val="007F1E92"/>
    <w:rsid w:val="007F1F75"/>
    <w:rsid w:val="007F2023"/>
    <w:rsid w:val="007F2182"/>
    <w:rsid w:val="007F2D87"/>
    <w:rsid w:val="007F31D0"/>
    <w:rsid w:val="007F34A7"/>
    <w:rsid w:val="007F360A"/>
    <w:rsid w:val="007F3B07"/>
    <w:rsid w:val="007F3FCB"/>
    <w:rsid w:val="007F4022"/>
    <w:rsid w:val="007F405F"/>
    <w:rsid w:val="007F4BC3"/>
    <w:rsid w:val="007F522D"/>
    <w:rsid w:val="007F5769"/>
    <w:rsid w:val="007F6613"/>
    <w:rsid w:val="007F6D43"/>
    <w:rsid w:val="007F79AD"/>
    <w:rsid w:val="00800AF0"/>
    <w:rsid w:val="0080182C"/>
    <w:rsid w:val="00801A96"/>
    <w:rsid w:val="008023D8"/>
    <w:rsid w:val="008025CC"/>
    <w:rsid w:val="00803130"/>
    <w:rsid w:val="008034D5"/>
    <w:rsid w:val="008035F6"/>
    <w:rsid w:val="00803F06"/>
    <w:rsid w:val="00803FD7"/>
    <w:rsid w:val="0080430D"/>
    <w:rsid w:val="00804402"/>
    <w:rsid w:val="00805ED2"/>
    <w:rsid w:val="00805F7C"/>
    <w:rsid w:val="00806A22"/>
    <w:rsid w:val="00807556"/>
    <w:rsid w:val="0081080E"/>
    <w:rsid w:val="0081093E"/>
    <w:rsid w:val="008109D5"/>
    <w:rsid w:val="00810EF4"/>
    <w:rsid w:val="00811C17"/>
    <w:rsid w:val="00811D4A"/>
    <w:rsid w:val="008135DF"/>
    <w:rsid w:val="0081388D"/>
    <w:rsid w:val="0081472D"/>
    <w:rsid w:val="00814779"/>
    <w:rsid w:val="00814C3C"/>
    <w:rsid w:val="0081560B"/>
    <w:rsid w:val="008156CB"/>
    <w:rsid w:val="0081649B"/>
    <w:rsid w:val="00816593"/>
    <w:rsid w:val="00817680"/>
    <w:rsid w:val="00817B99"/>
    <w:rsid w:val="00817EDA"/>
    <w:rsid w:val="00820CA5"/>
    <w:rsid w:val="00821558"/>
    <w:rsid w:val="00821849"/>
    <w:rsid w:val="008219BB"/>
    <w:rsid w:val="00821B8F"/>
    <w:rsid w:val="00822F8A"/>
    <w:rsid w:val="00824799"/>
    <w:rsid w:val="00824E48"/>
    <w:rsid w:val="00825655"/>
    <w:rsid w:val="00825D38"/>
    <w:rsid w:val="00826E3A"/>
    <w:rsid w:val="00826EF7"/>
    <w:rsid w:val="0083052A"/>
    <w:rsid w:val="00830F5C"/>
    <w:rsid w:val="0083122C"/>
    <w:rsid w:val="0083124A"/>
    <w:rsid w:val="008316FD"/>
    <w:rsid w:val="0083284E"/>
    <w:rsid w:val="00832B9E"/>
    <w:rsid w:val="0083325E"/>
    <w:rsid w:val="00833628"/>
    <w:rsid w:val="00833A0E"/>
    <w:rsid w:val="00833FEB"/>
    <w:rsid w:val="0083505D"/>
    <w:rsid w:val="008352B6"/>
    <w:rsid w:val="008357D8"/>
    <w:rsid w:val="00836072"/>
    <w:rsid w:val="00836399"/>
    <w:rsid w:val="0083740D"/>
    <w:rsid w:val="00837893"/>
    <w:rsid w:val="00837BE0"/>
    <w:rsid w:val="00837F8B"/>
    <w:rsid w:val="00840886"/>
    <w:rsid w:val="0084196A"/>
    <w:rsid w:val="00842710"/>
    <w:rsid w:val="008428D8"/>
    <w:rsid w:val="008450A3"/>
    <w:rsid w:val="00846AF0"/>
    <w:rsid w:val="008474A0"/>
    <w:rsid w:val="0084790D"/>
    <w:rsid w:val="00847C7B"/>
    <w:rsid w:val="0085236B"/>
    <w:rsid w:val="00852531"/>
    <w:rsid w:val="00852A5B"/>
    <w:rsid w:val="00852CE1"/>
    <w:rsid w:val="00853542"/>
    <w:rsid w:val="00853CE8"/>
    <w:rsid w:val="00853D6F"/>
    <w:rsid w:val="00853F89"/>
    <w:rsid w:val="00854143"/>
    <w:rsid w:val="00855223"/>
    <w:rsid w:val="00856828"/>
    <w:rsid w:val="00857D7A"/>
    <w:rsid w:val="0086052E"/>
    <w:rsid w:val="008606DE"/>
    <w:rsid w:val="00860B2A"/>
    <w:rsid w:val="00860F5F"/>
    <w:rsid w:val="00861A13"/>
    <w:rsid w:val="0086286F"/>
    <w:rsid w:val="00862D19"/>
    <w:rsid w:val="0086361B"/>
    <w:rsid w:val="00865B29"/>
    <w:rsid w:val="00865F61"/>
    <w:rsid w:val="008661C2"/>
    <w:rsid w:val="008671E6"/>
    <w:rsid w:val="0086777D"/>
    <w:rsid w:val="00867BDE"/>
    <w:rsid w:val="008711FC"/>
    <w:rsid w:val="00871471"/>
    <w:rsid w:val="00871D3A"/>
    <w:rsid w:val="008732FC"/>
    <w:rsid w:val="00873758"/>
    <w:rsid w:val="008750A1"/>
    <w:rsid w:val="008751A9"/>
    <w:rsid w:val="00875350"/>
    <w:rsid w:val="008760EE"/>
    <w:rsid w:val="00876157"/>
    <w:rsid w:val="00876394"/>
    <w:rsid w:val="0087706C"/>
    <w:rsid w:val="00877CBE"/>
    <w:rsid w:val="00880043"/>
    <w:rsid w:val="00880175"/>
    <w:rsid w:val="0088077F"/>
    <w:rsid w:val="00880F7A"/>
    <w:rsid w:val="008811BA"/>
    <w:rsid w:val="00881593"/>
    <w:rsid w:val="00881E1F"/>
    <w:rsid w:val="008821D3"/>
    <w:rsid w:val="00882383"/>
    <w:rsid w:val="00882B56"/>
    <w:rsid w:val="00882E73"/>
    <w:rsid w:val="00883123"/>
    <w:rsid w:val="00883CBC"/>
    <w:rsid w:val="00883E69"/>
    <w:rsid w:val="0088422B"/>
    <w:rsid w:val="008844D8"/>
    <w:rsid w:val="00884999"/>
    <w:rsid w:val="00884AC7"/>
    <w:rsid w:val="008856B9"/>
    <w:rsid w:val="00886268"/>
    <w:rsid w:val="008873AE"/>
    <w:rsid w:val="008873BC"/>
    <w:rsid w:val="00887E6C"/>
    <w:rsid w:val="008908F7"/>
    <w:rsid w:val="00890CFE"/>
    <w:rsid w:val="008914F5"/>
    <w:rsid w:val="00891E8D"/>
    <w:rsid w:val="008926E0"/>
    <w:rsid w:val="0089525C"/>
    <w:rsid w:val="00895EAE"/>
    <w:rsid w:val="0089631A"/>
    <w:rsid w:val="008976D5"/>
    <w:rsid w:val="00897BBE"/>
    <w:rsid w:val="008A04C9"/>
    <w:rsid w:val="008A05BF"/>
    <w:rsid w:val="008A0D4F"/>
    <w:rsid w:val="008A10BD"/>
    <w:rsid w:val="008A1EC9"/>
    <w:rsid w:val="008A21E8"/>
    <w:rsid w:val="008A275C"/>
    <w:rsid w:val="008A283D"/>
    <w:rsid w:val="008A2B0A"/>
    <w:rsid w:val="008A3327"/>
    <w:rsid w:val="008A469D"/>
    <w:rsid w:val="008A4DE7"/>
    <w:rsid w:val="008A4F2A"/>
    <w:rsid w:val="008A52B5"/>
    <w:rsid w:val="008A533F"/>
    <w:rsid w:val="008A56DD"/>
    <w:rsid w:val="008A5C36"/>
    <w:rsid w:val="008A791A"/>
    <w:rsid w:val="008A79FC"/>
    <w:rsid w:val="008B0392"/>
    <w:rsid w:val="008B092C"/>
    <w:rsid w:val="008B1698"/>
    <w:rsid w:val="008B35C5"/>
    <w:rsid w:val="008B36B1"/>
    <w:rsid w:val="008B3ABF"/>
    <w:rsid w:val="008B3B31"/>
    <w:rsid w:val="008B672B"/>
    <w:rsid w:val="008B6920"/>
    <w:rsid w:val="008B7017"/>
    <w:rsid w:val="008B72E0"/>
    <w:rsid w:val="008C0008"/>
    <w:rsid w:val="008C0620"/>
    <w:rsid w:val="008C0921"/>
    <w:rsid w:val="008C1029"/>
    <w:rsid w:val="008C111A"/>
    <w:rsid w:val="008C2339"/>
    <w:rsid w:val="008C235D"/>
    <w:rsid w:val="008C36F0"/>
    <w:rsid w:val="008C469F"/>
    <w:rsid w:val="008C471F"/>
    <w:rsid w:val="008C4A37"/>
    <w:rsid w:val="008C5235"/>
    <w:rsid w:val="008C5BCB"/>
    <w:rsid w:val="008C6AAB"/>
    <w:rsid w:val="008C73E3"/>
    <w:rsid w:val="008C757B"/>
    <w:rsid w:val="008D04CB"/>
    <w:rsid w:val="008D065C"/>
    <w:rsid w:val="008D0CCB"/>
    <w:rsid w:val="008D20C6"/>
    <w:rsid w:val="008D332B"/>
    <w:rsid w:val="008D33BB"/>
    <w:rsid w:val="008D344F"/>
    <w:rsid w:val="008D4383"/>
    <w:rsid w:val="008D4815"/>
    <w:rsid w:val="008D5E72"/>
    <w:rsid w:val="008D60A6"/>
    <w:rsid w:val="008E0392"/>
    <w:rsid w:val="008E08F9"/>
    <w:rsid w:val="008E0BDF"/>
    <w:rsid w:val="008E0C6E"/>
    <w:rsid w:val="008E0FF6"/>
    <w:rsid w:val="008E1A2B"/>
    <w:rsid w:val="008E2CA3"/>
    <w:rsid w:val="008E2F59"/>
    <w:rsid w:val="008E2F64"/>
    <w:rsid w:val="008E2FD0"/>
    <w:rsid w:val="008E307E"/>
    <w:rsid w:val="008E3BB0"/>
    <w:rsid w:val="008E4446"/>
    <w:rsid w:val="008E4FB8"/>
    <w:rsid w:val="008E6304"/>
    <w:rsid w:val="008E6CF1"/>
    <w:rsid w:val="008F023E"/>
    <w:rsid w:val="008F120B"/>
    <w:rsid w:val="008F1276"/>
    <w:rsid w:val="008F12E8"/>
    <w:rsid w:val="008F236C"/>
    <w:rsid w:val="008F2806"/>
    <w:rsid w:val="008F287F"/>
    <w:rsid w:val="008F2D37"/>
    <w:rsid w:val="008F3012"/>
    <w:rsid w:val="008F3279"/>
    <w:rsid w:val="008F5EF5"/>
    <w:rsid w:val="008F5F5E"/>
    <w:rsid w:val="008F6826"/>
    <w:rsid w:val="008F6961"/>
    <w:rsid w:val="008F6AE3"/>
    <w:rsid w:val="0090137A"/>
    <w:rsid w:val="00901391"/>
    <w:rsid w:val="00902D71"/>
    <w:rsid w:val="00904E13"/>
    <w:rsid w:val="00904E19"/>
    <w:rsid w:val="00904EEB"/>
    <w:rsid w:val="00905595"/>
    <w:rsid w:val="009059D4"/>
    <w:rsid w:val="00911A0F"/>
    <w:rsid w:val="00911DF3"/>
    <w:rsid w:val="00911EA8"/>
    <w:rsid w:val="0091283B"/>
    <w:rsid w:val="00912EBD"/>
    <w:rsid w:val="00913D28"/>
    <w:rsid w:val="00913E2A"/>
    <w:rsid w:val="00913E65"/>
    <w:rsid w:val="0091405B"/>
    <w:rsid w:val="00914422"/>
    <w:rsid w:val="00914F13"/>
    <w:rsid w:val="00914F72"/>
    <w:rsid w:val="00915C4E"/>
    <w:rsid w:val="009162BA"/>
    <w:rsid w:val="0091631A"/>
    <w:rsid w:val="00916708"/>
    <w:rsid w:val="00916920"/>
    <w:rsid w:val="0091693F"/>
    <w:rsid w:val="00916B77"/>
    <w:rsid w:val="00917892"/>
    <w:rsid w:val="009203D9"/>
    <w:rsid w:val="00920652"/>
    <w:rsid w:val="00920F34"/>
    <w:rsid w:val="009213DC"/>
    <w:rsid w:val="00921C4F"/>
    <w:rsid w:val="00922301"/>
    <w:rsid w:val="00922830"/>
    <w:rsid w:val="00923ED7"/>
    <w:rsid w:val="00924BBF"/>
    <w:rsid w:val="00924CEF"/>
    <w:rsid w:val="009250FB"/>
    <w:rsid w:val="009255C8"/>
    <w:rsid w:val="0092563F"/>
    <w:rsid w:val="00925FA5"/>
    <w:rsid w:val="00926250"/>
    <w:rsid w:val="0092626A"/>
    <w:rsid w:val="0092628C"/>
    <w:rsid w:val="00926C31"/>
    <w:rsid w:val="00926F38"/>
    <w:rsid w:val="009274C5"/>
    <w:rsid w:val="009302E0"/>
    <w:rsid w:val="00930CEC"/>
    <w:rsid w:val="009312DE"/>
    <w:rsid w:val="009320E7"/>
    <w:rsid w:val="0093253A"/>
    <w:rsid w:val="009328F2"/>
    <w:rsid w:val="00933992"/>
    <w:rsid w:val="00934037"/>
    <w:rsid w:val="009355F2"/>
    <w:rsid w:val="009358C3"/>
    <w:rsid w:val="00935C80"/>
    <w:rsid w:val="00936447"/>
    <w:rsid w:val="0093677D"/>
    <w:rsid w:val="00936CDF"/>
    <w:rsid w:val="00936FA8"/>
    <w:rsid w:val="00937DE8"/>
    <w:rsid w:val="00937E25"/>
    <w:rsid w:val="009409E6"/>
    <w:rsid w:val="00941DFE"/>
    <w:rsid w:val="009429F9"/>
    <w:rsid w:val="009432FE"/>
    <w:rsid w:val="00943870"/>
    <w:rsid w:val="00943C41"/>
    <w:rsid w:val="00943D22"/>
    <w:rsid w:val="009449CC"/>
    <w:rsid w:val="0094524D"/>
    <w:rsid w:val="0094626E"/>
    <w:rsid w:val="009463DE"/>
    <w:rsid w:val="009464DC"/>
    <w:rsid w:val="00946685"/>
    <w:rsid w:val="00952230"/>
    <w:rsid w:val="009526DF"/>
    <w:rsid w:val="00952AA8"/>
    <w:rsid w:val="0095415B"/>
    <w:rsid w:val="009554D5"/>
    <w:rsid w:val="00955D2A"/>
    <w:rsid w:val="0095635B"/>
    <w:rsid w:val="00956569"/>
    <w:rsid w:val="00956D39"/>
    <w:rsid w:val="00957189"/>
    <w:rsid w:val="00957476"/>
    <w:rsid w:val="009579C2"/>
    <w:rsid w:val="00957BF5"/>
    <w:rsid w:val="00957E2A"/>
    <w:rsid w:val="009608A3"/>
    <w:rsid w:val="00960E59"/>
    <w:rsid w:val="009613C1"/>
    <w:rsid w:val="009613D5"/>
    <w:rsid w:val="00961BF8"/>
    <w:rsid w:val="00961C27"/>
    <w:rsid w:val="00961F18"/>
    <w:rsid w:val="0096204A"/>
    <w:rsid w:val="0096247B"/>
    <w:rsid w:val="0096292F"/>
    <w:rsid w:val="00963A93"/>
    <w:rsid w:val="00963E46"/>
    <w:rsid w:val="00964748"/>
    <w:rsid w:val="0096628C"/>
    <w:rsid w:val="00966DEC"/>
    <w:rsid w:val="00967003"/>
    <w:rsid w:val="009670A8"/>
    <w:rsid w:val="00967463"/>
    <w:rsid w:val="00970400"/>
    <w:rsid w:val="0097053C"/>
    <w:rsid w:val="00970585"/>
    <w:rsid w:val="0097094D"/>
    <w:rsid w:val="00970B58"/>
    <w:rsid w:val="00970BDD"/>
    <w:rsid w:val="00971212"/>
    <w:rsid w:val="0097124B"/>
    <w:rsid w:val="00971777"/>
    <w:rsid w:val="00972681"/>
    <w:rsid w:val="00972AD9"/>
    <w:rsid w:val="00973547"/>
    <w:rsid w:val="00973A13"/>
    <w:rsid w:val="009744F8"/>
    <w:rsid w:val="00974707"/>
    <w:rsid w:val="00974BA4"/>
    <w:rsid w:val="00974FAE"/>
    <w:rsid w:val="00975149"/>
    <w:rsid w:val="009762FA"/>
    <w:rsid w:val="009766A2"/>
    <w:rsid w:val="009767E8"/>
    <w:rsid w:val="00976E49"/>
    <w:rsid w:val="00977B46"/>
    <w:rsid w:val="009800B2"/>
    <w:rsid w:val="009809D9"/>
    <w:rsid w:val="00980B17"/>
    <w:rsid w:val="00980C23"/>
    <w:rsid w:val="0098143C"/>
    <w:rsid w:val="0098208F"/>
    <w:rsid w:val="00982C77"/>
    <w:rsid w:val="00983B91"/>
    <w:rsid w:val="009848DF"/>
    <w:rsid w:val="00985397"/>
    <w:rsid w:val="0098547C"/>
    <w:rsid w:val="009857B0"/>
    <w:rsid w:val="009863B6"/>
    <w:rsid w:val="009864D4"/>
    <w:rsid w:val="00990005"/>
    <w:rsid w:val="00991AE4"/>
    <w:rsid w:val="00992ABA"/>
    <w:rsid w:val="00993A0D"/>
    <w:rsid w:val="00993A27"/>
    <w:rsid w:val="00993F71"/>
    <w:rsid w:val="009941D6"/>
    <w:rsid w:val="009942F8"/>
    <w:rsid w:val="0099436E"/>
    <w:rsid w:val="00995708"/>
    <w:rsid w:val="00995E1A"/>
    <w:rsid w:val="009967E7"/>
    <w:rsid w:val="00996ED6"/>
    <w:rsid w:val="009A1204"/>
    <w:rsid w:val="009A1F7E"/>
    <w:rsid w:val="009A226A"/>
    <w:rsid w:val="009A26C2"/>
    <w:rsid w:val="009A29B0"/>
    <w:rsid w:val="009A2BA2"/>
    <w:rsid w:val="009A2E53"/>
    <w:rsid w:val="009A33F6"/>
    <w:rsid w:val="009A38E6"/>
    <w:rsid w:val="009A3BE7"/>
    <w:rsid w:val="009A46A2"/>
    <w:rsid w:val="009A4C0C"/>
    <w:rsid w:val="009A59EE"/>
    <w:rsid w:val="009A5F0A"/>
    <w:rsid w:val="009A621C"/>
    <w:rsid w:val="009A669D"/>
    <w:rsid w:val="009A73AA"/>
    <w:rsid w:val="009A7A73"/>
    <w:rsid w:val="009B26F5"/>
    <w:rsid w:val="009B33A1"/>
    <w:rsid w:val="009B378F"/>
    <w:rsid w:val="009B3B3F"/>
    <w:rsid w:val="009B4874"/>
    <w:rsid w:val="009B4F58"/>
    <w:rsid w:val="009B53BB"/>
    <w:rsid w:val="009B53DD"/>
    <w:rsid w:val="009B54B5"/>
    <w:rsid w:val="009B6FEE"/>
    <w:rsid w:val="009B7042"/>
    <w:rsid w:val="009B73B0"/>
    <w:rsid w:val="009B7CDC"/>
    <w:rsid w:val="009C0C99"/>
    <w:rsid w:val="009C11E1"/>
    <w:rsid w:val="009C159F"/>
    <w:rsid w:val="009C1EA1"/>
    <w:rsid w:val="009C2AAB"/>
    <w:rsid w:val="009C503C"/>
    <w:rsid w:val="009C53DA"/>
    <w:rsid w:val="009C5BD0"/>
    <w:rsid w:val="009C6B1E"/>
    <w:rsid w:val="009C76B4"/>
    <w:rsid w:val="009C76BD"/>
    <w:rsid w:val="009C7D2E"/>
    <w:rsid w:val="009C7E18"/>
    <w:rsid w:val="009D1521"/>
    <w:rsid w:val="009D1D43"/>
    <w:rsid w:val="009D21E2"/>
    <w:rsid w:val="009D2951"/>
    <w:rsid w:val="009D29E9"/>
    <w:rsid w:val="009D3728"/>
    <w:rsid w:val="009D3844"/>
    <w:rsid w:val="009D3BCA"/>
    <w:rsid w:val="009D4266"/>
    <w:rsid w:val="009D49E5"/>
    <w:rsid w:val="009D4C56"/>
    <w:rsid w:val="009D4D5E"/>
    <w:rsid w:val="009D4ED2"/>
    <w:rsid w:val="009D623A"/>
    <w:rsid w:val="009D6C76"/>
    <w:rsid w:val="009D73F7"/>
    <w:rsid w:val="009D78CF"/>
    <w:rsid w:val="009E03C3"/>
    <w:rsid w:val="009E0737"/>
    <w:rsid w:val="009E12DB"/>
    <w:rsid w:val="009E1C05"/>
    <w:rsid w:val="009E2F39"/>
    <w:rsid w:val="009E3B7F"/>
    <w:rsid w:val="009E3C50"/>
    <w:rsid w:val="009E425F"/>
    <w:rsid w:val="009E44F0"/>
    <w:rsid w:val="009E4664"/>
    <w:rsid w:val="009E4AA9"/>
    <w:rsid w:val="009E5435"/>
    <w:rsid w:val="009E6B9F"/>
    <w:rsid w:val="009E7933"/>
    <w:rsid w:val="009E7960"/>
    <w:rsid w:val="009F0130"/>
    <w:rsid w:val="009F05C9"/>
    <w:rsid w:val="009F0BF8"/>
    <w:rsid w:val="009F113B"/>
    <w:rsid w:val="009F11BF"/>
    <w:rsid w:val="009F1796"/>
    <w:rsid w:val="009F1819"/>
    <w:rsid w:val="009F1A12"/>
    <w:rsid w:val="009F25E1"/>
    <w:rsid w:val="009F3381"/>
    <w:rsid w:val="009F3433"/>
    <w:rsid w:val="009F3A67"/>
    <w:rsid w:val="009F3A7B"/>
    <w:rsid w:val="009F440D"/>
    <w:rsid w:val="009F49C6"/>
    <w:rsid w:val="009F4B4B"/>
    <w:rsid w:val="009F5624"/>
    <w:rsid w:val="009F5976"/>
    <w:rsid w:val="009F7E3A"/>
    <w:rsid w:val="009F7F7A"/>
    <w:rsid w:val="00A00087"/>
    <w:rsid w:val="00A01205"/>
    <w:rsid w:val="00A0272C"/>
    <w:rsid w:val="00A03911"/>
    <w:rsid w:val="00A04E7A"/>
    <w:rsid w:val="00A0507C"/>
    <w:rsid w:val="00A05662"/>
    <w:rsid w:val="00A059CB"/>
    <w:rsid w:val="00A068A0"/>
    <w:rsid w:val="00A079B3"/>
    <w:rsid w:val="00A07EFB"/>
    <w:rsid w:val="00A1068A"/>
    <w:rsid w:val="00A11251"/>
    <w:rsid w:val="00A114C7"/>
    <w:rsid w:val="00A11753"/>
    <w:rsid w:val="00A1368F"/>
    <w:rsid w:val="00A145B9"/>
    <w:rsid w:val="00A15F65"/>
    <w:rsid w:val="00A16345"/>
    <w:rsid w:val="00A169EB"/>
    <w:rsid w:val="00A16BE3"/>
    <w:rsid w:val="00A16F7C"/>
    <w:rsid w:val="00A17017"/>
    <w:rsid w:val="00A174EF"/>
    <w:rsid w:val="00A203F0"/>
    <w:rsid w:val="00A20AE0"/>
    <w:rsid w:val="00A20EC7"/>
    <w:rsid w:val="00A22542"/>
    <w:rsid w:val="00A22A6E"/>
    <w:rsid w:val="00A230CE"/>
    <w:rsid w:val="00A2318A"/>
    <w:rsid w:val="00A234EB"/>
    <w:rsid w:val="00A23C9A"/>
    <w:rsid w:val="00A24250"/>
    <w:rsid w:val="00A25153"/>
    <w:rsid w:val="00A255AE"/>
    <w:rsid w:val="00A258EC"/>
    <w:rsid w:val="00A25A67"/>
    <w:rsid w:val="00A25E84"/>
    <w:rsid w:val="00A264A9"/>
    <w:rsid w:val="00A267A1"/>
    <w:rsid w:val="00A27347"/>
    <w:rsid w:val="00A301CB"/>
    <w:rsid w:val="00A3072F"/>
    <w:rsid w:val="00A3090E"/>
    <w:rsid w:val="00A30B3D"/>
    <w:rsid w:val="00A30FF8"/>
    <w:rsid w:val="00A31C6F"/>
    <w:rsid w:val="00A31F3D"/>
    <w:rsid w:val="00A33662"/>
    <w:rsid w:val="00A3382F"/>
    <w:rsid w:val="00A34133"/>
    <w:rsid w:val="00A35AFD"/>
    <w:rsid w:val="00A35D30"/>
    <w:rsid w:val="00A36C0A"/>
    <w:rsid w:val="00A37A90"/>
    <w:rsid w:val="00A402C0"/>
    <w:rsid w:val="00A402D6"/>
    <w:rsid w:val="00A40D04"/>
    <w:rsid w:val="00A4170E"/>
    <w:rsid w:val="00A4206D"/>
    <w:rsid w:val="00A4220D"/>
    <w:rsid w:val="00A436D2"/>
    <w:rsid w:val="00A43796"/>
    <w:rsid w:val="00A43D9C"/>
    <w:rsid w:val="00A43E3C"/>
    <w:rsid w:val="00A4413C"/>
    <w:rsid w:val="00A4569D"/>
    <w:rsid w:val="00A45E16"/>
    <w:rsid w:val="00A46316"/>
    <w:rsid w:val="00A46693"/>
    <w:rsid w:val="00A47F04"/>
    <w:rsid w:val="00A504FD"/>
    <w:rsid w:val="00A50A3C"/>
    <w:rsid w:val="00A50A42"/>
    <w:rsid w:val="00A50BBF"/>
    <w:rsid w:val="00A512DC"/>
    <w:rsid w:val="00A51C16"/>
    <w:rsid w:val="00A5224E"/>
    <w:rsid w:val="00A536A9"/>
    <w:rsid w:val="00A53A31"/>
    <w:rsid w:val="00A54561"/>
    <w:rsid w:val="00A54594"/>
    <w:rsid w:val="00A56ECC"/>
    <w:rsid w:val="00A57E6F"/>
    <w:rsid w:val="00A603B2"/>
    <w:rsid w:val="00A604CB"/>
    <w:rsid w:val="00A61082"/>
    <w:rsid w:val="00A613DA"/>
    <w:rsid w:val="00A61C22"/>
    <w:rsid w:val="00A629EA"/>
    <w:rsid w:val="00A62D89"/>
    <w:rsid w:val="00A630EA"/>
    <w:rsid w:val="00A639A9"/>
    <w:rsid w:val="00A63A70"/>
    <w:rsid w:val="00A64299"/>
    <w:rsid w:val="00A64958"/>
    <w:rsid w:val="00A64ACE"/>
    <w:rsid w:val="00A64E73"/>
    <w:rsid w:val="00A65015"/>
    <w:rsid w:val="00A65087"/>
    <w:rsid w:val="00A65465"/>
    <w:rsid w:val="00A65908"/>
    <w:rsid w:val="00A65B92"/>
    <w:rsid w:val="00A662FD"/>
    <w:rsid w:val="00A6681F"/>
    <w:rsid w:val="00A67AB0"/>
    <w:rsid w:val="00A67B4E"/>
    <w:rsid w:val="00A67B77"/>
    <w:rsid w:val="00A71603"/>
    <w:rsid w:val="00A73334"/>
    <w:rsid w:val="00A73583"/>
    <w:rsid w:val="00A73CE9"/>
    <w:rsid w:val="00A7416D"/>
    <w:rsid w:val="00A74C39"/>
    <w:rsid w:val="00A751B1"/>
    <w:rsid w:val="00A75320"/>
    <w:rsid w:val="00A75681"/>
    <w:rsid w:val="00A758E8"/>
    <w:rsid w:val="00A75E8C"/>
    <w:rsid w:val="00A760D8"/>
    <w:rsid w:val="00A7636B"/>
    <w:rsid w:val="00A768E6"/>
    <w:rsid w:val="00A76A6C"/>
    <w:rsid w:val="00A76C83"/>
    <w:rsid w:val="00A77992"/>
    <w:rsid w:val="00A77C3E"/>
    <w:rsid w:val="00A8016E"/>
    <w:rsid w:val="00A807C9"/>
    <w:rsid w:val="00A80AA7"/>
    <w:rsid w:val="00A81246"/>
    <w:rsid w:val="00A824A5"/>
    <w:rsid w:val="00A829B5"/>
    <w:rsid w:val="00A84065"/>
    <w:rsid w:val="00A8430D"/>
    <w:rsid w:val="00A846DF"/>
    <w:rsid w:val="00A84714"/>
    <w:rsid w:val="00A84DCE"/>
    <w:rsid w:val="00A85399"/>
    <w:rsid w:val="00A85804"/>
    <w:rsid w:val="00A85B6E"/>
    <w:rsid w:val="00A8622F"/>
    <w:rsid w:val="00A90564"/>
    <w:rsid w:val="00A905FC"/>
    <w:rsid w:val="00A90D8A"/>
    <w:rsid w:val="00A915BB"/>
    <w:rsid w:val="00A91615"/>
    <w:rsid w:val="00A91D52"/>
    <w:rsid w:val="00A92328"/>
    <w:rsid w:val="00A9335A"/>
    <w:rsid w:val="00A93AE6"/>
    <w:rsid w:val="00A93B9A"/>
    <w:rsid w:val="00A941F5"/>
    <w:rsid w:val="00A94302"/>
    <w:rsid w:val="00A94970"/>
    <w:rsid w:val="00A9594A"/>
    <w:rsid w:val="00A95D13"/>
    <w:rsid w:val="00A9617D"/>
    <w:rsid w:val="00A9645C"/>
    <w:rsid w:val="00A965BC"/>
    <w:rsid w:val="00A9660F"/>
    <w:rsid w:val="00A9749A"/>
    <w:rsid w:val="00A97C86"/>
    <w:rsid w:val="00A97E18"/>
    <w:rsid w:val="00AA06BB"/>
    <w:rsid w:val="00AA06F2"/>
    <w:rsid w:val="00AA1402"/>
    <w:rsid w:val="00AA164A"/>
    <w:rsid w:val="00AA376E"/>
    <w:rsid w:val="00AA3AB8"/>
    <w:rsid w:val="00AA4404"/>
    <w:rsid w:val="00AA4ADE"/>
    <w:rsid w:val="00AA50B7"/>
    <w:rsid w:val="00AA5A8E"/>
    <w:rsid w:val="00AA624C"/>
    <w:rsid w:val="00AA6CB9"/>
    <w:rsid w:val="00AA768A"/>
    <w:rsid w:val="00AB0619"/>
    <w:rsid w:val="00AB0ACE"/>
    <w:rsid w:val="00AB3B55"/>
    <w:rsid w:val="00AB3D59"/>
    <w:rsid w:val="00AB4A35"/>
    <w:rsid w:val="00AB4BAF"/>
    <w:rsid w:val="00AB50B0"/>
    <w:rsid w:val="00AB5204"/>
    <w:rsid w:val="00AB5347"/>
    <w:rsid w:val="00AB5358"/>
    <w:rsid w:val="00AB54A4"/>
    <w:rsid w:val="00AB55F8"/>
    <w:rsid w:val="00AB60DB"/>
    <w:rsid w:val="00AB6B29"/>
    <w:rsid w:val="00AB7593"/>
    <w:rsid w:val="00AB7CA9"/>
    <w:rsid w:val="00AC1B58"/>
    <w:rsid w:val="00AC1E6D"/>
    <w:rsid w:val="00AC20F6"/>
    <w:rsid w:val="00AC2972"/>
    <w:rsid w:val="00AC2DBF"/>
    <w:rsid w:val="00AC3152"/>
    <w:rsid w:val="00AC3D48"/>
    <w:rsid w:val="00AC40A6"/>
    <w:rsid w:val="00AC447A"/>
    <w:rsid w:val="00AC4BBE"/>
    <w:rsid w:val="00AC4CB7"/>
    <w:rsid w:val="00AC5267"/>
    <w:rsid w:val="00AC545B"/>
    <w:rsid w:val="00AC572D"/>
    <w:rsid w:val="00AC5B93"/>
    <w:rsid w:val="00AC5DEF"/>
    <w:rsid w:val="00AC6C0D"/>
    <w:rsid w:val="00AC752A"/>
    <w:rsid w:val="00AC75CC"/>
    <w:rsid w:val="00AC794A"/>
    <w:rsid w:val="00AC7C3B"/>
    <w:rsid w:val="00AC7C43"/>
    <w:rsid w:val="00AC7E55"/>
    <w:rsid w:val="00AD0D12"/>
    <w:rsid w:val="00AD18E8"/>
    <w:rsid w:val="00AD1A41"/>
    <w:rsid w:val="00AD1AFD"/>
    <w:rsid w:val="00AD1D8E"/>
    <w:rsid w:val="00AD2183"/>
    <w:rsid w:val="00AD24B9"/>
    <w:rsid w:val="00AD3BDD"/>
    <w:rsid w:val="00AD3DF2"/>
    <w:rsid w:val="00AD5C5C"/>
    <w:rsid w:val="00AD7F57"/>
    <w:rsid w:val="00AE06AF"/>
    <w:rsid w:val="00AE1DE1"/>
    <w:rsid w:val="00AE3977"/>
    <w:rsid w:val="00AE3AC1"/>
    <w:rsid w:val="00AE3B6B"/>
    <w:rsid w:val="00AE424B"/>
    <w:rsid w:val="00AE4977"/>
    <w:rsid w:val="00AE4CA6"/>
    <w:rsid w:val="00AE5F20"/>
    <w:rsid w:val="00AE5F39"/>
    <w:rsid w:val="00AE67AF"/>
    <w:rsid w:val="00AE6B52"/>
    <w:rsid w:val="00AE6BA5"/>
    <w:rsid w:val="00AE7B52"/>
    <w:rsid w:val="00AF0F5E"/>
    <w:rsid w:val="00AF1629"/>
    <w:rsid w:val="00AF1720"/>
    <w:rsid w:val="00AF17B3"/>
    <w:rsid w:val="00AF1A0D"/>
    <w:rsid w:val="00AF1DE3"/>
    <w:rsid w:val="00AF21AB"/>
    <w:rsid w:val="00AF37F0"/>
    <w:rsid w:val="00AF479F"/>
    <w:rsid w:val="00AF4DB0"/>
    <w:rsid w:val="00AF68D8"/>
    <w:rsid w:val="00AF6AD0"/>
    <w:rsid w:val="00AF6B50"/>
    <w:rsid w:val="00AF6BE1"/>
    <w:rsid w:val="00AF78D0"/>
    <w:rsid w:val="00AF7D17"/>
    <w:rsid w:val="00B001EF"/>
    <w:rsid w:val="00B009CF"/>
    <w:rsid w:val="00B00D98"/>
    <w:rsid w:val="00B0131A"/>
    <w:rsid w:val="00B0472F"/>
    <w:rsid w:val="00B04B79"/>
    <w:rsid w:val="00B05078"/>
    <w:rsid w:val="00B05778"/>
    <w:rsid w:val="00B05B03"/>
    <w:rsid w:val="00B06063"/>
    <w:rsid w:val="00B06635"/>
    <w:rsid w:val="00B06C6F"/>
    <w:rsid w:val="00B07430"/>
    <w:rsid w:val="00B077F2"/>
    <w:rsid w:val="00B078B4"/>
    <w:rsid w:val="00B0792B"/>
    <w:rsid w:val="00B07BFF"/>
    <w:rsid w:val="00B07F72"/>
    <w:rsid w:val="00B10AE6"/>
    <w:rsid w:val="00B114E1"/>
    <w:rsid w:val="00B12852"/>
    <w:rsid w:val="00B1285A"/>
    <w:rsid w:val="00B12A5C"/>
    <w:rsid w:val="00B132A9"/>
    <w:rsid w:val="00B1350F"/>
    <w:rsid w:val="00B138C1"/>
    <w:rsid w:val="00B139E2"/>
    <w:rsid w:val="00B14110"/>
    <w:rsid w:val="00B14CB2"/>
    <w:rsid w:val="00B1548F"/>
    <w:rsid w:val="00B16085"/>
    <w:rsid w:val="00B16860"/>
    <w:rsid w:val="00B17E02"/>
    <w:rsid w:val="00B21730"/>
    <w:rsid w:val="00B23449"/>
    <w:rsid w:val="00B2356D"/>
    <w:rsid w:val="00B23ED1"/>
    <w:rsid w:val="00B23EDA"/>
    <w:rsid w:val="00B24CB8"/>
    <w:rsid w:val="00B25956"/>
    <w:rsid w:val="00B25D22"/>
    <w:rsid w:val="00B261E4"/>
    <w:rsid w:val="00B267A2"/>
    <w:rsid w:val="00B26800"/>
    <w:rsid w:val="00B268DE"/>
    <w:rsid w:val="00B26CF9"/>
    <w:rsid w:val="00B27B13"/>
    <w:rsid w:val="00B306C4"/>
    <w:rsid w:val="00B306D7"/>
    <w:rsid w:val="00B3123C"/>
    <w:rsid w:val="00B3158B"/>
    <w:rsid w:val="00B332C3"/>
    <w:rsid w:val="00B3352A"/>
    <w:rsid w:val="00B3353E"/>
    <w:rsid w:val="00B33980"/>
    <w:rsid w:val="00B340BA"/>
    <w:rsid w:val="00B34BA1"/>
    <w:rsid w:val="00B35566"/>
    <w:rsid w:val="00B35975"/>
    <w:rsid w:val="00B35BD7"/>
    <w:rsid w:val="00B35CFE"/>
    <w:rsid w:val="00B360A7"/>
    <w:rsid w:val="00B36F7D"/>
    <w:rsid w:val="00B37182"/>
    <w:rsid w:val="00B37387"/>
    <w:rsid w:val="00B37F1B"/>
    <w:rsid w:val="00B400DB"/>
    <w:rsid w:val="00B418A4"/>
    <w:rsid w:val="00B41C87"/>
    <w:rsid w:val="00B426AA"/>
    <w:rsid w:val="00B42942"/>
    <w:rsid w:val="00B42D2D"/>
    <w:rsid w:val="00B44268"/>
    <w:rsid w:val="00B44BF8"/>
    <w:rsid w:val="00B44CB9"/>
    <w:rsid w:val="00B44E3C"/>
    <w:rsid w:val="00B4535E"/>
    <w:rsid w:val="00B46081"/>
    <w:rsid w:val="00B46095"/>
    <w:rsid w:val="00B463D2"/>
    <w:rsid w:val="00B4678F"/>
    <w:rsid w:val="00B47F17"/>
    <w:rsid w:val="00B50244"/>
    <w:rsid w:val="00B50472"/>
    <w:rsid w:val="00B5058A"/>
    <w:rsid w:val="00B507CA"/>
    <w:rsid w:val="00B50C0F"/>
    <w:rsid w:val="00B5201C"/>
    <w:rsid w:val="00B52683"/>
    <w:rsid w:val="00B52734"/>
    <w:rsid w:val="00B52A3E"/>
    <w:rsid w:val="00B539EB"/>
    <w:rsid w:val="00B53D79"/>
    <w:rsid w:val="00B54164"/>
    <w:rsid w:val="00B5470A"/>
    <w:rsid w:val="00B5499F"/>
    <w:rsid w:val="00B55581"/>
    <w:rsid w:val="00B5591C"/>
    <w:rsid w:val="00B55E84"/>
    <w:rsid w:val="00B609B6"/>
    <w:rsid w:val="00B6142B"/>
    <w:rsid w:val="00B61A54"/>
    <w:rsid w:val="00B61DC4"/>
    <w:rsid w:val="00B62F79"/>
    <w:rsid w:val="00B63431"/>
    <w:rsid w:val="00B6370C"/>
    <w:rsid w:val="00B646E6"/>
    <w:rsid w:val="00B65568"/>
    <w:rsid w:val="00B655ED"/>
    <w:rsid w:val="00B65846"/>
    <w:rsid w:val="00B658E1"/>
    <w:rsid w:val="00B67702"/>
    <w:rsid w:val="00B67733"/>
    <w:rsid w:val="00B678E0"/>
    <w:rsid w:val="00B67B27"/>
    <w:rsid w:val="00B67D93"/>
    <w:rsid w:val="00B67E99"/>
    <w:rsid w:val="00B67F0C"/>
    <w:rsid w:val="00B67FD4"/>
    <w:rsid w:val="00B706F2"/>
    <w:rsid w:val="00B70A57"/>
    <w:rsid w:val="00B70CC4"/>
    <w:rsid w:val="00B70D11"/>
    <w:rsid w:val="00B712C8"/>
    <w:rsid w:val="00B722D7"/>
    <w:rsid w:val="00B727B0"/>
    <w:rsid w:val="00B733EB"/>
    <w:rsid w:val="00B73538"/>
    <w:rsid w:val="00B739B9"/>
    <w:rsid w:val="00B7479E"/>
    <w:rsid w:val="00B74D73"/>
    <w:rsid w:val="00B752B3"/>
    <w:rsid w:val="00B7589E"/>
    <w:rsid w:val="00B75EAE"/>
    <w:rsid w:val="00B762B9"/>
    <w:rsid w:val="00B76BE4"/>
    <w:rsid w:val="00B76CB8"/>
    <w:rsid w:val="00B800F6"/>
    <w:rsid w:val="00B809D4"/>
    <w:rsid w:val="00B82397"/>
    <w:rsid w:val="00B82D6D"/>
    <w:rsid w:val="00B83C2D"/>
    <w:rsid w:val="00B83D1A"/>
    <w:rsid w:val="00B83DAC"/>
    <w:rsid w:val="00B85045"/>
    <w:rsid w:val="00B85426"/>
    <w:rsid w:val="00B86626"/>
    <w:rsid w:val="00B86BAF"/>
    <w:rsid w:val="00B86F68"/>
    <w:rsid w:val="00B90293"/>
    <w:rsid w:val="00B904F7"/>
    <w:rsid w:val="00B913E3"/>
    <w:rsid w:val="00B91CB1"/>
    <w:rsid w:val="00B9234A"/>
    <w:rsid w:val="00B94529"/>
    <w:rsid w:val="00B94E05"/>
    <w:rsid w:val="00B963A4"/>
    <w:rsid w:val="00B96B66"/>
    <w:rsid w:val="00B974A2"/>
    <w:rsid w:val="00B97F3D"/>
    <w:rsid w:val="00BA09C8"/>
    <w:rsid w:val="00BA0B20"/>
    <w:rsid w:val="00BA0CBF"/>
    <w:rsid w:val="00BA101C"/>
    <w:rsid w:val="00BA1641"/>
    <w:rsid w:val="00BA1C02"/>
    <w:rsid w:val="00BA234F"/>
    <w:rsid w:val="00BA2893"/>
    <w:rsid w:val="00BA3068"/>
    <w:rsid w:val="00BA3077"/>
    <w:rsid w:val="00BA36AA"/>
    <w:rsid w:val="00BA3A9F"/>
    <w:rsid w:val="00BA4568"/>
    <w:rsid w:val="00BA49DA"/>
    <w:rsid w:val="00BA4C86"/>
    <w:rsid w:val="00BA7887"/>
    <w:rsid w:val="00BA7903"/>
    <w:rsid w:val="00BB0BF7"/>
    <w:rsid w:val="00BB17B7"/>
    <w:rsid w:val="00BB1A28"/>
    <w:rsid w:val="00BB218F"/>
    <w:rsid w:val="00BB27B6"/>
    <w:rsid w:val="00BB30DB"/>
    <w:rsid w:val="00BB4D59"/>
    <w:rsid w:val="00BB4DCA"/>
    <w:rsid w:val="00BB4DFB"/>
    <w:rsid w:val="00BB5293"/>
    <w:rsid w:val="00BB5604"/>
    <w:rsid w:val="00BB586C"/>
    <w:rsid w:val="00BB5EE7"/>
    <w:rsid w:val="00BB6648"/>
    <w:rsid w:val="00BB68C9"/>
    <w:rsid w:val="00BB6963"/>
    <w:rsid w:val="00BB7548"/>
    <w:rsid w:val="00BB7550"/>
    <w:rsid w:val="00BB7CD1"/>
    <w:rsid w:val="00BB7E89"/>
    <w:rsid w:val="00BB7EBC"/>
    <w:rsid w:val="00BC01E5"/>
    <w:rsid w:val="00BC0281"/>
    <w:rsid w:val="00BC109A"/>
    <w:rsid w:val="00BC26C6"/>
    <w:rsid w:val="00BC331A"/>
    <w:rsid w:val="00BC35D5"/>
    <w:rsid w:val="00BC3F81"/>
    <w:rsid w:val="00BC404C"/>
    <w:rsid w:val="00BC4B5F"/>
    <w:rsid w:val="00BC4F3B"/>
    <w:rsid w:val="00BC5442"/>
    <w:rsid w:val="00BC548C"/>
    <w:rsid w:val="00BC5590"/>
    <w:rsid w:val="00BC587D"/>
    <w:rsid w:val="00BC58D9"/>
    <w:rsid w:val="00BC5AE6"/>
    <w:rsid w:val="00BC61F2"/>
    <w:rsid w:val="00BC629D"/>
    <w:rsid w:val="00BC6428"/>
    <w:rsid w:val="00BC6A6B"/>
    <w:rsid w:val="00BC6B1F"/>
    <w:rsid w:val="00BD00B6"/>
    <w:rsid w:val="00BD0528"/>
    <w:rsid w:val="00BD06D6"/>
    <w:rsid w:val="00BD07E8"/>
    <w:rsid w:val="00BD1675"/>
    <w:rsid w:val="00BD1DD3"/>
    <w:rsid w:val="00BD2A32"/>
    <w:rsid w:val="00BD2BEC"/>
    <w:rsid w:val="00BD4FDE"/>
    <w:rsid w:val="00BD5CE2"/>
    <w:rsid w:val="00BD5DF2"/>
    <w:rsid w:val="00BD632C"/>
    <w:rsid w:val="00BD6AE4"/>
    <w:rsid w:val="00BD6BF2"/>
    <w:rsid w:val="00BD6D46"/>
    <w:rsid w:val="00BD7CD2"/>
    <w:rsid w:val="00BE057E"/>
    <w:rsid w:val="00BE060E"/>
    <w:rsid w:val="00BE0A2B"/>
    <w:rsid w:val="00BE0DD0"/>
    <w:rsid w:val="00BE15F3"/>
    <w:rsid w:val="00BE1973"/>
    <w:rsid w:val="00BE1D2E"/>
    <w:rsid w:val="00BE1DEC"/>
    <w:rsid w:val="00BE1E5E"/>
    <w:rsid w:val="00BE2281"/>
    <w:rsid w:val="00BE2499"/>
    <w:rsid w:val="00BE2E00"/>
    <w:rsid w:val="00BE3F8B"/>
    <w:rsid w:val="00BE429E"/>
    <w:rsid w:val="00BE42E6"/>
    <w:rsid w:val="00BE5D03"/>
    <w:rsid w:val="00BE660A"/>
    <w:rsid w:val="00BE7DB9"/>
    <w:rsid w:val="00BF0140"/>
    <w:rsid w:val="00BF0EF2"/>
    <w:rsid w:val="00BF17BD"/>
    <w:rsid w:val="00BF195C"/>
    <w:rsid w:val="00BF22CD"/>
    <w:rsid w:val="00BF23D2"/>
    <w:rsid w:val="00BF2D3F"/>
    <w:rsid w:val="00BF402A"/>
    <w:rsid w:val="00BF468B"/>
    <w:rsid w:val="00BF56C7"/>
    <w:rsid w:val="00BF7A3E"/>
    <w:rsid w:val="00BF7A61"/>
    <w:rsid w:val="00C00010"/>
    <w:rsid w:val="00C0150E"/>
    <w:rsid w:val="00C01B16"/>
    <w:rsid w:val="00C01BE0"/>
    <w:rsid w:val="00C0227E"/>
    <w:rsid w:val="00C02A8F"/>
    <w:rsid w:val="00C02AF1"/>
    <w:rsid w:val="00C03281"/>
    <w:rsid w:val="00C03704"/>
    <w:rsid w:val="00C03795"/>
    <w:rsid w:val="00C04222"/>
    <w:rsid w:val="00C045AC"/>
    <w:rsid w:val="00C04714"/>
    <w:rsid w:val="00C05C28"/>
    <w:rsid w:val="00C06B13"/>
    <w:rsid w:val="00C07221"/>
    <w:rsid w:val="00C109A2"/>
    <w:rsid w:val="00C10A8E"/>
    <w:rsid w:val="00C11DFD"/>
    <w:rsid w:val="00C12B5F"/>
    <w:rsid w:val="00C13556"/>
    <w:rsid w:val="00C13A61"/>
    <w:rsid w:val="00C13EAD"/>
    <w:rsid w:val="00C14131"/>
    <w:rsid w:val="00C14B3E"/>
    <w:rsid w:val="00C1555E"/>
    <w:rsid w:val="00C16245"/>
    <w:rsid w:val="00C17302"/>
    <w:rsid w:val="00C17375"/>
    <w:rsid w:val="00C1794A"/>
    <w:rsid w:val="00C208CA"/>
    <w:rsid w:val="00C20BF0"/>
    <w:rsid w:val="00C21AFB"/>
    <w:rsid w:val="00C23C91"/>
    <w:rsid w:val="00C2427D"/>
    <w:rsid w:val="00C24AC8"/>
    <w:rsid w:val="00C24BFC"/>
    <w:rsid w:val="00C24D2A"/>
    <w:rsid w:val="00C261AB"/>
    <w:rsid w:val="00C267B6"/>
    <w:rsid w:val="00C271B6"/>
    <w:rsid w:val="00C27F8F"/>
    <w:rsid w:val="00C300AC"/>
    <w:rsid w:val="00C300ED"/>
    <w:rsid w:val="00C306BA"/>
    <w:rsid w:val="00C309B7"/>
    <w:rsid w:val="00C31521"/>
    <w:rsid w:val="00C31B9B"/>
    <w:rsid w:val="00C3211D"/>
    <w:rsid w:val="00C321A3"/>
    <w:rsid w:val="00C32429"/>
    <w:rsid w:val="00C32620"/>
    <w:rsid w:val="00C32730"/>
    <w:rsid w:val="00C32871"/>
    <w:rsid w:val="00C32A74"/>
    <w:rsid w:val="00C335A3"/>
    <w:rsid w:val="00C338EF"/>
    <w:rsid w:val="00C34197"/>
    <w:rsid w:val="00C34433"/>
    <w:rsid w:val="00C344D6"/>
    <w:rsid w:val="00C34518"/>
    <w:rsid w:val="00C3560A"/>
    <w:rsid w:val="00C3578B"/>
    <w:rsid w:val="00C36E34"/>
    <w:rsid w:val="00C37259"/>
    <w:rsid w:val="00C37839"/>
    <w:rsid w:val="00C37C39"/>
    <w:rsid w:val="00C40497"/>
    <w:rsid w:val="00C4167B"/>
    <w:rsid w:val="00C42735"/>
    <w:rsid w:val="00C428CB"/>
    <w:rsid w:val="00C42FB1"/>
    <w:rsid w:val="00C43183"/>
    <w:rsid w:val="00C43324"/>
    <w:rsid w:val="00C4379B"/>
    <w:rsid w:val="00C441AC"/>
    <w:rsid w:val="00C443E6"/>
    <w:rsid w:val="00C4477B"/>
    <w:rsid w:val="00C45063"/>
    <w:rsid w:val="00C4564E"/>
    <w:rsid w:val="00C46E33"/>
    <w:rsid w:val="00C4703C"/>
    <w:rsid w:val="00C474CE"/>
    <w:rsid w:val="00C47685"/>
    <w:rsid w:val="00C47B50"/>
    <w:rsid w:val="00C50CAA"/>
    <w:rsid w:val="00C51051"/>
    <w:rsid w:val="00C51089"/>
    <w:rsid w:val="00C514C4"/>
    <w:rsid w:val="00C518C2"/>
    <w:rsid w:val="00C52A79"/>
    <w:rsid w:val="00C52D9D"/>
    <w:rsid w:val="00C52EDE"/>
    <w:rsid w:val="00C535A8"/>
    <w:rsid w:val="00C55DC1"/>
    <w:rsid w:val="00C55EFF"/>
    <w:rsid w:val="00C56954"/>
    <w:rsid w:val="00C571CE"/>
    <w:rsid w:val="00C576F0"/>
    <w:rsid w:val="00C60222"/>
    <w:rsid w:val="00C60618"/>
    <w:rsid w:val="00C60A2D"/>
    <w:rsid w:val="00C61103"/>
    <w:rsid w:val="00C6120C"/>
    <w:rsid w:val="00C61B98"/>
    <w:rsid w:val="00C61D8C"/>
    <w:rsid w:val="00C62439"/>
    <w:rsid w:val="00C62B9F"/>
    <w:rsid w:val="00C63144"/>
    <w:rsid w:val="00C63750"/>
    <w:rsid w:val="00C64003"/>
    <w:rsid w:val="00C648A7"/>
    <w:rsid w:val="00C648FD"/>
    <w:rsid w:val="00C64AEF"/>
    <w:rsid w:val="00C64D5D"/>
    <w:rsid w:val="00C64FF1"/>
    <w:rsid w:val="00C65D32"/>
    <w:rsid w:val="00C66FA2"/>
    <w:rsid w:val="00C70BE2"/>
    <w:rsid w:val="00C71A58"/>
    <w:rsid w:val="00C722BB"/>
    <w:rsid w:val="00C72CCC"/>
    <w:rsid w:val="00C732DB"/>
    <w:rsid w:val="00C735B0"/>
    <w:rsid w:val="00C73D4F"/>
    <w:rsid w:val="00C74FCF"/>
    <w:rsid w:val="00C754B9"/>
    <w:rsid w:val="00C76220"/>
    <w:rsid w:val="00C765A5"/>
    <w:rsid w:val="00C76D85"/>
    <w:rsid w:val="00C7727B"/>
    <w:rsid w:val="00C80F07"/>
    <w:rsid w:val="00C81245"/>
    <w:rsid w:val="00C81FD1"/>
    <w:rsid w:val="00C8233B"/>
    <w:rsid w:val="00C82EA9"/>
    <w:rsid w:val="00C8461E"/>
    <w:rsid w:val="00C84802"/>
    <w:rsid w:val="00C855FA"/>
    <w:rsid w:val="00C860C3"/>
    <w:rsid w:val="00C869CE"/>
    <w:rsid w:val="00C86B8F"/>
    <w:rsid w:val="00C86FA7"/>
    <w:rsid w:val="00C904EE"/>
    <w:rsid w:val="00C90B85"/>
    <w:rsid w:val="00C9168B"/>
    <w:rsid w:val="00C91D18"/>
    <w:rsid w:val="00C91E8B"/>
    <w:rsid w:val="00C92071"/>
    <w:rsid w:val="00C92149"/>
    <w:rsid w:val="00C926E2"/>
    <w:rsid w:val="00C92EDA"/>
    <w:rsid w:val="00C93209"/>
    <w:rsid w:val="00C946A1"/>
    <w:rsid w:val="00C96497"/>
    <w:rsid w:val="00C967CB"/>
    <w:rsid w:val="00C9746C"/>
    <w:rsid w:val="00C977B8"/>
    <w:rsid w:val="00C9787F"/>
    <w:rsid w:val="00C978B0"/>
    <w:rsid w:val="00CA00A6"/>
    <w:rsid w:val="00CA0B64"/>
    <w:rsid w:val="00CA0EFF"/>
    <w:rsid w:val="00CA17BF"/>
    <w:rsid w:val="00CA1DE7"/>
    <w:rsid w:val="00CA234D"/>
    <w:rsid w:val="00CA2FF0"/>
    <w:rsid w:val="00CA3254"/>
    <w:rsid w:val="00CA3B38"/>
    <w:rsid w:val="00CA4299"/>
    <w:rsid w:val="00CA4347"/>
    <w:rsid w:val="00CA463E"/>
    <w:rsid w:val="00CA4988"/>
    <w:rsid w:val="00CA4D58"/>
    <w:rsid w:val="00CA5E1E"/>
    <w:rsid w:val="00CA60A7"/>
    <w:rsid w:val="00CA6333"/>
    <w:rsid w:val="00CA636D"/>
    <w:rsid w:val="00CB0431"/>
    <w:rsid w:val="00CB0A6F"/>
    <w:rsid w:val="00CB0BBC"/>
    <w:rsid w:val="00CB215B"/>
    <w:rsid w:val="00CB2324"/>
    <w:rsid w:val="00CB23DF"/>
    <w:rsid w:val="00CB43D1"/>
    <w:rsid w:val="00CB52D8"/>
    <w:rsid w:val="00CB7B76"/>
    <w:rsid w:val="00CB7CF6"/>
    <w:rsid w:val="00CC014E"/>
    <w:rsid w:val="00CC0298"/>
    <w:rsid w:val="00CC19D6"/>
    <w:rsid w:val="00CC2013"/>
    <w:rsid w:val="00CC2C0F"/>
    <w:rsid w:val="00CC33B1"/>
    <w:rsid w:val="00CC35A1"/>
    <w:rsid w:val="00CC453A"/>
    <w:rsid w:val="00CC4FFD"/>
    <w:rsid w:val="00CC5A6D"/>
    <w:rsid w:val="00CC6797"/>
    <w:rsid w:val="00CC697A"/>
    <w:rsid w:val="00CC6A79"/>
    <w:rsid w:val="00CC71A7"/>
    <w:rsid w:val="00CC7E69"/>
    <w:rsid w:val="00CC7E77"/>
    <w:rsid w:val="00CC7E7B"/>
    <w:rsid w:val="00CD001C"/>
    <w:rsid w:val="00CD1CBF"/>
    <w:rsid w:val="00CD1FC5"/>
    <w:rsid w:val="00CD26AD"/>
    <w:rsid w:val="00CD317E"/>
    <w:rsid w:val="00CD3AA4"/>
    <w:rsid w:val="00CD3F83"/>
    <w:rsid w:val="00CD449B"/>
    <w:rsid w:val="00CD461E"/>
    <w:rsid w:val="00CD46CE"/>
    <w:rsid w:val="00CD4A68"/>
    <w:rsid w:val="00CD5DBF"/>
    <w:rsid w:val="00CD660D"/>
    <w:rsid w:val="00CD6936"/>
    <w:rsid w:val="00CD6DD4"/>
    <w:rsid w:val="00CD7BA5"/>
    <w:rsid w:val="00CE0365"/>
    <w:rsid w:val="00CE14F5"/>
    <w:rsid w:val="00CE20B4"/>
    <w:rsid w:val="00CE2504"/>
    <w:rsid w:val="00CE3695"/>
    <w:rsid w:val="00CE43FE"/>
    <w:rsid w:val="00CE5551"/>
    <w:rsid w:val="00CE5C1D"/>
    <w:rsid w:val="00CE5FC8"/>
    <w:rsid w:val="00CE630A"/>
    <w:rsid w:val="00CE6E18"/>
    <w:rsid w:val="00CE6EAD"/>
    <w:rsid w:val="00CE7110"/>
    <w:rsid w:val="00CF1928"/>
    <w:rsid w:val="00CF269F"/>
    <w:rsid w:val="00CF2FCC"/>
    <w:rsid w:val="00CF3122"/>
    <w:rsid w:val="00CF407C"/>
    <w:rsid w:val="00CF5589"/>
    <w:rsid w:val="00CF5CD0"/>
    <w:rsid w:val="00CF5D5F"/>
    <w:rsid w:val="00CF6228"/>
    <w:rsid w:val="00CF64C6"/>
    <w:rsid w:val="00CF6BFC"/>
    <w:rsid w:val="00CF6D3F"/>
    <w:rsid w:val="00CF6F08"/>
    <w:rsid w:val="00CF714C"/>
    <w:rsid w:val="00CF7905"/>
    <w:rsid w:val="00CF7DC7"/>
    <w:rsid w:val="00D0036E"/>
    <w:rsid w:val="00D00C9E"/>
    <w:rsid w:val="00D00FFC"/>
    <w:rsid w:val="00D01710"/>
    <w:rsid w:val="00D01D96"/>
    <w:rsid w:val="00D0243E"/>
    <w:rsid w:val="00D026ED"/>
    <w:rsid w:val="00D0320A"/>
    <w:rsid w:val="00D049FC"/>
    <w:rsid w:val="00D050C7"/>
    <w:rsid w:val="00D052E0"/>
    <w:rsid w:val="00D05665"/>
    <w:rsid w:val="00D05F51"/>
    <w:rsid w:val="00D062A0"/>
    <w:rsid w:val="00D062D6"/>
    <w:rsid w:val="00D06664"/>
    <w:rsid w:val="00D066FF"/>
    <w:rsid w:val="00D06E5A"/>
    <w:rsid w:val="00D070DE"/>
    <w:rsid w:val="00D07D90"/>
    <w:rsid w:val="00D1057E"/>
    <w:rsid w:val="00D10A1D"/>
    <w:rsid w:val="00D1188C"/>
    <w:rsid w:val="00D125E4"/>
    <w:rsid w:val="00D12D77"/>
    <w:rsid w:val="00D13626"/>
    <w:rsid w:val="00D13FBD"/>
    <w:rsid w:val="00D1506A"/>
    <w:rsid w:val="00D16261"/>
    <w:rsid w:val="00D164CE"/>
    <w:rsid w:val="00D16510"/>
    <w:rsid w:val="00D17DBA"/>
    <w:rsid w:val="00D2001B"/>
    <w:rsid w:val="00D20578"/>
    <w:rsid w:val="00D20952"/>
    <w:rsid w:val="00D2119A"/>
    <w:rsid w:val="00D2134C"/>
    <w:rsid w:val="00D22DE0"/>
    <w:rsid w:val="00D2560F"/>
    <w:rsid w:val="00D31FE7"/>
    <w:rsid w:val="00D320C1"/>
    <w:rsid w:val="00D33339"/>
    <w:rsid w:val="00D34289"/>
    <w:rsid w:val="00D350E7"/>
    <w:rsid w:val="00D353D0"/>
    <w:rsid w:val="00D359F2"/>
    <w:rsid w:val="00D36447"/>
    <w:rsid w:val="00D3657E"/>
    <w:rsid w:val="00D36DE5"/>
    <w:rsid w:val="00D4093C"/>
    <w:rsid w:val="00D40E00"/>
    <w:rsid w:val="00D41C71"/>
    <w:rsid w:val="00D42055"/>
    <w:rsid w:val="00D42336"/>
    <w:rsid w:val="00D43580"/>
    <w:rsid w:val="00D44260"/>
    <w:rsid w:val="00D446B2"/>
    <w:rsid w:val="00D446BE"/>
    <w:rsid w:val="00D44944"/>
    <w:rsid w:val="00D452E6"/>
    <w:rsid w:val="00D45794"/>
    <w:rsid w:val="00D46384"/>
    <w:rsid w:val="00D464C9"/>
    <w:rsid w:val="00D47B86"/>
    <w:rsid w:val="00D505E2"/>
    <w:rsid w:val="00D509F3"/>
    <w:rsid w:val="00D51B2E"/>
    <w:rsid w:val="00D52684"/>
    <w:rsid w:val="00D526FA"/>
    <w:rsid w:val="00D52A77"/>
    <w:rsid w:val="00D52EF9"/>
    <w:rsid w:val="00D54315"/>
    <w:rsid w:val="00D544D3"/>
    <w:rsid w:val="00D54CF7"/>
    <w:rsid w:val="00D54DBF"/>
    <w:rsid w:val="00D54DE8"/>
    <w:rsid w:val="00D55009"/>
    <w:rsid w:val="00D56D05"/>
    <w:rsid w:val="00D56EA8"/>
    <w:rsid w:val="00D57372"/>
    <w:rsid w:val="00D57633"/>
    <w:rsid w:val="00D57C8A"/>
    <w:rsid w:val="00D57DE7"/>
    <w:rsid w:val="00D60493"/>
    <w:rsid w:val="00D614BE"/>
    <w:rsid w:val="00D62877"/>
    <w:rsid w:val="00D62CC1"/>
    <w:rsid w:val="00D62F25"/>
    <w:rsid w:val="00D63A1F"/>
    <w:rsid w:val="00D64057"/>
    <w:rsid w:val="00D6425D"/>
    <w:rsid w:val="00D64834"/>
    <w:rsid w:val="00D649E8"/>
    <w:rsid w:val="00D660AF"/>
    <w:rsid w:val="00D66281"/>
    <w:rsid w:val="00D66E64"/>
    <w:rsid w:val="00D67E51"/>
    <w:rsid w:val="00D70384"/>
    <w:rsid w:val="00D70BA6"/>
    <w:rsid w:val="00D70E2D"/>
    <w:rsid w:val="00D711B5"/>
    <w:rsid w:val="00D714A9"/>
    <w:rsid w:val="00D72885"/>
    <w:rsid w:val="00D7376B"/>
    <w:rsid w:val="00D73958"/>
    <w:rsid w:val="00D73D88"/>
    <w:rsid w:val="00D7429A"/>
    <w:rsid w:val="00D748BE"/>
    <w:rsid w:val="00D7509F"/>
    <w:rsid w:val="00D7516D"/>
    <w:rsid w:val="00D752B0"/>
    <w:rsid w:val="00D75E36"/>
    <w:rsid w:val="00D760F5"/>
    <w:rsid w:val="00D76931"/>
    <w:rsid w:val="00D804CC"/>
    <w:rsid w:val="00D8068E"/>
    <w:rsid w:val="00D8139F"/>
    <w:rsid w:val="00D8143A"/>
    <w:rsid w:val="00D8201B"/>
    <w:rsid w:val="00D820D3"/>
    <w:rsid w:val="00D82BE6"/>
    <w:rsid w:val="00D8579A"/>
    <w:rsid w:val="00D8581C"/>
    <w:rsid w:val="00D85B15"/>
    <w:rsid w:val="00D86189"/>
    <w:rsid w:val="00D87650"/>
    <w:rsid w:val="00D87D57"/>
    <w:rsid w:val="00D902A9"/>
    <w:rsid w:val="00D90A96"/>
    <w:rsid w:val="00D91EFD"/>
    <w:rsid w:val="00D91F51"/>
    <w:rsid w:val="00D9307F"/>
    <w:rsid w:val="00D93512"/>
    <w:rsid w:val="00D937B6"/>
    <w:rsid w:val="00D93C4C"/>
    <w:rsid w:val="00D94098"/>
    <w:rsid w:val="00D941F8"/>
    <w:rsid w:val="00D945AA"/>
    <w:rsid w:val="00D95735"/>
    <w:rsid w:val="00D95AAD"/>
    <w:rsid w:val="00D962BB"/>
    <w:rsid w:val="00D96322"/>
    <w:rsid w:val="00DA113E"/>
    <w:rsid w:val="00DA162E"/>
    <w:rsid w:val="00DA1CD9"/>
    <w:rsid w:val="00DA1D8E"/>
    <w:rsid w:val="00DA2445"/>
    <w:rsid w:val="00DA2BAD"/>
    <w:rsid w:val="00DA2BE2"/>
    <w:rsid w:val="00DA3395"/>
    <w:rsid w:val="00DA37EE"/>
    <w:rsid w:val="00DA4486"/>
    <w:rsid w:val="00DA4ECA"/>
    <w:rsid w:val="00DA503C"/>
    <w:rsid w:val="00DA51D9"/>
    <w:rsid w:val="00DA575B"/>
    <w:rsid w:val="00DA6CDB"/>
    <w:rsid w:val="00DA6EDB"/>
    <w:rsid w:val="00DA7345"/>
    <w:rsid w:val="00DB2158"/>
    <w:rsid w:val="00DB2826"/>
    <w:rsid w:val="00DB28A5"/>
    <w:rsid w:val="00DB36A6"/>
    <w:rsid w:val="00DB39B9"/>
    <w:rsid w:val="00DB3BA0"/>
    <w:rsid w:val="00DB3D0E"/>
    <w:rsid w:val="00DB4586"/>
    <w:rsid w:val="00DB6F26"/>
    <w:rsid w:val="00DB7324"/>
    <w:rsid w:val="00DB744A"/>
    <w:rsid w:val="00DB76F3"/>
    <w:rsid w:val="00DB7BA8"/>
    <w:rsid w:val="00DB7E63"/>
    <w:rsid w:val="00DB7EB8"/>
    <w:rsid w:val="00DC0C18"/>
    <w:rsid w:val="00DC18FD"/>
    <w:rsid w:val="00DC193A"/>
    <w:rsid w:val="00DC1F34"/>
    <w:rsid w:val="00DC239B"/>
    <w:rsid w:val="00DC2837"/>
    <w:rsid w:val="00DC2EF4"/>
    <w:rsid w:val="00DC3810"/>
    <w:rsid w:val="00DC4D1E"/>
    <w:rsid w:val="00DC5139"/>
    <w:rsid w:val="00DC54EB"/>
    <w:rsid w:val="00DC59B8"/>
    <w:rsid w:val="00DC5F7F"/>
    <w:rsid w:val="00DC6357"/>
    <w:rsid w:val="00DC6913"/>
    <w:rsid w:val="00DC6C73"/>
    <w:rsid w:val="00DD0B4D"/>
    <w:rsid w:val="00DD1715"/>
    <w:rsid w:val="00DD1E32"/>
    <w:rsid w:val="00DD1EE5"/>
    <w:rsid w:val="00DD261F"/>
    <w:rsid w:val="00DD28A1"/>
    <w:rsid w:val="00DD2B14"/>
    <w:rsid w:val="00DD2BF1"/>
    <w:rsid w:val="00DD2DFF"/>
    <w:rsid w:val="00DD2E93"/>
    <w:rsid w:val="00DD2F82"/>
    <w:rsid w:val="00DD3594"/>
    <w:rsid w:val="00DD454C"/>
    <w:rsid w:val="00DD4908"/>
    <w:rsid w:val="00DD4D47"/>
    <w:rsid w:val="00DD68B4"/>
    <w:rsid w:val="00DD6BEA"/>
    <w:rsid w:val="00DD6C89"/>
    <w:rsid w:val="00DD79A3"/>
    <w:rsid w:val="00DE07DA"/>
    <w:rsid w:val="00DE0D7B"/>
    <w:rsid w:val="00DE2ED0"/>
    <w:rsid w:val="00DE3FFE"/>
    <w:rsid w:val="00DE4131"/>
    <w:rsid w:val="00DE4146"/>
    <w:rsid w:val="00DE563E"/>
    <w:rsid w:val="00DE5F10"/>
    <w:rsid w:val="00DF0106"/>
    <w:rsid w:val="00DF0CD3"/>
    <w:rsid w:val="00DF1675"/>
    <w:rsid w:val="00DF1896"/>
    <w:rsid w:val="00DF2F22"/>
    <w:rsid w:val="00DF3A62"/>
    <w:rsid w:val="00DF413D"/>
    <w:rsid w:val="00DF5001"/>
    <w:rsid w:val="00DF540A"/>
    <w:rsid w:val="00DF5BDF"/>
    <w:rsid w:val="00DF5F78"/>
    <w:rsid w:val="00DF6988"/>
    <w:rsid w:val="00DF770D"/>
    <w:rsid w:val="00DF7B91"/>
    <w:rsid w:val="00E012C1"/>
    <w:rsid w:val="00E019FB"/>
    <w:rsid w:val="00E01D33"/>
    <w:rsid w:val="00E01F25"/>
    <w:rsid w:val="00E023A8"/>
    <w:rsid w:val="00E04210"/>
    <w:rsid w:val="00E04253"/>
    <w:rsid w:val="00E04AD7"/>
    <w:rsid w:val="00E04F25"/>
    <w:rsid w:val="00E0547A"/>
    <w:rsid w:val="00E055D8"/>
    <w:rsid w:val="00E05DDA"/>
    <w:rsid w:val="00E060BF"/>
    <w:rsid w:val="00E0667A"/>
    <w:rsid w:val="00E069B7"/>
    <w:rsid w:val="00E072B7"/>
    <w:rsid w:val="00E10431"/>
    <w:rsid w:val="00E10585"/>
    <w:rsid w:val="00E10968"/>
    <w:rsid w:val="00E10CC8"/>
    <w:rsid w:val="00E112E8"/>
    <w:rsid w:val="00E11BE8"/>
    <w:rsid w:val="00E11E99"/>
    <w:rsid w:val="00E128B0"/>
    <w:rsid w:val="00E142E9"/>
    <w:rsid w:val="00E148FF"/>
    <w:rsid w:val="00E14C9F"/>
    <w:rsid w:val="00E152B1"/>
    <w:rsid w:val="00E154FF"/>
    <w:rsid w:val="00E157E4"/>
    <w:rsid w:val="00E15902"/>
    <w:rsid w:val="00E15906"/>
    <w:rsid w:val="00E171FE"/>
    <w:rsid w:val="00E17317"/>
    <w:rsid w:val="00E17E12"/>
    <w:rsid w:val="00E20394"/>
    <w:rsid w:val="00E2088E"/>
    <w:rsid w:val="00E21608"/>
    <w:rsid w:val="00E21CA7"/>
    <w:rsid w:val="00E22468"/>
    <w:rsid w:val="00E22EAC"/>
    <w:rsid w:val="00E22FBA"/>
    <w:rsid w:val="00E23B85"/>
    <w:rsid w:val="00E23E40"/>
    <w:rsid w:val="00E244B1"/>
    <w:rsid w:val="00E25833"/>
    <w:rsid w:val="00E25A40"/>
    <w:rsid w:val="00E26061"/>
    <w:rsid w:val="00E26BBB"/>
    <w:rsid w:val="00E27777"/>
    <w:rsid w:val="00E278FC"/>
    <w:rsid w:val="00E31A5B"/>
    <w:rsid w:val="00E31B0A"/>
    <w:rsid w:val="00E322C3"/>
    <w:rsid w:val="00E3265B"/>
    <w:rsid w:val="00E32FAA"/>
    <w:rsid w:val="00E33084"/>
    <w:rsid w:val="00E33328"/>
    <w:rsid w:val="00E34195"/>
    <w:rsid w:val="00E344D7"/>
    <w:rsid w:val="00E3467E"/>
    <w:rsid w:val="00E34A45"/>
    <w:rsid w:val="00E362A6"/>
    <w:rsid w:val="00E40AF5"/>
    <w:rsid w:val="00E4178A"/>
    <w:rsid w:val="00E417E9"/>
    <w:rsid w:val="00E4190A"/>
    <w:rsid w:val="00E42025"/>
    <w:rsid w:val="00E4224C"/>
    <w:rsid w:val="00E431AD"/>
    <w:rsid w:val="00E43D87"/>
    <w:rsid w:val="00E44331"/>
    <w:rsid w:val="00E443AD"/>
    <w:rsid w:val="00E45B43"/>
    <w:rsid w:val="00E45D04"/>
    <w:rsid w:val="00E46BB0"/>
    <w:rsid w:val="00E46EBA"/>
    <w:rsid w:val="00E47864"/>
    <w:rsid w:val="00E5062D"/>
    <w:rsid w:val="00E52712"/>
    <w:rsid w:val="00E52F9C"/>
    <w:rsid w:val="00E53912"/>
    <w:rsid w:val="00E53CFB"/>
    <w:rsid w:val="00E53F65"/>
    <w:rsid w:val="00E54580"/>
    <w:rsid w:val="00E55C22"/>
    <w:rsid w:val="00E55D03"/>
    <w:rsid w:val="00E566EF"/>
    <w:rsid w:val="00E568B0"/>
    <w:rsid w:val="00E570B7"/>
    <w:rsid w:val="00E57313"/>
    <w:rsid w:val="00E573E8"/>
    <w:rsid w:val="00E60E14"/>
    <w:rsid w:val="00E61417"/>
    <w:rsid w:val="00E6197F"/>
    <w:rsid w:val="00E622B7"/>
    <w:rsid w:val="00E628A9"/>
    <w:rsid w:val="00E635AA"/>
    <w:rsid w:val="00E63ED4"/>
    <w:rsid w:val="00E64059"/>
    <w:rsid w:val="00E64235"/>
    <w:rsid w:val="00E64A06"/>
    <w:rsid w:val="00E65335"/>
    <w:rsid w:val="00E6581E"/>
    <w:rsid w:val="00E6619F"/>
    <w:rsid w:val="00E66FCE"/>
    <w:rsid w:val="00E6784A"/>
    <w:rsid w:val="00E67F9F"/>
    <w:rsid w:val="00E704C1"/>
    <w:rsid w:val="00E70F37"/>
    <w:rsid w:val="00E715D9"/>
    <w:rsid w:val="00E716F3"/>
    <w:rsid w:val="00E7201F"/>
    <w:rsid w:val="00E725D2"/>
    <w:rsid w:val="00E73DD6"/>
    <w:rsid w:val="00E73E02"/>
    <w:rsid w:val="00E74134"/>
    <w:rsid w:val="00E742C4"/>
    <w:rsid w:val="00E74311"/>
    <w:rsid w:val="00E745AD"/>
    <w:rsid w:val="00E748DA"/>
    <w:rsid w:val="00E74FB2"/>
    <w:rsid w:val="00E75315"/>
    <w:rsid w:val="00E75658"/>
    <w:rsid w:val="00E76193"/>
    <w:rsid w:val="00E76E12"/>
    <w:rsid w:val="00E77396"/>
    <w:rsid w:val="00E7750F"/>
    <w:rsid w:val="00E803E8"/>
    <w:rsid w:val="00E804DD"/>
    <w:rsid w:val="00E80AA2"/>
    <w:rsid w:val="00E81E0A"/>
    <w:rsid w:val="00E82E32"/>
    <w:rsid w:val="00E8368A"/>
    <w:rsid w:val="00E83C87"/>
    <w:rsid w:val="00E84EAA"/>
    <w:rsid w:val="00E8511A"/>
    <w:rsid w:val="00E85D81"/>
    <w:rsid w:val="00E866C7"/>
    <w:rsid w:val="00E86FDD"/>
    <w:rsid w:val="00E919B5"/>
    <w:rsid w:val="00E91ABE"/>
    <w:rsid w:val="00E91B7D"/>
    <w:rsid w:val="00E9235A"/>
    <w:rsid w:val="00E92943"/>
    <w:rsid w:val="00E92F0E"/>
    <w:rsid w:val="00E92FE8"/>
    <w:rsid w:val="00E9352A"/>
    <w:rsid w:val="00E94373"/>
    <w:rsid w:val="00E95CEE"/>
    <w:rsid w:val="00E9626E"/>
    <w:rsid w:val="00EA0D15"/>
    <w:rsid w:val="00EA0D6A"/>
    <w:rsid w:val="00EA178D"/>
    <w:rsid w:val="00EA2A96"/>
    <w:rsid w:val="00EA365D"/>
    <w:rsid w:val="00EA390C"/>
    <w:rsid w:val="00EA3C25"/>
    <w:rsid w:val="00EA4B8D"/>
    <w:rsid w:val="00EA4DDB"/>
    <w:rsid w:val="00EA62AB"/>
    <w:rsid w:val="00EA645F"/>
    <w:rsid w:val="00EA65B2"/>
    <w:rsid w:val="00EA79D5"/>
    <w:rsid w:val="00EA7B70"/>
    <w:rsid w:val="00EB088B"/>
    <w:rsid w:val="00EB08AA"/>
    <w:rsid w:val="00EB0E60"/>
    <w:rsid w:val="00EB0F26"/>
    <w:rsid w:val="00EB13D9"/>
    <w:rsid w:val="00EB17EF"/>
    <w:rsid w:val="00EB2375"/>
    <w:rsid w:val="00EB2B7D"/>
    <w:rsid w:val="00EB39FF"/>
    <w:rsid w:val="00EB3D86"/>
    <w:rsid w:val="00EB3F09"/>
    <w:rsid w:val="00EB5327"/>
    <w:rsid w:val="00EB5627"/>
    <w:rsid w:val="00EB682C"/>
    <w:rsid w:val="00EC0199"/>
    <w:rsid w:val="00EC06C4"/>
    <w:rsid w:val="00EC07F1"/>
    <w:rsid w:val="00EC1292"/>
    <w:rsid w:val="00EC1946"/>
    <w:rsid w:val="00EC1BB2"/>
    <w:rsid w:val="00EC25D9"/>
    <w:rsid w:val="00EC2B9F"/>
    <w:rsid w:val="00EC3DBE"/>
    <w:rsid w:val="00EC4002"/>
    <w:rsid w:val="00EC4D9B"/>
    <w:rsid w:val="00EC5EEB"/>
    <w:rsid w:val="00EC7465"/>
    <w:rsid w:val="00ED0207"/>
    <w:rsid w:val="00ED0BCD"/>
    <w:rsid w:val="00ED0CCA"/>
    <w:rsid w:val="00ED0D5B"/>
    <w:rsid w:val="00ED1074"/>
    <w:rsid w:val="00ED1649"/>
    <w:rsid w:val="00ED18A7"/>
    <w:rsid w:val="00ED1A33"/>
    <w:rsid w:val="00ED3026"/>
    <w:rsid w:val="00ED366B"/>
    <w:rsid w:val="00ED3706"/>
    <w:rsid w:val="00ED482E"/>
    <w:rsid w:val="00ED4DE0"/>
    <w:rsid w:val="00ED5311"/>
    <w:rsid w:val="00ED56B0"/>
    <w:rsid w:val="00ED60AB"/>
    <w:rsid w:val="00ED7A33"/>
    <w:rsid w:val="00ED7A67"/>
    <w:rsid w:val="00EE00CB"/>
    <w:rsid w:val="00EE110C"/>
    <w:rsid w:val="00EE17B3"/>
    <w:rsid w:val="00EE2557"/>
    <w:rsid w:val="00EE3654"/>
    <w:rsid w:val="00EE44E4"/>
    <w:rsid w:val="00EE4641"/>
    <w:rsid w:val="00EE5372"/>
    <w:rsid w:val="00EE5CB8"/>
    <w:rsid w:val="00EE65AE"/>
    <w:rsid w:val="00EE6952"/>
    <w:rsid w:val="00EE7AFE"/>
    <w:rsid w:val="00EF0CB0"/>
    <w:rsid w:val="00EF1752"/>
    <w:rsid w:val="00EF1E1D"/>
    <w:rsid w:val="00EF1F7D"/>
    <w:rsid w:val="00EF217B"/>
    <w:rsid w:val="00EF2CB9"/>
    <w:rsid w:val="00EF2FC0"/>
    <w:rsid w:val="00EF33F0"/>
    <w:rsid w:val="00EF3467"/>
    <w:rsid w:val="00EF3B2B"/>
    <w:rsid w:val="00EF3CDF"/>
    <w:rsid w:val="00EF4185"/>
    <w:rsid w:val="00EF4960"/>
    <w:rsid w:val="00EF4E15"/>
    <w:rsid w:val="00EF4E4C"/>
    <w:rsid w:val="00EF546E"/>
    <w:rsid w:val="00EF5512"/>
    <w:rsid w:val="00EF6447"/>
    <w:rsid w:val="00EF69FE"/>
    <w:rsid w:val="00EF6D73"/>
    <w:rsid w:val="00EF6F92"/>
    <w:rsid w:val="00EF7C58"/>
    <w:rsid w:val="00EF7F5E"/>
    <w:rsid w:val="00F0015A"/>
    <w:rsid w:val="00F00374"/>
    <w:rsid w:val="00F00EAD"/>
    <w:rsid w:val="00F01857"/>
    <w:rsid w:val="00F02640"/>
    <w:rsid w:val="00F02908"/>
    <w:rsid w:val="00F02950"/>
    <w:rsid w:val="00F02BA3"/>
    <w:rsid w:val="00F02F92"/>
    <w:rsid w:val="00F031B7"/>
    <w:rsid w:val="00F05FAA"/>
    <w:rsid w:val="00F06596"/>
    <w:rsid w:val="00F06793"/>
    <w:rsid w:val="00F068BE"/>
    <w:rsid w:val="00F074DC"/>
    <w:rsid w:val="00F075D4"/>
    <w:rsid w:val="00F07B37"/>
    <w:rsid w:val="00F07BA9"/>
    <w:rsid w:val="00F102B5"/>
    <w:rsid w:val="00F102F9"/>
    <w:rsid w:val="00F108C9"/>
    <w:rsid w:val="00F10E5E"/>
    <w:rsid w:val="00F110A5"/>
    <w:rsid w:val="00F1183B"/>
    <w:rsid w:val="00F129E1"/>
    <w:rsid w:val="00F12C0E"/>
    <w:rsid w:val="00F130CE"/>
    <w:rsid w:val="00F131B5"/>
    <w:rsid w:val="00F13BC3"/>
    <w:rsid w:val="00F13F55"/>
    <w:rsid w:val="00F141B7"/>
    <w:rsid w:val="00F14825"/>
    <w:rsid w:val="00F15D57"/>
    <w:rsid w:val="00F16051"/>
    <w:rsid w:val="00F161B4"/>
    <w:rsid w:val="00F175DB"/>
    <w:rsid w:val="00F20B0D"/>
    <w:rsid w:val="00F20E11"/>
    <w:rsid w:val="00F2118B"/>
    <w:rsid w:val="00F222D8"/>
    <w:rsid w:val="00F22394"/>
    <w:rsid w:val="00F225FA"/>
    <w:rsid w:val="00F236FA"/>
    <w:rsid w:val="00F2377C"/>
    <w:rsid w:val="00F23B1C"/>
    <w:rsid w:val="00F242E1"/>
    <w:rsid w:val="00F27139"/>
    <w:rsid w:val="00F27312"/>
    <w:rsid w:val="00F27A34"/>
    <w:rsid w:val="00F30009"/>
    <w:rsid w:val="00F3053B"/>
    <w:rsid w:val="00F310A6"/>
    <w:rsid w:val="00F31893"/>
    <w:rsid w:val="00F31A46"/>
    <w:rsid w:val="00F31C7F"/>
    <w:rsid w:val="00F31D27"/>
    <w:rsid w:val="00F328DB"/>
    <w:rsid w:val="00F32905"/>
    <w:rsid w:val="00F33C67"/>
    <w:rsid w:val="00F34860"/>
    <w:rsid w:val="00F3497A"/>
    <w:rsid w:val="00F35923"/>
    <w:rsid w:val="00F367F4"/>
    <w:rsid w:val="00F36D7B"/>
    <w:rsid w:val="00F37A45"/>
    <w:rsid w:val="00F37F30"/>
    <w:rsid w:val="00F40508"/>
    <w:rsid w:val="00F4279A"/>
    <w:rsid w:val="00F42B3B"/>
    <w:rsid w:val="00F42F13"/>
    <w:rsid w:val="00F43610"/>
    <w:rsid w:val="00F438C1"/>
    <w:rsid w:val="00F44889"/>
    <w:rsid w:val="00F44B6D"/>
    <w:rsid w:val="00F44F33"/>
    <w:rsid w:val="00F45AA7"/>
    <w:rsid w:val="00F46CBC"/>
    <w:rsid w:val="00F472FA"/>
    <w:rsid w:val="00F47CD9"/>
    <w:rsid w:val="00F50688"/>
    <w:rsid w:val="00F50C1C"/>
    <w:rsid w:val="00F50E4D"/>
    <w:rsid w:val="00F50F36"/>
    <w:rsid w:val="00F51058"/>
    <w:rsid w:val="00F51F4E"/>
    <w:rsid w:val="00F52511"/>
    <w:rsid w:val="00F52AEB"/>
    <w:rsid w:val="00F52D4B"/>
    <w:rsid w:val="00F54146"/>
    <w:rsid w:val="00F545DE"/>
    <w:rsid w:val="00F553FE"/>
    <w:rsid w:val="00F55994"/>
    <w:rsid w:val="00F56456"/>
    <w:rsid w:val="00F5676D"/>
    <w:rsid w:val="00F56A49"/>
    <w:rsid w:val="00F56E56"/>
    <w:rsid w:val="00F57FEB"/>
    <w:rsid w:val="00F603EB"/>
    <w:rsid w:val="00F606B2"/>
    <w:rsid w:val="00F61192"/>
    <w:rsid w:val="00F61569"/>
    <w:rsid w:val="00F617F5"/>
    <w:rsid w:val="00F61AA9"/>
    <w:rsid w:val="00F62010"/>
    <w:rsid w:val="00F6212C"/>
    <w:rsid w:val="00F623F8"/>
    <w:rsid w:val="00F632D5"/>
    <w:rsid w:val="00F63AD7"/>
    <w:rsid w:val="00F63F2A"/>
    <w:rsid w:val="00F63FB9"/>
    <w:rsid w:val="00F644E2"/>
    <w:rsid w:val="00F64E44"/>
    <w:rsid w:val="00F64F17"/>
    <w:rsid w:val="00F65B30"/>
    <w:rsid w:val="00F65FA5"/>
    <w:rsid w:val="00F66519"/>
    <w:rsid w:val="00F66733"/>
    <w:rsid w:val="00F67447"/>
    <w:rsid w:val="00F70066"/>
    <w:rsid w:val="00F70164"/>
    <w:rsid w:val="00F705EC"/>
    <w:rsid w:val="00F71B29"/>
    <w:rsid w:val="00F71DBF"/>
    <w:rsid w:val="00F72311"/>
    <w:rsid w:val="00F73AAE"/>
    <w:rsid w:val="00F73D1C"/>
    <w:rsid w:val="00F74452"/>
    <w:rsid w:val="00F745C6"/>
    <w:rsid w:val="00F747FB"/>
    <w:rsid w:val="00F74D95"/>
    <w:rsid w:val="00F752C4"/>
    <w:rsid w:val="00F7571E"/>
    <w:rsid w:val="00F76325"/>
    <w:rsid w:val="00F7675C"/>
    <w:rsid w:val="00F767BF"/>
    <w:rsid w:val="00F7710C"/>
    <w:rsid w:val="00F80186"/>
    <w:rsid w:val="00F81806"/>
    <w:rsid w:val="00F819AB"/>
    <w:rsid w:val="00F82004"/>
    <w:rsid w:val="00F830F5"/>
    <w:rsid w:val="00F84354"/>
    <w:rsid w:val="00F844F0"/>
    <w:rsid w:val="00F84547"/>
    <w:rsid w:val="00F857A7"/>
    <w:rsid w:val="00F85D6E"/>
    <w:rsid w:val="00F861EE"/>
    <w:rsid w:val="00F86646"/>
    <w:rsid w:val="00F8705B"/>
    <w:rsid w:val="00F90132"/>
    <w:rsid w:val="00F90C1D"/>
    <w:rsid w:val="00F9337C"/>
    <w:rsid w:val="00F9406A"/>
    <w:rsid w:val="00F940BD"/>
    <w:rsid w:val="00F94162"/>
    <w:rsid w:val="00F94459"/>
    <w:rsid w:val="00F94914"/>
    <w:rsid w:val="00F962EF"/>
    <w:rsid w:val="00FA08C1"/>
    <w:rsid w:val="00FA0AE1"/>
    <w:rsid w:val="00FA0ECA"/>
    <w:rsid w:val="00FA12FC"/>
    <w:rsid w:val="00FA1313"/>
    <w:rsid w:val="00FA1B1F"/>
    <w:rsid w:val="00FA1B8D"/>
    <w:rsid w:val="00FA1C65"/>
    <w:rsid w:val="00FA23BD"/>
    <w:rsid w:val="00FA26D7"/>
    <w:rsid w:val="00FA2E89"/>
    <w:rsid w:val="00FA3604"/>
    <w:rsid w:val="00FA3AC1"/>
    <w:rsid w:val="00FA4714"/>
    <w:rsid w:val="00FA58B5"/>
    <w:rsid w:val="00FA5A60"/>
    <w:rsid w:val="00FA6204"/>
    <w:rsid w:val="00FA62C8"/>
    <w:rsid w:val="00FA6CA0"/>
    <w:rsid w:val="00FA6E00"/>
    <w:rsid w:val="00FB0052"/>
    <w:rsid w:val="00FB05AF"/>
    <w:rsid w:val="00FB1EB3"/>
    <w:rsid w:val="00FB216A"/>
    <w:rsid w:val="00FB2498"/>
    <w:rsid w:val="00FB3A83"/>
    <w:rsid w:val="00FB3EC9"/>
    <w:rsid w:val="00FB46E7"/>
    <w:rsid w:val="00FB63A0"/>
    <w:rsid w:val="00FB7A5A"/>
    <w:rsid w:val="00FB7DA8"/>
    <w:rsid w:val="00FC15B7"/>
    <w:rsid w:val="00FC1A19"/>
    <w:rsid w:val="00FC1A9B"/>
    <w:rsid w:val="00FC2704"/>
    <w:rsid w:val="00FC3218"/>
    <w:rsid w:val="00FC3ECD"/>
    <w:rsid w:val="00FC3F45"/>
    <w:rsid w:val="00FC4E90"/>
    <w:rsid w:val="00FC4FA0"/>
    <w:rsid w:val="00FC60E0"/>
    <w:rsid w:val="00FC6422"/>
    <w:rsid w:val="00FC65D1"/>
    <w:rsid w:val="00FC711B"/>
    <w:rsid w:val="00FC7F51"/>
    <w:rsid w:val="00FD0077"/>
    <w:rsid w:val="00FD23C9"/>
    <w:rsid w:val="00FD28F4"/>
    <w:rsid w:val="00FD2924"/>
    <w:rsid w:val="00FD2B88"/>
    <w:rsid w:val="00FD32AE"/>
    <w:rsid w:val="00FD3B55"/>
    <w:rsid w:val="00FD3CB3"/>
    <w:rsid w:val="00FD4209"/>
    <w:rsid w:val="00FD473A"/>
    <w:rsid w:val="00FD5B67"/>
    <w:rsid w:val="00FD6C7C"/>
    <w:rsid w:val="00FD7A82"/>
    <w:rsid w:val="00FE0531"/>
    <w:rsid w:val="00FE06B6"/>
    <w:rsid w:val="00FE0B69"/>
    <w:rsid w:val="00FE0DEE"/>
    <w:rsid w:val="00FE0F3C"/>
    <w:rsid w:val="00FE149F"/>
    <w:rsid w:val="00FE14E0"/>
    <w:rsid w:val="00FE1D2D"/>
    <w:rsid w:val="00FE1E56"/>
    <w:rsid w:val="00FE367E"/>
    <w:rsid w:val="00FE4D20"/>
    <w:rsid w:val="00FE5BF9"/>
    <w:rsid w:val="00FE5CAD"/>
    <w:rsid w:val="00FE5DC8"/>
    <w:rsid w:val="00FE6374"/>
    <w:rsid w:val="00FE7CD2"/>
    <w:rsid w:val="00FF1735"/>
    <w:rsid w:val="00FF1B3F"/>
    <w:rsid w:val="00FF2395"/>
    <w:rsid w:val="00FF23E9"/>
    <w:rsid w:val="00FF28E6"/>
    <w:rsid w:val="00FF2F2B"/>
    <w:rsid w:val="00FF348C"/>
    <w:rsid w:val="00FF34B6"/>
    <w:rsid w:val="00FF359B"/>
    <w:rsid w:val="00FF39FF"/>
    <w:rsid w:val="00FF3C26"/>
    <w:rsid w:val="00FF438B"/>
    <w:rsid w:val="00FF5B6B"/>
    <w:rsid w:val="00FF6559"/>
    <w:rsid w:val="00FF7223"/>
    <w:rsid w:val="00FF7461"/>
    <w:rsid w:val="00FF77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689C0F"/>
  <w15:docId w15:val="{6C49AC99-8099-4BF3-A845-7DD45674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lv-LV"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593"/>
  </w:style>
  <w:style w:type="paragraph" w:styleId="Heading1">
    <w:name w:val="heading 1"/>
    <w:basedOn w:val="Normal"/>
    <w:next w:val="Normal"/>
    <w:link w:val="Heading1Char"/>
    <w:uiPriority w:val="9"/>
    <w:qFormat/>
    <w:rsid w:val="00860F5F"/>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semiHidden/>
    <w:unhideWhenUsed/>
    <w:qFormat/>
    <w:rsid w:val="00860F5F"/>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semiHidden/>
    <w:unhideWhenUsed/>
    <w:qFormat/>
    <w:rsid w:val="00860F5F"/>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semiHidden/>
    <w:unhideWhenUsed/>
    <w:qFormat/>
    <w:rsid w:val="00860F5F"/>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rsid w:val="00860F5F"/>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860F5F"/>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860F5F"/>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860F5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60F5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0F5F"/>
    <w:rPr>
      <w:caps/>
      <w:color w:val="FFFFFF"/>
      <w:spacing w:val="15"/>
      <w:sz w:val="22"/>
      <w:szCs w:val="22"/>
      <w:shd w:val="clear" w:color="auto" w:fill="5B9BD5"/>
    </w:rPr>
  </w:style>
  <w:style w:type="character" w:customStyle="1" w:styleId="Heading2Char">
    <w:name w:val="Heading 2 Char"/>
    <w:link w:val="Heading2"/>
    <w:uiPriority w:val="9"/>
    <w:semiHidden/>
    <w:rsid w:val="00860F5F"/>
    <w:rPr>
      <w:caps/>
      <w:spacing w:val="15"/>
      <w:shd w:val="clear" w:color="auto" w:fill="DEEAF6"/>
    </w:rPr>
  </w:style>
  <w:style w:type="character" w:customStyle="1" w:styleId="Heading3Char">
    <w:name w:val="Heading 3 Char"/>
    <w:link w:val="Heading3"/>
    <w:uiPriority w:val="9"/>
    <w:semiHidden/>
    <w:rsid w:val="00860F5F"/>
    <w:rPr>
      <w:caps/>
      <w:color w:val="1F4D78"/>
      <w:spacing w:val="15"/>
    </w:rPr>
  </w:style>
  <w:style w:type="character" w:customStyle="1" w:styleId="Heading4Char">
    <w:name w:val="Heading 4 Char"/>
    <w:link w:val="Heading4"/>
    <w:uiPriority w:val="9"/>
    <w:semiHidden/>
    <w:rsid w:val="00860F5F"/>
    <w:rPr>
      <w:caps/>
      <w:color w:val="2E74B5"/>
      <w:spacing w:val="10"/>
    </w:rPr>
  </w:style>
  <w:style w:type="character" w:customStyle="1" w:styleId="Heading5Char">
    <w:name w:val="Heading 5 Char"/>
    <w:link w:val="Heading5"/>
    <w:uiPriority w:val="9"/>
    <w:semiHidden/>
    <w:rsid w:val="00860F5F"/>
    <w:rPr>
      <w:caps/>
      <w:color w:val="2E74B5"/>
      <w:spacing w:val="10"/>
    </w:rPr>
  </w:style>
  <w:style w:type="character" w:customStyle="1" w:styleId="Heading6Char">
    <w:name w:val="Heading 6 Char"/>
    <w:link w:val="Heading6"/>
    <w:uiPriority w:val="9"/>
    <w:semiHidden/>
    <w:rsid w:val="00860F5F"/>
    <w:rPr>
      <w:caps/>
      <w:color w:val="2E74B5"/>
      <w:spacing w:val="10"/>
    </w:rPr>
  </w:style>
  <w:style w:type="character" w:customStyle="1" w:styleId="Heading7Char">
    <w:name w:val="Heading 7 Char"/>
    <w:link w:val="Heading7"/>
    <w:uiPriority w:val="9"/>
    <w:semiHidden/>
    <w:rsid w:val="00860F5F"/>
    <w:rPr>
      <w:caps/>
      <w:color w:val="2E74B5"/>
      <w:spacing w:val="10"/>
    </w:rPr>
  </w:style>
  <w:style w:type="character" w:customStyle="1" w:styleId="Heading8Char">
    <w:name w:val="Heading 8 Char"/>
    <w:link w:val="Heading8"/>
    <w:uiPriority w:val="9"/>
    <w:semiHidden/>
    <w:rsid w:val="00860F5F"/>
    <w:rPr>
      <w:caps/>
      <w:spacing w:val="10"/>
      <w:sz w:val="18"/>
      <w:szCs w:val="18"/>
    </w:rPr>
  </w:style>
  <w:style w:type="character" w:customStyle="1" w:styleId="Heading9Char">
    <w:name w:val="Heading 9 Char"/>
    <w:link w:val="Heading9"/>
    <w:uiPriority w:val="9"/>
    <w:semiHidden/>
    <w:rsid w:val="00860F5F"/>
    <w:rPr>
      <w:i/>
      <w:iCs/>
      <w:caps/>
      <w:spacing w:val="10"/>
      <w:sz w:val="18"/>
      <w:szCs w:val="18"/>
    </w:rPr>
  </w:style>
  <w:style w:type="paragraph" w:styleId="Caption">
    <w:name w:val="caption"/>
    <w:basedOn w:val="Normal"/>
    <w:next w:val="Normal"/>
    <w:uiPriority w:val="35"/>
    <w:semiHidden/>
    <w:unhideWhenUsed/>
    <w:qFormat/>
    <w:rsid w:val="00860F5F"/>
    <w:rPr>
      <w:b/>
      <w:bCs/>
      <w:color w:val="2E74B5"/>
      <w:sz w:val="16"/>
      <w:szCs w:val="16"/>
    </w:rPr>
  </w:style>
  <w:style w:type="paragraph" w:styleId="Title">
    <w:name w:val="Title"/>
    <w:basedOn w:val="Normal"/>
    <w:next w:val="Normal"/>
    <w:link w:val="TitleChar"/>
    <w:uiPriority w:val="10"/>
    <w:qFormat/>
    <w:rsid w:val="00860F5F"/>
    <w:pPr>
      <w:spacing w:before="0" w:after="0"/>
    </w:pPr>
    <w:rPr>
      <w:rFonts w:ascii="Calibri Light" w:eastAsia="SimSun" w:hAnsi="Calibri Light" w:cs="Times New Roman"/>
      <w:caps/>
      <w:color w:val="5B9BD5"/>
      <w:spacing w:val="10"/>
      <w:sz w:val="52"/>
      <w:szCs w:val="52"/>
    </w:rPr>
  </w:style>
  <w:style w:type="character" w:customStyle="1" w:styleId="TitleChar">
    <w:name w:val="Title Char"/>
    <w:link w:val="Title"/>
    <w:uiPriority w:val="10"/>
    <w:rsid w:val="00860F5F"/>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rsid w:val="00860F5F"/>
    <w:pPr>
      <w:spacing w:before="0" w:after="500" w:line="240" w:lineRule="auto"/>
    </w:pPr>
    <w:rPr>
      <w:caps/>
      <w:color w:val="595959"/>
      <w:spacing w:val="10"/>
      <w:sz w:val="21"/>
      <w:szCs w:val="21"/>
    </w:rPr>
  </w:style>
  <w:style w:type="character" w:customStyle="1" w:styleId="SubtitleChar">
    <w:name w:val="Subtitle Char"/>
    <w:link w:val="Subtitle"/>
    <w:uiPriority w:val="11"/>
    <w:rsid w:val="00860F5F"/>
    <w:rPr>
      <w:caps/>
      <w:color w:val="595959"/>
      <w:spacing w:val="10"/>
      <w:sz w:val="21"/>
      <w:szCs w:val="21"/>
    </w:rPr>
  </w:style>
  <w:style w:type="character" w:styleId="Strong">
    <w:name w:val="Strong"/>
    <w:uiPriority w:val="22"/>
    <w:qFormat/>
    <w:rsid w:val="00860F5F"/>
    <w:rPr>
      <w:b/>
      <w:bCs/>
    </w:rPr>
  </w:style>
  <w:style w:type="character" w:styleId="Emphasis">
    <w:name w:val="Emphasis"/>
    <w:uiPriority w:val="20"/>
    <w:qFormat/>
    <w:rsid w:val="00860F5F"/>
    <w:rPr>
      <w:caps/>
      <w:color w:val="1F4D78"/>
      <w:spacing w:val="5"/>
    </w:rPr>
  </w:style>
  <w:style w:type="paragraph" w:styleId="NoSpacing">
    <w:name w:val="No Spacing"/>
    <w:uiPriority w:val="1"/>
    <w:qFormat/>
    <w:rsid w:val="00860F5F"/>
    <w:pPr>
      <w:spacing w:after="0" w:line="240" w:lineRule="auto"/>
    </w:pPr>
  </w:style>
  <w:style w:type="paragraph" w:styleId="Quote">
    <w:name w:val="Quote"/>
    <w:basedOn w:val="Normal"/>
    <w:next w:val="Normal"/>
    <w:link w:val="QuoteChar"/>
    <w:uiPriority w:val="29"/>
    <w:qFormat/>
    <w:rsid w:val="00860F5F"/>
    <w:rPr>
      <w:i/>
      <w:iCs/>
      <w:sz w:val="24"/>
      <w:szCs w:val="24"/>
    </w:rPr>
  </w:style>
  <w:style w:type="character" w:customStyle="1" w:styleId="QuoteChar">
    <w:name w:val="Quote Char"/>
    <w:link w:val="Quote"/>
    <w:uiPriority w:val="29"/>
    <w:rsid w:val="00860F5F"/>
    <w:rPr>
      <w:i/>
      <w:iCs/>
      <w:sz w:val="24"/>
      <w:szCs w:val="24"/>
    </w:rPr>
  </w:style>
  <w:style w:type="paragraph" w:styleId="IntenseQuote">
    <w:name w:val="Intense Quote"/>
    <w:basedOn w:val="Normal"/>
    <w:next w:val="Normal"/>
    <w:link w:val="IntenseQuoteChar"/>
    <w:uiPriority w:val="30"/>
    <w:qFormat/>
    <w:rsid w:val="00860F5F"/>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860F5F"/>
    <w:rPr>
      <w:color w:val="5B9BD5"/>
      <w:sz w:val="24"/>
      <w:szCs w:val="24"/>
    </w:rPr>
  </w:style>
  <w:style w:type="character" w:styleId="SubtleEmphasis">
    <w:name w:val="Subtle Emphasis"/>
    <w:uiPriority w:val="19"/>
    <w:qFormat/>
    <w:rsid w:val="00860F5F"/>
    <w:rPr>
      <w:i/>
      <w:iCs/>
      <w:color w:val="1F4D78"/>
    </w:rPr>
  </w:style>
  <w:style w:type="character" w:styleId="IntenseEmphasis">
    <w:name w:val="Intense Emphasis"/>
    <w:uiPriority w:val="21"/>
    <w:qFormat/>
    <w:rsid w:val="00860F5F"/>
    <w:rPr>
      <w:b/>
      <w:bCs/>
      <w:caps/>
      <w:color w:val="1F4D78"/>
      <w:spacing w:val="10"/>
    </w:rPr>
  </w:style>
  <w:style w:type="character" w:styleId="SubtleReference">
    <w:name w:val="Subtle Reference"/>
    <w:uiPriority w:val="31"/>
    <w:qFormat/>
    <w:rsid w:val="00860F5F"/>
    <w:rPr>
      <w:b/>
      <w:bCs/>
      <w:color w:val="5B9BD5"/>
    </w:rPr>
  </w:style>
  <w:style w:type="character" w:styleId="IntenseReference">
    <w:name w:val="Intense Reference"/>
    <w:uiPriority w:val="32"/>
    <w:qFormat/>
    <w:rsid w:val="00860F5F"/>
    <w:rPr>
      <w:b/>
      <w:bCs/>
      <w:i/>
      <w:iCs/>
      <w:caps/>
      <w:color w:val="5B9BD5"/>
    </w:rPr>
  </w:style>
  <w:style w:type="character" w:styleId="BookTitle">
    <w:name w:val="Book Title"/>
    <w:uiPriority w:val="33"/>
    <w:qFormat/>
    <w:rsid w:val="00860F5F"/>
    <w:rPr>
      <w:b/>
      <w:bCs/>
      <w:i/>
      <w:iCs/>
      <w:spacing w:val="0"/>
    </w:rPr>
  </w:style>
  <w:style w:type="paragraph" w:styleId="TOCHeading">
    <w:name w:val="TOC Heading"/>
    <w:basedOn w:val="Heading1"/>
    <w:next w:val="Normal"/>
    <w:uiPriority w:val="39"/>
    <w:semiHidden/>
    <w:unhideWhenUsed/>
    <w:qFormat/>
    <w:rsid w:val="00860F5F"/>
    <w:pPr>
      <w:outlineLvl w:val="9"/>
    </w:pPr>
  </w:style>
  <w:style w:type="paragraph" w:styleId="ListParagraph">
    <w:name w:val="List Paragraph"/>
    <w:basedOn w:val="Normal"/>
    <w:link w:val="ListParagraphChar"/>
    <w:uiPriority w:val="34"/>
    <w:qFormat/>
    <w:rsid w:val="00154023"/>
    <w:pPr>
      <w:ind w:left="720"/>
      <w:contextualSpacing/>
    </w:pPr>
  </w:style>
  <w:style w:type="paragraph" w:styleId="BalloonText">
    <w:name w:val="Balloon Text"/>
    <w:basedOn w:val="Normal"/>
    <w:link w:val="BalloonTextChar"/>
    <w:uiPriority w:val="99"/>
    <w:semiHidden/>
    <w:unhideWhenUsed/>
    <w:rsid w:val="0050304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43"/>
    <w:rPr>
      <w:rFonts w:ascii="Segoe UI" w:hAnsi="Segoe UI" w:cs="Segoe UI"/>
      <w:sz w:val="18"/>
      <w:szCs w:val="18"/>
    </w:rPr>
  </w:style>
  <w:style w:type="paragraph" w:customStyle="1" w:styleId="Default">
    <w:name w:val="Default"/>
    <w:rsid w:val="000A7445"/>
    <w:pPr>
      <w:autoSpaceDE w:val="0"/>
      <w:autoSpaceDN w:val="0"/>
      <w:adjustRightInd w:val="0"/>
      <w:spacing w:before="0"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4570"/>
    <w:rPr>
      <w:color w:val="0563C1" w:themeColor="hyperlink"/>
      <w:u w:val="single"/>
    </w:rPr>
  </w:style>
  <w:style w:type="paragraph" w:styleId="Header">
    <w:name w:val="header"/>
    <w:basedOn w:val="Normal"/>
    <w:link w:val="HeaderChar"/>
    <w:uiPriority w:val="99"/>
    <w:unhideWhenUsed/>
    <w:rsid w:val="002F056A"/>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2F056A"/>
  </w:style>
  <w:style w:type="paragraph" w:styleId="Footer">
    <w:name w:val="footer"/>
    <w:basedOn w:val="Normal"/>
    <w:link w:val="FooterChar"/>
    <w:uiPriority w:val="99"/>
    <w:unhideWhenUsed/>
    <w:rsid w:val="002F056A"/>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2F056A"/>
  </w:style>
  <w:style w:type="character" w:styleId="CommentReference">
    <w:name w:val="annotation reference"/>
    <w:basedOn w:val="DefaultParagraphFont"/>
    <w:uiPriority w:val="99"/>
    <w:semiHidden/>
    <w:unhideWhenUsed/>
    <w:rsid w:val="005B4AF5"/>
    <w:rPr>
      <w:sz w:val="16"/>
      <w:szCs w:val="16"/>
    </w:rPr>
  </w:style>
  <w:style w:type="paragraph" w:styleId="CommentText">
    <w:name w:val="annotation text"/>
    <w:basedOn w:val="Normal"/>
    <w:link w:val="CommentTextChar"/>
    <w:uiPriority w:val="99"/>
    <w:unhideWhenUsed/>
    <w:rsid w:val="005B4AF5"/>
    <w:pPr>
      <w:spacing w:line="240" w:lineRule="auto"/>
    </w:pPr>
  </w:style>
  <w:style w:type="character" w:customStyle="1" w:styleId="CommentTextChar">
    <w:name w:val="Comment Text Char"/>
    <w:basedOn w:val="DefaultParagraphFont"/>
    <w:link w:val="CommentText"/>
    <w:uiPriority w:val="99"/>
    <w:rsid w:val="005B4AF5"/>
  </w:style>
  <w:style w:type="paragraph" w:styleId="CommentSubject">
    <w:name w:val="annotation subject"/>
    <w:basedOn w:val="CommentText"/>
    <w:next w:val="CommentText"/>
    <w:link w:val="CommentSubjectChar"/>
    <w:uiPriority w:val="99"/>
    <w:semiHidden/>
    <w:unhideWhenUsed/>
    <w:rsid w:val="005B4AF5"/>
    <w:rPr>
      <w:b/>
      <w:bCs/>
    </w:rPr>
  </w:style>
  <w:style w:type="character" w:customStyle="1" w:styleId="CommentSubjectChar">
    <w:name w:val="Comment Subject Char"/>
    <w:basedOn w:val="CommentTextChar"/>
    <w:link w:val="CommentSubject"/>
    <w:uiPriority w:val="99"/>
    <w:semiHidden/>
    <w:rsid w:val="005B4AF5"/>
    <w:rPr>
      <w:b/>
      <w:bCs/>
    </w:rPr>
  </w:style>
  <w:style w:type="table" w:styleId="TableGrid">
    <w:name w:val="Table Grid"/>
    <w:basedOn w:val="TableNormal"/>
    <w:uiPriority w:val="39"/>
    <w:rsid w:val="002B561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2C0"/>
    <w:rPr>
      <w:color w:val="954F72" w:themeColor="followedHyperlink"/>
      <w:u w:val="single"/>
    </w:rPr>
  </w:style>
  <w:style w:type="paragraph" w:styleId="Revision">
    <w:name w:val="Revision"/>
    <w:hidden/>
    <w:uiPriority w:val="99"/>
    <w:semiHidden/>
    <w:rsid w:val="00095869"/>
    <w:pPr>
      <w:spacing w:before="0" w:after="0" w:line="240" w:lineRule="auto"/>
    </w:pPr>
  </w:style>
  <w:style w:type="paragraph" w:styleId="NormalWeb">
    <w:name w:val="Normal (Web)"/>
    <w:basedOn w:val="Normal"/>
    <w:uiPriority w:val="99"/>
    <w:unhideWhenUsed/>
    <w:rsid w:val="00F2118B"/>
    <w:pPr>
      <w:spacing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1">
    <w:name w:val="s1"/>
    <w:basedOn w:val="DefaultParagraphFont"/>
    <w:rsid w:val="00F2118B"/>
  </w:style>
  <w:style w:type="paragraph" w:customStyle="1" w:styleId="tvhtml">
    <w:name w:val="tv_html"/>
    <w:basedOn w:val="Normal"/>
    <w:rsid w:val="00FC3ECD"/>
    <w:pPr>
      <w:spacing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C65D1"/>
    <w:pPr>
      <w:spacing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6A7564"/>
    <w:pPr>
      <w:spacing w:before="0" w:after="0" w:line="240" w:lineRule="auto"/>
    </w:pPr>
  </w:style>
  <w:style w:type="character" w:customStyle="1" w:styleId="FootnoteTextChar">
    <w:name w:val="Footnote Text Char"/>
    <w:basedOn w:val="DefaultParagraphFont"/>
    <w:link w:val="FootnoteText"/>
    <w:uiPriority w:val="99"/>
    <w:semiHidden/>
    <w:rsid w:val="006A7564"/>
  </w:style>
  <w:style w:type="character" w:styleId="FootnoteReference">
    <w:name w:val="footnote reference"/>
    <w:basedOn w:val="DefaultParagraphFont"/>
    <w:uiPriority w:val="99"/>
    <w:semiHidden/>
    <w:unhideWhenUsed/>
    <w:rsid w:val="006A7564"/>
    <w:rPr>
      <w:vertAlign w:val="superscript"/>
    </w:rPr>
  </w:style>
  <w:style w:type="table" w:customStyle="1" w:styleId="TableGrid1">
    <w:name w:val="Table Grid1"/>
    <w:basedOn w:val="TableNormal"/>
    <w:next w:val="TableGrid"/>
    <w:uiPriority w:val="39"/>
    <w:rsid w:val="00DF2F22"/>
    <w:pPr>
      <w:spacing w:before="0"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E34A45"/>
  </w:style>
  <w:style w:type="paragraph" w:styleId="EndnoteText">
    <w:name w:val="endnote text"/>
    <w:basedOn w:val="Normal"/>
    <w:link w:val="EndnoteTextChar"/>
    <w:uiPriority w:val="99"/>
    <w:semiHidden/>
    <w:unhideWhenUsed/>
    <w:rsid w:val="000B2E09"/>
    <w:pPr>
      <w:spacing w:before="0" w:after="0" w:line="240" w:lineRule="auto"/>
    </w:pPr>
  </w:style>
  <w:style w:type="character" w:customStyle="1" w:styleId="EndnoteTextChar">
    <w:name w:val="Endnote Text Char"/>
    <w:basedOn w:val="DefaultParagraphFont"/>
    <w:link w:val="EndnoteText"/>
    <w:uiPriority w:val="99"/>
    <w:semiHidden/>
    <w:rsid w:val="000B2E09"/>
  </w:style>
  <w:style w:type="character" w:styleId="EndnoteReference">
    <w:name w:val="endnote reference"/>
    <w:basedOn w:val="DefaultParagraphFont"/>
    <w:uiPriority w:val="99"/>
    <w:semiHidden/>
    <w:unhideWhenUsed/>
    <w:rsid w:val="000B2E09"/>
    <w:rPr>
      <w:vertAlign w:val="superscript"/>
    </w:rPr>
  </w:style>
  <w:style w:type="table" w:customStyle="1" w:styleId="TableGrid2">
    <w:name w:val="Table Grid2"/>
    <w:basedOn w:val="TableNormal"/>
    <w:next w:val="TableGrid"/>
    <w:uiPriority w:val="39"/>
    <w:rsid w:val="004B5136"/>
    <w:pPr>
      <w:spacing w:before="0"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774">
      <w:bodyDiv w:val="1"/>
      <w:marLeft w:val="0"/>
      <w:marRight w:val="0"/>
      <w:marTop w:val="0"/>
      <w:marBottom w:val="0"/>
      <w:divBdr>
        <w:top w:val="none" w:sz="0" w:space="0" w:color="auto"/>
        <w:left w:val="none" w:sz="0" w:space="0" w:color="auto"/>
        <w:bottom w:val="none" w:sz="0" w:space="0" w:color="auto"/>
        <w:right w:val="none" w:sz="0" w:space="0" w:color="auto"/>
      </w:divBdr>
    </w:div>
    <w:div w:id="37124028">
      <w:bodyDiv w:val="1"/>
      <w:marLeft w:val="0"/>
      <w:marRight w:val="0"/>
      <w:marTop w:val="0"/>
      <w:marBottom w:val="0"/>
      <w:divBdr>
        <w:top w:val="none" w:sz="0" w:space="0" w:color="auto"/>
        <w:left w:val="none" w:sz="0" w:space="0" w:color="auto"/>
        <w:bottom w:val="none" w:sz="0" w:space="0" w:color="auto"/>
        <w:right w:val="none" w:sz="0" w:space="0" w:color="auto"/>
      </w:divBdr>
    </w:div>
    <w:div w:id="41364257">
      <w:bodyDiv w:val="1"/>
      <w:marLeft w:val="0"/>
      <w:marRight w:val="0"/>
      <w:marTop w:val="0"/>
      <w:marBottom w:val="0"/>
      <w:divBdr>
        <w:top w:val="none" w:sz="0" w:space="0" w:color="auto"/>
        <w:left w:val="none" w:sz="0" w:space="0" w:color="auto"/>
        <w:bottom w:val="none" w:sz="0" w:space="0" w:color="auto"/>
        <w:right w:val="none" w:sz="0" w:space="0" w:color="auto"/>
      </w:divBdr>
    </w:div>
    <w:div w:id="100880290">
      <w:bodyDiv w:val="1"/>
      <w:marLeft w:val="0"/>
      <w:marRight w:val="0"/>
      <w:marTop w:val="0"/>
      <w:marBottom w:val="0"/>
      <w:divBdr>
        <w:top w:val="none" w:sz="0" w:space="0" w:color="auto"/>
        <w:left w:val="none" w:sz="0" w:space="0" w:color="auto"/>
        <w:bottom w:val="none" w:sz="0" w:space="0" w:color="auto"/>
        <w:right w:val="none" w:sz="0" w:space="0" w:color="auto"/>
      </w:divBdr>
    </w:div>
    <w:div w:id="238053394">
      <w:bodyDiv w:val="1"/>
      <w:marLeft w:val="0"/>
      <w:marRight w:val="0"/>
      <w:marTop w:val="0"/>
      <w:marBottom w:val="0"/>
      <w:divBdr>
        <w:top w:val="none" w:sz="0" w:space="0" w:color="auto"/>
        <w:left w:val="none" w:sz="0" w:space="0" w:color="auto"/>
        <w:bottom w:val="none" w:sz="0" w:space="0" w:color="auto"/>
        <w:right w:val="none" w:sz="0" w:space="0" w:color="auto"/>
      </w:divBdr>
    </w:div>
    <w:div w:id="274677009">
      <w:bodyDiv w:val="1"/>
      <w:marLeft w:val="0"/>
      <w:marRight w:val="0"/>
      <w:marTop w:val="0"/>
      <w:marBottom w:val="0"/>
      <w:divBdr>
        <w:top w:val="none" w:sz="0" w:space="0" w:color="auto"/>
        <w:left w:val="none" w:sz="0" w:space="0" w:color="auto"/>
        <w:bottom w:val="none" w:sz="0" w:space="0" w:color="auto"/>
        <w:right w:val="none" w:sz="0" w:space="0" w:color="auto"/>
      </w:divBdr>
    </w:div>
    <w:div w:id="323895842">
      <w:bodyDiv w:val="1"/>
      <w:marLeft w:val="0"/>
      <w:marRight w:val="0"/>
      <w:marTop w:val="0"/>
      <w:marBottom w:val="0"/>
      <w:divBdr>
        <w:top w:val="none" w:sz="0" w:space="0" w:color="auto"/>
        <w:left w:val="none" w:sz="0" w:space="0" w:color="auto"/>
        <w:bottom w:val="none" w:sz="0" w:space="0" w:color="auto"/>
        <w:right w:val="none" w:sz="0" w:space="0" w:color="auto"/>
      </w:divBdr>
    </w:div>
    <w:div w:id="402068354">
      <w:bodyDiv w:val="1"/>
      <w:marLeft w:val="0"/>
      <w:marRight w:val="0"/>
      <w:marTop w:val="0"/>
      <w:marBottom w:val="0"/>
      <w:divBdr>
        <w:top w:val="none" w:sz="0" w:space="0" w:color="auto"/>
        <w:left w:val="none" w:sz="0" w:space="0" w:color="auto"/>
        <w:bottom w:val="none" w:sz="0" w:space="0" w:color="auto"/>
        <w:right w:val="none" w:sz="0" w:space="0" w:color="auto"/>
      </w:divBdr>
    </w:div>
    <w:div w:id="415178414">
      <w:bodyDiv w:val="1"/>
      <w:marLeft w:val="0"/>
      <w:marRight w:val="0"/>
      <w:marTop w:val="0"/>
      <w:marBottom w:val="0"/>
      <w:divBdr>
        <w:top w:val="none" w:sz="0" w:space="0" w:color="auto"/>
        <w:left w:val="none" w:sz="0" w:space="0" w:color="auto"/>
        <w:bottom w:val="none" w:sz="0" w:space="0" w:color="auto"/>
        <w:right w:val="none" w:sz="0" w:space="0" w:color="auto"/>
      </w:divBdr>
    </w:div>
    <w:div w:id="460148672">
      <w:bodyDiv w:val="1"/>
      <w:marLeft w:val="0"/>
      <w:marRight w:val="0"/>
      <w:marTop w:val="0"/>
      <w:marBottom w:val="0"/>
      <w:divBdr>
        <w:top w:val="none" w:sz="0" w:space="0" w:color="auto"/>
        <w:left w:val="none" w:sz="0" w:space="0" w:color="auto"/>
        <w:bottom w:val="none" w:sz="0" w:space="0" w:color="auto"/>
        <w:right w:val="none" w:sz="0" w:space="0" w:color="auto"/>
      </w:divBdr>
    </w:div>
    <w:div w:id="477378030">
      <w:bodyDiv w:val="1"/>
      <w:marLeft w:val="0"/>
      <w:marRight w:val="0"/>
      <w:marTop w:val="0"/>
      <w:marBottom w:val="0"/>
      <w:divBdr>
        <w:top w:val="none" w:sz="0" w:space="0" w:color="auto"/>
        <w:left w:val="none" w:sz="0" w:space="0" w:color="auto"/>
        <w:bottom w:val="none" w:sz="0" w:space="0" w:color="auto"/>
        <w:right w:val="none" w:sz="0" w:space="0" w:color="auto"/>
      </w:divBdr>
    </w:div>
    <w:div w:id="485171803">
      <w:bodyDiv w:val="1"/>
      <w:marLeft w:val="0"/>
      <w:marRight w:val="0"/>
      <w:marTop w:val="0"/>
      <w:marBottom w:val="0"/>
      <w:divBdr>
        <w:top w:val="none" w:sz="0" w:space="0" w:color="auto"/>
        <w:left w:val="none" w:sz="0" w:space="0" w:color="auto"/>
        <w:bottom w:val="none" w:sz="0" w:space="0" w:color="auto"/>
        <w:right w:val="none" w:sz="0" w:space="0" w:color="auto"/>
      </w:divBdr>
    </w:div>
    <w:div w:id="513425531">
      <w:bodyDiv w:val="1"/>
      <w:marLeft w:val="0"/>
      <w:marRight w:val="0"/>
      <w:marTop w:val="0"/>
      <w:marBottom w:val="0"/>
      <w:divBdr>
        <w:top w:val="none" w:sz="0" w:space="0" w:color="auto"/>
        <w:left w:val="none" w:sz="0" w:space="0" w:color="auto"/>
        <w:bottom w:val="none" w:sz="0" w:space="0" w:color="auto"/>
        <w:right w:val="none" w:sz="0" w:space="0" w:color="auto"/>
      </w:divBdr>
    </w:div>
    <w:div w:id="578517681">
      <w:bodyDiv w:val="1"/>
      <w:marLeft w:val="0"/>
      <w:marRight w:val="0"/>
      <w:marTop w:val="0"/>
      <w:marBottom w:val="0"/>
      <w:divBdr>
        <w:top w:val="none" w:sz="0" w:space="0" w:color="auto"/>
        <w:left w:val="none" w:sz="0" w:space="0" w:color="auto"/>
        <w:bottom w:val="none" w:sz="0" w:space="0" w:color="auto"/>
        <w:right w:val="none" w:sz="0" w:space="0" w:color="auto"/>
      </w:divBdr>
    </w:div>
    <w:div w:id="584998118">
      <w:bodyDiv w:val="1"/>
      <w:marLeft w:val="0"/>
      <w:marRight w:val="0"/>
      <w:marTop w:val="0"/>
      <w:marBottom w:val="0"/>
      <w:divBdr>
        <w:top w:val="none" w:sz="0" w:space="0" w:color="auto"/>
        <w:left w:val="none" w:sz="0" w:space="0" w:color="auto"/>
        <w:bottom w:val="none" w:sz="0" w:space="0" w:color="auto"/>
        <w:right w:val="none" w:sz="0" w:space="0" w:color="auto"/>
      </w:divBdr>
    </w:div>
    <w:div w:id="592320978">
      <w:bodyDiv w:val="1"/>
      <w:marLeft w:val="0"/>
      <w:marRight w:val="0"/>
      <w:marTop w:val="0"/>
      <w:marBottom w:val="0"/>
      <w:divBdr>
        <w:top w:val="none" w:sz="0" w:space="0" w:color="auto"/>
        <w:left w:val="none" w:sz="0" w:space="0" w:color="auto"/>
        <w:bottom w:val="none" w:sz="0" w:space="0" w:color="auto"/>
        <w:right w:val="none" w:sz="0" w:space="0" w:color="auto"/>
      </w:divBdr>
    </w:div>
    <w:div w:id="625355796">
      <w:bodyDiv w:val="1"/>
      <w:marLeft w:val="0"/>
      <w:marRight w:val="0"/>
      <w:marTop w:val="0"/>
      <w:marBottom w:val="0"/>
      <w:divBdr>
        <w:top w:val="none" w:sz="0" w:space="0" w:color="auto"/>
        <w:left w:val="none" w:sz="0" w:space="0" w:color="auto"/>
        <w:bottom w:val="none" w:sz="0" w:space="0" w:color="auto"/>
        <w:right w:val="none" w:sz="0" w:space="0" w:color="auto"/>
      </w:divBdr>
    </w:div>
    <w:div w:id="630864238">
      <w:bodyDiv w:val="1"/>
      <w:marLeft w:val="0"/>
      <w:marRight w:val="0"/>
      <w:marTop w:val="0"/>
      <w:marBottom w:val="0"/>
      <w:divBdr>
        <w:top w:val="none" w:sz="0" w:space="0" w:color="auto"/>
        <w:left w:val="none" w:sz="0" w:space="0" w:color="auto"/>
        <w:bottom w:val="none" w:sz="0" w:space="0" w:color="auto"/>
        <w:right w:val="none" w:sz="0" w:space="0" w:color="auto"/>
      </w:divBdr>
    </w:div>
    <w:div w:id="720982239">
      <w:bodyDiv w:val="1"/>
      <w:marLeft w:val="0"/>
      <w:marRight w:val="0"/>
      <w:marTop w:val="0"/>
      <w:marBottom w:val="0"/>
      <w:divBdr>
        <w:top w:val="none" w:sz="0" w:space="0" w:color="auto"/>
        <w:left w:val="none" w:sz="0" w:space="0" w:color="auto"/>
        <w:bottom w:val="none" w:sz="0" w:space="0" w:color="auto"/>
        <w:right w:val="none" w:sz="0" w:space="0" w:color="auto"/>
      </w:divBdr>
    </w:div>
    <w:div w:id="792670970">
      <w:bodyDiv w:val="1"/>
      <w:marLeft w:val="0"/>
      <w:marRight w:val="0"/>
      <w:marTop w:val="0"/>
      <w:marBottom w:val="0"/>
      <w:divBdr>
        <w:top w:val="none" w:sz="0" w:space="0" w:color="auto"/>
        <w:left w:val="none" w:sz="0" w:space="0" w:color="auto"/>
        <w:bottom w:val="none" w:sz="0" w:space="0" w:color="auto"/>
        <w:right w:val="none" w:sz="0" w:space="0" w:color="auto"/>
      </w:divBdr>
    </w:div>
    <w:div w:id="825900407">
      <w:bodyDiv w:val="1"/>
      <w:marLeft w:val="0"/>
      <w:marRight w:val="0"/>
      <w:marTop w:val="0"/>
      <w:marBottom w:val="0"/>
      <w:divBdr>
        <w:top w:val="none" w:sz="0" w:space="0" w:color="auto"/>
        <w:left w:val="none" w:sz="0" w:space="0" w:color="auto"/>
        <w:bottom w:val="none" w:sz="0" w:space="0" w:color="auto"/>
        <w:right w:val="none" w:sz="0" w:space="0" w:color="auto"/>
      </w:divBdr>
    </w:div>
    <w:div w:id="903950583">
      <w:bodyDiv w:val="1"/>
      <w:marLeft w:val="0"/>
      <w:marRight w:val="0"/>
      <w:marTop w:val="0"/>
      <w:marBottom w:val="0"/>
      <w:divBdr>
        <w:top w:val="none" w:sz="0" w:space="0" w:color="auto"/>
        <w:left w:val="none" w:sz="0" w:space="0" w:color="auto"/>
        <w:bottom w:val="none" w:sz="0" w:space="0" w:color="auto"/>
        <w:right w:val="none" w:sz="0" w:space="0" w:color="auto"/>
      </w:divBdr>
    </w:div>
    <w:div w:id="916131922">
      <w:bodyDiv w:val="1"/>
      <w:marLeft w:val="0"/>
      <w:marRight w:val="0"/>
      <w:marTop w:val="0"/>
      <w:marBottom w:val="0"/>
      <w:divBdr>
        <w:top w:val="none" w:sz="0" w:space="0" w:color="auto"/>
        <w:left w:val="none" w:sz="0" w:space="0" w:color="auto"/>
        <w:bottom w:val="none" w:sz="0" w:space="0" w:color="auto"/>
        <w:right w:val="none" w:sz="0" w:space="0" w:color="auto"/>
      </w:divBdr>
    </w:div>
    <w:div w:id="931008355">
      <w:bodyDiv w:val="1"/>
      <w:marLeft w:val="0"/>
      <w:marRight w:val="0"/>
      <w:marTop w:val="0"/>
      <w:marBottom w:val="0"/>
      <w:divBdr>
        <w:top w:val="none" w:sz="0" w:space="0" w:color="auto"/>
        <w:left w:val="none" w:sz="0" w:space="0" w:color="auto"/>
        <w:bottom w:val="none" w:sz="0" w:space="0" w:color="auto"/>
        <w:right w:val="none" w:sz="0" w:space="0" w:color="auto"/>
      </w:divBdr>
    </w:div>
    <w:div w:id="937102005">
      <w:bodyDiv w:val="1"/>
      <w:marLeft w:val="0"/>
      <w:marRight w:val="0"/>
      <w:marTop w:val="0"/>
      <w:marBottom w:val="0"/>
      <w:divBdr>
        <w:top w:val="none" w:sz="0" w:space="0" w:color="auto"/>
        <w:left w:val="none" w:sz="0" w:space="0" w:color="auto"/>
        <w:bottom w:val="none" w:sz="0" w:space="0" w:color="auto"/>
        <w:right w:val="none" w:sz="0" w:space="0" w:color="auto"/>
      </w:divBdr>
    </w:div>
    <w:div w:id="960576702">
      <w:bodyDiv w:val="1"/>
      <w:marLeft w:val="0"/>
      <w:marRight w:val="0"/>
      <w:marTop w:val="0"/>
      <w:marBottom w:val="0"/>
      <w:divBdr>
        <w:top w:val="none" w:sz="0" w:space="0" w:color="auto"/>
        <w:left w:val="none" w:sz="0" w:space="0" w:color="auto"/>
        <w:bottom w:val="none" w:sz="0" w:space="0" w:color="auto"/>
        <w:right w:val="none" w:sz="0" w:space="0" w:color="auto"/>
      </w:divBdr>
    </w:div>
    <w:div w:id="971713123">
      <w:bodyDiv w:val="1"/>
      <w:marLeft w:val="0"/>
      <w:marRight w:val="0"/>
      <w:marTop w:val="0"/>
      <w:marBottom w:val="0"/>
      <w:divBdr>
        <w:top w:val="none" w:sz="0" w:space="0" w:color="auto"/>
        <w:left w:val="none" w:sz="0" w:space="0" w:color="auto"/>
        <w:bottom w:val="none" w:sz="0" w:space="0" w:color="auto"/>
        <w:right w:val="none" w:sz="0" w:space="0" w:color="auto"/>
      </w:divBdr>
    </w:div>
    <w:div w:id="979185373">
      <w:bodyDiv w:val="1"/>
      <w:marLeft w:val="0"/>
      <w:marRight w:val="0"/>
      <w:marTop w:val="0"/>
      <w:marBottom w:val="0"/>
      <w:divBdr>
        <w:top w:val="none" w:sz="0" w:space="0" w:color="auto"/>
        <w:left w:val="none" w:sz="0" w:space="0" w:color="auto"/>
        <w:bottom w:val="none" w:sz="0" w:space="0" w:color="auto"/>
        <w:right w:val="none" w:sz="0" w:space="0" w:color="auto"/>
      </w:divBdr>
    </w:div>
    <w:div w:id="993725385">
      <w:bodyDiv w:val="1"/>
      <w:marLeft w:val="0"/>
      <w:marRight w:val="0"/>
      <w:marTop w:val="0"/>
      <w:marBottom w:val="0"/>
      <w:divBdr>
        <w:top w:val="none" w:sz="0" w:space="0" w:color="auto"/>
        <w:left w:val="none" w:sz="0" w:space="0" w:color="auto"/>
        <w:bottom w:val="none" w:sz="0" w:space="0" w:color="auto"/>
        <w:right w:val="none" w:sz="0" w:space="0" w:color="auto"/>
      </w:divBdr>
    </w:div>
    <w:div w:id="1002975939">
      <w:bodyDiv w:val="1"/>
      <w:marLeft w:val="0"/>
      <w:marRight w:val="0"/>
      <w:marTop w:val="0"/>
      <w:marBottom w:val="0"/>
      <w:divBdr>
        <w:top w:val="none" w:sz="0" w:space="0" w:color="auto"/>
        <w:left w:val="none" w:sz="0" w:space="0" w:color="auto"/>
        <w:bottom w:val="none" w:sz="0" w:space="0" w:color="auto"/>
        <w:right w:val="none" w:sz="0" w:space="0" w:color="auto"/>
      </w:divBdr>
    </w:div>
    <w:div w:id="1073157612">
      <w:bodyDiv w:val="1"/>
      <w:marLeft w:val="0"/>
      <w:marRight w:val="0"/>
      <w:marTop w:val="0"/>
      <w:marBottom w:val="0"/>
      <w:divBdr>
        <w:top w:val="none" w:sz="0" w:space="0" w:color="auto"/>
        <w:left w:val="none" w:sz="0" w:space="0" w:color="auto"/>
        <w:bottom w:val="none" w:sz="0" w:space="0" w:color="auto"/>
        <w:right w:val="none" w:sz="0" w:space="0" w:color="auto"/>
      </w:divBdr>
    </w:div>
    <w:div w:id="1086264006">
      <w:bodyDiv w:val="1"/>
      <w:marLeft w:val="0"/>
      <w:marRight w:val="0"/>
      <w:marTop w:val="0"/>
      <w:marBottom w:val="0"/>
      <w:divBdr>
        <w:top w:val="none" w:sz="0" w:space="0" w:color="auto"/>
        <w:left w:val="none" w:sz="0" w:space="0" w:color="auto"/>
        <w:bottom w:val="none" w:sz="0" w:space="0" w:color="auto"/>
        <w:right w:val="none" w:sz="0" w:space="0" w:color="auto"/>
      </w:divBdr>
    </w:div>
    <w:div w:id="1094594137">
      <w:bodyDiv w:val="1"/>
      <w:marLeft w:val="0"/>
      <w:marRight w:val="0"/>
      <w:marTop w:val="0"/>
      <w:marBottom w:val="0"/>
      <w:divBdr>
        <w:top w:val="none" w:sz="0" w:space="0" w:color="auto"/>
        <w:left w:val="none" w:sz="0" w:space="0" w:color="auto"/>
        <w:bottom w:val="none" w:sz="0" w:space="0" w:color="auto"/>
        <w:right w:val="none" w:sz="0" w:space="0" w:color="auto"/>
      </w:divBdr>
    </w:div>
    <w:div w:id="1107502495">
      <w:bodyDiv w:val="1"/>
      <w:marLeft w:val="0"/>
      <w:marRight w:val="0"/>
      <w:marTop w:val="0"/>
      <w:marBottom w:val="0"/>
      <w:divBdr>
        <w:top w:val="none" w:sz="0" w:space="0" w:color="auto"/>
        <w:left w:val="none" w:sz="0" w:space="0" w:color="auto"/>
        <w:bottom w:val="none" w:sz="0" w:space="0" w:color="auto"/>
        <w:right w:val="none" w:sz="0" w:space="0" w:color="auto"/>
      </w:divBdr>
    </w:div>
    <w:div w:id="1179155809">
      <w:bodyDiv w:val="1"/>
      <w:marLeft w:val="0"/>
      <w:marRight w:val="0"/>
      <w:marTop w:val="0"/>
      <w:marBottom w:val="0"/>
      <w:divBdr>
        <w:top w:val="none" w:sz="0" w:space="0" w:color="auto"/>
        <w:left w:val="none" w:sz="0" w:space="0" w:color="auto"/>
        <w:bottom w:val="none" w:sz="0" w:space="0" w:color="auto"/>
        <w:right w:val="none" w:sz="0" w:space="0" w:color="auto"/>
      </w:divBdr>
    </w:div>
    <w:div w:id="1183933153">
      <w:bodyDiv w:val="1"/>
      <w:marLeft w:val="0"/>
      <w:marRight w:val="0"/>
      <w:marTop w:val="0"/>
      <w:marBottom w:val="0"/>
      <w:divBdr>
        <w:top w:val="none" w:sz="0" w:space="0" w:color="auto"/>
        <w:left w:val="none" w:sz="0" w:space="0" w:color="auto"/>
        <w:bottom w:val="none" w:sz="0" w:space="0" w:color="auto"/>
        <w:right w:val="none" w:sz="0" w:space="0" w:color="auto"/>
      </w:divBdr>
    </w:div>
    <w:div w:id="1243294195">
      <w:bodyDiv w:val="1"/>
      <w:marLeft w:val="0"/>
      <w:marRight w:val="0"/>
      <w:marTop w:val="0"/>
      <w:marBottom w:val="0"/>
      <w:divBdr>
        <w:top w:val="none" w:sz="0" w:space="0" w:color="auto"/>
        <w:left w:val="none" w:sz="0" w:space="0" w:color="auto"/>
        <w:bottom w:val="none" w:sz="0" w:space="0" w:color="auto"/>
        <w:right w:val="none" w:sz="0" w:space="0" w:color="auto"/>
      </w:divBdr>
    </w:div>
    <w:div w:id="1266039476">
      <w:bodyDiv w:val="1"/>
      <w:marLeft w:val="0"/>
      <w:marRight w:val="0"/>
      <w:marTop w:val="0"/>
      <w:marBottom w:val="0"/>
      <w:divBdr>
        <w:top w:val="none" w:sz="0" w:space="0" w:color="auto"/>
        <w:left w:val="none" w:sz="0" w:space="0" w:color="auto"/>
        <w:bottom w:val="none" w:sz="0" w:space="0" w:color="auto"/>
        <w:right w:val="none" w:sz="0" w:space="0" w:color="auto"/>
      </w:divBdr>
    </w:div>
    <w:div w:id="1292981166">
      <w:bodyDiv w:val="1"/>
      <w:marLeft w:val="0"/>
      <w:marRight w:val="0"/>
      <w:marTop w:val="0"/>
      <w:marBottom w:val="0"/>
      <w:divBdr>
        <w:top w:val="none" w:sz="0" w:space="0" w:color="auto"/>
        <w:left w:val="none" w:sz="0" w:space="0" w:color="auto"/>
        <w:bottom w:val="none" w:sz="0" w:space="0" w:color="auto"/>
        <w:right w:val="none" w:sz="0" w:space="0" w:color="auto"/>
      </w:divBdr>
    </w:div>
    <w:div w:id="1359159690">
      <w:bodyDiv w:val="1"/>
      <w:marLeft w:val="0"/>
      <w:marRight w:val="0"/>
      <w:marTop w:val="0"/>
      <w:marBottom w:val="0"/>
      <w:divBdr>
        <w:top w:val="none" w:sz="0" w:space="0" w:color="auto"/>
        <w:left w:val="none" w:sz="0" w:space="0" w:color="auto"/>
        <w:bottom w:val="none" w:sz="0" w:space="0" w:color="auto"/>
        <w:right w:val="none" w:sz="0" w:space="0" w:color="auto"/>
      </w:divBdr>
    </w:div>
    <w:div w:id="1432430531">
      <w:bodyDiv w:val="1"/>
      <w:marLeft w:val="0"/>
      <w:marRight w:val="0"/>
      <w:marTop w:val="0"/>
      <w:marBottom w:val="0"/>
      <w:divBdr>
        <w:top w:val="none" w:sz="0" w:space="0" w:color="auto"/>
        <w:left w:val="none" w:sz="0" w:space="0" w:color="auto"/>
        <w:bottom w:val="none" w:sz="0" w:space="0" w:color="auto"/>
        <w:right w:val="none" w:sz="0" w:space="0" w:color="auto"/>
      </w:divBdr>
    </w:div>
    <w:div w:id="1444760860">
      <w:bodyDiv w:val="1"/>
      <w:marLeft w:val="0"/>
      <w:marRight w:val="0"/>
      <w:marTop w:val="0"/>
      <w:marBottom w:val="0"/>
      <w:divBdr>
        <w:top w:val="none" w:sz="0" w:space="0" w:color="auto"/>
        <w:left w:val="none" w:sz="0" w:space="0" w:color="auto"/>
        <w:bottom w:val="none" w:sz="0" w:space="0" w:color="auto"/>
        <w:right w:val="none" w:sz="0" w:space="0" w:color="auto"/>
      </w:divBdr>
    </w:div>
    <w:div w:id="1487745734">
      <w:bodyDiv w:val="1"/>
      <w:marLeft w:val="0"/>
      <w:marRight w:val="0"/>
      <w:marTop w:val="0"/>
      <w:marBottom w:val="0"/>
      <w:divBdr>
        <w:top w:val="none" w:sz="0" w:space="0" w:color="auto"/>
        <w:left w:val="none" w:sz="0" w:space="0" w:color="auto"/>
        <w:bottom w:val="none" w:sz="0" w:space="0" w:color="auto"/>
        <w:right w:val="none" w:sz="0" w:space="0" w:color="auto"/>
      </w:divBdr>
    </w:div>
    <w:div w:id="1562716974">
      <w:bodyDiv w:val="1"/>
      <w:marLeft w:val="0"/>
      <w:marRight w:val="0"/>
      <w:marTop w:val="0"/>
      <w:marBottom w:val="0"/>
      <w:divBdr>
        <w:top w:val="none" w:sz="0" w:space="0" w:color="auto"/>
        <w:left w:val="none" w:sz="0" w:space="0" w:color="auto"/>
        <w:bottom w:val="none" w:sz="0" w:space="0" w:color="auto"/>
        <w:right w:val="none" w:sz="0" w:space="0" w:color="auto"/>
      </w:divBdr>
    </w:div>
    <w:div w:id="1577864803">
      <w:bodyDiv w:val="1"/>
      <w:marLeft w:val="0"/>
      <w:marRight w:val="0"/>
      <w:marTop w:val="0"/>
      <w:marBottom w:val="0"/>
      <w:divBdr>
        <w:top w:val="none" w:sz="0" w:space="0" w:color="auto"/>
        <w:left w:val="none" w:sz="0" w:space="0" w:color="auto"/>
        <w:bottom w:val="none" w:sz="0" w:space="0" w:color="auto"/>
        <w:right w:val="none" w:sz="0" w:space="0" w:color="auto"/>
      </w:divBdr>
    </w:div>
    <w:div w:id="1582644041">
      <w:bodyDiv w:val="1"/>
      <w:marLeft w:val="0"/>
      <w:marRight w:val="0"/>
      <w:marTop w:val="0"/>
      <w:marBottom w:val="0"/>
      <w:divBdr>
        <w:top w:val="none" w:sz="0" w:space="0" w:color="auto"/>
        <w:left w:val="none" w:sz="0" w:space="0" w:color="auto"/>
        <w:bottom w:val="none" w:sz="0" w:space="0" w:color="auto"/>
        <w:right w:val="none" w:sz="0" w:space="0" w:color="auto"/>
      </w:divBdr>
    </w:div>
    <w:div w:id="1683819734">
      <w:bodyDiv w:val="1"/>
      <w:marLeft w:val="0"/>
      <w:marRight w:val="0"/>
      <w:marTop w:val="0"/>
      <w:marBottom w:val="0"/>
      <w:divBdr>
        <w:top w:val="none" w:sz="0" w:space="0" w:color="auto"/>
        <w:left w:val="none" w:sz="0" w:space="0" w:color="auto"/>
        <w:bottom w:val="none" w:sz="0" w:space="0" w:color="auto"/>
        <w:right w:val="none" w:sz="0" w:space="0" w:color="auto"/>
      </w:divBdr>
    </w:div>
    <w:div w:id="1717464425">
      <w:bodyDiv w:val="1"/>
      <w:marLeft w:val="0"/>
      <w:marRight w:val="0"/>
      <w:marTop w:val="0"/>
      <w:marBottom w:val="0"/>
      <w:divBdr>
        <w:top w:val="none" w:sz="0" w:space="0" w:color="auto"/>
        <w:left w:val="none" w:sz="0" w:space="0" w:color="auto"/>
        <w:bottom w:val="none" w:sz="0" w:space="0" w:color="auto"/>
        <w:right w:val="none" w:sz="0" w:space="0" w:color="auto"/>
      </w:divBdr>
    </w:div>
    <w:div w:id="1747068195">
      <w:bodyDiv w:val="1"/>
      <w:marLeft w:val="0"/>
      <w:marRight w:val="0"/>
      <w:marTop w:val="0"/>
      <w:marBottom w:val="0"/>
      <w:divBdr>
        <w:top w:val="none" w:sz="0" w:space="0" w:color="auto"/>
        <w:left w:val="none" w:sz="0" w:space="0" w:color="auto"/>
        <w:bottom w:val="none" w:sz="0" w:space="0" w:color="auto"/>
        <w:right w:val="none" w:sz="0" w:space="0" w:color="auto"/>
      </w:divBdr>
    </w:div>
    <w:div w:id="1763067138">
      <w:bodyDiv w:val="1"/>
      <w:marLeft w:val="0"/>
      <w:marRight w:val="0"/>
      <w:marTop w:val="0"/>
      <w:marBottom w:val="0"/>
      <w:divBdr>
        <w:top w:val="none" w:sz="0" w:space="0" w:color="auto"/>
        <w:left w:val="none" w:sz="0" w:space="0" w:color="auto"/>
        <w:bottom w:val="none" w:sz="0" w:space="0" w:color="auto"/>
        <w:right w:val="none" w:sz="0" w:space="0" w:color="auto"/>
      </w:divBdr>
    </w:div>
    <w:div w:id="1808235564">
      <w:bodyDiv w:val="1"/>
      <w:marLeft w:val="0"/>
      <w:marRight w:val="0"/>
      <w:marTop w:val="0"/>
      <w:marBottom w:val="0"/>
      <w:divBdr>
        <w:top w:val="none" w:sz="0" w:space="0" w:color="auto"/>
        <w:left w:val="none" w:sz="0" w:space="0" w:color="auto"/>
        <w:bottom w:val="none" w:sz="0" w:space="0" w:color="auto"/>
        <w:right w:val="none" w:sz="0" w:space="0" w:color="auto"/>
      </w:divBdr>
    </w:div>
    <w:div w:id="1827432756">
      <w:bodyDiv w:val="1"/>
      <w:marLeft w:val="0"/>
      <w:marRight w:val="0"/>
      <w:marTop w:val="0"/>
      <w:marBottom w:val="0"/>
      <w:divBdr>
        <w:top w:val="none" w:sz="0" w:space="0" w:color="auto"/>
        <w:left w:val="none" w:sz="0" w:space="0" w:color="auto"/>
        <w:bottom w:val="none" w:sz="0" w:space="0" w:color="auto"/>
        <w:right w:val="none" w:sz="0" w:space="0" w:color="auto"/>
      </w:divBdr>
    </w:div>
    <w:div w:id="1833254775">
      <w:bodyDiv w:val="1"/>
      <w:marLeft w:val="0"/>
      <w:marRight w:val="0"/>
      <w:marTop w:val="0"/>
      <w:marBottom w:val="0"/>
      <w:divBdr>
        <w:top w:val="none" w:sz="0" w:space="0" w:color="auto"/>
        <w:left w:val="none" w:sz="0" w:space="0" w:color="auto"/>
        <w:bottom w:val="none" w:sz="0" w:space="0" w:color="auto"/>
        <w:right w:val="none" w:sz="0" w:space="0" w:color="auto"/>
      </w:divBdr>
    </w:div>
    <w:div w:id="1927228714">
      <w:bodyDiv w:val="1"/>
      <w:marLeft w:val="0"/>
      <w:marRight w:val="0"/>
      <w:marTop w:val="0"/>
      <w:marBottom w:val="0"/>
      <w:divBdr>
        <w:top w:val="none" w:sz="0" w:space="0" w:color="auto"/>
        <w:left w:val="none" w:sz="0" w:space="0" w:color="auto"/>
        <w:bottom w:val="none" w:sz="0" w:space="0" w:color="auto"/>
        <w:right w:val="none" w:sz="0" w:space="0" w:color="auto"/>
      </w:divBdr>
    </w:div>
    <w:div w:id="1933464918">
      <w:bodyDiv w:val="1"/>
      <w:marLeft w:val="0"/>
      <w:marRight w:val="0"/>
      <w:marTop w:val="0"/>
      <w:marBottom w:val="0"/>
      <w:divBdr>
        <w:top w:val="none" w:sz="0" w:space="0" w:color="auto"/>
        <w:left w:val="none" w:sz="0" w:space="0" w:color="auto"/>
        <w:bottom w:val="none" w:sz="0" w:space="0" w:color="auto"/>
        <w:right w:val="none" w:sz="0" w:space="0" w:color="auto"/>
      </w:divBdr>
    </w:div>
    <w:div w:id="1988119441">
      <w:bodyDiv w:val="1"/>
      <w:marLeft w:val="0"/>
      <w:marRight w:val="0"/>
      <w:marTop w:val="0"/>
      <w:marBottom w:val="0"/>
      <w:divBdr>
        <w:top w:val="none" w:sz="0" w:space="0" w:color="auto"/>
        <w:left w:val="none" w:sz="0" w:space="0" w:color="auto"/>
        <w:bottom w:val="none" w:sz="0" w:space="0" w:color="auto"/>
        <w:right w:val="none" w:sz="0" w:space="0" w:color="auto"/>
      </w:divBdr>
    </w:div>
    <w:div w:id="2042054457">
      <w:bodyDiv w:val="1"/>
      <w:marLeft w:val="0"/>
      <w:marRight w:val="0"/>
      <w:marTop w:val="0"/>
      <w:marBottom w:val="0"/>
      <w:divBdr>
        <w:top w:val="none" w:sz="0" w:space="0" w:color="auto"/>
        <w:left w:val="none" w:sz="0" w:space="0" w:color="auto"/>
        <w:bottom w:val="none" w:sz="0" w:space="0" w:color="auto"/>
        <w:right w:val="none" w:sz="0" w:space="0" w:color="auto"/>
      </w:divBdr>
    </w:div>
    <w:div w:id="2082216086">
      <w:bodyDiv w:val="1"/>
      <w:marLeft w:val="0"/>
      <w:marRight w:val="0"/>
      <w:marTop w:val="0"/>
      <w:marBottom w:val="0"/>
      <w:divBdr>
        <w:top w:val="none" w:sz="0" w:space="0" w:color="auto"/>
        <w:left w:val="none" w:sz="0" w:space="0" w:color="auto"/>
        <w:bottom w:val="none" w:sz="0" w:space="0" w:color="auto"/>
        <w:right w:val="none" w:sz="0" w:space="0" w:color="auto"/>
      </w:divBdr>
    </w:div>
    <w:div w:id="20908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m.gov.lv/lv/nozares_politika/buvnieciba/statistika__petijumi/" TargetMode="External"/><Relationship Id="rId1" Type="http://schemas.openxmlformats.org/officeDocument/2006/relationships/hyperlink" Target="https://latvijasbuvnieki.lv/enu-ekonomika-buvnieciba-mazinas-pozitivas-tendences-saglabasanai-nepieciesams-prognozejams-pasutijuma-apjom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'EDLUS parb skaits_1 att_1 tab'!$A$2</c:f>
              <c:strCache>
                <c:ptCount val="1"/>
                <c:pt idx="0">
                  <c:v>Kontroles pasākumu kopskaits būvuzņēmējiem</c:v>
                </c:pt>
              </c:strCache>
            </c:strRef>
          </c:tx>
          <c:spPr>
            <a:solidFill>
              <a:schemeClr val="accent5">
                <a:tint val="77000"/>
              </a:schemeClr>
            </a:solidFill>
            <a:ln>
              <a:noFill/>
            </a:ln>
            <a:effectLst/>
          </c:spPr>
          <c:invertIfNegative val="0"/>
          <c:cat>
            <c:strRef>
              <c:f>'EDLUS parb skaits_1 att_1 tab'!$B$1:$D$1</c:f>
              <c:strCache>
                <c:ptCount val="3"/>
                <c:pt idx="0">
                  <c:v>2017.gads</c:v>
                </c:pt>
                <c:pt idx="1">
                  <c:v>2018.gads</c:v>
                </c:pt>
                <c:pt idx="2">
                  <c:v>2019.gads</c:v>
                </c:pt>
              </c:strCache>
            </c:strRef>
          </c:cat>
          <c:val>
            <c:numRef>
              <c:f>'EDLUS parb skaits_1 att_1 tab'!$B$2:$D$2</c:f>
              <c:numCache>
                <c:formatCode>General</c:formatCode>
                <c:ptCount val="3"/>
                <c:pt idx="0">
                  <c:v>824</c:v>
                </c:pt>
                <c:pt idx="1">
                  <c:v>1080</c:v>
                </c:pt>
                <c:pt idx="2">
                  <c:v>988</c:v>
                </c:pt>
              </c:numCache>
            </c:numRef>
          </c:val>
          <c:extLst>
            <c:ext xmlns:c16="http://schemas.microsoft.com/office/drawing/2014/chart" uri="{C3380CC4-5D6E-409C-BE32-E72D297353CC}">
              <c16:uniqueId val="{00000000-F832-49E4-AA54-BE629EF35191}"/>
            </c:ext>
          </c:extLst>
        </c:ser>
        <c:dLbls>
          <c:showLegendKey val="0"/>
          <c:showVal val="0"/>
          <c:showCatName val="0"/>
          <c:showSerName val="0"/>
          <c:showPercent val="0"/>
          <c:showBubbleSize val="0"/>
        </c:dLbls>
        <c:gapWidth val="150"/>
        <c:axId val="285740416"/>
        <c:axId val="285742208"/>
      </c:barChart>
      <c:lineChart>
        <c:grouping val="standard"/>
        <c:varyColors val="0"/>
        <c:ser>
          <c:idx val="1"/>
          <c:order val="1"/>
          <c:tx>
            <c:strRef>
              <c:f>'EDLUS parb skaits_1 att_1 tab'!$A$3</c:f>
              <c:strCache>
                <c:ptCount val="1"/>
                <c:pt idx="0">
                  <c:v>Kontroles pasākumu skaits EDLU uzraudzībai</c:v>
                </c:pt>
              </c:strCache>
            </c:strRef>
          </c:tx>
          <c:spPr>
            <a:ln w="28575" cap="rnd">
              <a:solidFill>
                <a:schemeClr val="accent5">
                  <a:shade val="76000"/>
                </a:schemeClr>
              </a:solidFill>
              <a:round/>
            </a:ln>
            <a:effectLst/>
          </c:spPr>
          <c:marker>
            <c:symbol val="none"/>
          </c:marker>
          <c:cat>
            <c:strRef>
              <c:f>'EDLUS parb skaits_1 att_1 tab'!$B$1:$D$1</c:f>
              <c:strCache>
                <c:ptCount val="3"/>
                <c:pt idx="0">
                  <c:v>2017.gads</c:v>
                </c:pt>
                <c:pt idx="1">
                  <c:v>2018.gads</c:v>
                </c:pt>
                <c:pt idx="2">
                  <c:v>2019.gads</c:v>
                </c:pt>
              </c:strCache>
            </c:strRef>
          </c:cat>
          <c:val>
            <c:numRef>
              <c:f>'EDLUS parb skaits_1 att_1 tab'!$B$3:$D$3</c:f>
              <c:numCache>
                <c:formatCode>General</c:formatCode>
                <c:ptCount val="3"/>
                <c:pt idx="0">
                  <c:v>204</c:v>
                </c:pt>
                <c:pt idx="1">
                  <c:v>667</c:v>
                </c:pt>
                <c:pt idx="2">
                  <c:v>837</c:v>
                </c:pt>
              </c:numCache>
            </c:numRef>
          </c:val>
          <c:smooth val="0"/>
          <c:extLst>
            <c:ext xmlns:c16="http://schemas.microsoft.com/office/drawing/2014/chart" uri="{C3380CC4-5D6E-409C-BE32-E72D297353CC}">
              <c16:uniqueId val="{00000001-F832-49E4-AA54-BE629EF35191}"/>
            </c:ext>
          </c:extLst>
        </c:ser>
        <c:dLbls>
          <c:showLegendKey val="0"/>
          <c:showVal val="0"/>
          <c:showCatName val="0"/>
          <c:showSerName val="0"/>
          <c:showPercent val="0"/>
          <c:showBubbleSize val="0"/>
        </c:dLbls>
        <c:marker val="1"/>
        <c:smooth val="0"/>
        <c:axId val="285740416"/>
        <c:axId val="285742208"/>
      </c:lineChart>
      <c:catAx>
        <c:axId val="28574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85742208"/>
        <c:crosses val="autoZero"/>
        <c:auto val="1"/>
        <c:lblAlgn val="ctr"/>
        <c:lblOffset val="100"/>
        <c:noMultiLvlLbl val="0"/>
      </c:catAx>
      <c:valAx>
        <c:axId val="285742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t>kontroles pasākumu</a:t>
                </a:r>
              </a:p>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t> skaits</a:t>
                </a:r>
              </a:p>
            </c:rich>
          </c:tx>
          <c:layout>
            <c:manualLayout>
              <c:xMode val="edge"/>
              <c:yMode val="edge"/>
              <c:x val="0.17469208736808783"/>
              <c:y val="3.8278570416864145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857404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'EDLUS_LAPK_4 tab'!$B$26</c:f>
              <c:strCache>
                <c:ptCount val="1"/>
                <c:pt idx="0">
                  <c:v>2018.gads</c:v>
                </c:pt>
              </c:strCache>
            </c:strRef>
          </c:tx>
          <c:spPr>
            <a:solidFill>
              <a:schemeClr val="accent4">
                <a:shade val="76000"/>
              </a:schemeClr>
            </a:solidFill>
            <a:ln>
              <a:noFill/>
            </a:ln>
            <a:effectLst/>
          </c:spPr>
          <c:invertIfNegative val="0"/>
          <c:cat>
            <c:strRef>
              <c:f>'EDLUS_LAPK_4 tab'!$A$27:$A$30</c:f>
              <c:strCache>
                <c:ptCount val="4"/>
                <c:pt idx="0">
                  <c:v>būvlaukumu īpatsvars, kuros EDLUS nereģistrētās personas  netika konstatētas</c:v>
                </c:pt>
                <c:pt idx="1">
                  <c:v>būvlaukumu īpatsvars, kuros EDLUS nav reģistrēti no 1% līdz 15% no EDLUS reģistrētajām personām</c:v>
                </c:pt>
                <c:pt idx="2">
                  <c:v>būvlaukumu īpatsvars, kuros EDLUS nav reģistrēti no 16% līdz 30% no EDLUS reģistrētajām personām</c:v>
                </c:pt>
                <c:pt idx="3">
                  <c:v>būvlaukumu īpatsvars, kuros EDLUS nav reģistrēti 30% un vairāk no EDLUS reģistrētajām personām</c:v>
                </c:pt>
              </c:strCache>
            </c:strRef>
          </c:cat>
          <c:val>
            <c:numRef>
              <c:f>'EDLUS_LAPK_4 tab'!$B$27:$B$30</c:f>
              <c:numCache>
                <c:formatCode>0.0%</c:formatCode>
                <c:ptCount val="4"/>
                <c:pt idx="0">
                  <c:v>0.455696202531646</c:v>
                </c:pt>
                <c:pt idx="1">
                  <c:v>0.329113924050633</c:v>
                </c:pt>
                <c:pt idx="2">
                  <c:v>0.113924050632911</c:v>
                </c:pt>
                <c:pt idx="3">
                  <c:v>0.10126582278481</c:v>
                </c:pt>
              </c:numCache>
            </c:numRef>
          </c:val>
          <c:extLst>
            <c:ext xmlns:c16="http://schemas.microsoft.com/office/drawing/2014/chart" uri="{C3380CC4-5D6E-409C-BE32-E72D297353CC}">
              <c16:uniqueId val="{00000000-89ED-434D-86B8-B265659F6936}"/>
            </c:ext>
          </c:extLst>
        </c:ser>
        <c:ser>
          <c:idx val="1"/>
          <c:order val="1"/>
          <c:tx>
            <c:strRef>
              <c:f>'EDLUS_LAPK_4 tab'!$C$26</c:f>
              <c:strCache>
                <c:ptCount val="1"/>
                <c:pt idx="0">
                  <c:v>2019.gads</c:v>
                </c:pt>
              </c:strCache>
            </c:strRef>
          </c:tx>
          <c:spPr>
            <a:solidFill>
              <a:schemeClr val="accent4">
                <a:tint val="77000"/>
              </a:schemeClr>
            </a:solidFill>
            <a:ln>
              <a:noFill/>
            </a:ln>
            <a:effectLst/>
          </c:spPr>
          <c:invertIfNegative val="0"/>
          <c:cat>
            <c:strRef>
              <c:f>'EDLUS_LAPK_4 tab'!$A$27:$A$30</c:f>
              <c:strCache>
                <c:ptCount val="4"/>
                <c:pt idx="0">
                  <c:v>būvlaukumu īpatsvars, kuros EDLUS nereģistrētās personas  netika konstatētas</c:v>
                </c:pt>
                <c:pt idx="1">
                  <c:v>būvlaukumu īpatsvars, kuros EDLUS nav reģistrēti no 1% līdz 15% no EDLUS reģistrētajām personām</c:v>
                </c:pt>
                <c:pt idx="2">
                  <c:v>būvlaukumu īpatsvars, kuros EDLUS nav reģistrēti no 16% līdz 30% no EDLUS reģistrētajām personām</c:v>
                </c:pt>
                <c:pt idx="3">
                  <c:v>būvlaukumu īpatsvars, kuros EDLUS nav reģistrēti 30% un vairāk no EDLUS reģistrētajām personām</c:v>
                </c:pt>
              </c:strCache>
            </c:strRef>
          </c:cat>
          <c:val>
            <c:numRef>
              <c:f>'EDLUS_LAPK_4 tab'!$C$27:$C$30</c:f>
              <c:numCache>
                <c:formatCode>0.0%</c:formatCode>
                <c:ptCount val="4"/>
                <c:pt idx="0">
                  <c:v>0.41111111111109999</c:v>
                </c:pt>
                <c:pt idx="1">
                  <c:v>0.37777777777779997</c:v>
                </c:pt>
                <c:pt idx="2">
                  <c:v>0.1111111111111</c:v>
                </c:pt>
                <c:pt idx="3">
                  <c:v>0.1</c:v>
                </c:pt>
              </c:numCache>
            </c:numRef>
          </c:val>
          <c:extLst>
            <c:ext xmlns:c16="http://schemas.microsoft.com/office/drawing/2014/chart" uri="{C3380CC4-5D6E-409C-BE32-E72D297353CC}">
              <c16:uniqueId val="{00000001-89ED-434D-86B8-B265659F6936}"/>
            </c:ext>
          </c:extLst>
        </c:ser>
        <c:dLbls>
          <c:showLegendKey val="0"/>
          <c:showVal val="0"/>
          <c:showCatName val="0"/>
          <c:showSerName val="0"/>
          <c:showPercent val="0"/>
          <c:showBubbleSize val="0"/>
        </c:dLbls>
        <c:gapWidth val="150"/>
        <c:axId val="285700480"/>
        <c:axId val="285702016"/>
      </c:barChart>
      <c:catAx>
        <c:axId val="28570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85702016"/>
        <c:crosses val="autoZero"/>
        <c:auto val="1"/>
        <c:lblAlgn val="ctr"/>
        <c:lblOffset val="100"/>
        <c:noMultiLvlLbl val="0"/>
      </c:catAx>
      <c:valAx>
        <c:axId val="285702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būvlaukumu īpatsvars</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85700480"/>
        <c:crosses val="autoZero"/>
        <c:crossBetween val="between"/>
        <c:majorUnit val="0.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'Nesniegtas zinas_VID_2_att'!$A$14</c:f>
              <c:strCache>
                <c:ptCount val="1"/>
                <c:pt idx="0">
                  <c:v>Nodarbinātās personas, par kurām ziņas par darba uzsākšanu nav sniegtas,%</c:v>
                </c:pt>
              </c:strCache>
            </c:strRef>
          </c:tx>
          <c:spPr>
            <a:solidFill>
              <a:schemeClr val="accent5">
                <a:shade val="65000"/>
              </a:schemeClr>
            </a:solidFill>
            <a:ln>
              <a:noFill/>
            </a:ln>
            <a:effectLst/>
          </c:spPr>
          <c:invertIfNegative val="0"/>
          <c:cat>
            <c:strRef>
              <c:f>'Nesniegtas zinas_VID_2_att'!$B$13:$I$13</c:f>
              <c:strCache>
                <c:ptCount val="8"/>
                <c:pt idx="0">
                  <c:v>2018 1.cet.</c:v>
                </c:pt>
                <c:pt idx="1">
                  <c:v>2018 2.cet.</c:v>
                </c:pt>
                <c:pt idx="2">
                  <c:v>2018 3.cet.</c:v>
                </c:pt>
                <c:pt idx="3">
                  <c:v>2018 4.cet.</c:v>
                </c:pt>
                <c:pt idx="4">
                  <c:v>2019 1.cet.</c:v>
                </c:pt>
                <c:pt idx="5">
                  <c:v>2019 2.cet.</c:v>
                </c:pt>
                <c:pt idx="6">
                  <c:v>2019 3.cet.</c:v>
                </c:pt>
                <c:pt idx="7">
                  <c:v>2019 4.cet.</c:v>
                </c:pt>
              </c:strCache>
            </c:strRef>
          </c:cat>
          <c:val>
            <c:numRef>
              <c:f>'Nesniegtas zinas_VID_2_att'!$B$14:$I$14</c:f>
              <c:numCache>
                <c:formatCode>0.00%</c:formatCode>
                <c:ptCount val="8"/>
                <c:pt idx="0">
                  <c:v>1.1210762331838564E-2</c:v>
                </c:pt>
                <c:pt idx="1">
                  <c:v>1.1235955056179775E-2</c:v>
                </c:pt>
                <c:pt idx="2">
                  <c:v>1.9548872180451128E-2</c:v>
                </c:pt>
                <c:pt idx="3">
                  <c:v>4.8899755501222494E-3</c:v>
                </c:pt>
                <c:pt idx="4">
                  <c:v>4.5454545454545452E-3</c:v>
                </c:pt>
                <c:pt idx="5">
                  <c:v>1.3201320132013201E-2</c:v>
                </c:pt>
                <c:pt idx="6">
                  <c:v>4.11522633744856E-3</c:v>
                </c:pt>
                <c:pt idx="7">
                  <c:v>1.7793594306049821E-3</c:v>
                </c:pt>
              </c:numCache>
            </c:numRef>
          </c:val>
          <c:extLst>
            <c:ext xmlns:c16="http://schemas.microsoft.com/office/drawing/2014/chart" uri="{C3380CC4-5D6E-409C-BE32-E72D297353CC}">
              <c16:uniqueId val="{00000000-A499-4B4B-BFFC-7940C1F92C61}"/>
            </c:ext>
          </c:extLst>
        </c:ser>
        <c:ser>
          <c:idx val="1"/>
          <c:order val="1"/>
          <c:tx>
            <c:strRef>
              <c:f>'Nesniegtas zinas_VID_2_att'!$A$15</c:f>
              <c:strCache>
                <c:ptCount val="1"/>
                <c:pt idx="0">
                  <c:v>Nodarbinātās personas, par kurām nav savlaicigi sniegtas ziņas par darba uzsākšanu,%</c:v>
                </c:pt>
              </c:strCache>
            </c:strRef>
          </c:tx>
          <c:spPr>
            <a:solidFill>
              <a:schemeClr val="accent5"/>
            </a:solidFill>
            <a:ln>
              <a:noFill/>
            </a:ln>
            <a:effectLst/>
          </c:spPr>
          <c:invertIfNegative val="0"/>
          <c:cat>
            <c:strRef>
              <c:f>'Nesniegtas zinas_VID_2_att'!$B$13:$I$13</c:f>
              <c:strCache>
                <c:ptCount val="8"/>
                <c:pt idx="0">
                  <c:v>2018 1.cet.</c:v>
                </c:pt>
                <c:pt idx="1">
                  <c:v>2018 2.cet.</c:v>
                </c:pt>
                <c:pt idx="2">
                  <c:v>2018 3.cet.</c:v>
                </c:pt>
                <c:pt idx="3">
                  <c:v>2018 4.cet.</c:v>
                </c:pt>
                <c:pt idx="4">
                  <c:v>2019 1.cet.</c:v>
                </c:pt>
                <c:pt idx="5">
                  <c:v>2019 2.cet.</c:v>
                </c:pt>
                <c:pt idx="6">
                  <c:v>2019 3.cet.</c:v>
                </c:pt>
                <c:pt idx="7">
                  <c:v>2019 4.cet.</c:v>
                </c:pt>
              </c:strCache>
            </c:strRef>
          </c:cat>
          <c:val>
            <c:numRef>
              <c:f>'Nesniegtas zinas_VID_2_att'!$B$15:$I$15</c:f>
              <c:numCache>
                <c:formatCode>0.00%</c:formatCode>
                <c:ptCount val="8"/>
                <c:pt idx="0">
                  <c:v>1.3452914798206279E-2</c:v>
                </c:pt>
                <c:pt idx="1">
                  <c:v>2.4077046548956663E-2</c:v>
                </c:pt>
                <c:pt idx="2">
                  <c:v>1.6541353383458645E-2</c:v>
                </c:pt>
                <c:pt idx="3">
                  <c:v>7.3349633251833741E-3</c:v>
                </c:pt>
                <c:pt idx="4">
                  <c:v>2.2727272727272726E-3</c:v>
                </c:pt>
                <c:pt idx="5">
                  <c:v>8.2508250825082501E-3</c:v>
                </c:pt>
                <c:pt idx="6">
                  <c:v>5.4869684499314125E-3</c:v>
                </c:pt>
                <c:pt idx="7">
                  <c:v>1.4234875444839857E-2</c:v>
                </c:pt>
              </c:numCache>
            </c:numRef>
          </c:val>
          <c:extLst>
            <c:ext xmlns:c16="http://schemas.microsoft.com/office/drawing/2014/chart" uri="{C3380CC4-5D6E-409C-BE32-E72D297353CC}">
              <c16:uniqueId val="{00000001-A499-4B4B-BFFC-7940C1F92C61}"/>
            </c:ext>
          </c:extLst>
        </c:ser>
        <c:dLbls>
          <c:showLegendKey val="0"/>
          <c:showVal val="0"/>
          <c:showCatName val="0"/>
          <c:showSerName val="0"/>
          <c:showPercent val="0"/>
          <c:showBubbleSize val="0"/>
        </c:dLbls>
        <c:gapWidth val="150"/>
        <c:axId val="286355456"/>
        <c:axId val="286356992"/>
      </c:barChart>
      <c:lineChart>
        <c:grouping val="standard"/>
        <c:varyColors val="0"/>
        <c:ser>
          <c:idx val="2"/>
          <c:order val="2"/>
          <c:tx>
            <c:strRef>
              <c:f>'Nesniegtas zinas_VID_2_att'!$A$16</c:f>
              <c:strCache>
                <c:ptCount val="1"/>
                <c:pt idx="0">
                  <c:v>Būvlaukumā aptaujātās un pēc EDLUS datiem izvērtētās nodarbinātās personas</c:v>
                </c:pt>
              </c:strCache>
            </c:strRef>
          </c:tx>
          <c:spPr>
            <a:ln w="28575" cap="rnd">
              <a:solidFill>
                <a:schemeClr val="accent5">
                  <a:tint val="65000"/>
                </a:schemeClr>
              </a:solidFill>
              <a:round/>
            </a:ln>
            <a:effectLst/>
          </c:spPr>
          <c:marker>
            <c:symbol val="none"/>
          </c:marker>
          <c:dPt>
            <c:idx val="7"/>
            <c:bubble3D val="0"/>
            <c:extLst>
              <c:ext xmlns:c16="http://schemas.microsoft.com/office/drawing/2014/chart" uri="{C3380CC4-5D6E-409C-BE32-E72D297353CC}">
                <c16:uniqueId val="{00000003-A499-4B4B-BFFC-7940C1F92C61}"/>
              </c:ext>
            </c:extLst>
          </c:dPt>
          <c:cat>
            <c:strRef>
              <c:f>'Nesniegtas zinas_VID_2_att'!$B$13:$I$13</c:f>
              <c:strCache>
                <c:ptCount val="8"/>
                <c:pt idx="0">
                  <c:v>2018 1.cet.</c:v>
                </c:pt>
                <c:pt idx="1">
                  <c:v>2018 2.cet.</c:v>
                </c:pt>
                <c:pt idx="2">
                  <c:v>2018 3.cet.</c:v>
                </c:pt>
                <c:pt idx="3">
                  <c:v>2018 4.cet.</c:v>
                </c:pt>
                <c:pt idx="4">
                  <c:v>2019 1.cet.</c:v>
                </c:pt>
                <c:pt idx="5">
                  <c:v>2019 2.cet.</c:v>
                </c:pt>
                <c:pt idx="6">
                  <c:v>2019 3.cet.</c:v>
                </c:pt>
                <c:pt idx="7">
                  <c:v>2019 4.cet.</c:v>
                </c:pt>
              </c:strCache>
            </c:strRef>
          </c:cat>
          <c:val>
            <c:numRef>
              <c:f>'Nesniegtas zinas_VID_2_att'!$B$16:$I$16</c:f>
              <c:numCache>
                <c:formatCode>General</c:formatCode>
                <c:ptCount val="8"/>
                <c:pt idx="0">
                  <c:v>446</c:v>
                </c:pt>
                <c:pt idx="1">
                  <c:v>623</c:v>
                </c:pt>
                <c:pt idx="2">
                  <c:v>665</c:v>
                </c:pt>
                <c:pt idx="3">
                  <c:v>409</c:v>
                </c:pt>
                <c:pt idx="4">
                  <c:v>440</c:v>
                </c:pt>
                <c:pt idx="5">
                  <c:v>606</c:v>
                </c:pt>
                <c:pt idx="6">
                  <c:v>729</c:v>
                </c:pt>
                <c:pt idx="7">
                  <c:v>562</c:v>
                </c:pt>
              </c:numCache>
            </c:numRef>
          </c:val>
          <c:smooth val="0"/>
          <c:extLst>
            <c:ext xmlns:c16="http://schemas.microsoft.com/office/drawing/2014/chart" uri="{C3380CC4-5D6E-409C-BE32-E72D297353CC}">
              <c16:uniqueId val="{00000004-A499-4B4B-BFFC-7940C1F92C61}"/>
            </c:ext>
          </c:extLst>
        </c:ser>
        <c:dLbls>
          <c:showLegendKey val="0"/>
          <c:showVal val="0"/>
          <c:showCatName val="0"/>
          <c:showSerName val="0"/>
          <c:showPercent val="0"/>
          <c:showBubbleSize val="0"/>
        </c:dLbls>
        <c:marker val="1"/>
        <c:smooth val="0"/>
        <c:axId val="286364416"/>
        <c:axId val="286358528"/>
      </c:lineChart>
      <c:catAx>
        <c:axId val="28635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86356992"/>
        <c:crosses val="autoZero"/>
        <c:auto val="1"/>
        <c:lblAlgn val="ctr"/>
        <c:lblOffset val="100"/>
        <c:noMultiLvlLbl val="0"/>
      </c:catAx>
      <c:valAx>
        <c:axId val="286356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86355456"/>
        <c:crosses val="autoZero"/>
        <c:crossBetween val="between"/>
      </c:valAx>
      <c:valAx>
        <c:axId val="286358528"/>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86364416"/>
        <c:crosses val="max"/>
        <c:crossBetween val="between"/>
      </c:valAx>
      <c:catAx>
        <c:axId val="286364416"/>
        <c:scaling>
          <c:orientation val="minMax"/>
        </c:scaling>
        <c:delete val="1"/>
        <c:axPos val="b"/>
        <c:numFmt formatCode="General" sourceLinked="1"/>
        <c:majorTickMark val="none"/>
        <c:minorTickMark val="none"/>
        <c:tickLblPos val="nextTo"/>
        <c:crossAx val="286358528"/>
        <c:crosses val="autoZero"/>
        <c:auto val="1"/>
        <c:lblAlgn val="ctr"/>
        <c:lblOffset val="100"/>
        <c:noMultiLvlLbl val="0"/>
      </c:catAx>
      <c:spPr>
        <a:noFill/>
        <a:ln>
          <a:noFill/>
        </a:ln>
        <a:effectLst/>
      </c:spPr>
    </c:plotArea>
    <c:legend>
      <c:legendPos val="b"/>
      <c:layout>
        <c:manualLayout>
          <c:xMode val="edge"/>
          <c:yMode val="edge"/>
          <c:x val="0.12947131608548929"/>
          <c:y val="0.61188956239805059"/>
          <c:w val="0.73838693060563687"/>
          <c:h val="0.3267293634331514"/>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EDLU_sistemas_2019!$B$22</c:f>
              <c:strCache>
                <c:ptCount val="1"/>
                <c:pt idx="0">
                  <c:v>būvobjektu skaits 2019.gadā</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0F44-4A13-A99B-B4BA3988A06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0F44-4A13-A99B-B4BA3988A06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0F44-4A13-A99B-B4BA3988A06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0F44-4A13-A99B-B4BA3988A06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0F44-4A13-A99B-B4BA3988A06C}"/>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0F44-4A13-A99B-B4BA3988A06C}"/>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D-0F44-4A13-A99B-B4BA3988A06C}"/>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F-0F44-4A13-A99B-B4BA3988A06C}"/>
              </c:ext>
            </c:extLst>
          </c:dPt>
          <c:dLbls>
            <c:dLbl>
              <c:idx val="0"/>
              <c:layout>
                <c:manualLayout>
                  <c:x val="0.11755518756627055"/>
                  <c:y val="7.7336396219365375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F44-4A13-A99B-B4BA3988A06C}"/>
                </c:ext>
              </c:extLst>
            </c:dLbl>
            <c:dLbl>
              <c:idx val="1"/>
              <c:layout>
                <c:manualLayout>
                  <c:x val="4.9609658167729033E-2"/>
                  <c:y val="-4.9027011071867153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F44-4A13-A99B-B4BA3988A06C}"/>
                </c:ext>
              </c:extLst>
            </c:dLbl>
            <c:dLbl>
              <c:idx val="2"/>
              <c:layout>
                <c:manualLayout>
                  <c:x val="-4.1197975253093547E-3"/>
                  <c:y val="6.1465820114689632E-3"/>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F44-4A13-A99B-B4BA3988A06C}"/>
                </c:ext>
              </c:extLst>
            </c:dLbl>
            <c:dLbl>
              <c:idx val="3"/>
              <c:layout>
                <c:manualLayout>
                  <c:x val="-5.6061513062231609E-2"/>
                  <c:y val="0.17200835835766567"/>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F44-4A13-A99B-B4BA3988A06C}"/>
                </c:ext>
              </c:extLst>
            </c:dLbl>
            <c:dLbl>
              <c:idx val="4"/>
              <c:layout>
                <c:manualLayout>
                  <c:x val="-0.13816034450193027"/>
                  <c:y val="0.1054254597788633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F44-4A13-A99B-B4BA3988A06C}"/>
                </c:ext>
              </c:extLst>
            </c:dLbl>
            <c:dLbl>
              <c:idx val="5"/>
              <c:layout>
                <c:manualLayout>
                  <c:x val="-0.12196919350051418"/>
                  <c:y val="5.2840319388898884E-3"/>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F44-4A13-A99B-B4BA3988A06C}"/>
                </c:ext>
              </c:extLst>
            </c:dLbl>
            <c:dLbl>
              <c:idx val="6"/>
              <c:layout>
                <c:manualLayout>
                  <c:x val="-2.654279159632782E-2"/>
                  <c:y val="-0.11273333480514917"/>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0F44-4A13-A99B-B4BA3988A06C}"/>
                </c:ext>
              </c:extLst>
            </c:dLbl>
            <c:dLbl>
              <c:idx val="7"/>
              <c:layout>
                <c:manualLayout>
                  <c:x val="0.19657753800265221"/>
                  <c:y val="-4.5357204906522099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0F44-4A13-A99B-B4BA3988A0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EDLU_sistemas_2019!$A$23:$A$30</c:f>
              <c:strCache>
                <c:ptCount val="8"/>
                <c:pt idx="0">
                  <c:v>LBP EDLUS</c:v>
                </c:pt>
                <c:pt idx="1">
                  <c:v>LMT EDLUS</c:v>
                </c:pt>
                <c:pt idx="2">
                  <c:v>DTG EDLUS</c:v>
                </c:pt>
                <c:pt idx="3">
                  <c:v>OROCON DLU</c:v>
                </c:pt>
                <c:pt idx="4">
                  <c:v>GIS EDLUS</c:v>
                </c:pt>
                <c:pt idx="5">
                  <c:v>COMLAT GROUP EDLUS</c:v>
                </c:pt>
                <c:pt idx="6">
                  <c:v>BŪVLAIKS</c:v>
                </c:pt>
                <c:pt idx="7">
                  <c:v>Citi EDLUS risinājumi</c:v>
                </c:pt>
              </c:strCache>
            </c:strRef>
          </c:cat>
          <c:val>
            <c:numRef>
              <c:f>EDLU_sistemas_2019!$B$23:$B$30</c:f>
              <c:numCache>
                <c:formatCode>General</c:formatCode>
                <c:ptCount val="8"/>
                <c:pt idx="0">
                  <c:v>20</c:v>
                </c:pt>
                <c:pt idx="1">
                  <c:v>34</c:v>
                </c:pt>
                <c:pt idx="2">
                  <c:v>18</c:v>
                </c:pt>
                <c:pt idx="3">
                  <c:v>6</c:v>
                </c:pt>
                <c:pt idx="4">
                  <c:v>4</c:v>
                </c:pt>
                <c:pt idx="5">
                  <c:v>3</c:v>
                </c:pt>
                <c:pt idx="6">
                  <c:v>3</c:v>
                </c:pt>
                <c:pt idx="7">
                  <c:v>9</c:v>
                </c:pt>
              </c:numCache>
            </c:numRef>
          </c:val>
          <c:extLst>
            <c:ext xmlns:c16="http://schemas.microsoft.com/office/drawing/2014/chart" uri="{C3380CC4-5D6E-409C-BE32-E72D297353CC}">
              <c16:uniqueId val="{00000010-0F44-4A13-A99B-B4BA3988A06C}"/>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15"/>
      <c:rotY val="20"/>
      <c:rAngAx val="1"/>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313551794117875E-2"/>
          <c:y val="5.3110116241582975E-2"/>
          <c:w val="0.84347641954016972"/>
          <c:h val="0.50502362965131531"/>
        </c:manualLayout>
      </c:layout>
      <c:bar3DChart>
        <c:barDir val="col"/>
        <c:grouping val="clustered"/>
        <c:varyColors val="0"/>
        <c:ser>
          <c:idx val="0"/>
          <c:order val="0"/>
          <c:tx>
            <c:strRef>
              <c:f>Sheet1!$B$1</c:f>
              <c:strCache>
                <c:ptCount val="1"/>
                <c:pt idx="0">
                  <c:v>VDI kopā atklāto nereģistrēti nodarbināto personu skaits</c:v>
                </c:pt>
              </c:strCache>
            </c:strRef>
          </c:tx>
          <c:spPr>
            <a:solidFill>
              <a:schemeClr val="accent6">
                <a:tint val="77000"/>
              </a:schemeClr>
            </a:solidFill>
            <a:ln>
              <a:noFill/>
            </a:ln>
            <a:effectLst/>
            <a:sp3d/>
          </c:spPr>
          <c:invertIfNegative val="0"/>
          <c:dLbls>
            <c:dLbl>
              <c:idx val="0"/>
              <c:layout>
                <c:manualLayout>
                  <c:x val="2.6472297390076022E-2"/>
                  <c:y val="-2.06293898414967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432-4FD1-8A49-5D29B92FAC09}"/>
                </c:ext>
              </c:extLst>
            </c:dLbl>
            <c:dLbl>
              <c:idx val="1"/>
              <c:layout>
                <c:manualLayout>
                  <c:x val="2.1660669675403837E-2"/>
                  <c:y val="-1.23766585200355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432-4FD1-8A49-5D29B92FAC09}"/>
                </c:ext>
              </c:extLst>
            </c:dLbl>
            <c:dLbl>
              <c:idx val="2"/>
              <c:layout>
                <c:manualLayout>
                  <c:x val="2.166237659891327E-2"/>
                  <c:y val="-1.65077385409347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432-4FD1-8A49-5D29B92FAC09}"/>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2017.</c:v>
                </c:pt>
                <c:pt idx="1">
                  <c:v>2018.</c:v>
                </c:pt>
                <c:pt idx="2">
                  <c:v>2019.</c:v>
                </c:pt>
              </c:strCache>
            </c:strRef>
          </c:cat>
          <c:val>
            <c:numRef>
              <c:f>Sheet1!$B$2:$B$4</c:f>
              <c:numCache>
                <c:formatCode>General</c:formatCode>
                <c:ptCount val="3"/>
                <c:pt idx="0">
                  <c:v>1398</c:v>
                </c:pt>
                <c:pt idx="1">
                  <c:v>1216</c:v>
                </c:pt>
                <c:pt idx="2">
                  <c:v>1213</c:v>
                </c:pt>
              </c:numCache>
            </c:numRef>
          </c:val>
          <c:extLst>
            <c:ext xmlns:c16="http://schemas.microsoft.com/office/drawing/2014/chart" uri="{C3380CC4-5D6E-409C-BE32-E72D297353CC}">
              <c16:uniqueId val="{00000003-F432-4FD1-8A49-5D29B92FAC09}"/>
            </c:ext>
          </c:extLst>
        </c:ser>
        <c:ser>
          <c:idx val="1"/>
          <c:order val="1"/>
          <c:tx>
            <c:strRef>
              <c:f>Sheet1!$C$1</c:f>
              <c:strCache>
                <c:ptCount val="1"/>
                <c:pt idx="0">
                  <c:v>būvniecībā atklāto nereģistrēti nodarbināto personu skaits</c:v>
                </c:pt>
              </c:strCache>
            </c:strRef>
          </c:tx>
          <c:spPr>
            <a:solidFill>
              <a:schemeClr val="accent6">
                <a:shade val="76000"/>
              </a:schemeClr>
            </a:solidFill>
            <a:ln>
              <a:noFill/>
            </a:ln>
            <a:effectLst/>
            <a:sp3d/>
          </c:spPr>
          <c:invertIfNegative val="0"/>
          <c:dLbls>
            <c:dLbl>
              <c:idx val="0"/>
              <c:layout>
                <c:manualLayout>
                  <c:x val="2.1660669675403837E-2"/>
                  <c:y val="-1.23818605726354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432-4FD1-8A49-5D29B92FAC09}"/>
                </c:ext>
              </c:extLst>
            </c:dLbl>
            <c:dLbl>
              <c:idx val="1"/>
              <c:layout>
                <c:manualLayout>
                  <c:x val="2.1660669675403837E-2"/>
                  <c:y val="-1.23818605726354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432-4FD1-8A49-5D29B92FAC09}"/>
                </c:ext>
              </c:extLst>
            </c:dLbl>
            <c:dLbl>
              <c:idx val="2"/>
              <c:layout>
                <c:manualLayout>
                  <c:x val="2.6472297390076113E-2"/>
                  <c:y val="-1.23766585200355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432-4FD1-8A49-5D29B92FAC09}"/>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2017.</c:v>
                </c:pt>
                <c:pt idx="1">
                  <c:v>2018.</c:v>
                </c:pt>
                <c:pt idx="2">
                  <c:v>2019.</c:v>
                </c:pt>
              </c:strCache>
            </c:strRef>
          </c:cat>
          <c:val>
            <c:numRef>
              <c:f>Sheet1!$C$2:$C$4</c:f>
              <c:numCache>
                <c:formatCode>General</c:formatCode>
                <c:ptCount val="3"/>
                <c:pt idx="0">
                  <c:v>411</c:v>
                </c:pt>
                <c:pt idx="1">
                  <c:v>430</c:v>
                </c:pt>
                <c:pt idx="2">
                  <c:v>445</c:v>
                </c:pt>
              </c:numCache>
            </c:numRef>
          </c:val>
          <c:extLst>
            <c:ext xmlns:c16="http://schemas.microsoft.com/office/drawing/2014/chart" uri="{C3380CC4-5D6E-409C-BE32-E72D297353CC}">
              <c16:uniqueId val="{00000007-F432-4FD1-8A49-5D29B92FAC09}"/>
            </c:ext>
          </c:extLst>
        </c:ser>
        <c:dLbls>
          <c:showLegendKey val="0"/>
          <c:showVal val="0"/>
          <c:showCatName val="0"/>
          <c:showSerName val="0"/>
          <c:showPercent val="0"/>
          <c:showBubbleSize val="0"/>
        </c:dLbls>
        <c:gapWidth val="150"/>
        <c:shape val="box"/>
        <c:axId val="288896896"/>
        <c:axId val="288898432"/>
        <c:axId val="0"/>
      </c:bar3DChart>
      <c:catAx>
        <c:axId val="288896896"/>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88898432"/>
        <c:crosses val="autoZero"/>
        <c:auto val="1"/>
        <c:lblAlgn val="ctr"/>
        <c:lblOffset val="100"/>
        <c:noMultiLvlLbl val="0"/>
      </c:catAx>
      <c:valAx>
        <c:axId val="288898432"/>
        <c:scaling>
          <c:orientation val="minMax"/>
        </c:scaling>
        <c:delete val="0"/>
        <c:axPos val="l"/>
        <c:majorGridlines>
          <c:spPr>
            <a:ln w="6350" cap="flat" cmpd="sng" algn="ctr">
              <a:no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88896896"/>
        <c:crosses val="autoZero"/>
        <c:crossBetween val="between"/>
      </c:valAx>
      <c:spPr>
        <a:noFill/>
        <a:ln>
          <a:noFill/>
        </a:ln>
        <a:effectLst/>
      </c:spPr>
    </c:plotArea>
    <c:legend>
      <c:legendPos val="b"/>
      <c:layout>
        <c:manualLayout>
          <c:xMode val="edge"/>
          <c:yMode val="edge"/>
          <c:x val="0"/>
          <c:y val="0.7021498904993565"/>
          <c:w val="0.90537932416942446"/>
          <c:h val="0.23508936684700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noFill/>
    <a:ln w="6350" cap="flat" cmpd="sng" algn="ctr">
      <a:noFill/>
      <a:prstDash val="solid"/>
      <a:round/>
    </a:ln>
    <a:effectLst/>
  </c:spPr>
  <c:txPr>
    <a:bodyPr/>
    <a:lstStyle/>
    <a:p>
      <a:pPr>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view3D>
      <c:rotX val="15"/>
      <c:rotY val="20"/>
      <c:rAngAx val="1"/>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313551794117875E-2"/>
          <c:y val="5.3110116241582975E-2"/>
          <c:w val="0.84347641954016972"/>
          <c:h val="0.50502362965131531"/>
        </c:manualLayout>
      </c:layout>
      <c:bar3DChart>
        <c:barDir val="col"/>
        <c:grouping val="clustered"/>
        <c:varyColors val="0"/>
        <c:ser>
          <c:idx val="0"/>
          <c:order val="0"/>
          <c:tx>
            <c:strRef>
              <c:f>Sheet1!$B$1</c:f>
              <c:strCache>
                <c:ptCount val="1"/>
                <c:pt idx="0">
                  <c:v>būvniecībā atklāto nereģistrēti nodarbināto personu skaits</c:v>
                </c:pt>
              </c:strCache>
            </c:strRef>
          </c:tx>
          <c:spPr>
            <a:solidFill>
              <a:schemeClr val="accent4">
                <a:tint val="77000"/>
              </a:schemeClr>
            </a:solidFill>
            <a:ln>
              <a:noFill/>
            </a:ln>
            <a:effectLst/>
            <a:sp3d/>
          </c:spPr>
          <c:invertIfNegative val="0"/>
          <c:dLbls>
            <c:dLbl>
              <c:idx val="0"/>
              <c:layout>
                <c:manualLayout>
                  <c:x val="2.6472297390076022E-2"/>
                  <c:y val="-2.06293898414967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93F-4F7C-859B-CFC8208ABBC5}"/>
                </c:ext>
              </c:extLst>
            </c:dLbl>
            <c:dLbl>
              <c:idx val="1"/>
              <c:layout>
                <c:manualLayout>
                  <c:x val="2.1660669675403837E-2"/>
                  <c:y val="-1.23766585200355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93F-4F7C-859B-CFC8208ABBC5}"/>
                </c:ext>
              </c:extLst>
            </c:dLbl>
            <c:dLbl>
              <c:idx val="2"/>
              <c:layout>
                <c:manualLayout>
                  <c:x val="2.166237659891327E-2"/>
                  <c:y val="-1.65077385409347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93F-4F7C-859B-CFC8208ABBC5}"/>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2017.</c:v>
                </c:pt>
                <c:pt idx="1">
                  <c:v>2018.</c:v>
                </c:pt>
                <c:pt idx="2">
                  <c:v>2019.</c:v>
                </c:pt>
              </c:strCache>
            </c:strRef>
          </c:cat>
          <c:val>
            <c:numRef>
              <c:f>Sheet1!$B$2:$B$4</c:f>
              <c:numCache>
                <c:formatCode>General</c:formatCode>
                <c:ptCount val="3"/>
                <c:pt idx="0">
                  <c:v>411</c:v>
                </c:pt>
                <c:pt idx="1">
                  <c:v>430</c:v>
                </c:pt>
                <c:pt idx="2">
                  <c:v>445</c:v>
                </c:pt>
              </c:numCache>
            </c:numRef>
          </c:val>
          <c:extLst>
            <c:ext xmlns:c16="http://schemas.microsoft.com/office/drawing/2014/chart" uri="{C3380CC4-5D6E-409C-BE32-E72D297353CC}">
              <c16:uniqueId val="{00000003-693F-4F7C-859B-CFC8208ABBC5}"/>
            </c:ext>
          </c:extLst>
        </c:ser>
        <c:ser>
          <c:idx val="1"/>
          <c:order val="1"/>
          <c:tx>
            <c:strRef>
              <c:f>Sheet1!$C$1</c:f>
              <c:strCache>
                <c:ptCount val="1"/>
                <c:pt idx="0">
                  <c:v>būvniecībā atklāto nereģistrēti nodarbināto personu skaits, ar kurām darba tiesiskās attiecības legalizētas pēc VDI pārbaudes</c:v>
                </c:pt>
              </c:strCache>
            </c:strRef>
          </c:tx>
          <c:spPr>
            <a:solidFill>
              <a:schemeClr val="accent4">
                <a:shade val="76000"/>
              </a:schemeClr>
            </a:solidFill>
            <a:ln>
              <a:noFill/>
            </a:ln>
            <a:effectLst/>
            <a:sp3d/>
          </c:spPr>
          <c:invertIfNegative val="0"/>
          <c:dLbls>
            <c:dLbl>
              <c:idx val="0"/>
              <c:layout>
                <c:manualLayout>
                  <c:x val="2.1660669675403837E-2"/>
                  <c:y val="-1.23818605726354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93F-4F7C-859B-CFC8208ABBC5}"/>
                </c:ext>
              </c:extLst>
            </c:dLbl>
            <c:dLbl>
              <c:idx val="1"/>
              <c:layout>
                <c:manualLayout>
                  <c:x val="2.1660669675403837E-2"/>
                  <c:y val="-1.23818605726354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93F-4F7C-859B-CFC8208ABBC5}"/>
                </c:ext>
              </c:extLst>
            </c:dLbl>
            <c:dLbl>
              <c:idx val="2"/>
              <c:layout>
                <c:manualLayout>
                  <c:x val="2.6472297390076113E-2"/>
                  <c:y val="-1.23766585200355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93F-4F7C-859B-CFC8208ABBC5}"/>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2017.</c:v>
                </c:pt>
                <c:pt idx="1">
                  <c:v>2018.</c:v>
                </c:pt>
                <c:pt idx="2">
                  <c:v>2019.</c:v>
                </c:pt>
              </c:strCache>
            </c:strRef>
          </c:cat>
          <c:val>
            <c:numRef>
              <c:f>Sheet1!$C$2:$C$4</c:f>
              <c:numCache>
                <c:formatCode>General</c:formatCode>
                <c:ptCount val="3"/>
                <c:pt idx="0">
                  <c:v>247</c:v>
                </c:pt>
                <c:pt idx="1">
                  <c:v>293</c:v>
                </c:pt>
                <c:pt idx="2">
                  <c:v>317</c:v>
                </c:pt>
              </c:numCache>
            </c:numRef>
          </c:val>
          <c:extLst>
            <c:ext xmlns:c16="http://schemas.microsoft.com/office/drawing/2014/chart" uri="{C3380CC4-5D6E-409C-BE32-E72D297353CC}">
              <c16:uniqueId val="{00000007-693F-4F7C-859B-CFC8208ABBC5}"/>
            </c:ext>
          </c:extLst>
        </c:ser>
        <c:dLbls>
          <c:showLegendKey val="0"/>
          <c:showVal val="0"/>
          <c:showCatName val="0"/>
          <c:showSerName val="0"/>
          <c:showPercent val="0"/>
          <c:showBubbleSize val="0"/>
        </c:dLbls>
        <c:gapWidth val="150"/>
        <c:shape val="box"/>
        <c:axId val="286470528"/>
        <c:axId val="286472064"/>
        <c:axId val="0"/>
      </c:bar3DChart>
      <c:catAx>
        <c:axId val="28647052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86472064"/>
        <c:crosses val="autoZero"/>
        <c:auto val="1"/>
        <c:lblAlgn val="ctr"/>
        <c:lblOffset val="100"/>
        <c:noMultiLvlLbl val="0"/>
      </c:catAx>
      <c:valAx>
        <c:axId val="286472064"/>
        <c:scaling>
          <c:orientation val="minMax"/>
        </c:scaling>
        <c:delete val="0"/>
        <c:axPos val="l"/>
        <c:majorGridlines>
          <c:spPr>
            <a:ln w="6350" cap="flat" cmpd="sng" algn="ctr">
              <a:no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86470528"/>
        <c:crosses val="autoZero"/>
        <c:crossBetween val="between"/>
      </c:valAx>
      <c:spPr>
        <a:noFill/>
        <a:ln>
          <a:noFill/>
        </a:ln>
        <a:effectLst/>
      </c:spPr>
    </c:plotArea>
    <c:legend>
      <c:legendPos val="b"/>
      <c:layout>
        <c:manualLayout>
          <c:xMode val="edge"/>
          <c:yMode val="edge"/>
          <c:x val="7.2403614928508803E-2"/>
          <c:y val="0.71276560175201031"/>
          <c:w val="0.90537932416942446"/>
          <c:h val="0.23508936684700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noFill/>
    <a:ln w="6350" cap="flat" cmpd="sng" algn="ctr">
      <a:noFill/>
      <a:prstDash val="solid"/>
      <a:round/>
    </a:ln>
    <a:effectLst/>
  </c:spPr>
  <c:txPr>
    <a:bodyPr/>
    <a:lstStyle/>
    <a:p>
      <a:pPr>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'1.slaids'!$A$6</c:f>
              <c:strCache>
                <c:ptCount val="1"/>
                <c:pt idx="0">
                  <c:v>Nedeklarētā alga bruto kopā (tikai komercsektors), tūkst. EUR</c:v>
                </c:pt>
              </c:strCache>
            </c:strRef>
          </c:tx>
          <c:spPr>
            <a:solidFill>
              <a:schemeClr val="accent5">
                <a:shade val="58000"/>
              </a:schemeClr>
            </a:solidFill>
            <a:ln>
              <a:noFill/>
            </a:ln>
            <a:effectLst/>
          </c:spPr>
          <c:invertIfNegative val="0"/>
          <c:cat>
            <c:strRef>
              <c:f>'1.slaids'!$AL$5:$AN$5</c:f>
              <c:strCache>
                <c:ptCount val="3"/>
                <c:pt idx="0">
                  <c:v>2017.g.</c:v>
                </c:pt>
                <c:pt idx="1">
                  <c:v>2018.g</c:v>
                </c:pt>
                <c:pt idx="2">
                  <c:v>2019.g.</c:v>
                </c:pt>
              </c:strCache>
            </c:strRef>
          </c:cat>
          <c:val>
            <c:numRef>
              <c:f>'1.slaids'!$AL$6:$AN$6</c:f>
              <c:numCache>
                <c:formatCode>#,##0</c:formatCode>
                <c:ptCount val="3"/>
                <c:pt idx="0">
                  <c:v>89283.571108089993</c:v>
                </c:pt>
                <c:pt idx="1">
                  <c:v>102522.98057663</c:v>
                </c:pt>
                <c:pt idx="2">
                  <c:v>111489.77668985998</c:v>
                </c:pt>
              </c:numCache>
            </c:numRef>
          </c:val>
          <c:extLst>
            <c:ext xmlns:c16="http://schemas.microsoft.com/office/drawing/2014/chart" uri="{C3380CC4-5D6E-409C-BE32-E72D297353CC}">
              <c16:uniqueId val="{00000000-286B-4261-BFA3-8B8FCD191895}"/>
            </c:ext>
          </c:extLst>
        </c:ser>
        <c:ser>
          <c:idx val="1"/>
          <c:order val="1"/>
          <c:tx>
            <c:strRef>
              <c:f>'1.slaids'!$A$7</c:f>
              <c:strCache>
                <c:ptCount val="1"/>
                <c:pt idx="0">
                  <c:v>VSAOI zaudējumi no nedeklarētās algas, tūkst. EUR</c:v>
                </c:pt>
              </c:strCache>
            </c:strRef>
          </c:tx>
          <c:spPr>
            <a:solidFill>
              <a:schemeClr val="accent5">
                <a:shade val="86000"/>
              </a:schemeClr>
            </a:solidFill>
            <a:ln>
              <a:noFill/>
            </a:ln>
            <a:effectLst/>
          </c:spPr>
          <c:invertIfNegative val="0"/>
          <c:cat>
            <c:strRef>
              <c:f>'1.slaids'!$AL$5:$AN$5</c:f>
              <c:strCache>
                <c:ptCount val="3"/>
                <c:pt idx="0">
                  <c:v>2017.g.</c:v>
                </c:pt>
                <c:pt idx="1">
                  <c:v>2018.g</c:v>
                </c:pt>
                <c:pt idx="2">
                  <c:v>2019.g.</c:v>
                </c:pt>
              </c:strCache>
            </c:strRef>
          </c:cat>
          <c:val>
            <c:numRef>
              <c:f>'1.slaids'!$AL$7:$AN$7</c:f>
              <c:numCache>
                <c:formatCode>#,##0</c:formatCode>
                <c:ptCount val="3"/>
                <c:pt idx="0">
                  <c:v>30033.795292632101</c:v>
                </c:pt>
                <c:pt idx="1">
                  <c:v>35271.41746367835</c:v>
                </c:pt>
                <c:pt idx="2">
                  <c:v>38316.69681765484</c:v>
                </c:pt>
              </c:numCache>
            </c:numRef>
          </c:val>
          <c:extLst>
            <c:ext xmlns:c16="http://schemas.microsoft.com/office/drawing/2014/chart" uri="{C3380CC4-5D6E-409C-BE32-E72D297353CC}">
              <c16:uniqueId val="{00000001-286B-4261-BFA3-8B8FCD191895}"/>
            </c:ext>
          </c:extLst>
        </c:ser>
        <c:ser>
          <c:idx val="2"/>
          <c:order val="2"/>
          <c:tx>
            <c:strRef>
              <c:f>'1.slaids'!$A$8</c:f>
              <c:strCache>
                <c:ptCount val="1"/>
                <c:pt idx="0">
                  <c:v>IIN zaudējumi no nedeklarētās algas, tūkst. EUR</c:v>
                </c:pt>
              </c:strCache>
            </c:strRef>
          </c:tx>
          <c:spPr>
            <a:solidFill>
              <a:schemeClr val="accent5">
                <a:tint val="86000"/>
              </a:schemeClr>
            </a:solidFill>
            <a:ln>
              <a:noFill/>
            </a:ln>
            <a:effectLst/>
          </c:spPr>
          <c:invertIfNegative val="0"/>
          <c:cat>
            <c:strRef>
              <c:f>'1.slaids'!$AL$5:$AN$5</c:f>
              <c:strCache>
                <c:ptCount val="3"/>
                <c:pt idx="0">
                  <c:v>2017.g.</c:v>
                </c:pt>
                <c:pt idx="1">
                  <c:v>2018.g</c:v>
                </c:pt>
                <c:pt idx="2">
                  <c:v>2019.g.</c:v>
                </c:pt>
              </c:strCache>
            </c:strRef>
          </c:cat>
          <c:val>
            <c:numRef>
              <c:f>'1.slaids'!$AL$8:$AN$8</c:f>
              <c:numCache>
                <c:formatCode>#,##0</c:formatCode>
                <c:ptCount val="3"/>
                <c:pt idx="0">
                  <c:v>15685.288692384718</c:v>
                </c:pt>
                <c:pt idx="1">
                  <c:v>16120.936895072515</c:v>
                </c:pt>
                <c:pt idx="2">
                  <c:v>17497.3402688106</c:v>
                </c:pt>
              </c:numCache>
            </c:numRef>
          </c:val>
          <c:extLst>
            <c:ext xmlns:c16="http://schemas.microsoft.com/office/drawing/2014/chart" uri="{C3380CC4-5D6E-409C-BE32-E72D297353CC}">
              <c16:uniqueId val="{00000002-286B-4261-BFA3-8B8FCD191895}"/>
            </c:ext>
          </c:extLst>
        </c:ser>
        <c:dLbls>
          <c:showLegendKey val="0"/>
          <c:showVal val="0"/>
          <c:showCatName val="0"/>
          <c:showSerName val="0"/>
          <c:showPercent val="0"/>
          <c:showBubbleSize val="0"/>
        </c:dLbls>
        <c:gapWidth val="219"/>
        <c:axId val="286513792"/>
        <c:axId val="289014144"/>
      </c:barChart>
      <c:lineChart>
        <c:grouping val="standard"/>
        <c:varyColors val="0"/>
        <c:ser>
          <c:idx val="3"/>
          <c:order val="3"/>
          <c:tx>
            <c:strRef>
              <c:f>'1.slaids'!$A$9</c:f>
              <c:strCache>
                <c:ptCount val="1"/>
                <c:pt idx="0">
                  <c:v>Nedeklarēto darba algas ienākumu īpatsvars, %</c:v>
                </c:pt>
              </c:strCache>
            </c:strRef>
          </c:tx>
          <c:spPr>
            <a:ln w="28575" cap="rnd">
              <a:solidFill>
                <a:schemeClr val="accent5">
                  <a:tint val="58000"/>
                </a:schemeClr>
              </a:solidFill>
              <a:round/>
            </a:ln>
            <a:effectLst/>
          </c:spPr>
          <c:marker>
            <c:symbol val="none"/>
          </c:marker>
          <c:cat>
            <c:strRef>
              <c:f>'1.slaids'!$AL$5:$AN$5</c:f>
              <c:strCache>
                <c:ptCount val="3"/>
                <c:pt idx="0">
                  <c:v>2017.g.</c:v>
                </c:pt>
                <c:pt idx="1">
                  <c:v>2018.g</c:v>
                </c:pt>
                <c:pt idx="2">
                  <c:v>2019.g.</c:v>
                </c:pt>
              </c:strCache>
            </c:strRef>
          </c:cat>
          <c:val>
            <c:numRef>
              <c:f>'1.slaids'!$AL$9:$AN$9</c:f>
              <c:numCache>
                <c:formatCode>0.0%</c:formatCode>
                <c:ptCount val="3"/>
                <c:pt idx="0">
                  <c:v>0.17252976204995474</c:v>
                </c:pt>
                <c:pt idx="1">
                  <c:v>0.16331203558608015</c:v>
                </c:pt>
                <c:pt idx="2">
                  <c:v>0.15445949164085884</c:v>
                </c:pt>
              </c:numCache>
            </c:numRef>
          </c:val>
          <c:smooth val="0"/>
          <c:extLst>
            <c:ext xmlns:c16="http://schemas.microsoft.com/office/drawing/2014/chart" uri="{C3380CC4-5D6E-409C-BE32-E72D297353CC}">
              <c16:uniqueId val="{00000003-286B-4261-BFA3-8B8FCD191895}"/>
            </c:ext>
          </c:extLst>
        </c:ser>
        <c:dLbls>
          <c:showLegendKey val="0"/>
          <c:showVal val="0"/>
          <c:showCatName val="0"/>
          <c:showSerName val="0"/>
          <c:showPercent val="0"/>
          <c:showBubbleSize val="0"/>
        </c:dLbls>
        <c:marker val="1"/>
        <c:smooth val="0"/>
        <c:axId val="289017216"/>
        <c:axId val="289015680"/>
      </c:lineChart>
      <c:catAx>
        <c:axId val="28651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89014144"/>
        <c:crosses val="autoZero"/>
        <c:auto val="1"/>
        <c:lblAlgn val="ctr"/>
        <c:lblOffset val="100"/>
        <c:noMultiLvlLbl val="0"/>
      </c:catAx>
      <c:valAx>
        <c:axId val="289014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86513792"/>
        <c:crosses val="autoZero"/>
        <c:crossBetween val="between"/>
      </c:valAx>
      <c:valAx>
        <c:axId val="289015680"/>
        <c:scaling>
          <c:orientation val="minMax"/>
          <c:max val="0.30000000000000004"/>
          <c:min val="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89017216"/>
        <c:crosses val="max"/>
        <c:crossBetween val="between"/>
      </c:valAx>
      <c:catAx>
        <c:axId val="289017216"/>
        <c:scaling>
          <c:orientation val="minMax"/>
        </c:scaling>
        <c:delete val="1"/>
        <c:axPos val="b"/>
        <c:numFmt formatCode="General" sourceLinked="1"/>
        <c:majorTickMark val="out"/>
        <c:minorTickMark val="none"/>
        <c:tickLblPos val="nextTo"/>
        <c:crossAx val="289015680"/>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MUN!$B$142</c:f>
              <c:strCache>
                <c:ptCount val="1"/>
                <c:pt idx="0">
                  <c:v>Nodokļu maksātāju skaits būvniecībā</c:v>
                </c:pt>
              </c:strCache>
            </c:strRef>
          </c:tx>
          <c:spPr>
            <a:solidFill>
              <a:schemeClr val="accent1">
                <a:tint val="65000"/>
              </a:schemeClr>
            </a:solidFill>
            <a:ln>
              <a:noFill/>
            </a:ln>
            <a:effectLst/>
          </c:spPr>
          <c:invertIfNegative val="0"/>
          <c:cat>
            <c:strRef>
              <c:f>MUN!$C$141:$F$141</c:f>
              <c:strCache>
                <c:ptCount val="4"/>
                <c:pt idx="0">
                  <c:v>uz 01.01.2017.</c:v>
                </c:pt>
                <c:pt idx="1">
                  <c:v>uz 01.01.2018.</c:v>
                </c:pt>
                <c:pt idx="2">
                  <c:v>uz 01.01.2019.</c:v>
                </c:pt>
                <c:pt idx="3">
                  <c:v>uz 01.01.2020.</c:v>
                </c:pt>
              </c:strCache>
            </c:strRef>
          </c:cat>
          <c:val>
            <c:numRef>
              <c:f>MUN!$C$142:$F$142</c:f>
              <c:numCache>
                <c:formatCode>General</c:formatCode>
                <c:ptCount val="4"/>
                <c:pt idx="0">
                  <c:v>24156</c:v>
                </c:pt>
                <c:pt idx="1">
                  <c:v>23089</c:v>
                </c:pt>
                <c:pt idx="2">
                  <c:v>21861</c:v>
                </c:pt>
                <c:pt idx="3">
                  <c:v>20351</c:v>
                </c:pt>
              </c:numCache>
            </c:numRef>
          </c:val>
          <c:extLst>
            <c:ext xmlns:c16="http://schemas.microsoft.com/office/drawing/2014/chart" uri="{C3380CC4-5D6E-409C-BE32-E72D297353CC}">
              <c16:uniqueId val="{00000000-15DD-439E-94FB-BF828044381D}"/>
            </c:ext>
          </c:extLst>
        </c:ser>
        <c:ser>
          <c:idx val="1"/>
          <c:order val="1"/>
          <c:tx>
            <c:strRef>
              <c:f>MUN!$B$143</c:f>
              <c:strCache>
                <c:ptCount val="1"/>
                <c:pt idx="0">
                  <c:v>Mikrouzņēmumu nodokļa maksātāju skaits</c:v>
                </c:pt>
              </c:strCache>
            </c:strRef>
          </c:tx>
          <c:spPr>
            <a:solidFill>
              <a:schemeClr val="accent1"/>
            </a:solidFill>
            <a:ln>
              <a:noFill/>
            </a:ln>
            <a:effectLst/>
          </c:spPr>
          <c:invertIfNegative val="0"/>
          <c:cat>
            <c:strRef>
              <c:f>MUN!$C$141:$F$141</c:f>
              <c:strCache>
                <c:ptCount val="4"/>
                <c:pt idx="0">
                  <c:v>uz 01.01.2017.</c:v>
                </c:pt>
                <c:pt idx="1">
                  <c:v>uz 01.01.2018.</c:v>
                </c:pt>
                <c:pt idx="2">
                  <c:v>uz 01.01.2019.</c:v>
                </c:pt>
                <c:pt idx="3">
                  <c:v>uz 01.01.2020.</c:v>
                </c:pt>
              </c:strCache>
            </c:strRef>
          </c:cat>
          <c:val>
            <c:numRef>
              <c:f>MUN!$C$143:$F$143</c:f>
              <c:numCache>
                <c:formatCode>General</c:formatCode>
                <c:ptCount val="4"/>
                <c:pt idx="0">
                  <c:v>5306</c:v>
                </c:pt>
                <c:pt idx="1">
                  <c:v>5203</c:v>
                </c:pt>
                <c:pt idx="2">
                  <c:v>4981</c:v>
                </c:pt>
                <c:pt idx="3">
                  <c:v>4464</c:v>
                </c:pt>
              </c:numCache>
            </c:numRef>
          </c:val>
          <c:extLst>
            <c:ext xmlns:c16="http://schemas.microsoft.com/office/drawing/2014/chart" uri="{C3380CC4-5D6E-409C-BE32-E72D297353CC}">
              <c16:uniqueId val="{00000001-15DD-439E-94FB-BF828044381D}"/>
            </c:ext>
          </c:extLst>
        </c:ser>
        <c:dLbls>
          <c:showLegendKey val="0"/>
          <c:showVal val="0"/>
          <c:showCatName val="0"/>
          <c:showSerName val="0"/>
          <c:showPercent val="0"/>
          <c:showBubbleSize val="0"/>
        </c:dLbls>
        <c:gapWidth val="150"/>
        <c:axId val="289055104"/>
        <c:axId val="289056640"/>
      </c:barChart>
      <c:lineChart>
        <c:grouping val="standard"/>
        <c:varyColors val="0"/>
        <c:ser>
          <c:idx val="2"/>
          <c:order val="2"/>
          <c:tx>
            <c:strRef>
              <c:f>MUN!$B$144</c:f>
              <c:strCache>
                <c:ptCount val="1"/>
                <c:pt idx="0">
                  <c:v>Mikrouzņēmumu nodokļa maksātāju īpatsvars</c:v>
                </c:pt>
              </c:strCache>
            </c:strRef>
          </c:tx>
          <c:spPr>
            <a:ln w="28575" cap="rnd">
              <a:solidFill>
                <a:schemeClr val="accent1">
                  <a:shade val="65000"/>
                </a:schemeClr>
              </a:solidFill>
              <a:round/>
            </a:ln>
            <a:effectLst/>
          </c:spPr>
          <c:marker>
            <c:symbol val="none"/>
          </c:marker>
          <c:cat>
            <c:strRef>
              <c:f>MUN!$C$141:$F$141</c:f>
              <c:strCache>
                <c:ptCount val="4"/>
                <c:pt idx="0">
                  <c:v>uz 01.01.2017.</c:v>
                </c:pt>
                <c:pt idx="1">
                  <c:v>uz 01.01.2018.</c:v>
                </c:pt>
                <c:pt idx="2">
                  <c:v>uz 01.01.2019.</c:v>
                </c:pt>
                <c:pt idx="3">
                  <c:v>uz 01.01.2020.</c:v>
                </c:pt>
              </c:strCache>
            </c:strRef>
          </c:cat>
          <c:val>
            <c:numRef>
              <c:f>MUN!$C$144:$F$144</c:f>
              <c:numCache>
                <c:formatCode>0.0%</c:formatCode>
                <c:ptCount val="4"/>
                <c:pt idx="0">
                  <c:v>0.2196555721145885</c:v>
                </c:pt>
                <c:pt idx="1">
                  <c:v>0.22534540257265365</c:v>
                </c:pt>
                <c:pt idx="2">
                  <c:v>0.22784868029824804</c:v>
                </c:pt>
                <c:pt idx="3">
                  <c:v>0.2193504004717213</c:v>
                </c:pt>
              </c:numCache>
            </c:numRef>
          </c:val>
          <c:smooth val="0"/>
          <c:extLst>
            <c:ext xmlns:c16="http://schemas.microsoft.com/office/drawing/2014/chart" uri="{C3380CC4-5D6E-409C-BE32-E72D297353CC}">
              <c16:uniqueId val="{00000002-15DD-439E-94FB-BF828044381D}"/>
            </c:ext>
          </c:extLst>
        </c:ser>
        <c:dLbls>
          <c:showLegendKey val="0"/>
          <c:showVal val="0"/>
          <c:showCatName val="0"/>
          <c:showSerName val="0"/>
          <c:showPercent val="0"/>
          <c:showBubbleSize val="0"/>
        </c:dLbls>
        <c:marker val="1"/>
        <c:smooth val="0"/>
        <c:axId val="289060352"/>
        <c:axId val="289058816"/>
      </c:lineChart>
      <c:catAx>
        <c:axId val="28905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89056640"/>
        <c:crosses val="autoZero"/>
        <c:auto val="1"/>
        <c:lblAlgn val="ctr"/>
        <c:lblOffset val="100"/>
        <c:noMultiLvlLbl val="0"/>
      </c:catAx>
      <c:valAx>
        <c:axId val="289056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t>skaits</a:t>
                </a:r>
              </a:p>
            </c:rich>
          </c:tx>
          <c:layout>
            <c:manualLayout>
              <c:xMode val="edge"/>
              <c:yMode val="edge"/>
              <c:x val="0.19630582863532592"/>
              <c:y val="0.2383725715190123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89055104"/>
        <c:crosses val="autoZero"/>
        <c:crossBetween val="between"/>
      </c:valAx>
      <c:valAx>
        <c:axId val="289058816"/>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89060352"/>
        <c:crosses val="max"/>
        <c:crossBetween val="between"/>
      </c:valAx>
      <c:catAx>
        <c:axId val="289060352"/>
        <c:scaling>
          <c:orientation val="minMax"/>
        </c:scaling>
        <c:delete val="1"/>
        <c:axPos val="b"/>
        <c:numFmt formatCode="General" sourceLinked="1"/>
        <c:majorTickMark val="none"/>
        <c:minorTickMark val="none"/>
        <c:tickLblPos val="nextTo"/>
        <c:crossAx val="289058816"/>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MUN!$A$6</c:f>
              <c:strCache>
                <c:ptCount val="1"/>
                <c:pt idx="0">
                  <c:v>Nedeklarētā darba samaksa</c:v>
                </c:pt>
              </c:strCache>
            </c:strRef>
          </c:tx>
          <c:spPr>
            <a:solidFill>
              <a:schemeClr val="accent5">
                <a:shade val="58000"/>
              </a:schemeClr>
            </a:solidFill>
            <a:ln>
              <a:noFill/>
            </a:ln>
            <a:effectLst/>
          </c:spPr>
          <c:invertIfNegative val="0"/>
          <c:cat>
            <c:strRef>
              <c:f>MUN!$AL$5:$AN$5</c:f>
              <c:strCache>
                <c:ptCount val="3"/>
                <c:pt idx="0">
                  <c:v>2017.g.</c:v>
                </c:pt>
                <c:pt idx="1">
                  <c:v>2018.g</c:v>
                </c:pt>
                <c:pt idx="2">
                  <c:v>2019.g.</c:v>
                </c:pt>
              </c:strCache>
            </c:strRef>
          </c:cat>
          <c:val>
            <c:numRef>
              <c:f>MUN!$AL$6:$AN$6</c:f>
              <c:numCache>
                <c:formatCode>#,##0</c:formatCode>
                <c:ptCount val="3"/>
                <c:pt idx="0">
                  <c:v>20207.02346999996</c:v>
                </c:pt>
                <c:pt idx="1">
                  <c:v>34768.593109999943</c:v>
                </c:pt>
                <c:pt idx="2">
                  <c:v>29470.800260000127</c:v>
                </c:pt>
              </c:numCache>
            </c:numRef>
          </c:val>
          <c:extLst>
            <c:ext xmlns:c16="http://schemas.microsoft.com/office/drawing/2014/chart" uri="{C3380CC4-5D6E-409C-BE32-E72D297353CC}">
              <c16:uniqueId val="{00000000-DF29-4913-AB99-0249E9676C51}"/>
            </c:ext>
          </c:extLst>
        </c:ser>
        <c:dLbls>
          <c:showLegendKey val="0"/>
          <c:showVal val="0"/>
          <c:showCatName val="0"/>
          <c:showSerName val="0"/>
          <c:showPercent val="0"/>
          <c:showBubbleSize val="0"/>
        </c:dLbls>
        <c:gapWidth val="219"/>
        <c:axId val="289125504"/>
        <c:axId val="289127040"/>
      </c:barChart>
      <c:lineChart>
        <c:grouping val="standard"/>
        <c:varyColors val="0"/>
        <c:ser>
          <c:idx val="3"/>
          <c:order val="1"/>
          <c:tx>
            <c:strRef>
              <c:f>MUN!$A$7</c:f>
              <c:strCache>
                <c:ptCount val="1"/>
                <c:pt idx="0">
                  <c:v>Nedeklarēto darba algas ienākumu īpatsvars, %</c:v>
                </c:pt>
              </c:strCache>
            </c:strRef>
          </c:tx>
          <c:spPr>
            <a:ln w="28575" cap="rnd">
              <a:solidFill>
                <a:schemeClr val="accent5">
                  <a:tint val="58000"/>
                </a:schemeClr>
              </a:solidFill>
              <a:round/>
            </a:ln>
            <a:effectLst/>
          </c:spPr>
          <c:marker>
            <c:symbol val="none"/>
          </c:marker>
          <c:cat>
            <c:strRef>
              <c:f>MUN!$AL$5:$AN$5</c:f>
              <c:strCache>
                <c:ptCount val="3"/>
                <c:pt idx="0">
                  <c:v>2017.g.</c:v>
                </c:pt>
                <c:pt idx="1">
                  <c:v>2018.g</c:v>
                </c:pt>
                <c:pt idx="2">
                  <c:v>2019.g.</c:v>
                </c:pt>
              </c:strCache>
            </c:strRef>
          </c:cat>
          <c:val>
            <c:numRef>
              <c:f>MUN!$AL$7:$AN$7</c:f>
              <c:numCache>
                <c:formatCode>0.0%</c:formatCode>
                <c:ptCount val="3"/>
                <c:pt idx="0">
                  <c:v>0.26347443813412413</c:v>
                </c:pt>
                <c:pt idx="1">
                  <c:v>0.39444922742908201</c:v>
                </c:pt>
                <c:pt idx="2">
                  <c:v>0.37938458840163913</c:v>
                </c:pt>
              </c:numCache>
            </c:numRef>
          </c:val>
          <c:smooth val="0"/>
          <c:extLst>
            <c:ext xmlns:c16="http://schemas.microsoft.com/office/drawing/2014/chart" uri="{C3380CC4-5D6E-409C-BE32-E72D297353CC}">
              <c16:uniqueId val="{00000001-DF29-4913-AB99-0249E9676C51}"/>
            </c:ext>
          </c:extLst>
        </c:ser>
        <c:dLbls>
          <c:showLegendKey val="0"/>
          <c:showVal val="0"/>
          <c:showCatName val="0"/>
          <c:showSerName val="0"/>
          <c:showPercent val="0"/>
          <c:showBubbleSize val="0"/>
        </c:dLbls>
        <c:marker val="1"/>
        <c:smooth val="0"/>
        <c:axId val="289134464"/>
        <c:axId val="289132928"/>
      </c:lineChart>
      <c:catAx>
        <c:axId val="28912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89127040"/>
        <c:crosses val="autoZero"/>
        <c:auto val="1"/>
        <c:lblAlgn val="ctr"/>
        <c:lblOffset val="100"/>
        <c:noMultiLvlLbl val="0"/>
      </c:catAx>
      <c:valAx>
        <c:axId val="28912704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89125504"/>
        <c:crosses val="autoZero"/>
        <c:crossBetween val="between"/>
      </c:valAx>
      <c:valAx>
        <c:axId val="289132928"/>
        <c:scaling>
          <c:orientation val="minMax"/>
          <c:min val="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89134464"/>
        <c:crosses val="max"/>
        <c:crossBetween val="between"/>
      </c:valAx>
      <c:catAx>
        <c:axId val="289134464"/>
        <c:scaling>
          <c:orientation val="minMax"/>
        </c:scaling>
        <c:delete val="1"/>
        <c:axPos val="b"/>
        <c:numFmt formatCode="General" sourceLinked="1"/>
        <c:majorTickMark val="out"/>
        <c:minorTickMark val="none"/>
        <c:tickLblPos val="nextTo"/>
        <c:crossAx val="289132928"/>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944B7-AC90-4543-B4CB-EFD7BCFD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42568</Words>
  <Characters>24265</Characters>
  <Application>Microsoft Office Word</Application>
  <DocSecurity>0</DocSecurity>
  <Lines>202</Lines>
  <Paragraphs>133</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Informatīvais ziņojums par Ministru kabineta 2019.gada 15.janvāra sēdes protokollēmuma (prot. Nr.2 62.§ “Informatīvais ziņojums “Par pārbaudēs saistībā ar elektroniskās darba laika uzskaites sistēmas ieviešanu būvniecībā konstatēto”) 3.punktā dotā uzdevum</vt:lpstr>
      <vt:lpstr/>
      <vt:lpstr/>
    </vt:vector>
  </TitlesOfParts>
  <Company>Finanšu ministrija</Company>
  <LinksUpToDate>false</LinksUpToDate>
  <CharactersWithSpaces>66700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2019.gada 15.janvāra sēdes protokollēmuma (prot. Nr.2 62.§ “Informatīvais ziņojums “Par pārbaudēs saistībā ar elektroniskās darba laika uzskaites sistēmas ieviešanu būvniecībā konstatēto”) 3.punktā dotā uzdevuma izpildi</dc:title>
  <dc:creator>Ineta Brokāne</dc:creator>
  <dc:description>Brokāne 67121494
Ineta.Brokāne@vid.gov.lv</dc:description>
  <cp:lastModifiedBy>Agnese Jaunupe</cp:lastModifiedBy>
  <cp:revision>5</cp:revision>
  <cp:lastPrinted>2020-06-04T13:29:00Z</cp:lastPrinted>
  <dcterms:created xsi:type="dcterms:W3CDTF">2020-07-03T12:12:00Z</dcterms:created>
  <dcterms:modified xsi:type="dcterms:W3CDTF">2020-07-06T12:06:00Z</dcterms:modified>
  <cp:category>Informatīvais ziņojums</cp:category>
</cp:coreProperties>
</file>