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218D4" w14:textId="0182A47C" w:rsidR="00B00462" w:rsidRPr="0061539B" w:rsidRDefault="00B00462" w:rsidP="00B00462">
      <w:pPr>
        <w:tabs>
          <w:tab w:val="left" w:pos="6237"/>
        </w:tabs>
        <w:jc w:val="center"/>
        <w:rPr>
          <w:b/>
          <w:sz w:val="28"/>
          <w:szCs w:val="28"/>
        </w:rPr>
      </w:pPr>
      <w:bookmarkStart w:id="0" w:name="468683"/>
      <w:bookmarkStart w:id="1" w:name="OLE_LINK2"/>
      <w:bookmarkStart w:id="2" w:name="OLE_LINK3"/>
      <w:bookmarkStart w:id="3" w:name="OLE_LINK4"/>
      <w:bookmarkStart w:id="4" w:name="OLE_LINK1"/>
      <w:bookmarkStart w:id="5" w:name="_GoBack"/>
      <w:bookmarkEnd w:id="0"/>
      <w:bookmarkEnd w:id="5"/>
      <w:r w:rsidRPr="0061539B">
        <w:rPr>
          <w:b/>
          <w:sz w:val="28"/>
          <w:szCs w:val="28"/>
        </w:rPr>
        <w:t>Minist</w:t>
      </w:r>
      <w:bookmarkStart w:id="6" w:name="OLE_LINK5"/>
      <w:bookmarkStart w:id="7" w:name="OLE_LINK8"/>
      <w:r w:rsidRPr="0061539B">
        <w:rPr>
          <w:b/>
          <w:sz w:val="28"/>
          <w:szCs w:val="28"/>
        </w:rPr>
        <w:t xml:space="preserve">ru kabineta noteikumu projekta </w:t>
      </w:r>
      <w:r w:rsidR="003266CF" w:rsidRPr="0061539B">
        <w:rPr>
          <w:b/>
          <w:sz w:val="28"/>
          <w:szCs w:val="28"/>
        </w:rPr>
        <w:t>“</w:t>
      </w:r>
      <w:r w:rsidRPr="0061539B">
        <w:rPr>
          <w:b/>
          <w:sz w:val="28"/>
          <w:szCs w:val="28"/>
        </w:rPr>
        <w:t>Grozījum</w:t>
      </w:r>
      <w:r w:rsidR="006376F7" w:rsidRPr="0061539B">
        <w:rPr>
          <w:b/>
          <w:sz w:val="28"/>
          <w:szCs w:val="28"/>
        </w:rPr>
        <w:t>i</w:t>
      </w:r>
      <w:r w:rsidRPr="0061539B">
        <w:rPr>
          <w:b/>
          <w:sz w:val="28"/>
          <w:szCs w:val="28"/>
        </w:rPr>
        <w:t xml:space="preserve"> Ministru kabineta 2011.gada 1.februāra noteikumos Nr.109 </w:t>
      </w:r>
      <w:bookmarkEnd w:id="6"/>
      <w:bookmarkEnd w:id="7"/>
      <w:r w:rsidR="003266CF" w:rsidRPr="0061539B">
        <w:rPr>
          <w:b/>
          <w:sz w:val="28"/>
          <w:szCs w:val="28"/>
        </w:rPr>
        <w:t>“</w:t>
      </w:r>
      <w:r w:rsidRPr="0061539B">
        <w:rPr>
          <w:b/>
          <w:sz w:val="28"/>
          <w:szCs w:val="28"/>
        </w:rPr>
        <w:t>Kārtība, kādā atsavināma publiskas personas manta”” sākotnējās ietekmes novērtējuma ziņojums (anotācija</w:t>
      </w:r>
      <w:bookmarkEnd w:id="1"/>
      <w:r w:rsidRPr="0061539B">
        <w:rPr>
          <w:b/>
          <w:sz w:val="28"/>
          <w:szCs w:val="28"/>
        </w:rPr>
        <w:t>)</w:t>
      </w:r>
    </w:p>
    <w:p w14:paraId="48CF5BCD" w14:textId="77777777" w:rsidR="00055608" w:rsidRPr="0061539B" w:rsidRDefault="00055608" w:rsidP="005D6B8A">
      <w:pPr>
        <w:jc w:val="center"/>
        <w:rPr>
          <w:b/>
          <w:sz w:val="28"/>
          <w:szCs w:val="28"/>
        </w:rPr>
      </w:pPr>
    </w:p>
    <w:tbl>
      <w:tblPr>
        <w:tblStyle w:val="TableGrid"/>
        <w:tblW w:w="5508" w:type="pct"/>
        <w:tblInd w:w="-459" w:type="dxa"/>
        <w:tblLook w:val="04A0" w:firstRow="1" w:lastRow="0" w:firstColumn="1" w:lastColumn="0" w:noHBand="0" w:noVBand="1"/>
      </w:tblPr>
      <w:tblGrid>
        <w:gridCol w:w="3119"/>
        <w:gridCol w:w="7086"/>
      </w:tblGrid>
      <w:tr w:rsidR="001E7782" w:rsidRPr="0061539B" w14:paraId="16C63457" w14:textId="77777777" w:rsidTr="00BF09E0">
        <w:tc>
          <w:tcPr>
            <w:tcW w:w="5000" w:type="pct"/>
            <w:gridSpan w:val="2"/>
            <w:hideMark/>
          </w:tcPr>
          <w:p w14:paraId="31975C8C" w14:textId="77777777" w:rsidR="001E7782" w:rsidRPr="0061539B" w:rsidRDefault="001E7782" w:rsidP="00A03525">
            <w:pPr>
              <w:jc w:val="center"/>
              <w:rPr>
                <w:b/>
                <w:bCs/>
                <w:iCs/>
                <w:sz w:val="28"/>
                <w:szCs w:val="28"/>
                <w:lang w:val="sv-SE"/>
              </w:rPr>
            </w:pPr>
            <w:r w:rsidRPr="0061539B">
              <w:rPr>
                <w:b/>
                <w:bCs/>
                <w:iCs/>
                <w:sz w:val="28"/>
                <w:szCs w:val="28"/>
                <w:lang w:val="sv-SE"/>
              </w:rPr>
              <w:t>Tiesību akta projekta anotācijas kopsavilkums</w:t>
            </w:r>
          </w:p>
        </w:tc>
      </w:tr>
      <w:tr w:rsidR="001E7782" w:rsidRPr="0061539B" w14:paraId="41F1A5A4" w14:textId="77777777" w:rsidTr="00BF09E0">
        <w:tc>
          <w:tcPr>
            <w:tcW w:w="1528" w:type="pct"/>
            <w:hideMark/>
          </w:tcPr>
          <w:p w14:paraId="4CD29A0A" w14:textId="77777777" w:rsidR="001E7782" w:rsidRPr="0061539B" w:rsidRDefault="001E7782" w:rsidP="00A03525">
            <w:pPr>
              <w:rPr>
                <w:iCs/>
                <w:sz w:val="28"/>
                <w:szCs w:val="28"/>
              </w:rPr>
            </w:pPr>
            <w:r w:rsidRPr="0061539B">
              <w:rPr>
                <w:iCs/>
                <w:sz w:val="28"/>
                <w:szCs w:val="28"/>
              </w:rPr>
              <w:t>Mērķis, risinājums un projekta spēkā stāšanās laiks</w:t>
            </w:r>
          </w:p>
        </w:tc>
        <w:tc>
          <w:tcPr>
            <w:tcW w:w="3472" w:type="pct"/>
            <w:hideMark/>
          </w:tcPr>
          <w:p w14:paraId="466C4075" w14:textId="23E57A13" w:rsidR="001E7782" w:rsidRPr="0061539B" w:rsidRDefault="00405302" w:rsidP="006671E7">
            <w:pPr>
              <w:jc w:val="both"/>
              <w:rPr>
                <w:iCs/>
                <w:sz w:val="28"/>
                <w:szCs w:val="28"/>
              </w:rPr>
            </w:pPr>
            <w:r w:rsidRPr="0061539B">
              <w:rPr>
                <w:color w:val="0D0D0D"/>
                <w:sz w:val="28"/>
                <w:szCs w:val="28"/>
              </w:rPr>
              <w:t>Saskaņā ar Ministru kabineta 2009.gada 15.decembra instrukcijas Nr.19 “Tiesību akta projekta sākotnējās ietekmes izvērtēšanas kārtība” 5.</w:t>
            </w:r>
            <w:r w:rsidRPr="0061539B">
              <w:rPr>
                <w:color w:val="0D0D0D"/>
                <w:sz w:val="28"/>
                <w:szCs w:val="28"/>
                <w:vertAlign w:val="superscript"/>
              </w:rPr>
              <w:t>1</w:t>
            </w:r>
            <w:r w:rsidRPr="0061539B">
              <w:rPr>
                <w:color w:val="0D0D0D"/>
                <w:sz w:val="28"/>
                <w:szCs w:val="28"/>
              </w:rPr>
              <w:t> punktu šī sadaļa nav jāaizpilda.</w:t>
            </w:r>
          </w:p>
        </w:tc>
      </w:tr>
    </w:tbl>
    <w:p w14:paraId="586E3125" w14:textId="77777777" w:rsidR="00B32624" w:rsidRPr="0061539B" w:rsidRDefault="00B32624" w:rsidP="005D6B8A">
      <w:pPr>
        <w:jc w:val="center"/>
        <w:rPr>
          <w:b/>
          <w:sz w:val="28"/>
          <w:szCs w:val="28"/>
        </w:rPr>
      </w:pPr>
    </w:p>
    <w:tbl>
      <w:tblPr>
        <w:tblpPr w:leftFromText="180" w:rightFromText="180" w:vertAnchor="text" w:horzAnchor="margin" w:tblpXSpec="center" w:tblpY="14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2693"/>
        <w:gridCol w:w="7088"/>
      </w:tblGrid>
      <w:tr w:rsidR="00E915CD" w:rsidRPr="0061539B" w14:paraId="164BBA9C" w14:textId="77777777" w:rsidTr="00BF09E0">
        <w:tc>
          <w:tcPr>
            <w:tcW w:w="10211" w:type="dxa"/>
            <w:gridSpan w:val="3"/>
            <w:vAlign w:val="center"/>
          </w:tcPr>
          <w:bookmarkEnd w:id="2"/>
          <w:bookmarkEnd w:id="3"/>
          <w:bookmarkEnd w:id="4"/>
          <w:p w14:paraId="560198B2" w14:textId="77777777" w:rsidR="00585B7B" w:rsidRPr="0061539B" w:rsidRDefault="00585B7B" w:rsidP="00194A0F">
            <w:pPr>
              <w:pStyle w:val="naisnod"/>
              <w:spacing w:before="0" w:after="0"/>
              <w:rPr>
                <w:sz w:val="28"/>
                <w:szCs w:val="28"/>
              </w:rPr>
            </w:pPr>
            <w:r w:rsidRPr="0061539B">
              <w:rPr>
                <w:sz w:val="28"/>
                <w:szCs w:val="28"/>
              </w:rPr>
              <w:t>I. Tiesību akta projekta izstrādes nepieciešamība</w:t>
            </w:r>
          </w:p>
        </w:tc>
      </w:tr>
      <w:tr w:rsidR="00E915CD" w:rsidRPr="0061539B" w14:paraId="1DC7DDB3" w14:textId="77777777" w:rsidTr="00BD4995">
        <w:trPr>
          <w:trHeight w:val="416"/>
        </w:trPr>
        <w:tc>
          <w:tcPr>
            <w:tcW w:w="430" w:type="dxa"/>
          </w:tcPr>
          <w:p w14:paraId="7242B342" w14:textId="77777777" w:rsidR="00585B7B" w:rsidRPr="0061539B" w:rsidRDefault="00585B7B" w:rsidP="008430A7">
            <w:pPr>
              <w:pStyle w:val="naiskr"/>
              <w:spacing w:before="0" w:after="0"/>
              <w:jc w:val="center"/>
              <w:rPr>
                <w:sz w:val="28"/>
                <w:szCs w:val="28"/>
              </w:rPr>
            </w:pPr>
            <w:r w:rsidRPr="0061539B">
              <w:rPr>
                <w:sz w:val="28"/>
                <w:szCs w:val="28"/>
              </w:rPr>
              <w:t>1.</w:t>
            </w:r>
          </w:p>
        </w:tc>
        <w:tc>
          <w:tcPr>
            <w:tcW w:w="2693" w:type="dxa"/>
          </w:tcPr>
          <w:p w14:paraId="03E3DAD9" w14:textId="77777777" w:rsidR="00585B7B" w:rsidRPr="0061539B" w:rsidRDefault="00585B7B" w:rsidP="003E3E30">
            <w:pPr>
              <w:pStyle w:val="naiskr"/>
              <w:spacing w:before="0" w:after="0"/>
              <w:ind w:left="141" w:hanging="10"/>
              <w:jc w:val="both"/>
              <w:rPr>
                <w:sz w:val="28"/>
                <w:szCs w:val="28"/>
              </w:rPr>
            </w:pPr>
            <w:r w:rsidRPr="0061539B">
              <w:rPr>
                <w:sz w:val="28"/>
                <w:szCs w:val="28"/>
              </w:rPr>
              <w:t>Pamatojums</w:t>
            </w:r>
          </w:p>
        </w:tc>
        <w:tc>
          <w:tcPr>
            <w:tcW w:w="7088" w:type="dxa"/>
          </w:tcPr>
          <w:p w14:paraId="574F71A6" w14:textId="405B88DA" w:rsidR="00190FBE" w:rsidRPr="0061539B" w:rsidRDefault="00BD4995" w:rsidP="00BD4995">
            <w:pPr>
              <w:jc w:val="both"/>
              <w:rPr>
                <w:sz w:val="28"/>
                <w:szCs w:val="28"/>
              </w:rPr>
            </w:pPr>
            <w:r w:rsidRPr="0061539B">
              <w:rPr>
                <w:color w:val="0D0D0D"/>
                <w:sz w:val="28"/>
                <w:szCs w:val="28"/>
              </w:rPr>
              <w:t>Iekšlietu ministrijas iniciatīva.</w:t>
            </w:r>
          </w:p>
        </w:tc>
      </w:tr>
      <w:tr w:rsidR="00E915CD" w:rsidRPr="0061539B" w14:paraId="0279639F" w14:textId="77777777" w:rsidTr="00BF09E0">
        <w:trPr>
          <w:trHeight w:val="416"/>
        </w:trPr>
        <w:tc>
          <w:tcPr>
            <w:tcW w:w="430" w:type="dxa"/>
          </w:tcPr>
          <w:p w14:paraId="1790E130" w14:textId="3A0BB5C4" w:rsidR="00AA7EC0" w:rsidRPr="0061539B" w:rsidRDefault="00585B7B" w:rsidP="008430A7">
            <w:pPr>
              <w:pStyle w:val="naiskr"/>
              <w:spacing w:before="0" w:after="0"/>
              <w:jc w:val="center"/>
              <w:rPr>
                <w:sz w:val="28"/>
                <w:szCs w:val="28"/>
              </w:rPr>
            </w:pPr>
            <w:r w:rsidRPr="0061539B">
              <w:rPr>
                <w:sz w:val="28"/>
                <w:szCs w:val="28"/>
              </w:rPr>
              <w:t>2.</w:t>
            </w:r>
          </w:p>
          <w:p w14:paraId="30320A1C" w14:textId="77777777" w:rsidR="00AA7EC0" w:rsidRPr="0061539B" w:rsidRDefault="00AA7EC0" w:rsidP="00AA7EC0">
            <w:pPr>
              <w:rPr>
                <w:sz w:val="28"/>
                <w:szCs w:val="28"/>
              </w:rPr>
            </w:pPr>
          </w:p>
          <w:p w14:paraId="37A12708" w14:textId="77777777" w:rsidR="00AA7EC0" w:rsidRPr="0061539B" w:rsidRDefault="00AA7EC0" w:rsidP="00AA7EC0">
            <w:pPr>
              <w:rPr>
                <w:sz w:val="28"/>
                <w:szCs w:val="28"/>
              </w:rPr>
            </w:pPr>
          </w:p>
          <w:p w14:paraId="446CF6EC" w14:textId="77777777" w:rsidR="00AA7EC0" w:rsidRPr="0061539B" w:rsidRDefault="00AA7EC0" w:rsidP="00AA7EC0">
            <w:pPr>
              <w:rPr>
                <w:sz w:val="28"/>
                <w:szCs w:val="28"/>
              </w:rPr>
            </w:pPr>
          </w:p>
          <w:p w14:paraId="590D394C" w14:textId="77777777" w:rsidR="00AA7EC0" w:rsidRPr="0061539B" w:rsidRDefault="00AA7EC0" w:rsidP="00AA7EC0">
            <w:pPr>
              <w:rPr>
                <w:sz w:val="28"/>
                <w:szCs w:val="28"/>
              </w:rPr>
            </w:pPr>
          </w:p>
          <w:p w14:paraId="436AE0B0" w14:textId="77777777" w:rsidR="00AA7EC0" w:rsidRPr="0061539B" w:rsidRDefault="00AA7EC0" w:rsidP="00AA7EC0">
            <w:pPr>
              <w:rPr>
                <w:sz w:val="28"/>
                <w:szCs w:val="28"/>
              </w:rPr>
            </w:pPr>
          </w:p>
          <w:p w14:paraId="41A8B346" w14:textId="77777777" w:rsidR="00AA7EC0" w:rsidRPr="0061539B" w:rsidRDefault="00AA7EC0" w:rsidP="00AA7EC0">
            <w:pPr>
              <w:rPr>
                <w:sz w:val="28"/>
                <w:szCs w:val="28"/>
              </w:rPr>
            </w:pPr>
          </w:p>
          <w:p w14:paraId="119E3D27" w14:textId="77777777" w:rsidR="00AA7EC0" w:rsidRPr="0061539B" w:rsidRDefault="00AA7EC0" w:rsidP="00AA7EC0">
            <w:pPr>
              <w:rPr>
                <w:sz w:val="28"/>
                <w:szCs w:val="28"/>
              </w:rPr>
            </w:pPr>
          </w:p>
          <w:p w14:paraId="5EFE5644" w14:textId="77777777" w:rsidR="00AA7EC0" w:rsidRPr="0061539B" w:rsidRDefault="00AA7EC0" w:rsidP="00AA7EC0">
            <w:pPr>
              <w:rPr>
                <w:sz w:val="28"/>
                <w:szCs w:val="28"/>
              </w:rPr>
            </w:pPr>
          </w:p>
          <w:p w14:paraId="62CFD24E" w14:textId="77777777" w:rsidR="00AA7EC0" w:rsidRPr="0061539B" w:rsidRDefault="00AA7EC0" w:rsidP="00AA7EC0">
            <w:pPr>
              <w:rPr>
                <w:sz w:val="28"/>
                <w:szCs w:val="28"/>
              </w:rPr>
            </w:pPr>
          </w:p>
          <w:p w14:paraId="4B2237D3" w14:textId="77777777" w:rsidR="00AA7EC0" w:rsidRPr="0061539B" w:rsidRDefault="00AA7EC0" w:rsidP="00AA7EC0">
            <w:pPr>
              <w:rPr>
                <w:sz w:val="28"/>
                <w:szCs w:val="28"/>
              </w:rPr>
            </w:pPr>
          </w:p>
          <w:p w14:paraId="60D6D4AE" w14:textId="77777777" w:rsidR="00AA7EC0" w:rsidRPr="0061539B" w:rsidRDefault="00AA7EC0" w:rsidP="00AA7EC0">
            <w:pPr>
              <w:rPr>
                <w:sz w:val="28"/>
                <w:szCs w:val="28"/>
              </w:rPr>
            </w:pPr>
          </w:p>
          <w:p w14:paraId="12292803" w14:textId="77777777" w:rsidR="00AA7EC0" w:rsidRPr="0061539B" w:rsidRDefault="00AA7EC0" w:rsidP="00AA7EC0">
            <w:pPr>
              <w:rPr>
                <w:sz w:val="28"/>
                <w:szCs w:val="28"/>
              </w:rPr>
            </w:pPr>
          </w:p>
          <w:p w14:paraId="62EC59BD" w14:textId="77777777" w:rsidR="00AA7EC0" w:rsidRPr="0061539B" w:rsidRDefault="00AA7EC0" w:rsidP="00AA7EC0">
            <w:pPr>
              <w:rPr>
                <w:sz w:val="28"/>
                <w:szCs w:val="28"/>
              </w:rPr>
            </w:pPr>
          </w:p>
          <w:p w14:paraId="275F4C1A" w14:textId="77777777" w:rsidR="00AA7EC0" w:rsidRPr="0061539B" w:rsidRDefault="00AA7EC0" w:rsidP="00AA7EC0">
            <w:pPr>
              <w:rPr>
                <w:sz w:val="28"/>
                <w:szCs w:val="28"/>
              </w:rPr>
            </w:pPr>
          </w:p>
          <w:p w14:paraId="645C1DDD" w14:textId="77777777" w:rsidR="00AA7EC0" w:rsidRPr="0061539B" w:rsidRDefault="00AA7EC0" w:rsidP="00AA7EC0">
            <w:pPr>
              <w:rPr>
                <w:sz w:val="28"/>
                <w:szCs w:val="28"/>
              </w:rPr>
            </w:pPr>
          </w:p>
          <w:p w14:paraId="41475828" w14:textId="77777777" w:rsidR="00AA7EC0" w:rsidRPr="0061539B" w:rsidRDefault="00AA7EC0" w:rsidP="00AA7EC0">
            <w:pPr>
              <w:rPr>
                <w:sz w:val="28"/>
                <w:szCs w:val="28"/>
              </w:rPr>
            </w:pPr>
          </w:p>
          <w:p w14:paraId="4FDD76C1" w14:textId="77777777" w:rsidR="00AA7EC0" w:rsidRPr="0061539B" w:rsidRDefault="00AA7EC0" w:rsidP="00AA7EC0">
            <w:pPr>
              <w:rPr>
                <w:sz w:val="28"/>
                <w:szCs w:val="28"/>
              </w:rPr>
            </w:pPr>
          </w:p>
          <w:p w14:paraId="6DE5FEED" w14:textId="77777777" w:rsidR="00AA7EC0" w:rsidRPr="0061539B" w:rsidRDefault="00AA7EC0" w:rsidP="00AA7EC0">
            <w:pPr>
              <w:rPr>
                <w:sz w:val="28"/>
                <w:szCs w:val="28"/>
              </w:rPr>
            </w:pPr>
          </w:p>
          <w:p w14:paraId="47DDB88C" w14:textId="77777777" w:rsidR="00AA7EC0" w:rsidRPr="0061539B" w:rsidRDefault="00AA7EC0" w:rsidP="00AA7EC0">
            <w:pPr>
              <w:rPr>
                <w:sz w:val="28"/>
                <w:szCs w:val="28"/>
              </w:rPr>
            </w:pPr>
          </w:p>
          <w:p w14:paraId="611C491B" w14:textId="77777777" w:rsidR="00AA7EC0" w:rsidRPr="0061539B" w:rsidRDefault="00AA7EC0" w:rsidP="00AA7EC0">
            <w:pPr>
              <w:rPr>
                <w:sz w:val="28"/>
                <w:szCs w:val="28"/>
              </w:rPr>
            </w:pPr>
          </w:p>
          <w:p w14:paraId="0A3615EC" w14:textId="77777777" w:rsidR="00AA7EC0" w:rsidRPr="0061539B" w:rsidRDefault="00AA7EC0" w:rsidP="00AA7EC0">
            <w:pPr>
              <w:rPr>
                <w:sz w:val="28"/>
                <w:szCs w:val="28"/>
              </w:rPr>
            </w:pPr>
          </w:p>
          <w:p w14:paraId="38BB4DCD" w14:textId="77777777" w:rsidR="00AA7EC0" w:rsidRPr="0061539B" w:rsidRDefault="00AA7EC0" w:rsidP="00AA7EC0">
            <w:pPr>
              <w:rPr>
                <w:sz w:val="28"/>
                <w:szCs w:val="28"/>
              </w:rPr>
            </w:pPr>
          </w:p>
          <w:p w14:paraId="378FAD17" w14:textId="77777777" w:rsidR="00AA7EC0" w:rsidRPr="0061539B" w:rsidRDefault="00AA7EC0" w:rsidP="00AA7EC0">
            <w:pPr>
              <w:rPr>
                <w:sz w:val="28"/>
                <w:szCs w:val="28"/>
              </w:rPr>
            </w:pPr>
          </w:p>
          <w:p w14:paraId="1DA8052E" w14:textId="77777777" w:rsidR="00AA7EC0" w:rsidRPr="0061539B" w:rsidRDefault="00AA7EC0" w:rsidP="00AA7EC0">
            <w:pPr>
              <w:rPr>
                <w:sz w:val="28"/>
                <w:szCs w:val="28"/>
              </w:rPr>
            </w:pPr>
          </w:p>
          <w:p w14:paraId="6A5EFC99" w14:textId="77777777" w:rsidR="00AA7EC0" w:rsidRPr="0061539B" w:rsidRDefault="00AA7EC0" w:rsidP="00AA7EC0">
            <w:pPr>
              <w:rPr>
                <w:sz w:val="28"/>
                <w:szCs w:val="28"/>
              </w:rPr>
            </w:pPr>
          </w:p>
          <w:p w14:paraId="71BBAB95" w14:textId="77777777" w:rsidR="00AA7EC0" w:rsidRPr="0061539B" w:rsidRDefault="00AA7EC0" w:rsidP="00AA7EC0">
            <w:pPr>
              <w:rPr>
                <w:sz w:val="28"/>
                <w:szCs w:val="28"/>
              </w:rPr>
            </w:pPr>
          </w:p>
          <w:p w14:paraId="20E8D91E" w14:textId="77777777" w:rsidR="00AA7EC0" w:rsidRPr="0061539B" w:rsidRDefault="00AA7EC0" w:rsidP="00AA7EC0">
            <w:pPr>
              <w:rPr>
                <w:sz w:val="28"/>
                <w:szCs w:val="28"/>
              </w:rPr>
            </w:pPr>
          </w:p>
          <w:p w14:paraId="26D8BC80" w14:textId="77777777" w:rsidR="00AA7EC0" w:rsidRPr="0061539B" w:rsidRDefault="00AA7EC0" w:rsidP="00AA7EC0">
            <w:pPr>
              <w:rPr>
                <w:sz w:val="28"/>
                <w:szCs w:val="28"/>
              </w:rPr>
            </w:pPr>
          </w:p>
          <w:p w14:paraId="7D2F476C" w14:textId="77777777" w:rsidR="00AA7EC0" w:rsidRPr="0061539B" w:rsidRDefault="00AA7EC0" w:rsidP="00AA7EC0">
            <w:pPr>
              <w:rPr>
                <w:sz w:val="28"/>
                <w:szCs w:val="28"/>
              </w:rPr>
            </w:pPr>
          </w:p>
          <w:p w14:paraId="72D41CAC" w14:textId="77777777" w:rsidR="00AA7EC0" w:rsidRPr="0061539B" w:rsidRDefault="00AA7EC0" w:rsidP="00AA7EC0">
            <w:pPr>
              <w:rPr>
                <w:sz w:val="28"/>
                <w:szCs w:val="28"/>
              </w:rPr>
            </w:pPr>
          </w:p>
          <w:p w14:paraId="5D924A5F" w14:textId="77777777" w:rsidR="00AA7EC0" w:rsidRPr="0061539B" w:rsidRDefault="00AA7EC0" w:rsidP="00AA7EC0">
            <w:pPr>
              <w:rPr>
                <w:sz w:val="28"/>
                <w:szCs w:val="28"/>
              </w:rPr>
            </w:pPr>
          </w:p>
          <w:p w14:paraId="2A84E5E8" w14:textId="77777777" w:rsidR="00AA7EC0" w:rsidRPr="0061539B" w:rsidRDefault="00AA7EC0" w:rsidP="00AA7EC0">
            <w:pPr>
              <w:rPr>
                <w:sz w:val="28"/>
                <w:szCs w:val="28"/>
              </w:rPr>
            </w:pPr>
          </w:p>
          <w:p w14:paraId="6E490547" w14:textId="4774D018" w:rsidR="00AA7EC0" w:rsidRPr="0061539B" w:rsidRDefault="00AA7EC0" w:rsidP="00AA7EC0">
            <w:pPr>
              <w:rPr>
                <w:sz w:val="28"/>
                <w:szCs w:val="28"/>
              </w:rPr>
            </w:pPr>
          </w:p>
          <w:p w14:paraId="67600840" w14:textId="6A296FCA" w:rsidR="00AA7EC0" w:rsidRPr="0061539B" w:rsidRDefault="00AA7EC0" w:rsidP="00AA7EC0">
            <w:pPr>
              <w:rPr>
                <w:sz w:val="28"/>
                <w:szCs w:val="28"/>
              </w:rPr>
            </w:pPr>
          </w:p>
          <w:p w14:paraId="52B291D7" w14:textId="77777777" w:rsidR="00585B7B" w:rsidRPr="0061539B" w:rsidRDefault="00585B7B" w:rsidP="00AA7EC0">
            <w:pPr>
              <w:rPr>
                <w:sz w:val="28"/>
                <w:szCs w:val="28"/>
              </w:rPr>
            </w:pPr>
          </w:p>
        </w:tc>
        <w:tc>
          <w:tcPr>
            <w:tcW w:w="2693" w:type="dxa"/>
          </w:tcPr>
          <w:p w14:paraId="2C1BBB04" w14:textId="77777777" w:rsidR="00B11DE0" w:rsidRPr="0061539B" w:rsidRDefault="00E42247" w:rsidP="00190FBE">
            <w:pPr>
              <w:pStyle w:val="naiskr"/>
              <w:tabs>
                <w:tab w:val="left" w:pos="170"/>
              </w:tabs>
              <w:spacing w:before="0" w:after="0"/>
              <w:ind w:left="141"/>
              <w:rPr>
                <w:sz w:val="28"/>
                <w:szCs w:val="28"/>
              </w:rPr>
            </w:pPr>
            <w:r w:rsidRPr="0061539B">
              <w:rPr>
                <w:sz w:val="28"/>
                <w:szCs w:val="28"/>
              </w:rPr>
              <w:lastRenderedPageBreak/>
              <w:t>Pašreizējā situācija un problēmas, kuru risināšanai tiesību akta projekts izstrādāts, tiesiskā regulējuma mērķis un būtība</w:t>
            </w:r>
          </w:p>
          <w:p w14:paraId="3EE2545B" w14:textId="77777777" w:rsidR="00B11DE0" w:rsidRPr="0061539B" w:rsidRDefault="00B11DE0" w:rsidP="00B11DE0">
            <w:pPr>
              <w:rPr>
                <w:sz w:val="28"/>
                <w:szCs w:val="28"/>
              </w:rPr>
            </w:pPr>
          </w:p>
          <w:p w14:paraId="0BCB00FA" w14:textId="77777777" w:rsidR="00B11DE0" w:rsidRPr="0061539B" w:rsidRDefault="00B11DE0" w:rsidP="00B11DE0">
            <w:pPr>
              <w:rPr>
                <w:sz w:val="28"/>
                <w:szCs w:val="28"/>
              </w:rPr>
            </w:pPr>
          </w:p>
          <w:p w14:paraId="05F1291A" w14:textId="77777777" w:rsidR="00B11DE0" w:rsidRPr="0061539B" w:rsidRDefault="00B11DE0" w:rsidP="00B11DE0">
            <w:pPr>
              <w:rPr>
                <w:sz w:val="28"/>
                <w:szCs w:val="28"/>
              </w:rPr>
            </w:pPr>
          </w:p>
          <w:p w14:paraId="0FC2795B" w14:textId="77777777" w:rsidR="00B11DE0" w:rsidRPr="0061539B" w:rsidRDefault="00B11DE0" w:rsidP="00B11DE0">
            <w:pPr>
              <w:rPr>
                <w:sz w:val="28"/>
                <w:szCs w:val="28"/>
              </w:rPr>
            </w:pPr>
          </w:p>
          <w:p w14:paraId="32B6404C" w14:textId="77777777" w:rsidR="00B11DE0" w:rsidRPr="0061539B" w:rsidRDefault="00B11DE0" w:rsidP="00B11DE0">
            <w:pPr>
              <w:rPr>
                <w:sz w:val="28"/>
                <w:szCs w:val="28"/>
              </w:rPr>
            </w:pPr>
          </w:p>
          <w:p w14:paraId="14CD6BD8" w14:textId="77777777" w:rsidR="00B11DE0" w:rsidRPr="0061539B" w:rsidRDefault="00B11DE0" w:rsidP="00B11DE0">
            <w:pPr>
              <w:rPr>
                <w:sz w:val="28"/>
                <w:szCs w:val="28"/>
              </w:rPr>
            </w:pPr>
          </w:p>
          <w:p w14:paraId="27AEF4D8" w14:textId="77777777" w:rsidR="00B11DE0" w:rsidRPr="0061539B" w:rsidRDefault="00B11DE0" w:rsidP="00B11DE0">
            <w:pPr>
              <w:rPr>
                <w:sz w:val="28"/>
                <w:szCs w:val="28"/>
              </w:rPr>
            </w:pPr>
          </w:p>
          <w:p w14:paraId="7DF3BEDC" w14:textId="77777777" w:rsidR="00B11DE0" w:rsidRPr="0061539B" w:rsidRDefault="00B11DE0" w:rsidP="00B11DE0">
            <w:pPr>
              <w:rPr>
                <w:sz w:val="28"/>
                <w:szCs w:val="28"/>
              </w:rPr>
            </w:pPr>
          </w:p>
          <w:p w14:paraId="0AEDE733" w14:textId="77777777" w:rsidR="00B11DE0" w:rsidRPr="0061539B" w:rsidRDefault="00B11DE0" w:rsidP="00B11DE0">
            <w:pPr>
              <w:rPr>
                <w:sz w:val="28"/>
                <w:szCs w:val="28"/>
              </w:rPr>
            </w:pPr>
          </w:p>
          <w:p w14:paraId="63CB4AF2" w14:textId="77777777" w:rsidR="00B11DE0" w:rsidRPr="0061539B" w:rsidRDefault="00B11DE0" w:rsidP="00B11DE0">
            <w:pPr>
              <w:rPr>
                <w:sz w:val="28"/>
                <w:szCs w:val="28"/>
              </w:rPr>
            </w:pPr>
          </w:p>
          <w:p w14:paraId="09070155" w14:textId="77777777" w:rsidR="00B11DE0" w:rsidRPr="0061539B" w:rsidRDefault="00B11DE0" w:rsidP="00B11DE0">
            <w:pPr>
              <w:rPr>
                <w:sz w:val="28"/>
                <w:szCs w:val="28"/>
              </w:rPr>
            </w:pPr>
          </w:p>
          <w:p w14:paraId="6CCABE11" w14:textId="77777777" w:rsidR="00B11DE0" w:rsidRPr="0061539B" w:rsidRDefault="00B11DE0" w:rsidP="00B11DE0">
            <w:pPr>
              <w:rPr>
                <w:sz w:val="28"/>
                <w:szCs w:val="28"/>
              </w:rPr>
            </w:pPr>
          </w:p>
          <w:p w14:paraId="38EA881D" w14:textId="77777777" w:rsidR="00B11DE0" w:rsidRPr="0061539B" w:rsidRDefault="00B11DE0" w:rsidP="00B11DE0">
            <w:pPr>
              <w:rPr>
                <w:sz w:val="28"/>
                <w:szCs w:val="28"/>
              </w:rPr>
            </w:pPr>
          </w:p>
          <w:p w14:paraId="187496C8" w14:textId="77777777" w:rsidR="00B11DE0" w:rsidRPr="0061539B" w:rsidRDefault="00B11DE0" w:rsidP="00B11DE0">
            <w:pPr>
              <w:rPr>
                <w:sz w:val="28"/>
                <w:szCs w:val="28"/>
              </w:rPr>
            </w:pPr>
          </w:p>
          <w:p w14:paraId="4BC92CC1" w14:textId="77777777" w:rsidR="00B11DE0" w:rsidRPr="0061539B" w:rsidRDefault="00B11DE0" w:rsidP="00B11DE0">
            <w:pPr>
              <w:rPr>
                <w:sz w:val="28"/>
                <w:szCs w:val="28"/>
              </w:rPr>
            </w:pPr>
          </w:p>
          <w:p w14:paraId="7FC6C77E" w14:textId="77777777" w:rsidR="00B11DE0" w:rsidRPr="0061539B" w:rsidRDefault="00B11DE0" w:rsidP="00B11DE0">
            <w:pPr>
              <w:rPr>
                <w:sz w:val="28"/>
                <w:szCs w:val="28"/>
              </w:rPr>
            </w:pPr>
          </w:p>
          <w:p w14:paraId="07E035BF" w14:textId="77777777" w:rsidR="00B11DE0" w:rsidRPr="0061539B" w:rsidRDefault="00B11DE0" w:rsidP="00B11DE0">
            <w:pPr>
              <w:rPr>
                <w:sz w:val="28"/>
                <w:szCs w:val="28"/>
              </w:rPr>
            </w:pPr>
          </w:p>
          <w:p w14:paraId="3F7A955D" w14:textId="77777777" w:rsidR="00B11DE0" w:rsidRPr="0061539B" w:rsidRDefault="00B11DE0" w:rsidP="00B11DE0">
            <w:pPr>
              <w:rPr>
                <w:sz w:val="28"/>
                <w:szCs w:val="28"/>
              </w:rPr>
            </w:pPr>
          </w:p>
          <w:p w14:paraId="5CC0D45E" w14:textId="77777777" w:rsidR="00B11DE0" w:rsidRPr="0061539B" w:rsidRDefault="00B11DE0" w:rsidP="00B11DE0">
            <w:pPr>
              <w:rPr>
                <w:sz w:val="28"/>
                <w:szCs w:val="28"/>
              </w:rPr>
            </w:pPr>
          </w:p>
          <w:p w14:paraId="6CA01434" w14:textId="77777777" w:rsidR="00B11DE0" w:rsidRPr="0061539B" w:rsidRDefault="00B11DE0" w:rsidP="00B11DE0">
            <w:pPr>
              <w:rPr>
                <w:sz w:val="28"/>
                <w:szCs w:val="28"/>
              </w:rPr>
            </w:pPr>
          </w:p>
          <w:p w14:paraId="54340AF9" w14:textId="77777777" w:rsidR="00B11DE0" w:rsidRPr="0061539B" w:rsidRDefault="00B11DE0" w:rsidP="00B11DE0">
            <w:pPr>
              <w:rPr>
                <w:sz w:val="28"/>
                <w:szCs w:val="28"/>
              </w:rPr>
            </w:pPr>
          </w:p>
          <w:p w14:paraId="6B95C480" w14:textId="77777777" w:rsidR="00B11DE0" w:rsidRPr="0061539B" w:rsidRDefault="00B11DE0" w:rsidP="00B11DE0">
            <w:pPr>
              <w:rPr>
                <w:sz w:val="28"/>
                <w:szCs w:val="28"/>
              </w:rPr>
            </w:pPr>
          </w:p>
          <w:p w14:paraId="6BA05EBB" w14:textId="77777777" w:rsidR="00585B7B" w:rsidRPr="0061539B" w:rsidRDefault="00585B7B" w:rsidP="00B11DE0">
            <w:pPr>
              <w:jc w:val="center"/>
              <w:rPr>
                <w:sz w:val="28"/>
                <w:szCs w:val="28"/>
              </w:rPr>
            </w:pPr>
          </w:p>
        </w:tc>
        <w:tc>
          <w:tcPr>
            <w:tcW w:w="7088" w:type="dxa"/>
          </w:tcPr>
          <w:p w14:paraId="4E2632D8" w14:textId="439F5EF7" w:rsidR="00C47CB9" w:rsidRPr="0061539B" w:rsidRDefault="00942AB2" w:rsidP="003D14A5">
            <w:pPr>
              <w:jc w:val="both"/>
              <w:rPr>
                <w:sz w:val="28"/>
                <w:szCs w:val="28"/>
              </w:rPr>
            </w:pPr>
            <w:r w:rsidRPr="0061539B">
              <w:rPr>
                <w:sz w:val="28"/>
                <w:szCs w:val="28"/>
              </w:rPr>
              <w:t>Ministru kabineta noteikumu projekts “Grozījum</w:t>
            </w:r>
            <w:r w:rsidR="0044462E" w:rsidRPr="0061539B">
              <w:rPr>
                <w:sz w:val="28"/>
                <w:szCs w:val="28"/>
              </w:rPr>
              <w:t>s</w:t>
            </w:r>
            <w:r w:rsidRPr="0061539B">
              <w:rPr>
                <w:sz w:val="28"/>
                <w:szCs w:val="28"/>
              </w:rPr>
              <w:t xml:space="preserve"> Ministru kabineta 2011.gada 1.februāra noteikumos Nr.109 “Kārtība, kādā atsavināma publiska</w:t>
            </w:r>
            <w:r w:rsidR="00E17459" w:rsidRPr="0061539B">
              <w:rPr>
                <w:sz w:val="28"/>
                <w:szCs w:val="28"/>
              </w:rPr>
              <w:t>s personas manta”” (turpmāk –</w:t>
            </w:r>
            <w:r w:rsidR="00AB0292" w:rsidRPr="0061539B">
              <w:rPr>
                <w:sz w:val="28"/>
                <w:szCs w:val="28"/>
              </w:rPr>
              <w:t xml:space="preserve"> </w:t>
            </w:r>
            <w:r w:rsidR="00E17459" w:rsidRPr="0061539B">
              <w:rPr>
                <w:sz w:val="28"/>
                <w:szCs w:val="28"/>
              </w:rPr>
              <w:t>projekts) ir izstrādāts</w:t>
            </w:r>
            <w:r w:rsidR="00C47CB9" w:rsidRPr="0061539B">
              <w:rPr>
                <w:sz w:val="28"/>
                <w:szCs w:val="28"/>
              </w:rPr>
              <w:t xml:space="preserve"> ar mērķi paplašināt to gadījumu skaitu, kad iestāde var ierosināt valsts kustamās mantas atsavināšanu</w:t>
            </w:r>
            <w:r w:rsidR="000613E9" w:rsidRPr="0061539B">
              <w:rPr>
                <w:sz w:val="28"/>
                <w:szCs w:val="28"/>
              </w:rPr>
              <w:t>, nenoskaidrojot valsts iestāžu un atvasinātu publisku personu vai to iestāžu vajadzības pēc ministrijas, tās padotībā esošas iestādes vai kapitālsabiedrības valdījumā vai turējumā esošās nevajadzīgās valsts kustamās mantas</w:t>
            </w:r>
            <w:r w:rsidR="00C47CB9" w:rsidRPr="0061539B">
              <w:rPr>
                <w:sz w:val="28"/>
                <w:szCs w:val="28"/>
              </w:rPr>
              <w:t>. Iekšlietu ministrijas skatījumā tas būtu attiecināms arī uz gadījumiem, kad atsavina valsts kustamo mantu, kas tās veselības stāvokļa, fizisko vai psihisko īpašību dēļ ir atzīta par nederīgu iestādes funkciju izpildē. Ja valsts dzīvā kustamā manta atzīta par nederīgu vienā iestādē, tā nebūs derīga darbam arī citās iestādēs, jo dzīvniekiem jāatbilst noteiktām prasībām. Ņemot vērā minēto, kā arī, lai samazinātu ar šādas mantas uzturēšanu saistītās izmaksas, Iekšlietu ministrija rosina atļaut šādos gadījumos iestādei veikt attiecīgas mantas atsavināšanu, nenoskaidrojot citu iestāžu vajadzības.</w:t>
            </w:r>
          </w:p>
          <w:p w14:paraId="52BAECFB" w14:textId="20B70086" w:rsidR="00942FC7" w:rsidRPr="0061539B" w:rsidRDefault="00942FC7" w:rsidP="00EE558B">
            <w:pPr>
              <w:shd w:val="clear" w:color="auto" w:fill="FFFFFF"/>
              <w:spacing w:after="60"/>
              <w:jc w:val="both"/>
              <w:rPr>
                <w:rFonts w:eastAsia="Times New Roman"/>
                <w:sz w:val="28"/>
                <w:szCs w:val="28"/>
              </w:rPr>
            </w:pPr>
            <w:r w:rsidRPr="0061539B">
              <w:rPr>
                <w:rFonts w:eastAsia="Times New Roman"/>
                <w:sz w:val="28"/>
                <w:szCs w:val="28"/>
              </w:rPr>
              <w:t xml:space="preserve">Ņemot vērā šobrīd spēkā esošo tiesisko regulējumu Valsts robežsardzes uzskaitē </w:t>
            </w:r>
            <w:r w:rsidR="00D45AF3" w:rsidRPr="0061539B">
              <w:rPr>
                <w:rFonts w:eastAsia="Times New Roman"/>
                <w:sz w:val="28"/>
                <w:szCs w:val="28"/>
              </w:rPr>
              <w:t xml:space="preserve">esošās valsts dzīvās kustamās mantas (dienestam </w:t>
            </w:r>
            <w:r w:rsidRPr="0061539B">
              <w:rPr>
                <w:rFonts w:eastAsia="Times New Roman"/>
                <w:sz w:val="28"/>
                <w:szCs w:val="28"/>
              </w:rPr>
              <w:t xml:space="preserve">nederīgiem </w:t>
            </w:r>
            <w:r w:rsidR="00D45AF3" w:rsidRPr="0061539B">
              <w:rPr>
                <w:rFonts w:eastAsia="Times New Roman"/>
                <w:sz w:val="28"/>
                <w:szCs w:val="28"/>
              </w:rPr>
              <w:t>suņiem</w:t>
            </w:r>
            <w:r w:rsidR="007867AA" w:rsidRPr="0061539B">
              <w:rPr>
                <w:rFonts w:eastAsia="Times New Roman"/>
                <w:sz w:val="28"/>
                <w:szCs w:val="28"/>
              </w:rPr>
              <w:t>, kurus par nederīgiem atzina ar Valsts robežsardzes pavēli noteikta komisija</w:t>
            </w:r>
            <w:r w:rsidR="00D45AF3" w:rsidRPr="0061539B">
              <w:rPr>
                <w:rFonts w:eastAsia="Times New Roman"/>
                <w:sz w:val="28"/>
                <w:szCs w:val="28"/>
              </w:rPr>
              <w:t>)</w:t>
            </w:r>
            <w:r w:rsidRPr="0061539B">
              <w:rPr>
                <w:rFonts w:eastAsia="Times New Roman"/>
                <w:sz w:val="28"/>
                <w:szCs w:val="28"/>
              </w:rPr>
              <w:t xml:space="preserve"> atsavināšanas procedūra ilgst vairākus mēnešus, kuru laikā dienesta</w:t>
            </w:r>
            <w:r w:rsidR="00D45AF3" w:rsidRPr="0061539B">
              <w:rPr>
                <w:rFonts w:eastAsia="Times New Roman"/>
                <w:sz w:val="28"/>
                <w:szCs w:val="28"/>
              </w:rPr>
              <w:t xml:space="preserve">m nederīgie </w:t>
            </w:r>
            <w:r w:rsidRPr="0061539B">
              <w:rPr>
                <w:rFonts w:eastAsia="Times New Roman"/>
                <w:sz w:val="28"/>
                <w:szCs w:val="28"/>
              </w:rPr>
              <w:t xml:space="preserve">suņi ir jābaro, jāuztur atbilstoši aprīkotās telpās, tiem jānodrošina atbilstoša aprūpe (tajā skaitā veterinārā) un pastaigas, kā arī socializācijas pasākumi. </w:t>
            </w:r>
            <w:r w:rsidR="007867AA" w:rsidRPr="0061539B">
              <w:rPr>
                <w:rFonts w:eastAsia="Times New Roman"/>
                <w:sz w:val="28"/>
                <w:szCs w:val="28"/>
              </w:rPr>
              <w:t xml:space="preserve">Viena šāda suņa uzturēšana dienā vidēji izmaksā no 1,85 </w:t>
            </w:r>
            <w:proofErr w:type="spellStart"/>
            <w:r w:rsidR="007867AA" w:rsidRPr="0061539B">
              <w:rPr>
                <w:rFonts w:eastAsia="Times New Roman"/>
                <w:i/>
                <w:sz w:val="28"/>
                <w:szCs w:val="28"/>
              </w:rPr>
              <w:t>euro</w:t>
            </w:r>
            <w:proofErr w:type="spellEnd"/>
            <w:r w:rsidR="007867AA" w:rsidRPr="0061539B">
              <w:rPr>
                <w:rFonts w:eastAsia="Times New Roman"/>
                <w:sz w:val="28"/>
                <w:szCs w:val="28"/>
              </w:rPr>
              <w:t xml:space="preserve"> līdz 2,28 </w:t>
            </w:r>
            <w:proofErr w:type="spellStart"/>
            <w:r w:rsidR="007867AA" w:rsidRPr="0061539B">
              <w:rPr>
                <w:rFonts w:eastAsia="Times New Roman"/>
                <w:i/>
                <w:sz w:val="28"/>
                <w:szCs w:val="28"/>
              </w:rPr>
              <w:t>euro</w:t>
            </w:r>
            <w:proofErr w:type="spellEnd"/>
            <w:r w:rsidR="007867AA" w:rsidRPr="0061539B">
              <w:rPr>
                <w:rFonts w:eastAsia="Times New Roman"/>
                <w:sz w:val="28"/>
                <w:szCs w:val="28"/>
              </w:rPr>
              <w:t xml:space="preserve"> (atkarībā no suņa vecuma) par suņu barību, kā arī nereti šādiem suņiem, it īpaši veciem, vajadzīga arī veterinārā </w:t>
            </w:r>
            <w:r w:rsidR="007867AA" w:rsidRPr="0061539B">
              <w:rPr>
                <w:rFonts w:eastAsia="Times New Roman"/>
                <w:sz w:val="28"/>
                <w:szCs w:val="28"/>
              </w:rPr>
              <w:lastRenderedPageBreak/>
              <w:t>aprūpe</w:t>
            </w:r>
            <w:r w:rsidR="00292386" w:rsidRPr="0061539B">
              <w:rPr>
                <w:rFonts w:eastAsia="Times New Roman"/>
                <w:sz w:val="28"/>
                <w:szCs w:val="28"/>
              </w:rPr>
              <w:t>, ko jāapmaksā atsevišķi</w:t>
            </w:r>
            <w:r w:rsidR="007867AA" w:rsidRPr="0061539B">
              <w:rPr>
                <w:rFonts w:eastAsia="Times New Roman"/>
                <w:sz w:val="28"/>
                <w:szCs w:val="28"/>
              </w:rPr>
              <w:t xml:space="preserve">. Pēdējo divu gadu laikā Valsts robežsardze kopumā atsavināja 43 </w:t>
            </w:r>
            <w:r w:rsidR="005A425A" w:rsidRPr="0061539B">
              <w:rPr>
                <w:rFonts w:eastAsia="Times New Roman"/>
                <w:sz w:val="28"/>
                <w:szCs w:val="28"/>
              </w:rPr>
              <w:t xml:space="preserve">(četrdesmit trīs) </w:t>
            </w:r>
            <w:r w:rsidR="00292386" w:rsidRPr="0061539B">
              <w:rPr>
                <w:rFonts w:eastAsia="Times New Roman"/>
                <w:sz w:val="28"/>
                <w:szCs w:val="28"/>
              </w:rPr>
              <w:t xml:space="preserve">dienestam nederīgus </w:t>
            </w:r>
            <w:r w:rsidR="007867AA" w:rsidRPr="0061539B">
              <w:rPr>
                <w:rFonts w:eastAsia="Times New Roman"/>
                <w:sz w:val="28"/>
                <w:szCs w:val="28"/>
              </w:rPr>
              <w:t>suņus. Citas valsts iestādes, kurām  suņi tika piedāvāti, neizrādīja interesi ne par vienu no šiem suņiem.</w:t>
            </w:r>
          </w:p>
          <w:p w14:paraId="2C0DDA65" w14:textId="583B4BF5" w:rsidR="00F82E1F" w:rsidRPr="0061539B" w:rsidRDefault="00942FC7" w:rsidP="003266CF">
            <w:pPr>
              <w:shd w:val="clear" w:color="auto" w:fill="FFFFFF"/>
              <w:jc w:val="both"/>
              <w:rPr>
                <w:sz w:val="28"/>
                <w:szCs w:val="28"/>
              </w:rPr>
            </w:pPr>
            <w:r w:rsidRPr="0061539B">
              <w:rPr>
                <w:rFonts w:eastAsia="Times New Roman"/>
                <w:sz w:val="28"/>
                <w:szCs w:val="28"/>
              </w:rPr>
              <w:t>I</w:t>
            </w:r>
            <w:r w:rsidR="008E27A3" w:rsidRPr="0061539B">
              <w:rPr>
                <w:sz w:val="28"/>
                <w:szCs w:val="28"/>
                <w:shd w:val="clear" w:color="auto" w:fill="FFFFFF"/>
              </w:rPr>
              <w:t xml:space="preserve">evērojot </w:t>
            </w:r>
            <w:r w:rsidR="00C47CB9" w:rsidRPr="0061539B">
              <w:rPr>
                <w:sz w:val="28"/>
                <w:szCs w:val="28"/>
              </w:rPr>
              <w:t>Publiskas personas mantas atsavināšanas likuma </w:t>
            </w:r>
            <w:r w:rsidR="003D14A5" w:rsidRPr="0061539B">
              <w:rPr>
                <w:sz w:val="28"/>
                <w:szCs w:val="28"/>
              </w:rPr>
              <w:t xml:space="preserve">4.panta </w:t>
            </w:r>
            <w:r w:rsidR="00224972" w:rsidRPr="0061539B">
              <w:rPr>
                <w:sz w:val="28"/>
                <w:szCs w:val="28"/>
              </w:rPr>
              <w:t>pirm</w:t>
            </w:r>
            <w:r w:rsidR="008E27A3" w:rsidRPr="0061539B">
              <w:rPr>
                <w:sz w:val="28"/>
                <w:szCs w:val="28"/>
              </w:rPr>
              <w:t>ajā</w:t>
            </w:r>
            <w:r w:rsidR="00942AB2" w:rsidRPr="0061539B">
              <w:rPr>
                <w:sz w:val="28"/>
                <w:szCs w:val="28"/>
              </w:rPr>
              <w:t xml:space="preserve"> </w:t>
            </w:r>
            <w:proofErr w:type="spellStart"/>
            <w:r w:rsidR="00942AB2" w:rsidRPr="0061539B">
              <w:rPr>
                <w:sz w:val="28"/>
                <w:szCs w:val="28"/>
              </w:rPr>
              <w:t>prim</w:t>
            </w:r>
            <w:proofErr w:type="spellEnd"/>
            <w:r w:rsidR="00AA25C8" w:rsidRPr="0061539B">
              <w:rPr>
                <w:sz w:val="28"/>
                <w:szCs w:val="28"/>
              </w:rPr>
              <w:t xml:space="preserve"> daļ</w:t>
            </w:r>
            <w:r w:rsidR="008E27A3" w:rsidRPr="0061539B">
              <w:rPr>
                <w:sz w:val="28"/>
                <w:szCs w:val="28"/>
              </w:rPr>
              <w:t>ā minēto</w:t>
            </w:r>
            <w:r w:rsidR="00EE558B" w:rsidRPr="0061539B">
              <w:rPr>
                <w:sz w:val="28"/>
                <w:szCs w:val="28"/>
              </w:rPr>
              <w:t xml:space="preserve">, </w:t>
            </w:r>
            <w:r w:rsidR="008E27A3" w:rsidRPr="0061539B">
              <w:rPr>
                <w:sz w:val="28"/>
                <w:szCs w:val="28"/>
              </w:rPr>
              <w:t>kas paredz</w:t>
            </w:r>
            <w:r w:rsidR="003D14A5" w:rsidRPr="0061539B">
              <w:rPr>
                <w:sz w:val="28"/>
                <w:szCs w:val="28"/>
              </w:rPr>
              <w:t xml:space="preserve"> publiskas personas kustamās mantas atsavināšanu noteiktos gadījumos</w:t>
            </w:r>
            <w:r w:rsidR="0044462E" w:rsidRPr="0061539B">
              <w:rPr>
                <w:sz w:val="28"/>
                <w:szCs w:val="28"/>
              </w:rPr>
              <w:t>,</w:t>
            </w:r>
            <w:r w:rsidR="003D14A5" w:rsidRPr="0061539B">
              <w:rPr>
                <w:sz w:val="28"/>
                <w:szCs w:val="28"/>
              </w:rPr>
              <w:t xml:space="preserve"> nenoskaidrojot </w:t>
            </w:r>
            <w:r w:rsidR="00D45AF3" w:rsidRPr="0061539B">
              <w:rPr>
                <w:sz w:val="28"/>
                <w:szCs w:val="28"/>
              </w:rPr>
              <w:t>citu</w:t>
            </w:r>
            <w:r w:rsidR="003D14A5" w:rsidRPr="0061539B">
              <w:rPr>
                <w:sz w:val="28"/>
                <w:szCs w:val="28"/>
              </w:rPr>
              <w:t xml:space="preserve"> iestāžu vajadzību pēc </w:t>
            </w:r>
            <w:r w:rsidR="00D45AF3" w:rsidRPr="0061539B">
              <w:rPr>
                <w:rFonts w:eastAsia="Times New Roman"/>
                <w:sz w:val="28"/>
                <w:szCs w:val="28"/>
              </w:rPr>
              <w:t xml:space="preserve">Valsts robežsardzes uzskaitē esošās nevajadzīgās valsts dzīvās kustamās mantas </w:t>
            </w:r>
            <w:r w:rsidR="00D45AF3" w:rsidRPr="0061539B">
              <w:rPr>
                <w:sz w:val="28"/>
                <w:szCs w:val="28"/>
              </w:rPr>
              <w:t>(dienestam nederīgajiem suņiem)</w:t>
            </w:r>
            <w:r w:rsidR="008E27A3" w:rsidRPr="0061539B">
              <w:rPr>
                <w:sz w:val="28"/>
                <w:szCs w:val="28"/>
              </w:rPr>
              <w:t>, nepieciešams</w:t>
            </w:r>
            <w:r w:rsidR="00F82E1F" w:rsidRPr="0061539B">
              <w:rPr>
                <w:rFonts w:eastAsia="Times New Roman"/>
                <w:sz w:val="28"/>
                <w:szCs w:val="28"/>
              </w:rPr>
              <w:t xml:space="preserve"> </w:t>
            </w:r>
            <w:r w:rsidR="0002199B" w:rsidRPr="0061539B">
              <w:rPr>
                <w:sz w:val="28"/>
                <w:szCs w:val="28"/>
              </w:rPr>
              <w:t xml:space="preserve"> papildināt Ministru kabineta 2011.gada 1.februāra noteikumus Nr.109 “Kārtība, kādā atsavināma publiskas personas manta” </w:t>
            </w:r>
            <w:r w:rsidR="00B12507" w:rsidRPr="0061539B">
              <w:rPr>
                <w:sz w:val="28"/>
                <w:szCs w:val="28"/>
              </w:rPr>
              <w:t xml:space="preserve">(turpmāk - Noteikumi) </w:t>
            </w:r>
            <w:r w:rsidR="0002199B" w:rsidRPr="0061539B">
              <w:rPr>
                <w:rFonts w:eastAsia="Times New Roman"/>
                <w:sz w:val="28"/>
                <w:szCs w:val="28"/>
              </w:rPr>
              <w:t xml:space="preserve">ar </w:t>
            </w:r>
            <w:r w:rsidR="00F82E1F" w:rsidRPr="0061539B">
              <w:rPr>
                <w:rFonts w:eastAsia="Times New Roman"/>
                <w:sz w:val="28"/>
                <w:szCs w:val="28"/>
              </w:rPr>
              <w:t>gadījumiem, kad publiskas personas kustamas mantas atsavināšanu var ierosināt, arī nenoskaidrojot publiskas personas vai tās iestāžu vajadzību pēc citai publiskai personai vai tās iestādēm nevajadzīgās</w:t>
            </w:r>
            <w:r w:rsidR="008E27A3" w:rsidRPr="0061539B">
              <w:rPr>
                <w:rFonts w:eastAsia="Times New Roman"/>
                <w:sz w:val="28"/>
                <w:szCs w:val="28"/>
              </w:rPr>
              <w:t xml:space="preserve"> valsts dzīvās </w:t>
            </w:r>
            <w:r w:rsidR="00F82E1F" w:rsidRPr="0061539B">
              <w:rPr>
                <w:rFonts w:eastAsia="Times New Roman"/>
                <w:sz w:val="28"/>
                <w:szCs w:val="28"/>
              </w:rPr>
              <w:t>kustamās mantas</w:t>
            </w:r>
            <w:r w:rsidR="0002199B" w:rsidRPr="0061539B">
              <w:rPr>
                <w:rFonts w:eastAsia="Times New Roman"/>
                <w:sz w:val="28"/>
                <w:szCs w:val="28"/>
              </w:rPr>
              <w:t xml:space="preserve">, </w:t>
            </w:r>
            <w:r w:rsidR="0002199B" w:rsidRPr="0061539B">
              <w:rPr>
                <w:sz w:val="28"/>
                <w:szCs w:val="28"/>
              </w:rPr>
              <w:t xml:space="preserve"> kas tās veselības stāvokļa, fizisko vai psihisko īpašību dēļ ir atzīta par nederīgu iestādes funkciju izpildē.</w:t>
            </w:r>
            <w:r w:rsidR="00F82E1F" w:rsidRPr="0061539B">
              <w:rPr>
                <w:rFonts w:eastAsia="Times New Roman"/>
                <w:sz w:val="28"/>
                <w:szCs w:val="28"/>
              </w:rPr>
              <w:t xml:space="preserve"> </w:t>
            </w:r>
          </w:p>
          <w:p w14:paraId="5D0AD136" w14:textId="77777777" w:rsidR="00B32624" w:rsidRPr="0061539B" w:rsidRDefault="00D34B5C" w:rsidP="00BF09E0">
            <w:pPr>
              <w:shd w:val="clear" w:color="auto" w:fill="FFFFFF"/>
              <w:spacing w:after="60"/>
              <w:jc w:val="both"/>
              <w:rPr>
                <w:bCs/>
                <w:sz w:val="28"/>
                <w:szCs w:val="28"/>
              </w:rPr>
            </w:pPr>
            <w:r w:rsidRPr="0061539B">
              <w:rPr>
                <w:sz w:val="28"/>
                <w:szCs w:val="28"/>
              </w:rPr>
              <w:t>Ņemot</w:t>
            </w:r>
            <w:r w:rsidR="00DA0516" w:rsidRPr="0061539B">
              <w:rPr>
                <w:sz w:val="28"/>
                <w:szCs w:val="28"/>
              </w:rPr>
              <w:t xml:space="preserve"> vērā iepriekš minē</w:t>
            </w:r>
            <w:r w:rsidR="00527AF7" w:rsidRPr="0061539B">
              <w:rPr>
                <w:sz w:val="28"/>
                <w:szCs w:val="28"/>
              </w:rPr>
              <w:t xml:space="preserve">to, </w:t>
            </w:r>
            <w:r w:rsidR="00BB2ABD" w:rsidRPr="0061539B">
              <w:rPr>
                <w:sz w:val="28"/>
                <w:szCs w:val="28"/>
              </w:rPr>
              <w:t>Noteikum</w:t>
            </w:r>
            <w:r w:rsidR="008E27A3" w:rsidRPr="0061539B">
              <w:rPr>
                <w:sz w:val="28"/>
                <w:szCs w:val="28"/>
              </w:rPr>
              <w:t xml:space="preserve">i </w:t>
            </w:r>
            <w:r w:rsidR="001E2677" w:rsidRPr="0061539B">
              <w:rPr>
                <w:sz w:val="28"/>
                <w:szCs w:val="28"/>
              </w:rPr>
              <w:t xml:space="preserve">papildināti </w:t>
            </w:r>
            <w:r w:rsidR="00C322F6" w:rsidRPr="0061539B">
              <w:rPr>
                <w:sz w:val="28"/>
                <w:szCs w:val="28"/>
              </w:rPr>
              <w:t>ar 18.</w:t>
            </w:r>
            <w:r w:rsidR="008E27A3" w:rsidRPr="0061539B">
              <w:rPr>
                <w:sz w:val="28"/>
                <w:szCs w:val="28"/>
              </w:rPr>
              <w:t>6</w:t>
            </w:r>
            <w:r w:rsidR="00C322F6" w:rsidRPr="0061539B">
              <w:rPr>
                <w:sz w:val="28"/>
                <w:szCs w:val="28"/>
              </w:rPr>
              <w:t>.apakšpunktu</w:t>
            </w:r>
            <w:r w:rsidRPr="0061539B">
              <w:rPr>
                <w:sz w:val="28"/>
                <w:szCs w:val="28"/>
              </w:rPr>
              <w:t xml:space="preserve">, nosakot, ka </w:t>
            </w:r>
            <w:r w:rsidR="00D42E3E" w:rsidRPr="0061539B">
              <w:rPr>
                <w:bCs/>
                <w:sz w:val="28"/>
                <w:szCs w:val="28"/>
              </w:rPr>
              <w:t xml:space="preserve">valsts dzīvās kustamās mantas atsavināšanu var veikt nenoskaidrojot citu  </w:t>
            </w:r>
            <w:r w:rsidR="00D42E3E" w:rsidRPr="0061539B">
              <w:rPr>
                <w:sz w:val="28"/>
                <w:szCs w:val="28"/>
              </w:rPr>
              <w:t>valsts iestāžu un atvasinātu publisku personu vai to iestāžu vajadzību pēc ministrijas, tās padotībā esošas iestādes vai kapitālsabiedrības valdījumā vai turējumā esošās nevajadzīgās valsts kustamās mantas</w:t>
            </w:r>
            <w:r w:rsidR="00D42E3E" w:rsidRPr="0061539B">
              <w:rPr>
                <w:bCs/>
                <w:sz w:val="28"/>
                <w:szCs w:val="28"/>
              </w:rPr>
              <w:t xml:space="preserve">, </w:t>
            </w:r>
            <w:r w:rsidR="00BF09E0" w:rsidRPr="0061539B">
              <w:rPr>
                <w:bCs/>
                <w:sz w:val="28"/>
                <w:szCs w:val="28"/>
              </w:rPr>
              <w:t xml:space="preserve"> kas tās veselības stāvokļa, fizisko vai psihisko īpašību dēļ </w:t>
            </w:r>
            <w:r w:rsidR="001F61F5" w:rsidRPr="0061539B">
              <w:rPr>
                <w:bCs/>
                <w:sz w:val="28"/>
                <w:szCs w:val="28"/>
              </w:rPr>
              <w:t>ir atzīta par nederīgu attiecīgās iestādes uzdevumu veikšanai</w:t>
            </w:r>
            <w:r w:rsidR="00D42E3E" w:rsidRPr="0061539B">
              <w:rPr>
                <w:bCs/>
                <w:sz w:val="28"/>
                <w:szCs w:val="28"/>
              </w:rPr>
              <w:t>.</w:t>
            </w:r>
            <w:r w:rsidR="00942FC7" w:rsidRPr="0061539B">
              <w:rPr>
                <w:bCs/>
                <w:sz w:val="28"/>
                <w:szCs w:val="28"/>
              </w:rPr>
              <w:t xml:space="preserve"> </w:t>
            </w:r>
            <w:r w:rsidR="00D45AF3" w:rsidRPr="0061539B">
              <w:rPr>
                <w:bCs/>
                <w:sz w:val="28"/>
                <w:szCs w:val="28"/>
              </w:rPr>
              <w:t>Dienestam nederīgo suņu a</w:t>
            </w:r>
            <w:r w:rsidR="00942FC7" w:rsidRPr="0061539B">
              <w:rPr>
                <w:bCs/>
                <w:sz w:val="28"/>
                <w:szCs w:val="28"/>
              </w:rPr>
              <w:t>tsavināšanas procedūras ilgums tādā gadījumā varētu samazināties līdz vienam mēnesim.</w:t>
            </w:r>
          </w:p>
          <w:p w14:paraId="266542AC" w14:textId="1D27D543" w:rsidR="00722B06" w:rsidRPr="0061539B" w:rsidRDefault="00722B06" w:rsidP="00722B06">
            <w:pPr>
              <w:pStyle w:val="Heading3"/>
              <w:shd w:val="clear" w:color="auto" w:fill="FFFFFF"/>
              <w:jc w:val="both"/>
              <w:rPr>
                <w:rFonts w:ascii="Times New Roman" w:hAnsi="Times New Roman" w:cs="Times New Roman"/>
                <w:b w:val="0"/>
                <w:color w:val="auto"/>
                <w:sz w:val="28"/>
                <w:szCs w:val="28"/>
              </w:rPr>
            </w:pPr>
            <w:r w:rsidRPr="0061539B">
              <w:rPr>
                <w:rFonts w:ascii="Times New Roman" w:hAnsi="Times New Roman" w:cs="Times New Roman"/>
                <w:b w:val="0"/>
                <w:color w:val="auto"/>
                <w:sz w:val="28"/>
                <w:szCs w:val="28"/>
              </w:rPr>
              <w:t xml:space="preserve">Atbilstoši Uzņēmējdarbības vides pilnveidošanas pasākumu plāna 2019. – </w:t>
            </w:r>
            <w:r w:rsidR="000C6405" w:rsidRPr="0061539B">
              <w:rPr>
                <w:rFonts w:ascii="Times New Roman" w:hAnsi="Times New Roman" w:cs="Times New Roman"/>
                <w:b w:val="0"/>
                <w:color w:val="auto"/>
                <w:sz w:val="28"/>
                <w:szCs w:val="28"/>
              </w:rPr>
              <w:t>2022</w:t>
            </w:r>
            <w:r w:rsidRPr="0061539B">
              <w:rPr>
                <w:rFonts w:ascii="Times New Roman" w:hAnsi="Times New Roman" w:cs="Times New Roman"/>
                <w:b w:val="0"/>
                <w:color w:val="auto"/>
                <w:sz w:val="28"/>
                <w:szCs w:val="28"/>
              </w:rPr>
              <w:t xml:space="preserve">.gadam (apstiprināts ar Ministru kabineta 2019.gada 22.maija rīkojumu Nr.247 “Par Uzņēmējdarbības vides pilnveidošanas pasākumu plānu 2019.-2022. gadam”) 4.3.2.apakšpunktam, nozaru ministrijām dots uzdevums izstrādāt un noteiktā kārtībā iesniegt Ministru kabinetā grozījumus normatīvajos aktos (vienlaikus ar citiem grozījumiem nozares normatīvajos aktos), par atteikšanos no īpašuma tiesību apliecinošu dokumentu iesniegšanas valsts un pašvaldības iestādēs, paredzot, ka valsts </w:t>
            </w:r>
            <w:r w:rsidR="000C6405" w:rsidRPr="0061539B">
              <w:rPr>
                <w:rFonts w:ascii="Times New Roman" w:hAnsi="Times New Roman" w:cs="Times New Roman"/>
                <w:b w:val="0"/>
                <w:color w:val="auto"/>
                <w:sz w:val="28"/>
                <w:szCs w:val="28"/>
              </w:rPr>
              <w:t xml:space="preserve">vai </w:t>
            </w:r>
            <w:r w:rsidRPr="0061539B">
              <w:rPr>
                <w:rFonts w:ascii="Times New Roman" w:hAnsi="Times New Roman" w:cs="Times New Roman"/>
                <w:b w:val="0"/>
                <w:color w:val="auto"/>
                <w:sz w:val="28"/>
                <w:szCs w:val="28"/>
              </w:rPr>
              <w:t xml:space="preserve">pašvaldības iestādes </w:t>
            </w:r>
            <w:r w:rsidRPr="0061539B">
              <w:rPr>
                <w:rFonts w:ascii="Times New Roman" w:hAnsi="Times New Roman" w:cs="Times New Roman"/>
                <w:color w:val="auto"/>
                <w:sz w:val="28"/>
                <w:szCs w:val="28"/>
                <w:shd w:val="clear" w:color="auto" w:fill="FFFFFF"/>
              </w:rPr>
              <w:t> </w:t>
            </w:r>
            <w:r w:rsidRPr="0061539B">
              <w:rPr>
                <w:rFonts w:ascii="Times New Roman" w:hAnsi="Times New Roman" w:cs="Times New Roman"/>
                <w:b w:val="0"/>
                <w:color w:val="auto"/>
                <w:sz w:val="28"/>
                <w:szCs w:val="28"/>
              </w:rPr>
              <w:t xml:space="preserve">informāciju par nostiprinātajām tiesībām iegūst, ieskatoties valsts vienotajā datorizētajā zemesgrāmatā pēc personas norādītās nekustamā īpašuma identificējošās </w:t>
            </w:r>
            <w:r w:rsidRPr="0061539B">
              <w:rPr>
                <w:rFonts w:ascii="Times New Roman" w:hAnsi="Times New Roman" w:cs="Times New Roman"/>
                <w:b w:val="0"/>
                <w:color w:val="auto"/>
                <w:sz w:val="28"/>
                <w:szCs w:val="28"/>
              </w:rPr>
              <w:lastRenderedPageBreak/>
              <w:t>informācijas, nevis, pieprasot personai iesniegt zemesgrāmatu apliecību vai zemesgrāmatu nodaļas tiesneša lēmuma izdruku.</w:t>
            </w:r>
          </w:p>
          <w:p w14:paraId="15BB8A11" w14:textId="6DE80844" w:rsidR="00722B06" w:rsidRPr="0061539B" w:rsidRDefault="00722B06" w:rsidP="00722B06">
            <w:pPr>
              <w:jc w:val="both"/>
              <w:rPr>
                <w:sz w:val="28"/>
                <w:szCs w:val="28"/>
              </w:rPr>
            </w:pPr>
            <w:r w:rsidRPr="0061539B">
              <w:rPr>
                <w:sz w:val="28"/>
                <w:szCs w:val="28"/>
              </w:rPr>
              <w:t xml:space="preserve">Noteikumu 4.1.apakšpunkts paredz, ka atsavināšanas ierosinājumam pievieno atsavināšanas ierosinātāja īpašuma tiesības apliecinošo dokumentu kopijas. Minētais regulējums, tai skaitā, paredz iesniegt kopijas dokumentiem, kas apliecina īpašuma tiesības uz </w:t>
            </w:r>
            <w:r w:rsidR="000C6405" w:rsidRPr="0061539B">
              <w:rPr>
                <w:sz w:val="28"/>
                <w:szCs w:val="28"/>
              </w:rPr>
              <w:t xml:space="preserve">zemesgrāmatā neierakstāmām būvēm vai kas apliecina īpašuma tiesības uz </w:t>
            </w:r>
            <w:r w:rsidRPr="0061539B">
              <w:rPr>
                <w:sz w:val="28"/>
                <w:szCs w:val="28"/>
              </w:rPr>
              <w:t xml:space="preserve">paātrināti privatizētu dzīvokli </w:t>
            </w:r>
            <w:proofErr w:type="spellStart"/>
            <w:r w:rsidRPr="0061539B">
              <w:rPr>
                <w:sz w:val="28"/>
                <w:szCs w:val="28"/>
              </w:rPr>
              <w:t>u.c</w:t>
            </w:r>
            <w:proofErr w:type="spellEnd"/>
            <w:r w:rsidRPr="0061539B">
              <w:rPr>
                <w:sz w:val="28"/>
                <w:szCs w:val="28"/>
              </w:rPr>
              <w:t>.</w:t>
            </w:r>
          </w:p>
          <w:p w14:paraId="56AC6FE3" w14:textId="7CCDA773" w:rsidR="00722B06" w:rsidRPr="0061539B" w:rsidRDefault="00722B06" w:rsidP="00722B06">
            <w:pPr>
              <w:jc w:val="both"/>
              <w:rPr>
                <w:sz w:val="28"/>
                <w:szCs w:val="28"/>
              </w:rPr>
            </w:pPr>
            <w:r w:rsidRPr="0061539B">
              <w:rPr>
                <w:sz w:val="28"/>
                <w:szCs w:val="28"/>
              </w:rPr>
              <w:t>Papildus, atbilstoši Publiskas personas mantas atsavināšanas likuma 9.panta pirmajai un 1.</w:t>
            </w:r>
            <w:r w:rsidRPr="0061539B">
              <w:rPr>
                <w:sz w:val="28"/>
                <w:szCs w:val="28"/>
                <w:vertAlign w:val="superscript"/>
              </w:rPr>
              <w:t>3</w:t>
            </w:r>
            <w:r w:rsidRPr="0061539B">
              <w:rPr>
                <w:sz w:val="28"/>
                <w:szCs w:val="28"/>
              </w:rPr>
              <w:t xml:space="preserve"> daļai un Noteikumu 2.punktam valsts nekustamā īpašuma atsavināšanas ierosinājums tiek iesniegts institūcijai, kas nav valsts iestāde (valsts akciju sabiedrība “Valsts nekustamie īpašumi”, akciju sabiedrība “Publisko aktīvu pārvaldītājs </w:t>
            </w:r>
            <w:proofErr w:type="spellStart"/>
            <w:r w:rsidRPr="0061539B">
              <w:rPr>
                <w:sz w:val="28"/>
                <w:szCs w:val="28"/>
              </w:rPr>
              <w:t>Possessor</w:t>
            </w:r>
            <w:proofErr w:type="spellEnd"/>
            <w:r w:rsidRPr="0061539B">
              <w:rPr>
                <w:sz w:val="28"/>
                <w:szCs w:val="28"/>
              </w:rPr>
              <w:t>”), un kurai attiecīgā informācija par privātpersonu īpašumā esošiem nekustamiem īpašumiem zemesgrāmatā nav pieejama bez maksas. Savukārt, ja ierosina atsavināt pašvaldības nekustamo īpašumu, zemesgrāmatu nodaļas izsniedzamo dokumentu kopijas var aizstāt ar atsavināšanas ierosinājumā norādītu atsavināšanas ier</w:t>
            </w:r>
            <w:r w:rsidR="000C6405" w:rsidRPr="0061539B">
              <w:rPr>
                <w:sz w:val="28"/>
                <w:szCs w:val="28"/>
              </w:rPr>
              <w:t>o</w:t>
            </w:r>
            <w:r w:rsidRPr="0061539B">
              <w:rPr>
                <w:sz w:val="28"/>
                <w:szCs w:val="28"/>
              </w:rPr>
              <w:t xml:space="preserve">sinātāja īpašuma identificējošo informāciju. </w:t>
            </w:r>
          </w:p>
          <w:p w14:paraId="4D5D25B3" w14:textId="2B2EBB12" w:rsidR="00722B06" w:rsidRPr="0061539B" w:rsidRDefault="00722B06" w:rsidP="00217EAE">
            <w:pPr>
              <w:pStyle w:val="naisc"/>
              <w:spacing w:before="0" w:after="0"/>
              <w:jc w:val="both"/>
              <w:rPr>
                <w:sz w:val="28"/>
                <w:szCs w:val="28"/>
              </w:rPr>
            </w:pPr>
            <w:r w:rsidRPr="0061539B">
              <w:rPr>
                <w:sz w:val="28"/>
                <w:szCs w:val="28"/>
              </w:rPr>
              <w:t xml:space="preserve">Ņemot vērā iepriekš minēto, precizēts Noteikumu 4.1.apakšpunkts, papildinot </w:t>
            </w:r>
            <w:r w:rsidRPr="0061539B">
              <w:rPr>
                <w:bCs/>
                <w:sz w:val="28"/>
                <w:szCs w:val="28"/>
              </w:rPr>
              <w:t xml:space="preserve"> aiz vārda </w:t>
            </w:r>
            <w:r w:rsidRPr="0061539B">
              <w:rPr>
                <w:sz w:val="28"/>
                <w:szCs w:val="28"/>
              </w:rPr>
              <w:t>“kopijas” ar vārdiem “(ja ierosina atsavināt pašvaldības nekustamo īpašumu, zemesgrāmatu nodaļas izsniedzamo īpašuma tiesības apliecinošo dokumentu kopijas var aizstāt ar atsavināšanas ierosinājumā norādītu atsavināšanas ierosinātāja īpašuma identificējošo informāciju)”.</w:t>
            </w:r>
          </w:p>
          <w:p w14:paraId="3510A8E9" w14:textId="77777777" w:rsidR="00722B06" w:rsidRPr="0061539B" w:rsidRDefault="00722B06" w:rsidP="00217EAE">
            <w:pPr>
              <w:pStyle w:val="naisc"/>
              <w:spacing w:before="0" w:after="0"/>
              <w:jc w:val="both"/>
              <w:rPr>
                <w:sz w:val="16"/>
                <w:szCs w:val="16"/>
              </w:rPr>
            </w:pPr>
          </w:p>
          <w:p w14:paraId="57192D6A" w14:textId="53106E4D" w:rsidR="00217EAE" w:rsidRPr="0061539B" w:rsidRDefault="00217EAE" w:rsidP="00217EAE">
            <w:pPr>
              <w:pStyle w:val="naisc"/>
              <w:spacing w:before="0" w:after="0"/>
              <w:jc w:val="both"/>
              <w:rPr>
                <w:sz w:val="28"/>
                <w:szCs w:val="28"/>
              </w:rPr>
            </w:pPr>
            <w:r w:rsidRPr="0061539B">
              <w:rPr>
                <w:sz w:val="28"/>
                <w:szCs w:val="28"/>
              </w:rPr>
              <w:t xml:space="preserve">Atbilstoši likuma </w:t>
            </w:r>
            <w:r w:rsidR="00AC287C" w:rsidRPr="0061539B">
              <w:rPr>
                <w:sz w:val="28"/>
                <w:szCs w:val="28"/>
              </w:rPr>
              <w:t>“</w:t>
            </w:r>
            <w:r w:rsidRPr="0061539B">
              <w:rPr>
                <w:sz w:val="28"/>
                <w:szCs w:val="28"/>
              </w:rPr>
              <w:t>Par Latvijas Republikas Uzņēmumu reģistru” 4.</w:t>
            </w:r>
            <w:r w:rsidRPr="0061539B">
              <w:rPr>
                <w:sz w:val="28"/>
                <w:szCs w:val="28"/>
                <w:vertAlign w:val="superscript"/>
              </w:rPr>
              <w:t>11</w:t>
            </w:r>
            <w:r w:rsidRPr="0061539B">
              <w:rPr>
                <w:sz w:val="28"/>
                <w:szCs w:val="28"/>
              </w:rPr>
              <w:t xml:space="preserve"> pantam Latvijas Republikas Uzņēmumu reģistrs (turpmāk – Uzņēmumu reģistrs) nodrošina, ka tā tīmekļvietnē par Uzņēmumu reģistra vestajos reģistros reģistrētajiem tiesību subjektiem un juridiskajiem faktiem neidentificētam lietotājam publiski ir pieejama šāda jaunākā (aktuālā) informācija:</w:t>
            </w:r>
          </w:p>
          <w:p w14:paraId="7BF01C29" w14:textId="77777777" w:rsidR="00217EAE" w:rsidRPr="0061539B" w:rsidRDefault="00217EAE" w:rsidP="00217EAE">
            <w:pPr>
              <w:pStyle w:val="naisc"/>
              <w:numPr>
                <w:ilvl w:val="0"/>
                <w:numId w:val="17"/>
              </w:numPr>
              <w:spacing w:before="0" w:after="0"/>
              <w:jc w:val="both"/>
              <w:rPr>
                <w:sz w:val="28"/>
                <w:szCs w:val="28"/>
              </w:rPr>
            </w:pPr>
            <w:r w:rsidRPr="0061539B">
              <w:rPr>
                <w:sz w:val="28"/>
                <w:szCs w:val="28"/>
              </w:rPr>
              <w:t>reģistru ieraksti;</w:t>
            </w:r>
          </w:p>
          <w:p w14:paraId="45755D3C" w14:textId="1C2D2E41" w:rsidR="00217EAE" w:rsidRPr="0061539B" w:rsidRDefault="00217EAE" w:rsidP="00217EAE">
            <w:pPr>
              <w:pStyle w:val="naisc"/>
              <w:numPr>
                <w:ilvl w:val="0"/>
                <w:numId w:val="17"/>
              </w:numPr>
              <w:spacing w:before="0" w:after="0"/>
              <w:jc w:val="both"/>
              <w:rPr>
                <w:sz w:val="28"/>
                <w:szCs w:val="28"/>
              </w:rPr>
            </w:pPr>
            <w:r w:rsidRPr="0061539B">
              <w:rPr>
                <w:sz w:val="28"/>
                <w:szCs w:val="28"/>
              </w:rPr>
              <w:t>citas reģistrēt</w:t>
            </w:r>
            <w:r w:rsidR="000B3798" w:rsidRPr="0061539B">
              <w:rPr>
                <w:sz w:val="28"/>
                <w:szCs w:val="28"/>
              </w:rPr>
              <w:t>ā</w:t>
            </w:r>
            <w:r w:rsidRPr="0061539B">
              <w:rPr>
                <w:sz w:val="28"/>
                <w:szCs w:val="28"/>
              </w:rPr>
              <w:t>s ziņas.</w:t>
            </w:r>
          </w:p>
          <w:p w14:paraId="4286A8E1" w14:textId="76A5D847" w:rsidR="00217EAE" w:rsidRPr="0061539B" w:rsidRDefault="00217EAE" w:rsidP="00217EAE">
            <w:pPr>
              <w:pStyle w:val="naisc"/>
              <w:spacing w:before="0" w:after="0"/>
              <w:jc w:val="both"/>
              <w:rPr>
                <w:sz w:val="28"/>
                <w:szCs w:val="28"/>
              </w:rPr>
            </w:pPr>
            <w:r w:rsidRPr="0061539B">
              <w:rPr>
                <w:sz w:val="28"/>
                <w:szCs w:val="28"/>
              </w:rPr>
              <w:t>Uzņēmumu reģistrs nodrošina, ka neidentificētam lietotājam tīmekļvietnē bez maksas publiski ir pieejami šajā likumā noteiktie publisko personu un iestāžu saraksta ieraksti un visi Maksātnespējas likumā noteiktie maksātnespējas reģistra ieraksti, kā arī kreditoru sapulces darba kārtība un administratora paziņojums kreditoriem par kreditoru sapulci.</w:t>
            </w:r>
          </w:p>
          <w:p w14:paraId="430990A9" w14:textId="71DE6C33" w:rsidR="00217EAE" w:rsidRPr="0061539B" w:rsidRDefault="00217EAE" w:rsidP="00217EAE">
            <w:pPr>
              <w:pStyle w:val="naisc"/>
              <w:spacing w:before="0" w:after="0"/>
              <w:jc w:val="both"/>
              <w:rPr>
                <w:sz w:val="28"/>
                <w:szCs w:val="28"/>
              </w:rPr>
            </w:pPr>
            <w:r w:rsidRPr="0061539B">
              <w:rPr>
                <w:sz w:val="28"/>
                <w:szCs w:val="28"/>
              </w:rPr>
              <w:lastRenderedPageBreak/>
              <w:t>Ikvienam ir tiesības Uzņēmumu reģistra tīmekļvietnē bez maksas iegūt informāciju par personas tiesībām pārstāvēt juridisko personu vai personas saistību ar Uzņēmumu reģistra ierakstiem, pieprasījumā norādot šo personu identificējošu informāciju.</w:t>
            </w:r>
          </w:p>
          <w:p w14:paraId="60FF83D3" w14:textId="1C4FEA8B" w:rsidR="00217EAE" w:rsidRPr="0061539B" w:rsidRDefault="00217EAE" w:rsidP="003266CF">
            <w:pPr>
              <w:pStyle w:val="naisc"/>
              <w:spacing w:before="0" w:after="0"/>
              <w:jc w:val="both"/>
              <w:rPr>
                <w:sz w:val="28"/>
                <w:szCs w:val="28"/>
              </w:rPr>
            </w:pPr>
            <w:r w:rsidRPr="0061539B">
              <w:rPr>
                <w:sz w:val="28"/>
                <w:szCs w:val="28"/>
              </w:rPr>
              <w:t xml:space="preserve">Informācija, ko Uzņēmumu reģistrs tīmekļvietnē sniedz no tā vestajiem reģistriem, ir atbilstoša Uzņēmumu reģistra vesto reģistru ierakstiem, citām reģistrētajām ziņām un reģistrācijas lietā esošajiem dokumentiem. Informācijas pieprasītājs var paļauties uz to, ka šāda informācija ir patiesa un ticama (2019.gada 14.novembrī pieņemtie grozījumi likumā </w:t>
            </w:r>
            <w:r w:rsidR="00AC287C" w:rsidRPr="0061539B">
              <w:rPr>
                <w:sz w:val="28"/>
                <w:szCs w:val="28"/>
              </w:rPr>
              <w:t>“</w:t>
            </w:r>
            <w:r w:rsidRPr="0061539B">
              <w:rPr>
                <w:sz w:val="28"/>
                <w:szCs w:val="28"/>
              </w:rPr>
              <w:t>Par Latvijas Republikas Uzņēmumu reģistru”, kas stājās spēkā 2020.gada 7.janvārī).</w:t>
            </w:r>
          </w:p>
          <w:p w14:paraId="45712D17" w14:textId="0E82AFCD" w:rsidR="00217EAE" w:rsidRPr="0061539B" w:rsidRDefault="00217EAE" w:rsidP="00217EAE">
            <w:pPr>
              <w:pStyle w:val="naisc"/>
              <w:spacing w:before="0" w:after="0"/>
              <w:jc w:val="both"/>
              <w:rPr>
                <w:sz w:val="28"/>
                <w:szCs w:val="28"/>
              </w:rPr>
            </w:pPr>
            <w:r w:rsidRPr="0061539B">
              <w:rPr>
                <w:sz w:val="28"/>
                <w:szCs w:val="28"/>
              </w:rPr>
              <w:t xml:space="preserve">Ņemot vērā minēto, </w:t>
            </w:r>
            <w:r w:rsidR="003266CF" w:rsidRPr="0061539B">
              <w:rPr>
                <w:sz w:val="28"/>
                <w:szCs w:val="28"/>
              </w:rPr>
              <w:t xml:space="preserve">nav pamatoti saskaņā ar Noteikumu 4.punktu atsavināšanas ierosinājumam pievienot Noteikumu 4.7.apakšpunktā norādīto komercreģistra iestādes izsniegtu izziņu par sabiedrības ar ierobežotu atbildību dalībnieku sastāvu un katram dalībniekam piederošo daļu skaitu  </w:t>
            </w:r>
            <w:r w:rsidR="000B3798" w:rsidRPr="0061539B">
              <w:rPr>
                <w:sz w:val="28"/>
                <w:szCs w:val="28"/>
              </w:rPr>
              <w:t xml:space="preserve">un </w:t>
            </w:r>
            <w:r w:rsidR="003266CF" w:rsidRPr="0061539B">
              <w:rPr>
                <w:sz w:val="28"/>
                <w:szCs w:val="28"/>
              </w:rPr>
              <w:t xml:space="preserve">4.9.apakšpunktā  norādīto juridiskas personas reģistrācijas apliecības kopiju, tādēļ </w:t>
            </w:r>
            <w:r w:rsidRPr="0061539B">
              <w:rPr>
                <w:sz w:val="28"/>
                <w:szCs w:val="28"/>
              </w:rPr>
              <w:t>Noteikum</w:t>
            </w:r>
            <w:r w:rsidR="00D92C06" w:rsidRPr="0061539B">
              <w:rPr>
                <w:sz w:val="28"/>
                <w:szCs w:val="28"/>
              </w:rPr>
              <w:t xml:space="preserve">i </w:t>
            </w:r>
            <w:r w:rsidRPr="0061539B">
              <w:rPr>
                <w:sz w:val="28"/>
                <w:szCs w:val="28"/>
              </w:rPr>
              <w:t>papildināt</w:t>
            </w:r>
            <w:r w:rsidR="00D92C06" w:rsidRPr="0061539B">
              <w:rPr>
                <w:sz w:val="28"/>
                <w:szCs w:val="28"/>
              </w:rPr>
              <w:t>i</w:t>
            </w:r>
            <w:r w:rsidRPr="0061539B">
              <w:rPr>
                <w:sz w:val="28"/>
                <w:szCs w:val="28"/>
              </w:rPr>
              <w:t xml:space="preserve"> ar diviem papildus punktiem </w:t>
            </w:r>
            <w:r w:rsidR="00785989" w:rsidRPr="0061539B">
              <w:rPr>
                <w:sz w:val="28"/>
                <w:szCs w:val="28"/>
              </w:rPr>
              <w:t>šādā</w:t>
            </w:r>
            <w:r w:rsidRPr="0061539B">
              <w:rPr>
                <w:sz w:val="28"/>
                <w:szCs w:val="28"/>
              </w:rPr>
              <w:t xml:space="preserve"> redakcijā:</w:t>
            </w:r>
          </w:p>
          <w:p w14:paraId="21DB935D" w14:textId="0379C7AB" w:rsidR="00217EAE" w:rsidRPr="0061539B" w:rsidRDefault="003266CF" w:rsidP="00217EAE">
            <w:pPr>
              <w:pStyle w:val="naisc"/>
              <w:spacing w:before="0" w:after="0"/>
              <w:jc w:val="both"/>
              <w:rPr>
                <w:sz w:val="28"/>
                <w:szCs w:val="28"/>
              </w:rPr>
            </w:pPr>
            <w:r w:rsidRPr="0061539B">
              <w:rPr>
                <w:sz w:val="28"/>
                <w:szCs w:val="28"/>
              </w:rPr>
              <w:t>“</w:t>
            </w:r>
            <w:r w:rsidR="00DC7D37" w:rsidRPr="0061539B">
              <w:rPr>
                <w:sz w:val="28"/>
                <w:szCs w:val="28"/>
              </w:rPr>
              <w:t>3</w:t>
            </w:r>
            <w:r w:rsidR="00D92C06" w:rsidRPr="0061539B">
              <w:rPr>
                <w:sz w:val="28"/>
                <w:szCs w:val="28"/>
              </w:rPr>
              <w:t xml:space="preserve">. Izteikt </w:t>
            </w:r>
            <w:r w:rsidR="00217EAE" w:rsidRPr="0061539B">
              <w:rPr>
                <w:sz w:val="28"/>
                <w:szCs w:val="28"/>
              </w:rPr>
              <w:t>4.7.apakšpunktu šādā redakcijā:</w:t>
            </w:r>
          </w:p>
          <w:p w14:paraId="7FB11F9D" w14:textId="378396BD" w:rsidR="00217EAE" w:rsidRPr="0061539B" w:rsidRDefault="00217EAE" w:rsidP="00217EAE">
            <w:pPr>
              <w:pStyle w:val="naisc"/>
              <w:spacing w:before="0" w:after="0"/>
              <w:ind w:left="34"/>
              <w:jc w:val="both"/>
              <w:rPr>
                <w:sz w:val="28"/>
                <w:szCs w:val="28"/>
              </w:rPr>
            </w:pPr>
            <w:r w:rsidRPr="0061539B">
              <w:rPr>
                <w:sz w:val="28"/>
                <w:szCs w:val="28"/>
              </w:rPr>
              <w:t>4.7. sabiedrības ar ierobežotu atbildību dalībnieku pilsonību apliecinošus dokumen</w:t>
            </w:r>
            <w:r w:rsidR="00D92C06" w:rsidRPr="0061539B">
              <w:rPr>
                <w:sz w:val="28"/>
                <w:szCs w:val="28"/>
              </w:rPr>
              <w:t>tus;”</w:t>
            </w:r>
            <w:r w:rsidRPr="0061539B">
              <w:rPr>
                <w:sz w:val="28"/>
                <w:szCs w:val="28"/>
              </w:rPr>
              <w:t>,</w:t>
            </w:r>
          </w:p>
          <w:p w14:paraId="4916B927" w14:textId="45DE4EC0" w:rsidR="00217EAE" w:rsidRPr="0061539B" w:rsidRDefault="003266CF" w:rsidP="00217EAE">
            <w:pPr>
              <w:pStyle w:val="naisc"/>
              <w:spacing w:before="0" w:after="0"/>
              <w:jc w:val="both"/>
              <w:rPr>
                <w:sz w:val="28"/>
                <w:szCs w:val="28"/>
              </w:rPr>
            </w:pPr>
            <w:r w:rsidRPr="0061539B">
              <w:rPr>
                <w:sz w:val="28"/>
                <w:szCs w:val="28"/>
              </w:rPr>
              <w:t>“</w:t>
            </w:r>
            <w:r w:rsidR="00DC7D37" w:rsidRPr="0061539B">
              <w:rPr>
                <w:sz w:val="28"/>
                <w:szCs w:val="28"/>
              </w:rPr>
              <w:t>4</w:t>
            </w:r>
            <w:r w:rsidR="00D92C06" w:rsidRPr="0061539B">
              <w:rPr>
                <w:sz w:val="28"/>
                <w:szCs w:val="28"/>
              </w:rPr>
              <w:t xml:space="preserve">. </w:t>
            </w:r>
            <w:r w:rsidR="00217EAE" w:rsidRPr="0061539B">
              <w:rPr>
                <w:sz w:val="28"/>
                <w:szCs w:val="28"/>
              </w:rPr>
              <w:t>Izteikt noteikumu 4.9.apakšpunktu šādā redakcijā:</w:t>
            </w:r>
          </w:p>
          <w:p w14:paraId="21F3CEFD" w14:textId="149A4173" w:rsidR="00217EAE" w:rsidRPr="0061539B" w:rsidRDefault="00217EAE" w:rsidP="00217EAE">
            <w:pPr>
              <w:shd w:val="clear" w:color="auto" w:fill="FFFFFF"/>
              <w:spacing w:after="60"/>
              <w:jc w:val="both"/>
              <w:rPr>
                <w:sz w:val="28"/>
                <w:szCs w:val="28"/>
              </w:rPr>
            </w:pPr>
            <w:r w:rsidRPr="0061539B">
              <w:rPr>
                <w:sz w:val="28"/>
                <w:szCs w:val="28"/>
              </w:rPr>
              <w:t>4.9. atsavināšanas ierosinātāja personu apliecinoš</w:t>
            </w:r>
            <w:r w:rsidR="000B3798" w:rsidRPr="0061539B">
              <w:rPr>
                <w:sz w:val="28"/>
                <w:szCs w:val="28"/>
              </w:rPr>
              <w:t>a</w:t>
            </w:r>
            <w:r w:rsidRPr="0061539B">
              <w:rPr>
                <w:sz w:val="28"/>
                <w:szCs w:val="28"/>
              </w:rPr>
              <w:t xml:space="preserve"> dokumen</w:t>
            </w:r>
            <w:r w:rsidR="00D92C06" w:rsidRPr="0061539B">
              <w:rPr>
                <w:sz w:val="28"/>
                <w:szCs w:val="28"/>
              </w:rPr>
              <w:t>t</w:t>
            </w:r>
            <w:r w:rsidR="000B3798" w:rsidRPr="0061539B">
              <w:rPr>
                <w:sz w:val="28"/>
                <w:szCs w:val="28"/>
              </w:rPr>
              <w:t>a</w:t>
            </w:r>
            <w:r w:rsidR="00D92C06" w:rsidRPr="0061539B">
              <w:rPr>
                <w:sz w:val="28"/>
                <w:szCs w:val="28"/>
              </w:rPr>
              <w:t xml:space="preserve"> kopiju (fiziskai personai).”</w:t>
            </w:r>
            <w:r w:rsidRPr="0061539B">
              <w:rPr>
                <w:sz w:val="28"/>
                <w:szCs w:val="28"/>
              </w:rPr>
              <w:t>.</w:t>
            </w:r>
          </w:p>
          <w:p w14:paraId="18189784" w14:textId="6C9BF291" w:rsidR="00B12507" w:rsidRPr="0061539B" w:rsidRDefault="00B12507" w:rsidP="00AB0292">
            <w:pPr>
              <w:shd w:val="clear" w:color="auto" w:fill="FFFFFF"/>
              <w:spacing w:after="60"/>
              <w:jc w:val="both"/>
              <w:rPr>
                <w:bCs/>
                <w:sz w:val="28"/>
                <w:szCs w:val="28"/>
              </w:rPr>
            </w:pPr>
            <w:r w:rsidRPr="0061539B">
              <w:rPr>
                <w:bCs/>
                <w:sz w:val="28"/>
                <w:szCs w:val="28"/>
              </w:rPr>
              <w:t>Papildus, atbilstoši Ministru kabineta 2009.gada 3.februāra noteikumu Nr.108</w:t>
            </w:r>
            <w:r w:rsidR="003266CF" w:rsidRPr="0061539B">
              <w:rPr>
                <w:bCs/>
                <w:sz w:val="28"/>
                <w:szCs w:val="28"/>
              </w:rPr>
              <w:t xml:space="preserve"> </w:t>
            </w:r>
            <w:r w:rsidR="003266CF" w:rsidRPr="0061539B">
              <w:rPr>
                <w:sz w:val="28"/>
                <w:szCs w:val="28"/>
              </w:rPr>
              <w:t>“</w:t>
            </w:r>
            <w:r w:rsidRPr="0061539B">
              <w:rPr>
                <w:bCs/>
                <w:sz w:val="28"/>
                <w:szCs w:val="28"/>
              </w:rPr>
              <w:t>Normatīvo aktu projektu sagatavošanas noteikumi” 3.</w:t>
            </w:r>
            <w:r w:rsidRPr="0061539B">
              <w:rPr>
                <w:bCs/>
                <w:sz w:val="28"/>
                <w:szCs w:val="28"/>
                <w:vertAlign w:val="superscript"/>
              </w:rPr>
              <w:t>1</w:t>
            </w:r>
            <w:r w:rsidRPr="0061539B">
              <w:rPr>
                <w:bCs/>
                <w:sz w:val="28"/>
                <w:szCs w:val="28"/>
              </w:rPr>
              <w:t xml:space="preserve"> punktam, kas noteic, ka redakcionālus precizējumus sagatavo vienlaikus ar normatīvā akta grozījumiem pēc būtības, projekts paredz veikt redakcionālus precizējumus </w:t>
            </w:r>
            <w:r w:rsidRPr="0061539B">
              <w:rPr>
                <w:sz w:val="28"/>
                <w:szCs w:val="28"/>
              </w:rPr>
              <w:t>Noteikumos.</w:t>
            </w:r>
          </w:p>
        </w:tc>
      </w:tr>
      <w:tr w:rsidR="00E915CD" w:rsidRPr="0061539B" w14:paraId="5DF04DBB" w14:textId="77777777" w:rsidTr="00BF09E0">
        <w:trPr>
          <w:trHeight w:val="538"/>
        </w:trPr>
        <w:tc>
          <w:tcPr>
            <w:tcW w:w="430" w:type="dxa"/>
          </w:tcPr>
          <w:p w14:paraId="05EF74E0" w14:textId="7EACBAF2" w:rsidR="00585B7B" w:rsidRPr="0061539B" w:rsidRDefault="008120F5" w:rsidP="008430A7">
            <w:pPr>
              <w:pStyle w:val="naiskr"/>
              <w:spacing w:before="0" w:after="0"/>
              <w:jc w:val="center"/>
              <w:rPr>
                <w:sz w:val="28"/>
                <w:szCs w:val="28"/>
              </w:rPr>
            </w:pPr>
            <w:r w:rsidRPr="0061539B">
              <w:rPr>
                <w:sz w:val="28"/>
                <w:szCs w:val="28"/>
              </w:rPr>
              <w:lastRenderedPageBreak/>
              <w:t>3</w:t>
            </w:r>
            <w:r w:rsidR="00585B7B" w:rsidRPr="0061539B">
              <w:rPr>
                <w:sz w:val="28"/>
                <w:szCs w:val="28"/>
              </w:rPr>
              <w:t>.</w:t>
            </w:r>
          </w:p>
        </w:tc>
        <w:tc>
          <w:tcPr>
            <w:tcW w:w="2693" w:type="dxa"/>
          </w:tcPr>
          <w:p w14:paraId="4E636C00" w14:textId="2021D837" w:rsidR="00585B7B" w:rsidRPr="0061539B" w:rsidRDefault="00585B7B" w:rsidP="00EF5C77">
            <w:pPr>
              <w:pStyle w:val="naiskr"/>
              <w:spacing w:before="0" w:after="0"/>
              <w:ind w:left="131"/>
              <w:rPr>
                <w:sz w:val="28"/>
                <w:szCs w:val="28"/>
              </w:rPr>
            </w:pPr>
            <w:r w:rsidRPr="0061539B">
              <w:rPr>
                <w:sz w:val="28"/>
                <w:szCs w:val="28"/>
              </w:rPr>
              <w:t>Projekta izstrādē iesaistītās institūcijas</w:t>
            </w:r>
            <w:r w:rsidR="0009719E" w:rsidRPr="0061539B">
              <w:rPr>
                <w:sz w:val="28"/>
                <w:szCs w:val="28"/>
              </w:rPr>
              <w:t xml:space="preserve"> </w:t>
            </w:r>
            <w:r w:rsidR="0009719E" w:rsidRPr="0061539B">
              <w:rPr>
                <w:rFonts w:eastAsia="Times New Roman"/>
                <w:iCs/>
                <w:sz w:val="28"/>
                <w:szCs w:val="28"/>
              </w:rPr>
              <w:t>un publiskas personas kapitālsabiedrības</w:t>
            </w:r>
          </w:p>
        </w:tc>
        <w:tc>
          <w:tcPr>
            <w:tcW w:w="7088" w:type="dxa"/>
          </w:tcPr>
          <w:p w14:paraId="5733166E" w14:textId="351DCDA8" w:rsidR="00585B7B" w:rsidRPr="0061539B" w:rsidRDefault="00D42E3E" w:rsidP="00166070">
            <w:pPr>
              <w:spacing w:before="75" w:after="75"/>
              <w:ind w:left="82" w:right="141"/>
              <w:jc w:val="both"/>
              <w:rPr>
                <w:sz w:val="28"/>
                <w:szCs w:val="28"/>
              </w:rPr>
            </w:pPr>
            <w:r w:rsidRPr="0061539B">
              <w:rPr>
                <w:sz w:val="28"/>
                <w:szCs w:val="28"/>
              </w:rPr>
              <w:t>Valsts ro</w:t>
            </w:r>
            <w:r w:rsidR="00166070" w:rsidRPr="0061539B">
              <w:rPr>
                <w:sz w:val="28"/>
                <w:szCs w:val="28"/>
              </w:rPr>
              <w:t>bežsardze, Iekšlietu ministrija</w:t>
            </w:r>
            <w:r w:rsidRPr="0061539B">
              <w:rPr>
                <w:sz w:val="28"/>
                <w:szCs w:val="28"/>
              </w:rPr>
              <w:t>.</w:t>
            </w:r>
          </w:p>
        </w:tc>
      </w:tr>
      <w:tr w:rsidR="00E915CD" w:rsidRPr="0061539B" w14:paraId="027C0F2D" w14:textId="77777777" w:rsidTr="00BF09E0">
        <w:tc>
          <w:tcPr>
            <w:tcW w:w="430" w:type="dxa"/>
          </w:tcPr>
          <w:p w14:paraId="66E2DB9E" w14:textId="011A346C" w:rsidR="00585B7B" w:rsidRPr="0061539B" w:rsidRDefault="008120F5" w:rsidP="008430A7">
            <w:pPr>
              <w:pStyle w:val="naiskr"/>
              <w:spacing w:before="0" w:after="0"/>
              <w:jc w:val="center"/>
              <w:rPr>
                <w:sz w:val="28"/>
                <w:szCs w:val="28"/>
              </w:rPr>
            </w:pPr>
            <w:r w:rsidRPr="0061539B">
              <w:rPr>
                <w:sz w:val="28"/>
                <w:szCs w:val="28"/>
              </w:rPr>
              <w:t>4</w:t>
            </w:r>
            <w:r w:rsidR="00585B7B" w:rsidRPr="0061539B">
              <w:rPr>
                <w:sz w:val="28"/>
                <w:szCs w:val="28"/>
              </w:rPr>
              <w:t>.</w:t>
            </w:r>
          </w:p>
        </w:tc>
        <w:tc>
          <w:tcPr>
            <w:tcW w:w="2693" w:type="dxa"/>
          </w:tcPr>
          <w:p w14:paraId="281030B0" w14:textId="77777777" w:rsidR="00585B7B" w:rsidRPr="0061539B" w:rsidRDefault="00585B7B" w:rsidP="00EF5C77">
            <w:pPr>
              <w:pStyle w:val="naiskr"/>
              <w:spacing w:before="0" w:after="0"/>
              <w:ind w:left="131"/>
              <w:rPr>
                <w:sz w:val="28"/>
                <w:szCs w:val="28"/>
              </w:rPr>
            </w:pPr>
            <w:r w:rsidRPr="0061539B">
              <w:rPr>
                <w:sz w:val="28"/>
                <w:szCs w:val="28"/>
              </w:rPr>
              <w:t>Cita informācija</w:t>
            </w:r>
          </w:p>
        </w:tc>
        <w:tc>
          <w:tcPr>
            <w:tcW w:w="7088" w:type="dxa"/>
          </w:tcPr>
          <w:p w14:paraId="1028A62F" w14:textId="01FF5603" w:rsidR="00585B7B" w:rsidRPr="0061539B" w:rsidRDefault="00261561" w:rsidP="002B5511">
            <w:pPr>
              <w:pStyle w:val="naiskr"/>
              <w:spacing w:before="0" w:after="0"/>
              <w:ind w:left="82" w:right="141"/>
              <w:jc w:val="both"/>
              <w:rPr>
                <w:sz w:val="28"/>
                <w:szCs w:val="28"/>
              </w:rPr>
            </w:pPr>
            <w:r w:rsidRPr="0061539B">
              <w:rPr>
                <w:sz w:val="28"/>
                <w:szCs w:val="28"/>
              </w:rPr>
              <w:t>Nav.</w:t>
            </w:r>
          </w:p>
        </w:tc>
      </w:tr>
    </w:tbl>
    <w:p w14:paraId="6C5EEA5E" w14:textId="6E0FE87C" w:rsidR="0061539B" w:rsidRDefault="0061539B" w:rsidP="003E3E30">
      <w:pPr>
        <w:shd w:val="clear" w:color="auto" w:fill="FFFFFF"/>
        <w:spacing w:before="60" w:after="60"/>
        <w:rPr>
          <w:rFonts w:eastAsia="Times New Roman"/>
          <w:sz w:val="28"/>
          <w:szCs w:val="28"/>
        </w:rPr>
      </w:pPr>
    </w:p>
    <w:p w14:paraId="7356DFA5" w14:textId="77777777" w:rsidR="0061539B" w:rsidRDefault="0061539B">
      <w:pPr>
        <w:rPr>
          <w:rFonts w:eastAsia="Times New Roman"/>
          <w:sz w:val="28"/>
          <w:szCs w:val="28"/>
        </w:rPr>
      </w:pPr>
      <w:r>
        <w:rPr>
          <w:rFonts w:eastAsia="Times New Roman"/>
          <w:sz w:val="28"/>
          <w:szCs w:val="28"/>
        </w:rPr>
        <w:br w:type="page"/>
      </w:r>
    </w:p>
    <w:tbl>
      <w:tblPr>
        <w:tblW w:w="5624" w:type="pct"/>
        <w:tblInd w:w="-53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8"/>
        <w:gridCol w:w="2709"/>
        <w:gridCol w:w="7108"/>
      </w:tblGrid>
      <w:tr w:rsidR="00E915CD" w:rsidRPr="0061539B" w14:paraId="340DB088" w14:textId="77777777" w:rsidTr="00BF09E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51FAC2" w14:textId="77777777" w:rsidR="003E3E30" w:rsidRPr="0061539B" w:rsidRDefault="003E3E30" w:rsidP="003E3E30">
            <w:pPr>
              <w:spacing w:before="100" w:beforeAutospacing="1" w:after="100" w:afterAutospacing="1" w:line="293" w:lineRule="atLeast"/>
              <w:jc w:val="center"/>
              <w:rPr>
                <w:rFonts w:eastAsia="Times New Roman"/>
                <w:b/>
                <w:bCs/>
                <w:sz w:val="28"/>
                <w:szCs w:val="28"/>
              </w:rPr>
            </w:pPr>
            <w:r w:rsidRPr="0061539B">
              <w:rPr>
                <w:rFonts w:eastAsia="Times New Roman"/>
                <w:b/>
                <w:bCs/>
                <w:sz w:val="28"/>
                <w:szCs w:val="28"/>
              </w:rPr>
              <w:lastRenderedPageBreak/>
              <w:t>II. Tiesību akta projekta ietekme uz sabiedrību, tautsaimniecības attīstību un administratīvo slogu</w:t>
            </w:r>
          </w:p>
        </w:tc>
      </w:tr>
      <w:tr w:rsidR="00E915CD" w:rsidRPr="0061539B" w14:paraId="08668B36" w14:textId="77777777" w:rsidTr="00BF09E0">
        <w:trPr>
          <w:trHeight w:val="465"/>
        </w:trPr>
        <w:tc>
          <w:tcPr>
            <w:tcW w:w="209" w:type="pct"/>
            <w:tcBorders>
              <w:top w:val="outset" w:sz="6" w:space="0" w:color="414142"/>
              <w:left w:val="outset" w:sz="6" w:space="0" w:color="414142"/>
              <w:bottom w:val="outset" w:sz="6" w:space="0" w:color="414142"/>
              <w:right w:val="outset" w:sz="6" w:space="0" w:color="414142"/>
            </w:tcBorders>
            <w:shd w:val="clear" w:color="auto" w:fill="FFFFFF"/>
            <w:hideMark/>
          </w:tcPr>
          <w:p w14:paraId="0C3A12E6" w14:textId="77777777" w:rsidR="003E3E30" w:rsidRPr="0061539B" w:rsidRDefault="003E3E30" w:rsidP="003E3E30">
            <w:pPr>
              <w:rPr>
                <w:rFonts w:eastAsia="Times New Roman"/>
                <w:sz w:val="28"/>
                <w:szCs w:val="28"/>
              </w:rPr>
            </w:pPr>
            <w:r w:rsidRPr="0061539B">
              <w:rPr>
                <w:rFonts w:eastAsia="Times New Roman"/>
                <w:sz w:val="28"/>
                <w:szCs w:val="28"/>
              </w:rPr>
              <w:t>1.</w:t>
            </w:r>
          </w:p>
        </w:tc>
        <w:tc>
          <w:tcPr>
            <w:tcW w:w="1322" w:type="pct"/>
            <w:tcBorders>
              <w:top w:val="outset" w:sz="6" w:space="0" w:color="414142"/>
              <w:left w:val="outset" w:sz="6" w:space="0" w:color="414142"/>
              <w:bottom w:val="outset" w:sz="6" w:space="0" w:color="414142"/>
              <w:right w:val="outset" w:sz="6" w:space="0" w:color="414142"/>
            </w:tcBorders>
            <w:shd w:val="clear" w:color="auto" w:fill="FFFFFF"/>
            <w:hideMark/>
          </w:tcPr>
          <w:p w14:paraId="2AF3AB97" w14:textId="77777777" w:rsidR="003E3E30" w:rsidRPr="0061539B" w:rsidRDefault="003E3E30" w:rsidP="003E3E30">
            <w:pPr>
              <w:rPr>
                <w:rFonts w:eastAsia="Times New Roman"/>
                <w:sz w:val="28"/>
                <w:szCs w:val="28"/>
              </w:rPr>
            </w:pPr>
            <w:r w:rsidRPr="0061539B">
              <w:rPr>
                <w:rFonts w:eastAsia="Times New Roman"/>
                <w:sz w:val="28"/>
                <w:szCs w:val="28"/>
              </w:rPr>
              <w:t xml:space="preserve">Sabiedrības </w:t>
            </w:r>
            <w:proofErr w:type="spellStart"/>
            <w:r w:rsidRPr="0061539B">
              <w:rPr>
                <w:rFonts w:eastAsia="Times New Roman"/>
                <w:sz w:val="28"/>
                <w:szCs w:val="28"/>
              </w:rPr>
              <w:t>mērķgrupas</w:t>
            </w:r>
            <w:proofErr w:type="spellEnd"/>
            <w:r w:rsidRPr="0061539B">
              <w:rPr>
                <w:rFonts w:eastAsia="Times New Roman"/>
                <w:sz w:val="28"/>
                <w:szCs w:val="28"/>
              </w:rPr>
              <w:t>, kuras tiesiskais regulējums ietekmē vai varētu ietekmēt</w:t>
            </w:r>
          </w:p>
        </w:tc>
        <w:tc>
          <w:tcPr>
            <w:tcW w:w="3469" w:type="pct"/>
            <w:tcBorders>
              <w:top w:val="outset" w:sz="6" w:space="0" w:color="414142"/>
              <w:left w:val="outset" w:sz="6" w:space="0" w:color="414142"/>
              <w:bottom w:val="outset" w:sz="6" w:space="0" w:color="414142"/>
              <w:right w:val="outset" w:sz="6" w:space="0" w:color="414142"/>
            </w:tcBorders>
            <w:shd w:val="clear" w:color="auto" w:fill="FFFFFF"/>
            <w:hideMark/>
          </w:tcPr>
          <w:p w14:paraId="6E2479EE" w14:textId="005E6F54" w:rsidR="003E3E30" w:rsidRPr="0061539B" w:rsidRDefault="00F74EB3" w:rsidP="007757FE">
            <w:pPr>
              <w:shd w:val="clear" w:color="auto" w:fill="FFFFFF"/>
              <w:spacing w:after="60"/>
              <w:jc w:val="both"/>
              <w:rPr>
                <w:rFonts w:eastAsia="Times New Roman"/>
                <w:sz w:val="28"/>
                <w:szCs w:val="28"/>
              </w:rPr>
            </w:pPr>
            <w:r w:rsidRPr="0061539B">
              <w:rPr>
                <w:rFonts w:eastAsia="Times New Roman"/>
                <w:sz w:val="28"/>
                <w:szCs w:val="28"/>
              </w:rPr>
              <w:t>P</w:t>
            </w:r>
            <w:r w:rsidR="00703ED9" w:rsidRPr="0061539B">
              <w:rPr>
                <w:rFonts w:eastAsia="Times New Roman"/>
                <w:sz w:val="28"/>
                <w:szCs w:val="28"/>
              </w:rPr>
              <w:t xml:space="preserve">ubliskas personas, atvasinātas </w:t>
            </w:r>
            <w:r w:rsidR="00703ED9" w:rsidRPr="0061539B">
              <w:rPr>
                <w:sz w:val="28"/>
                <w:szCs w:val="28"/>
              </w:rPr>
              <w:t>publiskas personas</w:t>
            </w:r>
            <w:r w:rsidR="007757FE" w:rsidRPr="0061539B">
              <w:rPr>
                <w:sz w:val="28"/>
                <w:szCs w:val="28"/>
              </w:rPr>
              <w:t>, kā</w:t>
            </w:r>
            <w:r w:rsidR="00B83CA9" w:rsidRPr="0061539B">
              <w:rPr>
                <w:sz w:val="28"/>
                <w:szCs w:val="28"/>
              </w:rPr>
              <w:t xml:space="preserve"> arī fiziskas un juridiskas personas, kuras plāno iegūt īpašumā kustamo mantu</w:t>
            </w:r>
            <w:r w:rsidR="00416994" w:rsidRPr="0061539B">
              <w:rPr>
                <w:sz w:val="28"/>
                <w:szCs w:val="28"/>
              </w:rPr>
              <w:t>.</w:t>
            </w:r>
          </w:p>
        </w:tc>
      </w:tr>
      <w:tr w:rsidR="00E915CD" w:rsidRPr="0061539B" w14:paraId="2F15B486" w14:textId="77777777" w:rsidTr="00BF09E0">
        <w:trPr>
          <w:trHeight w:val="510"/>
        </w:trPr>
        <w:tc>
          <w:tcPr>
            <w:tcW w:w="209" w:type="pct"/>
            <w:tcBorders>
              <w:top w:val="outset" w:sz="6" w:space="0" w:color="414142"/>
              <w:left w:val="outset" w:sz="6" w:space="0" w:color="414142"/>
              <w:bottom w:val="outset" w:sz="6" w:space="0" w:color="414142"/>
              <w:right w:val="outset" w:sz="6" w:space="0" w:color="414142"/>
            </w:tcBorders>
            <w:shd w:val="clear" w:color="auto" w:fill="FFFFFF"/>
            <w:hideMark/>
          </w:tcPr>
          <w:p w14:paraId="60F751E2" w14:textId="77777777" w:rsidR="003E3E30" w:rsidRPr="0061539B" w:rsidRDefault="003E3E30" w:rsidP="003E3E30">
            <w:pPr>
              <w:rPr>
                <w:rFonts w:eastAsia="Times New Roman"/>
                <w:sz w:val="28"/>
                <w:szCs w:val="28"/>
              </w:rPr>
            </w:pPr>
            <w:r w:rsidRPr="0061539B">
              <w:rPr>
                <w:rFonts w:eastAsia="Times New Roman"/>
                <w:sz w:val="28"/>
                <w:szCs w:val="28"/>
              </w:rPr>
              <w:t>2.</w:t>
            </w:r>
          </w:p>
          <w:p w14:paraId="0B0D3EF2" w14:textId="77777777" w:rsidR="003E3E30" w:rsidRPr="0061539B" w:rsidRDefault="003E3E30" w:rsidP="003E3E30">
            <w:pPr>
              <w:rPr>
                <w:rFonts w:eastAsia="Times New Roman"/>
                <w:sz w:val="28"/>
                <w:szCs w:val="28"/>
              </w:rPr>
            </w:pPr>
          </w:p>
          <w:p w14:paraId="16347659" w14:textId="77777777" w:rsidR="003E3E30" w:rsidRPr="0061539B" w:rsidRDefault="003E3E30" w:rsidP="003E3E30">
            <w:pPr>
              <w:rPr>
                <w:rFonts w:eastAsia="Times New Roman"/>
                <w:sz w:val="28"/>
                <w:szCs w:val="28"/>
              </w:rPr>
            </w:pPr>
          </w:p>
          <w:p w14:paraId="75AD0327" w14:textId="77777777" w:rsidR="003E3E30" w:rsidRPr="0061539B" w:rsidRDefault="003E3E30" w:rsidP="003E3E30">
            <w:pPr>
              <w:rPr>
                <w:rFonts w:eastAsia="Times New Roman"/>
                <w:sz w:val="28"/>
                <w:szCs w:val="28"/>
              </w:rPr>
            </w:pPr>
          </w:p>
        </w:tc>
        <w:tc>
          <w:tcPr>
            <w:tcW w:w="1322" w:type="pct"/>
            <w:tcBorders>
              <w:top w:val="outset" w:sz="6" w:space="0" w:color="414142"/>
              <w:left w:val="outset" w:sz="6" w:space="0" w:color="414142"/>
              <w:bottom w:val="outset" w:sz="6" w:space="0" w:color="414142"/>
              <w:right w:val="outset" w:sz="6" w:space="0" w:color="414142"/>
            </w:tcBorders>
            <w:shd w:val="clear" w:color="auto" w:fill="FFFFFF"/>
            <w:hideMark/>
          </w:tcPr>
          <w:p w14:paraId="095EF2AC" w14:textId="77777777" w:rsidR="003E3E30" w:rsidRPr="0061539B" w:rsidRDefault="003E3E30" w:rsidP="003E3E30">
            <w:pPr>
              <w:rPr>
                <w:rFonts w:eastAsia="Times New Roman"/>
                <w:sz w:val="28"/>
                <w:szCs w:val="28"/>
              </w:rPr>
            </w:pPr>
            <w:r w:rsidRPr="0061539B">
              <w:rPr>
                <w:rFonts w:eastAsia="Times New Roman"/>
                <w:sz w:val="28"/>
                <w:szCs w:val="28"/>
              </w:rPr>
              <w:t>Tiesiskā regulējuma ietekme uz tautsaimniecību un administratīvo slogu</w:t>
            </w:r>
          </w:p>
        </w:tc>
        <w:tc>
          <w:tcPr>
            <w:tcW w:w="3469" w:type="pct"/>
            <w:tcBorders>
              <w:top w:val="outset" w:sz="6" w:space="0" w:color="414142"/>
              <w:left w:val="outset" w:sz="6" w:space="0" w:color="414142"/>
              <w:bottom w:val="outset" w:sz="6" w:space="0" w:color="414142"/>
              <w:right w:val="outset" w:sz="6" w:space="0" w:color="414142"/>
            </w:tcBorders>
            <w:shd w:val="clear" w:color="auto" w:fill="FFFFFF"/>
            <w:hideMark/>
          </w:tcPr>
          <w:p w14:paraId="1A905B92" w14:textId="51AEE81A" w:rsidR="003E3E30" w:rsidRPr="0061539B" w:rsidRDefault="00632154" w:rsidP="003E3E30">
            <w:pPr>
              <w:rPr>
                <w:rFonts w:eastAsia="Times New Roman"/>
                <w:sz w:val="28"/>
                <w:szCs w:val="28"/>
              </w:rPr>
            </w:pPr>
            <w:r w:rsidRPr="0061539B">
              <w:rPr>
                <w:sz w:val="28"/>
                <w:szCs w:val="28"/>
              </w:rPr>
              <w:t>Administratīvais slogs samazinās.</w:t>
            </w:r>
          </w:p>
        </w:tc>
      </w:tr>
      <w:tr w:rsidR="00E915CD" w:rsidRPr="0061539B" w14:paraId="38E7E23A" w14:textId="77777777" w:rsidTr="00BF09E0">
        <w:trPr>
          <w:trHeight w:val="510"/>
        </w:trPr>
        <w:tc>
          <w:tcPr>
            <w:tcW w:w="209" w:type="pct"/>
            <w:tcBorders>
              <w:top w:val="outset" w:sz="6" w:space="0" w:color="414142"/>
              <w:left w:val="outset" w:sz="6" w:space="0" w:color="414142"/>
              <w:bottom w:val="outset" w:sz="6" w:space="0" w:color="414142"/>
              <w:right w:val="outset" w:sz="6" w:space="0" w:color="414142"/>
            </w:tcBorders>
            <w:shd w:val="clear" w:color="auto" w:fill="FFFFFF"/>
            <w:hideMark/>
          </w:tcPr>
          <w:p w14:paraId="6EBB5344" w14:textId="77777777" w:rsidR="003E3E30" w:rsidRPr="0061539B" w:rsidRDefault="003E3E30" w:rsidP="003E3E30">
            <w:pPr>
              <w:rPr>
                <w:rFonts w:eastAsia="Times New Roman"/>
                <w:sz w:val="28"/>
                <w:szCs w:val="28"/>
              </w:rPr>
            </w:pPr>
            <w:r w:rsidRPr="0061539B">
              <w:rPr>
                <w:rFonts w:eastAsia="Times New Roman"/>
                <w:sz w:val="28"/>
                <w:szCs w:val="28"/>
              </w:rPr>
              <w:t>3.</w:t>
            </w:r>
          </w:p>
        </w:tc>
        <w:tc>
          <w:tcPr>
            <w:tcW w:w="1322" w:type="pct"/>
            <w:tcBorders>
              <w:top w:val="outset" w:sz="6" w:space="0" w:color="414142"/>
              <w:left w:val="outset" w:sz="6" w:space="0" w:color="414142"/>
              <w:bottom w:val="outset" w:sz="6" w:space="0" w:color="414142"/>
              <w:right w:val="outset" w:sz="6" w:space="0" w:color="414142"/>
            </w:tcBorders>
            <w:shd w:val="clear" w:color="auto" w:fill="FFFFFF"/>
            <w:hideMark/>
          </w:tcPr>
          <w:p w14:paraId="237648B2" w14:textId="77777777" w:rsidR="003E3E30" w:rsidRPr="0061539B" w:rsidRDefault="003E3E30" w:rsidP="003E3E30">
            <w:pPr>
              <w:rPr>
                <w:rFonts w:eastAsia="Times New Roman"/>
                <w:sz w:val="28"/>
                <w:szCs w:val="28"/>
              </w:rPr>
            </w:pPr>
            <w:r w:rsidRPr="0061539B">
              <w:rPr>
                <w:rFonts w:eastAsia="Times New Roman"/>
                <w:sz w:val="28"/>
                <w:szCs w:val="28"/>
              </w:rPr>
              <w:t>Administratīvo izmaksu monetārs novērtējums</w:t>
            </w:r>
          </w:p>
        </w:tc>
        <w:tc>
          <w:tcPr>
            <w:tcW w:w="3469" w:type="pct"/>
            <w:tcBorders>
              <w:top w:val="outset" w:sz="6" w:space="0" w:color="414142"/>
              <w:left w:val="outset" w:sz="6" w:space="0" w:color="414142"/>
              <w:bottom w:val="outset" w:sz="6" w:space="0" w:color="414142"/>
              <w:right w:val="outset" w:sz="6" w:space="0" w:color="414142"/>
            </w:tcBorders>
            <w:shd w:val="clear" w:color="auto" w:fill="FFFFFF"/>
            <w:hideMark/>
          </w:tcPr>
          <w:p w14:paraId="0BCFAB36" w14:textId="4A8F4392" w:rsidR="003E3E30" w:rsidRPr="0061539B" w:rsidRDefault="00AB0292" w:rsidP="003E3E30">
            <w:pPr>
              <w:rPr>
                <w:rFonts w:eastAsia="Times New Roman"/>
                <w:sz w:val="28"/>
                <w:szCs w:val="28"/>
              </w:rPr>
            </w:pPr>
            <w:r w:rsidRPr="0061539B">
              <w:rPr>
                <w:sz w:val="28"/>
                <w:szCs w:val="28"/>
              </w:rPr>
              <w:t>P</w:t>
            </w:r>
            <w:r w:rsidR="00942AB2" w:rsidRPr="0061539B">
              <w:rPr>
                <w:sz w:val="28"/>
                <w:szCs w:val="28"/>
              </w:rPr>
              <w:t>rojekts šo jomu neskar.</w:t>
            </w:r>
          </w:p>
        </w:tc>
      </w:tr>
      <w:tr w:rsidR="0009719E" w:rsidRPr="0061539B" w14:paraId="39B42397" w14:textId="77777777" w:rsidTr="00BF09E0">
        <w:trPr>
          <w:trHeight w:val="510"/>
        </w:trPr>
        <w:tc>
          <w:tcPr>
            <w:tcW w:w="209" w:type="pct"/>
            <w:tcBorders>
              <w:top w:val="outset" w:sz="6" w:space="0" w:color="414142"/>
              <w:left w:val="outset" w:sz="6" w:space="0" w:color="414142"/>
              <w:bottom w:val="outset" w:sz="6" w:space="0" w:color="414142"/>
              <w:right w:val="outset" w:sz="6" w:space="0" w:color="414142"/>
            </w:tcBorders>
            <w:shd w:val="clear" w:color="auto" w:fill="FFFFFF"/>
          </w:tcPr>
          <w:p w14:paraId="7C1B8176" w14:textId="69AF60B1" w:rsidR="0009719E" w:rsidRPr="0061539B" w:rsidRDefault="00805FDC" w:rsidP="003E3E30">
            <w:pPr>
              <w:rPr>
                <w:rFonts w:eastAsia="Times New Roman"/>
                <w:sz w:val="28"/>
                <w:szCs w:val="28"/>
              </w:rPr>
            </w:pPr>
            <w:r w:rsidRPr="0061539B">
              <w:rPr>
                <w:rFonts w:eastAsia="Times New Roman"/>
                <w:sz w:val="28"/>
                <w:szCs w:val="28"/>
              </w:rPr>
              <w:t>4.</w:t>
            </w:r>
          </w:p>
        </w:tc>
        <w:tc>
          <w:tcPr>
            <w:tcW w:w="1322" w:type="pct"/>
            <w:tcBorders>
              <w:top w:val="outset" w:sz="6" w:space="0" w:color="414142"/>
              <w:left w:val="outset" w:sz="6" w:space="0" w:color="414142"/>
              <w:bottom w:val="outset" w:sz="6" w:space="0" w:color="414142"/>
              <w:right w:val="outset" w:sz="6" w:space="0" w:color="414142"/>
            </w:tcBorders>
            <w:shd w:val="clear" w:color="auto" w:fill="FFFFFF"/>
          </w:tcPr>
          <w:p w14:paraId="464296A2" w14:textId="6DA40E13" w:rsidR="0009719E" w:rsidRPr="0061539B" w:rsidRDefault="00805FDC" w:rsidP="003E3E30">
            <w:pPr>
              <w:rPr>
                <w:rFonts w:eastAsia="Times New Roman"/>
                <w:sz w:val="28"/>
                <w:szCs w:val="28"/>
              </w:rPr>
            </w:pPr>
            <w:r w:rsidRPr="0061539B">
              <w:rPr>
                <w:rFonts w:eastAsia="Times New Roman"/>
                <w:iCs/>
                <w:sz w:val="28"/>
                <w:szCs w:val="28"/>
              </w:rPr>
              <w:t>Atbilstības izmaksu monetārs novērtējums</w:t>
            </w:r>
          </w:p>
        </w:tc>
        <w:tc>
          <w:tcPr>
            <w:tcW w:w="3469" w:type="pct"/>
            <w:tcBorders>
              <w:top w:val="outset" w:sz="6" w:space="0" w:color="414142"/>
              <w:left w:val="outset" w:sz="6" w:space="0" w:color="414142"/>
              <w:bottom w:val="outset" w:sz="6" w:space="0" w:color="414142"/>
              <w:right w:val="outset" w:sz="6" w:space="0" w:color="414142"/>
            </w:tcBorders>
            <w:shd w:val="clear" w:color="auto" w:fill="FFFFFF"/>
          </w:tcPr>
          <w:p w14:paraId="0399ADFB" w14:textId="47B13166" w:rsidR="0009719E" w:rsidRPr="0061539B" w:rsidRDefault="00AB0292" w:rsidP="00B12507">
            <w:pPr>
              <w:rPr>
                <w:sz w:val="28"/>
                <w:szCs w:val="28"/>
              </w:rPr>
            </w:pPr>
            <w:r w:rsidRPr="0061539B">
              <w:rPr>
                <w:sz w:val="28"/>
                <w:szCs w:val="28"/>
              </w:rPr>
              <w:t>P</w:t>
            </w:r>
            <w:r w:rsidR="00B12507" w:rsidRPr="0061539B">
              <w:rPr>
                <w:sz w:val="28"/>
                <w:szCs w:val="28"/>
              </w:rPr>
              <w:t>r</w:t>
            </w:r>
            <w:r w:rsidR="00805FDC" w:rsidRPr="0061539B">
              <w:rPr>
                <w:sz w:val="28"/>
                <w:szCs w:val="28"/>
              </w:rPr>
              <w:t>ojekts šo jomu neskar.</w:t>
            </w:r>
          </w:p>
        </w:tc>
      </w:tr>
      <w:tr w:rsidR="00E915CD" w:rsidRPr="0061539B" w14:paraId="3BE1BE8C" w14:textId="77777777" w:rsidTr="00BF09E0">
        <w:trPr>
          <w:trHeight w:val="345"/>
        </w:trPr>
        <w:tc>
          <w:tcPr>
            <w:tcW w:w="209" w:type="pct"/>
            <w:tcBorders>
              <w:top w:val="outset" w:sz="6" w:space="0" w:color="414142"/>
              <w:left w:val="outset" w:sz="6" w:space="0" w:color="414142"/>
              <w:bottom w:val="outset" w:sz="6" w:space="0" w:color="414142"/>
              <w:right w:val="outset" w:sz="6" w:space="0" w:color="414142"/>
            </w:tcBorders>
            <w:shd w:val="clear" w:color="auto" w:fill="FFFFFF"/>
            <w:hideMark/>
          </w:tcPr>
          <w:p w14:paraId="32DE99F9" w14:textId="3F68D91D" w:rsidR="003E3E30" w:rsidRPr="0061539B" w:rsidRDefault="00805FDC" w:rsidP="003E3E30">
            <w:pPr>
              <w:rPr>
                <w:rFonts w:eastAsia="Times New Roman"/>
                <w:sz w:val="28"/>
                <w:szCs w:val="28"/>
              </w:rPr>
            </w:pPr>
            <w:r w:rsidRPr="0061539B">
              <w:rPr>
                <w:rFonts w:eastAsia="Times New Roman"/>
                <w:sz w:val="28"/>
                <w:szCs w:val="28"/>
              </w:rPr>
              <w:t>5.</w:t>
            </w:r>
          </w:p>
        </w:tc>
        <w:tc>
          <w:tcPr>
            <w:tcW w:w="1322" w:type="pct"/>
            <w:tcBorders>
              <w:top w:val="outset" w:sz="6" w:space="0" w:color="414142"/>
              <w:left w:val="outset" w:sz="6" w:space="0" w:color="414142"/>
              <w:bottom w:val="outset" w:sz="6" w:space="0" w:color="414142"/>
              <w:right w:val="outset" w:sz="6" w:space="0" w:color="414142"/>
            </w:tcBorders>
            <w:shd w:val="clear" w:color="auto" w:fill="FFFFFF"/>
            <w:hideMark/>
          </w:tcPr>
          <w:p w14:paraId="20C5A333" w14:textId="77777777" w:rsidR="003E3E30" w:rsidRPr="0061539B" w:rsidRDefault="003E3E30" w:rsidP="003E3E30">
            <w:pPr>
              <w:rPr>
                <w:rFonts w:eastAsia="Times New Roman"/>
                <w:sz w:val="28"/>
                <w:szCs w:val="28"/>
              </w:rPr>
            </w:pPr>
            <w:r w:rsidRPr="0061539B">
              <w:rPr>
                <w:rFonts w:eastAsia="Times New Roman"/>
                <w:sz w:val="28"/>
                <w:szCs w:val="28"/>
              </w:rPr>
              <w:t>Cita informācija</w:t>
            </w:r>
          </w:p>
        </w:tc>
        <w:tc>
          <w:tcPr>
            <w:tcW w:w="3469" w:type="pct"/>
            <w:tcBorders>
              <w:top w:val="outset" w:sz="6" w:space="0" w:color="414142"/>
              <w:left w:val="outset" w:sz="6" w:space="0" w:color="414142"/>
              <w:bottom w:val="outset" w:sz="6" w:space="0" w:color="414142"/>
              <w:right w:val="outset" w:sz="6" w:space="0" w:color="414142"/>
            </w:tcBorders>
            <w:shd w:val="clear" w:color="auto" w:fill="FFFFFF"/>
            <w:hideMark/>
          </w:tcPr>
          <w:p w14:paraId="5912A8C7" w14:textId="77777777" w:rsidR="003E3E30" w:rsidRPr="0061539B" w:rsidRDefault="00942AB2" w:rsidP="003E3E30">
            <w:pPr>
              <w:spacing w:before="100" w:beforeAutospacing="1" w:after="100" w:afterAutospacing="1" w:line="293" w:lineRule="atLeast"/>
              <w:rPr>
                <w:rFonts w:eastAsia="Times New Roman"/>
                <w:sz w:val="28"/>
                <w:szCs w:val="28"/>
              </w:rPr>
            </w:pPr>
            <w:r w:rsidRPr="0061539B">
              <w:rPr>
                <w:rFonts w:eastAsia="Times New Roman"/>
                <w:sz w:val="28"/>
                <w:szCs w:val="28"/>
              </w:rPr>
              <w:t>Nav.</w:t>
            </w:r>
          </w:p>
        </w:tc>
      </w:tr>
    </w:tbl>
    <w:p w14:paraId="5E57DC0C" w14:textId="77777777" w:rsidR="00CE4B53" w:rsidRPr="0061539B" w:rsidRDefault="00CE4B53">
      <w:pPr>
        <w:rPr>
          <w:sz w:val="28"/>
          <w:szCs w:val="28"/>
        </w:rPr>
      </w:pPr>
    </w:p>
    <w:tbl>
      <w:tblPr>
        <w:tblW w:w="5596"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2"/>
        <w:gridCol w:w="992"/>
        <w:gridCol w:w="1131"/>
        <w:gridCol w:w="1258"/>
        <w:gridCol w:w="1276"/>
        <w:gridCol w:w="1276"/>
        <w:gridCol w:w="1276"/>
        <w:gridCol w:w="1278"/>
      </w:tblGrid>
      <w:tr w:rsidR="00A447E3" w:rsidRPr="0061539B" w14:paraId="0EE51958" w14:textId="77777777" w:rsidTr="00BF09E0">
        <w:tc>
          <w:tcPr>
            <w:tcW w:w="10189" w:type="dxa"/>
            <w:gridSpan w:val="8"/>
            <w:shd w:val="clear" w:color="auto" w:fill="auto"/>
            <w:vAlign w:val="center"/>
            <w:hideMark/>
          </w:tcPr>
          <w:p w14:paraId="416D0852" w14:textId="77777777" w:rsidR="00A447E3" w:rsidRPr="0061539B" w:rsidRDefault="00A447E3" w:rsidP="003E0059">
            <w:pPr>
              <w:jc w:val="center"/>
              <w:rPr>
                <w:b/>
                <w:bCs/>
                <w:sz w:val="28"/>
                <w:szCs w:val="28"/>
                <w:lang w:eastAsia="en-US"/>
              </w:rPr>
            </w:pPr>
            <w:r w:rsidRPr="0061539B">
              <w:rPr>
                <w:b/>
                <w:bCs/>
                <w:sz w:val="28"/>
                <w:szCs w:val="28"/>
                <w:lang w:eastAsia="en-US"/>
              </w:rPr>
              <w:t>III. Tiesību akta projekta ietekme uz valsts budžetu un pašvaldību budžetiem</w:t>
            </w:r>
          </w:p>
        </w:tc>
      </w:tr>
      <w:tr w:rsidR="00A447E3" w:rsidRPr="0061539B" w14:paraId="0A9A88AB" w14:textId="77777777" w:rsidTr="00BF09E0">
        <w:tc>
          <w:tcPr>
            <w:tcW w:w="1702" w:type="dxa"/>
            <w:vMerge w:val="restart"/>
            <w:shd w:val="clear" w:color="auto" w:fill="FFFFFF"/>
            <w:vAlign w:val="center"/>
          </w:tcPr>
          <w:p w14:paraId="0609F97F" w14:textId="77777777" w:rsidR="00A447E3" w:rsidRPr="0061539B" w:rsidRDefault="00A447E3" w:rsidP="003E0059">
            <w:pPr>
              <w:jc w:val="center"/>
              <w:rPr>
                <w:bCs/>
                <w:sz w:val="28"/>
                <w:szCs w:val="28"/>
                <w:lang w:eastAsia="en-US"/>
              </w:rPr>
            </w:pPr>
            <w:r w:rsidRPr="0061539B">
              <w:rPr>
                <w:bCs/>
                <w:sz w:val="28"/>
                <w:szCs w:val="28"/>
                <w:lang w:eastAsia="en-US"/>
              </w:rPr>
              <w:t>Rādītāji</w:t>
            </w:r>
          </w:p>
        </w:tc>
        <w:tc>
          <w:tcPr>
            <w:tcW w:w="2123" w:type="dxa"/>
            <w:gridSpan w:val="2"/>
            <w:vMerge w:val="restart"/>
            <w:shd w:val="clear" w:color="auto" w:fill="FFFFFF"/>
            <w:vAlign w:val="center"/>
            <w:hideMark/>
          </w:tcPr>
          <w:p w14:paraId="47B53D46" w14:textId="3E0B1AEA" w:rsidR="00A447E3" w:rsidRPr="0061539B" w:rsidRDefault="00A223C7" w:rsidP="00A223C7">
            <w:pPr>
              <w:jc w:val="center"/>
              <w:rPr>
                <w:bCs/>
                <w:sz w:val="28"/>
                <w:szCs w:val="28"/>
                <w:lang w:eastAsia="en-US"/>
              </w:rPr>
            </w:pPr>
            <w:r w:rsidRPr="0061539B">
              <w:rPr>
                <w:bCs/>
                <w:sz w:val="28"/>
                <w:szCs w:val="28"/>
                <w:lang w:eastAsia="en-US"/>
              </w:rPr>
              <w:t>2020</w:t>
            </w:r>
            <w:r w:rsidR="00A447E3" w:rsidRPr="0061539B">
              <w:rPr>
                <w:bCs/>
                <w:sz w:val="28"/>
                <w:szCs w:val="28"/>
                <w:lang w:eastAsia="en-US"/>
              </w:rPr>
              <w:t>.gads</w:t>
            </w:r>
          </w:p>
        </w:tc>
        <w:tc>
          <w:tcPr>
            <w:tcW w:w="6364" w:type="dxa"/>
            <w:gridSpan w:val="5"/>
            <w:shd w:val="clear" w:color="auto" w:fill="FFFFFF"/>
            <w:vAlign w:val="center"/>
            <w:hideMark/>
          </w:tcPr>
          <w:p w14:paraId="0EFC92DB" w14:textId="77777777" w:rsidR="00A447E3" w:rsidRPr="0061539B" w:rsidRDefault="00A447E3" w:rsidP="003E0059">
            <w:pPr>
              <w:jc w:val="center"/>
              <w:rPr>
                <w:sz w:val="28"/>
                <w:szCs w:val="28"/>
                <w:lang w:eastAsia="en-US"/>
              </w:rPr>
            </w:pPr>
            <w:r w:rsidRPr="0061539B">
              <w:rPr>
                <w:sz w:val="28"/>
                <w:szCs w:val="28"/>
                <w:lang w:eastAsia="en-US"/>
              </w:rPr>
              <w:t>Turpmākie trīs gadi (</w:t>
            </w:r>
            <w:proofErr w:type="spellStart"/>
            <w:r w:rsidRPr="0061539B">
              <w:rPr>
                <w:i/>
                <w:iCs/>
                <w:sz w:val="28"/>
                <w:szCs w:val="28"/>
                <w:lang w:eastAsia="en-US"/>
              </w:rPr>
              <w:t>euro</w:t>
            </w:r>
            <w:proofErr w:type="spellEnd"/>
            <w:r w:rsidRPr="0061539B">
              <w:rPr>
                <w:sz w:val="28"/>
                <w:szCs w:val="28"/>
                <w:lang w:eastAsia="en-US"/>
              </w:rPr>
              <w:t>)</w:t>
            </w:r>
          </w:p>
        </w:tc>
      </w:tr>
      <w:tr w:rsidR="00A447E3" w:rsidRPr="0061539B" w14:paraId="66EB99FE" w14:textId="77777777" w:rsidTr="00BF09E0">
        <w:tc>
          <w:tcPr>
            <w:tcW w:w="1702" w:type="dxa"/>
            <w:vMerge/>
            <w:shd w:val="clear" w:color="auto" w:fill="auto"/>
            <w:vAlign w:val="center"/>
            <w:hideMark/>
          </w:tcPr>
          <w:p w14:paraId="6579C8EF" w14:textId="77777777" w:rsidR="00A447E3" w:rsidRPr="0061539B" w:rsidRDefault="00A447E3" w:rsidP="003E0059">
            <w:pPr>
              <w:jc w:val="center"/>
              <w:rPr>
                <w:bCs/>
                <w:sz w:val="28"/>
                <w:szCs w:val="28"/>
                <w:lang w:eastAsia="en-US"/>
              </w:rPr>
            </w:pPr>
          </w:p>
        </w:tc>
        <w:tc>
          <w:tcPr>
            <w:tcW w:w="2123" w:type="dxa"/>
            <w:gridSpan w:val="2"/>
            <w:vMerge/>
            <w:shd w:val="clear" w:color="auto" w:fill="auto"/>
            <w:vAlign w:val="center"/>
            <w:hideMark/>
          </w:tcPr>
          <w:p w14:paraId="0C1E573D" w14:textId="77777777" w:rsidR="00A447E3" w:rsidRPr="0061539B" w:rsidRDefault="00A447E3" w:rsidP="003E0059">
            <w:pPr>
              <w:jc w:val="center"/>
              <w:rPr>
                <w:bCs/>
                <w:sz w:val="28"/>
                <w:szCs w:val="28"/>
                <w:lang w:eastAsia="en-US"/>
              </w:rPr>
            </w:pPr>
          </w:p>
        </w:tc>
        <w:tc>
          <w:tcPr>
            <w:tcW w:w="2534" w:type="dxa"/>
            <w:gridSpan w:val="2"/>
            <w:shd w:val="clear" w:color="auto" w:fill="FFFFFF"/>
            <w:vAlign w:val="center"/>
            <w:hideMark/>
          </w:tcPr>
          <w:p w14:paraId="03056D8B" w14:textId="4B146B4F" w:rsidR="00A447E3" w:rsidRPr="0061539B" w:rsidRDefault="00A223C7" w:rsidP="00A223C7">
            <w:pPr>
              <w:jc w:val="center"/>
              <w:rPr>
                <w:bCs/>
                <w:sz w:val="28"/>
                <w:szCs w:val="28"/>
                <w:lang w:eastAsia="en-US"/>
              </w:rPr>
            </w:pPr>
            <w:r w:rsidRPr="0061539B">
              <w:rPr>
                <w:bCs/>
                <w:sz w:val="28"/>
                <w:szCs w:val="28"/>
                <w:lang w:eastAsia="en-US"/>
              </w:rPr>
              <w:t>2021</w:t>
            </w:r>
            <w:r w:rsidR="00A447E3" w:rsidRPr="0061539B">
              <w:rPr>
                <w:bCs/>
                <w:sz w:val="28"/>
                <w:szCs w:val="28"/>
                <w:lang w:eastAsia="en-US"/>
              </w:rPr>
              <w:t>.</w:t>
            </w:r>
          </w:p>
        </w:tc>
        <w:tc>
          <w:tcPr>
            <w:tcW w:w="2552" w:type="dxa"/>
            <w:gridSpan w:val="2"/>
            <w:shd w:val="clear" w:color="auto" w:fill="FFFFFF"/>
            <w:vAlign w:val="center"/>
            <w:hideMark/>
          </w:tcPr>
          <w:p w14:paraId="024831AF" w14:textId="6965898B" w:rsidR="00A447E3" w:rsidRPr="0061539B" w:rsidRDefault="00A223C7" w:rsidP="00A223C7">
            <w:pPr>
              <w:jc w:val="center"/>
              <w:rPr>
                <w:bCs/>
                <w:sz w:val="28"/>
                <w:szCs w:val="28"/>
                <w:lang w:eastAsia="en-US"/>
              </w:rPr>
            </w:pPr>
            <w:r w:rsidRPr="0061539B">
              <w:rPr>
                <w:bCs/>
                <w:sz w:val="28"/>
                <w:szCs w:val="28"/>
                <w:lang w:eastAsia="en-US"/>
              </w:rPr>
              <w:t>2022</w:t>
            </w:r>
            <w:r w:rsidR="00A447E3" w:rsidRPr="0061539B">
              <w:rPr>
                <w:bCs/>
                <w:sz w:val="28"/>
                <w:szCs w:val="28"/>
                <w:lang w:eastAsia="en-US"/>
              </w:rPr>
              <w:t>.</w:t>
            </w:r>
          </w:p>
        </w:tc>
        <w:tc>
          <w:tcPr>
            <w:tcW w:w="1278" w:type="dxa"/>
            <w:shd w:val="clear" w:color="auto" w:fill="FFFFFF"/>
            <w:vAlign w:val="center"/>
            <w:hideMark/>
          </w:tcPr>
          <w:p w14:paraId="26A6C54B" w14:textId="775A7D26" w:rsidR="00A447E3" w:rsidRPr="0061539B" w:rsidRDefault="00A223C7" w:rsidP="00A223C7">
            <w:pPr>
              <w:jc w:val="center"/>
              <w:rPr>
                <w:bCs/>
                <w:sz w:val="28"/>
                <w:szCs w:val="28"/>
                <w:lang w:eastAsia="en-US"/>
              </w:rPr>
            </w:pPr>
            <w:r w:rsidRPr="0061539B">
              <w:rPr>
                <w:bCs/>
                <w:sz w:val="28"/>
                <w:szCs w:val="28"/>
                <w:lang w:eastAsia="en-US"/>
              </w:rPr>
              <w:t>2023</w:t>
            </w:r>
            <w:r w:rsidR="00A447E3" w:rsidRPr="0061539B">
              <w:rPr>
                <w:bCs/>
                <w:sz w:val="28"/>
                <w:szCs w:val="28"/>
                <w:lang w:eastAsia="en-US"/>
              </w:rPr>
              <w:t>.</w:t>
            </w:r>
          </w:p>
        </w:tc>
      </w:tr>
      <w:tr w:rsidR="00A447E3" w:rsidRPr="0061539B" w14:paraId="09B0293D" w14:textId="77777777" w:rsidTr="00BF09E0">
        <w:tc>
          <w:tcPr>
            <w:tcW w:w="1702" w:type="dxa"/>
            <w:vMerge/>
            <w:shd w:val="clear" w:color="auto" w:fill="auto"/>
            <w:vAlign w:val="center"/>
            <w:hideMark/>
          </w:tcPr>
          <w:p w14:paraId="777F8FF8" w14:textId="77777777" w:rsidR="00A447E3" w:rsidRPr="0061539B" w:rsidRDefault="00A447E3" w:rsidP="003E0059">
            <w:pPr>
              <w:jc w:val="center"/>
              <w:rPr>
                <w:b/>
                <w:bCs/>
                <w:sz w:val="28"/>
                <w:szCs w:val="28"/>
                <w:lang w:eastAsia="en-US"/>
              </w:rPr>
            </w:pPr>
          </w:p>
        </w:tc>
        <w:tc>
          <w:tcPr>
            <w:tcW w:w="992" w:type="dxa"/>
            <w:shd w:val="clear" w:color="auto" w:fill="FFFFFF"/>
            <w:vAlign w:val="center"/>
            <w:hideMark/>
          </w:tcPr>
          <w:p w14:paraId="73C3101B" w14:textId="77777777" w:rsidR="00A447E3" w:rsidRPr="0061539B" w:rsidRDefault="00A447E3" w:rsidP="003E0059">
            <w:pPr>
              <w:jc w:val="center"/>
              <w:rPr>
                <w:sz w:val="28"/>
                <w:szCs w:val="28"/>
                <w:lang w:eastAsia="en-US"/>
              </w:rPr>
            </w:pPr>
            <w:r w:rsidRPr="0061539B">
              <w:rPr>
                <w:sz w:val="28"/>
                <w:szCs w:val="28"/>
                <w:lang w:eastAsia="en-US"/>
              </w:rPr>
              <w:t>saskaņā ar valsts budžetu kārtējam gadam</w:t>
            </w:r>
          </w:p>
        </w:tc>
        <w:tc>
          <w:tcPr>
            <w:tcW w:w="1131" w:type="dxa"/>
            <w:shd w:val="clear" w:color="auto" w:fill="FFFFFF"/>
            <w:vAlign w:val="center"/>
            <w:hideMark/>
          </w:tcPr>
          <w:p w14:paraId="1D4DD51F" w14:textId="77777777" w:rsidR="00A447E3" w:rsidRPr="0061539B" w:rsidRDefault="00A447E3" w:rsidP="003E0059">
            <w:pPr>
              <w:jc w:val="center"/>
              <w:rPr>
                <w:sz w:val="28"/>
                <w:szCs w:val="28"/>
                <w:lang w:eastAsia="en-US"/>
              </w:rPr>
            </w:pPr>
            <w:r w:rsidRPr="0061539B">
              <w:rPr>
                <w:sz w:val="28"/>
                <w:szCs w:val="28"/>
                <w:lang w:eastAsia="en-US"/>
              </w:rPr>
              <w:t>izmaiņas kārtējā gadā, salīdzinot ar valsts budžetu kārtējam gadam</w:t>
            </w:r>
          </w:p>
        </w:tc>
        <w:tc>
          <w:tcPr>
            <w:tcW w:w="1258" w:type="dxa"/>
            <w:shd w:val="clear" w:color="auto" w:fill="FFFFFF"/>
            <w:vAlign w:val="center"/>
            <w:hideMark/>
          </w:tcPr>
          <w:p w14:paraId="4DF5BCBC" w14:textId="77777777" w:rsidR="00A447E3" w:rsidRPr="0061539B" w:rsidRDefault="00A447E3" w:rsidP="003E0059">
            <w:pPr>
              <w:jc w:val="center"/>
              <w:rPr>
                <w:sz w:val="28"/>
                <w:szCs w:val="28"/>
                <w:lang w:eastAsia="en-US"/>
              </w:rPr>
            </w:pPr>
            <w:r w:rsidRPr="0061539B">
              <w:rPr>
                <w:sz w:val="28"/>
                <w:szCs w:val="28"/>
                <w:lang w:eastAsia="en-US"/>
              </w:rPr>
              <w:t>saskaņā ar vidēja termiņa budžeta ietvaru</w:t>
            </w:r>
          </w:p>
        </w:tc>
        <w:tc>
          <w:tcPr>
            <w:tcW w:w="1276" w:type="dxa"/>
            <w:shd w:val="clear" w:color="auto" w:fill="FFFFFF"/>
            <w:vAlign w:val="center"/>
            <w:hideMark/>
          </w:tcPr>
          <w:p w14:paraId="67565428" w14:textId="77777777" w:rsidR="00A447E3" w:rsidRPr="0061539B" w:rsidRDefault="00A447E3" w:rsidP="003E0059">
            <w:pPr>
              <w:ind w:left="-44"/>
              <w:jc w:val="center"/>
              <w:rPr>
                <w:sz w:val="28"/>
                <w:szCs w:val="28"/>
                <w:lang w:eastAsia="en-US"/>
              </w:rPr>
            </w:pPr>
            <w:r w:rsidRPr="0061539B">
              <w:rPr>
                <w:sz w:val="28"/>
                <w:szCs w:val="28"/>
                <w:lang w:eastAsia="en-US"/>
              </w:rPr>
              <w:t>izmaiņas, salīdzinot ar vidēja termiņa budžeta ietvaru n+1 gadam</w:t>
            </w:r>
          </w:p>
        </w:tc>
        <w:tc>
          <w:tcPr>
            <w:tcW w:w="1276" w:type="dxa"/>
            <w:shd w:val="clear" w:color="auto" w:fill="FFFFFF"/>
            <w:vAlign w:val="center"/>
            <w:hideMark/>
          </w:tcPr>
          <w:p w14:paraId="75E776E4" w14:textId="77777777" w:rsidR="00A447E3" w:rsidRPr="0061539B" w:rsidRDefault="00A447E3" w:rsidP="003E0059">
            <w:pPr>
              <w:jc w:val="center"/>
              <w:rPr>
                <w:sz w:val="28"/>
                <w:szCs w:val="28"/>
                <w:lang w:eastAsia="en-US"/>
              </w:rPr>
            </w:pPr>
            <w:r w:rsidRPr="0061539B">
              <w:rPr>
                <w:sz w:val="28"/>
                <w:szCs w:val="28"/>
                <w:lang w:eastAsia="en-US"/>
              </w:rPr>
              <w:t>saskaņā ar vidēja termiņa budžeta ietvaru</w:t>
            </w:r>
          </w:p>
        </w:tc>
        <w:tc>
          <w:tcPr>
            <w:tcW w:w="1276" w:type="dxa"/>
            <w:shd w:val="clear" w:color="auto" w:fill="FFFFFF"/>
            <w:vAlign w:val="center"/>
            <w:hideMark/>
          </w:tcPr>
          <w:p w14:paraId="4BC90C67" w14:textId="77777777" w:rsidR="00A447E3" w:rsidRPr="0061539B" w:rsidRDefault="00A447E3" w:rsidP="003E0059">
            <w:pPr>
              <w:jc w:val="center"/>
              <w:rPr>
                <w:sz w:val="28"/>
                <w:szCs w:val="28"/>
                <w:lang w:eastAsia="en-US"/>
              </w:rPr>
            </w:pPr>
            <w:r w:rsidRPr="0061539B">
              <w:rPr>
                <w:sz w:val="28"/>
                <w:szCs w:val="28"/>
                <w:lang w:eastAsia="en-US"/>
              </w:rPr>
              <w:t>izmaiņas, salīdzinot ar vidēja termiņa budžeta ietvaru n+2 gadam</w:t>
            </w:r>
          </w:p>
        </w:tc>
        <w:tc>
          <w:tcPr>
            <w:tcW w:w="1278" w:type="dxa"/>
            <w:shd w:val="clear" w:color="auto" w:fill="FFFFFF"/>
            <w:vAlign w:val="center"/>
            <w:hideMark/>
          </w:tcPr>
          <w:p w14:paraId="7AEDA3C1" w14:textId="77777777" w:rsidR="00A447E3" w:rsidRPr="0061539B" w:rsidRDefault="00A447E3" w:rsidP="003E0059">
            <w:pPr>
              <w:jc w:val="center"/>
              <w:rPr>
                <w:sz w:val="28"/>
                <w:szCs w:val="28"/>
                <w:lang w:eastAsia="en-US"/>
              </w:rPr>
            </w:pPr>
            <w:r w:rsidRPr="0061539B">
              <w:rPr>
                <w:sz w:val="28"/>
                <w:szCs w:val="28"/>
                <w:lang w:eastAsia="en-US"/>
              </w:rPr>
              <w:t xml:space="preserve">izmaiņas, salīdzinot ar vidēja termiņa budžeta ietvaru </w:t>
            </w:r>
            <w:r w:rsidRPr="0061539B">
              <w:rPr>
                <w:sz w:val="28"/>
                <w:szCs w:val="28"/>
                <w:lang w:eastAsia="en-US"/>
              </w:rPr>
              <w:br/>
              <w:t>n+2 gadam</w:t>
            </w:r>
          </w:p>
        </w:tc>
      </w:tr>
      <w:tr w:rsidR="00A447E3" w:rsidRPr="0061539B" w14:paraId="618D07B0" w14:textId="77777777" w:rsidTr="00BF09E0">
        <w:tc>
          <w:tcPr>
            <w:tcW w:w="1702" w:type="dxa"/>
            <w:shd w:val="clear" w:color="auto" w:fill="FFFFFF"/>
            <w:vAlign w:val="center"/>
            <w:hideMark/>
          </w:tcPr>
          <w:p w14:paraId="462AC1E1" w14:textId="77777777" w:rsidR="00A447E3" w:rsidRPr="0061539B" w:rsidRDefault="00A447E3" w:rsidP="003E0059">
            <w:pPr>
              <w:jc w:val="center"/>
              <w:rPr>
                <w:sz w:val="28"/>
                <w:szCs w:val="28"/>
                <w:lang w:eastAsia="en-US"/>
              </w:rPr>
            </w:pPr>
            <w:r w:rsidRPr="0061539B">
              <w:rPr>
                <w:sz w:val="28"/>
                <w:szCs w:val="28"/>
                <w:lang w:eastAsia="en-US"/>
              </w:rPr>
              <w:t>1</w:t>
            </w:r>
          </w:p>
        </w:tc>
        <w:tc>
          <w:tcPr>
            <w:tcW w:w="992" w:type="dxa"/>
            <w:shd w:val="clear" w:color="auto" w:fill="FFFFFF"/>
            <w:vAlign w:val="center"/>
            <w:hideMark/>
          </w:tcPr>
          <w:p w14:paraId="715CC1D5" w14:textId="77777777" w:rsidR="00A447E3" w:rsidRPr="0061539B" w:rsidRDefault="00A447E3" w:rsidP="003E0059">
            <w:pPr>
              <w:jc w:val="center"/>
              <w:rPr>
                <w:sz w:val="28"/>
                <w:szCs w:val="28"/>
                <w:lang w:eastAsia="en-US"/>
              </w:rPr>
            </w:pPr>
            <w:r w:rsidRPr="0061539B">
              <w:rPr>
                <w:sz w:val="28"/>
                <w:szCs w:val="28"/>
                <w:lang w:eastAsia="en-US"/>
              </w:rPr>
              <w:t>2</w:t>
            </w:r>
          </w:p>
        </w:tc>
        <w:tc>
          <w:tcPr>
            <w:tcW w:w="1131" w:type="dxa"/>
            <w:shd w:val="clear" w:color="auto" w:fill="FFFFFF"/>
            <w:vAlign w:val="center"/>
            <w:hideMark/>
          </w:tcPr>
          <w:p w14:paraId="0E84F434" w14:textId="77777777" w:rsidR="00A447E3" w:rsidRPr="0061539B" w:rsidRDefault="00A447E3" w:rsidP="003E0059">
            <w:pPr>
              <w:jc w:val="center"/>
              <w:rPr>
                <w:sz w:val="28"/>
                <w:szCs w:val="28"/>
                <w:lang w:eastAsia="en-US"/>
              </w:rPr>
            </w:pPr>
            <w:r w:rsidRPr="0061539B">
              <w:rPr>
                <w:sz w:val="28"/>
                <w:szCs w:val="28"/>
                <w:lang w:eastAsia="en-US"/>
              </w:rPr>
              <w:t>3</w:t>
            </w:r>
          </w:p>
        </w:tc>
        <w:tc>
          <w:tcPr>
            <w:tcW w:w="1258" w:type="dxa"/>
            <w:shd w:val="clear" w:color="auto" w:fill="FFFFFF"/>
            <w:vAlign w:val="center"/>
            <w:hideMark/>
          </w:tcPr>
          <w:p w14:paraId="1D99310E" w14:textId="77777777" w:rsidR="00A447E3" w:rsidRPr="0061539B" w:rsidRDefault="00A447E3" w:rsidP="003E0059">
            <w:pPr>
              <w:jc w:val="center"/>
              <w:rPr>
                <w:sz w:val="28"/>
                <w:szCs w:val="28"/>
                <w:lang w:eastAsia="en-US"/>
              </w:rPr>
            </w:pPr>
            <w:r w:rsidRPr="0061539B">
              <w:rPr>
                <w:sz w:val="28"/>
                <w:szCs w:val="28"/>
                <w:lang w:eastAsia="en-US"/>
              </w:rPr>
              <w:t>4</w:t>
            </w:r>
          </w:p>
        </w:tc>
        <w:tc>
          <w:tcPr>
            <w:tcW w:w="1276" w:type="dxa"/>
            <w:shd w:val="clear" w:color="auto" w:fill="FFFFFF"/>
            <w:vAlign w:val="center"/>
            <w:hideMark/>
          </w:tcPr>
          <w:p w14:paraId="18FBA87A" w14:textId="77777777" w:rsidR="00A447E3" w:rsidRPr="0061539B" w:rsidRDefault="00A447E3" w:rsidP="003E0059">
            <w:pPr>
              <w:jc w:val="center"/>
              <w:rPr>
                <w:sz w:val="28"/>
                <w:szCs w:val="28"/>
                <w:lang w:eastAsia="en-US"/>
              </w:rPr>
            </w:pPr>
            <w:r w:rsidRPr="0061539B">
              <w:rPr>
                <w:sz w:val="28"/>
                <w:szCs w:val="28"/>
                <w:lang w:eastAsia="en-US"/>
              </w:rPr>
              <w:t>5</w:t>
            </w:r>
          </w:p>
        </w:tc>
        <w:tc>
          <w:tcPr>
            <w:tcW w:w="1276" w:type="dxa"/>
            <w:shd w:val="clear" w:color="auto" w:fill="FFFFFF"/>
            <w:vAlign w:val="center"/>
            <w:hideMark/>
          </w:tcPr>
          <w:p w14:paraId="097B0141" w14:textId="77777777" w:rsidR="00A447E3" w:rsidRPr="0061539B" w:rsidRDefault="00A447E3" w:rsidP="003E0059">
            <w:pPr>
              <w:jc w:val="center"/>
              <w:rPr>
                <w:sz w:val="28"/>
                <w:szCs w:val="28"/>
                <w:lang w:eastAsia="en-US"/>
              </w:rPr>
            </w:pPr>
            <w:r w:rsidRPr="0061539B">
              <w:rPr>
                <w:sz w:val="28"/>
                <w:szCs w:val="28"/>
                <w:lang w:eastAsia="en-US"/>
              </w:rPr>
              <w:t>6</w:t>
            </w:r>
          </w:p>
        </w:tc>
        <w:tc>
          <w:tcPr>
            <w:tcW w:w="1276" w:type="dxa"/>
            <w:shd w:val="clear" w:color="auto" w:fill="FFFFFF"/>
            <w:vAlign w:val="center"/>
            <w:hideMark/>
          </w:tcPr>
          <w:p w14:paraId="4EEBBF2D" w14:textId="77777777" w:rsidR="00A447E3" w:rsidRPr="0061539B" w:rsidRDefault="00A447E3" w:rsidP="003E0059">
            <w:pPr>
              <w:jc w:val="center"/>
              <w:rPr>
                <w:sz w:val="28"/>
                <w:szCs w:val="28"/>
                <w:lang w:eastAsia="en-US"/>
              </w:rPr>
            </w:pPr>
            <w:r w:rsidRPr="0061539B">
              <w:rPr>
                <w:sz w:val="28"/>
                <w:szCs w:val="28"/>
                <w:lang w:eastAsia="en-US"/>
              </w:rPr>
              <w:t>7</w:t>
            </w:r>
          </w:p>
        </w:tc>
        <w:tc>
          <w:tcPr>
            <w:tcW w:w="1278" w:type="dxa"/>
            <w:shd w:val="clear" w:color="auto" w:fill="FFFFFF"/>
            <w:vAlign w:val="center"/>
            <w:hideMark/>
          </w:tcPr>
          <w:p w14:paraId="451213C3" w14:textId="77777777" w:rsidR="00A447E3" w:rsidRPr="0061539B" w:rsidRDefault="00A447E3" w:rsidP="003E0059">
            <w:pPr>
              <w:jc w:val="center"/>
              <w:rPr>
                <w:sz w:val="28"/>
                <w:szCs w:val="28"/>
                <w:lang w:eastAsia="en-US"/>
              </w:rPr>
            </w:pPr>
            <w:r w:rsidRPr="0061539B">
              <w:rPr>
                <w:sz w:val="28"/>
                <w:szCs w:val="28"/>
                <w:lang w:eastAsia="en-US"/>
              </w:rPr>
              <w:t>8</w:t>
            </w:r>
          </w:p>
        </w:tc>
      </w:tr>
      <w:tr w:rsidR="00FD6ECE" w:rsidRPr="0061539B" w14:paraId="70BBEB89" w14:textId="77777777" w:rsidTr="00BF09E0">
        <w:tc>
          <w:tcPr>
            <w:tcW w:w="1702" w:type="dxa"/>
            <w:shd w:val="clear" w:color="auto" w:fill="FFFFFF"/>
            <w:hideMark/>
          </w:tcPr>
          <w:p w14:paraId="7A6CE1B2" w14:textId="77777777" w:rsidR="00FD6ECE" w:rsidRPr="0061539B" w:rsidRDefault="00FD6ECE" w:rsidP="003E0059">
            <w:pPr>
              <w:rPr>
                <w:sz w:val="28"/>
                <w:szCs w:val="28"/>
                <w:lang w:eastAsia="en-US"/>
              </w:rPr>
            </w:pPr>
            <w:r w:rsidRPr="0061539B">
              <w:rPr>
                <w:sz w:val="28"/>
                <w:szCs w:val="28"/>
                <w:lang w:eastAsia="en-US"/>
              </w:rPr>
              <w:t>1. Budžeta ieņēmumi</w:t>
            </w:r>
          </w:p>
        </w:tc>
        <w:tc>
          <w:tcPr>
            <w:tcW w:w="992" w:type="dxa"/>
            <w:shd w:val="clear" w:color="auto" w:fill="FFFFFF"/>
            <w:vAlign w:val="center"/>
            <w:hideMark/>
          </w:tcPr>
          <w:p w14:paraId="3E1B660C" w14:textId="77777777" w:rsidR="00FD6ECE" w:rsidRPr="0061539B" w:rsidRDefault="00FD6ECE" w:rsidP="003E0059">
            <w:pPr>
              <w:jc w:val="center"/>
              <w:rPr>
                <w:sz w:val="28"/>
                <w:szCs w:val="28"/>
                <w:lang w:eastAsia="en-US"/>
              </w:rPr>
            </w:pPr>
            <w:r w:rsidRPr="0061539B">
              <w:rPr>
                <w:sz w:val="28"/>
                <w:szCs w:val="28"/>
                <w:lang w:eastAsia="en-US"/>
              </w:rPr>
              <w:t>0</w:t>
            </w:r>
          </w:p>
        </w:tc>
        <w:tc>
          <w:tcPr>
            <w:tcW w:w="1131" w:type="dxa"/>
            <w:shd w:val="clear" w:color="auto" w:fill="FFFFFF"/>
            <w:vAlign w:val="center"/>
            <w:hideMark/>
          </w:tcPr>
          <w:p w14:paraId="3C26A1EB" w14:textId="77777777" w:rsidR="00FD6ECE" w:rsidRPr="0061539B" w:rsidRDefault="00FD6ECE" w:rsidP="003E0059">
            <w:pPr>
              <w:jc w:val="center"/>
              <w:rPr>
                <w:sz w:val="28"/>
                <w:szCs w:val="28"/>
                <w:lang w:eastAsia="en-US"/>
              </w:rPr>
            </w:pPr>
            <w:r w:rsidRPr="0061539B">
              <w:rPr>
                <w:sz w:val="28"/>
                <w:szCs w:val="28"/>
                <w:lang w:eastAsia="en-US"/>
              </w:rPr>
              <w:t>0</w:t>
            </w:r>
          </w:p>
        </w:tc>
        <w:tc>
          <w:tcPr>
            <w:tcW w:w="1258" w:type="dxa"/>
            <w:shd w:val="clear" w:color="auto" w:fill="FFFFFF"/>
            <w:vAlign w:val="center"/>
            <w:hideMark/>
          </w:tcPr>
          <w:p w14:paraId="311E79C2" w14:textId="52520C9A" w:rsidR="00FD6ECE" w:rsidRPr="0061539B" w:rsidRDefault="00FD6ECE" w:rsidP="00FD6ECE">
            <w:pPr>
              <w:jc w:val="center"/>
              <w:rPr>
                <w:sz w:val="28"/>
                <w:szCs w:val="28"/>
                <w:lang w:eastAsia="en-US"/>
              </w:rPr>
            </w:pPr>
            <w:r w:rsidRPr="0061539B">
              <w:rPr>
                <w:sz w:val="28"/>
                <w:szCs w:val="28"/>
                <w:lang w:eastAsia="en-US"/>
              </w:rPr>
              <w:t>0</w:t>
            </w:r>
          </w:p>
        </w:tc>
        <w:tc>
          <w:tcPr>
            <w:tcW w:w="1276" w:type="dxa"/>
            <w:shd w:val="clear" w:color="auto" w:fill="FFFFFF"/>
            <w:vAlign w:val="center"/>
            <w:hideMark/>
          </w:tcPr>
          <w:p w14:paraId="7931C298" w14:textId="7759C26B" w:rsidR="00FD6ECE" w:rsidRPr="0061539B" w:rsidRDefault="00FD6ECE" w:rsidP="00FD6ECE">
            <w:pPr>
              <w:jc w:val="center"/>
              <w:rPr>
                <w:sz w:val="28"/>
                <w:szCs w:val="28"/>
                <w:lang w:eastAsia="en-US"/>
              </w:rPr>
            </w:pPr>
            <w:r w:rsidRPr="0061539B">
              <w:rPr>
                <w:sz w:val="28"/>
                <w:szCs w:val="28"/>
                <w:lang w:eastAsia="en-US"/>
              </w:rPr>
              <w:t>0</w:t>
            </w:r>
          </w:p>
        </w:tc>
        <w:tc>
          <w:tcPr>
            <w:tcW w:w="1276" w:type="dxa"/>
            <w:shd w:val="clear" w:color="auto" w:fill="FFFFFF"/>
            <w:vAlign w:val="center"/>
            <w:hideMark/>
          </w:tcPr>
          <w:p w14:paraId="05032720" w14:textId="7B8B62BC" w:rsidR="00FD6ECE" w:rsidRPr="0061539B" w:rsidRDefault="00FD6ECE" w:rsidP="00FD6ECE">
            <w:pPr>
              <w:jc w:val="center"/>
              <w:rPr>
                <w:sz w:val="28"/>
                <w:szCs w:val="28"/>
              </w:rPr>
            </w:pPr>
            <w:r w:rsidRPr="0061539B">
              <w:rPr>
                <w:sz w:val="28"/>
                <w:szCs w:val="28"/>
                <w:lang w:eastAsia="en-US"/>
              </w:rPr>
              <w:t>0</w:t>
            </w:r>
          </w:p>
        </w:tc>
        <w:tc>
          <w:tcPr>
            <w:tcW w:w="1276" w:type="dxa"/>
            <w:shd w:val="clear" w:color="auto" w:fill="FFFFFF"/>
            <w:vAlign w:val="center"/>
            <w:hideMark/>
          </w:tcPr>
          <w:p w14:paraId="6500AB4C" w14:textId="1B24D126" w:rsidR="00FD6ECE" w:rsidRPr="0061539B" w:rsidRDefault="00FD6ECE" w:rsidP="00FD6ECE">
            <w:pPr>
              <w:jc w:val="center"/>
              <w:rPr>
                <w:sz w:val="28"/>
                <w:szCs w:val="28"/>
              </w:rPr>
            </w:pPr>
            <w:r w:rsidRPr="0061539B">
              <w:rPr>
                <w:sz w:val="28"/>
                <w:szCs w:val="28"/>
                <w:lang w:eastAsia="en-US"/>
              </w:rPr>
              <w:t>0</w:t>
            </w:r>
          </w:p>
        </w:tc>
        <w:tc>
          <w:tcPr>
            <w:tcW w:w="1278" w:type="dxa"/>
            <w:shd w:val="clear" w:color="auto" w:fill="FFFFFF"/>
            <w:vAlign w:val="center"/>
            <w:hideMark/>
          </w:tcPr>
          <w:p w14:paraId="65B8770C" w14:textId="1B9CE770" w:rsidR="00FD6ECE" w:rsidRPr="0061539B" w:rsidRDefault="00FD6ECE" w:rsidP="00FD6ECE">
            <w:pPr>
              <w:jc w:val="center"/>
              <w:rPr>
                <w:sz w:val="28"/>
                <w:szCs w:val="28"/>
                <w:lang w:eastAsia="en-US"/>
              </w:rPr>
            </w:pPr>
            <w:r w:rsidRPr="0061539B">
              <w:rPr>
                <w:sz w:val="28"/>
                <w:szCs w:val="28"/>
                <w:lang w:eastAsia="en-US"/>
              </w:rPr>
              <w:t>0</w:t>
            </w:r>
          </w:p>
        </w:tc>
      </w:tr>
      <w:tr w:rsidR="00FD6ECE" w:rsidRPr="0061539B" w14:paraId="05938C58" w14:textId="77777777" w:rsidTr="00BF09E0">
        <w:tc>
          <w:tcPr>
            <w:tcW w:w="1702" w:type="dxa"/>
            <w:shd w:val="clear" w:color="auto" w:fill="auto"/>
            <w:hideMark/>
          </w:tcPr>
          <w:p w14:paraId="7447E159" w14:textId="77777777" w:rsidR="00FD6ECE" w:rsidRPr="0061539B" w:rsidRDefault="00FD6ECE" w:rsidP="003E0059">
            <w:pPr>
              <w:rPr>
                <w:sz w:val="28"/>
                <w:szCs w:val="28"/>
                <w:lang w:eastAsia="en-US"/>
              </w:rPr>
            </w:pPr>
            <w:r w:rsidRPr="0061539B">
              <w:rPr>
                <w:sz w:val="28"/>
                <w:szCs w:val="28"/>
                <w:lang w:eastAsia="en-US"/>
              </w:rPr>
              <w:t>1.1. valsts pamatbudžets, tai skaitā ieņēmumi no maksas pakalpojumiem un citi pašu ieņēmumi</w:t>
            </w:r>
          </w:p>
        </w:tc>
        <w:tc>
          <w:tcPr>
            <w:tcW w:w="992" w:type="dxa"/>
            <w:shd w:val="clear" w:color="auto" w:fill="auto"/>
            <w:vAlign w:val="center"/>
            <w:hideMark/>
          </w:tcPr>
          <w:p w14:paraId="049D19D5" w14:textId="77777777" w:rsidR="00FD6ECE" w:rsidRPr="0061539B" w:rsidRDefault="00FD6ECE" w:rsidP="003E0059">
            <w:pPr>
              <w:jc w:val="center"/>
              <w:rPr>
                <w:sz w:val="28"/>
                <w:szCs w:val="28"/>
                <w:lang w:eastAsia="en-US"/>
              </w:rPr>
            </w:pPr>
            <w:r w:rsidRPr="0061539B">
              <w:rPr>
                <w:sz w:val="28"/>
                <w:szCs w:val="28"/>
                <w:lang w:eastAsia="en-US"/>
              </w:rPr>
              <w:t>0</w:t>
            </w:r>
          </w:p>
        </w:tc>
        <w:tc>
          <w:tcPr>
            <w:tcW w:w="1131" w:type="dxa"/>
            <w:shd w:val="clear" w:color="auto" w:fill="auto"/>
            <w:vAlign w:val="center"/>
            <w:hideMark/>
          </w:tcPr>
          <w:p w14:paraId="19F4B5A8" w14:textId="77777777" w:rsidR="00FD6ECE" w:rsidRPr="0061539B" w:rsidRDefault="00FD6ECE" w:rsidP="003E0059">
            <w:pPr>
              <w:jc w:val="center"/>
              <w:rPr>
                <w:sz w:val="28"/>
                <w:szCs w:val="28"/>
                <w:lang w:eastAsia="en-US"/>
              </w:rPr>
            </w:pPr>
            <w:r w:rsidRPr="0061539B">
              <w:rPr>
                <w:sz w:val="28"/>
                <w:szCs w:val="28"/>
                <w:lang w:eastAsia="en-US"/>
              </w:rPr>
              <w:t>0</w:t>
            </w:r>
          </w:p>
        </w:tc>
        <w:tc>
          <w:tcPr>
            <w:tcW w:w="1258" w:type="dxa"/>
            <w:shd w:val="clear" w:color="auto" w:fill="auto"/>
            <w:vAlign w:val="center"/>
            <w:hideMark/>
          </w:tcPr>
          <w:p w14:paraId="5BE9A720" w14:textId="454B8149" w:rsidR="00FD6ECE" w:rsidRPr="0061539B" w:rsidRDefault="00FD6ECE" w:rsidP="00FD6ECE">
            <w:pPr>
              <w:jc w:val="center"/>
              <w:rPr>
                <w:sz w:val="28"/>
                <w:szCs w:val="28"/>
              </w:rPr>
            </w:pPr>
            <w:r w:rsidRPr="0061539B">
              <w:rPr>
                <w:sz w:val="28"/>
                <w:szCs w:val="28"/>
                <w:lang w:eastAsia="en-US"/>
              </w:rPr>
              <w:t>0</w:t>
            </w:r>
          </w:p>
        </w:tc>
        <w:tc>
          <w:tcPr>
            <w:tcW w:w="1276" w:type="dxa"/>
            <w:shd w:val="clear" w:color="auto" w:fill="auto"/>
            <w:vAlign w:val="center"/>
            <w:hideMark/>
          </w:tcPr>
          <w:p w14:paraId="2DBD6033" w14:textId="5DF5E07A" w:rsidR="00FD6ECE" w:rsidRPr="0061539B" w:rsidRDefault="00FD6ECE" w:rsidP="00FD6ECE">
            <w:pPr>
              <w:jc w:val="center"/>
              <w:rPr>
                <w:sz w:val="28"/>
                <w:szCs w:val="28"/>
              </w:rPr>
            </w:pPr>
            <w:r w:rsidRPr="0061539B">
              <w:rPr>
                <w:sz w:val="28"/>
                <w:szCs w:val="28"/>
                <w:lang w:eastAsia="en-US"/>
              </w:rPr>
              <w:t>0</w:t>
            </w:r>
          </w:p>
        </w:tc>
        <w:tc>
          <w:tcPr>
            <w:tcW w:w="1276" w:type="dxa"/>
            <w:shd w:val="clear" w:color="auto" w:fill="auto"/>
            <w:vAlign w:val="center"/>
            <w:hideMark/>
          </w:tcPr>
          <w:p w14:paraId="55205BBE" w14:textId="004B7709" w:rsidR="00FD6ECE" w:rsidRPr="0061539B" w:rsidRDefault="00FD6ECE" w:rsidP="00FD6ECE">
            <w:pPr>
              <w:jc w:val="center"/>
              <w:rPr>
                <w:sz w:val="28"/>
                <w:szCs w:val="28"/>
              </w:rPr>
            </w:pPr>
            <w:r w:rsidRPr="0061539B">
              <w:rPr>
                <w:sz w:val="28"/>
                <w:szCs w:val="28"/>
                <w:lang w:eastAsia="en-US"/>
              </w:rPr>
              <w:t>0</w:t>
            </w:r>
          </w:p>
        </w:tc>
        <w:tc>
          <w:tcPr>
            <w:tcW w:w="1276" w:type="dxa"/>
            <w:shd w:val="clear" w:color="auto" w:fill="auto"/>
            <w:vAlign w:val="center"/>
            <w:hideMark/>
          </w:tcPr>
          <w:p w14:paraId="556C7258" w14:textId="42382444" w:rsidR="00FD6ECE" w:rsidRPr="0061539B" w:rsidRDefault="00FD6ECE" w:rsidP="00FD6ECE">
            <w:pPr>
              <w:jc w:val="center"/>
              <w:rPr>
                <w:sz w:val="28"/>
                <w:szCs w:val="28"/>
              </w:rPr>
            </w:pPr>
            <w:r w:rsidRPr="0061539B">
              <w:rPr>
                <w:sz w:val="28"/>
                <w:szCs w:val="28"/>
                <w:lang w:eastAsia="en-US"/>
              </w:rPr>
              <w:t>0</w:t>
            </w:r>
          </w:p>
        </w:tc>
        <w:tc>
          <w:tcPr>
            <w:tcW w:w="1278" w:type="dxa"/>
            <w:shd w:val="clear" w:color="auto" w:fill="auto"/>
            <w:vAlign w:val="center"/>
            <w:hideMark/>
          </w:tcPr>
          <w:p w14:paraId="3C6B9081" w14:textId="285466D0" w:rsidR="00FD6ECE" w:rsidRPr="0061539B" w:rsidRDefault="00FD6ECE" w:rsidP="00FD6ECE">
            <w:pPr>
              <w:jc w:val="center"/>
              <w:rPr>
                <w:sz w:val="28"/>
                <w:szCs w:val="28"/>
              </w:rPr>
            </w:pPr>
            <w:r w:rsidRPr="0061539B">
              <w:rPr>
                <w:sz w:val="28"/>
                <w:szCs w:val="28"/>
                <w:lang w:eastAsia="en-US"/>
              </w:rPr>
              <w:t>0</w:t>
            </w:r>
          </w:p>
        </w:tc>
      </w:tr>
      <w:tr w:rsidR="00A447E3" w:rsidRPr="0061539B" w14:paraId="055D7118" w14:textId="77777777" w:rsidTr="00BF09E0">
        <w:tc>
          <w:tcPr>
            <w:tcW w:w="1702" w:type="dxa"/>
            <w:shd w:val="clear" w:color="auto" w:fill="auto"/>
            <w:hideMark/>
          </w:tcPr>
          <w:p w14:paraId="087BB987" w14:textId="77777777" w:rsidR="00A447E3" w:rsidRPr="0061539B" w:rsidRDefault="00A447E3" w:rsidP="003E0059">
            <w:pPr>
              <w:rPr>
                <w:sz w:val="28"/>
                <w:szCs w:val="28"/>
                <w:lang w:eastAsia="en-US"/>
              </w:rPr>
            </w:pPr>
            <w:r w:rsidRPr="0061539B">
              <w:rPr>
                <w:sz w:val="28"/>
                <w:szCs w:val="28"/>
                <w:lang w:eastAsia="en-US"/>
              </w:rPr>
              <w:lastRenderedPageBreak/>
              <w:t>1.2. valsts speciālais budžets</w:t>
            </w:r>
          </w:p>
        </w:tc>
        <w:tc>
          <w:tcPr>
            <w:tcW w:w="992" w:type="dxa"/>
            <w:shd w:val="clear" w:color="auto" w:fill="auto"/>
            <w:vAlign w:val="center"/>
            <w:hideMark/>
          </w:tcPr>
          <w:p w14:paraId="0D89344E" w14:textId="77777777" w:rsidR="00A447E3" w:rsidRPr="0061539B" w:rsidRDefault="00A447E3" w:rsidP="003E0059">
            <w:pPr>
              <w:jc w:val="center"/>
              <w:rPr>
                <w:sz w:val="28"/>
                <w:szCs w:val="28"/>
                <w:lang w:eastAsia="en-US"/>
              </w:rPr>
            </w:pPr>
            <w:r w:rsidRPr="0061539B">
              <w:rPr>
                <w:sz w:val="28"/>
                <w:szCs w:val="28"/>
                <w:lang w:eastAsia="en-US"/>
              </w:rPr>
              <w:t>0</w:t>
            </w:r>
          </w:p>
        </w:tc>
        <w:tc>
          <w:tcPr>
            <w:tcW w:w="1131" w:type="dxa"/>
            <w:shd w:val="clear" w:color="auto" w:fill="auto"/>
            <w:vAlign w:val="center"/>
            <w:hideMark/>
          </w:tcPr>
          <w:p w14:paraId="63A85A04" w14:textId="77777777" w:rsidR="00A447E3" w:rsidRPr="0061539B" w:rsidRDefault="00A447E3" w:rsidP="003E0059">
            <w:pPr>
              <w:jc w:val="center"/>
              <w:rPr>
                <w:sz w:val="28"/>
                <w:szCs w:val="28"/>
                <w:lang w:eastAsia="en-US"/>
              </w:rPr>
            </w:pPr>
            <w:r w:rsidRPr="0061539B">
              <w:rPr>
                <w:sz w:val="28"/>
                <w:szCs w:val="28"/>
                <w:lang w:eastAsia="en-US"/>
              </w:rPr>
              <w:t>0</w:t>
            </w:r>
          </w:p>
        </w:tc>
        <w:tc>
          <w:tcPr>
            <w:tcW w:w="1258" w:type="dxa"/>
            <w:shd w:val="clear" w:color="auto" w:fill="auto"/>
            <w:vAlign w:val="center"/>
            <w:hideMark/>
          </w:tcPr>
          <w:p w14:paraId="4C9248CF" w14:textId="77777777" w:rsidR="00A447E3" w:rsidRPr="0061539B" w:rsidRDefault="00A447E3" w:rsidP="003E0059">
            <w:pPr>
              <w:jc w:val="center"/>
              <w:rPr>
                <w:sz w:val="28"/>
                <w:szCs w:val="28"/>
                <w:lang w:eastAsia="en-US"/>
              </w:rPr>
            </w:pPr>
            <w:r w:rsidRPr="0061539B">
              <w:rPr>
                <w:sz w:val="28"/>
                <w:szCs w:val="28"/>
                <w:lang w:eastAsia="en-US"/>
              </w:rPr>
              <w:t>0</w:t>
            </w:r>
          </w:p>
        </w:tc>
        <w:tc>
          <w:tcPr>
            <w:tcW w:w="1276" w:type="dxa"/>
            <w:shd w:val="clear" w:color="auto" w:fill="auto"/>
            <w:vAlign w:val="center"/>
            <w:hideMark/>
          </w:tcPr>
          <w:p w14:paraId="2300029F" w14:textId="77777777" w:rsidR="00A447E3" w:rsidRPr="0061539B" w:rsidRDefault="00A447E3" w:rsidP="003E0059">
            <w:pPr>
              <w:jc w:val="center"/>
              <w:rPr>
                <w:sz w:val="28"/>
                <w:szCs w:val="28"/>
                <w:lang w:eastAsia="en-US"/>
              </w:rPr>
            </w:pPr>
            <w:r w:rsidRPr="0061539B">
              <w:rPr>
                <w:sz w:val="28"/>
                <w:szCs w:val="28"/>
                <w:lang w:eastAsia="en-US"/>
              </w:rPr>
              <w:t>0</w:t>
            </w:r>
          </w:p>
        </w:tc>
        <w:tc>
          <w:tcPr>
            <w:tcW w:w="1276" w:type="dxa"/>
            <w:shd w:val="clear" w:color="auto" w:fill="auto"/>
            <w:vAlign w:val="center"/>
            <w:hideMark/>
          </w:tcPr>
          <w:p w14:paraId="527143EF" w14:textId="77777777" w:rsidR="00A447E3" w:rsidRPr="0061539B" w:rsidRDefault="00A447E3" w:rsidP="003E0059">
            <w:pPr>
              <w:jc w:val="center"/>
              <w:rPr>
                <w:sz w:val="28"/>
                <w:szCs w:val="28"/>
                <w:lang w:eastAsia="en-US"/>
              </w:rPr>
            </w:pPr>
            <w:r w:rsidRPr="0061539B">
              <w:rPr>
                <w:sz w:val="28"/>
                <w:szCs w:val="28"/>
                <w:lang w:eastAsia="en-US"/>
              </w:rPr>
              <w:t>0</w:t>
            </w:r>
          </w:p>
        </w:tc>
        <w:tc>
          <w:tcPr>
            <w:tcW w:w="1276" w:type="dxa"/>
            <w:shd w:val="clear" w:color="auto" w:fill="auto"/>
            <w:vAlign w:val="center"/>
            <w:hideMark/>
          </w:tcPr>
          <w:p w14:paraId="5E480E2D" w14:textId="77777777" w:rsidR="00A447E3" w:rsidRPr="0061539B" w:rsidRDefault="00A447E3" w:rsidP="003E0059">
            <w:pPr>
              <w:jc w:val="center"/>
              <w:rPr>
                <w:sz w:val="28"/>
                <w:szCs w:val="28"/>
                <w:lang w:eastAsia="en-US"/>
              </w:rPr>
            </w:pPr>
            <w:r w:rsidRPr="0061539B">
              <w:rPr>
                <w:sz w:val="28"/>
                <w:szCs w:val="28"/>
                <w:lang w:eastAsia="en-US"/>
              </w:rPr>
              <w:t>0</w:t>
            </w:r>
          </w:p>
        </w:tc>
        <w:tc>
          <w:tcPr>
            <w:tcW w:w="1278" w:type="dxa"/>
            <w:shd w:val="clear" w:color="auto" w:fill="auto"/>
            <w:vAlign w:val="center"/>
            <w:hideMark/>
          </w:tcPr>
          <w:p w14:paraId="0D54B2D6" w14:textId="77777777" w:rsidR="00A447E3" w:rsidRPr="0061539B" w:rsidRDefault="00A447E3" w:rsidP="003E0059">
            <w:pPr>
              <w:jc w:val="center"/>
              <w:rPr>
                <w:sz w:val="28"/>
                <w:szCs w:val="28"/>
                <w:lang w:eastAsia="en-US"/>
              </w:rPr>
            </w:pPr>
            <w:r w:rsidRPr="0061539B">
              <w:rPr>
                <w:sz w:val="28"/>
                <w:szCs w:val="28"/>
                <w:lang w:eastAsia="en-US"/>
              </w:rPr>
              <w:t>0</w:t>
            </w:r>
          </w:p>
        </w:tc>
      </w:tr>
      <w:tr w:rsidR="00FD6ECE" w:rsidRPr="0061539B" w14:paraId="2F16D757" w14:textId="77777777" w:rsidTr="00BF09E0">
        <w:tc>
          <w:tcPr>
            <w:tcW w:w="1702" w:type="dxa"/>
            <w:shd w:val="clear" w:color="auto" w:fill="auto"/>
            <w:hideMark/>
          </w:tcPr>
          <w:p w14:paraId="6CC865C8" w14:textId="77777777" w:rsidR="00FD6ECE" w:rsidRPr="0061539B" w:rsidRDefault="00FD6ECE" w:rsidP="003E0059">
            <w:pPr>
              <w:rPr>
                <w:sz w:val="28"/>
                <w:szCs w:val="28"/>
                <w:lang w:eastAsia="en-US"/>
              </w:rPr>
            </w:pPr>
            <w:r w:rsidRPr="0061539B">
              <w:rPr>
                <w:sz w:val="28"/>
                <w:szCs w:val="28"/>
                <w:lang w:eastAsia="en-US"/>
              </w:rPr>
              <w:t>1.3. pašvaldību budžets</w:t>
            </w:r>
          </w:p>
        </w:tc>
        <w:tc>
          <w:tcPr>
            <w:tcW w:w="992" w:type="dxa"/>
            <w:shd w:val="clear" w:color="auto" w:fill="auto"/>
            <w:vAlign w:val="center"/>
            <w:hideMark/>
          </w:tcPr>
          <w:p w14:paraId="5EF58F1C" w14:textId="77777777" w:rsidR="00FD6ECE" w:rsidRPr="0061539B" w:rsidRDefault="00FD6ECE" w:rsidP="003E0059">
            <w:pPr>
              <w:jc w:val="center"/>
              <w:rPr>
                <w:sz w:val="28"/>
                <w:szCs w:val="28"/>
                <w:lang w:eastAsia="en-US"/>
              </w:rPr>
            </w:pPr>
            <w:r w:rsidRPr="0061539B">
              <w:rPr>
                <w:sz w:val="28"/>
                <w:szCs w:val="28"/>
                <w:lang w:eastAsia="en-US"/>
              </w:rPr>
              <w:t>0</w:t>
            </w:r>
          </w:p>
        </w:tc>
        <w:tc>
          <w:tcPr>
            <w:tcW w:w="1131" w:type="dxa"/>
            <w:shd w:val="clear" w:color="auto" w:fill="auto"/>
            <w:vAlign w:val="center"/>
            <w:hideMark/>
          </w:tcPr>
          <w:p w14:paraId="0D7FFCC4" w14:textId="77777777" w:rsidR="00FD6ECE" w:rsidRPr="0061539B" w:rsidRDefault="00FD6ECE" w:rsidP="003E0059">
            <w:pPr>
              <w:jc w:val="center"/>
              <w:rPr>
                <w:sz w:val="28"/>
                <w:szCs w:val="28"/>
                <w:lang w:eastAsia="en-US"/>
              </w:rPr>
            </w:pPr>
            <w:r w:rsidRPr="0061539B">
              <w:rPr>
                <w:sz w:val="28"/>
                <w:szCs w:val="28"/>
                <w:lang w:eastAsia="en-US"/>
              </w:rPr>
              <w:t>0</w:t>
            </w:r>
          </w:p>
        </w:tc>
        <w:tc>
          <w:tcPr>
            <w:tcW w:w="1258" w:type="dxa"/>
            <w:shd w:val="clear" w:color="auto" w:fill="auto"/>
            <w:vAlign w:val="center"/>
            <w:hideMark/>
          </w:tcPr>
          <w:p w14:paraId="0210ABA5" w14:textId="2474F750" w:rsidR="00FD6ECE" w:rsidRPr="0061539B" w:rsidRDefault="00FD6ECE" w:rsidP="00FD6ECE">
            <w:pPr>
              <w:jc w:val="center"/>
              <w:rPr>
                <w:sz w:val="28"/>
                <w:szCs w:val="28"/>
              </w:rPr>
            </w:pPr>
            <w:r w:rsidRPr="0061539B">
              <w:rPr>
                <w:sz w:val="28"/>
                <w:szCs w:val="28"/>
                <w:lang w:eastAsia="en-US"/>
              </w:rPr>
              <w:t>0</w:t>
            </w:r>
          </w:p>
        </w:tc>
        <w:tc>
          <w:tcPr>
            <w:tcW w:w="1276" w:type="dxa"/>
            <w:shd w:val="clear" w:color="auto" w:fill="auto"/>
            <w:vAlign w:val="center"/>
            <w:hideMark/>
          </w:tcPr>
          <w:p w14:paraId="54959482" w14:textId="657AC47A" w:rsidR="00FD6ECE" w:rsidRPr="0061539B" w:rsidRDefault="00FD6ECE" w:rsidP="00FD6ECE">
            <w:pPr>
              <w:jc w:val="center"/>
              <w:rPr>
                <w:sz w:val="28"/>
                <w:szCs w:val="28"/>
              </w:rPr>
            </w:pPr>
            <w:r w:rsidRPr="0061539B">
              <w:rPr>
                <w:sz w:val="28"/>
                <w:szCs w:val="28"/>
                <w:lang w:eastAsia="en-US"/>
              </w:rPr>
              <w:t>0</w:t>
            </w:r>
          </w:p>
        </w:tc>
        <w:tc>
          <w:tcPr>
            <w:tcW w:w="1276" w:type="dxa"/>
            <w:shd w:val="clear" w:color="auto" w:fill="auto"/>
            <w:vAlign w:val="center"/>
            <w:hideMark/>
          </w:tcPr>
          <w:p w14:paraId="096F2895" w14:textId="23A270BF" w:rsidR="00FD6ECE" w:rsidRPr="0061539B" w:rsidRDefault="00FD6ECE" w:rsidP="00FD6ECE">
            <w:pPr>
              <w:jc w:val="center"/>
              <w:rPr>
                <w:sz w:val="28"/>
                <w:szCs w:val="28"/>
              </w:rPr>
            </w:pPr>
            <w:r w:rsidRPr="0061539B">
              <w:rPr>
                <w:sz w:val="28"/>
                <w:szCs w:val="28"/>
                <w:lang w:eastAsia="en-US"/>
              </w:rPr>
              <w:t>0</w:t>
            </w:r>
          </w:p>
        </w:tc>
        <w:tc>
          <w:tcPr>
            <w:tcW w:w="1276" w:type="dxa"/>
            <w:shd w:val="clear" w:color="auto" w:fill="auto"/>
            <w:vAlign w:val="center"/>
            <w:hideMark/>
          </w:tcPr>
          <w:p w14:paraId="08748F15" w14:textId="13ECBA92" w:rsidR="00FD6ECE" w:rsidRPr="0061539B" w:rsidRDefault="00FD6ECE" w:rsidP="00FD6ECE">
            <w:pPr>
              <w:jc w:val="center"/>
              <w:rPr>
                <w:sz w:val="28"/>
                <w:szCs w:val="28"/>
              </w:rPr>
            </w:pPr>
            <w:r w:rsidRPr="0061539B">
              <w:rPr>
                <w:sz w:val="28"/>
                <w:szCs w:val="28"/>
                <w:lang w:eastAsia="en-US"/>
              </w:rPr>
              <w:t>0</w:t>
            </w:r>
          </w:p>
        </w:tc>
        <w:tc>
          <w:tcPr>
            <w:tcW w:w="1278" w:type="dxa"/>
            <w:shd w:val="clear" w:color="auto" w:fill="auto"/>
            <w:vAlign w:val="center"/>
            <w:hideMark/>
          </w:tcPr>
          <w:p w14:paraId="7AA1DFE2" w14:textId="4A063A0C" w:rsidR="00FD6ECE" w:rsidRPr="0061539B" w:rsidRDefault="00FD6ECE" w:rsidP="00FD6ECE">
            <w:pPr>
              <w:jc w:val="center"/>
              <w:rPr>
                <w:sz w:val="28"/>
                <w:szCs w:val="28"/>
              </w:rPr>
            </w:pPr>
            <w:r w:rsidRPr="0061539B">
              <w:rPr>
                <w:sz w:val="28"/>
                <w:szCs w:val="28"/>
                <w:lang w:eastAsia="en-US"/>
              </w:rPr>
              <w:t>0</w:t>
            </w:r>
          </w:p>
        </w:tc>
      </w:tr>
      <w:tr w:rsidR="00A447E3" w:rsidRPr="0061539B" w14:paraId="2B05BCD0" w14:textId="77777777" w:rsidTr="00BF09E0">
        <w:tc>
          <w:tcPr>
            <w:tcW w:w="1702" w:type="dxa"/>
            <w:shd w:val="clear" w:color="auto" w:fill="auto"/>
            <w:hideMark/>
          </w:tcPr>
          <w:p w14:paraId="1A4FF036" w14:textId="77777777" w:rsidR="00A447E3" w:rsidRPr="0061539B" w:rsidRDefault="00A447E3" w:rsidP="003E0059">
            <w:pPr>
              <w:rPr>
                <w:sz w:val="28"/>
                <w:szCs w:val="28"/>
                <w:lang w:eastAsia="en-US"/>
              </w:rPr>
            </w:pPr>
            <w:r w:rsidRPr="0061539B">
              <w:rPr>
                <w:sz w:val="28"/>
                <w:szCs w:val="28"/>
                <w:lang w:eastAsia="en-US"/>
              </w:rPr>
              <w:t>2. Budžeta izdevumi</w:t>
            </w:r>
          </w:p>
        </w:tc>
        <w:tc>
          <w:tcPr>
            <w:tcW w:w="992" w:type="dxa"/>
            <w:shd w:val="clear" w:color="auto" w:fill="auto"/>
            <w:vAlign w:val="center"/>
            <w:hideMark/>
          </w:tcPr>
          <w:p w14:paraId="07BF05A9" w14:textId="77777777" w:rsidR="00A447E3" w:rsidRPr="0061539B" w:rsidRDefault="00A447E3" w:rsidP="003E0059">
            <w:pPr>
              <w:jc w:val="center"/>
              <w:rPr>
                <w:sz w:val="28"/>
                <w:szCs w:val="28"/>
                <w:lang w:eastAsia="en-US"/>
              </w:rPr>
            </w:pPr>
            <w:r w:rsidRPr="0061539B">
              <w:rPr>
                <w:sz w:val="28"/>
                <w:szCs w:val="28"/>
                <w:lang w:eastAsia="en-US"/>
              </w:rPr>
              <w:t>0</w:t>
            </w:r>
          </w:p>
        </w:tc>
        <w:tc>
          <w:tcPr>
            <w:tcW w:w="1131" w:type="dxa"/>
            <w:shd w:val="clear" w:color="auto" w:fill="auto"/>
            <w:vAlign w:val="center"/>
            <w:hideMark/>
          </w:tcPr>
          <w:p w14:paraId="4648E728" w14:textId="3506E929" w:rsidR="00A447E3" w:rsidRPr="0061539B" w:rsidRDefault="009B084A" w:rsidP="003E0059">
            <w:pPr>
              <w:jc w:val="center"/>
              <w:rPr>
                <w:sz w:val="28"/>
                <w:szCs w:val="28"/>
                <w:lang w:eastAsia="en-US"/>
              </w:rPr>
            </w:pPr>
            <w:r w:rsidRPr="0061539B">
              <w:rPr>
                <w:sz w:val="28"/>
                <w:szCs w:val="28"/>
                <w:lang w:eastAsia="en-US"/>
              </w:rPr>
              <w:t>0</w:t>
            </w:r>
          </w:p>
        </w:tc>
        <w:tc>
          <w:tcPr>
            <w:tcW w:w="1258" w:type="dxa"/>
            <w:shd w:val="clear" w:color="auto" w:fill="auto"/>
            <w:vAlign w:val="center"/>
            <w:hideMark/>
          </w:tcPr>
          <w:p w14:paraId="75D8BD4C" w14:textId="77777777" w:rsidR="00A447E3" w:rsidRPr="0061539B" w:rsidRDefault="00A447E3" w:rsidP="003E0059">
            <w:pPr>
              <w:jc w:val="center"/>
              <w:rPr>
                <w:sz w:val="28"/>
                <w:szCs w:val="28"/>
                <w:lang w:eastAsia="en-US"/>
              </w:rPr>
            </w:pPr>
            <w:r w:rsidRPr="0061539B">
              <w:rPr>
                <w:sz w:val="28"/>
                <w:szCs w:val="28"/>
                <w:lang w:eastAsia="en-US"/>
              </w:rPr>
              <w:t>0</w:t>
            </w:r>
          </w:p>
        </w:tc>
        <w:tc>
          <w:tcPr>
            <w:tcW w:w="1276" w:type="dxa"/>
            <w:shd w:val="clear" w:color="auto" w:fill="auto"/>
            <w:vAlign w:val="center"/>
            <w:hideMark/>
          </w:tcPr>
          <w:p w14:paraId="16E30FA9" w14:textId="5346F6B9" w:rsidR="00A447E3" w:rsidRPr="0061539B" w:rsidRDefault="009B084A" w:rsidP="003E0059">
            <w:pPr>
              <w:jc w:val="center"/>
              <w:rPr>
                <w:sz w:val="28"/>
                <w:szCs w:val="28"/>
                <w:lang w:eastAsia="en-US"/>
              </w:rPr>
            </w:pPr>
            <w:r w:rsidRPr="0061539B">
              <w:rPr>
                <w:sz w:val="28"/>
                <w:szCs w:val="28"/>
                <w:lang w:eastAsia="en-US"/>
              </w:rPr>
              <w:t>0</w:t>
            </w:r>
          </w:p>
        </w:tc>
        <w:tc>
          <w:tcPr>
            <w:tcW w:w="1276" w:type="dxa"/>
            <w:shd w:val="clear" w:color="auto" w:fill="auto"/>
            <w:vAlign w:val="center"/>
            <w:hideMark/>
          </w:tcPr>
          <w:p w14:paraId="1FDC9466" w14:textId="77777777" w:rsidR="00A447E3" w:rsidRPr="0061539B" w:rsidRDefault="00A447E3" w:rsidP="003E0059">
            <w:pPr>
              <w:jc w:val="center"/>
              <w:rPr>
                <w:sz w:val="28"/>
                <w:szCs w:val="28"/>
                <w:lang w:eastAsia="en-US"/>
              </w:rPr>
            </w:pPr>
            <w:r w:rsidRPr="0061539B">
              <w:rPr>
                <w:sz w:val="28"/>
                <w:szCs w:val="28"/>
                <w:lang w:eastAsia="en-US"/>
              </w:rPr>
              <w:t>0</w:t>
            </w:r>
          </w:p>
        </w:tc>
        <w:tc>
          <w:tcPr>
            <w:tcW w:w="1276" w:type="dxa"/>
            <w:shd w:val="clear" w:color="auto" w:fill="auto"/>
            <w:vAlign w:val="center"/>
            <w:hideMark/>
          </w:tcPr>
          <w:p w14:paraId="6C35C3E6" w14:textId="4F188959" w:rsidR="00A447E3" w:rsidRPr="0061539B" w:rsidRDefault="009B084A" w:rsidP="003E0059">
            <w:pPr>
              <w:jc w:val="center"/>
              <w:rPr>
                <w:sz w:val="28"/>
                <w:szCs w:val="28"/>
                <w:lang w:eastAsia="en-US"/>
              </w:rPr>
            </w:pPr>
            <w:r w:rsidRPr="0061539B">
              <w:rPr>
                <w:sz w:val="28"/>
                <w:szCs w:val="28"/>
                <w:lang w:eastAsia="en-US"/>
              </w:rPr>
              <w:t>0</w:t>
            </w:r>
          </w:p>
        </w:tc>
        <w:tc>
          <w:tcPr>
            <w:tcW w:w="1278" w:type="dxa"/>
            <w:shd w:val="clear" w:color="auto" w:fill="auto"/>
            <w:vAlign w:val="center"/>
            <w:hideMark/>
          </w:tcPr>
          <w:p w14:paraId="65A94D42" w14:textId="48866378" w:rsidR="00A447E3" w:rsidRPr="0061539B" w:rsidRDefault="009B084A" w:rsidP="003E0059">
            <w:pPr>
              <w:jc w:val="center"/>
              <w:rPr>
                <w:sz w:val="28"/>
                <w:szCs w:val="28"/>
                <w:lang w:eastAsia="en-US"/>
              </w:rPr>
            </w:pPr>
            <w:r w:rsidRPr="0061539B">
              <w:rPr>
                <w:sz w:val="28"/>
                <w:szCs w:val="28"/>
                <w:lang w:eastAsia="en-US"/>
              </w:rPr>
              <w:t>0</w:t>
            </w:r>
          </w:p>
        </w:tc>
      </w:tr>
      <w:tr w:rsidR="00A447E3" w:rsidRPr="0061539B" w14:paraId="49DFA239" w14:textId="77777777" w:rsidTr="00BF09E0">
        <w:tc>
          <w:tcPr>
            <w:tcW w:w="1702" w:type="dxa"/>
            <w:shd w:val="clear" w:color="auto" w:fill="auto"/>
            <w:hideMark/>
          </w:tcPr>
          <w:p w14:paraId="16293741" w14:textId="77777777" w:rsidR="00A447E3" w:rsidRPr="0061539B" w:rsidRDefault="00A447E3" w:rsidP="003E0059">
            <w:pPr>
              <w:rPr>
                <w:sz w:val="28"/>
                <w:szCs w:val="28"/>
                <w:lang w:eastAsia="en-US"/>
              </w:rPr>
            </w:pPr>
            <w:r w:rsidRPr="0061539B">
              <w:rPr>
                <w:sz w:val="28"/>
                <w:szCs w:val="28"/>
                <w:lang w:eastAsia="en-US"/>
              </w:rPr>
              <w:t>2.1. valsts pamatbudžets</w:t>
            </w:r>
          </w:p>
        </w:tc>
        <w:tc>
          <w:tcPr>
            <w:tcW w:w="992" w:type="dxa"/>
            <w:shd w:val="clear" w:color="auto" w:fill="auto"/>
            <w:vAlign w:val="center"/>
            <w:hideMark/>
          </w:tcPr>
          <w:p w14:paraId="46397B39" w14:textId="77777777" w:rsidR="00A447E3" w:rsidRPr="0061539B" w:rsidRDefault="00A447E3" w:rsidP="003E0059">
            <w:pPr>
              <w:jc w:val="center"/>
              <w:rPr>
                <w:sz w:val="28"/>
                <w:szCs w:val="28"/>
                <w:lang w:eastAsia="en-US"/>
              </w:rPr>
            </w:pPr>
            <w:r w:rsidRPr="0061539B">
              <w:rPr>
                <w:sz w:val="28"/>
                <w:szCs w:val="28"/>
                <w:lang w:eastAsia="en-US"/>
              </w:rPr>
              <w:t>0</w:t>
            </w:r>
          </w:p>
        </w:tc>
        <w:tc>
          <w:tcPr>
            <w:tcW w:w="1131" w:type="dxa"/>
            <w:shd w:val="clear" w:color="auto" w:fill="auto"/>
            <w:vAlign w:val="center"/>
            <w:hideMark/>
          </w:tcPr>
          <w:p w14:paraId="263925E8" w14:textId="111332C6" w:rsidR="00A447E3" w:rsidRPr="0061539B" w:rsidRDefault="009B084A" w:rsidP="003E0059">
            <w:pPr>
              <w:jc w:val="center"/>
              <w:rPr>
                <w:sz w:val="28"/>
                <w:szCs w:val="28"/>
                <w:lang w:eastAsia="en-US"/>
              </w:rPr>
            </w:pPr>
            <w:r w:rsidRPr="0061539B">
              <w:rPr>
                <w:sz w:val="28"/>
                <w:szCs w:val="28"/>
                <w:lang w:eastAsia="en-US"/>
              </w:rPr>
              <w:t>0</w:t>
            </w:r>
          </w:p>
        </w:tc>
        <w:tc>
          <w:tcPr>
            <w:tcW w:w="1258" w:type="dxa"/>
            <w:shd w:val="clear" w:color="auto" w:fill="auto"/>
            <w:vAlign w:val="center"/>
            <w:hideMark/>
          </w:tcPr>
          <w:p w14:paraId="796FF3D8" w14:textId="77777777" w:rsidR="00A447E3" w:rsidRPr="0061539B" w:rsidRDefault="00A447E3" w:rsidP="003E0059">
            <w:pPr>
              <w:jc w:val="center"/>
              <w:rPr>
                <w:sz w:val="28"/>
                <w:szCs w:val="28"/>
                <w:lang w:eastAsia="en-US"/>
              </w:rPr>
            </w:pPr>
            <w:r w:rsidRPr="0061539B">
              <w:rPr>
                <w:sz w:val="28"/>
                <w:szCs w:val="28"/>
                <w:lang w:eastAsia="en-US"/>
              </w:rPr>
              <w:t>0</w:t>
            </w:r>
          </w:p>
        </w:tc>
        <w:tc>
          <w:tcPr>
            <w:tcW w:w="1276" w:type="dxa"/>
            <w:shd w:val="clear" w:color="auto" w:fill="auto"/>
            <w:vAlign w:val="center"/>
            <w:hideMark/>
          </w:tcPr>
          <w:p w14:paraId="56EA9902" w14:textId="23EDBF98" w:rsidR="00A447E3" w:rsidRPr="0061539B" w:rsidRDefault="009B084A" w:rsidP="003E0059">
            <w:pPr>
              <w:jc w:val="center"/>
              <w:rPr>
                <w:sz w:val="28"/>
                <w:szCs w:val="28"/>
                <w:lang w:eastAsia="en-US"/>
              </w:rPr>
            </w:pPr>
            <w:r w:rsidRPr="0061539B">
              <w:rPr>
                <w:sz w:val="28"/>
                <w:szCs w:val="28"/>
                <w:lang w:eastAsia="en-US"/>
              </w:rPr>
              <w:t>0</w:t>
            </w:r>
          </w:p>
        </w:tc>
        <w:tc>
          <w:tcPr>
            <w:tcW w:w="1276" w:type="dxa"/>
            <w:shd w:val="clear" w:color="auto" w:fill="auto"/>
            <w:vAlign w:val="center"/>
            <w:hideMark/>
          </w:tcPr>
          <w:p w14:paraId="00FCBF04" w14:textId="77777777" w:rsidR="00A447E3" w:rsidRPr="0061539B" w:rsidRDefault="00A447E3" w:rsidP="003E0059">
            <w:pPr>
              <w:jc w:val="center"/>
              <w:rPr>
                <w:sz w:val="28"/>
                <w:szCs w:val="28"/>
                <w:lang w:eastAsia="en-US"/>
              </w:rPr>
            </w:pPr>
            <w:r w:rsidRPr="0061539B">
              <w:rPr>
                <w:sz w:val="28"/>
                <w:szCs w:val="28"/>
                <w:lang w:eastAsia="en-US"/>
              </w:rPr>
              <w:t>0</w:t>
            </w:r>
          </w:p>
        </w:tc>
        <w:tc>
          <w:tcPr>
            <w:tcW w:w="1276" w:type="dxa"/>
            <w:shd w:val="clear" w:color="auto" w:fill="auto"/>
            <w:vAlign w:val="center"/>
            <w:hideMark/>
          </w:tcPr>
          <w:p w14:paraId="7B38B565" w14:textId="7CEDCC9E" w:rsidR="00A447E3" w:rsidRPr="0061539B" w:rsidRDefault="009B084A" w:rsidP="003E0059">
            <w:pPr>
              <w:jc w:val="center"/>
              <w:rPr>
                <w:sz w:val="28"/>
                <w:szCs w:val="28"/>
                <w:lang w:eastAsia="en-US"/>
              </w:rPr>
            </w:pPr>
            <w:r w:rsidRPr="0061539B">
              <w:rPr>
                <w:sz w:val="28"/>
                <w:szCs w:val="28"/>
                <w:lang w:eastAsia="en-US"/>
              </w:rPr>
              <w:t>0</w:t>
            </w:r>
          </w:p>
        </w:tc>
        <w:tc>
          <w:tcPr>
            <w:tcW w:w="1278" w:type="dxa"/>
            <w:shd w:val="clear" w:color="auto" w:fill="auto"/>
            <w:vAlign w:val="center"/>
            <w:hideMark/>
          </w:tcPr>
          <w:p w14:paraId="4993E5B1" w14:textId="44B7DC35" w:rsidR="00A447E3" w:rsidRPr="0061539B" w:rsidRDefault="009B084A" w:rsidP="003E0059">
            <w:pPr>
              <w:jc w:val="center"/>
              <w:rPr>
                <w:sz w:val="28"/>
                <w:szCs w:val="28"/>
                <w:lang w:eastAsia="en-US"/>
              </w:rPr>
            </w:pPr>
            <w:r w:rsidRPr="0061539B">
              <w:rPr>
                <w:sz w:val="28"/>
                <w:szCs w:val="28"/>
                <w:lang w:eastAsia="en-US"/>
              </w:rPr>
              <w:t>0</w:t>
            </w:r>
          </w:p>
        </w:tc>
      </w:tr>
      <w:tr w:rsidR="00A447E3" w:rsidRPr="0061539B" w14:paraId="09C3AFA7" w14:textId="77777777" w:rsidTr="00BF09E0">
        <w:tc>
          <w:tcPr>
            <w:tcW w:w="1702" w:type="dxa"/>
            <w:shd w:val="clear" w:color="auto" w:fill="auto"/>
            <w:hideMark/>
          </w:tcPr>
          <w:p w14:paraId="235F4644" w14:textId="77777777" w:rsidR="00A447E3" w:rsidRPr="0061539B" w:rsidRDefault="00A447E3" w:rsidP="003E0059">
            <w:pPr>
              <w:rPr>
                <w:sz w:val="28"/>
                <w:szCs w:val="28"/>
                <w:lang w:eastAsia="en-US"/>
              </w:rPr>
            </w:pPr>
            <w:r w:rsidRPr="0061539B">
              <w:rPr>
                <w:sz w:val="28"/>
                <w:szCs w:val="28"/>
                <w:lang w:eastAsia="en-US"/>
              </w:rPr>
              <w:t>2.2. valsts speciālais budžets</w:t>
            </w:r>
          </w:p>
        </w:tc>
        <w:tc>
          <w:tcPr>
            <w:tcW w:w="992" w:type="dxa"/>
            <w:shd w:val="clear" w:color="auto" w:fill="auto"/>
            <w:vAlign w:val="center"/>
            <w:hideMark/>
          </w:tcPr>
          <w:p w14:paraId="19176537" w14:textId="77777777" w:rsidR="00A447E3" w:rsidRPr="0061539B" w:rsidRDefault="00A447E3" w:rsidP="003E0059">
            <w:pPr>
              <w:jc w:val="center"/>
              <w:rPr>
                <w:sz w:val="28"/>
                <w:szCs w:val="28"/>
                <w:lang w:eastAsia="en-US"/>
              </w:rPr>
            </w:pPr>
            <w:r w:rsidRPr="0061539B">
              <w:rPr>
                <w:sz w:val="28"/>
                <w:szCs w:val="28"/>
                <w:lang w:eastAsia="en-US"/>
              </w:rPr>
              <w:t>0</w:t>
            </w:r>
          </w:p>
        </w:tc>
        <w:tc>
          <w:tcPr>
            <w:tcW w:w="1131" w:type="dxa"/>
            <w:shd w:val="clear" w:color="auto" w:fill="auto"/>
            <w:vAlign w:val="center"/>
            <w:hideMark/>
          </w:tcPr>
          <w:p w14:paraId="31929F89" w14:textId="77777777" w:rsidR="00A447E3" w:rsidRPr="0061539B" w:rsidRDefault="00A447E3" w:rsidP="003E0059">
            <w:pPr>
              <w:jc w:val="center"/>
              <w:rPr>
                <w:sz w:val="28"/>
                <w:szCs w:val="28"/>
                <w:lang w:eastAsia="en-US"/>
              </w:rPr>
            </w:pPr>
            <w:r w:rsidRPr="0061539B">
              <w:rPr>
                <w:sz w:val="28"/>
                <w:szCs w:val="28"/>
                <w:lang w:eastAsia="en-US"/>
              </w:rPr>
              <w:t>0</w:t>
            </w:r>
          </w:p>
        </w:tc>
        <w:tc>
          <w:tcPr>
            <w:tcW w:w="1258" w:type="dxa"/>
            <w:shd w:val="clear" w:color="auto" w:fill="auto"/>
            <w:vAlign w:val="center"/>
            <w:hideMark/>
          </w:tcPr>
          <w:p w14:paraId="60FF1938" w14:textId="77777777" w:rsidR="00A447E3" w:rsidRPr="0061539B" w:rsidRDefault="00A447E3" w:rsidP="003E0059">
            <w:pPr>
              <w:jc w:val="center"/>
              <w:rPr>
                <w:sz w:val="28"/>
                <w:szCs w:val="28"/>
                <w:lang w:eastAsia="en-US"/>
              </w:rPr>
            </w:pPr>
            <w:r w:rsidRPr="0061539B">
              <w:rPr>
                <w:sz w:val="28"/>
                <w:szCs w:val="28"/>
                <w:lang w:eastAsia="en-US"/>
              </w:rPr>
              <w:t>0</w:t>
            </w:r>
          </w:p>
        </w:tc>
        <w:tc>
          <w:tcPr>
            <w:tcW w:w="1276" w:type="dxa"/>
            <w:shd w:val="clear" w:color="auto" w:fill="auto"/>
            <w:vAlign w:val="center"/>
            <w:hideMark/>
          </w:tcPr>
          <w:p w14:paraId="35775A01" w14:textId="77777777" w:rsidR="00A447E3" w:rsidRPr="0061539B" w:rsidRDefault="00A447E3" w:rsidP="003E0059">
            <w:pPr>
              <w:jc w:val="center"/>
              <w:rPr>
                <w:sz w:val="28"/>
                <w:szCs w:val="28"/>
                <w:lang w:eastAsia="en-US"/>
              </w:rPr>
            </w:pPr>
            <w:r w:rsidRPr="0061539B">
              <w:rPr>
                <w:sz w:val="28"/>
                <w:szCs w:val="28"/>
                <w:lang w:eastAsia="en-US"/>
              </w:rPr>
              <w:t>0</w:t>
            </w:r>
          </w:p>
        </w:tc>
        <w:tc>
          <w:tcPr>
            <w:tcW w:w="1276" w:type="dxa"/>
            <w:shd w:val="clear" w:color="auto" w:fill="auto"/>
            <w:vAlign w:val="center"/>
            <w:hideMark/>
          </w:tcPr>
          <w:p w14:paraId="3EC497FA" w14:textId="77777777" w:rsidR="00A447E3" w:rsidRPr="0061539B" w:rsidRDefault="00A447E3" w:rsidP="003E0059">
            <w:pPr>
              <w:jc w:val="center"/>
              <w:rPr>
                <w:sz w:val="28"/>
                <w:szCs w:val="28"/>
                <w:lang w:eastAsia="en-US"/>
              </w:rPr>
            </w:pPr>
            <w:r w:rsidRPr="0061539B">
              <w:rPr>
                <w:sz w:val="28"/>
                <w:szCs w:val="28"/>
                <w:lang w:eastAsia="en-US"/>
              </w:rPr>
              <w:t>0</w:t>
            </w:r>
          </w:p>
        </w:tc>
        <w:tc>
          <w:tcPr>
            <w:tcW w:w="1276" w:type="dxa"/>
            <w:shd w:val="clear" w:color="auto" w:fill="auto"/>
            <w:vAlign w:val="center"/>
            <w:hideMark/>
          </w:tcPr>
          <w:p w14:paraId="170733D4" w14:textId="77777777" w:rsidR="00A447E3" w:rsidRPr="0061539B" w:rsidRDefault="00A447E3" w:rsidP="003E0059">
            <w:pPr>
              <w:jc w:val="center"/>
              <w:rPr>
                <w:sz w:val="28"/>
                <w:szCs w:val="28"/>
                <w:lang w:eastAsia="en-US"/>
              </w:rPr>
            </w:pPr>
            <w:r w:rsidRPr="0061539B">
              <w:rPr>
                <w:sz w:val="28"/>
                <w:szCs w:val="28"/>
                <w:lang w:eastAsia="en-US"/>
              </w:rPr>
              <w:t>0</w:t>
            </w:r>
          </w:p>
        </w:tc>
        <w:tc>
          <w:tcPr>
            <w:tcW w:w="1278" w:type="dxa"/>
            <w:shd w:val="clear" w:color="auto" w:fill="auto"/>
            <w:vAlign w:val="center"/>
            <w:hideMark/>
          </w:tcPr>
          <w:p w14:paraId="0A5C15F9" w14:textId="77777777" w:rsidR="00A447E3" w:rsidRPr="0061539B" w:rsidRDefault="00A447E3" w:rsidP="003E0059">
            <w:pPr>
              <w:jc w:val="center"/>
              <w:rPr>
                <w:sz w:val="28"/>
                <w:szCs w:val="28"/>
                <w:lang w:eastAsia="en-US"/>
              </w:rPr>
            </w:pPr>
            <w:r w:rsidRPr="0061539B">
              <w:rPr>
                <w:sz w:val="28"/>
                <w:szCs w:val="28"/>
                <w:lang w:eastAsia="en-US"/>
              </w:rPr>
              <w:t>0</w:t>
            </w:r>
          </w:p>
        </w:tc>
      </w:tr>
      <w:tr w:rsidR="00A447E3" w:rsidRPr="0061539B" w14:paraId="0CF546A2" w14:textId="77777777" w:rsidTr="00BF09E0">
        <w:tc>
          <w:tcPr>
            <w:tcW w:w="1702" w:type="dxa"/>
            <w:shd w:val="clear" w:color="auto" w:fill="auto"/>
            <w:hideMark/>
          </w:tcPr>
          <w:p w14:paraId="33364401" w14:textId="77777777" w:rsidR="00A447E3" w:rsidRPr="0061539B" w:rsidRDefault="00A447E3" w:rsidP="003E0059">
            <w:pPr>
              <w:rPr>
                <w:sz w:val="28"/>
                <w:szCs w:val="28"/>
                <w:lang w:eastAsia="en-US"/>
              </w:rPr>
            </w:pPr>
            <w:r w:rsidRPr="0061539B">
              <w:rPr>
                <w:sz w:val="28"/>
                <w:szCs w:val="28"/>
                <w:lang w:eastAsia="en-US"/>
              </w:rPr>
              <w:t>2.3. pašvaldību budžets</w:t>
            </w:r>
          </w:p>
        </w:tc>
        <w:tc>
          <w:tcPr>
            <w:tcW w:w="992" w:type="dxa"/>
            <w:shd w:val="clear" w:color="auto" w:fill="auto"/>
            <w:vAlign w:val="center"/>
            <w:hideMark/>
          </w:tcPr>
          <w:p w14:paraId="43DBA5E4" w14:textId="77777777" w:rsidR="00A447E3" w:rsidRPr="0061539B" w:rsidRDefault="00A447E3" w:rsidP="003E0059">
            <w:pPr>
              <w:jc w:val="center"/>
              <w:rPr>
                <w:sz w:val="28"/>
                <w:szCs w:val="28"/>
                <w:lang w:eastAsia="en-US"/>
              </w:rPr>
            </w:pPr>
            <w:r w:rsidRPr="0061539B">
              <w:rPr>
                <w:sz w:val="28"/>
                <w:szCs w:val="28"/>
                <w:lang w:eastAsia="en-US"/>
              </w:rPr>
              <w:t>0</w:t>
            </w:r>
          </w:p>
        </w:tc>
        <w:tc>
          <w:tcPr>
            <w:tcW w:w="1131" w:type="dxa"/>
            <w:shd w:val="clear" w:color="auto" w:fill="auto"/>
            <w:vAlign w:val="center"/>
            <w:hideMark/>
          </w:tcPr>
          <w:p w14:paraId="5C77F943" w14:textId="77777777" w:rsidR="00A447E3" w:rsidRPr="0061539B" w:rsidRDefault="00A447E3" w:rsidP="003E0059">
            <w:pPr>
              <w:jc w:val="center"/>
              <w:rPr>
                <w:sz w:val="28"/>
                <w:szCs w:val="28"/>
                <w:lang w:eastAsia="en-US"/>
              </w:rPr>
            </w:pPr>
            <w:r w:rsidRPr="0061539B">
              <w:rPr>
                <w:sz w:val="28"/>
                <w:szCs w:val="28"/>
                <w:lang w:eastAsia="en-US"/>
              </w:rPr>
              <w:t>0</w:t>
            </w:r>
          </w:p>
        </w:tc>
        <w:tc>
          <w:tcPr>
            <w:tcW w:w="1258" w:type="dxa"/>
            <w:shd w:val="clear" w:color="auto" w:fill="auto"/>
            <w:vAlign w:val="center"/>
            <w:hideMark/>
          </w:tcPr>
          <w:p w14:paraId="01A26C97" w14:textId="77777777" w:rsidR="00A447E3" w:rsidRPr="0061539B" w:rsidRDefault="00A447E3" w:rsidP="003E0059">
            <w:pPr>
              <w:jc w:val="center"/>
              <w:rPr>
                <w:sz w:val="28"/>
                <w:szCs w:val="28"/>
                <w:lang w:eastAsia="en-US"/>
              </w:rPr>
            </w:pPr>
            <w:r w:rsidRPr="0061539B">
              <w:rPr>
                <w:sz w:val="28"/>
                <w:szCs w:val="28"/>
                <w:lang w:eastAsia="en-US"/>
              </w:rPr>
              <w:t>0</w:t>
            </w:r>
          </w:p>
        </w:tc>
        <w:tc>
          <w:tcPr>
            <w:tcW w:w="1276" w:type="dxa"/>
            <w:shd w:val="clear" w:color="auto" w:fill="auto"/>
            <w:vAlign w:val="center"/>
            <w:hideMark/>
          </w:tcPr>
          <w:p w14:paraId="4F2C89E3" w14:textId="77777777" w:rsidR="00A447E3" w:rsidRPr="0061539B" w:rsidRDefault="00A447E3" w:rsidP="003E0059">
            <w:pPr>
              <w:jc w:val="center"/>
              <w:rPr>
                <w:sz w:val="28"/>
                <w:szCs w:val="28"/>
                <w:lang w:eastAsia="en-US"/>
              </w:rPr>
            </w:pPr>
            <w:r w:rsidRPr="0061539B">
              <w:rPr>
                <w:sz w:val="28"/>
                <w:szCs w:val="28"/>
                <w:lang w:eastAsia="en-US"/>
              </w:rPr>
              <w:t>0</w:t>
            </w:r>
          </w:p>
        </w:tc>
        <w:tc>
          <w:tcPr>
            <w:tcW w:w="1276" w:type="dxa"/>
            <w:shd w:val="clear" w:color="auto" w:fill="auto"/>
            <w:vAlign w:val="center"/>
            <w:hideMark/>
          </w:tcPr>
          <w:p w14:paraId="7AB2A9AC" w14:textId="77777777" w:rsidR="00A447E3" w:rsidRPr="0061539B" w:rsidRDefault="00A447E3" w:rsidP="003E0059">
            <w:pPr>
              <w:jc w:val="center"/>
              <w:rPr>
                <w:sz w:val="28"/>
                <w:szCs w:val="28"/>
                <w:lang w:eastAsia="en-US"/>
              </w:rPr>
            </w:pPr>
            <w:r w:rsidRPr="0061539B">
              <w:rPr>
                <w:sz w:val="28"/>
                <w:szCs w:val="28"/>
                <w:lang w:eastAsia="en-US"/>
              </w:rPr>
              <w:t>0</w:t>
            </w:r>
          </w:p>
        </w:tc>
        <w:tc>
          <w:tcPr>
            <w:tcW w:w="1276" w:type="dxa"/>
            <w:shd w:val="clear" w:color="auto" w:fill="auto"/>
            <w:vAlign w:val="center"/>
            <w:hideMark/>
          </w:tcPr>
          <w:p w14:paraId="3324197B" w14:textId="77777777" w:rsidR="00A447E3" w:rsidRPr="0061539B" w:rsidRDefault="00A447E3" w:rsidP="003E0059">
            <w:pPr>
              <w:jc w:val="center"/>
              <w:rPr>
                <w:sz w:val="28"/>
                <w:szCs w:val="28"/>
                <w:lang w:eastAsia="en-US"/>
              </w:rPr>
            </w:pPr>
            <w:r w:rsidRPr="0061539B">
              <w:rPr>
                <w:sz w:val="28"/>
                <w:szCs w:val="28"/>
                <w:lang w:eastAsia="en-US"/>
              </w:rPr>
              <w:t>0</w:t>
            </w:r>
          </w:p>
        </w:tc>
        <w:tc>
          <w:tcPr>
            <w:tcW w:w="1278" w:type="dxa"/>
            <w:shd w:val="clear" w:color="auto" w:fill="auto"/>
            <w:vAlign w:val="center"/>
            <w:hideMark/>
          </w:tcPr>
          <w:p w14:paraId="0AF2500A" w14:textId="77777777" w:rsidR="00A447E3" w:rsidRPr="0061539B" w:rsidRDefault="00A447E3" w:rsidP="003E0059">
            <w:pPr>
              <w:jc w:val="center"/>
              <w:rPr>
                <w:sz w:val="28"/>
                <w:szCs w:val="28"/>
                <w:lang w:eastAsia="en-US"/>
              </w:rPr>
            </w:pPr>
            <w:r w:rsidRPr="0061539B">
              <w:rPr>
                <w:sz w:val="28"/>
                <w:szCs w:val="28"/>
                <w:lang w:eastAsia="en-US"/>
              </w:rPr>
              <w:t>0</w:t>
            </w:r>
          </w:p>
        </w:tc>
      </w:tr>
      <w:tr w:rsidR="00A447E3" w:rsidRPr="0061539B" w14:paraId="79513DD6" w14:textId="77777777" w:rsidTr="00BF09E0">
        <w:tc>
          <w:tcPr>
            <w:tcW w:w="1702" w:type="dxa"/>
            <w:shd w:val="clear" w:color="auto" w:fill="auto"/>
            <w:hideMark/>
          </w:tcPr>
          <w:p w14:paraId="38A374C4" w14:textId="77777777" w:rsidR="00A447E3" w:rsidRPr="0061539B" w:rsidRDefault="00A447E3" w:rsidP="003E0059">
            <w:pPr>
              <w:rPr>
                <w:sz w:val="28"/>
                <w:szCs w:val="28"/>
                <w:lang w:eastAsia="en-US"/>
              </w:rPr>
            </w:pPr>
            <w:r w:rsidRPr="0061539B">
              <w:rPr>
                <w:sz w:val="28"/>
                <w:szCs w:val="28"/>
                <w:lang w:eastAsia="en-US"/>
              </w:rPr>
              <w:t>3. Finansiālā ietekme</w:t>
            </w:r>
          </w:p>
        </w:tc>
        <w:tc>
          <w:tcPr>
            <w:tcW w:w="992" w:type="dxa"/>
            <w:shd w:val="clear" w:color="auto" w:fill="auto"/>
            <w:vAlign w:val="center"/>
            <w:hideMark/>
          </w:tcPr>
          <w:p w14:paraId="71C35AB7" w14:textId="77777777" w:rsidR="00A447E3" w:rsidRPr="0061539B" w:rsidRDefault="00A447E3" w:rsidP="003E0059">
            <w:pPr>
              <w:jc w:val="center"/>
              <w:rPr>
                <w:sz w:val="28"/>
                <w:szCs w:val="28"/>
                <w:lang w:eastAsia="en-US"/>
              </w:rPr>
            </w:pPr>
            <w:r w:rsidRPr="0061539B">
              <w:rPr>
                <w:sz w:val="28"/>
                <w:szCs w:val="28"/>
                <w:lang w:eastAsia="en-US"/>
              </w:rPr>
              <w:t>0</w:t>
            </w:r>
          </w:p>
        </w:tc>
        <w:tc>
          <w:tcPr>
            <w:tcW w:w="1131" w:type="dxa"/>
            <w:shd w:val="clear" w:color="auto" w:fill="auto"/>
            <w:vAlign w:val="center"/>
            <w:hideMark/>
          </w:tcPr>
          <w:p w14:paraId="6E7C24AD" w14:textId="77777777" w:rsidR="00A447E3" w:rsidRPr="0061539B" w:rsidRDefault="00A447E3" w:rsidP="003E0059">
            <w:pPr>
              <w:jc w:val="center"/>
              <w:rPr>
                <w:sz w:val="28"/>
                <w:szCs w:val="28"/>
                <w:lang w:eastAsia="en-US"/>
              </w:rPr>
            </w:pPr>
            <w:r w:rsidRPr="0061539B">
              <w:rPr>
                <w:sz w:val="28"/>
                <w:szCs w:val="28"/>
                <w:lang w:eastAsia="en-US"/>
              </w:rPr>
              <w:t>0</w:t>
            </w:r>
          </w:p>
        </w:tc>
        <w:tc>
          <w:tcPr>
            <w:tcW w:w="1258" w:type="dxa"/>
            <w:shd w:val="clear" w:color="auto" w:fill="auto"/>
            <w:vAlign w:val="center"/>
            <w:hideMark/>
          </w:tcPr>
          <w:p w14:paraId="2B97E6FA" w14:textId="77777777" w:rsidR="00A447E3" w:rsidRPr="0061539B" w:rsidRDefault="00A447E3" w:rsidP="003E0059">
            <w:pPr>
              <w:jc w:val="center"/>
              <w:rPr>
                <w:sz w:val="28"/>
                <w:szCs w:val="28"/>
                <w:lang w:eastAsia="en-US"/>
              </w:rPr>
            </w:pPr>
            <w:r w:rsidRPr="0061539B">
              <w:rPr>
                <w:sz w:val="28"/>
                <w:szCs w:val="28"/>
                <w:lang w:eastAsia="en-US"/>
              </w:rPr>
              <w:t>0</w:t>
            </w:r>
          </w:p>
        </w:tc>
        <w:tc>
          <w:tcPr>
            <w:tcW w:w="1276" w:type="dxa"/>
            <w:shd w:val="clear" w:color="auto" w:fill="auto"/>
            <w:vAlign w:val="center"/>
            <w:hideMark/>
          </w:tcPr>
          <w:p w14:paraId="7D84CE79" w14:textId="77777777" w:rsidR="00A447E3" w:rsidRPr="0061539B" w:rsidRDefault="00A447E3" w:rsidP="003E0059">
            <w:pPr>
              <w:jc w:val="center"/>
              <w:rPr>
                <w:sz w:val="28"/>
                <w:szCs w:val="28"/>
                <w:lang w:eastAsia="en-US"/>
              </w:rPr>
            </w:pPr>
            <w:r w:rsidRPr="0061539B">
              <w:rPr>
                <w:sz w:val="28"/>
                <w:szCs w:val="28"/>
                <w:lang w:eastAsia="en-US"/>
              </w:rPr>
              <w:t>0</w:t>
            </w:r>
          </w:p>
        </w:tc>
        <w:tc>
          <w:tcPr>
            <w:tcW w:w="1276" w:type="dxa"/>
            <w:shd w:val="clear" w:color="auto" w:fill="auto"/>
            <w:vAlign w:val="center"/>
            <w:hideMark/>
          </w:tcPr>
          <w:p w14:paraId="6AF1E700" w14:textId="77777777" w:rsidR="00A447E3" w:rsidRPr="0061539B" w:rsidRDefault="00A447E3" w:rsidP="003E0059">
            <w:pPr>
              <w:jc w:val="center"/>
              <w:rPr>
                <w:sz w:val="28"/>
                <w:szCs w:val="28"/>
                <w:lang w:eastAsia="en-US"/>
              </w:rPr>
            </w:pPr>
            <w:r w:rsidRPr="0061539B">
              <w:rPr>
                <w:sz w:val="28"/>
                <w:szCs w:val="28"/>
                <w:lang w:eastAsia="en-US"/>
              </w:rPr>
              <w:t>0</w:t>
            </w:r>
          </w:p>
        </w:tc>
        <w:tc>
          <w:tcPr>
            <w:tcW w:w="1276" w:type="dxa"/>
            <w:shd w:val="clear" w:color="auto" w:fill="auto"/>
            <w:vAlign w:val="center"/>
            <w:hideMark/>
          </w:tcPr>
          <w:p w14:paraId="5D37CC2E" w14:textId="77777777" w:rsidR="00A447E3" w:rsidRPr="0061539B" w:rsidRDefault="00A447E3" w:rsidP="003E0059">
            <w:pPr>
              <w:jc w:val="center"/>
              <w:rPr>
                <w:sz w:val="28"/>
                <w:szCs w:val="28"/>
                <w:lang w:eastAsia="en-US"/>
              </w:rPr>
            </w:pPr>
            <w:r w:rsidRPr="0061539B">
              <w:rPr>
                <w:sz w:val="28"/>
                <w:szCs w:val="28"/>
                <w:lang w:eastAsia="en-US"/>
              </w:rPr>
              <w:t>0</w:t>
            </w:r>
          </w:p>
        </w:tc>
        <w:tc>
          <w:tcPr>
            <w:tcW w:w="1278" w:type="dxa"/>
            <w:shd w:val="clear" w:color="auto" w:fill="auto"/>
            <w:vAlign w:val="center"/>
            <w:hideMark/>
          </w:tcPr>
          <w:p w14:paraId="40A0F12E" w14:textId="77777777" w:rsidR="00A447E3" w:rsidRPr="0061539B" w:rsidRDefault="00A447E3" w:rsidP="003E0059">
            <w:pPr>
              <w:jc w:val="center"/>
              <w:rPr>
                <w:sz w:val="28"/>
                <w:szCs w:val="28"/>
                <w:lang w:eastAsia="en-US"/>
              </w:rPr>
            </w:pPr>
            <w:r w:rsidRPr="0061539B">
              <w:rPr>
                <w:sz w:val="28"/>
                <w:szCs w:val="28"/>
                <w:lang w:eastAsia="en-US"/>
              </w:rPr>
              <w:t>0</w:t>
            </w:r>
          </w:p>
        </w:tc>
      </w:tr>
      <w:tr w:rsidR="00FD6ECE" w:rsidRPr="0061539B" w14:paraId="64DC6EE1" w14:textId="77777777" w:rsidTr="00BF09E0">
        <w:tc>
          <w:tcPr>
            <w:tcW w:w="1702" w:type="dxa"/>
            <w:shd w:val="clear" w:color="auto" w:fill="auto"/>
            <w:hideMark/>
          </w:tcPr>
          <w:p w14:paraId="3CBE2990" w14:textId="77777777" w:rsidR="00FD6ECE" w:rsidRPr="0061539B" w:rsidRDefault="00FD6ECE" w:rsidP="003E0059">
            <w:pPr>
              <w:rPr>
                <w:sz w:val="28"/>
                <w:szCs w:val="28"/>
                <w:lang w:eastAsia="en-US"/>
              </w:rPr>
            </w:pPr>
            <w:r w:rsidRPr="0061539B">
              <w:rPr>
                <w:sz w:val="28"/>
                <w:szCs w:val="28"/>
                <w:lang w:eastAsia="en-US"/>
              </w:rPr>
              <w:t>3.1. valsts pamatbudžets</w:t>
            </w:r>
          </w:p>
        </w:tc>
        <w:tc>
          <w:tcPr>
            <w:tcW w:w="992" w:type="dxa"/>
            <w:shd w:val="clear" w:color="auto" w:fill="auto"/>
            <w:vAlign w:val="center"/>
            <w:hideMark/>
          </w:tcPr>
          <w:p w14:paraId="664D45AA" w14:textId="77777777" w:rsidR="00FD6ECE" w:rsidRPr="0061539B" w:rsidRDefault="00FD6ECE" w:rsidP="003E0059">
            <w:pPr>
              <w:jc w:val="center"/>
              <w:rPr>
                <w:sz w:val="28"/>
                <w:szCs w:val="28"/>
                <w:lang w:eastAsia="en-US"/>
              </w:rPr>
            </w:pPr>
            <w:r w:rsidRPr="0061539B">
              <w:rPr>
                <w:sz w:val="28"/>
                <w:szCs w:val="28"/>
                <w:lang w:eastAsia="en-US"/>
              </w:rPr>
              <w:t>0</w:t>
            </w:r>
          </w:p>
        </w:tc>
        <w:tc>
          <w:tcPr>
            <w:tcW w:w="1131" w:type="dxa"/>
            <w:shd w:val="clear" w:color="auto" w:fill="auto"/>
            <w:vAlign w:val="center"/>
            <w:hideMark/>
          </w:tcPr>
          <w:p w14:paraId="3D76681E" w14:textId="77777777" w:rsidR="00FD6ECE" w:rsidRPr="0061539B" w:rsidRDefault="00FD6ECE" w:rsidP="003E0059">
            <w:pPr>
              <w:jc w:val="center"/>
              <w:rPr>
                <w:sz w:val="28"/>
                <w:szCs w:val="28"/>
                <w:lang w:eastAsia="en-US"/>
              </w:rPr>
            </w:pPr>
            <w:r w:rsidRPr="0061539B">
              <w:rPr>
                <w:sz w:val="28"/>
                <w:szCs w:val="28"/>
                <w:lang w:eastAsia="en-US"/>
              </w:rPr>
              <w:t>0</w:t>
            </w:r>
          </w:p>
        </w:tc>
        <w:tc>
          <w:tcPr>
            <w:tcW w:w="1258" w:type="dxa"/>
            <w:shd w:val="clear" w:color="auto" w:fill="auto"/>
            <w:vAlign w:val="center"/>
            <w:hideMark/>
          </w:tcPr>
          <w:p w14:paraId="02852D2E" w14:textId="1C015515" w:rsidR="00FD6ECE" w:rsidRPr="0061539B" w:rsidRDefault="00FD6ECE" w:rsidP="00FD6ECE">
            <w:pPr>
              <w:jc w:val="center"/>
              <w:rPr>
                <w:sz w:val="28"/>
                <w:szCs w:val="28"/>
              </w:rPr>
            </w:pPr>
            <w:r w:rsidRPr="0061539B">
              <w:rPr>
                <w:sz w:val="28"/>
                <w:szCs w:val="28"/>
                <w:lang w:eastAsia="en-US"/>
              </w:rPr>
              <w:t>0</w:t>
            </w:r>
          </w:p>
        </w:tc>
        <w:tc>
          <w:tcPr>
            <w:tcW w:w="1276" w:type="dxa"/>
            <w:shd w:val="clear" w:color="auto" w:fill="auto"/>
            <w:vAlign w:val="center"/>
            <w:hideMark/>
          </w:tcPr>
          <w:p w14:paraId="4A22EEDD" w14:textId="74BEF695" w:rsidR="00FD6ECE" w:rsidRPr="0061539B" w:rsidRDefault="00FD6ECE" w:rsidP="00FD6ECE">
            <w:pPr>
              <w:jc w:val="center"/>
              <w:rPr>
                <w:sz w:val="28"/>
                <w:szCs w:val="28"/>
              </w:rPr>
            </w:pPr>
            <w:r w:rsidRPr="0061539B">
              <w:rPr>
                <w:sz w:val="28"/>
                <w:szCs w:val="28"/>
                <w:lang w:eastAsia="en-US"/>
              </w:rPr>
              <w:t>0</w:t>
            </w:r>
          </w:p>
        </w:tc>
        <w:tc>
          <w:tcPr>
            <w:tcW w:w="1276" w:type="dxa"/>
            <w:shd w:val="clear" w:color="auto" w:fill="auto"/>
            <w:vAlign w:val="center"/>
            <w:hideMark/>
          </w:tcPr>
          <w:p w14:paraId="3932741F" w14:textId="15AF2255" w:rsidR="00FD6ECE" w:rsidRPr="0061539B" w:rsidRDefault="00FD6ECE" w:rsidP="00FD6ECE">
            <w:pPr>
              <w:jc w:val="center"/>
              <w:rPr>
                <w:sz w:val="28"/>
                <w:szCs w:val="28"/>
              </w:rPr>
            </w:pPr>
            <w:r w:rsidRPr="0061539B">
              <w:rPr>
                <w:sz w:val="28"/>
                <w:szCs w:val="28"/>
                <w:lang w:eastAsia="en-US"/>
              </w:rPr>
              <w:t>0</w:t>
            </w:r>
          </w:p>
        </w:tc>
        <w:tc>
          <w:tcPr>
            <w:tcW w:w="1276" w:type="dxa"/>
            <w:shd w:val="clear" w:color="auto" w:fill="auto"/>
            <w:vAlign w:val="center"/>
            <w:hideMark/>
          </w:tcPr>
          <w:p w14:paraId="5F9D9FF4" w14:textId="19BA8A95" w:rsidR="00FD6ECE" w:rsidRPr="0061539B" w:rsidRDefault="00FD6ECE" w:rsidP="00FD6ECE">
            <w:pPr>
              <w:jc w:val="center"/>
              <w:rPr>
                <w:sz w:val="28"/>
                <w:szCs w:val="28"/>
              </w:rPr>
            </w:pPr>
            <w:r w:rsidRPr="0061539B">
              <w:rPr>
                <w:sz w:val="28"/>
                <w:szCs w:val="28"/>
                <w:lang w:eastAsia="en-US"/>
              </w:rPr>
              <w:t>0</w:t>
            </w:r>
          </w:p>
        </w:tc>
        <w:tc>
          <w:tcPr>
            <w:tcW w:w="1278" w:type="dxa"/>
            <w:shd w:val="clear" w:color="auto" w:fill="auto"/>
            <w:vAlign w:val="center"/>
            <w:hideMark/>
          </w:tcPr>
          <w:p w14:paraId="3D0E338D" w14:textId="599FF31C" w:rsidR="00FD6ECE" w:rsidRPr="0061539B" w:rsidRDefault="00FD6ECE" w:rsidP="00FD6ECE">
            <w:pPr>
              <w:jc w:val="center"/>
              <w:rPr>
                <w:sz w:val="28"/>
                <w:szCs w:val="28"/>
              </w:rPr>
            </w:pPr>
            <w:r w:rsidRPr="0061539B">
              <w:rPr>
                <w:sz w:val="28"/>
                <w:szCs w:val="28"/>
                <w:lang w:eastAsia="en-US"/>
              </w:rPr>
              <w:t>0</w:t>
            </w:r>
          </w:p>
        </w:tc>
      </w:tr>
      <w:tr w:rsidR="00FD6ECE" w:rsidRPr="0061539B" w14:paraId="2CFE7CCF" w14:textId="77777777" w:rsidTr="00BF09E0">
        <w:tc>
          <w:tcPr>
            <w:tcW w:w="1702" w:type="dxa"/>
            <w:shd w:val="clear" w:color="auto" w:fill="auto"/>
            <w:hideMark/>
          </w:tcPr>
          <w:p w14:paraId="77969297" w14:textId="77777777" w:rsidR="00FD6ECE" w:rsidRPr="0061539B" w:rsidRDefault="00FD6ECE" w:rsidP="003E0059">
            <w:pPr>
              <w:rPr>
                <w:sz w:val="28"/>
                <w:szCs w:val="28"/>
                <w:lang w:eastAsia="en-US"/>
              </w:rPr>
            </w:pPr>
            <w:r w:rsidRPr="0061539B">
              <w:rPr>
                <w:sz w:val="28"/>
                <w:szCs w:val="28"/>
                <w:lang w:eastAsia="en-US"/>
              </w:rPr>
              <w:t>3.2. speciālais budžets</w:t>
            </w:r>
          </w:p>
        </w:tc>
        <w:tc>
          <w:tcPr>
            <w:tcW w:w="992" w:type="dxa"/>
            <w:shd w:val="clear" w:color="auto" w:fill="auto"/>
            <w:vAlign w:val="center"/>
            <w:hideMark/>
          </w:tcPr>
          <w:p w14:paraId="6682976D" w14:textId="77777777" w:rsidR="00FD6ECE" w:rsidRPr="0061539B" w:rsidRDefault="00FD6ECE" w:rsidP="003E0059">
            <w:pPr>
              <w:jc w:val="center"/>
              <w:rPr>
                <w:sz w:val="28"/>
                <w:szCs w:val="28"/>
                <w:lang w:eastAsia="en-US"/>
              </w:rPr>
            </w:pPr>
            <w:r w:rsidRPr="0061539B">
              <w:rPr>
                <w:sz w:val="28"/>
                <w:szCs w:val="28"/>
                <w:lang w:eastAsia="en-US"/>
              </w:rPr>
              <w:t>0</w:t>
            </w:r>
          </w:p>
        </w:tc>
        <w:tc>
          <w:tcPr>
            <w:tcW w:w="1131" w:type="dxa"/>
            <w:shd w:val="clear" w:color="auto" w:fill="auto"/>
            <w:vAlign w:val="center"/>
            <w:hideMark/>
          </w:tcPr>
          <w:p w14:paraId="3AF81214" w14:textId="77777777" w:rsidR="00FD6ECE" w:rsidRPr="0061539B" w:rsidRDefault="00FD6ECE" w:rsidP="003E0059">
            <w:pPr>
              <w:jc w:val="center"/>
              <w:rPr>
                <w:sz w:val="28"/>
                <w:szCs w:val="28"/>
                <w:lang w:eastAsia="en-US"/>
              </w:rPr>
            </w:pPr>
            <w:r w:rsidRPr="0061539B">
              <w:rPr>
                <w:sz w:val="28"/>
                <w:szCs w:val="28"/>
                <w:lang w:eastAsia="en-US"/>
              </w:rPr>
              <w:t>0</w:t>
            </w:r>
          </w:p>
        </w:tc>
        <w:tc>
          <w:tcPr>
            <w:tcW w:w="1258" w:type="dxa"/>
            <w:shd w:val="clear" w:color="auto" w:fill="auto"/>
            <w:vAlign w:val="center"/>
            <w:hideMark/>
          </w:tcPr>
          <w:p w14:paraId="59DA6F2B" w14:textId="2F341FB4" w:rsidR="00FD6ECE" w:rsidRPr="0061539B" w:rsidRDefault="00FD6ECE" w:rsidP="00FD6ECE">
            <w:pPr>
              <w:jc w:val="center"/>
              <w:rPr>
                <w:sz w:val="28"/>
                <w:szCs w:val="28"/>
              </w:rPr>
            </w:pPr>
            <w:r w:rsidRPr="0061539B">
              <w:rPr>
                <w:sz w:val="28"/>
                <w:szCs w:val="28"/>
                <w:lang w:eastAsia="en-US"/>
              </w:rPr>
              <w:t>0</w:t>
            </w:r>
          </w:p>
        </w:tc>
        <w:tc>
          <w:tcPr>
            <w:tcW w:w="1276" w:type="dxa"/>
            <w:shd w:val="clear" w:color="auto" w:fill="auto"/>
            <w:vAlign w:val="center"/>
            <w:hideMark/>
          </w:tcPr>
          <w:p w14:paraId="2BE79FA9" w14:textId="65C32F50" w:rsidR="00FD6ECE" w:rsidRPr="0061539B" w:rsidRDefault="00FD6ECE" w:rsidP="00FD6ECE">
            <w:pPr>
              <w:jc w:val="center"/>
              <w:rPr>
                <w:sz w:val="28"/>
                <w:szCs w:val="28"/>
              </w:rPr>
            </w:pPr>
            <w:r w:rsidRPr="0061539B">
              <w:rPr>
                <w:sz w:val="28"/>
                <w:szCs w:val="28"/>
                <w:lang w:eastAsia="en-US"/>
              </w:rPr>
              <w:t>0</w:t>
            </w:r>
          </w:p>
        </w:tc>
        <w:tc>
          <w:tcPr>
            <w:tcW w:w="1276" w:type="dxa"/>
            <w:shd w:val="clear" w:color="auto" w:fill="auto"/>
            <w:vAlign w:val="center"/>
            <w:hideMark/>
          </w:tcPr>
          <w:p w14:paraId="6FE4E478" w14:textId="6B826BFE" w:rsidR="00FD6ECE" w:rsidRPr="0061539B" w:rsidRDefault="00FD6ECE" w:rsidP="00FD6ECE">
            <w:pPr>
              <w:jc w:val="center"/>
              <w:rPr>
                <w:sz w:val="28"/>
                <w:szCs w:val="28"/>
              </w:rPr>
            </w:pPr>
            <w:r w:rsidRPr="0061539B">
              <w:rPr>
                <w:sz w:val="28"/>
                <w:szCs w:val="28"/>
                <w:lang w:eastAsia="en-US"/>
              </w:rPr>
              <w:t>0</w:t>
            </w:r>
          </w:p>
        </w:tc>
        <w:tc>
          <w:tcPr>
            <w:tcW w:w="1276" w:type="dxa"/>
            <w:shd w:val="clear" w:color="auto" w:fill="auto"/>
            <w:vAlign w:val="center"/>
            <w:hideMark/>
          </w:tcPr>
          <w:p w14:paraId="3B1DB3C6" w14:textId="0C2306C4" w:rsidR="00FD6ECE" w:rsidRPr="0061539B" w:rsidRDefault="00FD6ECE" w:rsidP="00FD6ECE">
            <w:pPr>
              <w:jc w:val="center"/>
              <w:rPr>
                <w:sz w:val="28"/>
                <w:szCs w:val="28"/>
              </w:rPr>
            </w:pPr>
            <w:r w:rsidRPr="0061539B">
              <w:rPr>
                <w:sz w:val="28"/>
                <w:szCs w:val="28"/>
                <w:lang w:eastAsia="en-US"/>
              </w:rPr>
              <w:t>0</w:t>
            </w:r>
          </w:p>
        </w:tc>
        <w:tc>
          <w:tcPr>
            <w:tcW w:w="1278" w:type="dxa"/>
            <w:shd w:val="clear" w:color="auto" w:fill="auto"/>
            <w:vAlign w:val="center"/>
            <w:hideMark/>
          </w:tcPr>
          <w:p w14:paraId="7D868738" w14:textId="3A3FC90C" w:rsidR="00FD6ECE" w:rsidRPr="0061539B" w:rsidRDefault="00FD6ECE" w:rsidP="00FD6ECE">
            <w:pPr>
              <w:jc w:val="center"/>
              <w:rPr>
                <w:sz w:val="28"/>
                <w:szCs w:val="28"/>
              </w:rPr>
            </w:pPr>
            <w:r w:rsidRPr="0061539B">
              <w:rPr>
                <w:sz w:val="28"/>
                <w:szCs w:val="28"/>
                <w:lang w:eastAsia="en-US"/>
              </w:rPr>
              <w:t>0</w:t>
            </w:r>
          </w:p>
        </w:tc>
      </w:tr>
      <w:tr w:rsidR="00FD6ECE" w:rsidRPr="0061539B" w14:paraId="23924C2F" w14:textId="77777777" w:rsidTr="00BF09E0">
        <w:tc>
          <w:tcPr>
            <w:tcW w:w="1702" w:type="dxa"/>
            <w:shd w:val="clear" w:color="auto" w:fill="auto"/>
            <w:hideMark/>
          </w:tcPr>
          <w:p w14:paraId="3A06E8A4" w14:textId="77777777" w:rsidR="00FD6ECE" w:rsidRPr="0061539B" w:rsidRDefault="00FD6ECE" w:rsidP="003E0059">
            <w:pPr>
              <w:rPr>
                <w:sz w:val="28"/>
                <w:szCs w:val="28"/>
                <w:lang w:eastAsia="en-US"/>
              </w:rPr>
            </w:pPr>
            <w:r w:rsidRPr="0061539B">
              <w:rPr>
                <w:sz w:val="28"/>
                <w:szCs w:val="28"/>
                <w:lang w:eastAsia="en-US"/>
              </w:rPr>
              <w:t>3.3. pašvaldību budžets</w:t>
            </w:r>
          </w:p>
        </w:tc>
        <w:tc>
          <w:tcPr>
            <w:tcW w:w="992" w:type="dxa"/>
            <w:shd w:val="clear" w:color="auto" w:fill="auto"/>
            <w:vAlign w:val="center"/>
            <w:hideMark/>
          </w:tcPr>
          <w:p w14:paraId="3617B472" w14:textId="77777777" w:rsidR="00FD6ECE" w:rsidRPr="0061539B" w:rsidRDefault="00FD6ECE" w:rsidP="003E0059">
            <w:pPr>
              <w:jc w:val="center"/>
              <w:rPr>
                <w:sz w:val="28"/>
                <w:szCs w:val="28"/>
                <w:lang w:eastAsia="en-US"/>
              </w:rPr>
            </w:pPr>
            <w:r w:rsidRPr="0061539B">
              <w:rPr>
                <w:sz w:val="28"/>
                <w:szCs w:val="28"/>
                <w:lang w:eastAsia="en-US"/>
              </w:rPr>
              <w:t>0</w:t>
            </w:r>
          </w:p>
        </w:tc>
        <w:tc>
          <w:tcPr>
            <w:tcW w:w="1131" w:type="dxa"/>
            <w:shd w:val="clear" w:color="auto" w:fill="auto"/>
            <w:vAlign w:val="center"/>
            <w:hideMark/>
          </w:tcPr>
          <w:p w14:paraId="46723D39" w14:textId="77777777" w:rsidR="00FD6ECE" w:rsidRPr="0061539B" w:rsidRDefault="00FD6ECE" w:rsidP="003E0059">
            <w:pPr>
              <w:jc w:val="center"/>
              <w:rPr>
                <w:sz w:val="28"/>
                <w:szCs w:val="28"/>
                <w:lang w:eastAsia="en-US"/>
              </w:rPr>
            </w:pPr>
            <w:r w:rsidRPr="0061539B">
              <w:rPr>
                <w:sz w:val="28"/>
                <w:szCs w:val="28"/>
                <w:lang w:eastAsia="en-US"/>
              </w:rPr>
              <w:t>0</w:t>
            </w:r>
          </w:p>
        </w:tc>
        <w:tc>
          <w:tcPr>
            <w:tcW w:w="1258" w:type="dxa"/>
            <w:shd w:val="clear" w:color="auto" w:fill="auto"/>
            <w:vAlign w:val="center"/>
            <w:hideMark/>
          </w:tcPr>
          <w:p w14:paraId="27A39C4F" w14:textId="0D022EDE" w:rsidR="00FD6ECE" w:rsidRPr="0061539B" w:rsidRDefault="00FD6ECE" w:rsidP="00FD6ECE">
            <w:pPr>
              <w:jc w:val="center"/>
              <w:rPr>
                <w:sz w:val="28"/>
                <w:szCs w:val="28"/>
              </w:rPr>
            </w:pPr>
            <w:r w:rsidRPr="0061539B">
              <w:rPr>
                <w:sz w:val="28"/>
                <w:szCs w:val="28"/>
                <w:lang w:eastAsia="en-US"/>
              </w:rPr>
              <w:t>0</w:t>
            </w:r>
          </w:p>
        </w:tc>
        <w:tc>
          <w:tcPr>
            <w:tcW w:w="1276" w:type="dxa"/>
            <w:shd w:val="clear" w:color="auto" w:fill="auto"/>
            <w:vAlign w:val="center"/>
            <w:hideMark/>
          </w:tcPr>
          <w:p w14:paraId="4AB04C0E" w14:textId="366D17C0" w:rsidR="00FD6ECE" w:rsidRPr="0061539B" w:rsidRDefault="00FD6ECE" w:rsidP="00FD6ECE">
            <w:pPr>
              <w:jc w:val="center"/>
              <w:rPr>
                <w:sz w:val="28"/>
                <w:szCs w:val="28"/>
              </w:rPr>
            </w:pPr>
            <w:r w:rsidRPr="0061539B">
              <w:rPr>
                <w:sz w:val="28"/>
                <w:szCs w:val="28"/>
                <w:lang w:eastAsia="en-US"/>
              </w:rPr>
              <w:t>0</w:t>
            </w:r>
          </w:p>
        </w:tc>
        <w:tc>
          <w:tcPr>
            <w:tcW w:w="1276" w:type="dxa"/>
            <w:shd w:val="clear" w:color="auto" w:fill="auto"/>
            <w:vAlign w:val="center"/>
            <w:hideMark/>
          </w:tcPr>
          <w:p w14:paraId="68628841" w14:textId="18DE2828" w:rsidR="00FD6ECE" w:rsidRPr="0061539B" w:rsidRDefault="00FD6ECE" w:rsidP="00FD6ECE">
            <w:pPr>
              <w:jc w:val="center"/>
              <w:rPr>
                <w:sz w:val="28"/>
                <w:szCs w:val="28"/>
              </w:rPr>
            </w:pPr>
            <w:r w:rsidRPr="0061539B">
              <w:rPr>
                <w:sz w:val="28"/>
                <w:szCs w:val="28"/>
                <w:lang w:eastAsia="en-US"/>
              </w:rPr>
              <w:t>0</w:t>
            </w:r>
          </w:p>
        </w:tc>
        <w:tc>
          <w:tcPr>
            <w:tcW w:w="1276" w:type="dxa"/>
            <w:shd w:val="clear" w:color="auto" w:fill="auto"/>
            <w:vAlign w:val="center"/>
            <w:hideMark/>
          </w:tcPr>
          <w:p w14:paraId="27121748" w14:textId="17EBE3A6" w:rsidR="00FD6ECE" w:rsidRPr="0061539B" w:rsidRDefault="00FD6ECE" w:rsidP="00FD6ECE">
            <w:pPr>
              <w:jc w:val="center"/>
              <w:rPr>
                <w:sz w:val="28"/>
                <w:szCs w:val="28"/>
              </w:rPr>
            </w:pPr>
            <w:r w:rsidRPr="0061539B">
              <w:rPr>
                <w:sz w:val="28"/>
                <w:szCs w:val="28"/>
                <w:lang w:eastAsia="en-US"/>
              </w:rPr>
              <w:t>0</w:t>
            </w:r>
          </w:p>
        </w:tc>
        <w:tc>
          <w:tcPr>
            <w:tcW w:w="1278" w:type="dxa"/>
            <w:shd w:val="clear" w:color="auto" w:fill="auto"/>
            <w:vAlign w:val="center"/>
            <w:hideMark/>
          </w:tcPr>
          <w:p w14:paraId="7C13EDAF" w14:textId="64FAC6EA" w:rsidR="00FD6ECE" w:rsidRPr="0061539B" w:rsidRDefault="00FD6ECE" w:rsidP="00FD6ECE">
            <w:pPr>
              <w:jc w:val="center"/>
              <w:rPr>
                <w:sz w:val="28"/>
                <w:szCs w:val="28"/>
              </w:rPr>
            </w:pPr>
            <w:r w:rsidRPr="0061539B">
              <w:rPr>
                <w:sz w:val="28"/>
                <w:szCs w:val="28"/>
                <w:lang w:eastAsia="en-US"/>
              </w:rPr>
              <w:t>0</w:t>
            </w:r>
          </w:p>
        </w:tc>
      </w:tr>
      <w:tr w:rsidR="00A447E3" w:rsidRPr="0061539B" w14:paraId="255283CF" w14:textId="77777777" w:rsidTr="00BF09E0">
        <w:tc>
          <w:tcPr>
            <w:tcW w:w="1702" w:type="dxa"/>
            <w:shd w:val="clear" w:color="auto" w:fill="auto"/>
            <w:hideMark/>
          </w:tcPr>
          <w:p w14:paraId="3E81796C" w14:textId="77777777" w:rsidR="00A447E3" w:rsidRPr="0061539B" w:rsidRDefault="00A447E3" w:rsidP="003E0059">
            <w:pPr>
              <w:rPr>
                <w:sz w:val="28"/>
                <w:szCs w:val="28"/>
                <w:lang w:eastAsia="en-US"/>
              </w:rPr>
            </w:pPr>
            <w:r w:rsidRPr="0061539B">
              <w:rPr>
                <w:sz w:val="28"/>
                <w:szCs w:val="28"/>
                <w:lang w:eastAsia="en-US"/>
              </w:rPr>
              <w:t>4. Finanšu līdzekļi papildu izdevumu finansēšanai (kompensējošu izdevumu samazinājumu norāda ar "+" zīmi)</w:t>
            </w:r>
          </w:p>
        </w:tc>
        <w:tc>
          <w:tcPr>
            <w:tcW w:w="992" w:type="dxa"/>
            <w:shd w:val="clear" w:color="auto" w:fill="auto"/>
            <w:vAlign w:val="center"/>
            <w:hideMark/>
          </w:tcPr>
          <w:p w14:paraId="081BEF9E" w14:textId="77777777" w:rsidR="00A447E3" w:rsidRPr="0061539B" w:rsidRDefault="00A447E3" w:rsidP="003E0059">
            <w:pPr>
              <w:jc w:val="center"/>
              <w:rPr>
                <w:sz w:val="28"/>
                <w:szCs w:val="28"/>
                <w:lang w:eastAsia="en-US"/>
              </w:rPr>
            </w:pPr>
            <w:r w:rsidRPr="0061539B">
              <w:rPr>
                <w:sz w:val="28"/>
                <w:szCs w:val="28"/>
                <w:lang w:eastAsia="en-US"/>
              </w:rPr>
              <w:t>0</w:t>
            </w:r>
          </w:p>
        </w:tc>
        <w:tc>
          <w:tcPr>
            <w:tcW w:w="1131" w:type="dxa"/>
            <w:shd w:val="clear" w:color="auto" w:fill="auto"/>
            <w:vAlign w:val="center"/>
            <w:hideMark/>
          </w:tcPr>
          <w:p w14:paraId="32C42989" w14:textId="77777777" w:rsidR="00A447E3" w:rsidRPr="0061539B" w:rsidRDefault="00A447E3" w:rsidP="003E0059">
            <w:pPr>
              <w:jc w:val="center"/>
              <w:rPr>
                <w:sz w:val="28"/>
                <w:szCs w:val="28"/>
                <w:lang w:eastAsia="en-US"/>
              </w:rPr>
            </w:pPr>
            <w:r w:rsidRPr="0061539B">
              <w:rPr>
                <w:sz w:val="28"/>
                <w:szCs w:val="28"/>
                <w:lang w:eastAsia="en-US"/>
              </w:rPr>
              <w:t>0</w:t>
            </w:r>
          </w:p>
        </w:tc>
        <w:tc>
          <w:tcPr>
            <w:tcW w:w="1258" w:type="dxa"/>
            <w:shd w:val="clear" w:color="auto" w:fill="auto"/>
            <w:vAlign w:val="center"/>
            <w:hideMark/>
          </w:tcPr>
          <w:p w14:paraId="2A7A3BE5" w14:textId="77777777" w:rsidR="00A447E3" w:rsidRPr="0061539B" w:rsidRDefault="00A447E3" w:rsidP="003E0059">
            <w:pPr>
              <w:jc w:val="center"/>
              <w:rPr>
                <w:sz w:val="28"/>
                <w:szCs w:val="28"/>
                <w:lang w:eastAsia="en-US"/>
              </w:rPr>
            </w:pPr>
            <w:r w:rsidRPr="0061539B">
              <w:rPr>
                <w:sz w:val="28"/>
                <w:szCs w:val="28"/>
                <w:lang w:eastAsia="en-US"/>
              </w:rPr>
              <w:t>0</w:t>
            </w:r>
          </w:p>
        </w:tc>
        <w:tc>
          <w:tcPr>
            <w:tcW w:w="1276" w:type="dxa"/>
            <w:shd w:val="clear" w:color="auto" w:fill="auto"/>
            <w:vAlign w:val="center"/>
            <w:hideMark/>
          </w:tcPr>
          <w:p w14:paraId="2E5892D7" w14:textId="77777777" w:rsidR="00A447E3" w:rsidRPr="0061539B" w:rsidRDefault="00A447E3" w:rsidP="003E0059">
            <w:pPr>
              <w:jc w:val="center"/>
              <w:rPr>
                <w:sz w:val="28"/>
                <w:szCs w:val="28"/>
                <w:lang w:eastAsia="en-US"/>
              </w:rPr>
            </w:pPr>
            <w:r w:rsidRPr="0061539B">
              <w:rPr>
                <w:sz w:val="28"/>
                <w:szCs w:val="28"/>
                <w:lang w:eastAsia="en-US"/>
              </w:rPr>
              <w:t>0</w:t>
            </w:r>
          </w:p>
        </w:tc>
        <w:tc>
          <w:tcPr>
            <w:tcW w:w="1276" w:type="dxa"/>
            <w:shd w:val="clear" w:color="auto" w:fill="auto"/>
            <w:vAlign w:val="center"/>
            <w:hideMark/>
          </w:tcPr>
          <w:p w14:paraId="170602FF" w14:textId="77777777" w:rsidR="00A447E3" w:rsidRPr="0061539B" w:rsidRDefault="00A447E3" w:rsidP="003E0059">
            <w:pPr>
              <w:jc w:val="center"/>
              <w:rPr>
                <w:sz w:val="28"/>
                <w:szCs w:val="28"/>
                <w:lang w:eastAsia="en-US"/>
              </w:rPr>
            </w:pPr>
            <w:r w:rsidRPr="0061539B">
              <w:rPr>
                <w:sz w:val="28"/>
                <w:szCs w:val="28"/>
                <w:lang w:eastAsia="en-US"/>
              </w:rPr>
              <w:t>0</w:t>
            </w:r>
          </w:p>
        </w:tc>
        <w:tc>
          <w:tcPr>
            <w:tcW w:w="1276" w:type="dxa"/>
            <w:shd w:val="clear" w:color="auto" w:fill="auto"/>
            <w:vAlign w:val="center"/>
            <w:hideMark/>
          </w:tcPr>
          <w:p w14:paraId="5CADAFA6" w14:textId="77777777" w:rsidR="00A447E3" w:rsidRPr="0061539B" w:rsidRDefault="00A447E3" w:rsidP="003E0059">
            <w:pPr>
              <w:jc w:val="center"/>
              <w:rPr>
                <w:sz w:val="28"/>
                <w:szCs w:val="28"/>
                <w:lang w:eastAsia="en-US"/>
              </w:rPr>
            </w:pPr>
            <w:r w:rsidRPr="0061539B">
              <w:rPr>
                <w:sz w:val="28"/>
                <w:szCs w:val="28"/>
                <w:lang w:eastAsia="en-US"/>
              </w:rPr>
              <w:t>0</w:t>
            </w:r>
          </w:p>
        </w:tc>
        <w:tc>
          <w:tcPr>
            <w:tcW w:w="1278" w:type="dxa"/>
            <w:shd w:val="clear" w:color="auto" w:fill="auto"/>
            <w:vAlign w:val="center"/>
            <w:hideMark/>
          </w:tcPr>
          <w:p w14:paraId="0E386A4B" w14:textId="77777777" w:rsidR="00A447E3" w:rsidRPr="0061539B" w:rsidRDefault="00A447E3" w:rsidP="003E0059">
            <w:pPr>
              <w:jc w:val="center"/>
              <w:rPr>
                <w:sz w:val="28"/>
                <w:szCs w:val="28"/>
                <w:lang w:eastAsia="en-US"/>
              </w:rPr>
            </w:pPr>
            <w:r w:rsidRPr="0061539B">
              <w:rPr>
                <w:sz w:val="28"/>
                <w:szCs w:val="28"/>
                <w:lang w:eastAsia="en-US"/>
              </w:rPr>
              <w:t>0</w:t>
            </w:r>
          </w:p>
        </w:tc>
      </w:tr>
      <w:tr w:rsidR="00A447E3" w:rsidRPr="0061539B" w14:paraId="74F34D66" w14:textId="77777777" w:rsidTr="00BF09E0">
        <w:tc>
          <w:tcPr>
            <w:tcW w:w="1702" w:type="dxa"/>
            <w:shd w:val="clear" w:color="auto" w:fill="auto"/>
            <w:hideMark/>
          </w:tcPr>
          <w:p w14:paraId="69975764" w14:textId="77777777" w:rsidR="00A447E3" w:rsidRPr="0061539B" w:rsidRDefault="00A447E3" w:rsidP="003E0059">
            <w:pPr>
              <w:rPr>
                <w:sz w:val="28"/>
                <w:szCs w:val="28"/>
                <w:lang w:eastAsia="en-US"/>
              </w:rPr>
            </w:pPr>
            <w:r w:rsidRPr="0061539B">
              <w:rPr>
                <w:sz w:val="28"/>
                <w:szCs w:val="28"/>
                <w:lang w:eastAsia="en-US"/>
              </w:rPr>
              <w:t>5. Precizēta finansiālā ietekme</w:t>
            </w:r>
          </w:p>
        </w:tc>
        <w:tc>
          <w:tcPr>
            <w:tcW w:w="992" w:type="dxa"/>
            <w:vMerge w:val="restart"/>
            <w:shd w:val="clear" w:color="auto" w:fill="auto"/>
            <w:vAlign w:val="center"/>
            <w:hideMark/>
          </w:tcPr>
          <w:p w14:paraId="6E008432" w14:textId="77777777" w:rsidR="00A447E3" w:rsidRPr="0061539B" w:rsidRDefault="00A447E3" w:rsidP="003E0059">
            <w:pPr>
              <w:jc w:val="center"/>
              <w:rPr>
                <w:sz w:val="28"/>
                <w:szCs w:val="28"/>
                <w:lang w:eastAsia="en-US"/>
              </w:rPr>
            </w:pPr>
            <w:r w:rsidRPr="0061539B">
              <w:rPr>
                <w:sz w:val="28"/>
                <w:szCs w:val="28"/>
                <w:lang w:eastAsia="en-US"/>
              </w:rPr>
              <w:t>0</w:t>
            </w:r>
          </w:p>
        </w:tc>
        <w:tc>
          <w:tcPr>
            <w:tcW w:w="1131" w:type="dxa"/>
            <w:shd w:val="clear" w:color="auto" w:fill="auto"/>
            <w:vAlign w:val="center"/>
            <w:hideMark/>
          </w:tcPr>
          <w:p w14:paraId="24DC6F72" w14:textId="77777777" w:rsidR="00A447E3" w:rsidRPr="0061539B" w:rsidRDefault="00A447E3" w:rsidP="003E0059">
            <w:pPr>
              <w:jc w:val="center"/>
              <w:rPr>
                <w:sz w:val="28"/>
                <w:szCs w:val="28"/>
                <w:lang w:eastAsia="en-US"/>
              </w:rPr>
            </w:pPr>
            <w:r w:rsidRPr="0061539B">
              <w:rPr>
                <w:sz w:val="28"/>
                <w:szCs w:val="28"/>
                <w:lang w:eastAsia="en-US"/>
              </w:rPr>
              <w:t>0</w:t>
            </w:r>
          </w:p>
        </w:tc>
        <w:tc>
          <w:tcPr>
            <w:tcW w:w="1258" w:type="dxa"/>
            <w:vMerge w:val="restart"/>
            <w:shd w:val="clear" w:color="auto" w:fill="auto"/>
            <w:vAlign w:val="center"/>
            <w:hideMark/>
          </w:tcPr>
          <w:p w14:paraId="37AC36DD" w14:textId="77777777" w:rsidR="00A447E3" w:rsidRPr="0061539B" w:rsidRDefault="00A447E3" w:rsidP="003E0059">
            <w:pPr>
              <w:jc w:val="center"/>
              <w:rPr>
                <w:sz w:val="28"/>
                <w:szCs w:val="28"/>
                <w:lang w:eastAsia="en-US"/>
              </w:rPr>
            </w:pPr>
            <w:r w:rsidRPr="0061539B">
              <w:rPr>
                <w:sz w:val="28"/>
                <w:szCs w:val="28"/>
                <w:lang w:eastAsia="en-US"/>
              </w:rPr>
              <w:t>0</w:t>
            </w:r>
          </w:p>
        </w:tc>
        <w:tc>
          <w:tcPr>
            <w:tcW w:w="1276" w:type="dxa"/>
            <w:shd w:val="clear" w:color="auto" w:fill="auto"/>
            <w:vAlign w:val="center"/>
            <w:hideMark/>
          </w:tcPr>
          <w:p w14:paraId="64C19CF1" w14:textId="77777777" w:rsidR="00A447E3" w:rsidRPr="0061539B" w:rsidRDefault="00A447E3" w:rsidP="003E0059">
            <w:pPr>
              <w:jc w:val="center"/>
              <w:rPr>
                <w:sz w:val="28"/>
                <w:szCs w:val="28"/>
                <w:lang w:eastAsia="en-US"/>
              </w:rPr>
            </w:pPr>
            <w:r w:rsidRPr="0061539B">
              <w:rPr>
                <w:sz w:val="28"/>
                <w:szCs w:val="28"/>
                <w:lang w:eastAsia="en-US"/>
              </w:rPr>
              <w:t>0</w:t>
            </w:r>
          </w:p>
        </w:tc>
        <w:tc>
          <w:tcPr>
            <w:tcW w:w="1276" w:type="dxa"/>
            <w:vMerge w:val="restart"/>
            <w:shd w:val="clear" w:color="auto" w:fill="auto"/>
            <w:vAlign w:val="center"/>
            <w:hideMark/>
          </w:tcPr>
          <w:p w14:paraId="72AEAF87" w14:textId="77777777" w:rsidR="00A447E3" w:rsidRPr="0061539B" w:rsidRDefault="00A447E3" w:rsidP="003E0059">
            <w:pPr>
              <w:jc w:val="center"/>
              <w:rPr>
                <w:sz w:val="28"/>
                <w:szCs w:val="28"/>
                <w:lang w:eastAsia="en-US"/>
              </w:rPr>
            </w:pPr>
            <w:r w:rsidRPr="0061539B">
              <w:rPr>
                <w:sz w:val="28"/>
                <w:szCs w:val="28"/>
                <w:lang w:eastAsia="en-US"/>
              </w:rPr>
              <w:t>0</w:t>
            </w:r>
          </w:p>
        </w:tc>
        <w:tc>
          <w:tcPr>
            <w:tcW w:w="1276" w:type="dxa"/>
            <w:shd w:val="clear" w:color="auto" w:fill="auto"/>
            <w:vAlign w:val="center"/>
            <w:hideMark/>
          </w:tcPr>
          <w:p w14:paraId="3290B00D" w14:textId="77777777" w:rsidR="00A447E3" w:rsidRPr="0061539B" w:rsidRDefault="00A447E3" w:rsidP="003E0059">
            <w:pPr>
              <w:jc w:val="center"/>
              <w:rPr>
                <w:sz w:val="28"/>
                <w:szCs w:val="28"/>
                <w:lang w:eastAsia="en-US"/>
              </w:rPr>
            </w:pPr>
            <w:r w:rsidRPr="0061539B">
              <w:rPr>
                <w:sz w:val="28"/>
                <w:szCs w:val="28"/>
                <w:lang w:eastAsia="en-US"/>
              </w:rPr>
              <w:t>0</w:t>
            </w:r>
          </w:p>
        </w:tc>
        <w:tc>
          <w:tcPr>
            <w:tcW w:w="1278" w:type="dxa"/>
            <w:shd w:val="clear" w:color="auto" w:fill="auto"/>
            <w:vAlign w:val="center"/>
            <w:hideMark/>
          </w:tcPr>
          <w:p w14:paraId="73BEACAD" w14:textId="77777777" w:rsidR="00A447E3" w:rsidRPr="0061539B" w:rsidRDefault="00A447E3" w:rsidP="003E0059">
            <w:pPr>
              <w:jc w:val="center"/>
              <w:rPr>
                <w:sz w:val="28"/>
                <w:szCs w:val="28"/>
                <w:lang w:eastAsia="en-US"/>
              </w:rPr>
            </w:pPr>
            <w:r w:rsidRPr="0061539B">
              <w:rPr>
                <w:sz w:val="28"/>
                <w:szCs w:val="28"/>
                <w:lang w:eastAsia="en-US"/>
              </w:rPr>
              <w:t>0</w:t>
            </w:r>
          </w:p>
        </w:tc>
      </w:tr>
      <w:tr w:rsidR="00A447E3" w:rsidRPr="0061539B" w14:paraId="1CE54986" w14:textId="77777777" w:rsidTr="00BF09E0">
        <w:tc>
          <w:tcPr>
            <w:tcW w:w="1702" w:type="dxa"/>
            <w:shd w:val="clear" w:color="auto" w:fill="auto"/>
            <w:hideMark/>
          </w:tcPr>
          <w:p w14:paraId="34ED391E" w14:textId="77777777" w:rsidR="00A447E3" w:rsidRPr="0061539B" w:rsidRDefault="00A447E3" w:rsidP="003E0059">
            <w:pPr>
              <w:rPr>
                <w:sz w:val="28"/>
                <w:szCs w:val="28"/>
                <w:lang w:eastAsia="en-US"/>
              </w:rPr>
            </w:pPr>
            <w:r w:rsidRPr="0061539B">
              <w:rPr>
                <w:sz w:val="28"/>
                <w:szCs w:val="28"/>
                <w:lang w:eastAsia="en-US"/>
              </w:rPr>
              <w:t>5.1. valsts pamatbudžets</w:t>
            </w:r>
          </w:p>
        </w:tc>
        <w:tc>
          <w:tcPr>
            <w:tcW w:w="992" w:type="dxa"/>
            <w:vMerge/>
            <w:shd w:val="clear" w:color="auto" w:fill="auto"/>
            <w:vAlign w:val="center"/>
            <w:hideMark/>
          </w:tcPr>
          <w:p w14:paraId="0BB4FF81" w14:textId="77777777" w:rsidR="00A447E3" w:rsidRPr="0061539B" w:rsidRDefault="00A447E3" w:rsidP="003E0059">
            <w:pPr>
              <w:jc w:val="center"/>
              <w:rPr>
                <w:sz w:val="28"/>
                <w:szCs w:val="28"/>
                <w:lang w:eastAsia="en-US"/>
              </w:rPr>
            </w:pPr>
          </w:p>
        </w:tc>
        <w:tc>
          <w:tcPr>
            <w:tcW w:w="1131" w:type="dxa"/>
            <w:shd w:val="clear" w:color="auto" w:fill="auto"/>
            <w:vAlign w:val="center"/>
            <w:hideMark/>
          </w:tcPr>
          <w:p w14:paraId="39BAB5E8" w14:textId="77777777" w:rsidR="00A447E3" w:rsidRPr="0061539B" w:rsidRDefault="00A447E3" w:rsidP="003E0059">
            <w:pPr>
              <w:jc w:val="center"/>
              <w:rPr>
                <w:sz w:val="28"/>
                <w:szCs w:val="28"/>
                <w:lang w:eastAsia="en-US"/>
              </w:rPr>
            </w:pPr>
            <w:r w:rsidRPr="0061539B">
              <w:rPr>
                <w:sz w:val="28"/>
                <w:szCs w:val="28"/>
                <w:lang w:eastAsia="en-US"/>
              </w:rPr>
              <w:t>0</w:t>
            </w:r>
          </w:p>
        </w:tc>
        <w:tc>
          <w:tcPr>
            <w:tcW w:w="1258" w:type="dxa"/>
            <w:vMerge/>
            <w:shd w:val="clear" w:color="auto" w:fill="auto"/>
            <w:vAlign w:val="center"/>
            <w:hideMark/>
          </w:tcPr>
          <w:p w14:paraId="4AE1480B" w14:textId="77777777" w:rsidR="00A447E3" w:rsidRPr="0061539B" w:rsidRDefault="00A447E3" w:rsidP="003E0059">
            <w:pPr>
              <w:jc w:val="center"/>
              <w:rPr>
                <w:sz w:val="28"/>
                <w:szCs w:val="28"/>
                <w:lang w:eastAsia="en-US"/>
              </w:rPr>
            </w:pPr>
          </w:p>
        </w:tc>
        <w:tc>
          <w:tcPr>
            <w:tcW w:w="1276" w:type="dxa"/>
            <w:shd w:val="clear" w:color="auto" w:fill="auto"/>
            <w:vAlign w:val="center"/>
            <w:hideMark/>
          </w:tcPr>
          <w:p w14:paraId="3F95A1C4" w14:textId="77777777" w:rsidR="00A447E3" w:rsidRPr="0061539B" w:rsidRDefault="00A447E3" w:rsidP="003E0059">
            <w:pPr>
              <w:jc w:val="center"/>
              <w:rPr>
                <w:sz w:val="28"/>
                <w:szCs w:val="28"/>
                <w:lang w:eastAsia="en-US"/>
              </w:rPr>
            </w:pPr>
            <w:r w:rsidRPr="0061539B">
              <w:rPr>
                <w:sz w:val="28"/>
                <w:szCs w:val="28"/>
                <w:lang w:eastAsia="en-US"/>
              </w:rPr>
              <w:t>0</w:t>
            </w:r>
          </w:p>
        </w:tc>
        <w:tc>
          <w:tcPr>
            <w:tcW w:w="1276" w:type="dxa"/>
            <w:vMerge/>
            <w:shd w:val="clear" w:color="auto" w:fill="auto"/>
            <w:vAlign w:val="center"/>
            <w:hideMark/>
          </w:tcPr>
          <w:p w14:paraId="6A6BB8E3" w14:textId="77777777" w:rsidR="00A447E3" w:rsidRPr="0061539B" w:rsidRDefault="00A447E3" w:rsidP="003E0059">
            <w:pPr>
              <w:jc w:val="center"/>
              <w:rPr>
                <w:sz w:val="28"/>
                <w:szCs w:val="28"/>
                <w:lang w:eastAsia="en-US"/>
              </w:rPr>
            </w:pPr>
          </w:p>
        </w:tc>
        <w:tc>
          <w:tcPr>
            <w:tcW w:w="1276" w:type="dxa"/>
            <w:shd w:val="clear" w:color="auto" w:fill="auto"/>
            <w:vAlign w:val="center"/>
            <w:hideMark/>
          </w:tcPr>
          <w:p w14:paraId="41A0D0C1" w14:textId="77777777" w:rsidR="00A447E3" w:rsidRPr="0061539B" w:rsidRDefault="00A447E3" w:rsidP="003E0059">
            <w:pPr>
              <w:jc w:val="center"/>
              <w:rPr>
                <w:sz w:val="28"/>
                <w:szCs w:val="28"/>
                <w:lang w:eastAsia="en-US"/>
              </w:rPr>
            </w:pPr>
            <w:r w:rsidRPr="0061539B">
              <w:rPr>
                <w:sz w:val="28"/>
                <w:szCs w:val="28"/>
                <w:lang w:eastAsia="en-US"/>
              </w:rPr>
              <w:t>0</w:t>
            </w:r>
          </w:p>
        </w:tc>
        <w:tc>
          <w:tcPr>
            <w:tcW w:w="1278" w:type="dxa"/>
            <w:shd w:val="clear" w:color="auto" w:fill="auto"/>
            <w:vAlign w:val="center"/>
            <w:hideMark/>
          </w:tcPr>
          <w:p w14:paraId="5175525B" w14:textId="77777777" w:rsidR="00A447E3" w:rsidRPr="0061539B" w:rsidRDefault="00A447E3" w:rsidP="003E0059">
            <w:pPr>
              <w:jc w:val="center"/>
              <w:rPr>
                <w:sz w:val="28"/>
                <w:szCs w:val="28"/>
                <w:lang w:eastAsia="en-US"/>
              </w:rPr>
            </w:pPr>
            <w:r w:rsidRPr="0061539B">
              <w:rPr>
                <w:sz w:val="28"/>
                <w:szCs w:val="28"/>
                <w:lang w:eastAsia="en-US"/>
              </w:rPr>
              <w:t>0</w:t>
            </w:r>
          </w:p>
        </w:tc>
      </w:tr>
      <w:tr w:rsidR="00A447E3" w:rsidRPr="0061539B" w14:paraId="4199779F" w14:textId="77777777" w:rsidTr="00BF09E0">
        <w:tc>
          <w:tcPr>
            <w:tcW w:w="1702" w:type="dxa"/>
            <w:shd w:val="clear" w:color="auto" w:fill="auto"/>
            <w:hideMark/>
          </w:tcPr>
          <w:p w14:paraId="234252B4" w14:textId="77777777" w:rsidR="00A447E3" w:rsidRPr="0061539B" w:rsidRDefault="00A447E3" w:rsidP="003E0059">
            <w:pPr>
              <w:rPr>
                <w:sz w:val="28"/>
                <w:szCs w:val="28"/>
                <w:lang w:eastAsia="en-US"/>
              </w:rPr>
            </w:pPr>
            <w:r w:rsidRPr="0061539B">
              <w:rPr>
                <w:sz w:val="28"/>
                <w:szCs w:val="28"/>
                <w:lang w:eastAsia="en-US"/>
              </w:rPr>
              <w:lastRenderedPageBreak/>
              <w:t>5.2. speciālais budžets</w:t>
            </w:r>
          </w:p>
        </w:tc>
        <w:tc>
          <w:tcPr>
            <w:tcW w:w="992" w:type="dxa"/>
            <w:vMerge/>
            <w:shd w:val="clear" w:color="auto" w:fill="auto"/>
            <w:vAlign w:val="center"/>
            <w:hideMark/>
          </w:tcPr>
          <w:p w14:paraId="426B7FA2" w14:textId="77777777" w:rsidR="00A447E3" w:rsidRPr="0061539B" w:rsidRDefault="00A447E3" w:rsidP="003E0059">
            <w:pPr>
              <w:jc w:val="center"/>
              <w:rPr>
                <w:sz w:val="28"/>
                <w:szCs w:val="28"/>
                <w:lang w:eastAsia="en-US"/>
              </w:rPr>
            </w:pPr>
          </w:p>
        </w:tc>
        <w:tc>
          <w:tcPr>
            <w:tcW w:w="1131" w:type="dxa"/>
            <w:shd w:val="clear" w:color="auto" w:fill="auto"/>
            <w:vAlign w:val="center"/>
            <w:hideMark/>
          </w:tcPr>
          <w:p w14:paraId="310C4531" w14:textId="77777777" w:rsidR="00A447E3" w:rsidRPr="0061539B" w:rsidRDefault="00A447E3" w:rsidP="003E0059">
            <w:pPr>
              <w:jc w:val="center"/>
              <w:rPr>
                <w:sz w:val="28"/>
                <w:szCs w:val="28"/>
                <w:lang w:eastAsia="en-US"/>
              </w:rPr>
            </w:pPr>
            <w:r w:rsidRPr="0061539B">
              <w:rPr>
                <w:sz w:val="28"/>
                <w:szCs w:val="28"/>
                <w:lang w:eastAsia="en-US"/>
              </w:rPr>
              <w:t>0</w:t>
            </w:r>
          </w:p>
        </w:tc>
        <w:tc>
          <w:tcPr>
            <w:tcW w:w="1258" w:type="dxa"/>
            <w:vMerge/>
            <w:shd w:val="clear" w:color="auto" w:fill="auto"/>
            <w:vAlign w:val="center"/>
            <w:hideMark/>
          </w:tcPr>
          <w:p w14:paraId="3EC72C63" w14:textId="77777777" w:rsidR="00A447E3" w:rsidRPr="0061539B" w:rsidRDefault="00A447E3" w:rsidP="003E0059">
            <w:pPr>
              <w:jc w:val="center"/>
              <w:rPr>
                <w:sz w:val="28"/>
                <w:szCs w:val="28"/>
                <w:lang w:eastAsia="en-US"/>
              </w:rPr>
            </w:pPr>
          </w:p>
        </w:tc>
        <w:tc>
          <w:tcPr>
            <w:tcW w:w="1276" w:type="dxa"/>
            <w:shd w:val="clear" w:color="auto" w:fill="auto"/>
            <w:vAlign w:val="center"/>
            <w:hideMark/>
          </w:tcPr>
          <w:p w14:paraId="79FEA5A8" w14:textId="77777777" w:rsidR="00A447E3" w:rsidRPr="0061539B" w:rsidRDefault="00A447E3" w:rsidP="003E0059">
            <w:pPr>
              <w:jc w:val="center"/>
              <w:rPr>
                <w:sz w:val="28"/>
                <w:szCs w:val="28"/>
                <w:lang w:eastAsia="en-US"/>
              </w:rPr>
            </w:pPr>
            <w:r w:rsidRPr="0061539B">
              <w:rPr>
                <w:sz w:val="28"/>
                <w:szCs w:val="28"/>
                <w:lang w:eastAsia="en-US"/>
              </w:rPr>
              <w:t>0</w:t>
            </w:r>
          </w:p>
        </w:tc>
        <w:tc>
          <w:tcPr>
            <w:tcW w:w="1276" w:type="dxa"/>
            <w:vMerge/>
            <w:shd w:val="clear" w:color="auto" w:fill="auto"/>
            <w:vAlign w:val="center"/>
            <w:hideMark/>
          </w:tcPr>
          <w:p w14:paraId="39261A1D" w14:textId="77777777" w:rsidR="00A447E3" w:rsidRPr="0061539B" w:rsidRDefault="00A447E3" w:rsidP="003E0059">
            <w:pPr>
              <w:jc w:val="center"/>
              <w:rPr>
                <w:sz w:val="28"/>
                <w:szCs w:val="28"/>
                <w:lang w:eastAsia="en-US"/>
              </w:rPr>
            </w:pPr>
          </w:p>
        </w:tc>
        <w:tc>
          <w:tcPr>
            <w:tcW w:w="1276" w:type="dxa"/>
            <w:shd w:val="clear" w:color="auto" w:fill="auto"/>
            <w:vAlign w:val="center"/>
            <w:hideMark/>
          </w:tcPr>
          <w:p w14:paraId="05C49C96" w14:textId="77777777" w:rsidR="00A447E3" w:rsidRPr="0061539B" w:rsidRDefault="00A447E3" w:rsidP="003E0059">
            <w:pPr>
              <w:jc w:val="center"/>
              <w:rPr>
                <w:sz w:val="28"/>
                <w:szCs w:val="28"/>
                <w:lang w:eastAsia="en-US"/>
              </w:rPr>
            </w:pPr>
            <w:r w:rsidRPr="0061539B">
              <w:rPr>
                <w:sz w:val="28"/>
                <w:szCs w:val="28"/>
                <w:lang w:eastAsia="en-US"/>
              </w:rPr>
              <w:t>0</w:t>
            </w:r>
          </w:p>
        </w:tc>
        <w:tc>
          <w:tcPr>
            <w:tcW w:w="1278" w:type="dxa"/>
            <w:shd w:val="clear" w:color="auto" w:fill="auto"/>
            <w:vAlign w:val="center"/>
            <w:hideMark/>
          </w:tcPr>
          <w:p w14:paraId="62B7D5FF" w14:textId="77777777" w:rsidR="00A447E3" w:rsidRPr="0061539B" w:rsidRDefault="00A447E3" w:rsidP="003E0059">
            <w:pPr>
              <w:jc w:val="center"/>
              <w:rPr>
                <w:sz w:val="28"/>
                <w:szCs w:val="28"/>
                <w:lang w:eastAsia="en-US"/>
              </w:rPr>
            </w:pPr>
            <w:r w:rsidRPr="0061539B">
              <w:rPr>
                <w:sz w:val="28"/>
                <w:szCs w:val="28"/>
                <w:lang w:eastAsia="en-US"/>
              </w:rPr>
              <w:t>0</w:t>
            </w:r>
          </w:p>
        </w:tc>
      </w:tr>
      <w:tr w:rsidR="00A447E3" w:rsidRPr="0061539B" w14:paraId="7390AC3A" w14:textId="77777777" w:rsidTr="00BF09E0">
        <w:tc>
          <w:tcPr>
            <w:tcW w:w="1702" w:type="dxa"/>
            <w:shd w:val="clear" w:color="auto" w:fill="auto"/>
            <w:hideMark/>
          </w:tcPr>
          <w:p w14:paraId="378EDC63" w14:textId="77777777" w:rsidR="00A447E3" w:rsidRPr="0061539B" w:rsidRDefault="00A447E3" w:rsidP="003E0059">
            <w:pPr>
              <w:rPr>
                <w:sz w:val="28"/>
                <w:szCs w:val="28"/>
                <w:lang w:eastAsia="en-US"/>
              </w:rPr>
            </w:pPr>
            <w:r w:rsidRPr="0061539B">
              <w:rPr>
                <w:sz w:val="28"/>
                <w:szCs w:val="28"/>
                <w:lang w:eastAsia="en-US"/>
              </w:rPr>
              <w:t>5.3. pašvaldību budžets</w:t>
            </w:r>
          </w:p>
        </w:tc>
        <w:tc>
          <w:tcPr>
            <w:tcW w:w="992" w:type="dxa"/>
            <w:vMerge/>
            <w:shd w:val="clear" w:color="auto" w:fill="auto"/>
            <w:vAlign w:val="center"/>
            <w:hideMark/>
          </w:tcPr>
          <w:p w14:paraId="7EA9A2B2" w14:textId="77777777" w:rsidR="00A447E3" w:rsidRPr="0061539B" w:rsidRDefault="00A447E3" w:rsidP="003E0059">
            <w:pPr>
              <w:jc w:val="center"/>
              <w:rPr>
                <w:sz w:val="28"/>
                <w:szCs w:val="28"/>
                <w:lang w:eastAsia="en-US"/>
              </w:rPr>
            </w:pPr>
          </w:p>
        </w:tc>
        <w:tc>
          <w:tcPr>
            <w:tcW w:w="1131" w:type="dxa"/>
            <w:shd w:val="clear" w:color="auto" w:fill="auto"/>
            <w:vAlign w:val="center"/>
            <w:hideMark/>
          </w:tcPr>
          <w:p w14:paraId="4CD3739C" w14:textId="77777777" w:rsidR="00A447E3" w:rsidRPr="0061539B" w:rsidRDefault="00A447E3" w:rsidP="003E0059">
            <w:pPr>
              <w:jc w:val="center"/>
              <w:rPr>
                <w:sz w:val="28"/>
                <w:szCs w:val="28"/>
                <w:lang w:eastAsia="en-US"/>
              </w:rPr>
            </w:pPr>
            <w:r w:rsidRPr="0061539B">
              <w:rPr>
                <w:sz w:val="28"/>
                <w:szCs w:val="28"/>
                <w:lang w:eastAsia="en-US"/>
              </w:rPr>
              <w:t>0</w:t>
            </w:r>
          </w:p>
        </w:tc>
        <w:tc>
          <w:tcPr>
            <w:tcW w:w="1258" w:type="dxa"/>
            <w:vMerge/>
            <w:shd w:val="clear" w:color="auto" w:fill="auto"/>
            <w:vAlign w:val="center"/>
            <w:hideMark/>
          </w:tcPr>
          <w:p w14:paraId="6707058E" w14:textId="77777777" w:rsidR="00A447E3" w:rsidRPr="0061539B" w:rsidRDefault="00A447E3" w:rsidP="003E0059">
            <w:pPr>
              <w:jc w:val="center"/>
              <w:rPr>
                <w:sz w:val="28"/>
                <w:szCs w:val="28"/>
                <w:lang w:eastAsia="en-US"/>
              </w:rPr>
            </w:pPr>
          </w:p>
        </w:tc>
        <w:tc>
          <w:tcPr>
            <w:tcW w:w="1276" w:type="dxa"/>
            <w:shd w:val="clear" w:color="auto" w:fill="auto"/>
            <w:vAlign w:val="center"/>
            <w:hideMark/>
          </w:tcPr>
          <w:p w14:paraId="136D0948" w14:textId="77777777" w:rsidR="00A447E3" w:rsidRPr="0061539B" w:rsidRDefault="00A447E3" w:rsidP="003E0059">
            <w:pPr>
              <w:jc w:val="center"/>
              <w:rPr>
                <w:sz w:val="28"/>
                <w:szCs w:val="28"/>
                <w:lang w:eastAsia="en-US"/>
              </w:rPr>
            </w:pPr>
            <w:r w:rsidRPr="0061539B">
              <w:rPr>
                <w:sz w:val="28"/>
                <w:szCs w:val="28"/>
                <w:lang w:eastAsia="en-US"/>
              </w:rPr>
              <w:t>0</w:t>
            </w:r>
          </w:p>
        </w:tc>
        <w:tc>
          <w:tcPr>
            <w:tcW w:w="1276" w:type="dxa"/>
            <w:vMerge/>
            <w:shd w:val="clear" w:color="auto" w:fill="auto"/>
            <w:vAlign w:val="center"/>
            <w:hideMark/>
          </w:tcPr>
          <w:p w14:paraId="5909C9D3" w14:textId="77777777" w:rsidR="00A447E3" w:rsidRPr="0061539B" w:rsidRDefault="00A447E3" w:rsidP="003E0059">
            <w:pPr>
              <w:jc w:val="center"/>
              <w:rPr>
                <w:sz w:val="28"/>
                <w:szCs w:val="28"/>
                <w:lang w:eastAsia="en-US"/>
              </w:rPr>
            </w:pPr>
          </w:p>
        </w:tc>
        <w:tc>
          <w:tcPr>
            <w:tcW w:w="1276" w:type="dxa"/>
            <w:shd w:val="clear" w:color="auto" w:fill="auto"/>
            <w:vAlign w:val="center"/>
            <w:hideMark/>
          </w:tcPr>
          <w:p w14:paraId="6790861B" w14:textId="77777777" w:rsidR="00A447E3" w:rsidRPr="0061539B" w:rsidRDefault="00A447E3" w:rsidP="003E0059">
            <w:pPr>
              <w:jc w:val="center"/>
              <w:rPr>
                <w:sz w:val="28"/>
                <w:szCs w:val="28"/>
                <w:lang w:eastAsia="en-US"/>
              </w:rPr>
            </w:pPr>
            <w:r w:rsidRPr="0061539B">
              <w:rPr>
                <w:sz w:val="28"/>
                <w:szCs w:val="28"/>
                <w:lang w:eastAsia="en-US"/>
              </w:rPr>
              <w:t>0</w:t>
            </w:r>
          </w:p>
        </w:tc>
        <w:tc>
          <w:tcPr>
            <w:tcW w:w="1278" w:type="dxa"/>
            <w:shd w:val="clear" w:color="auto" w:fill="auto"/>
            <w:vAlign w:val="center"/>
            <w:hideMark/>
          </w:tcPr>
          <w:p w14:paraId="2E75AD93" w14:textId="77777777" w:rsidR="00A447E3" w:rsidRPr="0061539B" w:rsidRDefault="00A447E3" w:rsidP="003E0059">
            <w:pPr>
              <w:jc w:val="center"/>
              <w:rPr>
                <w:sz w:val="28"/>
                <w:szCs w:val="28"/>
                <w:lang w:eastAsia="en-US"/>
              </w:rPr>
            </w:pPr>
            <w:r w:rsidRPr="0061539B">
              <w:rPr>
                <w:sz w:val="28"/>
                <w:szCs w:val="28"/>
                <w:lang w:eastAsia="en-US"/>
              </w:rPr>
              <w:t>0</w:t>
            </w:r>
          </w:p>
        </w:tc>
      </w:tr>
      <w:tr w:rsidR="00A447E3" w:rsidRPr="0061539B" w14:paraId="29DF98C4" w14:textId="77777777" w:rsidTr="00BF09E0">
        <w:tc>
          <w:tcPr>
            <w:tcW w:w="1702" w:type="dxa"/>
            <w:shd w:val="clear" w:color="auto" w:fill="auto"/>
            <w:hideMark/>
          </w:tcPr>
          <w:p w14:paraId="102C2662" w14:textId="77777777" w:rsidR="00A447E3" w:rsidRPr="0061539B" w:rsidRDefault="00A447E3" w:rsidP="003E0059">
            <w:pPr>
              <w:rPr>
                <w:sz w:val="28"/>
                <w:szCs w:val="28"/>
                <w:lang w:eastAsia="en-US"/>
              </w:rPr>
            </w:pPr>
            <w:r w:rsidRPr="0061539B">
              <w:rPr>
                <w:sz w:val="28"/>
                <w:szCs w:val="28"/>
                <w:lang w:eastAsia="en-US"/>
              </w:rPr>
              <w:t>6. Detalizēts ieņēmumu un izdevumu aprēķins (ja nepieciešams, detalizētu ieņēmumu un izdevumu aprēķinu var pievienot anotācijas pielikumā)</w:t>
            </w:r>
          </w:p>
        </w:tc>
        <w:tc>
          <w:tcPr>
            <w:tcW w:w="8487" w:type="dxa"/>
            <w:gridSpan w:val="7"/>
            <w:vMerge w:val="restart"/>
            <w:shd w:val="clear" w:color="auto" w:fill="auto"/>
            <w:vAlign w:val="center"/>
            <w:hideMark/>
          </w:tcPr>
          <w:p w14:paraId="6C8B2559" w14:textId="77777777" w:rsidR="007F3CF9" w:rsidRPr="0061539B" w:rsidRDefault="007F3CF9" w:rsidP="003E0059">
            <w:pPr>
              <w:ind w:left="87"/>
              <w:jc w:val="both"/>
              <w:rPr>
                <w:sz w:val="28"/>
                <w:szCs w:val="28"/>
              </w:rPr>
            </w:pPr>
            <w:r w:rsidRPr="0061539B">
              <w:rPr>
                <w:sz w:val="28"/>
                <w:szCs w:val="28"/>
              </w:rPr>
              <w:t xml:space="preserve">Provizoriski īsāks suņu atsavināšanas laiks par 60 dienām. </w:t>
            </w:r>
          </w:p>
          <w:p w14:paraId="5CA3206D" w14:textId="77777777" w:rsidR="00A447E3" w:rsidRPr="0061539B" w:rsidRDefault="007F3CF9" w:rsidP="003E0059">
            <w:pPr>
              <w:ind w:left="87"/>
              <w:jc w:val="both"/>
              <w:rPr>
                <w:i/>
                <w:sz w:val="28"/>
                <w:szCs w:val="28"/>
              </w:rPr>
            </w:pPr>
            <w:r w:rsidRPr="0061539B">
              <w:rPr>
                <w:sz w:val="28"/>
                <w:szCs w:val="28"/>
              </w:rPr>
              <w:t xml:space="preserve">Viena suņa uzturēšanas (barības) izmaksas dienā vidēji 2,00 </w:t>
            </w:r>
            <w:proofErr w:type="spellStart"/>
            <w:r w:rsidRPr="0061539B">
              <w:rPr>
                <w:i/>
                <w:sz w:val="28"/>
                <w:szCs w:val="28"/>
              </w:rPr>
              <w:t>euro</w:t>
            </w:r>
            <w:proofErr w:type="spellEnd"/>
            <w:r w:rsidRPr="0061539B">
              <w:rPr>
                <w:i/>
                <w:sz w:val="28"/>
                <w:szCs w:val="28"/>
              </w:rPr>
              <w:t>.</w:t>
            </w:r>
          </w:p>
          <w:p w14:paraId="7A07E5D4" w14:textId="77777777" w:rsidR="007F3CF9" w:rsidRPr="0061539B" w:rsidRDefault="007F3CF9" w:rsidP="003E0059">
            <w:pPr>
              <w:ind w:left="87"/>
              <w:jc w:val="both"/>
              <w:rPr>
                <w:sz w:val="28"/>
                <w:szCs w:val="28"/>
              </w:rPr>
            </w:pPr>
            <w:r w:rsidRPr="0061539B">
              <w:rPr>
                <w:sz w:val="28"/>
                <w:szCs w:val="28"/>
              </w:rPr>
              <w:t xml:space="preserve">60 dienas x 2,00 </w:t>
            </w:r>
            <w:proofErr w:type="spellStart"/>
            <w:r w:rsidRPr="0061539B">
              <w:rPr>
                <w:i/>
                <w:sz w:val="28"/>
                <w:szCs w:val="28"/>
              </w:rPr>
              <w:t>euro</w:t>
            </w:r>
            <w:proofErr w:type="spellEnd"/>
            <w:r w:rsidRPr="0061539B">
              <w:rPr>
                <w:i/>
                <w:sz w:val="28"/>
                <w:szCs w:val="28"/>
              </w:rPr>
              <w:t xml:space="preserve"> </w:t>
            </w:r>
            <w:r w:rsidRPr="0061539B">
              <w:rPr>
                <w:sz w:val="28"/>
                <w:szCs w:val="28"/>
              </w:rPr>
              <w:t xml:space="preserve">= 120 </w:t>
            </w:r>
            <w:proofErr w:type="spellStart"/>
            <w:r w:rsidRPr="0061539B">
              <w:rPr>
                <w:i/>
                <w:sz w:val="28"/>
                <w:szCs w:val="28"/>
              </w:rPr>
              <w:t>euro</w:t>
            </w:r>
            <w:proofErr w:type="spellEnd"/>
            <w:r w:rsidRPr="0061539B">
              <w:rPr>
                <w:sz w:val="28"/>
                <w:szCs w:val="28"/>
              </w:rPr>
              <w:t xml:space="preserve">. </w:t>
            </w:r>
          </w:p>
          <w:p w14:paraId="17EBD601" w14:textId="04AC1B08" w:rsidR="007F3CF9" w:rsidRPr="0061539B" w:rsidRDefault="007F3CF9" w:rsidP="003E0059">
            <w:pPr>
              <w:ind w:left="87"/>
              <w:jc w:val="both"/>
              <w:rPr>
                <w:sz w:val="28"/>
                <w:szCs w:val="28"/>
              </w:rPr>
            </w:pPr>
            <w:r w:rsidRPr="0061539B">
              <w:rPr>
                <w:sz w:val="28"/>
                <w:szCs w:val="28"/>
              </w:rPr>
              <w:t xml:space="preserve">Gadā vidēji tiek atsavināti 20 suņi x 120 </w:t>
            </w:r>
            <w:proofErr w:type="spellStart"/>
            <w:r w:rsidRPr="0061539B">
              <w:rPr>
                <w:i/>
                <w:sz w:val="28"/>
                <w:szCs w:val="28"/>
              </w:rPr>
              <w:t>euro</w:t>
            </w:r>
            <w:proofErr w:type="spellEnd"/>
            <w:r w:rsidRPr="0061539B">
              <w:rPr>
                <w:sz w:val="28"/>
                <w:szCs w:val="28"/>
              </w:rPr>
              <w:t xml:space="preserve"> = 2400 </w:t>
            </w:r>
            <w:proofErr w:type="spellStart"/>
            <w:r w:rsidRPr="0061539B">
              <w:rPr>
                <w:i/>
                <w:sz w:val="28"/>
                <w:szCs w:val="28"/>
              </w:rPr>
              <w:t>euro</w:t>
            </w:r>
            <w:proofErr w:type="spellEnd"/>
            <w:r w:rsidRPr="0061539B">
              <w:rPr>
                <w:sz w:val="28"/>
                <w:szCs w:val="28"/>
              </w:rPr>
              <w:t>/gadā.</w:t>
            </w:r>
          </w:p>
          <w:p w14:paraId="6E21FBBD" w14:textId="77777777" w:rsidR="00391478" w:rsidRPr="0061539B" w:rsidRDefault="00391478" w:rsidP="00391478">
            <w:pPr>
              <w:ind w:left="87"/>
              <w:jc w:val="both"/>
              <w:rPr>
                <w:sz w:val="28"/>
                <w:szCs w:val="28"/>
              </w:rPr>
            </w:pPr>
            <w:r w:rsidRPr="0061539B">
              <w:rPr>
                <w:sz w:val="28"/>
                <w:szCs w:val="28"/>
              </w:rPr>
              <w:t xml:space="preserve">Izdevumi tiks segti budžeta programmas 10.00.00. “Valsts robežsardzes darbība” ietvaros. </w:t>
            </w:r>
          </w:p>
          <w:p w14:paraId="28C3611F" w14:textId="77777777" w:rsidR="00391478" w:rsidRPr="0061539B" w:rsidRDefault="00391478" w:rsidP="00391478">
            <w:pPr>
              <w:ind w:left="87"/>
              <w:jc w:val="both"/>
              <w:rPr>
                <w:sz w:val="28"/>
                <w:szCs w:val="28"/>
              </w:rPr>
            </w:pPr>
            <w:r w:rsidRPr="0061539B">
              <w:rPr>
                <w:sz w:val="28"/>
                <w:szCs w:val="28"/>
              </w:rPr>
              <w:t>Projektam nav ietekmes uz kopējiem valsts budžeta izdevumiem.</w:t>
            </w:r>
          </w:p>
          <w:p w14:paraId="64C82AE2" w14:textId="77777777" w:rsidR="00391478" w:rsidRPr="0061539B" w:rsidRDefault="00391478" w:rsidP="003E0059">
            <w:pPr>
              <w:ind w:left="87"/>
              <w:jc w:val="both"/>
              <w:rPr>
                <w:sz w:val="28"/>
                <w:szCs w:val="28"/>
              </w:rPr>
            </w:pPr>
          </w:p>
          <w:p w14:paraId="08C93414" w14:textId="1E55D842" w:rsidR="007F3CF9" w:rsidRPr="0061539B" w:rsidRDefault="007F3CF9" w:rsidP="003E0059">
            <w:pPr>
              <w:ind w:left="87"/>
              <w:jc w:val="both"/>
              <w:rPr>
                <w:sz w:val="28"/>
                <w:szCs w:val="28"/>
              </w:rPr>
            </w:pPr>
          </w:p>
        </w:tc>
      </w:tr>
      <w:tr w:rsidR="00A447E3" w:rsidRPr="0061539B" w14:paraId="54F612CA" w14:textId="77777777" w:rsidTr="00BF09E0">
        <w:tc>
          <w:tcPr>
            <w:tcW w:w="1702" w:type="dxa"/>
            <w:shd w:val="clear" w:color="auto" w:fill="auto"/>
            <w:hideMark/>
          </w:tcPr>
          <w:p w14:paraId="01F46535" w14:textId="1C08F5EC" w:rsidR="00A447E3" w:rsidRPr="0061539B" w:rsidRDefault="00A447E3" w:rsidP="003E0059">
            <w:pPr>
              <w:rPr>
                <w:sz w:val="28"/>
                <w:szCs w:val="28"/>
                <w:lang w:eastAsia="en-US"/>
              </w:rPr>
            </w:pPr>
            <w:r w:rsidRPr="0061539B">
              <w:rPr>
                <w:sz w:val="28"/>
                <w:szCs w:val="28"/>
                <w:lang w:eastAsia="en-US"/>
              </w:rPr>
              <w:t>6.1. detalizēts ieņēmumu aprēķins</w:t>
            </w:r>
          </w:p>
        </w:tc>
        <w:tc>
          <w:tcPr>
            <w:tcW w:w="8487" w:type="dxa"/>
            <w:gridSpan w:val="7"/>
            <w:vMerge/>
            <w:shd w:val="clear" w:color="auto" w:fill="auto"/>
            <w:vAlign w:val="center"/>
            <w:hideMark/>
          </w:tcPr>
          <w:p w14:paraId="17DB591B" w14:textId="77777777" w:rsidR="00A447E3" w:rsidRPr="0061539B" w:rsidRDefault="00A447E3" w:rsidP="003E0059">
            <w:pPr>
              <w:jc w:val="center"/>
              <w:rPr>
                <w:sz w:val="28"/>
                <w:szCs w:val="28"/>
                <w:lang w:eastAsia="en-US"/>
              </w:rPr>
            </w:pPr>
          </w:p>
        </w:tc>
      </w:tr>
      <w:tr w:rsidR="00A447E3" w:rsidRPr="0061539B" w14:paraId="5F7A6167" w14:textId="77777777" w:rsidTr="00BF09E0">
        <w:tc>
          <w:tcPr>
            <w:tcW w:w="1702" w:type="dxa"/>
            <w:shd w:val="clear" w:color="auto" w:fill="auto"/>
            <w:hideMark/>
          </w:tcPr>
          <w:p w14:paraId="7F3B9FC7" w14:textId="77777777" w:rsidR="00A447E3" w:rsidRPr="0061539B" w:rsidRDefault="00A447E3" w:rsidP="003E0059">
            <w:pPr>
              <w:rPr>
                <w:sz w:val="28"/>
                <w:szCs w:val="28"/>
                <w:lang w:eastAsia="en-US"/>
              </w:rPr>
            </w:pPr>
            <w:r w:rsidRPr="0061539B">
              <w:rPr>
                <w:sz w:val="28"/>
                <w:szCs w:val="28"/>
                <w:lang w:eastAsia="en-US"/>
              </w:rPr>
              <w:t>6.2. detalizēts izdevumu aprēķins</w:t>
            </w:r>
          </w:p>
        </w:tc>
        <w:tc>
          <w:tcPr>
            <w:tcW w:w="8487" w:type="dxa"/>
            <w:gridSpan w:val="7"/>
            <w:vMerge/>
            <w:shd w:val="clear" w:color="auto" w:fill="auto"/>
            <w:vAlign w:val="center"/>
            <w:hideMark/>
          </w:tcPr>
          <w:p w14:paraId="2D6D91AD" w14:textId="77777777" w:rsidR="00A447E3" w:rsidRPr="0061539B" w:rsidRDefault="00A447E3" w:rsidP="003E0059">
            <w:pPr>
              <w:jc w:val="center"/>
              <w:rPr>
                <w:sz w:val="28"/>
                <w:szCs w:val="28"/>
                <w:lang w:eastAsia="en-US"/>
              </w:rPr>
            </w:pPr>
          </w:p>
        </w:tc>
      </w:tr>
      <w:tr w:rsidR="00A447E3" w:rsidRPr="0061539B" w14:paraId="53468CA3" w14:textId="77777777" w:rsidTr="00BF09E0">
        <w:tc>
          <w:tcPr>
            <w:tcW w:w="1702" w:type="dxa"/>
            <w:shd w:val="clear" w:color="auto" w:fill="auto"/>
            <w:hideMark/>
          </w:tcPr>
          <w:p w14:paraId="74F79829" w14:textId="77777777" w:rsidR="00A447E3" w:rsidRPr="0061539B" w:rsidRDefault="00A447E3" w:rsidP="003E0059">
            <w:pPr>
              <w:rPr>
                <w:sz w:val="28"/>
                <w:szCs w:val="28"/>
                <w:lang w:eastAsia="en-US"/>
              </w:rPr>
            </w:pPr>
            <w:r w:rsidRPr="0061539B">
              <w:rPr>
                <w:sz w:val="28"/>
                <w:szCs w:val="28"/>
                <w:lang w:eastAsia="en-US"/>
              </w:rPr>
              <w:t>7. Amata vietu skaita izmaiņas</w:t>
            </w:r>
          </w:p>
        </w:tc>
        <w:tc>
          <w:tcPr>
            <w:tcW w:w="8487" w:type="dxa"/>
            <w:gridSpan w:val="7"/>
            <w:shd w:val="clear" w:color="auto" w:fill="auto"/>
            <w:hideMark/>
          </w:tcPr>
          <w:p w14:paraId="599564BD" w14:textId="77777777" w:rsidR="00A447E3" w:rsidRPr="0061539B" w:rsidRDefault="00A447E3" w:rsidP="003E0059">
            <w:pPr>
              <w:rPr>
                <w:sz w:val="28"/>
                <w:szCs w:val="28"/>
                <w:lang w:eastAsia="en-US"/>
              </w:rPr>
            </w:pPr>
            <w:r w:rsidRPr="0061539B">
              <w:rPr>
                <w:sz w:val="28"/>
                <w:szCs w:val="28"/>
              </w:rPr>
              <w:t>Projekts šo jomu neskar.</w:t>
            </w:r>
          </w:p>
        </w:tc>
      </w:tr>
      <w:tr w:rsidR="00A447E3" w:rsidRPr="0061539B" w14:paraId="0ABC7EF4" w14:textId="77777777" w:rsidTr="00BF09E0">
        <w:tc>
          <w:tcPr>
            <w:tcW w:w="1702" w:type="dxa"/>
            <w:shd w:val="clear" w:color="auto" w:fill="auto"/>
            <w:hideMark/>
          </w:tcPr>
          <w:p w14:paraId="548E2B38" w14:textId="77777777" w:rsidR="00A447E3" w:rsidRPr="0061539B" w:rsidRDefault="00A447E3" w:rsidP="003E0059">
            <w:pPr>
              <w:rPr>
                <w:sz w:val="28"/>
                <w:szCs w:val="28"/>
                <w:lang w:eastAsia="en-US"/>
              </w:rPr>
            </w:pPr>
            <w:r w:rsidRPr="0061539B">
              <w:rPr>
                <w:sz w:val="28"/>
                <w:szCs w:val="28"/>
                <w:lang w:eastAsia="en-US"/>
              </w:rPr>
              <w:t>8. Cita informācija</w:t>
            </w:r>
          </w:p>
        </w:tc>
        <w:tc>
          <w:tcPr>
            <w:tcW w:w="8487" w:type="dxa"/>
            <w:gridSpan w:val="7"/>
            <w:shd w:val="clear" w:color="auto" w:fill="auto"/>
            <w:hideMark/>
          </w:tcPr>
          <w:p w14:paraId="6D1CF3A9" w14:textId="7E7FB3E9" w:rsidR="00A447E3" w:rsidRPr="0061539B" w:rsidRDefault="00D77C7E" w:rsidP="00256D9A">
            <w:pPr>
              <w:jc w:val="both"/>
              <w:rPr>
                <w:sz w:val="28"/>
                <w:szCs w:val="28"/>
                <w:lang w:eastAsia="en-US"/>
              </w:rPr>
            </w:pPr>
            <w:r w:rsidRPr="0061539B">
              <w:rPr>
                <w:sz w:val="28"/>
                <w:szCs w:val="28"/>
              </w:rPr>
              <w:t>Projekta īstenošana neradīs papildu izdevumus valsts un pašvaldību budžetiem.</w:t>
            </w:r>
          </w:p>
        </w:tc>
      </w:tr>
    </w:tbl>
    <w:p w14:paraId="381C7FC1" w14:textId="77777777" w:rsidR="00F74EB3" w:rsidRPr="0061539B" w:rsidRDefault="00F74EB3">
      <w:pPr>
        <w:rPr>
          <w:sz w:val="28"/>
          <w:szCs w:val="28"/>
        </w:rPr>
      </w:pPr>
    </w:p>
    <w:tbl>
      <w:tblPr>
        <w:tblW w:w="5603"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0206"/>
      </w:tblGrid>
      <w:tr w:rsidR="007150AD" w:rsidRPr="0061539B" w14:paraId="6ADC730E" w14:textId="77777777" w:rsidTr="00BF09E0">
        <w:tc>
          <w:tcPr>
            <w:tcW w:w="10206" w:type="dxa"/>
            <w:vAlign w:val="center"/>
            <w:hideMark/>
          </w:tcPr>
          <w:p w14:paraId="495C0945" w14:textId="77777777" w:rsidR="007150AD" w:rsidRPr="0061539B" w:rsidRDefault="007150AD" w:rsidP="003E0059">
            <w:pPr>
              <w:jc w:val="center"/>
              <w:rPr>
                <w:b/>
                <w:bCs/>
                <w:sz w:val="28"/>
                <w:szCs w:val="28"/>
              </w:rPr>
            </w:pPr>
            <w:r w:rsidRPr="0061539B">
              <w:rPr>
                <w:b/>
                <w:bCs/>
                <w:sz w:val="28"/>
                <w:szCs w:val="28"/>
              </w:rPr>
              <w:t>IV. Tiesību akta projekta ietekme uz spēkā esošo tiesību normu sistēmu</w:t>
            </w:r>
          </w:p>
        </w:tc>
      </w:tr>
      <w:tr w:rsidR="00166070" w:rsidRPr="0061539B" w14:paraId="06E0F116" w14:textId="77777777" w:rsidTr="005C07F6">
        <w:tc>
          <w:tcPr>
            <w:tcW w:w="10206" w:type="dxa"/>
          </w:tcPr>
          <w:p w14:paraId="397CE16D" w14:textId="0B032D9F" w:rsidR="00166070" w:rsidRPr="0061539B" w:rsidRDefault="00166070" w:rsidP="00166070">
            <w:pPr>
              <w:jc w:val="center"/>
              <w:rPr>
                <w:sz w:val="28"/>
                <w:szCs w:val="28"/>
              </w:rPr>
            </w:pPr>
            <w:r w:rsidRPr="0061539B">
              <w:rPr>
                <w:bCs/>
                <w:sz w:val="28"/>
                <w:szCs w:val="28"/>
              </w:rPr>
              <w:t>Projekts šo jomu neskar.</w:t>
            </w:r>
          </w:p>
        </w:tc>
      </w:tr>
    </w:tbl>
    <w:p w14:paraId="539EC34E" w14:textId="77777777" w:rsidR="007150AD" w:rsidRPr="0061539B" w:rsidRDefault="007150AD" w:rsidP="00166070">
      <w:pPr>
        <w:rPr>
          <w:sz w:val="28"/>
          <w:szCs w:val="28"/>
        </w:rPr>
      </w:pPr>
    </w:p>
    <w:tbl>
      <w:tblPr>
        <w:tblW w:w="5603"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206"/>
      </w:tblGrid>
      <w:tr w:rsidR="007150AD" w:rsidRPr="0061539B" w14:paraId="2DCCF4FB" w14:textId="77777777" w:rsidTr="00BF09E0">
        <w:trPr>
          <w:cantSplit/>
        </w:trPr>
        <w:tc>
          <w:tcPr>
            <w:tcW w:w="5000" w:type="pct"/>
            <w:vAlign w:val="center"/>
            <w:hideMark/>
          </w:tcPr>
          <w:p w14:paraId="5CC28749" w14:textId="77777777" w:rsidR="007150AD" w:rsidRPr="0061539B" w:rsidRDefault="007150AD" w:rsidP="003E0059">
            <w:pPr>
              <w:jc w:val="center"/>
              <w:rPr>
                <w:b/>
                <w:bCs/>
                <w:sz w:val="28"/>
                <w:szCs w:val="28"/>
              </w:rPr>
            </w:pPr>
            <w:r w:rsidRPr="0061539B">
              <w:rPr>
                <w:b/>
                <w:bCs/>
                <w:sz w:val="28"/>
                <w:szCs w:val="28"/>
              </w:rPr>
              <w:t>V. Tiesību akta projekta atbilstība Latvijas Republikas starptautiskajām saistībām</w:t>
            </w:r>
          </w:p>
        </w:tc>
      </w:tr>
      <w:tr w:rsidR="007150AD" w:rsidRPr="0061539B" w14:paraId="48E38BF8" w14:textId="77777777" w:rsidTr="00BF09E0">
        <w:trPr>
          <w:cantSplit/>
        </w:trPr>
        <w:tc>
          <w:tcPr>
            <w:tcW w:w="5000" w:type="pct"/>
            <w:vAlign w:val="center"/>
          </w:tcPr>
          <w:p w14:paraId="2ADF0585" w14:textId="77777777" w:rsidR="007150AD" w:rsidRPr="0061539B" w:rsidRDefault="007150AD" w:rsidP="003E0059">
            <w:pPr>
              <w:jc w:val="center"/>
              <w:rPr>
                <w:bCs/>
                <w:sz w:val="28"/>
                <w:szCs w:val="28"/>
              </w:rPr>
            </w:pPr>
            <w:r w:rsidRPr="0061539B">
              <w:rPr>
                <w:bCs/>
                <w:sz w:val="28"/>
                <w:szCs w:val="28"/>
              </w:rPr>
              <w:t>Projekts šo jomu neskar.</w:t>
            </w:r>
          </w:p>
        </w:tc>
      </w:tr>
    </w:tbl>
    <w:p w14:paraId="6DA136DC" w14:textId="77777777" w:rsidR="007150AD" w:rsidRPr="0061539B" w:rsidRDefault="007150AD">
      <w:pPr>
        <w:rPr>
          <w:sz w:val="28"/>
          <w:szCs w:val="28"/>
        </w:rPr>
      </w:pPr>
    </w:p>
    <w:tbl>
      <w:tblPr>
        <w:tblW w:w="1022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26"/>
      </w:tblGrid>
      <w:tr w:rsidR="00E915CD" w:rsidRPr="0061539B" w14:paraId="30C5DC73" w14:textId="77777777" w:rsidTr="00BF09E0">
        <w:tc>
          <w:tcPr>
            <w:tcW w:w="10226" w:type="dxa"/>
          </w:tcPr>
          <w:p w14:paraId="6BA1945E" w14:textId="77777777" w:rsidR="00E608C5" w:rsidRPr="0061539B" w:rsidRDefault="00502D8F" w:rsidP="00EE676B">
            <w:pPr>
              <w:pStyle w:val="naisnod"/>
              <w:spacing w:before="0" w:after="0"/>
              <w:ind w:left="57" w:right="57"/>
              <w:rPr>
                <w:sz w:val="28"/>
                <w:szCs w:val="28"/>
              </w:rPr>
            </w:pPr>
            <w:r w:rsidRPr="0061539B">
              <w:rPr>
                <w:sz w:val="28"/>
                <w:szCs w:val="28"/>
              </w:rPr>
              <w:br w:type="page"/>
            </w:r>
            <w:r w:rsidR="00E608C5" w:rsidRPr="0061539B">
              <w:rPr>
                <w:sz w:val="28"/>
                <w:szCs w:val="28"/>
              </w:rPr>
              <w:t>VI. Sabiedrības līdzdalība un šīs līdzdalības rezultāti</w:t>
            </w:r>
          </w:p>
        </w:tc>
      </w:tr>
      <w:tr w:rsidR="00DA17F9" w:rsidRPr="0061539B" w14:paraId="31D9A6C9" w14:textId="77777777" w:rsidTr="00DA17F9">
        <w:trPr>
          <w:trHeight w:val="269"/>
        </w:trPr>
        <w:tc>
          <w:tcPr>
            <w:tcW w:w="10226" w:type="dxa"/>
          </w:tcPr>
          <w:p w14:paraId="576DFEED" w14:textId="4AD3953F" w:rsidR="00DA17F9" w:rsidRPr="0061539B" w:rsidRDefault="00DA17F9" w:rsidP="00DA17F9">
            <w:pPr>
              <w:jc w:val="center"/>
              <w:rPr>
                <w:sz w:val="28"/>
                <w:szCs w:val="28"/>
              </w:rPr>
            </w:pPr>
            <w:r w:rsidRPr="0061539B">
              <w:rPr>
                <w:bCs/>
                <w:sz w:val="28"/>
                <w:szCs w:val="28"/>
              </w:rPr>
              <w:t>Projekts šo jomu neskar.</w:t>
            </w:r>
          </w:p>
        </w:tc>
      </w:tr>
    </w:tbl>
    <w:tbl>
      <w:tblPr>
        <w:tblpPr w:leftFromText="180" w:rightFromText="180" w:vertAnchor="text" w:horzAnchor="margin" w:tblpX="-512" w:tblpY="-44"/>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97"/>
        <w:gridCol w:w="2320"/>
        <w:gridCol w:w="7117"/>
      </w:tblGrid>
      <w:tr w:rsidR="0061539B" w:rsidRPr="0061539B" w14:paraId="6EDBD88F" w14:textId="77777777" w:rsidTr="0061539B">
        <w:tc>
          <w:tcPr>
            <w:tcW w:w="10234" w:type="dxa"/>
            <w:gridSpan w:val="3"/>
          </w:tcPr>
          <w:p w14:paraId="35F0B851" w14:textId="77777777" w:rsidR="0061539B" w:rsidRPr="0061539B" w:rsidRDefault="0061539B" w:rsidP="0061539B">
            <w:pPr>
              <w:pStyle w:val="naisnod"/>
              <w:spacing w:before="0" w:after="0"/>
              <w:ind w:left="57" w:right="57"/>
              <w:rPr>
                <w:sz w:val="28"/>
                <w:szCs w:val="28"/>
              </w:rPr>
            </w:pPr>
            <w:r w:rsidRPr="0061539B">
              <w:rPr>
                <w:sz w:val="28"/>
                <w:szCs w:val="28"/>
              </w:rPr>
              <w:lastRenderedPageBreak/>
              <w:t>VII. Tiesību akta projekta izpildes nodrošināšana un tās ietekme uz institūcijām</w:t>
            </w:r>
          </w:p>
        </w:tc>
      </w:tr>
      <w:tr w:rsidR="0061539B" w:rsidRPr="0061539B" w14:paraId="62C0E273" w14:textId="77777777" w:rsidTr="0061539B">
        <w:trPr>
          <w:trHeight w:val="427"/>
        </w:trPr>
        <w:tc>
          <w:tcPr>
            <w:tcW w:w="797" w:type="dxa"/>
          </w:tcPr>
          <w:p w14:paraId="030FDDB0" w14:textId="77777777" w:rsidR="0061539B" w:rsidRPr="0061539B" w:rsidRDefault="0061539B" w:rsidP="0061539B">
            <w:pPr>
              <w:pStyle w:val="naisnod"/>
              <w:spacing w:before="0" w:after="0"/>
              <w:ind w:left="57" w:right="57"/>
              <w:rPr>
                <w:b w:val="0"/>
                <w:sz w:val="28"/>
                <w:szCs w:val="28"/>
              </w:rPr>
            </w:pPr>
            <w:r w:rsidRPr="0061539B">
              <w:rPr>
                <w:b w:val="0"/>
                <w:sz w:val="28"/>
                <w:szCs w:val="28"/>
              </w:rPr>
              <w:t>1.</w:t>
            </w:r>
          </w:p>
        </w:tc>
        <w:tc>
          <w:tcPr>
            <w:tcW w:w="2320" w:type="dxa"/>
          </w:tcPr>
          <w:p w14:paraId="12B86675" w14:textId="77777777" w:rsidR="0061539B" w:rsidRPr="0061539B" w:rsidRDefault="0061539B" w:rsidP="0061539B">
            <w:pPr>
              <w:pStyle w:val="naisf"/>
              <w:spacing w:before="0" w:after="0"/>
              <w:ind w:left="57" w:right="57" w:firstLine="0"/>
              <w:jc w:val="left"/>
              <w:rPr>
                <w:sz w:val="28"/>
                <w:szCs w:val="28"/>
              </w:rPr>
            </w:pPr>
            <w:r w:rsidRPr="0061539B">
              <w:rPr>
                <w:sz w:val="28"/>
                <w:szCs w:val="28"/>
              </w:rPr>
              <w:t xml:space="preserve">Projekta izpildē iesaistītās institūcijas </w:t>
            </w:r>
          </w:p>
        </w:tc>
        <w:tc>
          <w:tcPr>
            <w:tcW w:w="7117" w:type="dxa"/>
          </w:tcPr>
          <w:p w14:paraId="473F4EDA" w14:textId="77777777" w:rsidR="0061539B" w:rsidRPr="0061539B" w:rsidRDefault="0061539B" w:rsidP="0061539B">
            <w:pPr>
              <w:pStyle w:val="naisnod"/>
              <w:spacing w:before="0" w:after="0"/>
              <w:ind w:left="57" w:right="57"/>
              <w:jc w:val="both"/>
              <w:rPr>
                <w:b w:val="0"/>
                <w:sz w:val="28"/>
                <w:szCs w:val="28"/>
              </w:rPr>
            </w:pPr>
            <w:r w:rsidRPr="0061539B">
              <w:rPr>
                <w:rFonts w:eastAsia="Times New Roman"/>
                <w:b w:val="0"/>
                <w:sz w:val="28"/>
                <w:szCs w:val="28"/>
              </w:rPr>
              <w:t>Publiskas personas un to iestādes.</w:t>
            </w:r>
          </w:p>
        </w:tc>
      </w:tr>
      <w:tr w:rsidR="0061539B" w:rsidRPr="0061539B" w14:paraId="136E17F3" w14:textId="77777777" w:rsidTr="0061539B">
        <w:trPr>
          <w:trHeight w:val="463"/>
        </w:trPr>
        <w:tc>
          <w:tcPr>
            <w:tcW w:w="797" w:type="dxa"/>
          </w:tcPr>
          <w:p w14:paraId="1CBC4D24" w14:textId="77777777" w:rsidR="0061539B" w:rsidRPr="0061539B" w:rsidRDefault="0061539B" w:rsidP="0061539B">
            <w:pPr>
              <w:pStyle w:val="naisnod"/>
              <w:spacing w:before="0" w:after="0"/>
              <w:ind w:left="57" w:right="57"/>
              <w:rPr>
                <w:b w:val="0"/>
                <w:sz w:val="28"/>
                <w:szCs w:val="28"/>
              </w:rPr>
            </w:pPr>
            <w:r w:rsidRPr="0061539B">
              <w:rPr>
                <w:b w:val="0"/>
                <w:sz w:val="28"/>
                <w:szCs w:val="28"/>
              </w:rPr>
              <w:t>2.</w:t>
            </w:r>
          </w:p>
        </w:tc>
        <w:tc>
          <w:tcPr>
            <w:tcW w:w="2320" w:type="dxa"/>
          </w:tcPr>
          <w:p w14:paraId="7EE81F1D" w14:textId="77777777" w:rsidR="0061539B" w:rsidRPr="0061539B" w:rsidRDefault="0061539B" w:rsidP="0061539B">
            <w:pPr>
              <w:spacing w:before="100" w:beforeAutospacing="1" w:after="100" w:afterAutospacing="1"/>
              <w:rPr>
                <w:sz w:val="28"/>
                <w:szCs w:val="28"/>
              </w:rPr>
            </w:pPr>
            <w:r w:rsidRPr="0061539B">
              <w:rPr>
                <w:sz w:val="28"/>
                <w:szCs w:val="28"/>
              </w:rPr>
              <w:t xml:space="preserve">Projekta izpildes ietekme uz pārvaldes funkcijām un institucionālo struktūru. </w:t>
            </w:r>
          </w:p>
          <w:p w14:paraId="29FE8EDA" w14:textId="77777777" w:rsidR="0061539B" w:rsidRPr="0061539B" w:rsidRDefault="0061539B" w:rsidP="0061539B">
            <w:pPr>
              <w:pStyle w:val="naisf"/>
              <w:spacing w:before="0" w:after="0"/>
              <w:ind w:left="57" w:right="57" w:firstLine="0"/>
              <w:jc w:val="left"/>
              <w:rPr>
                <w:sz w:val="28"/>
                <w:szCs w:val="28"/>
              </w:rPr>
            </w:pPr>
            <w:r w:rsidRPr="0061539B">
              <w:rPr>
                <w:sz w:val="28"/>
                <w:szCs w:val="28"/>
              </w:rPr>
              <w:t>Jaunu institūciju izveide, esošu institūciju likvidācija vai reorganizācija, to ietekme uz institūcijas cilvēkresursiem</w:t>
            </w:r>
          </w:p>
        </w:tc>
        <w:tc>
          <w:tcPr>
            <w:tcW w:w="7117" w:type="dxa"/>
          </w:tcPr>
          <w:p w14:paraId="25BB09A7" w14:textId="77777777" w:rsidR="0061539B" w:rsidRPr="0061539B" w:rsidRDefault="0061539B" w:rsidP="0061539B">
            <w:pPr>
              <w:pStyle w:val="BodyTextIndent2"/>
              <w:spacing w:after="0" w:line="240" w:lineRule="auto"/>
              <w:ind w:left="2" w:right="108"/>
              <w:jc w:val="both"/>
              <w:rPr>
                <w:b/>
                <w:sz w:val="28"/>
                <w:szCs w:val="28"/>
              </w:rPr>
            </w:pPr>
            <w:r w:rsidRPr="0061539B">
              <w:rPr>
                <w:sz w:val="28"/>
                <w:szCs w:val="28"/>
              </w:rPr>
              <w:t xml:space="preserve"> Projekts šo jomu neskar.</w:t>
            </w:r>
          </w:p>
        </w:tc>
      </w:tr>
      <w:tr w:rsidR="0061539B" w:rsidRPr="0061539B" w14:paraId="3FE00182" w14:textId="77777777" w:rsidTr="0061539B">
        <w:trPr>
          <w:trHeight w:val="476"/>
        </w:trPr>
        <w:tc>
          <w:tcPr>
            <w:tcW w:w="797" w:type="dxa"/>
          </w:tcPr>
          <w:p w14:paraId="0199754F" w14:textId="77777777" w:rsidR="0061539B" w:rsidRPr="0061539B" w:rsidRDefault="0061539B" w:rsidP="0061539B">
            <w:pPr>
              <w:pStyle w:val="naiskr"/>
              <w:spacing w:before="0" w:after="0"/>
              <w:ind w:left="57" w:right="57"/>
              <w:jc w:val="center"/>
              <w:rPr>
                <w:sz w:val="28"/>
                <w:szCs w:val="28"/>
              </w:rPr>
            </w:pPr>
            <w:r w:rsidRPr="0061539B">
              <w:rPr>
                <w:sz w:val="28"/>
                <w:szCs w:val="28"/>
              </w:rPr>
              <w:t>3.</w:t>
            </w:r>
          </w:p>
        </w:tc>
        <w:tc>
          <w:tcPr>
            <w:tcW w:w="2320" w:type="dxa"/>
          </w:tcPr>
          <w:p w14:paraId="77361BBB" w14:textId="77777777" w:rsidR="0061539B" w:rsidRPr="0061539B" w:rsidRDefault="0061539B" w:rsidP="0061539B">
            <w:pPr>
              <w:pStyle w:val="naiskr"/>
              <w:spacing w:before="0" w:after="0"/>
              <w:ind w:left="57" w:right="57"/>
              <w:rPr>
                <w:sz w:val="28"/>
                <w:szCs w:val="28"/>
              </w:rPr>
            </w:pPr>
            <w:r w:rsidRPr="0061539B">
              <w:rPr>
                <w:sz w:val="28"/>
                <w:szCs w:val="28"/>
              </w:rPr>
              <w:t>Cita informācija</w:t>
            </w:r>
          </w:p>
        </w:tc>
        <w:tc>
          <w:tcPr>
            <w:tcW w:w="7117" w:type="dxa"/>
          </w:tcPr>
          <w:p w14:paraId="71D2D270" w14:textId="77777777" w:rsidR="0061539B" w:rsidRPr="0061539B" w:rsidRDefault="0061539B" w:rsidP="0061539B">
            <w:pPr>
              <w:pStyle w:val="naiskr"/>
              <w:spacing w:before="0" w:after="0"/>
              <w:ind w:left="57" w:right="57"/>
              <w:jc w:val="both"/>
              <w:rPr>
                <w:sz w:val="28"/>
                <w:szCs w:val="28"/>
              </w:rPr>
            </w:pPr>
            <w:r w:rsidRPr="0061539B">
              <w:rPr>
                <w:sz w:val="28"/>
                <w:szCs w:val="28"/>
              </w:rPr>
              <w:t>Nav.</w:t>
            </w:r>
          </w:p>
        </w:tc>
      </w:tr>
    </w:tbl>
    <w:p w14:paraId="59567E2B" w14:textId="77777777" w:rsidR="00E608C5" w:rsidRPr="0061539B" w:rsidRDefault="00E608C5" w:rsidP="00D96FCD">
      <w:pPr>
        <w:pStyle w:val="naisf"/>
        <w:spacing w:before="0" w:after="0"/>
        <w:rPr>
          <w:sz w:val="28"/>
          <w:szCs w:val="28"/>
        </w:rPr>
      </w:pPr>
    </w:p>
    <w:p w14:paraId="7B10868A" w14:textId="77777777" w:rsidR="00366FA9" w:rsidRPr="0061539B" w:rsidRDefault="00366FA9" w:rsidP="00D96FCD">
      <w:pPr>
        <w:pStyle w:val="naisf"/>
        <w:spacing w:before="0" w:after="0"/>
        <w:rPr>
          <w:sz w:val="28"/>
          <w:szCs w:val="28"/>
        </w:rPr>
      </w:pPr>
    </w:p>
    <w:p w14:paraId="44064675" w14:textId="77777777" w:rsidR="00366FA9" w:rsidRPr="0061539B" w:rsidRDefault="00366FA9" w:rsidP="00D96FCD">
      <w:pPr>
        <w:pStyle w:val="naisf"/>
        <w:spacing w:before="0" w:after="0"/>
        <w:rPr>
          <w:sz w:val="28"/>
          <w:szCs w:val="28"/>
        </w:rPr>
      </w:pPr>
    </w:p>
    <w:p w14:paraId="5B110E13" w14:textId="77777777" w:rsidR="00AD09C4" w:rsidRPr="0061539B" w:rsidRDefault="00AD09C4" w:rsidP="00AD09C4">
      <w:pPr>
        <w:pStyle w:val="BodyText2"/>
        <w:spacing w:after="0" w:line="240" w:lineRule="auto"/>
        <w:ind w:firstLine="720"/>
        <w:jc w:val="both"/>
        <w:rPr>
          <w:sz w:val="28"/>
          <w:szCs w:val="28"/>
        </w:rPr>
      </w:pPr>
    </w:p>
    <w:p w14:paraId="64A69AA8" w14:textId="77777777" w:rsidR="00E9021B" w:rsidRPr="0061539B" w:rsidRDefault="00E9021B" w:rsidP="00E9021B">
      <w:pPr>
        <w:rPr>
          <w:sz w:val="28"/>
          <w:szCs w:val="28"/>
        </w:rPr>
      </w:pPr>
      <w:r w:rsidRPr="0061539B">
        <w:rPr>
          <w:sz w:val="28"/>
          <w:szCs w:val="28"/>
        </w:rPr>
        <w:t>Iekšlietu ministrs</w:t>
      </w:r>
      <w:r w:rsidRPr="0061539B">
        <w:rPr>
          <w:sz w:val="28"/>
          <w:szCs w:val="28"/>
        </w:rPr>
        <w:tab/>
        <w:t xml:space="preserve"> </w:t>
      </w:r>
      <w:r w:rsidRPr="0061539B">
        <w:rPr>
          <w:sz w:val="28"/>
          <w:szCs w:val="28"/>
        </w:rPr>
        <w:tab/>
      </w:r>
      <w:r w:rsidRPr="0061539B">
        <w:rPr>
          <w:sz w:val="28"/>
          <w:szCs w:val="28"/>
        </w:rPr>
        <w:tab/>
        <w:t xml:space="preserve"> </w:t>
      </w:r>
      <w:r w:rsidRPr="0061539B">
        <w:rPr>
          <w:sz w:val="28"/>
          <w:szCs w:val="28"/>
        </w:rPr>
        <w:tab/>
      </w:r>
      <w:r w:rsidRPr="0061539B">
        <w:rPr>
          <w:sz w:val="28"/>
          <w:szCs w:val="28"/>
        </w:rPr>
        <w:tab/>
      </w:r>
      <w:r w:rsidRPr="0061539B">
        <w:rPr>
          <w:sz w:val="28"/>
          <w:szCs w:val="28"/>
        </w:rPr>
        <w:tab/>
      </w:r>
      <w:r w:rsidRPr="0061539B">
        <w:rPr>
          <w:sz w:val="28"/>
          <w:szCs w:val="28"/>
        </w:rPr>
        <w:tab/>
        <w:t xml:space="preserve">Sandis </w:t>
      </w:r>
      <w:proofErr w:type="spellStart"/>
      <w:r w:rsidRPr="0061539B">
        <w:rPr>
          <w:sz w:val="28"/>
          <w:szCs w:val="28"/>
        </w:rPr>
        <w:t>Ģirģens</w:t>
      </w:r>
      <w:proofErr w:type="spellEnd"/>
      <w:r w:rsidRPr="0061539B">
        <w:rPr>
          <w:sz w:val="28"/>
          <w:szCs w:val="28"/>
        </w:rPr>
        <w:tab/>
      </w:r>
    </w:p>
    <w:p w14:paraId="66881138" w14:textId="77777777" w:rsidR="00E9021B" w:rsidRPr="0061539B" w:rsidRDefault="00E9021B" w:rsidP="00E9021B">
      <w:pPr>
        <w:rPr>
          <w:sz w:val="28"/>
          <w:szCs w:val="28"/>
        </w:rPr>
      </w:pPr>
    </w:p>
    <w:p w14:paraId="79D1EE0A" w14:textId="0D098AA8" w:rsidR="007150AD" w:rsidRPr="0061539B" w:rsidRDefault="00E9021B" w:rsidP="00E9021B">
      <w:pPr>
        <w:rPr>
          <w:sz w:val="28"/>
          <w:szCs w:val="28"/>
        </w:rPr>
      </w:pPr>
      <w:r w:rsidRPr="0061539B">
        <w:rPr>
          <w:sz w:val="28"/>
          <w:szCs w:val="28"/>
        </w:rPr>
        <w:t>Vīza: Valsts sekretārs</w:t>
      </w:r>
      <w:r w:rsidRPr="0061539B">
        <w:rPr>
          <w:sz w:val="28"/>
          <w:szCs w:val="28"/>
        </w:rPr>
        <w:tab/>
      </w:r>
      <w:r w:rsidRPr="0061539B">
        <w:rPr>
          <w:sz w:val="28"/>
          <w:szCs w:val="28"/>
        </w:rPr>
        <w:tab/>
      </w:r>
      <w:r w:rsidRPr="0061539B">
        <w:rPr>
          <w:sz w:val="28"/>
          <w:szCs w:val="28"/>
        </w:rPr>
        <w:tab/>
        <w:t xml:space="preserve"> </w:t>
      </w:r>
      <w:r w:rsidRPr="0061539B">
        <w:rPr>
          <w:sz w:val="28"/>
          <w:szCs w:val="28"/>
        </w:rPr>
        <w:tab/>
      </w:r>
      <w:r w:rsidRPr="0061539B">
        <w:rPr>
          <w:sz w:val="28"/>
          <w:szCs w:val="28"/>
        </w:rPr>
        <w:tab/>
      </w:r>
      <w:r w:rsidRPr="0061539B">
        <w:rPr>
          <w:sz w:val="28"/>
          <w:szCs w:val="28"/>
        </w:rPr>
        <w:tab/>
      </w:r>
      <w:proofErr w:type="spellStart"/>
      <w:r w:rsidRPr="0061539B">
        <w:rPr>
          <w:sz w:val="28"/>
          <w:szCs w:val="28"/>
        </w:rPr>
        <w:t>Dimitrijs</w:t>
      </w:r>
      <w:proofErr w:type="spellEnd"/>
      <w:r w:rsidRPr="0061539B">
        <w:rPr>
          <w:sz w:val="28"/>
          <w:szCs w:val="28"/>
        </w:rPr>
        <w:t xml:space="preserve"> </w:t>
      </w:r>
      <w:proofErr w:type="spellStart"/>
      <w:r w:rsidRPr="0061539B">
        <w:rPr>
          <w:sz w:val="28"/>
          <w:szCs w:val="28"/>
        </w:rPr>
        <w:t>Trofimovs</w:t>
      </w:r>
      <w:proofErr w:type="spellEnd"/>
    </w:p>
    <w:p w14:paraId="33CAFE72" w14:textId="4C50A40E" w:rsidR="003E3E30" w:rsidRPr="0061539B" w:rsidRDefault="003E3E30" w:rsidP="007150AD">
      <w:pPr>
        <w:tabs>
          <w:tab w:val="left" w:pos="6710"/>
        </w:tabs>
        <w:rPr>
          <w:sz w:val="28"/>
          <w:szCs w:val="28"/>
        </w:rPr>
      </w:pPr>
    </w:p>
    <w:sectPr w:rsidR="003E3E30" w:rsidRPr="0061539B" w:rsidSect="00805FDC">
      <w:headerReference w:type="default" r:id="rId9"/>
      <w:footerReference w:type="default" r:id="rId10"/>
      <w:footerReference w:type="first" r:id="rId11"/>
      <w:pgSz w:w="11906" w:h="16838" w:code="9"/>
      <w:pgMar w:top="1440" w:right="1440" w:bottom="1440" w:left="1418" w:header="567" w:footer="3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07E1D" w14:textId="77777777" w:rsidR="006A2ECA" w:rsidRDefault="006A2ECA" w:rsidP="00123E9B">
      <w:r>
        <w:separator/>
      </w:r>
    </w:p>
  </w:endnote>
  <w:endnote w:type="continuationSeparator" w:id="0">
    <w:p w14:paraId="7CFE6897" w14:textId="77777777" w:rsidR="006A2ECA" w:rsidRDefault="006A2ECA"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altName w:val="Calibri"/>
    <w:charset w:val="BA"/>
    <w:family w:val="swiss"/>
    <w:pitch w:val="variable"/>
    <w:sig w:usb0="00000001"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BACA1" w14:textId="08657734" w:rsidR="003E3E30" w:rsidRPr="00D42E3E" w:rsidRDefault="0044462E" w:rsidP="00D42E3E">
    <w:pPr>
      <w:ind w:left="-360" w:right="-262"/>
      <w:jc w:val="both"/>
      <w:rPr>
        <w:sz w:val="22"/>
        <w:szCs w:val="22"/>
      </w:rPr>
    </w:pPr>
    <w:r>
      <w:rPr>
        <w:sz w:val="22"/>
        <w:szCs w:val="22"/>
      </w:rPr>
      <w:t>IEM</w:t>
    </w:r>
    <w:r w:rsidR="00D42E3E">
      <w:rPr>
        <w:sz w:val="22"/>
        <w:szCs w:val="22"/>
      </w:rPr>
      <w:t>Anot</w:t>
    </w:r>
    <w:r w:rsidR="00D42E3E" w:rsidRPr="00C15E8D">
      <w:rPr>
        <w:sz w:val="22"/>
        <w:szCs w:val="22"/>
      </w:rPr>
      <w:t>_</w:t>
    </w:r>
    <w:r w:rsidR="00223DA0">
      <w:rPr>
        <w:sz w:val="22"/>
        <w:szCs w:val="22"/>
      </w:rPr>
      <w:t>0206</w:t>
    </w:r>
    <w:r w:rsidR="00632154" w:rsidRPr="00806902">
      <w:rPr>
        <w:sz w:val="22"/>
        <w:szCs w:val="22"/>
      </w:rPr>
      <w:t>20</w:t>
    </w:r>
    <w:r w:rsidR="00D42E3E" w:rsidRPr="00C15E8D">
      <w:rPr>
        <w:sz w:val="22"/>
        <w:szCs w:val="22"/>
      </w:rPr>
      <w:t>_</w:t>
    </w:r>
    <w:r w:rsidR="00D42E3E">
      <w:rPr>
        <w:sz w:val="22"/>
        <w:szCs w:val="22"/>
      </w:rPr>
      <w:t xml:space="preserve">Groz_MK109; Ministru kabineta noteikumu projekta “Grozījumi Ministru kabineta 2011.gada 1.februāra noteikumos Nr.109 “Kārtība, kādā atsavināma publiskas personas manta”” </w:t>
    </w:r>
    <w:r w:rsidR="00D42E3E" w:rsidRPr="00223472">
      <w:rPr>
        <w:sz w:val="22"/>
        <w:szCs w:val="22"/>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EBA7A" w14:textId="6DBC0543" w:rsidR="00CB218D" w:rsidRPr="00A70C59" w:rsidRDefault="0044462E" w:rsidP="00A70C59">
    <w:pPr>
      <w:ind w:left="-360" w:right="-262"/>
      <w:jc w:val="both"/>
      <w:rPr>
        <w:sz w:val="22"/>
        <w:szCs w:val="22"/>
      </w:rPr>
    </w:pPr>
    <w:r>
      <w:rPr>
        <w:sz w:val="22"/>
        <w:szCs w:val="22"/>
      </w:rPr>
      <w:t>IEMAnot</w:t>
    </w:r>
    <w:r w:rsidRPr="00C15E8D">
      <w:rPr>
        <w:sz w:val="22"/>
        <w:szCs w:val="22"/>
      </w:rPr>
      <w:t>_</w:t>
    </w:r>
    <w:r w:rsidR="00223DA0">
      <w:rPr>
        <w:sz w:val="22"/>
        <w:szCs w:val="22"/>
      </w:rPr>
      <w:t>0206</w:t>
    </w:r>
    <w:r w:rsidR="00632154" w:rsidRPr="00806902">
      <w:rPr>
        <w:sz w:val="22"/>
        <w:szCs w:val="22"/>
      </w:rPr>
      <w:t>20</w:t>
    </w:r>
    <w:r w:rsidR="00CB218D" w:rsidRPr="00C15E8D">
      <w:rPr>
        <w:sz w:val="22"/>
        <w:szCs w:val="22"/>
      </w:rPr>
      <w:t>_</w:t>
    </w:r>
    <w:r w:rsidR="008217E0">
      <w:rPr>
        <w:sz w:val="22"/>
        <w:szCs w:val="22"/>
      </w:rPr>
      <w:t xml:space="preserve">Groz_MK109; </w:t>
    </w:r>
    <w:r w:rsidR="00CB218D">
      <w:rPr>
        <w:sz w:val="22"/>
        <w:szCs w:val="22"/>
      </w:rPr>
      <w:t xml:space="preserve">Ministru kabineta </w:t>
    </w:r>
    <w:r w:rsidR="003E3E30">
      <w:rPr>
        <w:sz w:val="22"/>
        <w:szCs w:val="22"/>
      </w:rPr>
      <w:t>noteikumu</w:t>
    </w:r>
    <w:r w:rsidR="00CB218D">
      <w:rPr>
        <w:sz w:val="22"/>
        <w:szCs w:val="22"/>
      </w:rPr>
      <w:t xml:space="preserve"> projekt</w:t>
    </w:r>
    <w:r w:rsidR="003E3E30">
      <w:rPr>
        <w:sz w:val="22"/>
        <w:szCs w:val="22"/>
      </w:rPr>
      <w:t>a</w:t>
    </w:r>
    <w:r w:rsidR="00CB218D">
      <w:rPr>
        <w:sz w:val="22"/>
        <w:szCs w:val="22"/>
      </w:rPr>
      <w:t xml:space="preserve"> “</w:t>
    </w:r>
    <w:r w:rsidR="003E3E30">
      <w:rPr>
        <w:sz w:val="22"/>
        <w:szCs w:val="22"/>
      </w:rPr>
      <w:t>Grozījum</w:t>
    </w:r>
    <w:r>
      <w:rPr>
        <w:sz w:val="22"/>
        <w:szCs w:val="22"/>
      </w:rPr>
      <w:t xml:space="preserve">s </w:t>
    </w:r>
    <w:r w:rsidR="003E3E30">
      <w:rPr>
        <w:sz w:val="22"/>
        <w:szCs w:val="22"/>
      </w:rPr>
      <w:t>Ministru kabineta 2011.gada 1.februāra noteikumos Nr.109 “Kārtība, kādā atsavināma publiskas personas manta”</w:t>
    </w:r>
    <w:r w:rsidR="00CB218D">
      <w:rPr>
        <w:sz w:val="22"/>
        <w:szCs w:val="22"/>
      </w:rPr>
      <w:t xml:space="preserve">” </w:t>
    </w:r>
    <w:r w:rsidR="00CB218D" w:rsidRPr="00223472">
      <w:rPr>
        <w:sz w:val="22"/>
        <w:szCs w:val="22"/>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A8FBF" w14:textId="77777777" w:rsidR="006A2ECA" w:rsidRDefault="006A2ECA" w:rsidP="00123E9B">
      <w:r>
        <w:separator/>
      </w:r>
    </w:p>
  </w:footnote>
  <w:footnote w:type="continuationSeparator" w:id="0">
    <w:p w14:paraId="4A6D86D1" w14:textId="77777777" w:rsidR="006A2ECA" w:rsidRDefault="006A2ECA"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66576" w14:textId="0C9F8AC0" w:rsidR="00CB218D" w:rsidRDefault="007907BF">
    <w:pPr>
      <w:pStyle w:val="Header"/>
      <w:jc w:val="center"/>
    </w:pPr>
    <w:r>
      <w:fldChar w:fldCharType="begin"/>
    </w:r>
    <w:r w:rsidR="00CB218D">
      <w:instrText xml:space="preserve"> PAGE   \* MERGEFORMAT </w:instrText>
    </w:r>
    <w:r>
      <w:fldChar w:fldCharType="separate"/>
    </w:r>
    <w:r w:rsidR="00223DA0">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186D"/>
    <w:multiLevelType w:val="hybridMultilevel"/>
    <w:tmpl w:val="D5D6F832"/>
    <w:lvl w:ilvl="0" w:tplc="B9E61E5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0F1D7F40"/>
    <w:multiLevelType w:val="multilevel"/>
    <w:tmpl w:val="FE386A54"/>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0F6548F6"/>
    <w:multiLevelType w:val="hybridMultilevel"/>
    <w:tmpl w:val="C3D41656"/>
    <w:lvl w:ilvl="0" w:tplc="0302C4D6">
      <w:start w:val="1"/>
      <w:numFmt w:val="decimal"/>
      <w:lvlText w:val="%1)"/>
      <w:lvlJc w:val="left"/>
      <w:pPr>
        <w:ind w:left="502" w:hanging="360"/>
      </w:pPr>
      <w:rPr>
        <w:rFonts w:eastAsia="Times New Roman" w:hint="default"/>
        <w:color w:val="000000"/>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nsid w:val="11D0009F"/>
    <w:multiLevelType w:val="hybridMultilevel"/>
    <w:tmpl w:val="893C3462"/>
    <w:lvl w:ilvl="0" w:tplc="113A634A">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nsid w:val="12405715"/>
    <w:multiLevelType w:val="hybridMultilevel"/>
    <w:tmpl w:val="DF2093B4"/>
    <w:lvl w:ilvl="0" w:tplc="82BA809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nsid w:val="1FEF41AB"/>
    <w:multiLevelType w:val="hybridMultilevel"/>
    <w:tmpl w:val="893C3462"/>
    <w:lvl w:ilvl="0" w:tplc="113A634A">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nsid w:val="253B0051"/>
    <w:multiLevelType w:val="hybridMultilevel"/>
    <w:tmpl w:val="C464EB48"/>
    <w:lvl w:ilvl="0" w:tplc="8B3AD2D4">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E5F23DA"/>
    <w:multiLevelType w:val="hybridMultilevel"/>
    <w:tmpl w:val="29DC2DD4"/>
    <w:lvl w:ilvl="0" w:tplc="A18AB0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nsid w:val="33E46938"/>
    <w:multiLevelType w:val="hybridMultilevel"/>
    <w:tmpl w:val="ABF67B1C"/>
    <w:lvl w:ilvl="0" w:tplc="C36C813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nsid w:val="36006014"/>
    <w:multiLevelType w:val="hybridMultilevel"/>
    <w:tmpl w:val="C26E69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1">
    <w:nsid w:val="39A9521F"/>
    <w:multiLevelType w:val="hybridMultilevel"/>
    <w:tmpl w:val="0B423A92"/>
    <w:lvl w:ilvl="0" w:tplc="4D286B3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nsid w:val="494D661D"/>
    <w:multiLevelType w:val="hybridMultilevel"/>
    <w:tmpl w:val="6E180F5C"/>
    <w:lvl w:ilvl="0" w:tplc="04260019">
      <w:start w:val="1"/>
      <w:numFmt w:val="lowerLetter"/>
      <w:lvlText w:val="%1."/>
      <w:lvlJc w:val="left"/>
      <w:pPr>
        <w:ind w:left="1222" w:hanging="360"/>
      </w:p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13">
    <w:nsid w:val="5A313FED"/>
    <w:multiLevelType w:val="hybridMultilevel"/>
    <w:tmpl w:val="743A43C8"/>
    <w:lvl w:ilvl="0" w:tplc="CEBEC6D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193068"/>
    <w:multiLevelType w:val="hybridMultilevel"/>
    <w:tmpl w:val="91E69B98"/>
    <w:lvl w:ilvl="0" w:tplc="2D24255C">
      <w:start w:val="1"/>
      <w:numFmt w:val="decimal"/>
      <w:lvlText w:val="%1)"/>
      <w:lvlJc w:val="left"/>
      <w:pPr>
        <w:ind w:left="592" w:hanging="45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nsid w:val="7E6E2172"/>
    <w:multiLevelType w:val="hybridMultilevel"/>
    <w:tmpl w:val="C464EB48"/>
    <w:lvl w:ilvl="0" w:tplc="8B3AD2D4">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4"/>
  </w:num>
  <w:num w:numId="3">
    <w:abstractNumId w:val="15"/>
  </w:num>
  <w:num w:numId="4">
    <w:abstractNumId w:val="0"/>
  </w:num>
  <w:num w:numId="5">
    <w:abstractNumId w:val="7"/>
  </w:num>
  <w:num w:numId="6">
    <w:abstractNumId w:val="13"/>
  </w:num>
  <w:num w:numId="7">
    <w:abstractNumId w:val="11"/>
  </w:num>
  <w:num w:numId="8">
    <w:abstractNumId w:val="2"/>
  </w:num>
  <w:num w:numId="9">
    <w:abstractNumId w:val="12"/>
  </w:num>
  <w:num w:numId="10">
    <w:abstractNumId w:val="8"/>
  </w:num>
  <w:num w:numId="11">
    <w:abstractNumId w:val="4"/>
  </w:num>
  <w:num w:numId="12">
    <w:abstractNumId w:val="3"/>
  </w:num>
  <w:num w:numId="13">
    <w:abstractNumId w:val="5"/>
  </w:num>
  <w:num w:numId="14">
    <w:abstractNumId w:val="6"/>
  </w:num>
  <w:num w:numId="15">
    <w:abstractNumId w:val="16"/>
  </w:num>
  <w:num w:numId="16">
    <w:abstractNumId w:val="1"/>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ndega Gailīte">
    <w15:presenceInfo w15:providerId="None" w15:userId="Gundega Gailī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CD"/>
    <w:rsid w:val="00000DEA"/>
    <w:rsid w:val="000012EF"/>
    <w:rsid w:val="0000524B"/>
    <w:rsid w:val="00007551"/>
    <w:rsid w:val="00010590"/>
    <w:rsid w:val="00012EAE"/>
    <w:rsid w:val="00014550"/>
    <w:rsid w:val="0002199B"/>
    <w:rsid w:val="00023882"/>
    <w:rsid w:val="00024635"/>
    <w:rsid w:val="0002601E"/>
    <w:rsid w:val="00026EC6"/>
    <w:rsid w:val="000278F9"/>
    <w:rsid w:val="00033013"/>
    <w:rsid w:val="0003474A"/>
    <w:rsid w:val="0003640B"/>
    <w:rsid w:val="00037B73"/>
    <w:rsid w:val="0004080F"/>
    <w:rsid w:val="00040D4E"/>
    <w:rsid w:val="0004297E"/>
    <w:rsid w:val="000443DE"/>
    <w:rsid w:val="000463EE"/>
    <w:rsid w:val="00046CDE"/>
    <w:rsid w:val="00047E99"/>
    <w:rsid w:val="00047FE8"/>
    <w:rsid w:val="00054EAA"/>
    <w:rsid w:val="00055608"/>
    <w:rsid w:val="00056EA8"/>
    <w:rsid w:val="000613E9"/>
    <w:rsid w:val="0006651A"/>
    <w:rsid w:val="00072B98"/>
    <w:rsid w:val="000735A6"/>
    <w:rsid w:val="00074B8C"/>
    <w:rsid w:val="00076F56"/>
    <w:rsid w:val="0007794B"/>
    <w:rsid w:val="00080CC1"/>
    <w:rsid w:val="00081032"/>
    <w:rsid w:val="0008253A"/>
    <w:rsid w:val="000849C2"/>
    <w:rsid w:val="00087B54"/>
    <w:rsid w:val="00091357"/>
    <w:rsid w:val="000934D5"/>
    <w:rsid w:val="0009719E"/>
    <w:rsid w:val="000A0692"/>
    <w:rsid w:val="000A2C34"/>
    <w:rsid w:val="000A4403"/>
    <w:rsid w:val="000A4EE2"/>
    <w:rsid w:val="000A61FC"/>
    <w:rsid w:val="000A7A25"/>
    <w:rsid w:val="000B0E4D"/>
    <w:rsid w:val="000B3798"/>
    <w:rsid w:val="000B3B3C"/>
    <w:rsid w:val="000B5DF5"/>
    <w:rsid w:val="000C07B2"/>
    <w:rsid w:val="000C0BAF"/>
    <w:rsid w:val="000C1A07"/>
    <w:rsid w:val="000C299C"/>
    <w:rsid w:val="000C3D3E"/>
    <w:rsid w:val="000C6405"/>
    <w:rsid w:val="000C7BC5"/>
    <w:rsid w:val="000C7EEF"/>
    <w:rsid w:val="000D0B18"/>
    <w:rsid w:val="000D5920"/>
    <w:rsid w:val="000D5A9B"/>
    <w:rsid w:val="000E3B94"/>
    <w:rsid w:val="000E3BF0"/>
    <w:rsid w:val="000E4A2A"/>
    <w:rsid w:val="000E5FDF"/>
    <w:rsid w:val="000E65B3"/>
    <w:rsid w:val="000F16CF"/>
    <w:rsid w:val="000F1AAA"/>
    <w:rsid w:val="000F58F6"/>
    <w:rsid w:val="000F6325"/>
    <w:rsid w:val="0010198A"/>
    <w:rsid w:val="00111709"/>
    <w:rsid w:val="001127C4"/>
    <w:rsid w:val="00116669"/>
    <w:rsid w:val="00122924"/>
    <w:rsid w:val="00123E9B"/>
    <w:rsid w:val="00126A87"/>
    <w:rsid w:val="0012791B"/>
    <w:rsid w:val="00131A15"/>
    <w:rsid w:val="00132D10"/>
    <w:rsid w:val="0013369B"/>
    <w:rsid w:val="00135276"/>
    <w:rsid w:val="00137CF4"/>
    <w:rsid w:val="001413A9"/>
    <w:rsid w:val="00141B8F"/>
    <w:rsid w:val="00145CB2"/>
    <w:rsid w:val="00147135"/>
    <w:rsid w:val="00147D9A"/>
    <w:rsid w:val="00152C44"/>
    <w:rsid w:val="00154DE1"/>
    <w:rsid w:val="00163C68"/>
    <w:rsid w:val="00163E87"/>
    <w:rsid w:val="00164CA3"/>
    <w:rsid w:val="00166070"/>
    <w:rsid w:val="001702CF"/>
    <w:rsid w:val="0017235E"/>
    <w:rsid w:val="00172A25"/>
    <w:rsid w:val="0017709C"/>
    <w:rsid w:val="001817E9"/>
    <w:rsid w:val="00181D00"/>
    <w:rsid w:val="001824F8"/>
    <w:rsid w:val="0018329D"/>
    <w:rsid w:val="0018538B"/>
    <w:rsid w:val="00186DF5"/>
    <w:rsid w:val="001875EC"/>
    <w:rsid w:val="00187619"/>
    <w:rsid w:val="001904B3"/>
    <w:rsid w:val="00190FBE"/>
    <w:rsid w:val="00191E2A"/>
    <w:rsid w:val="00193934"/>
    <w:rsid w:val="00194A0F"/>
    <w:rsid w:val="00195879"/>
    <w:rsid w:val="001A11AE"/>
    <w:rsid w:val="001A188B"/>
    <w:rsid w:val="001A3F43"/>
    <w:rsid w:val="001A6207"/>
    <w:rsid w:val="001A6E9C"/>
    <w:rsid w:val="001B1189"/>
    <w:rsid w:val="001B32BB"/>
    <w:rsid w:val="001C15CD"/>
    <w:rsid w:val="001C29BE"/>
    <w:rsid w:val="001C4BA3"/>
    <w:rsid w:val="001C4CAB"/>
    <w:rsid w:val="001C60B1"/>
    <w:rsid w:val="001D02FD"/>
    <w:rsid w:val="001D18A2"/>
    <w:rsid w:val="001D4492"/>
    <w:rsid w:val="001D5383"/>
    <w:rsid w:val="001D6F8B"/>
    <w:rsid w:val="001D7C74"/>
    <w:rsid w:val="001D7D3E"/>
    <w:rsid w:val="001E1DA8"/>
    <w:rsid w:val="001E2677"/>
    <w:rsid w:val="001E37CF"/>
    <w:rsid w:val="001E7782"/>
    <w:rsid w:val="001F61F5"/>
    <w:rsid w:val="002005CA"/>
    <w:rsid w:val="0020083C"/>
    <w:rsid w:val="00201F25"/>
    <w:rsid w:val="00203471"/>
    <w:rsid w:val="002054CB"/>
    <w:rsid w:val="002100DB"/>
    <w:rsid w:val="0021458D"/>
    <w:rsid w:val="00215758"/>
    <w:rsid w:val="00217EAE"/>
    <w:rsid w:val="00222FEF"/>
    <w:rsid w:val="00223472"/>
    <w:rsid w:val="00223DA0"/>
    <w:rsid w:val="00224972"/>
    <w:rsid w:val="00224F0F"/>
    <w:rsid w:val="0022537F"/>
    <w:rsid w:val="002331BA"/>
    <w:rsid w:val="00237739"/>
    <w:rsid w:val="00237FF6"/>
    <w:rsid w:val="002418A6"/>
    <w:rsid w:val="00244807"/>
    <w:rsid w:val="00251E07"/>
    <w:rsid w:val="00256D9A"/>
    <w:rsid w:val="0026076A"/>
    <w:rsid w:val="00261561"/>
    <w:rsid w:val="00262D36"/>
    <w:rsid w:val="002637C0"/>
    <w:rsid w:val="002642CF"/>
    <w:rsid w:val="00270E39"/>
    <w:rsid w:val="00272248"/>
    <w:rsid w:val="0027236C"/>
    <w:rsid w:val="00274BC6"/>
    <w:rsid w:val="0027535C"/>
    <w:rsid w:val="002764F1"/>
    <w:rsid w:val="00281DE1"/>
    <w:rsid w:val="002837F8"/>
    <w:rsid w:val="00283CCD"/>
    <w:rsid w:val="00286D40"/>
    <w:rsid w:val="002873CC"/>
    <w:rsid w:val="0028791A"/>
    <w:rsid w:val="00291E76"/>
    <w:rsid w:val="00292386"/>
    <w:rsid w:val="00295345"/>
    <w:rsid w:val="00295A3B"/>
    <w:rsid w:val="002A1A6B"/>
    <w:rsid w:val="002A1E5B"/>
    <w:rsid w:val="002A3E05"/>
    <w:rsid w:val="002A41DA"/>
    <w:rsid w:val="002A7391"/>
    <w:rsid w:val="002B09D9"/>
    <w:rsid w:val="002B5511"/>
    <w:rsid w:val="002C0862"/>
    <w:rsid w:val="002C0946"/>
    <w:rsid w:val="002C1576"/>
    <w:rsid w:val="002C16DA"/>
    <w:rsid w:val="002C2590"/>
    <w:rsid w:val="002C5CAD"/>
    <w:rsid w:val="002C7CDD"/>
    <w:rsid w:val="002D030B"/>
    <w:rsid w:val="002D16B2"/>
    <w:rsid w:val="002E011D"/>
    <w:rsid w:val="002E0257"/>
    <w:rsid w:val="002E0B47"/>
    <w:rsid w:val="002E0CE1"/>
    <w:rsid w:val="002E2AD5"/>
    <w:rsid w:val="002E4689"/>
    <w:rsid w:val="002E55D8"/>
    <w:rsid w:val="002F05E7"/>
    <w:rsid w:val="002F141B"/>
    <w:rsid w:val="002F38D9"/>
    <w:rsid w:val="002F5EAC"/>
    <w:rsid w:val="00300383"/>
    <w:rsid w:val="00301895"/>
    <w:rsid w:val="003035BC"/>
    <w:rsid w:val="00303DB3"/>
    <w:rsid w:val="003070DB"/>
    <w:rsid w:val="00311733"/>
    <w:rsid w:val="003130E6"/>
    <w:rsid w:val="003148A0"/>
    <w:rsid w:val="00315A96"/>
    <w:rsid w:val="00317957"/>
    <w:rsid w:val="003252F9"/>
    <w:rsid w:val="00326649"/>
    <w:rsid w:val="003266CF"/>
    <w:rsid w:val="00326FFD"/>
    <w:rsid w:val="0033269D"/>
    <w:rsid w:val="003347E2"/>
    <w:rsid w:val="00335AFB"/>
    <w:rsid w:val="00340BCB"/>
    <w:rsid w:val="003436CA"/>
    <w:rsid w:val="00345C22"/>
    <w:rsid w:val="00351AA0"/>
    <w:rsid w:val="00353DE3"/>
    <w:rsid w:val="0035568D"/>
    <w:rsid w:val="0035604F"/>
    <w:rsid w:val="00357A2C"/>
    <w:rsid w:val="003609E1"/>
    <w:rsid w:val="00362F31"/>
    <w:rsid w:val="00363871"/>
    <w:rsid w:val="003644FE"/>
    <w:rsid w:val="003659A3"/>
    <w:rsid w:val="00366FA9"/>
    <w:rsid w:val="003671EA"/>
    <w:rsid w:val="0037441F"/>
    <w:rsid w:val="00375886"/>
    <w:rsid w:val="0037614B"/>
    <w:rsid w:val="003818CD"/>
    <w:rsid w:val="00382685"/>
    <w:rsid w:val="00386F10"/>
    <w:rsid w:val="00387B2C"/>
    <w:rsid w:val="003906FF"/>
    <w:rsid w:val="00391478"/>
    <w:rsid w:val="00396C50"/>
    <w:rsid w:val="003A193D"/>
    <w:rsid w:val="003A1E64"/>
    <w:rsid w:val="003A3552"/>
    <w:rsid w:val="003A6F5B"/>
    <w:rsid w:val="003B178C"/>
    <w:rsid w:val="003B2242"/>
    <w:rsid w:val="003B2B5A"/>
    <w:rsid w:val="003B2F2E"/>
    <w:rsid w:val="003B465C"/>
    <w:rsid w:val="003C0286"/>
    <w:rsid w:val="003C691E"/>
    <w:rsid w:val="003D14A5"/>
    <w:rsid w:val="003E18A9"/>
    <w:rsid w:val="003E3E30"/>
    <w:rsid w:val="003F43C8"/>
    <w:rsid w:val="003F75A6"/>
    <w:rsid w:val="003F7859"/>
    <w:rsid w:val="003F786B"/>
    <w:rsid w:val="00404EC7"/>
    <w:rsid w:val="00405302"/>
    <w:rsid w:val="00407349"/>
    <w:rsid w:val="004109BD"/>
    <w:rsid w:val="00411CF0"/>
    <w:rsid w:val="00416994"/>
    <w:rsid w:val="00416FC9"/>
    <w:rsid w:val="0041793F"/>
    <w:rsid w:val="00420CC0"/>
    <w:rsid w:val="0042361B"/>
    <w:rsid w:val="00424E6F"/>
    <w:rsid w:val="00424F1F"/>
    <w:rsid w:val="00432A57"/>
    <w:rsid w:val="00432FA4"/>
    <w:rsid w:val="004350E0"/>
    <w:rsid w:val="004402B8"/>
    <w:rsid w:val="00440BD0"/>
    <w:rsid w:val="00442FD6"/>
    <w:rsid w:val="0044462E"/>
    <w:rsid w:val="00446F3B"/>
    <w:rsid w:val="00452550"/>
    <w:rsid w:val="00453435"/>
    <w:rsid w:val="004560F5"/>
    <w:rsid w:val="0046208D"/>
    <w:rsid w:val="0046217C"/>
    <w:rsid w:val="00463C45"/>
    <w:rsid w:val="00465C14"/>
    <w:rsid w:val="004745CA"/>
    <w:rsid w:val="00476508"/>
    <w:rsid w:val="004804CE"/>
    <w:rsid w:val="00480AC6"/>
    <w:rsid w:val="00480BA8"/>
    <w:rsid w:val="00481E4A"/>
    <w:rsid w:val="00485C00"/>
    <w:rsid w:val="00490918"/>
    <w:rsid w:val="00493F29"/>
    <w:rsid w:val="004940B7"/>
    <w:rsid w:val="0049673D"/>
    <w:rsid w:val="004A2740"/>
    <w:rsid w:val="004A4366"/>
    <w:rsid w:val="004B3861"/>
    <w:rsid w:val="004B52FE"/>
    <w:rsid w:val="004B617C"/>
    <w:rsid w:val="004B6F27"/>
    <w:rsid w:val="004C6E14"/>
    <w:rsid w:val="004C727A"/>
    <w:rsid w:val="004C7F79"/>
    <w:rsid w:val="004D3AD6"/>
    <w:rsid w:val="004E0059"/>
    <w:rsid w:val="004F4C90"/>
    <w:rsid w:val="004F6635"/>
    <w:rsid w:val="00500009"/>
    <w:rsid w:val="00500671"/>
    <w:rsid w:val="00501D1D"/>
    <w:rsid w:val="00502D8F"/>
    <w:rsid w:val="00505CA3"/>
    <w:rsid w:val="00505DB2"/>
    <w:rsid w:val="005138FC"/>
    <w:rsid w:val="00515377"/>
    <w:rsid w:val="005154F4"/>
    <w:rsid w:val="00516797"/>
    <w:rsid w:val="005211A6"/>
    <w:rsid w:val="0052372C"/>
    <w:rsid w:val="0052503E"/>
    <w:rsid w:val="005259B3"/>
    <w:rsid w:val="00527AF7"/>
    <w:rsid w:val="00532D5D"/>
    <w:rsid w:val="00536130"/>
    <w:rsid w:val="00542065"/>
    <w:rsid w:val="00545CBA"/>
    <w:rsid w:val="00561521"/>
    <w:rsid w:val="00565777"/>
    <w:rsid w:val="005722D7"/>
    <w:rsid w:val="00572879"/>
    <w:rsid w:val="00572E6C"/>
    <w:rsid w:val="0058295D"/>
    <w:rsid w:val="00584480"/>
    <w:rsid w:val="00585B7B"/>
    <w:rsid w:val="00587C74"/>
    <w:rsid w:val="00590DD0"/>
    <w:rsid w:val="00591801"/>
    <w:rsid w:val="0059354C"/>
    <w:rsid w:val="00594B84"/>
    <w:rsid w:val="00594ED7"/>
    <w:rsid w:val="005959C0"/>
    <w:rsid w:val="00597884"/>
    <w:rsid w:val="005A02DC"/>
    <w:rsid w:val="005A0EAC"/>
    <w:rsid w:val="005A2481"/>
    <w:rsid w:val="005A425A"/>
    <w:rsid w:val="005A6337"/>
    <w:rsid w:val="005A72FD"/>
    <w:rsid w:val="005A7416"/>
    <w:rsid w:val="005A7608"/>
    <w:rsid w:val="005A7DC3"/>
    <w:rsid w:val="005B0EC7"/>
    <w:rsid w:val="005B1E9C"/>
    <w:rsid w:val="005B5C5C"/>
    <w:rsid w:val="005C06CF"/>
    <w:rsid w:val="005C1641"/>
    <w:rsid w:val="005C278A"/>
    <w:rsid w:val="005C3448"/>
    <w:rsid w:val="005C6D02"/>
    <w:rsid w:val="005D2396"/>
    <w:rsid w:val="005D4A0C"/>
    <w:rsid w:val="005D64D6"/>
    <w:rsid w:val="005D6B8A"/>
    <w:rsid w:val="005E1D1B"/>
    <w:rsid w:val="005F14F4"/>
    <w:rsid w:val="005F22A7"/>
    <w:rsid w:val="005F2DA7"/>
    <w:rsid w:val="005F3AA1"/>
    <w:rsid w:val="005F4CE4"/>
    <w:rsid w:val="00605578"/>
    <w:rsid w:val="0061539B"/>
    <w:rsid w:val="00615FD8"/>
    <w:rsid w:val="00616477"/>
    <w:rsid w:val="00616E0E"/>
    <w:rsid w:val="0061737B"/>
    <w:rsid w:val="00617914"/>
    <w:rsid w:val="00620CAE"/>
    <w:rsid w:val="0062334B"/>
    <w:rsid w:val="00625D32"/>
    <w:rsid w:val="006314C1"/>
    <w:rsid w:val="00632154"/>
    <w:rsid w:val="00632275"/>
    <w:rsid w:val="006337E8"/>
    <w:rsid w:val="006376F7"/>
    <w:rsid w:val="00642ABF"/>
    <w:rsid w:val="0064591A"/>
    <w:rsid w:val="00654274"/>
    <w:rsid w:val="00655F99"/>
    <w:rsid w:val="0065692E"/>
    <w:rsid w:val="00662D02"/>
    <w:rsid w:val="006632F7"/>
    <w:rsid w:val="00665022"/>
    <w:rsid w:val="0066504D"/>
    <w:rsid w:val="006671E7"/>
    <w:rsid w:val="006706E1"/>
    <w:rsid w:val="00671599"/>
    <w:rsid w:val="006741ED"/>
    <w:rsid w:val="00675614"/>
    <w:rsid w:val="00676573"/>
    <w:rsid w:val="00683D4D"/>
    <w:rsid w:val="00684C5B"/>
    <w:rsid w:val="00685380"/>
    <w:rsid w:val="00685F38"/>
    <w:rsid w:val="006908EA"/>
    <w:rsid w:val="00693E2C"/>
    <w:rsid w:val="00694337"/>
    <w:rsid w:val="00695563"/>
    <w:rsid w:val="006A0133"/>
    <w:rsid w:val="006A0772"/>
    <w:rsid w:val="006A20B2"/>
    <w:rsid w:val="006A27FC"/>
    <w:rsid w:val="006A2ECA"/>
    <w:rsid w:val="006A55B9"/>
    <w:rsid w:val="006A59FF"/>
    <w:rsid w:val="006A5B29"/>
    <w:rsid w:val="006A7A10"/>
    <w:rsid w:val="006B149E"/>
    <w:rsid w:val="006B2095"/>
    <w:rsid w:val="006B232C"/>
    <w:rsid w:val="006B3402"/>
    <w:rsid w:val="006B6D29"/>
    <w:rsid w:val="006C259F"/>
    <w:rsid w:val="006C2E1F"/>
    <w:rsid w:val="006C4B07"/>
    <w:rsid w:val="006C5606"/>
    <w:rsid w:val="006C7B92"/>
    <w:rsid w:val="006D21A5"/>
    <w:rsid w:val="006D5A81"/>
    <w:rsid w:val="006D6BB4"/>
    <w:rsid w:val="006D71D2"/>
    <w:rsid w:val="006D736F"/>
    <w:rsid w:val="006D759A"/>
    <w:rsid w:val="006D767A"/>
    <w:rsid w:val="006D77CB"/>
    <w:rsid w:val="006E05EA"/>
    <w:rsid w:val="006E06C4"/>
    <w:rsid w:val="006E17F8"/>
    <w:rsid w:val="006E6160"/>
    <w:rsid w:val="006E6F2D"/>
    <w:rsid w:val="006E768C"/>
    <w:rsid w:val="006F2E86"/>
    <w:rsid w:val="006F3DD2"/>
    <w:rsid w:val="00703ED9"/>
    <w:rsid w:val="007052C3"/>
    <w:rsid w:val="00713E86"/>
    <w:rsid w:val="00714715"/>
    <w:rsid w:val="007150AD"/>
    <w:rsid w:val="00720529"/>
    <w:rsid w:val="007213F1"/>
    <w:rsid w:val="00722B06"/>
    <w:rsid w:val="00722B72"/>
    <w:rsid w:val="0072480C"/>
    <w:rsid w:val="00733C0B"/>
    <w:rsid w:val="007351BE"/>
    <w:rsid w:val="00736818"/>
    <w:rsid w:val="00737785"/>
    <w:rsid w:val="007430A2"/>
    <w:rsid w:val="00745296"/>
    <w:rsid w:val="0074791B"/>
    <w:rsid w:val="0075045D"/>
    <w:rsid w:val="00750510"/>
    <w:rsid w:val="00750A21"/>
    <w:rsid w:val="00754101"/>
    <w:rsid w:val="00755280"/>
    <w:rsid w:val="00770C74"/>
    <w:rsid w:val="00772CA3"/>
    <w:rsid w:val="00774962"/>
    <w:rsid w:val="00775647"/>
    <w:rsid w:val="007757FE"/>
    <w:rsid w:val="00776B8D"/>
    <w:rsid w:val="00776EE1"/>
    <w:rsid w:val="00777D5E"/>
    <w:rsid w:val="00784483"/>
    <w:rsid w:val="00785989"/>
    <w:rsid w:val="007861FB"/>
    <w:rsid w:val="007867AA"/>
    <w:rsid w:val="007907BF"/>
    <w:rsid w:val="0079317A"/>
    <w:rsid w:val="007A07EB"/>
    <w:rsid w:val="007A085A"/>
    <w:rsid w:val="007A3A77"/>
    <w:rsid w:val="007A7D3A"/>
    <w:rsid w:val="007A7E67"/>
    <w:rsid w:val="007B0C61"/>
    <w:rsid w:val="007B457D"/>
    <w:rsid w:val="007B5614"/>
    <w:rsid w:val="007B5D0C"/>
    <w:rsid w:val="007B72C7"/>
    <w:rsid w:val="007C0A4E"/>
    <w:rsid w:val="007C0F05"/>
    <w:rsid w:val="007C0F2C"/>
    <w:rsid w:val="007C20CD"/>
    <w:rsid w:val="007C231C"/>
    <w:rsid w:val="007C2EC0"/>
    <w:rsid w:val="007C34AD"/>
    <w:rsid w:val="007C5877"/>
    <w:rsid w:val="007D5B02"/>
    <w:rsid w:val="007D5ED1"/>
    <w:rsid w:val="007D7B17"/>
    <w:rsid w:val="007E2464"/>
    <w:rsid w:val="007F1F1C"/>
    <w:rsid w:val="007F3CF9"/>
    <w:rsid w:val="00804B8C"/>
    <w:rsid w:val="00805FDC"/>
    <w:rsid w:val="00806902"/>
    <w:rsid w:val="0081055B"/>
    <w:rsid w:val="00810E7C"/>
    <w:rsid w:val="008120F5"/>
    <w:rsid w:val="00813AC8"/>
    <w:rsid w:val="00814CBB"/>
    <w:rsid w:val="008170D1"/>
    <w:rsid w:val="008212A7"/>
    <w:rsid w:val="008217E0"/>
    <w:rsid w:val="0082231A"/>
    <w:rsid w:val="00831A72"/>
    <w:rsid w:val="00832B28"/>
    <w:rsid w:val="00833411"/>
    <w:rsid w:val="00833C2D"/>
    <w:rsid w:val="00833D7A"/>
    <w:rsid w:val="0084066D"/>
    <w:rsid w:val="00841B95"/>
    <w:rsid w:val="00842218"/>
    <w:rsid w:val="00842544"/>
    <w:rsid w:val="0084254E"/>
    <w:rsid w:val="008430A7"/>
    <w:rsid w:val="00844660"/>
    <w:rsid w:val="008522F2"/>
    <w:rsid w:val="0085744F"/>
    <w:rsid w:val="008600F9"/>
    <w:rsid w:val="0086060D"/>
    <w:rsid w:val="0086173C"/>
    <w:rsid w:val="008623C6"/>
    <w:rsid w:val="008626DE"/>
    <w:rsid w:val="008634F5"/>
    <w:rsid w:val="00865D06"/>
    <w:rsid w:val="00866AE2"/>
    <w:rsid w:val="0087138F"/>
    <w:rsid w:val="00874867"/>
    <w:rsid w:val="0088098A"/>
    <w:rsid w:val="0088168B"/>
    <w:rsid w:val="00887353"/>
    <w:rsid w:val="008921CB"/>
    <w:rsid w:val="00892CEB"/>
    <w:rsid w:val="00892DC2"/>
    <w:rsid w:val="00893C1C"/>
    <w:rsid w:val="008A04DA"/>
    <w:rsid w:val="008A206D"/>
    <w:rsid w:val="008A60A4"/>
    <w:rsid w:val="008B0240"/>
    <w:rsid w:val="008B53EA"/>
    <w:rsid w:val="008B70F2"/>
    <w:rsid w:val="008C2139"/>
    <w:rsid w:val="008C28CD"/>
    <w:rsid w:val="008C4708"/>
    <w:rsid w:val="008C707C"/>
    <w:rsid w:val="008D28DE"/>
    <w:rsid w:val="008D2C97"/>
    <w:rsid w:val="008D42EE"/>
    <w:rsid w:val="008D510A"/>
    <w:rsid w:val="008D77CD"/>
    <w:rsid w:val="008D789C"/>
    <w:rsid w:val="008D7D52"/>
    <w:rsid w:val="008E27A3"/>
    <w:rsid w:val="008E2D47"/>
    <w:rsid w:val="008E4B96"/>
    <w:rsid w:val="008E5177"/>
    <w:rsid w:val="008E783D"/>
    <w:rsid w:val="008F00A0"/>
    <w:rsid w:val="008F245F"/>
    <w:rsid w:val="008F25EC"/>
    <w:rsid w:val="008F62C6"/>
    <w:rsid w:val="008F62DB"/>
    <w:rsid w:val="008F7ACF"/>
    <w:rsid w:val="00901B63"/>
    <w:rsid w:val="00907E6F"/>
    <w:rsid w:val="00910FB5"/>
    <w:rsid w:val="009118BA"/>
    <w:rsid w:val="009122A7"/>
    <w:rsid w:val="009132BB"/>
    <w:rsid w:val="00913388"/>
    <w:rsid w:val="009179FA"/>
    <w:rsid w:val="00920AFE"/>
    <w:rsid w:val="009212E2"/>
    <w:rsid w:val="0092177F"/>
    <w:rsid w:val="009254BE"/>
    <w:rsid w:val="00930905"/>
    <w:rsid w:val="00930B90"/>
    <w:rsid w:val="009343C2"/>
    <w:rsid w:val="00937416"/>
    <w:rsid w:val="00942AB2"/>
    <w:rsid w:val="00942FC7"/>
    <w:rsid w:val="00943700"/>
    <w:rsid w:val="00944333"/>
    <w:rsid w:val="00951671"/>
    <w:rsid w:val="0095432B"/>
    <w:rsid w:val="00961687"/>
    <w:rsid w:val="009629C7"/>
    <w:rsid w:val="009631D8"/>
    <w:rsid w:val="009660CC"/>
    <w:rsid w:val="009667F8"/>
    <w:rsid w:val="00970B44"/>
    <w:rsid w:val="00970BB3"/>
    <w:rsid w:val="0097494F"/>
    <w:rsid w:val="00986359"/>
    <w:rsid w:val="00994D7E"/>
    <w:rsid w:val="00995878"/>
    <w:rsid w:val="00995D97"/>
    <w:rsid w:val="009970E0"/>
    <w:rsid w:val="0099724D"/>
    <w:rsid w:val="009A17E9"/>
    <w:rsid w:val="009A57C9"/>
    <w:rsid w:val="009B04D8"/>
    <w:rsid w:val="009B084A"/>
    <w:rsid w:val="009B35F7"/>
    <w:rsid w:val="009B49A0"/>
    <w:rsid w:val="009B5DD9"/>
    <w:rsid w:val="009B722C"/>
    <w:rsid w:val="009C0551"/>
    <w:rsid w:val="009C69D5"/>
    <w:rsid w:val="009D1DF6"/>
    <w:rsid w:val="009D5011"/>
    <w:rsid w:val="009E0649"/>
    <w:rsid w:val="009E2150"/>
    <w:rsid w:val="009E4529"/>
    <w:rsid w:val="009E57CE"/>
    <w:rsid w:val="009E675D"/>
    <w:rsid w:val="009E780B"/>
    <w:rsid w:val="009F41FE"/>
    <w:rsid w:val="009F5885"/>
    <w:rsid w:val="009F5B27"/>
    <w:rsid w:val="00A07C92"/>
    <w:rsid w:val="00A11A32"/>
    <w:rsid w:val="00A124F5"/>
    <w:rsid w:val="00A1349E"/>
    <w:rsid w:val="00A163CF"/>
    <w:rsid w:val="00A208FB"/>
    <w:rsid w:val="00A223C7"/>
    <w:rsid w:val="00A22FE8"/>
    <w:rsid w:val="00A315D3"/>
    <w:rsid w:val="00A414EE"/>
    <w:rsid w:val="00A43A10"/>
    <w:rsid w:val="00A43B25"/>
    <w:rsid w:val="00A447E3"/>
    <w:rsid w:val="00A50F39"/>
    <w:rsid w:val="00A6082B"/>
    <w:rsid w:val="00A63048"/>
    <w:rsid w:val="00A70C59"/>
    <w:rsid w:val="00A739AB"/>
    <w:rsid w:val="00A73F7E"/>
    <w:rsid w:val="00A755B4"/>
    <w:rsid w:val="00A75D68"/>
    <w:rsid w:val="00A76087"/>
    <w:rsid w:val="00A77699"/>
    <w:rsid w:val="00A81A05"/>
    <w:rsid w:val="00A81CAC"/>
    <w:rsid w:val="00A8312C"/>
    <w:rsid w:val="00A90197"/>
    <w:rsid w:val="00A91473"/>
    <w:rsid w:val="00A9363A"/>
    <w:rsid w:val="00A9391C"/>
    <w:rsid w:val="00A93B71"/>
    <w:rsid w:val="00AA0527"/>
    <w:rsid w:val="00AA25C8"/>
    <w:rsid w:val="00AA2EF5"/>
    <w:rsid w:val="00AA3C68"/>
    <w:rsid w:val="00AA71C9"/>
    <w:rsid w:val="00AA7EC0"/>
    <w:rsid w:val="00AB0292"/>
    <w:rsid w:val="00AB22E8"/>
    <w:rsid w:val="00AB3978"/>
    <w:rsid w:val="00AC0CEF"/>
    <w:rsid w:val="00AC1244"/>
    <w:rsid w:val="00AC287C"/>
    <w:rsid w:val="00AC504C"/>
    <w:rsid w:val="00AC77A3"/>
    <w:rsid w:val="00AD0182"/>
    <w:rsid w:val="00AD09C4"/>
    <w:rsid w:val="00AD1E01"/>
    <w:rsid w:val="00AD4674"/>
    <w:rsid w:val="00AE38F5"/>
    <w:rsid w:val="00AE5461"/>
    <w:rsid w:val="00AF0ED0"/>
    <w:rsid w:val="00AF11EA"/>
    <w:rsid w:val="00AF2CDD"/>
    <w:rsid w:val="00AF39FA"/>
    <w:rsid w:val="00B00462"/>
    <w:rsid w:val="00B01917"/>
    <w:rsid w:val="00B01FC5"/>
    <w:rsid w:val="00B03EB9"/>
    <w:rsid w:val="00B0447B"/>
    <w:rsid w:val="00B04DF6"/>
    <w:rsid w:val="00B10110"/>
    <w:rsid w:val="00B101E6"/>
    <w:rsid w:val="00B10248"/>
    <w:rsid w:val="00B104E2"/>
    <w:rsid w:val="00B10B0B"/>
    <w:rsid w:val="00B11177"/>
    <w:rsid w:val="00B114D1"/>
    <w:rsid w:val="00B11DE0"/>
    <w:rsid w:val="00B12507"/>
    <w:rsid w:val="00B12731"/>
    <w:rsid w:val="00B14EF4"/>
    <w:rsid w:val="00B16F3F"/>
    <w:rsid w:val="00B20944"/>
    <w:rsid w:val="00B21D37"/>
    <w:rsid w:val="00B238A9"/>
    <w:rsid w:val="00B24B12"/>
    <w:rsid w:val="00B25586"/>
    <w:rsid w:val="00B310F0"/>
    <w:rsid w:val="00B32624"/>
    <w:rsid w:val="00B336D8"/>
    <w:rsid w:val="00B33966"/>
    <w:rsid w:val="00B3511A"/>
    <w:rsid w:val="00B36656"/>
    <w:rsid w:val="00B37867"/>
    <w:rsid w:val="00B40D9F"/>
    <w:rsid w:val="00B411EC"/>
    <w:rsid w:val="00B41DCB"/>
    <w:rsid w:val="00B433A0"/>
    <w:rsid w:val="00B53DAD"/>
    <w:rsid w:val="00B80F6C"/>
    <w:rsid w:val="00B8364E"/>
    <w:rsid w:val="00B83CA9"/>
    <w:rsid w:val="00B87AD2"/>
    <w:rsid w:val="00B9031B"/>
    <w:rsid w:val="00B909F7"/>
    <w:rsid w:val="00B958C5"/>
    <w:rsid w:val="00B96ADF"/>
    <w:rsid w:val="00B97591"/>
    <w:rsid w:val="00BA006C"/>
    <w:rsid w:val="00BA11FF"/>
    <w:rsid w:val="00BA2F1E"/>
    <w:rsid w:val="00BB083E"/>
    <w:rsid w:val="00BB20BB"/>
    <w:rsid w:val="00BB2ABD"/>
    <w:rsid w:val="00BB302C"/>
    <w:rsid w:val="00BB4744"/>
    <w:rsid w:val="00BB77DD"/>
    <w:rsid w:val="00BC3992"/>
    <w:rsid w:val="00BC4B92"/>
    <w:rsid w:val="00BD399A"/>
    <w:rsid w:val="00BD3C38"/>
    <w:rsid w:val="00BD403C"/>
    <w:rsid w:val="00BD4995"/>
    <w:rsid w:val="00BE072E"/>
    <w:rsid w:val="00BE13F2"/>
    <w:rsid w:val="00BE192B"/>
    <w:rsid w:val="00BE2533"/>
    <w:rsid w:val="00BE551A"/>
    <w:rsid w:val="00BE59CE"/>
    <w:rsid w:val="00BF09E0"/>
    <w:rsid w:val="00BF0C10"/>
    <w:rsid w:val="00BF13F2"/>
    <w:rsid w:val="00BF4049"/>
    <w:rsid w:val="00BF7C57"/>
    <w:rsid w:val="00C0163E"/>
    <w:rsid w:val="00C05528"/>
    <w:rsid w:val="00C1526D"/>
    <w:rsid w:val="00C15E8D"/>
    <w:rsid w:val="00C17C39"/>
    <w:rsid w:val="00C21D67"/>
    <w:rsid w:val="00C26383"/>
    <w:rsid w:val="00C307CF"/>
    <w:rsid w:val="00C31C0D"/>
    <w:rsid w:val="00C322F6"/>
    <w:rsid w:val="00C32647"/>
    <w:rsid w:val="00C34652"/>
    <w:rsid w:val="00C3553E"/>
    <w:rsid w:val="00C377B8"/>
    <w:rsid w:val="00C445DD"/>
    <w:rsid w:val="00C475B5"/>
    <w:rsid w:val="00C47CB9"/>
    <w:rsid w:val="00C50F8A"/>
    <w:rsid w:val="00C54FEB"/>
    <w:rsid w:val="00C55762"/>
    <w:rsid w:val="00C56993"/>
    <w:rsid w:val="00C6019E"/>
    <w:rsid w:val="00C62E37"/>
    <w:rsid w:val="00C6652E"/>
    <w:rsid w:val="00C67716"/>
    <w:rsid w:val="00C71BA8"/>
    <w:rsid w:val="00C7220E"/>
    <w:rsid w:val="00C7310F"/>
    <w:rsid w:val="00C73FCD"/>
    <w:rsid w:val="00C750C8"/>
    <w:rsid w:val="00C76A26"/>
    <w:rsid w:val="00C84C2B"/>
    <w:rsid w:val="00C8594D"/>
    <w:rsid w:val="00C92FD7"/>
    <w:rsid w:val="00C93C66"/>
    <w:rsid w:val="00C94CAC"/>
    <w:rsid w:val="00C9721C"/>
    <w:rsid w:val="00CA2AC1"/>
    <w:rsid w:val="00CA504A"/>
    <w:rsid w:val="00CA6107"/>
    <w:rsid w:val="00CA6985"/>
    <w:rsid w:val="00CA7619"/>
    <w:rsid w:val="00CB218D"/>
    <w:rsid w:val="00CB3640"/>
    <w:rsid w:val="00CB483C"/>
    <w:rsid w:val="00CB5545"/>
    <w:rsid w:val="00CB7A72"/>
    <w:rsid w:val="00CC49D6"/>
    <w:rsid w:val="00CC5E06"/>
    <w:rsid w:val="00CC7E4B"/>
    <w:rsid w:val="00CD514E"/>
    <w:rsid w:val="00CD6216"/>
    <w:rsid w:val="00CD668B"/>
    <w:rsid w:val="00CD7A21"/>
    <w:rsid w:val="00CD7C93"/>
    <w:rsid w:val="00CE0B01"/>
    <w:rsid w:val="00CE2B81"/>
    <w:rsid w:val="00CE4B53"/>
    <w:rsid w:val="00CE7071"/>
    <w:rsid w:val="00CF04D1"/>
    <w:rsid w:val="00CF2C68"/>
    <w:rsid w:val="00CF4589"/>
    <w:rsid w:val="00CF465D"/>
    <w:rsid w:val="00CF4B1F"/>
    <w:rsid w:val="00CF691C"/>
    <w:rsid w:val="00D107F7"/>
    <w:rsid w:val="00D13485"/>
    <w:rsid w:val="00D24A0C"/>
    <w:rsid w:val="00D323CD"/>
    <w:rsid w:val="00D325B1"/>
    <w:rsid w:val="00D34B5C"/>
    <w:rsid w:val="00D34CD2"/>
    <w:rsid w:val="00D374E7"/>
    <w:rsid w:val="00D37655"/>
    <w:rsid w:val="00D4036D"/>
    <w:rsid w:val="00D41BE2"/>
    <w:rsid w:val="00D42E3E"/>
    <w:rsid w:val="00D45AF3"/>
    <w:rsid w:val="00D465FE"/>
    <w:rsid w:val="00D47FD6"/>
    <w:rsid w:val="00D51380"/>
    <w:rsid w:val="00D5280F"/>
    <w:rsid w:val="00D54129"/>
    <w:rsid w:val="00D551F2"/>
    <w:rsid w:val="00D60944"/>
    <w:rsid w:val="00D72906"/>
    <w:rsid w:val="00D74B05"/>
    <w:rsid w:val="00D75019"/>
    <w:rsid w:val="00D75260"/>
    <w:rsid w:val="00D77C7E"/>
    <w:rsid w:val="00D80429"/>
    <w:rsid w:val="00D8153B"/>
    <w:rsid w:val="00D82AE2"/>
    <w:rsid w:val="00D85715"/>
    <w:rsid w:val="00D861DF"/>
    <w:rsid w:val="00D8625C"/>
    <w:rsid w:val="00D91496"/>
    <w:rsid w:val="00D92C06"/>
    <w:rsid w:val="00D96FCD"/>
    <w:rsid w:val="00DA0516"/>
    <w:rsid w:val="00DA140B"/>
    <w:rsid w:val="00DA17F9"/>
    <w:rsid w:val="00DA20D6"/>
    <w:rsid w:val="00DA30DA"/>
    <w:rsid w:val="00DA433E"/>
    <w:rsid w:val="00DA6ABC"/>
    <w:rsid w:val="00DB0A83"/>
    <w:rsid w:val="00DB585B"/>
    <w:rsid w:val="00DB6BB3"/>
    <w:rsid w:val="00DC11F3"/>
    <w:rsid w:val="00DC13EA"/>
    <w:rsid w:val="00DC3289"/>
    <w:rsid w:val="00DC4DFE"/>
    <w:rsid w:val="00DC5E40"/>
    <w:rsid w:val="00DC7BFF"/>
    <w:rsid w:val="00DC7D37"/>
    <w:rsid w:val="00DD78B7"/>
    <w:rsid w:val="00DE1B77"/>
    <w:rsid w:val="00DF44D5"/>
    <w:rsid w:val="00DF6156"/>
    <w:rsid w:val="00DF7B2F"/>
    <w:rsid w:val="00E0320B"/>
    <w:rsid w:val="00E043AC"/>
    <w:rsid w:val="00E05693"/>
    <w:rsid w:val="00E10CC9"/>
    <w:rsid w:val="00E1182B"/>
    <w:rsid w:val="00E167E0"/>
    <w:rsid w:val="00E16A35"/>
    <w:rsid w:val="00E17459"/>
    <w:rsid w:val="00E21B4B"/>
    <w:rsid w:val="00E24FC8"/>
    <w:rsid w:val="00E263E0"/>
    <w:rsid w:val="00E32F81"/>
    <w:rsid w:val="00E34642"/>
    <w:rsid w:val="00E34BFA"/>
    <w:rsid w:val="00E4088E"/>
    <w:rsid w:val="00E42247"/>
    <w:rsid w:val="00E4760B"/>
    <w:rsid w:val="00E51425"/>
    <w:rsid w:val="00E52B3A"/>
    <w:rsid w:val="00E608C5"/>
    <w:rsid w:val="00E623A7"/>
    <w:rsid w:val="00E64BB6"/>
    <w:rsid w:val="00E65AA6"/>
    <w:rsid w:val="00E673BF"/>
    <w:rsid w:val="00E677E7"/>
    <w:rsid w:val="00E73B9F"/>
    <w:rsid w:val="00E77A8E"/>
    <w:rsid w:val="00E8071D"/>
    <w:rsid w:val="00E82FD6"/>
    <w:rsid w:val="00E832AD"/>
    <w:rsid w:val="00E9021B"/>
    <w:rsid w:val="00E911CC"/>
    <w:rsid w:val="00E915CD"/>
    <w:rsid w:val="00E91DF4"/>
    <w:rsid w:val="00E9227E"/>
    <w:rsid w:val="00E93687"/>
    <w:rsid w:val="00E95C96"/>
    <w:rsid w:val="00EA15CF"/>
    <w:rsid w:val="00EB3612"/>
    <w:rsid w:val="00EB5B17"/>
    <w:rsid w:val="00EB7658"/>
    <w:rsid w:val="00EB7D72"/>
    <w:rsid w:val="00EC0598"/>
    <w:rsid w:val="00EC05CC"/>
    <w:rsid w:val="00EC0869"/>
    <w:rsid w:val="00EC47B4"/>
    <w:rsid w:val="00EC5D4E"/>
    <w:rsid w:val="00EC6941"/>
    <w:rsid w:val="00EC7BBC"/>
    <w:rsid w:val="00ED0DB9"/>
    <w:rsid w:val="00ED6681"/>
    <w:rsid w:val="00ED7AB8"/>
    <w:rsid w:val="00ED7AF2"/>
    <w:rsid w:val="00EE09F5"/>
    <w:rsid w:val="00EE0A6C"/>
    <w:rsid w:val="00EE3292"/>
    <w:rsid w:val="00EE3BD9"/>
    <w:rsid w:val="00EE558B"/>
    <w:rsid w:val="00EE5846"/>
    <w:rsid w:val="00EE676B"/>
    <w:rsid w:val="00EE7D3E"/>
    <w:rsid w:val="00EF03C6"/>
    <w:rsid w:val="00EF5C77"/>
    <w:rsid w:val="00EF666F"/>
    <w:rsid w:val="00EF7422"/>
    <w:rsid w:val="00F01660"/>
    <w:rsid w:val="00F01FC8"/>
    <w:rsid w:val="00F0272E"/>
    <w:rsid w:val="00F047B5"/>
    <w:rsid w:val="00F05010"/>
    <w:rsid w:val="00F06077"/>
    <w:rsid w:val="00F1205C"/>
    <w:rsid w:val="00F14A25"/>
    <w:rsid w:val="00F1626F"/>
    <w:rsid w:val="00F16858"/>
    <w:rsid w:val="00F16D1C"/>
    <w:rsid w:val="00F179F3"/>
    <w:rsid w:val="00F22009"/>
    <w:rsid w:val="00F2782A"/>
    <w:rsid w:val="00F30A6B"/>
    <w:rsid w:val="00F315A4"/>
    <w:rsid w:val="00F3166E"/>
    <w:rsid w:val="00F33394"/>
    <w:rsid w:val="00F36028"/>
    <w:rsid w:val="00F432AB"/>
    <w:rsid w:val="00F43A06"/>
    <w:rsid w:val="00F43AF5"/>
    <w:rsid w:val="00F442B5"/>
    <w:rsid w:val="00F45F52"/>
    <w:rsid w:val="00F462F2"/>
    <w:rsid w:val="00F463E3"/>
    <w:rsid w:val="00F47A3A"/>
    <w:rsid w:val="00F47AD8"/>
    <w:rsid w:val="00F53021"/>
    <w:rsid w:val="00F535A5"/>
    <w:rsid w:val="00F54FEF"/>
    <w:rsid w:val="00F577B3"/>
    <w:rsid w:val="00F57B67"/>
    <w:rsid w:val="00F62CB4"/>
    <w:rsid w:val="00F63024"/>
    <w:rsid w:val="00F65E20"/>
    <w:rsid w:val="00F65FDD"/>
    <w:rsid w:val="00F66339"/>
    <w:rsid w:val="00F66649"/>
    <w:rsid w:val="00F67C20"/>
    <w:rsid w:val="00F70A4C"/>
    <w:rsid w:val="00F71637"/>
    <w:rsid w:val="00F74EB3"/>
    <w:rsid w:val="00F754B6"/>
    <w:rsid w:val="00F7723B"/>
    <w:rsid w:val="00F778A9"/>
    <w:rsid w:val="00F779B0"/>
    <w:rsid w:val="00F77D1A"/>
    <w:rsid w:val="00F826B9"/>
    <w:rsid w:val="00F82E1F"/>
    <w:rsid w:val="00F8410E"/>
    <w:rsid w:val="00F86CE7"/>
    <w:rsid w:val="00F922AC"/>
    <w:rsid w:val="00F95945"/>
    <w:rsid w:val="00FA146C"/>
    <w:rsid w:val="00FA1E71"/>
    <w:rsid w:val="00FA2F5A"/>
    <w:rsid w:val="00FA3B16"/>
    <w:rsid w:val="00FA6E3B"/>
    <w:rsid w:val="00FB1B17"/>
    <w:rsid w:val="00FB31CB"/>
    <w:rsid w:val="00FC19A3"/>
    <w:rsid w:val="00FC2C12"/>
    <w:rsid w:val="00FC2DE0"/>
    <w:rsid w:val="00FC5136"/>
    <w:rsid w:val="00FC5669"/>
    <w:rsid w:val="00FC6855"/>
    <w:rsid w:val="00FD055B"/>
    <w:rsid w:val="00FD6ECE"/>
    <w:rsid w:val="00FD7252"/>
    <w:rsid w:val="00FD7331"/>
    <w:rsid w:val="00FE187E"/>
    <w:rsid w:val="00FE3414"/>
    <w:rsid w:val="00FF2E3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F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HTML Top of Form"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CD"/>
    <w:rPr>
      <w:rFonts w:ascii="Times New Roman" w:hAnsi="Times New Roman"/>
      <w:sz w:val="24"/>
      <w:szCs w:val="24"/>
    </w:rPr>
  </w:style>
  <w:style w:type="paragraph" w:styleId="Heading3">
    <w:name w:val="heading 3"/>
    <w:basedOn w:val="Normal"/>
    <w:next w:val="Normal"/>
    <w:link w:val="Heading3Char"/>
    <w:semiHidden/>
    <w:unhideWhenUsed/>
    <w:qFormat/>
    <w:locked/>
    <w:rsid w:val="00722B06"/>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59"/>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link w:val="BodyText"/>
    <w:semiHidden/>
    <w:locked/>
    <w:rsid w:val="00D96FCD"/>
    <w:rPr>
      <w:rFonts w:ascii="Times New Roman" w:hAnsi="Times New Roman" w:cs="Times New Roman"/>
      <w:sz w:val="24"/>
      <w:szCs w:val="24"/>
      <w:lang w:eastAsia="lv-LV"/>
    </w:rPr>
  </w:style>
  <w:style w:type="character" w:styleId="Hyperlink">
    <w:name w:val="Hyperlink"/>
    <w:rsid w:val="00844660"/>
    <w:rPr>
      <w:color w:val="0000FF"/>
      <w:u w:val="single"/>
    </w:rPr>
  </w:style>
  <w:style w:type="character" w:styleId="Emphasis">
    <w:name w:val="Emphasis"/>
    <w:uiPriority w:val="20"/>
    <w:qFormat/>
    <w:locked/>
    <w:rsid w:val="003A193D"/>
    <w:rPr>
      <w:b/>
      <w:bCs/>
      <w:i w:val="0"/>
      <w:iCs w:val="0"/>
    </w:rPr>
  </w:style>
  <w:style w:type="character" w:customStyle="1" w:styleId="std1">
    <w:name w:val="std1"/>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BalloonText">
    <w:name w:val="Balloon Text"/>
    <w:basedOn w:val="Normal"/>
    <w:link w:val="BalloonTextChar"/>
    <w:rsid w:val="00C62E37"/>
    <w:rPr>
      <w:rFonts w:ascii="Segoe UI" w:hAnsi="Segoe UI" w:cs="Segoe UI"/>
      <w:sz w:val="18"/>
      <w:szCs w:val="18"/>
    </w:rPr>
  </w:style>
  <w:style w:type="character" w:customStyle="1" w:styleId="BalloonTextChar">
    <w:name w:val="Balloon Text Char"/>
    <w:link w:val="BalloonText"/>
    <w:rsid w:val="00C62E37"/>
    <w:rPr>
      <w:rFonts w:ascii="Segoe UI" w:hAnsi="Segoe UI" w:cs="Segoe UI"/>
      <w:sz w:val="18"/>
      <w:szCs w:val="18"/>
    </w:rPr>
  </w:style>
  <w:style w:type="paragraph" w:styleId="ListParagraph">
    <w:name w:val="List Paragraph"/>
    <w:basedOn w:val="Normal"/>
    <w:uiPriority w:val="34"/>
    <w:qFormat/>
    <w:rsid w:val="001E1DA8"/>
    <w:pPr>
      <w:ind w:left="720"/>
      <w:contextualSpacing/>
    </w:pPr>
  </w:style>
  <w:style w:type="paragraph" w:customStyle="1" w:styleId="tvhtml">
    <w:name w:val="tv_html"/>
    <w:basedOn w:val="Normal"/>
    <w:rsid w:val="003E3E30"/>
    <w:pPr>
      <w:spacing w:before="100" w:beforeAutospacing="1" w:after="100" w:afterAutospacing="1"/>
    </w:pPr>
    <w:rPr>
      <w:rFonts w:eastAsia="Times New Roman"/>
    </w:rPr>
  </w:style>
  <w:style w:type="character" w:customStyle="1" w:styleId="apple-converted-space">
    <w:name w:val="apple-converted-space"/>
    <w:basedOn w:val="DefaultParagraphFont"/>
    <w:rsid w:val="003E3E30"/>
  </w:style>
  <w:style w:type="paragraph" w:customStyle="1" w:styleId="tv213">
    <w:name w:val="tv213"/>
    <w:basedOn w:val="Normal"/>
    <w:rsid w:val="00ED7AF2"/>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0443DE"/>
    <w:rPr>
      <w:sz w:val="16"/>
      <w:szCs w:val="16"/>
    </w:rPr>
  </w:style>
  <w:style w:type="paragraph" w:styleId="CommentText">
    <w:name w:val="annotation text"/>
    <w:basedOn w:val="Normal"/>
    <w:link w:val="CommentTextChar"/>
    <w:semiHidden/>
    <w:unhideWhenUsed/>
    <w:rsid w:val="000443DE"/>
    <w:rPr>
      <w:sz w:val="20"/>
      <w:szCs w:val="20"/>
    </w:rPr>
  </w:style>
  <w:style w:type="character" w:customStyle="1" w:styleId="CommentTextChar">
    <w:name w:val="Comment Text Char"/>
    <w:basedOn w:val="DefaultParagraphFont"/>
    <w:link w:val="CommentText"/>
    <w:semiHidden/>
    <w:rsid w:val="000443DE"/>
    <w:rPr>
      <w:rFonts w:ascii="Times New Roman" w:hAnsi="Times New Roman"/>
    </w:rPr>
  </w:style>
  <w:style w:type="paragraph" w:styleId="CommentSubject">
    <w:name w:val="annotation subject"/>
    <w:basedOn w:val="CommentText"/>
    <w:next w:val="CommentText"/>
    <w:link w:val="CommentSubjectChar"/>
    <w:semiHidden/>
    <w:unhideWhenUsed/>
    <w:rsid w:val="000443DE"/>
    <w:rPr>
      <w:b/>
      <w:bCs/>
    </w:rPr>
  </w:style>
  <w:style w:type="character" w:customStyle="1" w:styleId="CommentSubjectChar">
    <w:name w:val="Comment Subject Char"/>
    <w:basedOn w:val="CommentTextChar"/>
    <w:link w:val="CommentSubject"/>
    <w:semiHidden/>
    <w:rsid w:val="000443DE"/>
    <w:rPr>
      <w:rFonts w:ascii="Times New Roman" w:hAnsi="Times New Roman"/>
      <w:b/>
      <w:bCs/>
    </w:rPr>
  </w:style>
  <w:style w:type="character" w:styleId="Strong">
    <w:name w:val="Strong"/>
    <w:basedOn w:val="DefaultParagraphFont"/>
    <w:uiPriority w:val="22"/>
    <w:qFormat/>
    <w:locked/>
    <w:rsid w:val="0088098A"/>
    <w:rPr>
      <w:b/>
      <w:bCs/>
    </w:rPr>
  </w:style>
  <w:style w:type="paragraph" w:styleId="z-TopofForm">
    <w:name w:val="HTML Top of Form"/>
    <w:basedOn w:val="Normal"/>
    <w:next w:val="Normal"/>
    <w:link w:val="z-TopofFormChar"/>
    <w:hidden/>
    <w:uiPriority w:val="99"/>
    <w:semiHidden/>
    <w:rsid w:val="008623C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23C6"/>
    <w:rPr>
      <w:rFonts w:ascii="Arial" w:eastAsia="Times New Roman" w:hAnsi="Arial" w:cs="Arial"/>
      <w:vanish/>
      <w:sz w:val="16"/>
      <w:szCs w:val="16"/>
    </w:rPr>
  </w:style>
  <w:style w:type="numbering" w:customStyle="1" w:styleId="WW8Num17">
    <w:name w:val="WW8Num17"/>
    <w:basedOn w:val="NoList"/>
    <w:rsid w:val="008623C6"/>
    <w:pPr>
      <w:numPr>
        <w:numId w:val="16"/>
      </w:numPr>
    </w:pPr>
  </w:style>
  <w:style w:type="paragraph" w:styleId="NoSpacing">
    <w:name w:val="No Spacing"/>
    <w:uiPriority w:val="1"/>
    <w:qFormat/>
    <w:rsid w:val="008623C6"/>
    <w:pPr>
      <w:widowControl w:val="0"/>
    </w:pPr>
    <w:rPr>
      <w:sz w:val="22"/>
      <w:szCs w:val="22"/>
      <w:lang w:val="en-US" w:eastAsia="en-US"/>
    </w:rPr>
  </w:style>
  <w:style w:type="paragraph" w:customStyle="1" w:styleId="naisc">
    <w:name w:val="naisc"/>
    <w:basedOn w:val="Normal"/>
    <w:rsid w:val="0004080F"/>
    <w:pPr>
      <w:spacing w:before="75" w:after="75"/>
      <w:jc w:val="center"/>
    </w:pPr>
    <w:rPr>
      <w:rFonts w:eastAsia="Times New Roman"/>
    </w:rPr>
  </w:style>
  <w:style w:type="character" w:customStyle="1" w:styleId="Heading3Char">
    <w:name w:val="Heading 3 Char"/>
    <w:basedOn w:val="DefaultParagraphFont"/>
    <w:link w:val="Heading3"/>
    <w:semiHidden/>
    <w:rsid w:val="00722B06"/>
    <w:rPr>
      <w:rFonts w:asciiTheme="majorHAnsi" w:eastAsiaTheme="majorEastAsia" w:hAnsiTheme="majorHAnsi" w:cstheme="majorBidi"/>
      <w:b/>
      <w:bCs/>
      <w:color w:val="5B9BD5"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HTML Top of Form"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CD"/>
    <w:rPr>
      <w:rFonts w:ascii="Times New Roman" w:hAnsi="Times New Roman"/>
      <w:sz w:val="24"/>
      <w:szCs w:val="24"/>
    </w:rPr>
  </w:style>
  <w:style w:type="paragraph" w:styleId="Heading3">
    <w:name w:val="heading 3"/>
    <w:basedOn w:val="Normal"/>
    <w:next w:val="Normal"/>
    <w:link w:val="Heading3Char"/>
    <w:semiHidden/>
    <w:unhideWhenUsed/>
    <w:qFormat/>
    <w:locked/>
    <w:rsid w:val="00722B06"/>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59"/>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link w:val="BodyText"/>
    <w:semiHidden/>
    <w:locked/>
    <w:rsid w:val="00D96FCD"/>
    <w:rPr>
      <w:rFonts w:ascii="Times New Roman" w:hAnsi="Times New Roman" w:cs="Times New Roman"/>
      <w:sz w:val="24"/>
      <w:szCs w:val="24"/>
      <w:lang w:eastAsia="lv-LV"/>
    </w:rPr>
  </w:style>
  <w:style w:type="character" w:styleId="Hyperlink">
    <w:name w:val="Hyperlink"/>
    <w:rsid w:val="00844660"/>
    <w:rPr>
      <w:color w:val="0000FF"/>
      <w:u w:val="single"/>
    </w:rPr>
  </w:style>
  <w:style w:type="character" w:styleId="Emphasis">
    <w:name w:val="Emphasis"/>
    <w:uiPriority w:val="20"/>
    <w:qFormat/>
    <w:locked/>
    <w:rsid w:val="003A193D"/>
    <w:rPr>
      <w:b/>
      <w:bCs/>
      <w:i w:val="0"/>
      <w:iCs w:val="0"/>
    </w:rPr>
  </w:style>
  <w:style w:type="character" w:customStyle="1" w:styleId="std1">
    <w:name w:val="std1"/>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BalloonText">
    <w:name w:val="Balloon Text"/>
    <w:basedOn w:val="Normal"/>
    <w:link w:val="BalloonTextChar"/>
    <w:rsid w:val="00C62E37"/>
    <w:rPr>
      <w:rFonts w:ascii="Segoe UI" w:hAnsi="Segoe UI" w:cs="Segoe UI"/>
      <w:sz w:val="18"/>
      <w:szCs w:val="18"/>
    </w:rPr>
  </w:style>
  <w:style w:type="character" w:customStyle="1" w:styleId="BalloonTextChar">
    <w:name w:val="Balloon Text Char"/>
    <w:link w:val="BalloonText"/>
    <w:rsid w:val="00C62E37"/>
    <w:rPr>
      <w:rFonts w:ascii="Segoe UI" w:hAnsi="Segoe UI" w:cs="Segoe UI"/>
      <w:sz w:val="18"/>
      <w:szCs w:val="18"/>
    </w:rPr>
  </w:style>
  <w:style w:type="paragraph" w:styleId="ListParagraph">
    <w:name w:val="List Paragraph"/>
    <w:basedOn w:val="Normal"/>
    <w:uiPriority w:val="34"/>
    <w:qFormat/>
    <w:rsid w:val="001E1DA8"/>
    <w:pPr>
      <w:ind w:left="720"/>
      <w:contextualSpacing/>
    </w:pPr>
  </w:style>
  <w:style w:type="paragraph" w:customStyle="1" w:styleId="tvhtml">
    <w:name w:val="tv_html"/>
    <w:basedOn w:val="Normal"/>
    <w:rsid w:val="003E3E30"/>
    <w:pPr>
      <w:spacing w:before="100" w:beforeAutospacing="1" w:after="100" w:afterAutospacing="1"/>
    </w:pPr>
    <w:rPr>
      <w:rFonts w:eastAsia="Times New Roman"/>
    </w:rPr>
  </w:style>
  <w:style w:type="character" w:customStyle="1" w:styleId="apple-converted-space">
    <w:name w:val="apple-converted-space"/>
    <w:basedOn w:val="DefaultParagraphFont"/>
    <w:rsid w:val="003E3E30"/>
  </w:style>
  <w:style w:type="paragraph" w:customStyle="1" w:styleId="tv213">
    <w:name w:val="tv213"/>
    <w:basedOn w:val="Normal"/>
    <w:rsid w:val="00ED7AF2"/>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0443DE"/>
    <w:rPr>
      <w:sz w:val="16"/>
      <w:szCs w:val="16"/>
    </w:rPr>
  </w:style>
  <w:style w:type="paragraph" w:styleId="CommentText">
    <w:name w:val="annotation text"/>
    <w:basedOn w:val="Normal"/>
    <w:link w:val="CommentTextChar"/>
    <w:semiHidden/>
    <w:unhideWhenUsed/>
    <w:rsid w:val="000443DE"/>
    <w:rPr>
      <w:sz w:val="20"/>
      <w:szCs w:val="20"/>
    </w:rPr>
  </w:style>
  <w:style w:type="character" w:customStyle="1" w:styleId="CommentTextChar">
    <w:name w:val="Comment Text Char"/>
    <w:basedOn w:val="DefaultParagraphFont"/>
    <w:link w:val="CommentText"/>
    <w:semiHidden/>
    <w:rsid w:val="000443DE"/>
    <w:rPr>
      <w:rFonts w:ascii="Times New Roman" w:hAnsi="Times New Roman"/>
    </w:rPr>
  </w:style>
  <w:style w:type="paragraph" w:styleId="CommentSubject">
    <w:name w:val="annotation subject"/>
    <w:basedOn w:val="CommentText"/>
    <w:next w:val="CommentText"/>
    <w:link w:val="CommentSubjectChar"/>
    <w:semiHidden/>
    <w:unhideWhenUsed/>
    <w:rsid w:val="000443DE"/>
    <w:rPr>
      <w:b/>
      <w:bCs/>
    </w:rPr>
  </w:style>
  <w:style w:type="character" w:customStyle="1" w:styleId="CommentSubjectChar">
    <w:name w:val="Comment Subject Char"/>
    <w:basedOn w:val="CommentTextChar"/>
    <w:link w:val="CommentSubject"/>
    <w:semiHidden/>
    <w:rsid w:val="000443DE"/>
    <w:rPr>
      <w:rFonts w:ascii="Times New Roman" w:hAnsi="Times New Roman"/>
      <w:b/>
      <w:bCs/>
    </w:rPr>
  </w:style>
  <w:style w:type="character" w:styleId="Strong">
    <w:name w:val="Strong"/>
    <w:basedOn w:val="DefaultParagraphFont"/>
    <w:uiPriority w:val="22"/>
    <w:qFormat/>
    <w:locked/>
    <w:rsid w:val="0088098A"/>
    <w:rPr>
      <w:b/>
      <w:bCs/>
    </w:rPr>
  </w:style>
  <w:style w:type="paragraph" w:styleId="z-TopofForm">
    <w:name w:val="HTML Top of Form"/>
    <w:basedOn w:val="Normal"/>
    <w:next w:val="Normal"/>
    <w:link w:val="z-TopofFormChar"/>
    <w:hidden/>
    <w:uiPriority w:val="99"/>
    <w:semiHidden/>
    <w:rsid w:val="008623C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23C6"/>
    <w:rPr>
      <w:rFonts w:ascii="Arial" w:eastAsia="Times New Roman" w:hAnsi="Arial" w:cs="Arial"/>
      <w:vanish/>
      <w:sz w:val="16"/>
      <w:szCs w:val="16"/>
    </w:rPr>
  </w:style>
  <w:style w:type="numbering" w:customStyle="1" w:styleId="WW8Num17">
    <w:name w:val="WW8Num17"/>
    <w:basedOn w:val="NoList"/>
    <w:rsid w:val="008623C6"/>
    <w:pPr>
      <w:numPr>
        <w:numId w:val="16"/>
      </w:numPr>
    </w:pPr>
  </w:style>
  <w:style w:type="paragraph" w:styleId="NoSpacing">
    <w:name w:val="No Spacing"/>
    <w:uiPriority w:val="1"/>
    <w:qFormat/>
    <w:rsid w:val="008623C6"/>
    <w:pPr>
      <w:widowControl w:val="0"/>
    </w:pPr>
    <w:rPr>
      <w:sz w:val="22"/>
      <w:szCs w:val="22"/>
      <w:lang w:val="en-US" w:eastAsia="en-US"/>
    </w:rPr>
  </w:style>
  <w:style w:type="paragraph" w:customStyle="1" w:styleId="naisc">
    <w:name w:val="naisc"/>
    <w:basedOn w:val="Normal"/>
    <w:rsid w:val="0004080F"/>
    <w:pPr>
      <w:spacing w:before="75" w:after="75"/>
      <w:jc w:val="center"/>
    </w:pPr>
    <w:rPr>
      <w:rFonts w:eastAsia="Times New Roman"/>
    </w:rPr>
  </w:style>
  <w:style w:type="character" w:customStyle="1" w:styleId="Heading3Char">
    <w:name w:val="Heading 3 Char"/>
    <w:basedOn w:val="DefaultParagraphFont"/>
    <w:link w:val="Heading3"/>
    <w:semiHidden/>
    <w:rsid w:val="00722B06"/>
    <w:rPr>
      <w:rFonts w:asciiTheme="majorHAnsi" w:eastAsiaTheme="majorEastAsia" w:hAnsiTheme="majorHAnsi" w:cstheme="majorBidi"/>
      <w:b/>
      <w:b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94085">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1481">
      <w:bodyDiv w:val="1"/>
      <w:marLeft w:val="0"/>
      <w:marRight w:val="0"/>
      <w:marTop w:val="0"/>
      <w:marBottom w:val="0"/>
      <w:divBdr>
        <w:top w:val="none" w:sz="0" w:space="0" w:color="auto"/>
        <w:left w:val="none" w:sz="0" w:space="0" w:color="auto"/>
        <w:bottom w:val="none" w:sz="0" w:space="0" w:color="auto"/>
        <w:right w:val="none" w:sz="0" w:space="0" w:color="auto"/>
      </w:divBdr>
    </w:div>
    <w:div w:id="813327190">
      <w:bodyDiv w:val="1"/>
      <w:marLeft w:val="0"/>
      <w:marRight w:val="0"/>
      <w:marTop w:val="0"/>
      <w:marBottom w:val="0"/>
      <w:divBdr>
        <w:top w:val="none" w:sz="0" w:space="0" w:color="auto"/>
        <w:left w:val="none" w:sz="0" w:space="0" w:color="auto"/>
        <w:bottom w:val="none" w:sz="0" w:space="0" w:color="auto"/>
        <w:right w:val="none" w:sz="0" w:space="0" w:color="auto"/>
      </w:divBdr>
    </w:div>
    <w:div w:id="839075989">
      <w:bodyDiv w:val="1"/>
      <w:marLeft w:val="0"/>
      <w:marRight w:val="0"/>
      <w:marTop w:val="0"/>
      <w:marBottom w:val="0"/>
      <w:divBdr>
        <w:top w:val="none" w:sz="0" w:space="0" w:color="auto"/>
        <w:left w:val="none" w:sz="0" w:space="0" w:color="auto"/>
        <w:bottom w:val="none" w:sz="0" w:space="0" w:color="auto"/>
        <w:right w:val="none" w:sz="0" w:space="0" w:color="auto"/>
      </w:divBdr>
    </w:div>
    <w:div w:id="912079798">
      <w:bodyDiv w:val="1"/>
      <w:marLeft w:val="0"/>
      <w:marRight w:val="0"/>
      <w:marTop w:val="0"/>
      <w:marBottom w:val="0"/>
      <w:divBdr>
        <w:top w:val="none" w:sz="0" w:space="0" w:color="auto"/>
        <w:left w:val="none" w:sz="0" w:space="0" w:color="auto"/>
        <w:bottom w:val="none" w:sz="0" w:space="0" w:color="auto"/>
        <w:right w:val="none" w:sz="0" w:space="0" w:color="auto"/>
      </w:divBdr>
      <w:divsChild>
        <w:div w:id="9919192">
          <w:marLeft w:val="0"/>
          <w:marRight w:val="0"/>
          <w:marTop w:val="0"/>
          <w:marBottom w:val="0"/>
          <w:divBdr>
            <w:top w:val="none" w:sz="0" w:space="0" w:color="auto"/>
            <w:left w:val="none" w:sz="0" w:space="0" w:color="auto"/>
            <w:bottom w:val="none" w:sz="0" w:space="0" w:color="auto"/>
            <w:right w:val="none" w:sz="0" w:space="0" w:color="auto"/>
          </w:divBdr>
          <w:divsChild>
            <w:div w:id="1516190194">
              <w:marLeft w:val="0"/>
              <w:marRight w:val="0"/>
              <w:marTop w:val="0"/>
              <w:marBottom w:val="0"/>
              <w:divBdr>
                <w:top w:val="none" w:sz="0" w:space="0" w:color="auto"/>
                <w:left w:val="none" w:sz="0" w:space="0" w:color="auto"/>
                <w:bottom w:val="none" w:sz="0" w:space="0" w:color="auto"/>
                <w:right w:val="none" w:sz="0" w:space="0" w:color="auto"/>
              </w:divBdr>
              <w:divsChild>
                <w:div w:id="635915602">
                  <w:marLeft w:val="-165"/>
                  <w:marRight w:val="0"/>
                  <w:marTop w:val="0"/>
                  <w:marBottom w:val="0"/>
                  <w:divBdr>
                    <w:top w:val="none" w:sz="0" w:space="0" w:color="auto"/>
                    <w:left w:val="none" w:sz="0" w:space="0" w:color="auto"/>
                    <w:bottom w:val="none" w:sz="0" w:space="0" w:color="auto"/>
                    <w:right w:val="none" w:sz="0" w:space="0" w:color="auto"/>
                  </w:divBdr>
                  <w:divsChild>
                    <w:div w:id="517621969">
                      <w:marLeft w:val="0"/>
                      <w:marRight w:val="0"/>
                      <w:marTop w:val="0"/>
                      <w:marBottom w:val="0"/>
                      <w:divBdr>
                        <w:top w:val="none" w:sz="0" w:space="0" w:color="auto"/>
                        <w:left w:val="none" w:sz="0" w:space="0" w:color="auto"/>
                        <w:bottom w:val="none" w:sz="0" w:space="0" w:color="auto"/>
                        <w:right w:val="none" w:sz="0" w:space="0" w:color="auto"/>
                      </w:divBdr>
                      <w:divsChild>
                        <w:div w:id="1274166530">
                          <w:marLeft w:val="0"/>
                          <w:marRight w:val="0"/>
                          <w:marTop w:val="330"/>
                          <w:marBottom w:val="0"/>
                          <w:divBdr>
                            <w:top w:val="none" w:sz="0" w:space="0" w:color="auto"/>
                            <w:left w:val="none" w:sz="0" w:space="0" w:color="auto"/>
                            <w:bottom w:val="none" w:sz="0" w:space="0" w:color="auto"/>
                            <w:right w:val="none" w:sz="0" w:space="0" w:color="auto"/>
                          </w:divBdr>
                          <w:divsChild>
                            <w:div w:id="7638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93779">
      <w:bodyDiv w:val="1"/>
      <w:marLeft w:val="0"/>
      <w:marRight w:val="0"/>
      <w:marTop w:val="0"/>
      <w:marBottom w:val="0"/>
      <w:divBdr>
        <w:top w:val="none" w:sz="0" w:space="0" w:color="auto"/>
        <w:left w:val="none" w:sz="0" w:space="0" w:color="auto"/>
        <w:bottom w:val="none" w:sz="0" w:space="0" w:color="auto"/>
        <w:right w:val="none" w:sz="0" w:space="0" w:color="auto"/>
      </w:divBdr>
    </w:div>
    <w:div w:id="1429498786">
      <w:bodyDiv w:val="1"/>
      <w:marLeft w:val="0"/>
      <w:marRight w:val="0"/>
      <w:marTop w:val="0"/>
      <w:marBottom w:val="0"/>
      <w:divBdr>
        <w:top w:val="none" w:sz="0" w:space="0" w:color="auto"/>
        <w:left w:val="none" w:sz="0" w:space="0" w:color="auto"/>
        <w:bottom w:val="none" w:sz="0" w:space="0" w:color="auto"/>
        <w:right w:val="none" w:sz="0" w:space="0" w:color="auto"/>
      </w:divBdr>
    </w:div>
    <w:div w:id="1766875520">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2025933059">
      <w:bodyDiv w:val="1"/>
      <w:marLeft w:val="0"/>
      <w:marRight w:val="0"/>
      <w:marTop w:val="0"/>
      <w:marBottom w:val="0"/>
      <w:divBdr>
        <w:top w:val="none" w:sz="0" w:space="0" w:color="auto"/>
        <w:left w:val="none" w:sz="0" w:space="0" w:color="auto"/>
        <w:bottom w:val="none" w:sz="0" w:space="0" w:color="auto"/>
        <w:right w:val="none" w:sz="0" w:space="0" w:color="auto"/>
      </w:divBdr>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 w:id="20824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A1A7C-CAB2-4D42-8C92-26ED1894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8043</Words>
  <Characters>4585</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"Grozījumi Ministru kabineta 2011.gada 1.februāra noteikumos Nr.109 "Kārtība, kādā atsavināma publiskas personas manta""</vt:lpstr>
    </vt:vector>
  </TitlesOfParts>
  <Company>VRK</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1.februāra noteikumos Nr.109 "Kārtība, kādā atsavināma publiskas personas manta""</dc:title>
  <dc:subject>Sākotnējās ietekmes novērtējuma ziņojums (anotācija)</dc:subject>
  <dc:creator>Arnolds Gailišs</dc:creator>
  <dc:description>64603687, Uldis.Barkans@rs.gov.lv</dc:description>
  <cp:lastModifiedBy>Arnolds Gailišs</cp:lastModifiedBy>
  <cp:revision>3</cp:revision>
  <cp:lastPrinted>2020-03-18T13:08:00Z</cp:lastPrinted>
  <dcterms:created xsi:type="dcterms:W3CDTF">2020-06-03T06:34:00Z</dcterms:created>
  <dcterms:modified xsi:type="dcterms:W3CDTF">2020-06-03T10:34:00Z</dcterms:modified>
</cp:coreProperties>
</file>