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3" w:rsidRPr="004A5D7E" w:rsidRDefault="003530C3" w:rsidP="003530C3">
      <w:pPr>
        <w:shd w:val="clear" w:color="auto" w:fill="FFFFFF"/>
        <w:spacing w:before="130" w:line="260" w:lineRule="exact"/>
        <w:jc w:val="center"/>
        <w:rPr>
          <w:b/>
          <w:bCs/>
          <w:sz w:val="26"/>
          <w:szCs w:val="26"/>
        </w:rPr>
      </w:pPr>
      <w:r w:rsidRPr="004A5D7E">
        <w:rPr>
          <w:b/>
          <w:sz w:val="26"/>
          <w:szCs w:val="26"/>
        </w:rPr>
        <w:t xml:space="preserve">Ministru kabineta noteikumu projekta </w:t>
      </w:r>
      <w:r w:rsidR="00576B88" w:rsidRPr="004A5D7E">
        <w:rPr>
          <w:b/>
          <w:sz w:val="26"/>
          <w:szCs w:val="26"/>
        </w:rPr>
        <w:t>“</w:t>
      </w:r>
      <w:r w:rsidR="006E0166" w:rsidRPr="004A5D7E">
        <w:rPr>
          <w:b/>
          <w:sz w:val="26"/>
          <w:szCs w:val="26"/>
        </w:rPr>
        <w:t xml:space="preserve">Šautuvju izveidošanas un darbības, kā arī </w:t>
      </w:r>
      <w:proofErr w:type="spellStart"/>
      <w:r w:rsidR="006E0166" w:rsidRPr="004A5D7E">
        <w:rPr>
          <w:b/>
          <w:sz w:val="26"/>
          <w:szCs w:val="26"/>
        </w:rPr>
        <w:t>treniņšaušanas</w:t>
      </w:r>
      <w:proofErr w:type="spellEnd"/>
      <w:r w:rsidR="006E0166" w:rsidRPr="004A5D7E">
        <w:rPr>
          <w:b/>
          <w:sz w:val="26"/>
          <w:szCs w:val="26"/>
        </w:rPr>
        <w:t xml:space="preserve"> un šaušanas sporta sacensību norises un drošības noteikumi</w:t>
      </w:r>
      <w:r w:rsidR="0026658A" w:rsidRPr="004A5D7E">
        <w:rPr>
          <w:b/>
          <w:sz w:val="26"/>
          <w:szCs w:val="26"/>
        </w:rPr>
        <w:t>”</w:t>
      </w:r>
      <w:r w:rsidRPr="004A5D7E">
        <w:rPr>
          <w:b/>
          <w:bCs/>
          <w:sz w:val="26"/>
          <w:szCs w:val="26"/>
        </w:rPr>
        <w:t xml:space="preserve"> sākotnējās ietekmes novērtējuma ziņojums (anotācija)</w:t>
      </w:r>
    </w:p>
    <w:p w:rsidR="003530C3" w:rsidRPr="004A5D7E" w:rsidRDefault="003530C3"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3530C3" w:rsidRPr="004A5D7E" w:rsidTr="005B03F1">
        <w:trPr>
          <w:cantSplit/>
        </w:trPr>
        <w:tc>
          <w:tcPr>
            <w:tcW w:w="9061" w:type="dxa"/>
            <w:gridSpan w:val="2"/>
            <w:shd w:val="clear" w:color="auto" w:fill="FFFFFF"/>
            <w:vAlign w:val="center"/>
            <w:hideMark/>
          </w:tcPr>
          <w:p w:rsidR="003530C3" w:rsidRPr="004A5D7E" w:rsidRDefault="003530C3" w:rsidP="007E7995">
            <w:pPr>
              <w:jc w:val="center"/>
              <w:rPr>
                <w:b/>
                <w:iCs/>
                <w:sz w:val="26"/>
                <w:szCs w:val="26"/>
                <w:lang w:eastAsia="en-US"/>
              </w:rPr>
            </w:pPr>
            <w:r w:rsidRPr="004A5D7E">
              <w:rPr>
                <w:b/>
                <w:iCs/>
                <w:sz w:val="26"/>
                <w:szCs w:val="26"/>
                <w:lang w:eastAsia="en-US"/>
              </w:rPr>
              <w:t>Tiesību akta projekta anotācijas kopsavilkums</w:t>
            </w:r>
          </w:p>
        </w:tc>
      </w:tr>
      <w:tr w:rsidR="00943FC6" w:rsidRPr="004A5D7E" w:rsidTr="005B03F1">
        <w:trPr>
          <w:cantSplit/>
        </w:trPr>
        <w:tc>
          <w:tcPr>
            <w:tcW w:w="2405" w:type="dxa"/>
            <w:shd w:val="clear" w:color="auto" w:fill="FFFFFF"/>
            <w:hideMark/>
          </w:tcPr>
          <w:p w:rsidR="003530C3" w:rsidRPr="004A5D7E" w:rsidRDefault="003530C3" w:rsidP="006B57F4">
            <w:pPr>
              <w:rPr>
                <w:iCs/>
                <w:sz w:val="26"/>
                <w:szCs w:val="26"/>
                <w:lang w:eastAsia="en-US"/>
              </w:rPr>
            </w:pPr>
            <w:r w:rsidRPr="004A5D7E">
              <w:rPr>
                <w:iCs/>
                <w:sz w:val="26"/>
                <w:szCs w:val="26"/>
                <w:lang w:eastAsia="en-US"/>
              </w:rPr>
              <w:t xml:space="preserve">Mērķis, risinājums un projekta spēkā stāšanās laiks </w:t>
            </w:r>
          </w:p>
        </w:tc>
        <w:tc>
          <w:tcPr>
            <w:tcW w:w="6656" w:type="dxa"/>
            <w:shd w:val="clear" w:color="auto" w:fill="FFFFFF"/>
            <w:hideMark/>
          </w:tcPr>
          <w:p w:rsidR="00C343D3" w:rsidRDefault="00C343D3" w:rsidP="002B5E12">
            <w:pPr>
              <w:ind w:firstLine="256"/>
              <w:jc w:val="both"/>
              <w:rPr>
                <w:sz w:val="26"/>
                <w:szCs w:val="26"/>
              </w:rPr>
            </w:pPr>
            <w:r w:rsidRPr="00C343D3">
              <w:rPr>
                <w:sz w:val="26"/>
                <w:szCs w:val="26"/>
              </w:rPr>
              <w:t>Ieroču aprites likuma 70. panta trešā daļa paredz deleģējumu Ministru kabinetam noteikt</w:t>
            </w:r>
            <w:r>
              <w:rPr>
                <w:sz w:val="26"/>
                <w:szCs w:val="26"/>
              </w:rPr>
              <w:t xml:space="preserve"> p</w:t>
            </w:r>
            <w:r w:rsidRPr="00C343D3">
              <w:rPr>
                <w:sz w:val="26"/>
                <w:szCs w:val="26"/>
              </w:rPr>
              <w:t>rasības šautuvju izveidošanai un darbībai, kā arī kārtību, kādā izsniedzama un anulējama atļauja šautuves izveidošanai un darbībai</w:t>
            </w:r>
            <w:r>
              <w:rPr>
                <w:sz w:val="26"/>
                <w:szCs w:val="26"/>
              </w:rPr>
              <w:t xml:space="preserve">. Vienlaikus </w:t>
            </w:r>
            <w:r w:rsidRPr="00C343D3">
              <w:rPr>
                <w:sz w:val="26"/>
                <w:szCs w:val="26"/>
              </w:rPr>
              <w:t>Ieroču aprites likuma</w:t>
            </w:r>
            <w:r>
              <w:rPr>
                <w:sz w:val="26"/>
                <w:szCs w:val="26"/>
              </w:rPr>
              <w:t xml:space="preserve"> </w:t>
            </w:r>
            <w:r w:rsidRPr="00C343D3">
              <w:rPr>
                <w:sz w:val="26"/>
                <w:szCs w:val="26"/>
              </w:rPr>
              <w:t>71.panta desmitā daļa paredz deleģējumu Ministru kabinetam noteikt</w:t>
            </w:r>
            <w:r>
              <w:rPr>
                <w:sz w:val="26"/>
                <w:szCs w:val="26"/>
              </w:rPr>
              <w:t xml:space="preserve"> </w:t>
            </w:r>
            <w:r w:rsidR="002B5E12">
              <w:rPr>
                <w:sz w:val="26"/>
                <w:szCs w:val="26"/>
              </w:rPr>
              <w:t>k</w:t>
            </w:r>
            <w:r w:rsidRPr="00C343D3">
              <w:rPr>
                <w:sz w:val="26"/>
                <w:szCs w:val="26"/>
              </w:rPr>
              <w:t xml:space="preserve">ārtību, kādā Latvijā notiek </w:t>
            </w:r>
            <w:proofErr w:type="spellStart"/>
            <w:r w:rsidRPr="00C343D3">
              <w:rPr>
                <w:sz w:val="26"/>
                <w:szCs w:val="26"/>
              </w:rPr>
              <w:t>treniņšaušana</w:t>
            </w:r>
            <w:proofErr w:type="spellEnd"/>
            <w:r w:rsidRPr="00C343D3">
              <w:rPr>
                <w:sz w:val="26"/>
                <w:szCs w:val="26"/>
              </w:rPr>
              <w:t xml:space="preserve"> un šaušanas sporta sacensības, kā arī šautuvēs ievērojamos drošības noteikumus</w:t>
            </w:r>
            <w:r>
              <w:rPr>
                <w:sz w:val="26"/>
                <w:szCs w:val="26"/>
              </w:rPr>
              <w:t>.</w:t>
            </w:r>
            <w:r w:rsidRPr="00C343D3">
              <w:rPr>
                <w:color w:val="FF0000"/>
                <w:sz w:val="26"/>
                <w:szCs w:val="26"/>
              </w:rPr>
              <w:t xml:space="preserve"> </w:t>
            </w:r>
            <w:r w:rsidRPr="00C343D3">
              <w:rPr>
                <w:sz w:val="26"/>
                <w:szCs w:val="26"/>
              </w:rPr>
              <w:t xml:space="preserve">Ņemot vērā minēto, izstrādāts Ministru kabineta noteikumu projekts “Šautuvju izveidošanas un darbības, kā arī </w:t>
            </w:r>
            <w:proofErr w:type="spellStart"/>
            <w:r w:rsidRPr="00C343D3">
              <w:rPr>
                <w:sz w:val="26"/>
                <w:szCs w:val="26"/>
              </w:rPr>
              <w:t>treniņšaušanas</w:t>
            </w:r>
            <w:proofErr w:type="spellEnd"/>
            <w:r w:rsidRPr="00C343D3">
              <w:rPr>
                <w:sz w:val="26"/>
                <w:szCs w:val="26"/>
              </w:rPr>
              <w:t xml:space="preserve"> un šaušanas sporta sacensību norises un drošības noteikumi” (turpmāk – MK noteikumu projekts).</w:t>
            </w:r>
            <w:r w:rsidRPr="00C343D3">
              <w:rPr>
                <w:bCs/>
                <w:sz w:val="26"/>
                <w:szCs w:val="26"/>
              </w:rPr>
              <w:t xml:space="preserve"> </w:t>
            </w:r>
            <w:r w:rsidR="00FC5955">
              <w:rPr>
                <w:bCs/>
                <w:sz w:val="26"/>
                <w:szCs w:val="26"/>
              </w:rPr>
              <w:t>MK noteikumu projekta</w:t>
            </w:r>
            <w:r w:rsidRPr="00C343D3">
              <w:rPr>
                <w:bCs/>
                <w:sz w:val="26"/>
                <w:szCs w:val="26"/>
              </w:rPr>
              <w:t xml:space="preserve"> </w:t>
            </w:r>
            <w:r w:rsidR="00FC5955">
              <w:rPr>
                <w:sz w:val="26"/>
                <w:szCs w:val="26"/>
              </w:rPr>
              <w:t>mērķis ir</w:t>
            </w:r>
            <w:r w:rsidRPr="00C343D3">
              <w:rPr>
                <w:sz w:val="26"/>
                <w:szCs w:val="26"/>
              </w:rPr>
              <w:t xml:space="preserve"> noteikt prasības šautuvju izveidošanai un darbībai, kā arī kārtību, kādā izsniedzama un anulējama atļauja šautuves izveidošanai un darbībai</w:t>
            </w:r>
            <w:r>
              <w:rPr>
                <w:sz w:val="26"/>
                <w:szCs w:val="26"/>
              </w:rPr>
              <w:t>, kā arī</w:t>
            </w:r>
            <w:r w:rsidR="002B5E12" w:rsidRPr="002B5E12">
              <w:rPr>
                <w:sz w:val="26"/>
                <w:szCs w:val="26"/>
              </w:rPr>
              <w:t xml:space="preserve"> noteikt</w:t>
            </w:r>
            <w:r w:rsidR="00FC5955">
              <w:rPr>
                <w:sz w:val="26"/>
                <w:szCs w:val="26"/>
              </w:rPr>
              <w:t xml:space="preserve"> kārtību kādā,</w:t>
            </w:r>
            <w:r>
              <w:rPr>
                <w:sz w:val="26"/>
                <w:szCs w:val="26"/>
              </w:rPr>
              <w:t xml:space="preserve"> </w:t>
            </w:r>
            <w:r w:rsidR="00FC5955">
              <w:rPr>
                <w:sz w:val="26"/>
                <w:szCs w:val="26"/>
              </w:rPr>
              <w:t xml:space="preserve">Latvijā notiek </w:t>
            </w:r>
            <w:proofErr w:type="spellStart"/>
            <w:r w:rsidR="002B5E12" w:rsidRPr="002B5E12">
              <w:rPr>
                <w:sz w:val="26"/>
                <w:szCs w:val="26"/>
              </w:rPr>
              <w:t>treniņšaušana</w:t>
            </w:r>
            <w:proofErr w:type="spellEnd"/>
            <w:r w:rsidR="00FC5955">
              <w:rPr>
                <w:sz w:val="26"/>
                <w:szCs w:val="26"/>
              </w:rPr>
              <w:t xml:space="preserve"> un šaušanas sporta sacensības un noteikt </w:t>
            </w:r>
            <w:r w:rsidR="002B5E12" w:rsidRPr="002B5E12">
              <w:rPr>
                <w:sz w:val="26"/>
                <w:szCs w:val="26"/>
              </w:rPr>
              <w:t>šautuvēs ievērojamos drošības noteikumus</w:t>
            </w:r>
            <w:r w:rsidR="002B5E12">
              <w:rPr>
                <w:sz w:val="26"/>
                <w:szCs w:val="26"/>
              </w:rPr>
              <w:t>.</w:t>
            </w:r>
            <w:bookmarkStart w:id="0" w:name="_GoBack"/>
            <w:bookmarkEnd w:id="0"/>
          </w:p>
          <w:p w:rsidR="00C343D3" w:rsidRDefault="002B5E12" w:rsidP="002B5E12">
            <w:pPr>
              <w:ind w:firstLine="114"/>
              <w:jc w:val="both"/>
              <w:rPr>
                <w:sz w:val="26"/>
                <w:szCs w:val="26"/>
              </w:rPr>
            </w:pPr>
            <w:r w:rsidRPr="002B5E12">
              <w:rPr>
                <w:sz w:val="26"/>
                <w:szCs w:val="26"/>
              </w:rPr>
              <w:t>Projekts stāsies spēkā nākamajā dienā pēc publicēšanas oficiālajā izdevumā “Latvijas Vēstnesis”.</w:t>
            </w:r>
          </w:p>
          <w:p w:rsidR="0003069D" w:rsidRPr="004A5D7E" w:rsidRDefault="0003069D" w:rsidP="006B57F4">
            <w:pPr>
              <w:jc w:val="both"/>
              <w:rPr>
                <w:sz w:val="26"/>
                <w:szCs w:val="26"/>
              </w:rPr>
            </w:pPr>
          </w:p>
          <w:p w:rsidR="0003069D" w:rsidRPr="004A5D7E" w:rsidRDefault="0003069D" w:rsidP="00A176B0">
            <w:pPr>
              <w:jc w:val="both"/>
              <w:rPr>
                <w:sz w:val="26"/>
                <w:szCs w:val="26"/>
              </w:rPr>
            </w:pPr>
          </w:p>
        </w:tc>
      </w:tr>
    </w:tbl>
    <w:p w:rsidR="003530C3" w:rsidRPr="004A5D7E" w:rsidRDefault="003530C3" w:rsidP="00E35440">
      <w:pPr>
        <w:pStyle w:val="Title"/>
        <w:spacing w:before="130" w:line="260" w:lineRule="exact"/>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7"/>
        <w:gridCol w:w="2099"/>
        <w:gridCol w:w="6515"/>
      </w:tblGrid>
      <w:tr w:rsidR="003530C3" w:rsidRPr="004A5D7E" w:rsidTr="00F2434C">
        <w:tc>
          <w:tcPr>
            <w:tcW w:w="5000" w:type="pct"/>
            <w:gridSpan w:val="3"/>
            <w:vAlign w:val="center"/>
            <w:hideMark/>
          </w:tcPr>
          <w:p w:rsidR="003530C3" w:rsidRPr="004A5D7E" w:rsidRDefault="003530C3" w:rsidP="007E7995">
            <w:pPr>
              <w:jc w:val="center"/>
              <w:rPr>
                <w:b/>
                <w:bCs/>
                <w:sz w:val="26"/>
                <w:szCs w:val="26"/>
              </w:rPr>
            </w:pPr>
            <w:r w:rsidRPr="004A5D7E">
              <w:rPr>
                <w:b/>
                <w:bCs/>
                <w:sz w:val="26"/>
                <w:szCs w:val="26"/>
              </w:rPr>
              <w:t>I. Tiesību akta projekta izstrādes nepieciešamība</w:t>
            </w:r>
          </w:p>
        </w:tc>
      </w:tr>
      <w:tr w:rsidR="003530C3" w:rsidRPr="004A5D7E" w:rsidTr="005B03F1">
        <w:tc>
          <w:tcPr>
            <w:tcW w:w="247" w:type="pct"/>
            <w:hideMark/>
          </w:tcPr>
          <w:p w:rsidR="003530C3" w:rsidRPr="004A5D7E" w:rsidRDefault="003530C3" w:rsidP="007E7995">
            <w:pPr>
              <w:jc w:val="center"/>
              <w:rPr>
                <w:sz w:val="26"/>
                <w:szCs w:val="26"/>
              </w:rPr>
            </w:pPr>
            <w:r w:rsidRPr="004A5D7E">
              <w:rPr>
                <w:sz w:val="26"/>
                <w:szCs w:val="26"/>
              </w:rPr>
              <w:t>1.</w:t>
            </w:r>
          </w:p>
        </w:tc>
        <w:tc>
          <w:tcPr>
            <w:tcW w:w="1158" w:type="pct"/>
            <w:hideMark/>
          </w:tcPr>
          <w:p w:rsidR="003530C3" w:rsidRPr="004A5D7E" w:rsidRDefault="003530C3" w:rsidP="007E7995">
            <w:pPr>
              <w:rPr>
                <w:sz w:val="26"/>
                <w:szCs w:val="26"/>
              </w:rPr>
            </w:pPr>
            <w:r w:rsidRPr="004A5D7E">
              <w:rPr>
                <w:sz w:val="26"/>
                <w:szCs w:val="26"/>
              </w:rPr>
              <w:t>Pamatojums</w:t>
            </w:r>
          </w:p>
        </w:tc>
        <w:tc>
          <w:tcPr>
            <w:tcW w:w="3595" w:type="pct"/>
            <w:hideMark/>
          </w:tcPr>
          <w:p w:rsidR="00DD1ECC" w:rsidRPr="004A5D7E" w:rsidRDefault="00E0679B" w:rsidP="000D1F33">
            <w:pPr>
              <w:jc w:val="both"/>
              <w:rPr>
                <w:sz w:val="26"/>
                <w:szCs w:val="26"/>
              </w:rPr>
            </w:pPr>
            <w:r w:rsidRPr="004A5D7E">
              <w:rPr>
                <w:sz w:val="26"/>
                <w:szCs w:val="26"/>
              </w:rPr>
              <w:t>Ieroč</w:t>
            </w:r>
            <w:r w:rsidR="00FB6504" w:rsidRPr="004A5D7E">
              <w:rPr>
                <w:sz w:val="26"/>
                <w:szCs w:val="26"/>
              </w:rPr>
              <w:t>u aprites likuma</w:t>
            </w:r>
            <w:r w:rsidR="000D1F33" w:rsidRPr="004A5D7E">
              <w:rPr>
                <w:sz w:val="26"/>
                <w:szCs w:val="26"/>
              </w:rPr>
              <w:t xml:space="preserve"> 70. panta trešā daļa un 71.panta desmitā daļa. </w:t>
            </w:r>
          </w:p>
        </w:tc>
      </w:tr>
      <w:tr w:rsidR="003530C3" w:rsidRPr="004A5D7E" w:rsidTr="005B03F1">
        <w:tc>
          <w:tcPr>
            <w:tcW w:w="247" w:type="pct"/>
            <w:hideMark/>
          </w:tcPr>
          <w:p w:rsidR="003530C3" w:rsidRPr="004A5D7E" w:rsidRDefault="003530C3" w:rsidP="007E7995">
            <w:pPr>
              <w:jc w:val="center"/>
              <w:rPr>
                <w:sz w:val="26"/>
                <w:szCs w:val="26"/>
              </w:rPr>
            </w:pPr>
            <w:r w:rsidRPr="004A5D7E">
              <w:rPr>
                <w:sz w:val="26"/>
                <w:szCs w:val="26"/>
              </w:rPr>
              <w:t>2.</w:t>
            </w:r>
          </w:p>
        </w:tc>
        <w:tc>
          <w:tcPr>
            <w:tcW w:w="1158" w:type="pct"/>
            <w:hideMark/>
          </w:tcPr>
          <w:p w:rsidR="005A2A6D" w:rsidRPr="004A5D7E" w:rsidRDefault="003530C3" w:rsidP="007E7995">
            <w:pPr>
              <w:rPr>
                <w:sz w:val="26"/>
                <w:szCs w:val="26"/>
              </w:rPr>
            </w:pPr>
            <w:r w:rsidRPr="004A5D7E">
              <w:rPr>
                <w:sz w:val="26"/>
                <w:szCs w:val="26"/>
              </w:rPr>
              <w:t>Pašreizējā situācija un problēmas, kuru risināšanai tiesību akta projekts izstrādāts, tiesiskā regulējuma mērķis un būtība</w:t>
            </w: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jc w:val="cente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5A2A6D" w:rsidRPr="004A5D7E" w:rsidRDefault="005A2A6D" w:rsidP="005A2A6D">
            <w:pPr>
              <w:rPr>
                <w:sz w:val="26"/>
                <w:szCs w:val="26"/>
              </w:rPr>
            </w:pPr>
          </w:p>
          <w:p w:rsidR="003530C3" w:rsidRPr="004A5D7E" w:rsidRDefault="003530C3" w:rsidP="005A2A6D">
            <w:pPr>
              <w:rPr>
                <w:sz w:val="26"/>
                <w:szCs w:val="26"/>
              </w:rPr>
            </w:pPr>
          </w:p>
        </w:tc>
        <w:tc>
          <w:tcPr>
            <w:tcW w:w="3595" w:type="pct"/>
            <w:hideMark/>
          </w:tcPr>
          <w:p w:rsidR="008166A1" w:rsidRPr="002B5E12" w:rsidRDefault="001A6D8E" w:rsidP="002B5E12">
            <w:pPr>
              <w:ind w:firstLine="254"/>
              <w:jc w:val="both"/>
              <w:rPr>
                <w:sz w:val="26"/>
                <w:szCs w:val="26"/>
              </w:rPr>
            </w:pPr>
            <w:r w:rsidRPr="002B5E12">
              <w:rPr>
                <w:sz w:val="26"/>
                <w:szCs w:val="26"/>
              </w:rPr>
              <w:lastRenderedPageBreak/>
              <w:t xml:space="preserve">MK </w:t>
            </w:r>
            <w:r w:rsidR="002D0316" w:rsidRPr="002B5E12">
              <w:rPr>
                <w:sz w:val="26"/>
                <w:szCs w:val="26"/>
              </w:rPr>
              <w:t xml:space="preserve">noteikumu </w:t>
            </w:r>
            <w:r w:rsidRPr="002B5E12">
              <w:rPr>
                <w:sz w:val="26"/>
                <w:szCs w:val="26"/>
              </w:rPr>
              <w:t xml:space="preserve">projekts </w:t>
            </w:r>
            <w:r w:rsidR="00A176B0" w:rsidRPr="002B5E12">
              <w:rPr>
                <w:sz w:val="26"/>
                <w:szCs w:val="26"/>
              </w:rPr>
              <w:t xml:space="preserve">izstrādāts </w:t>
            </w:r>
            <w:r w:rsidRPr="002B5E12">
              <w:rPr>
                <w:sz w:val="26"/>
                <w:szCs w:val="26"/>
              </w:rPr>
              <w:t>atbilstoši Ieroču aprites likuma</w:t>
            </w:r>
            <w:r w:rsidR="008166A1" w:rsidRPr="002B5E12">
              <w:rPr>
                <w:sz w:val="26"/>
                <w:szCs w:val="26"/>
              </w:rPr>
              <w:t xml:space="preserve"> </w:t>
            </w:r>
            <w:r w:rsidR="00A176B0" w:rsidRPr="002B5E12">
              <w:rPr>
                <w:sz w:val="26"/>
                <w:szCs w:val="26"/>
              </w:rPr>
              <w:t>70. panta trešajā daļā un 71.panta desmitajā daļā</w:t>
            </w:r>
            <w:r w:rsidRPr="002B5E12">
              <w:rPr>
                <w:sz w:val="26"/>
                <w:szCs w:val="26"/>
              </w:rPr>
              <w:t xml:space="preserve"> </w:t>
            </w:r>
            <w:r w:rsidR="00A176B0" w:rsidRPr="002B5E12">
              <w:rPr>
                <w:sz w:val="26"/>
                <w:szCs w:val="26"/>
              </w:rPr>
              <w:t>paredzētajam deleģējuma Ministru kabinetam.</w:t>
            </w:r>
          </w:p>
          <w:p w:rsidR="003F54CC" w:rsidRPr="004A5D7E" w:rsidRDefault="00084B45" w:rsidP="00965FAF">
            <w:pPr>
              <w:ind w:firstLine="275"/>
              <w:jc w:val="both"/>
              <w:rPr>
                <w:sz w:val="26"/>
                <w:szCs w:val="26"/>
              </w:rPr>
            </w:pPr>
            <w:r w:rsidRPr="004A5D7E">
              <w:rPr>
                <w:sz w:val="26"/>
                <w:szCs w:val="26"/>
              </w:rPr>
              <w:t>MK noteikumu projektā lietotā terminoloģija ir harmonizēta ar Ieroču aprites li</w:t>
            </w:r>
            <w:r w:rsidR="00E507F6" w:rsidRPr="004A5D7E">
              <w:rPr>
                <w:sz w:val="26"/>
                <w:szCs w:val="26"/>
              </w:rPr>
              <w:t>kumā</w:t>
            </w:r>
            <w:r w:rsidRPr="004A5D7E">
              <w:rPr>
                <w:sz w:val="26"/>
                <w:szCs w:val="26"/>
              </w:rPr>
              <w:t xml:space="preserve"> lietoto terminoloģiju, kā arī ir precizēta</w:t>
            </w:r>
            <w:r w:rsidR="008C6208" w:rsidRPr="004A5D7E">
              <w:rPr>
                <w:sz w:val="26"/>
                <w:szCs w:val="26"/>
              </w:rPr>
              <w:t xml:space="preserve"> un vienveidota</w:t>
            </w:r>
            <w:r w:rsidR="002D0316" w:rsidRPr="004A5D7E">
              <w:rPr>
                <w:sz w:val="26"/>
                <w:szCs w:val="26"/>
              </w:rPr>
              <w:t xml:space="preserve"> </w:t>
            </w:r>
            <w:r w:rsidR="002D0316" w:rsidRPr="002B5E12">
              <w:rPr>
                <w:sz w:val="26"/>
                <w:szCs w:val="26"/>
              </w:rPr>
              <w:t xml:space="preserve">Ministru kabineta 2011.gada 1.novembra noteikumos Nr.840 “Šautuvju (šaušanas stendu) izveidošanas un darbības, kā arī </w:t>
            </w:r>
            <w:proofErr w:type="spellStart"/>
            <w:r w:rsidR="002D0316" w:rsidRPr="002B5E12">
              <w:rPr>
                <w:sz w:val="26"/>
                <w:szCs w:val="26"/>
              </w:rPr>
              <w:t>treniņšaušanas</w:t>
            </w:r>
            <w:proofErr w:type="spellEnd"/>
            <w:r w:rsidR="002D0316" w:rsidRPr="002B5E12">
              <w:rPr>
                <w:sz w:val="26"/>
                <w:szCs w:val="26"/>
              </w:rPr>
              <w:t xml:space="preserve"> un šaušanas sporta sacensību norises un drošības noteikumi” (turpmāk – MK noteikumi Nr.840)</w:t>
            </w:r>
            <w:r w:rsidRPr="002B5E12">
              <w:rPr>
                <w:sz w:val="26"/>
                <w:szCs w:val="26"/>
              </w:rPr>
              <w:t xml:space="preserve"> </w:t>
            </w:r>
            <w:r w:rsidR="002D0316" w:rsidRPr="002B5E12">
              <w:rPr>
                <w:sz w:val="26"/>
                <w:szCs w:val="26"/>
              </w:rPr>
              <w:t>lietotā</w:t>
            </w:r>
            <w:r w:rsidR="00E507F6" w:rsidRPr="002B5E12">
              <w:rPr>
                <w:sz w:val="26"/>
                <w:szCs w:val="26"/>
              </w:rPr>
              <w:t xml:space="preserve"> </w:t>
            </w:r>
            <w:r w:rsidR="00E507F6" w:rsidRPr="004A5D7E">
              <w:rPr>
                <w:sz w:val="26"/>
                <w:szCs w:val="26"/>
              </w:rPr>
              <w:t>terminoloģija. Piemēra</w:t>
            </w:r>
            <w:r w:rsidR="008C6208" w:rsidRPr="004A5D7E">
              <w:rPr>
                <w:sz w:val="26"/>
                <w:szCs w:val="26"/>
              </w:rPr>
              <w:t>m</w:t>
            </w:r>
            <w:r w:rsidR="00E507F6" w:rsidRPr="004A5D7E">
              <w:rPr>
                <w:sz w:val="26"/>
                <w:szCs w:val="26"/>
              </w:rPr>
              <w:t>,</w:t>
            </w:r>
            <w:r w:rsidR="009D0D63" w:rsidRPr="004A5D7E">
              <w:rPr>
                <w:sz w:val="26"/>
                <w:szCs w:val="26"/>
              </w:rPr>
              <w:t xml:space="preserve"> </w:t>
            </w:r>
            <w:r w:rsidR="008C6208" w:rsidRPr="004A5D7E">
              <w:rPr>
                <w:sz w:val="26"/>
                <w:szCs w:val="26"/>
              </w:rPr>
              <w:t>MK noteikumos Nr.840</w:t>
            </w:r>
            <w:r w:rsidR="009D0D63" w:rsidRPr="004A5D7E">
              <w:rPr>
                <w:sz w:val="26"/>
                <w:szCs w:val="26"/>
              </w:rPr>
              <w:t>, lai izprastu šautuves bīstamās zonas robežas tika izmantoti vairāki</w:t>
            </w:r>
            <w:r w:rsidR="003C651B" w:rsidRPr="004A5D7E">
              <w:rPr>
                <w:sz w:val="26"/>
                <w:szCs w:val="26"/>
              </w:rPr>
              <w:t xml:space="preserve"> termini</w:t>
            </w:r>
            <w:r w:rsidR="009D0D63" w:rsidRPr="004A5D7E">
              <w:rPr>
                <w:sz w:val="26"/>
                <w:szCs w:val="26"/>
              </w:rPr>
              <w:t xml:space="preserve"> “bīstamā zona”, “bīstamais sektors”, “drošības josla” un “drošības zona”. MK noteikumu projekta 5.6.apakšpunktā</w:t>
            </w:r>
            <w:r w:rsidR="006C48E9" w:rsidRPr="004A5D7E">
              <w:rPr>
                <w:sz w:val="26"/>
                <w:szCs w:val="26"/>
              </w:rPr>
              <w:t xml:space="preserve"> ir sniegts šautuves bīstamās zon</w:t>
            </w:r>
            <w:r w:rsidR="002D0316" w:rsidRPr="004A5D7E">
              <w:rPr>
                <w:sz w:val="26"/>
                <w:szCs w:val="26"/>
              </w:rPr>
              <w:t xml:space="preserve">as skaidrojums, kā arī </w:t>
            </w:r>
            <w:r w:rsidR="002D0316" w:rsidRPr="002B5E12">
              <w:rPr>
                <w:sz w:val="26"/>
                <w:szCs w:val="26"/>
              </w:rPr>
              <w:t>turpmākajos</w:t>
            </w:r>
            <w:r w:rsidR="006C48E9" w:rsidRPr="002B5E12">
              <w:rPr>
                <w:sz w:val="26"/>
                <w:szCs w:val="26"/>
              </w:rPr>
              <w:t xml:space="preserve"> MK noteikumu </w:t>
            </w:r>
            <w:r w:rsidR="002D0316" w:rsidRPr="002B5E12">
              <w:rPr>
                <w:sz w:val="26"/>
                <w:szCs w:val="26"/>
              </w:rPr>
              <w:t>punktos</w:t>
            </w:r>
            <w:r w:rsidR="006C48E9" w:rsidRPr="002B5E12">
              <w:rPr>
                <w:sz w:val="26"/>
                <w:szCs w:val="26"/>
              </w:rPr>
              <w:t xml:space="preserve"> tiek izmantots tikai </w:t>
            </w:r>
            <w:r w:rsidR="002D0316" w:rsidRPr="002B5E12">
              <w:rPr>
                <w:sz w:val="26"/>
                <w:szCs w:val="26"/>
              </w:rPr>
              <w:t xml:space="preserve">termins “bīstamā </w:t>
            </w:r>
            <w:r w:rsidR="002D0316" w:rsidRPr="002B5E12">
              <w:rPr>
                <w:sz w:val="26"/>
                <w:szCs w:val="26"/>
              </w:rPr>
              <w:lastRenderedPageBreak/>
              <w:t>zona</w:t>
            </w:r>
            <w:r w:rsidR="006C48E9" w:rsidRPr="002B5E12">
              <w:rPr>
                <w:sz w:val="26"/>
                <w:szCs w:val="26"/>
              </w:rPr>
              <w:t>”.</w:t>
            </w:r>
            <w:r w:rsidR="003C651B" w:rsidRPr="002B5E12">
              <w:rPr>
                <w:sz w:val="26"/>
                <w:szCs w:val="26"/>
              </w:rPr>
              <w:t xml:space="preserve"> MK noteikumos Nr.840 tika izmantoti </w:t>
            </w:r>
            <w:r w:rsidR="003C651B" w:rsidRPr="004A5D7E">
              <w:rPr>
                <w:sz w:val="26"/>
                <w:szCs w:val="26"/>
              </w:rPr>
              <w:t xml:space="preserve">dažādi termini </w:t>
            </w:r>
            <w:r w:rsidR="002D0316" w:rsidRPr="002B5E12">
              <w:rPr>
                <w:sz w:val="26"/>
                <w:szCs w:val="26"/>
              </w:rPr>
              <w:t>attiecībā uz terminu</w:t>
            </w:r>
            <w:r w:rsidR="003C651B" w:rsidRPr="002B5E12">
              <w:rPr>
                <w:sz w:val="26"/>
                <w:szCs w:val="26"/>
              </w:rPr>
              <w:t xml:space="preserve"> “šāviņu uztvērējam”, kas</w:t>
            </w:r>
            <w:r w:rsidR="002B5E12" w:rsidRPr="002B5E12">
              <w:rPr>
                <w:sz w:val="26"/>
                <w:szCs w:val="26"/>
              </w:rPr>
              <w:t xml:space="preserve"> </w:t>
            </w:r>
            <w:r w:rsidR="003C651B" w:rsidRPr="004A5D7E">
              <w:rPr>
                <w:sz w:val="26"/>
                <w:szCs w:val="26"/>
              </w:rPr>
              <w:t>tika nosaukts gan, kā “šāviņu uztvērējs”</w:t>
            </w:r>
            <w:r w:rsidR="00965FAF" w:rsidRPr="004A5D7E">
              <w:rPr>
                <w:sz w:val="26"/>
                <w:szCs w:val="26"/>
              </w:rPr>
              <w:t xml:space="preserve">, </w:t>
            </w:r>
            <w:r w:rsidR="00143C46" w:rsidRPr="004A5D7E">
              <w:rPr>
                <w:sz w:val="26"/>
                <w:szCs w:val="26"/>
              </w:rPr>
              <w:t xml:space="preserve">gan </w:t>
            </w:r>
            <w:r w:rsidR="003C651B" w:rsidRPr="004A5D7E">
              <w:rPr>
                <w:sz w:val="26"/>
                <w:szCs w:val="26"/>
              </w:rPr>
              <w:t xml:space="preserve">kā </w:t>
            </w:r>
            <w:r w:rsidR="00965FAF" w:rsidRPr="004A5D7E">
              <w:rPr>
                <w:sz w:val="26"/>
                <w:szCs w:val="26"/>
              </w:rPr>
              <w:t>“ložu uztvērējs”. Ņemot vērā, ka l</w:t>
            </w:r>
            <w:r w:rsidR="00143C46" w:rsidRPr="004A5D7E">
              <w:rPr>
                <w:sz w:val="26"/>
                <w:szCs w:val="26"/>
              </w:rPr>
              <w:t xml:space="preserve">ode ir tikai viens no </w:t>
            </w:r>
            <w:r w:rsidR="00143C46" w:rsidRPr="002B5E12">
              <w:rPr>
                <w:sz w:val="26"/>
                <w:szCs w:val="26"/>
              </w:rPr>
              <w:t>iespējamā</w:t>
            </w:r>
            <w:r w:rsidR="00965FAF" w:rsidRPr="004A5D7E">
              <w:rPr>
                <w:sz w:val="26"/>
                <w:szCs w:val="26"/>
              </w:rPr>
              <w:t xml:space="preserve"> šāviņa veidiem, kuru ir iespējams raidīt no ieroča</w:t>
            </w:r>
            <w:r w:rsidR="00E507F6" w:rsidRPr="004A5D7E">
              <w:rPr>
                <w:sz w:val="26"/>
                <w:szCs w:val="26"/>
              </w:rPr>
              <w:t>,</w:t>
            </w:r>
            <w:r w:rsidR="00965FAF" w:rsidRPr="004A5D7E">
              <w:rPr>
                <w:sz w:val="26"/>
                <w:szCs w:val="26"/>
              </w:rPr>
              <w:t xml:space="preserve"> tehniski korekti ir izmantot vienveidīgi terminu “šāviņu uztvērējs”. MK noteikumu projekta 5.4.apakšpunktā ir sniegts termina “šāviņu uztvērēju” skaidrojums, </w:t>
            </w:r>
            <w:r w:rsidR="00E507F6" w:rsidRPr="004A5D7E">
              <w:rPr>
                <w:sz w:val="26"/>
                <w:szCs w:val="26"/>
              </w:rPr>
              <w:t>kā arī turpmākajās</w:t>
            </w:r>
            <w:r w:rsidR="00965FAF" w:rsidRPr="004A5D7E">
              <w:rPr>
                <w:sz w:val="26"/>
                <w:szCs w:val="26"/>
              </w:rPr>
              <w:t xml:space="preserve"> MK noteikumu tiesību normās tiek izmantots</w:t>
            </w:r>
            <w:r w:rsidR="00143C46" w:rsidRPr="004A5D7E">
              <w:rPr>
                <w:sz w:val="26"/>
                <w:szCs w:val="26"/>
              </w:rPr>
              <w:t xml:space="preserve"> </w:t>
            </w:r>
            <w:r w:rsidR="00965FAF" w:rsidRPr="004A5D7E">
              <w:rPr>
                <w:sz w:val="26"/>
                <w:szCs w:val="26"/>
              </w:rPr>
              <w:t>tikai</w:t>
            </w:r>
            <w:r w:rsidR="00143C46" w:rsidRPr="004A5D7E">
              <w:rPr>
                <w:sz w:val="26"/>
                <w:szCs w:val="26"/>
              </w:rPr>
              <w:t xml:space="preserve"> termins</w:t>
            </w:r>
            <w:r w:rsidR="00965FAF" w:rsidRPr="004A5D7E">
              <w:rPr>
                <w:sz w:val="26"/>
                <w:szCs w:val="26"/>
              </w:rPr>
              <w:t xml:space="preserve"> “šāviņu uztvērējs”. </w:t>
            </w:r>
            <w:r w:rsidR="006C48E9" w:rsidRPr="004A5D7E">
              <w:rPr>
                <w:color w:val="FF0000"/>
                <w:sz w:val="26"/>
                <w:szCs w:val="26"/>
              </w:rPr>
              <w:t xml:space="preserve"> </w:t>
            </w:r>
            <w:r w:rsidR="00143C46" w:rsidRPr="004A5D7E">
              <w:rPr>
                <w:sz w:val="26"/>
                <w:szCs w:val="26"/>
              </w:rPr>
              <w:t>Papildus minētaja</w:t>
            </w:r>
            <w:r w:rsidR="006C48E9" w:rsidRPr="004A5D7E">
              <w:rPr>
                <w:sz w:val="26"/>
                <w:szCs w:val="26"/>
              </w:rPr>
              <w:t>m ir izskaidroti termini, kas praksē piemērotājiem bija neviennozīmīgi izprotami</w:t>
            </w:r>
            <w:r w:rsidR="00965FAF" w:rsidRPr="004A5D7E">
              <w:rPr>
                <w:sz w:val="26"/>
                <w:szCs w:val="26"/>
              </w:rPr>
              <w:t>,</w:t>
            </w:r>
            <w:r w:rsidR="00586E96" w:rsidRPr="004A5D7E">
              <w:rPr>
                <w:sz w:val="26"/>
                <w:szCs w:val="26"/>
              </w:rPr>
              <w:t xml:space="preserve"> </w:t>
            </w:r>
            <w:r w:rsidR="00965FAF" w:rsidRPr="004A5D7E">
              <w:rPr>
                <w:sz w:val="26"/>
                <w:szCs w:val="26"/>
              </w:rPr>
              <w:t>proti, atšķirība starp terminu “šāviņu uztvērējs” un “šāviņu pārtvērējs”.</w:t>
            </w:r>
            <w:r w:rsidR="006C48E9" w:rsidRPr="004A5D7E">
              <w:rPr>
                <w:sz w:val="26"/>
                <w:szCs w:val="26"/>
              </w:rPr>
              <w:t xml:space="preserve"> MK</w:t>
            </w:r>
            <w:r w:rsidR="00143C46" w:rsidRPr="004A5D7E">
              <w:rPr>
                <w:sz w:val="26"/>
                <w:szCs w:val="26"/>
              </w:rPr>
              <w:t xml:space="preserve"> </w:t>
            </w:r>
            <w:r w:rsidR="00143C46" w:rsidRPr="002B5E12">
              <w:rPr>
                <w:sz w:val="26"/>
                <w:szCs w:val="26"/>
              </w:rPr>
              <w:t>noteikumu</w:t>
            </w:r>
            <w:r w:rsidR="006C48E9" w:rsidRPr="002B5E12">
              <w:rPr>
                <w:sz w:val="26"/>
                <w:szCs w:val="26"/>
              </w:rPr>
              <w:t xml:space="preserve"> p</w:t>
            </w:r>
            <w:r w:rsidR="006C48E9" w:rsidRPr="004A5D7E">
              <w:rPr>
                <w:sz w:val="26"/>
                <w:szCs w:val="26"/>
              </w:rPr>
              <w:t>rojekta</w:t>
            </w:r>
            <w:r w:rsidR="003C651B" w:rsidRPr="004A5D7E">
              <w:rPr>
                <w:sz w:val="26"/>
                <w:szCs w:val="26"/>
              </w:rPr>
              <w:t xml:space="preserve"> 5.4.apakšpunktā ir sniegts termina “šāvi</w:t>
            </w:r>
            <w:r w:rsidR="00143C46" w:rsidRPr="004A5D7E">
              <w:rPr>
                <w:sz w:val="26"/>
                <w:szCs w:val="26"/>
              </w:rPr>
              <w:t>ņu uztvērējs</w:t>
            </w:r>
            <w:r w:rsidR="003C651B" w:rsidRPr="004A5D7E">
              <w:rPr>
                <w:sz w:val="26"/>
                <w:szCs w:val="26"/>
              </w:rPr>
              <w:t>” un 5.5.apakšpunktā ir sn</w:t>
            </w:r>
            <w:r w:rsidR="00143C46" w:rsidRPr="004A5D7E">
              <w:rPr>
                <w:sz w:val="26"/>
                <w:szCs w:val="26"/>
              </w:rPr>
              <w:t>iegts termina “šāviņu pārtvērējs</w:t>
            </w:r>
            <w:r w:rsidR="003C651B" w:rsidRPr="004A5D7E">
              <w:rPr>
                <w:sz w:val="26"/>
                <w:szCs w:val="26"/>
              </w:rPr>
              <w:t xml:space="preserve">” skaidrojums. </w:t>
            </w:r>
          </w:p>
          <w:p w:rsidR="00221838" w:rsidRPr="002B5E12" w:rsidRDefault="003F54CC" w:rsidP="00965FAF">
            <w:pPr>
              <w:ind w:firstLine="275"/>
              <w:jc w:val="both"/>
              <w:rPr>
                <w:sz w:val="26"/>
                <w:szCs w:val="26"/>
              </w:rPr>
            </w:pPr>
            <w:r w:rsidRPr="004A5D7E">
              <w:rPr>
                <w:sz w:val="26"/>
                <w:szCs w:val="26"/>
              </w:rPr>
              <w:t>MK noteikumu projektā</w:t>
            </w:r>
            <w:r w:rsidR="0035754F" w:rsidRPr="004A5D7E">
              <w:rPr>
                <w:sz w:val="26"/>
                <w:szCs w:val="26"/>
              </w:rPr>
              <w:t xml:space="preserve"> II nodaļa izvirza </w:t>
            </w:r>
            <w:r w:rsidR="00586E96" w:rsidRPr="004A5D7E">
              <w:rPr>
                <w:sz w:val="26"/>
                <w:szCs w:val="26"/>
              </w:rPr>
              <w:t>skaidras un tehniski korekta</w:t>
            </w:r>
            <w:r w:rsidR="00AD6ACE" w:rsidRPr="004A5D7E">
              <w:rPr>
                <w:sz w:val="26"/>
                <w:szCs w:val="26"/>
              </w:rPr>
              <w:t>s prasības šautuves</w:t>
            </w:r>
            <w:r w:rsidR="0035754F" w:rsidRPr="004A5D7E">
              <w:rPr>
                <w:sz w:val="26"/>
                <w:szCs w:val="26"/>
              </w:rPr>
              <w:t xml:space="preserve"> izveidošanai un darbībai.</w:t>
            </w:r>
            <w:r w:rsidR="00AD6ACE" w:rsidRPr="004A5D7E">
              <w:rPr>
                <w:sz w:val="26"/>
                <w:szCs w:val="26"/>
              </w:rPr>
              <w:t xml:space="preserve"> </w:t>
            </w:r>
            <w:r w:rsidR="00D8036C" w:rsidRPr="004A5D7E">
              <w:rPr>
                <w:sz w:val="26"/>
                <w:szCs w:val="26"/>
              </w:rPr>
              <w:t>MK noteikumu projektā II nodaļ</w:t>
            </w:r>
            <w:r w:rsidR="002A5887" w:rsidRPr="004A5D7E">
              <w:rPr>
                <w:sz w:val="26"/>
                <w:szCs w:val="26"/>
              </w:rPr>
              <w:t>as tiesiskais regulējums saglabā līdzšinējo šautuves iedalījumu</w:t>
            </w:r>
            <w:r w:rsidR="00082BA0" w:rsidRPr="004A5D7E">
              <w:rPr>
                <w:sz w:val="26"/>
                <w:szCs w:val="26"/>
              </w:rPr>
              <w:t>.</w:t>
            </w:r>
            <w:r w:rsidR="002A5887" w:rsidRPr="004A5D7E">
              <w:rPr>
                <w:sz w:val="26"/>
                <w:szCs w:val="26"/>
              </w:rPr>
              <w:t xml:space="preserve"> </w:t>
            </w:r>
            <w:r w:rsidR="00644FD2" w:rsidRPr="002B5E12">
              <w:rPr>
                <w:sz w:val="26"/>
                <w:szCs w:val="26"/>
              </w:rPr>
              <w:t>MK</w:t>
            </w:r>
            <w:r w:rsidR="00082BA0" w:rsidRPr="002B5E12">
              <w:rPr>
                <w:sz w:val="26"/>
                <w:szCs w:val="26"/>
              </w:rPr>
              <w:t xml:space="preserve"> noteikumu projekta 6.punkts paredz</w:t>
            </w:r>
            <w:r w:rsidR="00644FD2" w:rsidRPr="002B5E12">
              <w:rPr>
                <w:sz w:val="26"/>
                <w:szCs w:val="26"/>
              </w:rPr>
              <w:t>, ka šautuves var būt slēgtas, pusslēgtas vai atklātas</w:t>
            </w:r>
            <w:r w:rsidR="00082BA0" w:rsidRPr="002B5E12">
              <w:rPr>
                <w:sz w:val="26"/>
                <w:szCs w:val="26"/>
              </w:rPr>
              <w:t>, un</w:t>
            </w:r>
            <w:r w:rsidR="00586E96" w:rsidRPr="002B5E12">
              <w:rPr>
                <w:sz w:val="26"/>
                <w:szCs w:val="26"/>
              </w:rPr>
              <w:t xml:space="preserve"> katram minētā</w:t>
            </w:r>
            <w:r w:rsidR="00644FD2" w:rsidRPr="002B5E12">
              <w:rPr>
                <w:sz w:val="26"/>
                <w:szCs w:val="26"/>
              </w:rPr>
              <w:t xml:space="preserve">s šautuves veidam </w:t>
            </w:r>
            <w:r w:rsidR="00082BA0" w:rsidRPr="002B5E12">
              <w:rPr>
                <w:sz w:val="26"/>
                <w:szCs w:val="26"/>
              </w:rPr>
              <w:t xml:space="preserve">tiek paredzētas </w:t>
            </w:r>
            <w:r w:rsidR="00644FD2" w:rsidRPr="002B5E12">
              <w:rPr>
                <w:sz w:val="26"/>
                <w:szCs w:val="26"/>
              </w:rPr>
              <w:t xml:space="preserve">konkrētas minimālās prasības, lai nodrošinātu sabiedrisko kārtību un novērstu kaitējumu cilvēkiem, dzīvniekiem, mantai un videi šautuvē un ārpus tās. </w:t>
            </w:r>
          </w:p>
          <w:p w:rsidR="00EC5595" w:rsidRPr="002B5E12" w:rsidRDefault="00644FD2" w:rsidP="00965FAF">
            <w:pPr>
              <w:ind w:firstLine="275"/>
              <w:jc w:val="both"/>
              <w:rPr>
                <w:sz w:val="26"/>
                <w:szCs w:val="26"/>
              </w:rPr>
            </w:pPr>
            <w:r w:rsidRPr="002B5E12">
              <w:rPr>
                <w:sz w:val="26"/>
                <w:szCs w:val="26"/>
              </w:rPr>
              <w:t>No</w:t>
            </w:r>
            <w:r w:rsidR="00082BA0" w:rsidRPr="002B5E12">
              <w:rPr>
                <w:sz w:val="26"/>
                <w:szCs w:val="26"/>
              </w:rPr>
              <w:t xml:space="preserve">sakot </w:t>
            </w:r>
            <w:r w:rsidRPr="002B5E12">
              <w:rPr>
                <w:sz w:val="26"/>
                <w:szCs w:val="26"/>
              </w:rPr>
              <w:t xml:space="preserve">minimālās prasības </w:t>
            </w:r>
            <w:r w:rsidR="00082BA0" w:rsidRPr="002B5E12">
              <w:rPr>
                <w:sz w:val="26"/>
                <w:szCs w:val="26"/>
              </w:rPr>
              <w:t>slēgtajām</w:t>
            </w:r>
            <w:r w:rsidR="009954DE" w:rsidRPr="002B5E12">
              <w:rPr>
                <w:sz w:val="26"/>
                <w:szCs w:val="26"/>
              </w:rPr>
              <w:t xml:space="preserve"> šautuvēm</w:t>
            </w:r>
            <w:r w:rsidR="009C0078" w:rsidRPr="002B5E12">
              <w:rPr>
                <w:sz w:val="26"/>
                <w:szCs w:val="26"/>
              </w:rPr>
              <w:t>, kas ir paredzētas</w:t>
            </w:r>
            <w:r w:rsidR="009954DE" w:rsidRPr="002B5E12">
              <w:rPr>
                <w:sz w:val="26"/>
                <w:szCs w:val="26"/>
              </w:rPr>
              <w:t xml:space="preserve"> </w:t>
            </w:r>
            <w:r w:rsidRPr="002B5E12">
              <w:rPr>
                <w:sz w:val="26"/>
                <w:szCs w:val="26"/>
              </w:rPr>
              <w:t>MK</w:t>
            </w:r>
            <w:r w:rsidR="007E7995" w:rsidRPr="002B5E12">
              <w:rPr>
                <w:sz w:val="26"/>
                <w:szCs w:val="26"/>
              </w:rPr>
              <w:t xml:space="preserve"> noteikumu</w:t>
            </w:r>
            <w:r w:rsidRPr="002B5E12">
              <w:rPr>
                <w:sz w:val="26"/>
                <w:szCs w:val="26"/>
              </w:rPr>
              <w:t xml:space="preserve"> projekta 7. un 8.punktā</w:t>
            </w:r>
            <w:r w:rsidR="00082BA0" w:rsidRPr="002B5E12">
              <w:rPr>
                <w:sz w:val="26"/>
                <w:szCs w:val="26"/>
              </w:rPr>
              <w:t>, tika</w:t>
            </w:r>
            <w:r w:rsidR="009954DE" w:rsidRPr="002B5E12">
              <w:rPr>
                <w:sz w:val="26"/>
                <w:szCs w:val="26"/>
              </w:rPr>
              <w:t xml:space="preserve"> </w:t>
            </w:r>
            <w:r w:rsidRPr="002B5E12">
              <w:rPr>
                <w:sz w:val="26"/>
                <w:szCs w:val="26"/>
              </w:rPr>
              <w:t>ņemta</w:t>
            </w:r>
            <w:r w:rsidR="00586E96" w:rsidRPr="002B5E12">
              <w:rPr>
                <w:sz w:val="26"/>
                <w:szCs w:val="26"/>
              </w:rPr>
              <w:t>s</w:t>
            </w:r>
            <w:r w:rsidRPr="002B5E12">
              <w:rPr>
                <w:sz w:val="26"/>
                <w:szCs w:val="26"/>
              </w:rPr>
              <w:t xml:space="preserve"> vērā MK noteikumos Nr.840 iepriekš </w:t>
            </w:r>
            <w:r w:rsidR="00082BA0" w:rsidRPr="002B5E12">
              <w:rPr>
                <w:sz w:val="26"/>
                <w:szCs w:val="26"/>
              </w:rPr>
              <w:t>noteiktās</w:t>
            </w:r>
            <w:r w:rsidRPr="002B5E12">
              <w:rPr>
                <w:sz w:val="26"/>
                <w:szCs w:val="26"/>
              </w:rPr>
              <w:t xml:space="preserve"> prasības, ka</w:t>
            </w:r>
            <w:r w:rsidR="00586E96" w:rsidRPr="002B5E12">
              <w:rPr>
                <w:sz w:val="26"/>
                <w:szCs w:val="26"/>
              </w:rPr>
              <w:t>s tika precizētas un papildināta</w:t>
            </w:r>
            <w:r w:rsidRPr="002B5E12">
              <w:rPr>
                <w:sz w:val="26"/>
                <w:szCs w:val="26"/>
              </w:rPr>
              <w:t>s ar prasībām, k</w:t>
            </w:r>
            <w:r w:rsidR="00586E96" w:rsidRPr="002B5E12">
              <w:rPr>
                <w:sz w:val="26"/>
                <w:szCs w:val="26"/>
              </w:rPr>
              <w:t>uras</w:t>
            </w:r>
            <w:r w:rsidRPr="002B5E12">
              <w:rPr>
                <w:sz w:val="26"/>
                <w:szCs w:val="26"/>
              </w:rPr>
              <w:t xml:space="preserve"> slēgtās šautuves </w:t>
            </w:r>
            <w:r w:rsidR="00221838" w:rsidRPr="002B5E12">
              <w:rPr>
                <w:sz w:val="26"/>
                <w:szCs w:val="26"/>
              </w:rPr>
              <w:t xml:space="preserve">šobrīd jau </w:t>
            </w:r>
            <w:r w:rsidRPr="002B5E12">
              <w:rPr>
                <w:sz w:val="26"/>
                <w:szCs w:val="26"/>
              </w:rPr>
              <w:t xml:space="preserve">nodrošina praksē. </w:t>
            </w:r>
            <w:r w:rsidR="00267F40" w:rsidRPr="002B5E12">
              <w:rPr>
                <w:sz w:val="26"/>
                <w:szCs w:val="26"/>
              </w:rPr>
              <w:t xml:space="preserve">Piemēram, </w:t>
            </w:r>
            <w:r w:rsidRPr="002B5E12">
              <w:rPr>
                <w:sz w:val="26"/>
                <w:szCs w:val="26"/>
              </w:rPr>
              <w:t>slēgtās šautuves</w:t>
            </w:r>
            <w:r w:rsidR="00586E96" w:rsidRPr="002B5E12">
              <w:rPr>
                <w:sz w:val="26"/>
                <w:szCs w:val="26"/>
              </w:rPr>
              <w:t>, kurā</w:t>
            </w:r>
            <w:r w:rsidR="00267F40" w:rsidRPr="002B5E12">
              <w:rPr>
                <w:sz w:val="26"/>
                <w:szCs w:val="26"/>
              </w:rPr>
              <w:t>s tiek izmantoti šaujamieroči</w:t>
            </w:r>
            <w:r w:rsidR="00586E96" w:rsidRPr="002B5E12">
              <w:rPr>
                <w:sz w:val="26"/>
                <w:szCs w:val="26"/>
              </w:rPr>
              <w:t>,</w:t>
            </w:r>
            <w:r w:rsidR="00267F40" w:rsidRPr="002B5E12">
              <w:rPr>
                <w:sz w:val="26"/>
                <w:szCs w:val="26"/>
              </w:rPr>
              <w:t xml:space="preserve"> šaušanas telpa atbilstoši 7.7.apakšpunktam ir bez logiem. MK noteikumos Nr.840</w:t>
            </w:r>
            <w:r w:rsidR="00082BA0" w:rsidRPr="002B5E12">
              <w:rPr>
                <w:sz w:val="26"/>
                <w:szCs w:val="26"/>
              </w:rPr>
              <w:t xml:space="preserve"> šādu prasību neparedzēja</w:t>
            </w:r>
            <w:r w:rsidR="00586E96" w:rsidRPr="002B5E12">
              <w:rPr>
                <w:sz w:val="26"/>
                <w:szCs w:val="26"/>
              </w:rPr>
              <w:t>, bet minēto slēgto šautuvju</w:t>
            </w:r>
            <w:r w:rsidR="00267F40" w:rsidRPr="002B5E12">
              <w:rPr>
                <w:sz w:val="26"/>
                <w:szCs w:val="26"/>
              </w:rPr>
              <w:t xml:space="preserve"> īpašnieki ierīkoja šautuvi būvē, kuras šautuves telpas ir bez logiem, lai nodrošinātu šāviņa neizlidošanu ārpus šautuves telpām. </w:t>
            </w:r>
            <w:r w:rsidR="00082BA0" w:rsidRPr="002B5E12">
              <w:rPr>
                <w:sz w:val="26"/>
                <w:szCs w:val="26"/>
              </w:rPr>
              <w:t>Tāpat</w:t>
            </w:r>
            <w:r w:rsidR="00EC5595" w:rsidRPr="002B5E12">
              <w:rPr>
                <w:sz w:val="26"/>
                <w:szCs w:val="26"/>
              </w:rPr>
              <w:t xml:space="preserve"> MK noteikuma projekta 7.11.apakšpunkts paredz, ka </w:t>
            </w:r>
            <w:r w:rsidR="00267F40" w:rsidRPr="002B5E12">
              <w:rPr>
                <w:sz w:val="26"/>
                <w:szCs w:val="26"/>
              </w:rPr>
              <w:t>šaušanas līnijā</w:t>
            </w:r>
            <w:r w:rsidR="00EC5595" w:rsidRPr="002B5E12">
              <w:rPr>
                <w:sz w:val="26"/>
                <w:szCs w:val="26"/>
              </w:rPr>
              <w:t xml:space="preserve"> jābūt līdzenam</w:t>
            </w:r>
            <w:r w:rsidR="00267F40" w:rsidRPr="002B5E12">
              <w:rPr>
                <w:sz w:val="26"/>
                <w:szCs w:val="26"/>
              </w:rPr>
              <w:t xml:space="preserve"> grīdas segumu, lai novērstu negadījumus šautuves telpā, izmantojot šaujamieroci. </w:t>
            </w:r>
            <w:r w:rsidR="00EC5595" w:rsidRPr="002B5E12">
              <w:rPr>
                <w:sz w:val="26"/>
                <w:szCs w:val="26"/>
              </w:rPr>
              <w:t>Šāds segums jau šobrīd ir nodrošināts šautuvēs.</w:t>
            </w:r>
          </w:p>
          <w:p w:rsidR="00221838" w:rsidRPr="002B5E12" w:rsidRDefault="00AC2EE5" w:rsidP="00965FAF">
            <w:pPr>
              <w:ind w:firstLine="275"/>
              <w:jc w:val="both"/>
              <w:rPr>
                <w:sz w:val="26"/>
                <w:szCs w:val="26"/>
              </w:rPr>
            </w:pPr>
            <w:r w:rsidRPr="002B5E12">
              <w:rPr>
                <w:sz w:val="26"/>
                <w:szCs w:val="26"/>
              </w:rPr>
              <w:t>Izstrādājot</w:t>
            </w:r>
            <w:r w:rsidR="00586E96" w:rsidRPr="002B5E12">
              <w:rPr>
                <w:sz w:val="26"/>
                <w:szCs w:val="26"/>
              </w:rPr>
              <w:t xml:space="preserve"> MK </w:t>
            </w:r>
            <w:r w:rsidRPr="002B5E12">
              <w:rPr>
                <w:sz w:val="26"/>
                <w:szCs w:val="26"/>
              </w:rPr>
              <w:t xml:space="preserve">noteikumu </w:t>
            </w:r>
            <w:r w:rsidR="00586E96" w:rsidRPr="002B5E12">
              <w:rPr>
                <w:sz w:val="26"/>
                <w:szCs w:val="26"/>
              </w:rPr>
              <w:t xml:space="preserve">projektā </w:t>
            </w:r>
            <w:r w:rsidRPr="002B5E12">
              <w:rPr>
                <w:sz w:val="26"/>
                <w:szCs w:val="26"/>
              </w:rPr>
              <w:t xml:space="preserve">paredzētās </w:t>
            </w:r>
            <w:r w:rsidR="0049384A" w:rsidRPr="002B5E12">
              <w:rPr>
                <w:sz w:val="26"/>
                <w:szCs w:val="26"/>
              </w:rPr>
              <w:t>minimālās prasības slēgtajām</w:t>
            </w:r>
            <w:r w:rsidR="00267F40" w:rsidRPr="002B5E12">
              <w:rPr>
                <w:sz w:val="26"/>
                <w:szCs w:val="26"/>
              </w:rPr>
              <w:t xml:space="preserve"> šautuvēm</w:t>
            </w:r>
            <w:r w:rsidR="009C0078" w:rsidRPr="002B5E12">
              <w:rPr>
                <w:sz w:val="26"/>
                <w:szCs w:val="26"/>
              </w:rPr>
              <w:t>,</w:t>
            </w:r>
            <w:r w:rsidR="00267F40" w:rsidRPr="002B5E12">
              <w:rPr>
                <w:sz w:val="26"/>
                <w:szCs w:val="26"/>
              </w:rPr>
              <w:t xml:space="preserve"> </w:t>
            </w:r>
            <w:r w:rsidRPr="002B5E12">
              <w:rPr>
                <w:sz w:val="26"/>
                <w:szCs w:val="26"/>
              </w:rPr>
              <w:t xml:space="preserve">tika </w:t>
            </w:r>
            <w:r w:rsidR="00586E96" w:rsidRPr="002B5E12">
              <w:rPr>
                <w:sz w:val="26"/>
                <w:szCs w:val="26"/>
              </w:rPr>
              <w:t>konstatēt</w:t>
            </w:r>
            <w:r w:rsidRPr="002B5E12">
              <w:rPr>
                <w:sz w:val="26"/>
                <w:szCs w:val="26"/>
              </w:rPr>
              <w:t>s</w:t>
            </w:r>
            <w:r w:rsidR="00586E96" w:rsidRPr="002B5E12">
              <w:rPr>
                <w:sz w:val="26"/>
                <w:szCs w:val="26"/>
              </w:rPr>
              <w:t>, ka slēgto šautuvju</w:t>
            </w:r>
            <w:r w:rsidR="00221838" w:rsidRPr="002B5E12">
              <w:rPr>
                <w:sz w:val="26"/>
                <w:szCs w:val="26"/>
              </w:rPr>
              <w:t xml:space="preserve"> īpašniekiem nebūs nepieciešams veikt šaušanas telpu pārbūvi vai iekārtot šautuves telpas citās būvēs,</w:t>
            </w:r>
            <w:r w:rsidR="00AE76CF" w:rsidRPr="002B5E12">
              <w:rPr>
                <w:sz w:val="26"/>
                <w:szCs w:val="26"/>
              </w:rPr>
              <w:t xml:space="preserve"> lai nodrošinātu slēgtās šautuves</w:t>
            </w:r>
            <w:r w:rsidR="00221838" w:rsidRPr="002B5E12">
              <w:rPr>
                <w:sz w:val="26"/>
                <w:szCs w:val="26"/>
              </w:rPr>
              <w:t xml:space="preserve"> atbilstību MK</w:t>
            </w:r>
            <w:r w:rsidR="007E7995" w:rsidRPr="002B5E12">
              <w:rPr>
                <w:sz w:val="26"/>
                <w:szCs w:val="26"/>
              </w:rPr>
              <w:t xml:space="preserve"> noteikumu</w:t>
            </w:r>
            <w:r w:rsidR="00221838" w:rsidRPr="002B5E12">
              <w:rPr>
                <w:sz w:val="26"/>
                <w:szCs w:val="26"/>
              </w:rPr>
              <w:t xml:space="preserve"> projektā noteiktām minimālām prasībām.</w:t>
            </w:r>
          </w:p>
          <w:p w:rsidR="003F54CC" w:rsidRPr="004A5D7E" w:rsidRDefault="009C0078" w:rsidP="007E7995">
            <w:pPr>
              <w:ind w:firstLine="275"/>
              <w:jc w:val="both"/>
              <w:rPr>
                <w:sz w:val="26"/>
                <w:szCs w:val="26"/>
              </w:rPr>
            </w:pPr>
            <w:r w:rsidRPr="002B5E12">
              <w:rPr>
                <w:sz w:val="26"/>
                <w:szCs w:val="26"/>
              </w:rPr>
              <w:t>Izstrādājot</w:t>
            </w:r>
            <w:r w:rsidR="00221838" w:rsidRPr="002B5E12">
              <w:rPr>
                <w:sz w:val="26"/>
                <w:szCs w:val="26"/>
              </w:rPr>
              <w:t xml:space="preserve"> minimālās prasības </w:t>
            </w:r>
            <w:proofErr w:type="spellStart"/>
            <w:r w:rsidRPr="002B5E12">
              <w:rPr>
                <w:sz w:val="26"/>
                <w:szCs w:val="26"/>
              </w:rPr>
              <w:t>pusslēgtajām</w:t>
            </w:r>
            <w:proofErr w:type="spellEnd"/>
            <w:r w:rsidR="009954DE" w:rsidRPr="002B5E12">
              <w:rPr>
                <w:sz w:val="26"/>
                <w:szCs w:val="26"/>
              </w:rPr>
              <w:t xml:space="preserve"> šautuvēm</w:t>
            </w:r>
            <w:r w:rsidRPr="002B5E12">
              <w:rPr>
                <w:sz w:val="26"/>
                <w:szCs w:val="26"/>
              </w:rPr>
              <w:t>, kas ir noteiktas</w:t>
            </w:r>
            <w:r w:rsidR="009954DE" w:rsidRPr="002B5E12">
              <w:rPr>
                <w:sz w:val="26"/>
                <w:szCs w:val="26"/>
              </w:rPr>
              <w:t xml:space="preserve"> </w:t>
            </w:r>
            <w:r w:rsidR="00221838" w:rsidRPr="002B5E12">
              <w:rPr>
                <w:sz w:val="26"/>
                <w:szCs w:val="26"/>
              </w:rPr>
              <w:t>MK</w:t>
            </w:r>
            <w:r w:rsidR="007E7995" w:rsidRPr="002B5E12">
              <w:rPr>
                <w:sz w:val="26"/>
                <w:szCs w:val="26"/>
              </w:rPr>
              <w:t xml:space="preserve"> noteikumu</w:t>
            </w:r>
            <w:r w:rsidR="00221838" w:rsidRPr="002B5E12">
              <w:rPr>
                <w:sz w:val="26"/>
                <w:szCs w:val="26"/>
              </w:rPr>
              <w:t xml:space="preserve"> projekta 9.punktā</w:t>
            </w:r>
            <w:r w:rsidRPr="002B5E12">
              <w:rPr>
                <w:sz w:val="26"/>
                <w:szCs w:val="26"/>
              </w:rPr>
              <w:t>,</w:t>
            </w:r>
            <w:r w:rsidR="00221838" w:rsidRPr="002B5E12">
              <w:rPr>
                <w:sz w:val="26"/>
                <w:szCs w:val="26"/>
              </w:rPr>
              <w:t xml:space="preserve"> tika ņemta</w:t>
            </w:r>
            <w:r w:rsidRPr="002B5E12">
              <w:rPr>
                <w:sz w:val="26"/>
                <w:szCs w:val="26"/>
              </w:rPr>
              <w:t>s</w:t>
            </w:r>
            <w:r w:rsidR="00221838" w:rsidRPr="002B5E12">
              <w:rPr>
                <w:sz w:val="26"/>
                <w:szCs w:val="26"/>
              </w:rPr>
              <w:t xml:space="preserve"> vērā</w:t>
            </w:r>
            <w:r w:rsidRPr="002B5E12">
              <w:rPr>
                <w:sz w:val="26"/>
                <w:szCs w:val="26"/>
              </w:rPr>
              <w:t xml:space="preserve"> MK noteikumos Nr.840 iepriekš paredzētās</w:t>
            </w:r>
            <w:r w:rsidR="00221838" w:rsidRPr="002B5E12">
              <w:rPr>
                <w:sz w:val="26"/>
                <w:szCs w:val="26"/>
              </w:rPr>
              <w:t xml:space="preserve"> prasības, kas </w:t>
            </w:r>
            <w:r w:rsidRPr="002B5E12">
              <w:rPr>
                <w:sz w:val="26"/>
                <w:szCs w:val="26"/>
              </w:rPr>
              <w:lastRenderedPageBreak/>
              <w:t xml:space="preserve">attiecīgi </w:t>
            </w:r>
            <w:r w:rsidR="00221838" w:rsidRPr="002B5E12">
              <w:rPr>
                <w:sz w:val="26"/>
                <w:szCs w:val="26"/>
              </w:rPr>
              <w:t>tika precizētas,</w:t>
            </w:r>
            <w:r w:rsidRPr="002B5E12">
              <w:rPr>
                <w:sz w:val="26"/>
                <w:szCs w:val="26"/>
              </w:rPr>
              <w:t xml:space="preserve"> svītrojot </w:t>
            </w:r>
            <w:r w:rsidR="00221838" w:rsidRPr="002B5E12">
              <w:rPr>
                <w:sz w:val="26"/>
                <w:szCs w:val="26"/>
              </w:rPr>
              <w:t>arhaiskās prasības</w:t>
            </w:r>
            <w:r w:rsidRPr="002B5E12">
              <w:rPr>
                <w:sz w:val="26"/>
                <w:szCs w:val="26"/>
              </w:rPr>
              <w:t xml:space="preserve"> un papildinot</w:t>
            </w:r>
            <w:r w:rsidR="00AE76CF" w:rsidRPr="002B5E12">
              <w:rPr>
                <w:sz w:val="26"/>
                <w:szCs w:val="26"/>
              </w:rPr>
              <w:t xml:space="preserve"> ar prasībām, kuras</w:t>
            </w:r>
            <w:r w:rsidR="00221838" w:rsidRPr="002B5E12">
              <w:rPr>
                <w:sz w:val="26"/>
                <w:szCs w:val="26"/>
              </w:rPr>
              <w:t xml:space="preserve"> </w:t>
            </w:r>
            <w:r w:rsidR="00AE76CF" w:rsidRPr="002B5E12">
              <w:rPr>
                <w:sz w:val="26"/>
                <w:szCs w:val="26"/>
              </w:rPr>
              <w:t>pus</w:t>
            </w:r>
            <w:r w:rsidR="00221838" w:rsidRPr="002B5E12">
              <w:rPr>
                <w:sz w:val="26"/>
                <w:szCs w:val="26"/>
              </w:rPr>
              <w:t>slēgtās šautuves šobrīd jau nodrošina praks</w:t>
            </w:r>
            <w:r w:rsidR="00D71A2C" w:rsidRPr="002B5E12">
              <w:rPr>
                <w:sz w:val="26"/>
                <w:szCs w:val="26"/>
              </w:rPr>
              <w:t>ē.</w:t>
            </w:r>
            <w:r w:rsidR="00221838" w:rsidRPr="004A5D7E">
              <w:rPr>
                <w:sz w:val="26"/>
                <w:szCs w:val="26"/>
              </w:rPr>
              <w:t xml:space="preserve"> </w:t>
            </w:r>
            <w:r w:rsidR="00AE76CF" w:rsidRPr="002B5E12">
              <w:rPr>
                <w:sz w:val="26"/>
                <w:szCs w:val="26"/>
              </w:rPr>
              <w:t>Piemēra</w:t>
            </w:r>
            <w:r w:rsidR="00221838" w:rsidRPr="002B5E12">
              <w:rPr>
                <w:sz w:val="26"/>
                <w:szCs w:val="26"/>
              </w:rPr>
              <w:t>m</w:t>
            </w:r>
            <w:r w:rsidR="00AE76CF" w:rsidRPr="002B5E12">
              <w:rPr>
                <w:sz w:val="26"/>
                <w:szCs w:val="26"/>
              </w:rPr>
              <w:t>,</w:t>
            </w:r>
            <w:r w:rsidR="0049384A" w:rsidRPr="002B5E12">
              <w:rPr>
                <w:sz w:val="26"/>
                <w:szCs w:val="26"/>
              </w:rPr>
              <w:t xml:space="preserve"> MK noteikumu</w:t>
            </w:r>
            <w:r w:rsidR="00221838" w:rsidRPr="002B5E12">
              <w:rPr>
                <w:sz w:val="26"/>
                <w:szCs w:val="26"/>
              </w:rPr>
              <w:t xml:space="preserve"> Nr.840</w:t>
            </w:r>
            <w:r w:rsidR="00AE76CF" w:rsidRPr="002B5E12">
              <w:rPr>
                <w:sz w:val="26"/>
                <w:szCs w:val="26"/>
              </w:rPr>
              <w:t xml:space="preserve"> 8.punkts</w:t>
            </w:r>
            <w:r w:rsidR="00221838" w:rsidRPr="002B5E12">
              <w:rPr>
                <w:sz w:val="26"/>
                <w:szCs w:val="26"/>
              </w:rPr>
              <w:t xml:space="preserve"> </w:t>
            </w:r>
            <w:r w:rsidR="0049384A" w:rsidRPr="002B5E12">
              <w:rPr>
                <w:sz w:val="26"/>
                <w:szCs w:val="26"/>
              </w:rPr>
              <w:t xml:space="preserve">paredzēja prasību </w:t>
            </w:r>
            <w:proofErr w:type="spellStart"/>
            <w:r w:rsidR="0049384A" w:rsidRPr="002B5E12">
              <w:rPr>
                <w:sz w:val="26"/>
                <w:szCs w:val="26"/>
              </w:rPr>
              <w:t>pusslēgtajās</w:t>
            </w:r>
            <w:proofErr w:type="spellEnd"/>
            <w:r w:rsidR="00DE5E39" w:rsidRPr="002B5E12">
              <w:rPr>
                <w:sz w:val="26"/>
                <w:szCs w:val="26"/>
              </w:rPr>
              <w:t xml:space="preserve"> šautuvē</w:t>
            </w:r>
            <w:r w:rsidR="00221838" w:rsidRPr="002B5E12">
              <w:rPr>
                <w:sz w:val="26"/>
                <w:szCs w:val="26"/>
              </w:rPr>
              <w:t xml:space="preserve">s </w:t>
            </w:r>
            <w:r w:rsidR="00221838" w:rsidRPr="004A5D7E">
              <w:rPr>
                <w:sz w:val="26"/>
                <w:szCs w:val="26"/>
              </w:rPr>
              <w:t xml:space="preserve">izbūvēt </w:t>
            </w:r>
            <w:r w:rsidR="00221838" w:rsidRPr="002B5E12">
              <w:rPr>
                <w:sz w:val="26"/>
                <w:szCs w:val="26"/>
              </w:rPr>
              <w:t>šaujamlūkas</w:t>
            </w:r>
            <w:r w:rsidR="0049384A" w:rsidRPr="002B5E12">
              <w:rPr>
                <w:sz w:val="26"/>
                <w:szCs w:val="26"/>
              </w:rPr>
              <w:t>,</w:t>
            </w:r>
            <w:r w:rsidR="00221838" w:rsidRPr="004A5D7E">
              <w:rPr>
                <w:sz w:val="26"/>
                <w:szCs w:val="26"/>
              </w:rPr>
              <w:t xml:space="preserve"> </w:t>
            </w:r>
            <w:r w:rsidR="00221838" w:rsidRPr="002B5E12">
              <w:rPr>
                <w:sz w:val="26"/>
                <w:szCs w:val="26"/>
              </w:rPr>
              <w:t xml:space="preserve">neparedzot alternatīvu, kā arī </w:t>
            </w:r>
            <w:r w:rsidR="009954DE" w:rsidRPr="002B5E12">
              <w:rPr>
                <w:sz w:val="26"/>
                <w:szCs w:val="26"/>
              </w:rPr>
              <w:t>noteica, ka</w:t>
            </w:r>
            <w:r w:rsidR="007E7995" w:rsidRPr="002B5E12">
              <w:rPr>
                <w:sz w:val="26"/>
                <w:szCs w:val="26"/>
              </w:rPr>
              <w:t xml:space="preserve"> virs bīstamās zonas</w:t>
            </w:r>
            <w:r w:rsidR="0049384A" w:rsidRPr="002B5E12">
              <w:rPr>
                <w:sz w:val="26"/>
                <w:szCs w:val="26"/>
              </w:rPr>
              <w:t xml:space="preserve"> nav griestu, bet praksē</w:t>
            </w:r>
            <w:r w:rsidR="002B5E12" w:rsidRPr="002B5E12">
              <w:rPr>
                <w:sz w:val="26"/>
                <w:szCs w:val="26"/>
              </w:rPr>
              <w:t xml:space="preserve"> virs bīstam</w:t>
            </w:r>
            <w:r w:rsidR="0049384A" w:rsidRPr="002B5E12">
              <w:rPr>
                <w:sz w:val="26"/>
                <w:szCs w:val="26"/>
              </w:rPr>
              <w:t>ās</w:t>
            </w:r>
            <w:r w:rsidR="007E7995" w:rsidRPr="002B5E12">
              <w:rPr>
                <w:sz w:val="26"/>
                <w:szCs w:val="26"/>
              </w:rPr>
              <w:t xml:space="preserve"> zonas</w:t>
            </w:r>
            <w:r w:rsidR="002B5E12" w:rsidRPr="002B5E12">
              <w:rPr>
                <w:sz w:val="26"/>
                <w:szCs w:val="26"/>
              </w:rPr>
              <w:t>,</w:t>
            </w:r>
            <w:r w:rsidR="007E7995" w:rsidRPr="002B5E12">
              <w:rPr>
                <w:sz w:val="26"/>
                <w:szCs w:val="26"/>
              </w:rPr>
              <w:t xml:space="preserve"> ierīko šāviņu pārtvērējus. </w:t>
            </w:r>
            <w:r w:rsidR="0049384A" w:rsidRPr="002B5E12">
              <w:rPr>
                <w:sz w:val="26"/>
                <w:szCs w:val="26"/>
              </w:rPr>
              <w:t xml:space="preserve">Izstrādājot MK noteikumu projektā paredzētās minimālās prasības </w:t>
            </w:r>
            <w:proofErr w:type="spellStart"/>
            <w:r w:rsidR="0049384A" w:rsidRPr="002B5E12">
              <w:rPr>
                <w:sz w:val="26"/>
                <w:szCs w:val="26"/>
              </w:rPr>
              <w:t>pusslēgtajām</w:t>
            </w:r>
            <w:proofErr w:type="spellEnd"/>
            <w:r w:rsidR="0049384A" w:rsidRPr="002B5E12">
              <w:rPr>
                <w:sz w:val="26"/>
                <w:szCs w:val="26"/>
              </w:rPr>
              <w:t xml:space="preserve"> šautuvēm, tika konstatēts,</w:t>
            </w:r>
            <w:proofErr w:type="gramStart"/>
            <w:r w:rsidR="0049384A" w:rsidRPr="002B5E12">
              <w:rPr>
                <w:sz w:val="26"/>
                <w:szCs w:val="26"/>
              </w:rPr>
              <w:t xml:space="preserve">  </w:t>
            </w:r>
            <w:proofErr w:type="gramEnd"/>
            <w:r w:rsidR="007E7995" w:rsidRPr="004A5D7E">
              <w:rPr>
                <w:color w:val="000000" w:themeColor="text1"/>
                <w:sz w:val="26"/>
                <w:szCs w:val="26"/>
              </w:rPr>
              <w:t xml:space="preserve">ka </w:t>
            </w:r>
            <w:proofErr w:type="spellStart"/>
            <w:r w:rsidR="0080512D" w:rsidRPr="004A5D7E">
              <w:rPr>
                <w:color w:val="000000" w:themeColor="text1"/>
                <w:sz w:val="26"/>
                <w:szCs w:val="26"/>
              </w:rPr>
              <w:t>pusslēgt</w:t>
            </w:r>
            <w:r w:rsidR="0080512D" w:rsidRPr="004A5D7E">
              <w:rPr>
                <w:sz w:val="26"/>
                <w:szCs w:val="26"/>
              </w:rPr>
              <w:t>o</w:t>
            </w:r>
            <w:proofErr w:type="spellEnd"/>
            <w:r w:rsidR="0080512D" w:rsidRPr="004A5D7E">
              <w:rPr>
                <w:sz w:val="26"/>
                <w:szCs w:val="26"/>
              </w:rPr>
              <w:t xml:space="preserve"> šautuvju</w:t>
            </w:r>
            <w:r w:rsidR="007E7995" w:rsidRPr="004A5D7E">
              <w:rPr>
                <w:sz w:val="26"/>
                <w:szCs w:val="26"/>
              </w:rPr>
              <w:t xml:space="preserve"> īpašniekiem nebūs nepieciešams veikt </w:t>
            </w:r>
            <w:proofErr w:type="spellStart"/>
            <w:r w:rsidR="007E7995" w:rsidRPr="004A5D7E">
              <w:rPr>
                <w:sz w:val="26"/>
                <w:szCs w:val="26"/>
              </w:rPr>
              <w:t>pusslēgto</w:t>
            </w:r>
            <w:proofErr w:type="spellEnd"/>
            <w:r w:rsidR="007E7995" w:rsidRPr="004A5D7E">
              <w:rPr>
                <w:sz w:val="26"/>
                <w:szCs w:val="26"/>
              </w:rPr>
              <w:t xml:space="preserve"> šautuvju pārbūvi vai iekārtot tās citā vietā.</w:t>
            </w:r>
          </w:p>
          <w:p w:rsidR="000E5285" w:rsidRPr="002B5E12" w:rsidRDefault="006466FA" w:rsidP="00965FAF">
            <w:pPr>
              <w:ind w:firstLine="275"/>
              <w:jc w:val="both"/>
              <w:rPr>
                <w:sz w:val="26"/>
                <w:szCs w:val="26"/>
              </w:rPr>
            </w:pPr>
            <w:r w:rsidRPr="002B5E12">
              <w:rPr>
                <w:sz w:val="26"/>
                <w:szCs w:val="26"/>
              </w:rPr>
              <w:t xml:space="preserve">Izstrādājot </w:t>
            </w:r>
            <w:r w:rsidR="00D71A2C" w:rsidRPr="002B5E12">
              <w:rPr>
                <w:sz w:val="26"/>
                <w:szCs w:val="26"/>
              </w:rPr>
              <w:t xml:space="preserve">minimālās prasības </w:t>
            </w:r>
            <w:r w:rsidRPr="002B5E12">
              <w:rPr>
                <w:sz w:val="26"/>
                <w:szCs w:val="26"/>
              </w:rPr>
              <w:t>atklātajām</w:t>
            </w:r>
            <w:r w:rsidR="009954DE" w:rsidRPr="002B5E12">
              <w:rPr>
                <w:sz w:val="26"/>
                <w:szCs w:val="26"/>
              </w:rPr>
              <w:t xml:space="preserve"> šautuvēm ar aizsargvaļņiem vai aizsargkonstrukcijām</w:t>
            </w:r>
            <w:r w:rsidRPr="002B5E12">
              <w:rPr>
                <w:sz w:val="26"/>
                <w:szCs w:val="26"/>
              </w:rPr>
              <w:t>, kas ir ietvertas</w:t>
            </w:r>
            <w:r w:rsidR="009954DE" w:rsidRPr="002B5E12">
              <w:rPr>
                <w:sz w:val="26"/>
                <w:szCs w:val="26"/>
              </w:rPr>
              <w:t xml:space="preserve"> </w:t>
            </w:r>
            <w:r w:rsidR="00D71A2C" w:rsidRPr="002B5E12">
              <w:rPr>
                <w:sz w:val="26"/>
                <w:szCs w:val="26"/>
              </w:rPr>
              <w:t>MK noteikumu projekta 10.punktā</w:t>
            </w:r>
            <w:r w:rsidRPr="002B5E12">
              <w:rPr>
                <w:sz w:val="26"/>
                <w:szCs w:val="26"/>
              </w:rPr>
              <w:t>,</w:t>
            </w:r>
            <w:r w:rsidR="00D71A2C" w:rsidRPr="002B5E12">
              <w:rPr>
                <w:sz w:val="26"/>
                <w:szCs w:val="26"/>
              </w:rPr>
              <w:t xml:space="preserve"> tika ņemta</w:t>
            </w:r>
            <w:r w:rsidR="0080512D" w:rsidRPr="002B5E12">
              <w:rPr>
                <w:sz w:val="26"/>
                <w:szCs w:val="26"/>
              </w:rPr>
              <w:t>s</w:t>
            </w:r>
            <w:r w:rsidR="00D71A2C" w:rsidRPr="002B5E12">
              <w:rPr>
                <w:sz w:val="26"/>
                <w:szCs w:val="26"/>
              </w:rPr>
              <w:t xml:space="preserve"> vērā MK note</w:t>
            </w:r>
            <w:r w:rsidR="0080512D" w:rsidRPr="002B5E12">
              <w:rPr>
                <w:sz w:val="26"/>
                <w:szCs w:val="26"/>
              </w:rPr>
              <w:t xml:space="preserve">ikumos Nr.840 iepriekš </w:t>
            </w:r>
            <w:r w:rsidRPr="002B5E12">
              <w:rPr>
                <w:sz w:val="26"/>
                <w:szCs w:val="26"/>
              </w:rPr>
              <w:t>noteiktās</w:t>
            </w:r>
            <w:r w:rsidR="00D71A2C" w:rsidRPr="002B5E12">
              <w:rPr>
                <w:sz w:val="26"/>
                <w:szCs w:val="26"/>
              </w:rPr>
              <w:t xml:space="preserve"> prasības, kas </w:t>
            </w:r>
            <w:r w:rsidRPr="002B5E12">
              <w:rPr>
                <w:sz w:val="26"/>
                <w:szCs w:val="26"/>
              </w:rPr>
              <w:t>attiecīgi tika precizētas, atceļot</w:t>
            </w:r>
            <w:r w:rsidR="00D71A2C" w:rsidRPr="002B5E12">
              <w:rPr>
                <w:sz w:val="26"/>
                <w:szCs w:val="26"/>
              </w:rPr>
              <w:t xml:space="preserve"> arhaiskās prasības un</w:t>
            </w:r>
            <w:r w:rsidRPr="002B5E12">
              <w:rPr>
                <w:sz w:val="26"/>
                <w:szCs w:val="26"/>
              </w:rPr>
              <w:t xml:space="preserve"> papildinot</w:t>
            </w:r>
            <w:r w:rsidR="00D71A2C" w:rsidRPr="002B5E12">
              <w:rPr>
                <w:sz w:val="26"/>
                <w:szCs w:val="26"/>
              </w:rPr>
              <w:t xml:space="preserve"> ar prasībām, </w:t>
            </w:r>
            <w:r w:rsidR="0080512D" w:rsidRPr="002B5E12">
              <w:rPr>
                <w:sz w:val="26"/>
                <w:szCs w:val="26"/>
              </w:rPr>
              <w:t>kuras atklātās šautuves</w:t>
            </w:r>
            <w:r w:rsidR="00D71A2C" w:rsidRPr="002B5E12">
              <w:rPr>
                <w:sz w:val="26"/>
                <w:szCs w:val="26"/>
              </w:rPr>
              <w:t xml:space="preserve"> šobrīd jau nodrošina praksē.</w:t>
            </w:r>
            <w:r w:rsidR="0080512D" w:rsidRPr="002B5E12">
              <w:rPr>
                <w:sz w:val="26"/>
                <w:szCs w:val="26"/>
              </w:rPr>
              <w:t xml:space="preserve"> </w:t>
            </w:r>
          </w:p>
          <w:p w:rsidR="00AC0319" w:rsidRPr="004A5D7E" w:rsidRDefault="0080512D" w:rsidP="00965FAF">
            <w:pPr>
              <w:ind w:firstLine="275"/>
              <w:jc w:val="both"/>
              <w:rPr>
                <w:bCs/>
                <w:sz w:val="26"/>
                <w:szCs w:val="26"/>
              </w:rPr>
            </w:pPr>
            <w:r w:rsidRPr="004A5D7E">
              <w:rPr>
                <w:sz w:val="26"/>
                <w:szCs w:val="26"/>
              </w:rPr>
              <w:t>Papildus minētaja</w:t>
            </w:r>
            <w:r w:rsidR="00D71A2C" w:rsidRPr="004A5D7E">
              <w:rPr>
                <w:sz w:val="26"/>
                <w:szCs w:val="26"/>
              </w:rPr>
              <w:t>m tika ņemt</w:t>
            </w:r>
            <w:r w:rsidRPr="004A5D7E">
              <w:rPr>
                <w:sz w:val="26"/>
                <w:szCs w:val="26"/>
              </w:rPr>
              <w:t>a</w:t>
            </w:r>
            <w:r w:rsidR="00D71A2C" w:rsidRPr="004A5D7E">
              <w:rPr>
                <w:sz w:val="26"/>
                <w:szCs w:val="26"/>
              </w:rPr>
              <w:t>s vērā</w:t>
            </w:r>
            <w:r w:rsidR="00C4635A" w:rsidRPr="004A5D7E">
              <w:rPr>
                <w:sz w:val="26"/>
                <w:szCs w:val="26"/>
              </w:rPr>
              <w:t xml:space="preserve"> Zemkopības ministrijas un</w:t>
            </w:r>
            <w:r w:rsidR="00D71A2C" w:rsidRPr="004A5D7E">
              <w:rPr>
                <w:sz w:val="26"/>
                <w:szCs w:val="26"/>
              </w:rPr>
              <w:t xml:space="preserve"> nevalstisko organizāciju sporta un medību jomā </w:t>
            </w:r>
            <w:r w:rsidR="000E5285" w:rsidRPr="00D00250">
              <w:rPr>
                <w:sz w:val="26"/>
                <w:szCs w:val="26"/>
              </w:rPr>
              <w:t>izteiktais iebild</w:t>
            </w:r>
            <w:r w:rsidR="00D00250">
              <w:rPr>
                <w:sz w:val="26"/>
                <w:szCs w:val="26"/>
              </w:rPr>
              <w:t>ums – proti, nenoteikt maksimālo</w:t>
            </w:r>
            <w:r w:rsidR="000E5285" w:rsidRPr="00D00250">
              <w:rPr>
                <w:sz w:val="26"/>
                <w:szCs w:val="26"/>
              </w:rPr>
              <w:t xml:space="preserve"> šaušanas distanci</w:t>
            </w:r>
            <w:r w:rsidR="00D71A2C" w:rsidRPr="00D00250">
              <w:rPr>
                <w:sz w:val="26"/>
                <w:szCs w:val="26"/>
              </w:rPr>
              <w:t xml:space="preserve">, </w:t>
            </w:r>
            <w:r w:rsidR="00A15C31" w:rsidRPr="00D00250">
              <w:rPr>
                <w:sz w:val="26"/>
                <w:szCs w:val="26"/>
              </w:rPr>
              <w:t>jo maksimālās</w:t>
            </w:r>
            <w:r w:rsidR="00D00250" w:rsidRPr="00D00250">
              <w:rPr>
                <w:sz w:val="26"/>
                <w:szCs w:val="26"/>
              </w:rPr>
              <w:t xml:space="preserve"> </w:t>
            </w:r>
            <w:r w:rsidR="00A15C31" w:rsidRPr="00D00250">
              <w:rPr>
                <w:sz w:val="26"/>
                <w:szCs w:val="26"/>
              </w:rPr>
              <w:t>šaušanas distance</w:t>
            </w:r>
            <w:r w:rsidR="00D00250" w:rsidRPr="00D00250">
              <w:rPr>
                <w:sz w:val="26"/>
                <w:szCs w:val="26"/>
              </w:rPr>
              <w:t>s</w:t>
            </w:r>
            <w:r w:rsidR="00A15C31" w:rsidRPr="00D00250">
              <w:rPr>
                <w:sz w:val="26"/>
                <w:szCs w:val="26"/>
              </w:rPr>
              <w:t xml:space="preserve"> noteikšana šautuvēm </w:t>
            </w:r>
            <w:r w:rsidR="00D71A2C" w:rsidRPr="00D00250">
              <w:rPr>
                <w:sz w:val="26"/>
                <w:szCs w:val="26"/>
              </w:rPr>
              <w:t xml:space="preserve">ievērojami </w:t>
            </w:r>
            <w:r w:rsidR="00A15C31" w:rsidRPr="00D00250">
              <w:rPr>
                <w:sz w:val="26"/>
                <w:szCs w:val="26"/>
              </w:rPr>
              <w:t xml:space="preserve">kaitē šaušanas sporta attīstību Latvijā, liedzot iespēju veikt pilnvērtīgu </w:t>
            </w:r>
            <w:proofErr w:type="spellStart"/>
            <w:r w:rsidR="00A15C31" w:rsidRPr="00D00250">
              <w:rPr>
                <w:sz w:val="26"/>
                <w:szCs w:val="26"/>
              </w:rPr>
              <w:t>treniņšaušanu</w:t>
            </w:r>
            <w:proofErr w:type="spellEnd"/>
            <w:r w:rsidR="00A15C31" w:rsidRPr="00D00250">
              <w:rPr>
                <w:sz w:val="26"/>
                <w:szCs w:val="26"/>
              </w:rPr>
              <w:t xml:space="preserve"> Latvijā un tādējādi sekmīgi piedalīties</w:t>
            </w:r>
            <w:r w:rsidR="00D71A2C" w:rsidRPr="00D00250">
              <w:rPr>
                <w:sz w:val="26"/>
                <w:szCs w:val="26"/>
              </w:rPr>
              <w:t xml:space="preserve"> starptautiskās šaušanas sporta sacensības, </w:t>
            </w:r>
            <w:r w:rsidR="00D71A2C" w:rsidRPr="004A5D7E">
              <w:rPr>
                <w:sz w:val="26"/>
                <w:szCs w:val="26"/>
              </w:rPr>
              <w:t>kā arī liedz iespēju medniekiem trenēties un uzlabot savas šaušanas prasmes. Lai nodrošinātu sabiedrisko kārtību un novērstu kaitējumu cilvēkiem, dzīvniekiem, mantai un videi šautuvē un ārpus tās</w:t>
            </w:r>
            <w:r w:rsidR="00A15C31" w:rsidRPr="004A5D7E">
              <w:rPr>
                <w:sz w:val="26"/>
                <w:szCs w:val="26"/>
              </w:rPr>
              <w:t>,</w:t>
            </w:r>
            <w:r w:rsidRPr="004A5D7E">
              <w:rPr>
                <w:sz w:val="26"/>
                <w:szCs w:val="26"/>
              </w:rPr>
              <w:t xml:space="preserve"> ir papildinātas</w:t>
            </w:r>
            <w:r w:rsidR="00D71A2C" w:rsidRPr="004A5D7E">
              <w:rPr>
                <w:sz w:val="26"/>
                <w:szCs w:val="26"/>
              </w:rPr>
              <w:t xml:space="preserve"> drošības prasības attiecībā uz aizsargvaļņiem un aizsargkonstrukcijām. MK noteikumu projekta </w:t>
            </w:r>
            <w:r w:rsidR="00636BB3" w:rsidRPr="004A5D7E">
              <w:rPr>
                <w:sz w:val="26"/>
                <w:szCs w:val="26"/>
              </w:rPr>
              <w:t>10.5.1.</w:t>
            </w:r>
            <w:r w:rsidR="005F2FB4" w:rsidRPr="004A5D7E">
              <w:rPr>
                <w:sz w:val="26"/>
                <w:szCs w:val="26"/>
              </w:rPr>
              <w:t>2.apakšpunkts nosaka, ka</w:t>
            </w:r>
            <w:r w:rsidR="005F2FB4" w:rsidRPr="004A5D7E">
              <w:rPr>
                <w:rFonts w:eastAsia="Calibri"/>
                <w:bCs/>
                <w:sz w:val="26"/>
                <w:szCs w:val="26"/>
                <w:lang w:eastAsia="en-US"/>
              </w:rPr>
              <w:t xml:space="preserve"> </w:t>
            </w:r>
            <w:r w:rsidR="005F2FB4" w:rsidRPr="004A5D7E">
              <w:rPr>
                <w:bCs/>
                <w:sz w:val="26"/>
                <w:szCs w:val="26"/>
              </w:rPr>
              <w:t>bīstamā zona līdz mērķu līnijai vai mērķu zonai ir norobežota ar aizsargvaļņiem, kuru minimālais sānu vaļņu augstums ir</w:t>
            </w:r>
            <w:r w:rsidR="005F2FB4" w:rsidRPr="004A5D7E">
              <w:rPr>
                <w:rFonts w:eastAsia="Calibri"/>
                <w:bCs/>
                <w:sz w:val="26"/>
                <w:szCs w:val="26"/>
                <w:lang w:eastAsia="en-US"/>
              </w:rPr>
              <w:t xml:space="preserve"> </w:t>
            </w:r>
            <w:r w:rsidR="005F2FB4" w:rsidRPr="004A5D7E">
              <w:rPr>
                <w:bCs/>
                <w:sz w:val="26"/>
                <w:szCs w:val="26"/>
              </w:rPr>
              <w:t>seši metri – šaušanas distancēs virs 300 metriem, bet</w:t>
            </w:r>
            <w:r w:rsidR="00A15C31" w:rsidRPr="004A5D7E">
              <w:rPr>
                <w:bCs/>
                <w:sz w:val="26"/>
                <w:szCs w:val="26"/>
              </w:rPr>
              <w:t xml:space="preserve"> </w:t>
            </w:r>
            <w:r w:rsidR="00A15C31" w:rsidRPr="00D00250">
              <w:rPr>
                <w:bCs/>
                <w:sz w:val="26"/>
                <w:szCs w:val="26"/>
              </w:rPr>
              <w:t>MK noteikumu projekta</w:t>
            </w:r>
            <w:r w:rsidR="005F2FB4" w:rsidRPr="00D00250">
              <w:rPr>
                <w:bCs/>
                <w:sz w:val="26"/>
                <w:szCs w:val="26"/>
              </w:rPr>
              <w:t xml:space="preserve"> </w:t>
            </w:r>
            <w:r w:rsidR="005F2FB4" w:rsidRPr="004A5D7E">
              <w:rPr>
                <w:bCs/>
                <w:sz w:val="26"/>
                <w:szCs w:val="26"/>
              </w:rPr>
              <w:t>10.5.2.3.</w:t>
            </w:r>
            <w:r w:rsidR="00675F39" w:rsidRPr="004A5D7E">
              <w:rPr>
                <w:sz w:val="26"/>
                <w:szCs w:val="26"/>
              </w:rPr>
              <w:t>apakšpunkts nosaka, ka</w:t>
            </w:r>
            <w:r w:rsidR="005F2FB4" w:rsidRPr="004A5D7E">
              <w:rPr>
                <w:rFonts w:eastAsia="Calibri"/>
                <w:bCs/>
                <w:sz w:val="26"/>
                <w:szCs w:val="26"/>
                <w:lang w:eastAsia="en-US"/>
              </w:rPr>
              <w:t xml:space="preserve"> </w:t>
            </w:r>
            <w:r w:rsidR="005F2FB4" w:rsidRPr="004A5D7E">
              <w:rPr>
                <w:bCs/>
                <w:sz w:val="26"/>
                <w:szCs w:val="26"/>
              </w:rPr>
              <w:t>šāviņa uztvērēja vaļņa augstums ir desmit metri – šaušanas distancēs virs 300 metriem</w:t>
            </w:r>
            <w:r w:rsidR="00A15C31" w:rsidRPr="004A5D7E">
              <w:rPr>
                <w:bCs/>
                <w:sz w:val="26"/>
                <w:szCs w:val="26"/>
              </w:rPr>
              <w:t xml:space="preserve">. Ņemot vērā minēto, </w:t>
            </w:r>
            <w:r w:rsidR="00A15C31" w:rsidRPr="00D00250">
              <w:rPr>
                <w:bCs/>
                <w:sz w:val="26"/>
                <w:szCs w:val="26"/>
              </w:rPr>
              <w:t>atklāto šautuvju</w:t>
            </w:r>
            <w:r w:rsidR="00D21E8C" w:rsidRPr="00D00250">
              <w:rPr>
                <w:bCs/>
                <w:sz w:val="26"/>
                <w:szCs w:val="26"/>
              </w:rPr>
              <w:t xml:space="preserve"> ar aizsargvaļņiem vai aizsargkonstrukcijām</w:t>
            </w:r>
            <w:r w:rsidR="005F2FB4" w:rsidRPr="00D00250">
              <w:rPr>
                <w:bCs/>
                <w:sz w:val="26"/>
                <w:szCs w:val="26"/>
              </w:rPr>
              <w:t xml:space="preserve"> īpašnieki</w:t>
            </w:r>
            <w:r w:rsidR="00D003D6" w:rsidRPr="00D00250">
              <w:rPr>
                <w:bCs/>
                <w:sz w:val="26"/>
                <w:szCs w:val="26"/>
              </w:rPr>
              <w:t>em</w:t>
            </w:r>
            <w:r w:rsidR="005F2FB4" w:rsidRPr="00D00250">
              <w:rPr>
                <w:bCs/>
                <w:sz w:val="26"/>
                <w:szCs w:val="26"/>
              </w:rPr>
              <w:t>, k</w:t>
            </w:r>
            <w:r w:rsidR="00D003D6" w:rsidRPr="00D00250">
              <w:rPr>
                <w:bCs/>
                <w:sz w:val="26"/>
                <w:szCs w:val="26"/>
              </w:rPr>
              <w:t>uri</w:t>
            </w:r>
            <w:r w:rsidR="00D21E8C" w:rsidRPr="00D00250">
              <w:rPr>
                <w:bCs/>
                <w:sz w:val="26"/>
                <w:szCs w:val="26"/>
              </w:rPr>
              <w:t xml:space="preserve"> vēlēsies pagarināt šaušanas distanci virs </w:t>
            </w:r>
            <w:r w:rsidR="00D21E8C" w:rsidRPr="004A5D7E">
              <w:rPr>
                <w:bCs/>
                <w:sz w:val="26"/>
                <w:szCs w:val="26"/>
              </w:rPr>
              <w:t>300 metriem</w:t>
            </w:r>
            <w:r w:rsidR="00AC0319" w:rsidRPr="004A5D7E">
              <w:rPr>
                <w:bCs/>
                <w:color w:val="FF0000"/>
                <w:sz w:val="26"/>
                <w:szCs w:val="26"/>
              </w:rPr>
              <w:t>,</w:t>
            </w:r>
            <w:r w:rsidR="00D21E8C" w:rsidRPr="004A5D7E">
              <w:rPr>
                <w:bCs/>
                <w:color w:val="FF0000"/>
                <w:sz w:val="26"/>
                <w:szCs w:val="26"/>
              </w:rPr>
              <w:t xml:space="preserve"> </w:t>
            </w:r>
            <w:r w:rsidR="00D21E8C" w:rsidRPr="004A5D7E">
              <w:rPr>
                <w:bCs/>
                <w:sz w:val="26"/>
                <w:szCs w:val="26"/>
              </w:rPr>
              <w:t>būs nepieciešams palielināt gan sānu vaļņu, gan š</w:t>
            </w:r>
            <w:r w:rsidR="00D00250">
              <w:rPr>
                <w:bCs/>
                <w:sz w:val="26"/>
                <w:szCs w:val="26"/>
              </w:rPr>
              <w:t>āviņa iztvērēja vaļņa augstumu,</w:t>
            </w:r>
            <w:r w:rsidR="00D21E8C" w:rsidRPr="004A5D7E">
              <w:rPr>
                <w:bCs/>
                <w:sz w:val="26"/>
                <w:szCs w:val="26"/>
              </w:rPr>
              <w:t xml:space="preserve"> saglabājot līdz 300 metriem uzbērtu vaļņu augstumu. </w:t>
            </w:r>
          </w:p>
          <w:p w:rsidR="003F54CC" w:rsidRPr="004A5D7E" w:rsidRDefault="00AC0319" w:rsidP="00965FAF">
            <w:pPr>
              <w:ind w:firstLine="275"/>
              <w:jc w:val="both"/>
              <w:rPr>
                <w:sz w:val="26"/>
                <w:szCs w:val="26"/>
              </w:rPr>
            </w:pPr>
            <w:r w:rsidRPr="00D00250">
              <w:rPr>
                <w:bCs/>
                <w:sz w:val="26"/>
                <w:szCs w:val="26"/>
              </w:rPr>
              <w:t>Izstrādājo</w:t>
            </w:r>
            <w:r w:rsidR="009954DE" w:rsidRPr="00D00250">
              <w:rPr>
                <w:bCs/>
                <w:sz w:val="26"/>
                <w:szCs w:val="26"/>
              </w:rPr>
              <w:t>t</w:t>
            </w:r>
            <w:r w:rsidR="00D21E8C" w:rsidRPr="00D00250">
              <w:rPr>
                <w:bCs/>
                <w:sz w:val="26"/>
                <w:szCs w:val="26"/>
              </w:rPr>
              <w:t xml:space="preserve"> minimālās prasībās</w:t>
            </w:r>
            <w:r w:rsidR="00FC2D09" w:rsidRPr="00D00250">
              <w:rPr>
                <w:bCs/>
                <w:sz w:val="26"/>
                <w:szCs w:val="26"/>
              </w:rPr>
              <w:t xml:space="preserve"> šautuvēm ar aizsargvaļņiem vai ai</w:t>
            </w:r>
            <w:r w:rsidR="009954DE" w:rsidRPr="00D00250">
              <w:rPr>
                <w:bCs/>
                <w:sz w:val="26"/>
                <w:szCs w:val="26"/>
              </w:rPr>
              <w:t>zsargkonstrukcijām</w:t>
            </w:r>
            <w:r w:rsidRPr="00D00250">
              <w:rPr>
                <w:bCs/>
                <w:sz w:val="26"/>
                <w:szCs w:val="26"/>
              </w:rPr>
              <w:t>, kas ir paredzētas MK noteikumu projekta</w:t>
            </w:r>
            <w:r w:rsidR="009954DE" w:rsidRPr="00D00250">
              <w:rPr>
                <w:bCs/>
                <w:sz w:val="26"/>
                <w:szCs w:val="26"/>
              </w:rPr>
              <w:t xml:space="preserve"> 10.1.apakšpunktā</w:t>
            </w:r>
            <w:r w:rsidR="00760A00" w:rsidRPr="00D00250">
              <w:rPr>
                <w:bCs/>
                <w:sz w:val="26"/>
                <w:szCs w:val="26"/>
              </w:rPr>
              <w:t>,</w:t>
            </w:r>
            <w:r w:rsidR="009954DE" w:rsidRPr="00D00250">
              <w:rPr>
                <w:bCs/>
                <w:sz w:val="26"/>
                <w:szCs w:val="26"/>
              </w:rPr>
              <w:t xml:space="preserve"> tika noteikta</w:t>
            </w:r>
            <w:r w:rsidR="00ED5571" w:rsidRPr="00D00250">
              <w:rPr>
                <w:bCs/>
                <w:sz w:val="26"/>
                <w:szCs w:val="26"/>
              </w:rPr>
              <w:t xml:space="preserve"> </w:t>
            </w:r>
            <w:r w:rsidR="00FC2D09" w:rsidRPr="00D00250">
              <w:rPr>
                <w:bCs/>
                <w:sz w:val="26"/>
                <w:szCs w:val="26"/>
              </w:rPr>
              <w:t>prasība ierīkot tālāko pastāvīgo šaušanas līniju.</w:t>
            </w:r>
            <w:r w:rsidR="00D003D6" w:rsidRPr="00D00250">
              <w:rPr>
                <w:bCs/>
                <w:sz w:val="26"/>
                <w:szCs w:val="26"/>
              </w:rPr>
              <w:t xml:space="preserve"> Minētā</w:t>
            </w:r>
            <w:r w:rsidR="00FC2D09" w:rsidRPr="00D00250">
              <w:rPr>
                <w:bCs/>
                <w:sz w:val="26"/>
                <w:szCs w:val="26"/>
              </w:rPr>
              <w:t xml:space="preserve"> prasība ir </w:t>
            </w:r>
            <w:r w:rsidR="00760A00" w:rsidRPr="00D00250">
              <w:rPr>
                <w:bCs/>
                <w:sz w:val="26"/>
                <w:szCs w:val="26"/>
              </w:rPr>
              <w:t>noteikta</w:t>
            </w:r>
            <w:r w:rsidR="00FC2D09" w:rsidRPr="00D00250">
              <w:rPr>
                <w:bCs/>
                <w:sz w:val="26"/>
                <w:szCs w:val="26"/>
              </w:rPr>
              <w:t>, lai izslēgtu iespēju</w:t>
            </w:r>
            <w:r w:rsidR="00760A00" w:rsidRPr="00D00250">
              <w:rPr>
                <w:bCs/>
                <w:sz w:val="26"/>
                <w:szCs w:val="26"/>
              </w:rPr>
              <w:t>,</w:t>
            </w:r>
            <w:r w:rsidR="00FC2D09" w:rsidRPr="00D00250">
              <w:rPr>
                <w:bCs/>
                <w:sz w:val="26"/>
                <w:szCs w:val="26"/>
              </w:rPr>
              <w:t xml:space="preserve"> piemēram</w:t>
            </w:r>
            <w:r w:rsidR="00760A00" w:rsidRPr="00D00250">
              <w:rPr>
                <w:bCs/>
                <w:sz w:val="26"/>
                <w:szCs w:val="26"/>
              </w:rPr>
              <w:t>,</w:t>
            </w:r>
            <w:r w:rsidR="00FC2D09" w:rsidRPr="00D00250">
              <w:rPr>
                <w:bCs/>
                <w:sz w:val="26"/>
                <w:szCs w:val="26"/>
              </w:rPr>
              <w:t xml:space="preserve"> šautuvi ar aizsargvaļņiem vai aizsargkonstrukcijām</w:t>
            </w:r>
            <w:r w:rsidR="00760A00" w:rsidRPr="00D00250">
              <w:rPr>
                <w:bCs/>
                <w:sz w:val="26"/>
                <w:szCs w:val="26"/>
              </w:rPr>
              <w:t>, kur šaušanas distance ir 100 metri,</w:t>
            </w:r>
            <w:r w:rsidR="00FC2D09" w:rsidRPr="00D00250">
              <w:rPr>
                <w:bCs/>
                <w:sz w:val="26"/>
                <w:szCs w:val="26"/>
              </w:rPr>
              <w:t xml:space="preserve"> </w:t>
            </w:r>
            <w:r w:rsidR="00FC2D09" w:rsidRPr="004A5D7E">
              <w:rPr>
                <w:bCs/>
                <w:sz w:val="26"/>
                <w:szCs w:val="26"/>
              </w:rPr>
              <w:t>izmantot citā šaušanas distancē, kas ir virs 100 metriem</w:t>
            </w:r>
            <w:r w:rsidR="00D003D6" w:rsidRPr="004A5D7E">
              <w:rPr>
                <w:bCs/>
                <w:sz w:val="26"/>
                <w:szCs w:val="26"/>
              </w:rPr>
              <w:t>,</w:t>
            </w:r>
            <w:r w:rsidR="00FC2D09" w:rsidRPr="004A5D7E">
              <w:rPr>
                <w:bCs/>
                <w:sz w:val="26"/>
                <w:szCs w:val="26"/>
              </w:rPr>
              <w:t xml:space="preserve"> proti, </w:t>
            </w:r>
            <w:r w:rsidR="00FC2D09" w:rsidRPr="004A5D7E">
              <w:rPr>
                <w:bCs/>
                <w:sz w:val="26"/>
                <w:szCs w:val="26"/>
              </w:rPr>
              <w:lastRenderedPageBreak/>
              <w:t>ierīkot šaušanas līniju ārpus šautuves teritorijas (aizsargvaļņiem) un pagarināt šaušanas distanci. Ar šādu rīcību var būt apdra</w:t>
            </w:r>
            <w:r w:rsidR="00D003D6" w:rsidRPr="004A5D7E">
              <w:rPr>
                <w:bCs/>
                <w:sz w:val="26"/>
                <w:szCs w:val="26"/>
              </w:rPr>
              <w:t>udēti gan citi cilvēki, gan apkārtējā</w:t>
            </w:r>
            <w:r w:rsidR="00FC2D09" w:rsidRPr="004A5D7E">
              <w:rPr>
                <w:bCs/>
                <w:sz w:val="26"/>
                <w:szCs w:val="26"/>
              </w:rPr>
              <w:t xml:space="preserve"> infrastruktūra.   </w:t>
            </w:r>
          </w:p>
          <w:p w:rsidR="001D116E" w:rsidRPr="00D00250" w:rsidRDefault="007145F9" w:rsidP="000213F8">
            <w:pPr>
              <w:ind w:firstLine="275"/>
              <w:jc w:val="both"/>
              <w:rPr>
                <w:sz w:val="26"/>
                <w:szCs w:val="26"/>
              </w:rPr>
            </w:pPr>
            <w:r w:rsidRPr="00D00250">
              <w:rPr>
                <w:sz w:val="26"/>
                <w:szCs w:val="26"/>
              </w:rPr>
              <w:t>Ņemot vērā, ka MK noteikumu proj</w:t>
            </w:r>
            <w:r w:rsidR="00D00250" w:rsidRPr="00D00250">
              <w:rPr>
                <w:sz w:val="26"/>
                <w:szCs w:val="26"/>
              </w:rPr>
              <w:t>ekts turpmāk neierobežos šautuvēs šaušanas</w:t>
            </w:r>
            <w:r w:rsidRPr="00D00250">
              <w:rPr>
                <w:sz w:val="26"/>
                <w:szCs w:val="26"/>
              </w:rPr>
              <w:t xml:space="preserve"> maksimālo distanci, </w:t>
            </w:r>
            <w:r w:rsidR="00C4635A" w:rsidRPr="00D00250">
              <w:rPr>
                <w:sz w:val="26"/>
                <w:szCs w:val="26"/>
              </w:rPr>
              <w:t xml:space="preserve">MK noteikumu projekta 11.punktā </w:t>
            </w:r>
            <w:r w:rsidRPr="00D00250">
              <w:rPr>
                <w:sz w:val="26"/>
                <w:szCs w:val="26"/>
              </w:rPr>
              <w:t>tiek paredzētas</w:t>
            </w:r>
            <w:r w:rsidR="00C4635A" w:rsidRPr="00D00250">
              <w:rPr>
                <w:sz w:val="26"/>
                <w:szCs w:val="26"/>
              </w:rPr>
              <w:t xml:space="preserve"> minimālās prasības atklātai šautuvei bez aizsargvaļņiem vai aizsargkonstrukcij</w:t>
            </w:r>
            <w:r w:rsidR="00D92F62" w:rsidRPr="00D00250">
              <w:rPr>
                <w:sz w:val="26"/>
                <w:szCs w:val="26"/>
              </w:rPr>
              <w:t xml:space="preserve">ām. </w:t>
            </w:r>
            <w:r w:rsidR="00D92F62" w:rsidRPr="004A5D7E">
              <w:rPr>
                <w:sz w:val="26"/>
                <w:szCs w:val="26"/>
              </w:rPr>
              <w:t>Latvijā tas būs</w:t>
            </w:r>
            <w:r w:rsidR="00D003D6" w:rsidRPr="004A5D7E">
              <w:rPr>
                <w:sz w:val="26"/>
                <w:szCs w:val="26"/>
              </w:rPr>
              <w:t xml:space="preserve"> jauns atklātā</w:t>
            </w:r>
            <w:r w:rsidR="00C4635A" w:rsidRPr="004A5D7E">
              <w:rPr>
                <w:sz w:val="26"/>
                <w:szCs w:val="26"/>
              </w:rPr>
              <w:t>s šautuves veids. Š</w:t>
            </w:r>
            <w:r w:rsidR="00D003D6" w:rsidRPr="004A5D7E">
              <w:rPr>
                <w:sz w:val="26"/>
                <w:szCs w:val="26"/>
              </w:rPr>
              <w:t>āda veida šautuves tiek ierīkota</w:t>
            </w:r>
            <w:r w:rsidR="00C4635A" w:rsidRPr="004A5D7E">
              <w:rPr>
                <w:sz w:val="26"/>
                <w:szCs w:val="26"/>
              </w:rPr>
              <w:t>s Ziemeļval</w:t>
            </w:r>
            <w:r w:rsidR="00D003D6" w:rsidRPr="004A5D7E">
              <w:rPr>
                <w:sz w:val="26"/>
                <w:szCs w:val="26"/>
              </w:rPr>
              <w:t>stīs.  Lai nodrošinātu maksimālu drošību</w:t>
            </w:r>
            <w:r w:rsidR="00D92F62" w:rsidRPr="004A5D7E">
              <w:rPr>
                <w:sz w:val="26"/>
                <w:szCs w:val="26"/>
              </w:rPr>
              <w:t xml:space="preserve"> un </w:t>
            </w:r>
            <w:r w:rsidR="00D92F62" w:rsidRPr="00D00250">
              <w:rPr>
                <w:sz w:val="26"/>
                <w:szCs w:val="26"/>
              </w:rPr>
              <w:t>nepieļautu kaitējumu cilvēkiem, dzīvniekiem, mantai un videi gan šautuvē, gan ārpus tās,</w:t>
            </w:r>
            <w:r w:rsidR="001D116E" w:rsidRPr="00D00250">
              <w:rPr>
                <w:sz w:val="26"/>
                <w:szCs w:val="26"/>
              </w:rPr>
              <w:t xml:space="preserve"> atbilstoši</w:t>
            </w:r>
            <w:r w:rsidR="00D00250" w:rsidRPr="00D00250">
              <w:rPr>
                <w:sz w:val="26"/>
                <w:szCs w:val="26"/>
              </w:rPr>
              <w:t xml:space="preserve"> </w:t>
            </w:r>
            <w:r w:rsidR="00C4635A" w:rsidRPr="00D00250">
              <w:rPr>
                <w:sz w:val="26"/>
                <w:szCs w:val="26"/>
              </w:rPr>
              <w:t>MK noteikumu</w:t>
            </w:r>
            <w:r w:rsidR="00F23A58" w:rsidRPr="00D00250">
              <w:rPr>
                <w:sz w:val="26"/>
                <w:szCs w:val="26"/>
              </w:rPr>
              <w:t xml:space="preserve"> projekta</w:t>
            </w:r>
            <w:r w:rsidR="001D116E" w:rsidRPr="00D00250">
              <w:rPr>
                <w:sz w:val="26"/>
                <w:szCs w:val="26"/>
              </w:rPr>
              <w:t xml:space="preserve"> 11.5.apakšpunktam minētajās šautuvēs </w:t>
            </w:r>
            <w:r w:rsidR="00C4635A" w:rsidRPr="00D00250">
              <w:rPr>
                <w:sz w:val="26"/>
                <w:szCs w:val="26"/>
              </w:rPr>
              <w:t>ša</w:t>
            </w:r>
            <w:r w:rsidR="001D116E" w:rsidRPr="00D00250">
              <w:rPr>
                <w:sz w:val="26"/>
                <w:szCs w:val="26"/>
              </w:rPr>
              <w:t xml:space="preserve">utuves īpašniekam šaušanas laikā būs pienākums </w:t>
            </w:r>
            <w:r w:rsidR="00216767" w:rsidRPr="00D00250">
              <w:rPr>
                <w:sz w:val="26"/>
                <w:szCs w:val="26"/>
              </w:rPr>
              <w:t>bīstamajā zonā nodrošināt</w:t>
            </w:r>
            <w:r w:rsidR="001D072D" w:rsidRPr="00D00250">
              <w:rPr>
                <w:sz w:val="26"/>
                <w:szCs w:val="26"/>
              </w:rPr>
              <w:t xml:space="preserve"> vienu no šādām prasībām:</w:t>
            </w:r>
          </w:p>
          <w:p w:rsidR="001D116E" w:rsidRPr="00D00250" w:rsidRDefault="001D116E" w:rsidP="000213F8">
            <w:pPr>
              <w:ind w:firstLine="275"/>
              <w:jc w:val="both"/>
              <w:rPr>
                <w:sz w:val="26"/>
                <w:szCs w:val="26"/>
              </w:rPr>
            </w:pPr>
            <w:r w:rsidRPr="00D00250">
              <w:rPr>
                <w:sz w:val="26"/>
                <w:szCs w:val="26"/>
              </w:rPr>
              <w:t xml:space="preserve">1) </w:t>
            </w:r>
            <w:r w:rsidR="001D072D" w:rsidRPr="00D00250">
              <w:rPr>
                <w:sz w:val="26"/>
                <w:szCs w:val="26"/>
              </w:rPr>
              <w:t>bīstamās zonas robežas norobežo un pie norobežojumiem ne tālāk kā ik pēc 50 metriem redzamā attālumā izvieto brīdinājuma uzrakstus</w:t>
            </w:r>
            <w:r w:rsidRPr="00D00250">
              <w:rPr>
                <w:sz w:val="26"/>
                <w:szCs w:val="26"/>
              </w:rPr>
              <w:t xml:space="preserve"> (11.5.1.apakšpunkts)</w:t>
            </w:r>
            <w:r w:rsidR="001D072D" w:rsidRPr="00D00250">
              <w:rPr>
                <w:sz w:val="26"/>
                <w:szCs w:val="26"/>
              </w:rPr>
              <w:t xml:space="preserve">; </w:t>
            </w:r>
          </w:p>
          <w:p w:rsidR="001D116E" w:rsidRPr="00D00250" w:rsidRDefault="001D116E" w:rsidP="000213F8">
            <w:pPr>
              <w:ind w:firstLine="275"/>
              <w:jc w:val="both"/>
              <w:rPr>
                <w:sz w:val="26"/>
                <w:szCs w:val="26"/>
              </w:rPr>
            </w:pPr>
            <w:r w:rsidRPr="00D00250">
              <w:rPr>
                <w:sz w:val="26"/>
                <w:szCs w:val="26"/>
              </w:rPr>
              <w:t xml:space="preserve">2) </w:t>
            </w:r>
            <w:r w:rsidR="00D003D6" w:rsidRPr="00D00250">
              <w:rPr>
                <w:sz w:val="26"/>
                <w:szCs w:val="26"/>
              </w:rPr>
              <w:t>gadījumā, ja bīstamā</w:t>
            </w:r>
            <w:r w:rsidR="001D072D" w:rsidRPr="00D00250">
              <w:rPr>
                <w:sz w:val="26"/>
                <w:szCs w:val="26"/>
              </w:rPr>
              <w:t xml:space="preserve"> zona nav norobežota, bet tajā atrodas ceļi, tos norobežo ar barjerām un pie tām ne tālāk kā ik pēc 50 metriem redza</w:t>
            </w:r>
            <w:r w:rsidRPr="00D00250">
              <w:rPr>
                <w:sz w:val="26"/>
                <w:szCs w:val="26"/>
              </w:rPr>
              <w:t xml:space="preserve">mā attālumā izvieto brīdinājuma </w:t>
            </w:r>
            <w:r w:rsidR="001D072D" w:rsidRPr="00D00250">
              <w:rPr>
                <w:sz w:val="26"/>
                <w:szCs w:val="26"/>
              </w:rPr>
              <w:t>uzrakstus</w:t>
            </w:r>
            <w:r w:rsidRPr="00D00250">
              <w:rPr>
                <w:sz w:val="26"/>
                <w:szCs w:val="26"/>
              </w:rPr>
              <w:t xml:space="preserve"> (11.5.2.apakšpunkts)</w:t>
            </w:r>
            <w:r w:rsidR="001D072D" w:rsidRPr="00D00250">
              <w:rPr>
                <w:sz w:val="26"/>
                <w:szCs w:val="26"/>
              </w:rPr>
              <w:t xml:space="preserve">; </w:t>
            </w:r>
          </w:p>
          <w:p w:rsidR="001D116E" w:rsidRPr="00D00250" w:rsidRDefault="001D116E" w:rsidP="000213F8">
            <w:pPr>
              <w:ind w:firstLine="275"/>
              <w:jc w:val="both"/>
              <w:rPr>
                <w:sz w:val="26"/>
                <w:szCs w:val="26"/>
              </w:rPr>
            </w:pPr>
            <w:r w:rsidRPr="00D00250">
              <w:rPr>
                <w:sz w:val="26"/>
                <w:szCs w:val="26"/>
              </w:rPr>
              <w:t xml:space="preserve">3) </w:t>
            </w:r>
            <w:r w:rsidR="001D072D" w:rsidRPr="00D00250">
              <w:rPr>
                <w:sz w:val="26"/>
                <w:szCs w:val="26"/>
              </w:rPr>
              <w:t>uz bīstamās zonas robežām ierīko novērošanas posteņus, lai nodrošinātu visu ceļu (takas, piebrauktuves), kuri ved uz bīstamo zonu,</w:t>
            </w:r>
            <w:r w:rsidRPr="00D00250">
              <w:rPr>
                <w:sz w:val="26"/>
                <w:szCs w:val="26"/>
              </w:rPr>
              <w:t xml:space="preserve"> atrašanos pastāvīgā uzraudzībā (11.5.3.apakšpunkts). </w:t>
            </w:r>
            <w:r w:rsidR="00D003D6" w:rsidRPr="00D00250">
              <w:rPr>
                <w:sz w:val="26"/>
                <w:szCs w:val="26"/>
              </w:rPr>
              <w:t xml:space="preserve"> </w:t>
            </w:r>
          </w:p>
          <w:p w:rsidR="000213F8" w:rsidRPr="004A5D7E" w:rsidRDefault="00D003D6" w:rsidP="000213F8">
            <w:pPr>
              <w:ind w:firstLine="275"/>
              <w:jc w:val="both"/>
              <w:rPr>
                <w:bCs/>
                <w:sz w:val="26"/>
                <w:szCs w:val="26"/>
              </w:rPr>
            </w:pPr>
            <w:r w:rsidRPr="004A5D7E">
              <w:rPr>
                <w:sz w:val="26"/>
                <w:szCs w:val="26"/>
              </w:rPr>
              <w:t>Papildus minētaja</w:t>
            </w:r>
            <w:r w:rsidR="00216767" w:rsidRPr="004A5D7E">
              <w:rPr>
                <w:sz w:val="26"/>
                <w:szCs w:val="26"/>
              </w:rPr>
              <w:t>m MK noteikumu</w:t>
            </w:r>
            <w:r w:rsidR="00230570" w:rsidRPr="004A5D7E">
              <w:rPr>
                <w:sz w:val="26"/>
                <w:szCs w:val="26"/>
              </w:rPr>
              <w:t xml:space="preserve"> projekta</w:t>
            </w:r>
            <w:r w:rsidR="00216767" w:rsidRPr="004A5D7E">
              <w:rPr>
                <w:sz w:val="26"/>
                <w:szCs w:val="26"/>
              </w:rPr>
              <w:t xml:space="preserve"> 11.9.apakšpunkts nosaka, ka </w:t>
            </w:r>
            <w:r w:rsidR="00216767" w:rsidRPr="004A5D7E">
              <w:rPr>
                <w:bCs/>
                <w:sz w:val="26"/>
                <w:szCs w:val="26"/>
              </w:rPr>
              <w:t xml:space="preserve">šautuves teritorijā ierīko karoga mastu, kura garums ir 3 metri virs šautuves konstrukcijām, dabas reljefa vai bīstamajā zonā esošajiem kokiem. Ja šautuvē notiek </w:t>
            </w:r>
            <w:proofErr w:type="spellStart"/>
            <w:r w:rsidR="00216767" w:rsidRPr="004A5D7E">
              <w:rPr>
                <w:bCs/>
                <w:sz w:val="26"/>
                <w:szCs w:val="26"/>
              </w:rPr>
              <w:t>treniņšaušana</w:t>
            </w:r>
            <w:proofErr w:type="spellEnd"/>
            <w:r w:rsidR="00216767" w:rsidRPr="004A5D7E">
              <w:rPr>
                <w:bCs/>
                <w:sz w:val="26"/>
                <w:szCs w:val="26"/>
              </w:rPr>
              <w:t xml:space="preserve"> vai sporta sacensības, paceļ 1,5x1,5 metru lielu, sarkanas krāsas brīdinājuma karogu diennakts gaišajā laikā un sarkanas mirgojošas gaismas avotu diennakts tumšajā laikā. Izņēmums ir attiecināms tikai uz šaušanas stendu šautuvēm, kur paredzēts šaut gaisā pa lidojošiem mērķiem.</w:t>
            </w:r>
            <w:r w:rsidR="00C30C81" w:rsidRPr="004A5D7E">
              <w:rPr>
                <w:bCs/>
                <w:sz w:val="26"/>
                <w:szCs w:val="26"/>
              </w:rPr>
              <w:t xml:space="preserve"> </w:t>
            </w:r>
            <w:r w:rsidR="00216767" w:rsidRPr="004A5D7E">
              <w:rPr>
                <w:bCs/>
                <w:sz w:val="26"/>
                <w:szCs w:val="26"/>
              </w:rPr>
              <w:t xml:space="preserve">Šāda prasība ir noteikta, lai papildus vizuāli brīdinātu apkārtējo sabiedrību par šautuves darbību attiecīgajā teritorijā. Šāds </w:t>
            </w:r>
            <w:r w:rsidR="00C30C81" w:rsidRPr="004A5D7E">
              <w:rPr>
                <w:bCs/>
                <w:sz w:val="26"/>
                <w:szCs w:val="26"/>
              </w:rPr>
              <w:t xml:space="preserve">drošības </w:t>
            </w:r>
            <w:r w:rsidR="00216767" w:rsidRPr="004A5D7E">
              <w:rPr>
                <w:bCs/>
                <w:sz w:val="26"/>
                <w:szCs w:val="26"/>
              </w:rPr>
              <w:t>risinājums tiek izmantots</w:t>
            </w:r>
            <w:r w:rsidR="00C30C81" w:rsidRPr="004A5D7E">
              <w:rPr>
                <w:bCs/>
                <w:sz w:val="26"/>
                <w:szCs w:val="26"/>
              </w:rPr>
              <w:t xml:space="preserve"> Ziemeļvalstīs un </w:t>
            </w:r>
            <w:r w:rsidR="00230570" w:rsidRPr="004A5D7E">
              <w:rPr>
                <w:bCs/>
                <w:sz w:val="26"/>
                <w:szCs w:val="26"/>
              </w:rPr>
              <w:t>Latvijas Nacionālajos bruņotajos spēkos</w:t>
            </w:r>
            <w:r w:rsidR="00C30C81" w:rsidRPr="004A5D7E">
              <w:rPr>
                <w:bCs/>
                <w:sz w:val="26"/>
                <w:szCs w:val="26"/>
              </w:rPr>
              <w:t>,</w:t>
            </w:r>
            <w:r w:rsidR="00216767" w:rsidRPr="004A5D7E">
              <w:rPr>
                <w:bCs/>
                <w:sz w:val="26"/>
                <w:szCs w:val="26"/>
              </w:rPr>
              <w:t xml:space="preserve"> organizējot mācības atklātās šautuv</w:t>
            </w:r>
            <w:r w:rsidR="009851D4" w:rsidRPr="004A5D7E">
              <w:rPr>
                <w:bCs/>
                <w:sz w:val="26"/>
                <w:szCs w:val="26"/>
              </w:rPr>
              <w:t>ē</w:t>
            </w:r>
            <w:r w:rsidR="00216767" w:rsidRPr="004A5D7E">
              <w:rPr>
                <w:bCs/>
                <w:sz w:val="26"/>
                <w:szCs w:val="26"/>
              </w:rPr>
              <w:t xml:space="preserve">s bez aizsargkonstrukcijām un aizsargvaļņiem. </w:t>
            </w:r>
          </w:p>
          <w:p w:rsidR="005222E8" w:rsidRPr="004A5D7E" w:rsidRDefault="00216767" w:rsidP="000213F8">
            <w:pPr>
              <w:ind w:firstLine="275"/>
              <w:jc w:val="both"/>
              <w:rPr>
                <w:sz w:val="26"/>
                <w:szCs w:val="26"/>
              </w:rPr>
            </w:pPr>
            <w:r w:rsidRPr="004A5D7E">
              <w:rPr>
                <w:sz w:val="26"/>
                <w:szCs w:val="26"/>
              </w:rPr>
              <w:t xml:space="preserve"> Lai izslēgtu tieši raidīta šāviņa mērķī vai mērķu zonā izlidošanu ārpus bīstamās zonas robežām</w:t>
            </w:r>
            <w:r w:rsidR="005222E8" w:rsidRPr="00D00250">
              <w:rPr>
                <w:sz w:val="26"/>
                <w:szCs w:val="26"/>
              </w:rPr>
              <w:t>,</w:t>
            </w:r>
            <w:r w:rsidRPr="004A5D7E">
              <w:rPr>
                <w:sz w:val="26"/>
                <w:szCs w:val="26"/>
              </w:rPr>
              <w:t xml:space="preserve"> MK noteikumu projekta </w:t>
            </w:r>
            <w:r w:rsidR="009851D4" w:rsidRPr="004A5D7E">
              <w:rPr>
                <w:sz w:val="26"/>
                <w:szCs w:val="26"/>
              </w:rPr>
              <w:t>11.6.apakšpunktā</w:t>
            </w:r>
            <w:r w:rsidR="000213F8" w:rsidRPr="004A5D7E">
              <w:rPr>
                <w:sz w:val="26"/>
                <w:szCs w:val="26"/>
              </w:rPr>
              <w:t xml:space="preserve"> ir ietverta bīstamās zonas garu</w:t>
            </w:r>
            <w:r w:rsidR="009851D4" w:rsidRPr="004A5D7E">
              <w:rPr>
                <w:sz w:val="26"/>
                <w:szCs w:val="26"/>
              </w:rPr>
              <w:t>ma noteikšanas metodika šaušanai</w:t>
            </w:r>
            <w:r w:rsidR="000213F8" w:rsidRPr="004A5D7E">
              <w:rPr>
                <w:sz w:val="26"/>
                <w:szCs w:val="26"/>
              </w:rPr>
              <w:t xml:space="preserve"> ar vītņstobra šaujamieročiem </w:t>
            </w:r>
            <w:r w:rsidR="000213F8" w:rsidRPr="004A5D7E">
              <w:rPr>
                <w:sz w:val="26"/>
                <w:szCs w:val="26"/>
              </w:rPr>
              <w:lastRenderedPageBreak/>
              <w:t>un lielas enerģijas pneimati</w:t>
            </w:r>
            <w:r w:rsidR="009851D4" w:rsidRPr="004A5D7E">
              <w:rPr>
                <w:sz w:val="26"/>
                <w:szCs w:val="26"/>
              </w:rPr>
              <w:t>skiem ieročiem, kuru detalizēt</w:t>
            </w:r>
            <w:r w:rsidR="000213F8" w:rsidRPr="004A5D7E">
              <w:rPr>
                <w:sz w:val="26"/>
                <w:szCs w:val="26"/>
              </w:rPr>
              <w:t xml:space="preserve">s izklāsts ir atrodams MK noteikumu projekta 1. un 2.pielikumā. </w:t>
            </w:r>
          </w:p>
          <w:p w:rsidR="00216767" w:rsidRPr="004A5D7E" w:rsidRDefault="000213F8" w:rsidP="000213F8">
            <w:pPr>
              <w:ind w:firstLine="275"/>
              <w:jc w:val="both"/>
              <w:rPr>
                <w:bCs/>
                <w:sz w:val="26"/>
                <w:szCs w:val="26"/>
              </w:rPr>
            </w:pPr>
            <w:r w:rsidRPr="004A5D7E">
              <w:rPr>
                <w:sz w:val="26"/>
                <w:szCs w:val="26"/>
              </w:rPr>
              <w:t xml:space="preserve">Papildus MK noteikumu projekta 11.7. un 11.8. </w:t>
            </w:r>
            <w:r w:rsidR="009851D4" w:rsidRPr="004A5D7E">
              <w:rPr>
                <w:sz w:val="26"/>
                <w:szCs w:val="26"/>
              </w:rPr>
              <w:t xml:space="preserve">apakšpunktā </w:t>
            </w:r>
            <w:r w:rsidRPr="004A5D7E">
              <w:rPr>
                <w:sz w:val="26"/>
                <w:szCs w:val="26"/>
              </w:rPr>
              <w:t>ir noteikts bīstamās zonas konstants garums</w:t>
            </w:r>
            <w:r w:rsidR="005222E8" w:rsidRPr="004A5D7E">
              <w:rPr>
                <w:color w:val="FF0000"/>
                <w:sz w:val="26"/>
                <w:szCs w:val="26"/>
              </w:rPr>
              <w:t>,</w:t>
            </w:r>
            <w:r w:rsidRPr="004A5D7E">
              <w:rPr>
                <w:sz w:val="26"/>
                <w:szCs w:val="26"/>
              </w:rPr>
              <w:t xml:space="preserve"> izmantojot dažādus garstobra-gludstobra šāviņus.</w:t>
            </w:r>
          </w:p>
          <w:p w:rsidR="00EC0B22" w:rsidRPr="00D00250" w:rsidRDefault="00D7197A" w:rsidP="001A249F">
            <w:pPr>
              <w:ind w:firstLine="275"/>
              <w:jc w:val="both"/>
              <w:rPr>
                <w:sz w:val="26"/>
                <w:szCs w:val="26"/>
              </w:rPr>
            </w:pPr>
            <w:r w:rsidRPr="00D00250">
              <w:rPr>
                <w:sz w:val="26"/>
                <w:szCs w:val="26"/>
              </w:rPr>
              <w:t>Atbilstoši MK noteikumu projekta 11.1.apakšpunktam š</w:t>
            </w:r>
            <w:r w:rsidR="00ED5571" w:rsidRPr="00D00250">
              <w:rPr>
                <w:sz w:val="26"/>
                <w:szCs w:val="26"/>
              </w:rPr>
              <w:t>autuvēs ar aizsargv</w:t>
            </w:r>
            <w:r w:rsidR="009851D4" w:rsidRPr="00D00250">
              <w:rPr>
                <w:sz w:val="26"/>
                <w:szCs w:val="26"/>
              </w:rPr>
              <w:t>aļņiem vai aizsargkonstrukcijām</w:t>
            </w:r>
            <w:r w:rsidR="00D00250" w:rsidRPr="00D00250">
              <w:rPr>
                <w:sz w:val="26"/>
                <w:szCs w:val="26"/>
              </w:rPr>
              <w:t xml:space="preserve"> </w:t>
            </w:r>
            <w:r w:rsidR="009851D4" w:rsidRPr="00D00250">
              <w:rPr>
                <w:sz w:val="26"/>
                <w:szCs w:val="26"/>
              </w:rPr>
              <w:t>ir noteikta</w:t>
            </w:r>
            <w:r w:rsidR="00ED5571" w:rsidRPr="00D00250">
              <w:rPr>
                <w:sz w:val="26"/>
                <w:szCs w:val="26"/>
              </w:rPr>
              <w:t xml:space="preserve"> </w:t>
            </w:r>
            <w:r w:rsidR="00ED5571" w:rsidRPr="00D00250">
              <w:rPr>
                <w:bCs/>
                <w:sz w:val="26"/>
                <w:szCs w:val="26"/>
              </w:rPr>
              <w:t>prasība ierīkot tālāko p</w:t>
            </w:r>
            <w:r w:rsidR="009851D4" w:rsidRPr="00D00250">
              <w:rPr>
                <w:bCs/>
                <w:sz w:val="26"/>
                <w:szCs w:val="26"/>
              </w:rPr>
              <w:t>astāvīgo šaušanas līniju. Minētā</w:t>
            </w:r>
            <w:r w:rsidR="00ED5571" w:rsidRPr="00D00250">
              <w:rPr>
                <w:bCs/>
                <w:sz w:val="26"/>
                <w:szCs w:val="26"/>
              </w:rPr>
              <w:t xml:space="preserve"> prasība </w:t>
            </w:r>
            <w:r w:rsidRPr="00D00250">
              <w:rPr>
                <w:bCs/>
                <w:sz w:val="26"/>
                <w:szCs w:val="26"/>
              </w:rPr>
              <w:t>tiek noteikta</w:t>
            </w:r>
            <w:r w:rsidR="00ED5571" w:rsidRPr="00D00250">
              <w:rPr>
                <w:bCs/>
                <w:sz w:val="26"/>
                <w:szCs w:val="26"/>
              </w:rPr>
              <w:t>, lai izslēgtu iespēju</w:t>
            </w:r>
            <w:r w:rsidRPr="00D00250">
              <w:rPr>
                <w:bCs/>
                <w:sz w:val="26"/>
                <w:szCs w:val="26"/>
              </w:rPr>
              <w:t>,</w:t>
            </w:r>
            <w:r w:rsidR="00ED5571" w:rsidRPr="00D00250">
              <w:rPr>
                <w:bCs/>
                <w:sz w:val="26"/>
                <w:szCs w:val="26"/>
              </w:rPr>
              <w:t xml:space="preserve"> piemēram</w:t>
            </w:r>
            <w:r w:rsidRPr="00D00250">
              <w:rPr>
                <w:bCs/>
                <w:sz w:val="26"/>
                <w:szCs w:val="26"/>
              </w:rPr>
              <w:t>,</w:t>
            </w:r>
            <w:r w:rsidR="00ED5571" w:rsidRPr="00D00250">
              <w:rPr>
                <w:bCs/>
                <w:sz w:val="26"/>
                <w:szCs w:val="26"/>
              </w:rPr>
              <w:t xml:space="preserve"> </w:t>
            </w:r>
            <w:proofErr w:type="spellStart"/>
            <w:r w:rsidR="00D00250" w:rsidRPr="00D00250">
              <w:rPr>
                <w:bCs/>
                <w:sz w:val="26"/>
                <w:szCs w:val="26"/>
              </w:rPr>
              <w:t>šautuv</w:t>
            </w:r>
            <w:proofErr w:type="spellEnd"/>
            <w:r w:rsidR="00ED5571" w:rsidRPr="00D00250">
              <w:rPr>
                <w:bCs/>
                <w:sz w:val="26"/>
                <w:szCs w:val="26"/>
              </w:rPr>
              <w:t xml:space="preserve"> bez aizsargvaļņiem vai aizsargkonstrukcijām</w:t>
            </w:r>
            <w:r w:rsidRPr="00D00250">
              <w:rPr>
                <w:bCs/>
                <w:sz w:val="26"/>
                <w:szCs w:val="26"/>
              </w:rPr>
              <w:t>, kur šaušanas distance ir 100 metri,</w:t>
            </w:r>
            <w:r w:rsidR="00ED5571" w:rsidRPr="00D00250">
              <w:rPr>
                <w:bCs/>
                <w:sz w:val="26"/>
                <w:szCs w:val="26"/>
              </w:rPr>
              <w:t xml:space="preserve"> izmantot citā šaušanas distancē, kas ir virs 100 metriem</w:t>
            </w:r>
            <w:r w:rsidR="009851D4" w:rsidRPr="00D00250">
              <w:rPr>
                <w:bCs/>
                <w:sz w:val="26"/>
                <w:szCs w:val="26"/>
              </w:rPr>
              <w:t>,</w:t>
            </w:r>
            <w:r w:rsidR="00ED5571" w:rsidRPr="00D00250">
              <w:rPr>
                <w:bCs/>
                <w:sz w:val="26"/>
                <w:szCs w:val="26"/>
              </w:rPr>
              <w:t xml:space="preserve"> proti, ierīkot šaušanas līniju ārpus šautuves teritorijas un šāda veidā pagarināt šaušanas distanci. Ar šādu rīcību var būt apdra</w:t>
            </w:r>
            <w:r w:rsidR="009851D4" w:rsidRPr="00D00250">
              <w:rPr>
                <w:bCs/>
                <w:sz w:val="26"/>
                <w:szCs w:val="26"/>
              </w:rPr>
              <w:t>udēti gan citi cilvēki, gan apkārtējā</w:t>
            </w:r>
            <w:r w:rsidR="00ED5571" w:rsidRPr="00D00250">
              <w:rPr>
                <w:bCs/>
                <w:sz w:val="26"/>
                <w:szCs w:val="26"/>
              </w:rPr>
              <w:t xml:space="preserve"> infrastruktūra.</w:t>
            </w:r>
          </w:p>
          <w:p w:rsidR="001A249F" w:rsidRPr="004A5D7E" w:rsidRDefault="001A249F" w:rsidP="00230570">
            <w:pPr>
              <w:ind w:firstLine="275"/>
              <w:jc w:val="both"/>
              <w:rPr>
                <w:sz w:val="26"/>
                <w:szCs w:val="26"/>
              </w:rPr>
            </w:pPr>
            <w:r w:rsidRPr="004A5D7E">
              <w:rPr>
                <w:sz w:val="26"/>
                <w:szCs w:val="26"/>
              </w:rPr>
              <w:t>Izstrādājot tiesisko regulējumu attiecībā uz mazas enerģijas pneimatisko ieroču,</w:t>
            </w:r>
            <w:r w:rsidRPr="004A5D7E">
              <w:rPr>
                <w:bCs/>
                <w:sz w:val="26"/>
                <w:szCs w:val="26"/>
              </w:rPr>
              <w:t xml:space="preserve"> loka vai arbaleta šaušanas (metamā ieroča mešanas) šautuvju ierīkošanu</w:t>
            </w:r>
            <w:r w:rsidR="00D7197A" w:rsidRPr="004A5D7E">
              <w:rPr>
                <w:bCs/>
                <w:color w:val="FF0000"/>
                <w:sz w:val="26"/>
                <w:szCs w:val="26"/>
              </w:rPr>
              <w:t>,</w:t>
            </w:r>
            <w:r w:rsidRPr="004A5D7E">
              <w:rPr>
                <w:bCs/>
                <w:sz w:val="26"/>
                <w:szCs w:val="26"/>
              </w:rPr>
              <w:t xml:space="preserve"> tika </w:t>
            </w:r>
            <w:r w:rsidRPr="004A5D7E">
              <w:rPr>
                <w:sz w:val="26"/>
                <w:szCs w:val="26"/>
              </w:rPr>
              <w:t>izmantots regulējums</w:t>
            </w:r>
            <w:r w:rsidR="00D7197A" w:rsidRPr="00D00250">
              <w:rPr>
                <w:sz w:val="26"/>
                <w:szCs w:val="26"/>
              </w:rPr>
              <w:t>, kas bija ietverts</w:t>
            </w:r>
            <w:r w:rsidRPr="004A5D7E">
              <w:rPr>
                <w:color w:val="FF0000"/>
                <w:sz w:val="26"/>
                <w:szCs w:val="26"/>
              </w:rPr>
              <w:t xml:space="preserve"> </w:t>
            </w:r>
            <w:r w:rsidRPr="004A5D7E">
              <w:rPr>
                <w:sz w:val="26"/>
                <w:szCs w:val="26"/>
              </w:rPr>
              <w:t>MK noteikumiem Nr.840</w:t>
            </w:r>
            <w:r w:rsidR="00D7197A" w:rsidRPr="004A5D7E">
              <w:rPr>
                <w:sz w:val="26"/>
                <w:szCs w:val="26"/>
              </w:rPr>
              <w:t>.</w:t>
            </w:r>
            <w:r w:rsidRPr="004A5D7E">
              <w:rPr>
                <w:sz w:val="26"/>
                <w:szCs w:val="26"/>
              </w:rPr>
              <w:t xml:space="preserve"> </w:t>
            </w:r>
          </w:p>
          <w:p w:rsidR="008166A1" w:rsidRPr="004A5D7E" w:rsidRDefault="009851D4" w:rsidP="006C3AFA">
            <w:pPr>
              <w:ind w:firstLine="275"/>
              <w:jc w:val="both"/>
              <w:rPr>
                <w:sz w:val="26"/>
                <w:szCs w:val="26"/>
              </w:rPr>
            </w:pPr>
            <w:r w:rsidRPr="004A5D7E">
              <w:rPr>
                <w:sz w:val="26"/>
                <w:szCs w:val="26"/>
              </w:rPr>
              <w:t xml:space="preserve">MK noteikumu projekta </w:t>
            </w:r>
            <w:r w:rsidR="00EC0B22" w:rsidRPr="004A5D7E">
              <w:rPr>
                <w:sz w:val="26"/>
                <w:szCs w:val="26"/>
              </w:rPr>
              <w:t>III nodaļa</w:t>
            </w:r>
            <w:r w:rsidR="0010225D" w:rsidRPr="004A5D7E">
              <w:rPr>
                <w:sz w:val="26"/>
                <w:szCs w:val="26"/>
              </w:rPr>
              <w:t xml:space="preserve"> ir pārskatīta atbilstoši Ekonomikas ministrijas un Vides aizsardzības un reģionālās attīstības ministrijas ieteikumiem. Samazināts administratīv</w:t>
            </w:r>
            <w:r w:rsidRPr="004A5D7E">
              <w:rPr>
                <w:sz w:val="26"/>
                <w:szCs w:val="26"/>
              </w:rPr>
              <w:t>ai</w:t>
            </w:r>
            <w:r w:rsidR="0010225D" w:rsidRPr="004A5D7E">
              <w:rPr>
                <w:sz w:val="26"/>
                <w:szCs w:val="26"/>
              </w:rPr>
              <w:t xml:space="preserve">s slogs gan šautuves </w:t>
            </w:r>
            <w:r w:rsidR="0010225D" w:rsidRPr="00D00250">
              <w:rPr>
                <w:sz w:val="26"/>
                <w:szCs w:val="26"/>
              </w:rPr>
              <w:t>īpašniekiem</w:t>
            </w:r>
            <w:r w:rsidR="001C3B57" w:rsidRPr="00D00250">
              <w:rPr>
                <w:sz w:val="26"/>
                <w:szCs w:val="26"/>
              </w:rPr>
              <w:t>,</w:t>
            </w:r>
            <w:r w:rsidR="0010225D" w:rsidRPr="00D00250">
              <w:rPr>
                <w:sz w:val="26"/>
                <w:szCs w:val="26"/>
              </w:rPr>
              <w:t xml:space="preserve"> </w:t>
            </w:r>
            <w:r w:rsidR="007A6329" w:rsidRPr="004A5D7E">
              <w:rPr>
                <w:sz w:val="26"/>
                <w:szCs w:val="26"/>
              </w:rPr>
              <w:t>saņemot atļauju</w:t>
            </w:r>
            <w:r w:rsidR="0010225D" w:rsidRPr="004A5D7E">
              <w:rPr>
                <w:sz w:val="26"/>
                <w:szCs w:val="26"/>
              </w:rPr>
              <w:t xml:space="preserve"> pašvaldībā, gan pašvaldībām</w:t>
            </w:r>
            <w:r w:rsidR="007A6329" w:rsidRPr="004A5D7E">
              <w:rPr>
                <w:color w:val="FF0000"/>
                <w:sz w:val="26"/>
                <w:szCs w:val="26"/>
              </w:rPr>
              <w:t>,</w:t>
            </w:r>
            <w:r w:rsidR="0010225D" w:rsidRPr="004A5D7E">
              <w:rPr>
                <w:color w:val="FF0000"/>
                <w:sz w:val="26"/>
                <w:szCs w:val="26"/>
              </w:rPr>
              <w:t xml:space="preserve"> </w:t>
            </w:r>
            <w:r w:rsidR="0010225D" w:rsidRPr="004A5D7E">
              <w:rPr>
                <w:sz w:val="26"/>
                <w:szCs w:val="26"/>
              </w:rPr>
              <w:t>izvērtējot šautuves īpašnieka iesniegumu.</w:t>
            </w:r>
            <w:r w:rsidR="007A6329" w:rsidRPr="004A5D7E">
              <w:rPr>
                <w:sz w:val="26"/>
                <w:szCs w:val="26"/>
              </w:rPr>
              <w:t xml:space="preserve"> </w:t>
            </w:r>
            <w:r w:rsidR="006F1A20" w:rsidRPr="004A5D7E">
              <w:rPr>
                <w:sz w:val="26"/>
                <w:szCs w:val="26"/>
              </w:rPr>
              <w:t>MK noteikumu projekts vairs neparedz pieprasīt VUGD atzinumu, jo ugunsdrošību jomu reglamentējošo</w:t>
            </w:r>
            <w:r w:rsidRPr="004A5D7E">
              <w:rPr>
                <w:sz w:val="26"/>
                <w:szCs w:val="26"/>
              </w:rPr>
              <w:t>s</w:t>
            </w:r>
            <w:r w:rsidR="006F1A20" w:rsidRPr="004A5D7E">
              <w:rPr>
                <w:sz w:val="26"/>
                <w:szCs w:val="26"/>
              </w:rPr>
              <w:t xml:space="preserve"> normatīvajos aktos </w:t>
            </w:r>
            <w:proofErr w:type="spellStart"/>
            <w:r w:rsidR="006F1A20" w:rsidRPr="004A5D7E">
              <w:rPr>
                <w:sz w:val="26"/>
                <w:szCs w:val="26"/>
              </w:rPr>
              <w:t>pusslēgtām</w:t>
            </w:r>
            <w:proofErr w:type="spellEnd"/>
            <w:r w:rsidR="006F1A20" w:rsidRPr="004A5D7E">
              <w:rPr>
                <w:sz w:val="26"/>
                <w:szCs w:val="26"/>
              </w:rPr>
              <w:t xml:space="preserve"> un atklātām šautuvēm nav izvirzītās speciālās prasības. Savukārt attiecībā uz slēgtām šautuvēm MK noteikumu projekta 7.1.apakšpunkts nosaka, ka šautuve ir vismaz U2 ugunsizturības pakāpes būve vai tā ir iebūvēta būvē, kuras</w:t>
            </w:r>
            <w:r w:rsidRPr="004A5D7E">
              <w:rPr>
                <w:sz w:val="26"/>
                <w:szCs w:val="26"/>
              </w:rPr>
              <w:t xml:space="preserve"> minimālās ugunsizturības pakāpe</w:t>
            </w:r>
            <w:r w:rsidR="006F1A20" w:rsidRPr="004A5D7E">
              <w:rPr>
                <w:sz w:val="26"/>
                <w:szCs w:val="26"/>
              </w:rPr>
              <w:t xml:space="preserve"> ir</w:t>
            </w:r>
            <w:r w:rsidRPr="004A5D7E">
              <w:rPr>
                <w:sz w:val="26"/>
                <w:szCs w:val="26"/>
              </w:rPr>
              <w:t xml:space="preserve"> U2. Par būves atbilstību minēta</w:t>
            </w:r>
            <w:r w:rsidR="006F1A20" w:rsidRPr="004A5D7E">
              <w:rPr>
                <w:sz w:val="26"/>
                <w:szCs w:val="26"/>
              </w:rPr>
              <w:t xml:space="preserve">jām prasībām pašvaldība pati var pārliecināties būvniecības dokumentos vai būvvaldē. </w:t>
            </w:r>
            <w:r w:rsidR="00BD12C0" w:rsidRPr="004A5D7E">
              <w:rPr>
                <w:sz w:val="26"/>
                <w:szCs w:val="26"/>
              </w:rPr>
              <w:t>MK noteikumu Nr.840 29.1.2.</w:t>
            </w:r>
            <w:r w:rsidRPr="004A5D7E">
              <w:rPr>
                <w:sz w:val="26"/>
                <w:szCs w:val="26"/>
              </w:rPr>
              <w:t>apakšpunkts</w:t>
            </w:r>
            <w:r w:rsidR="00BD12C0" w:rsidRPr="004A5D7E">
              <w:rPr>
                <w:sz w:val="26"/>
                <w:szCs w:val="26"/>
              </w:rPr>
              <w:t xml:space="preserve"> noteica pienākumu triju darba dienu laikā pašvaldībai pieprasīt</w:t>
            </w:r>
            <w:r w:rsidR="00BD12C0" w:rsidRPr="004A5D7E">
              <w:rPr>
                <w:rFonts w:ascii="Arial" w:hAnsi="Arial" w:cs="Arial"/>
                <w:color w:val="414142"/>
                <w:sz w:val="26"/>
                <w:szCs w:val="26"/>
                <w:shd w:val="clear" w:color="auto" w:fill="FFFFFF"/>
              </w:rPr>
              <w:t xml:space="preserve"> </w:t>
            </w:r>
            <w:r w:rsidR="00BD12C0" w:rsidRPr="004A5D7E">
              <w:rPr>
                <w:sz w:val="26"/>
                <w:szCs w:val="26"/>
              </w:rPr>
              <w:t>būvvaldei atzinumu par šautuves (šaušanas stenda) atbilstību normatīvo aktu prasībām būvniecības jomā, kā arī šo noteikumu</w:t>
            </w:r>
            <w:hyperlink r:id="rId8" w:anchor="n2" w:history="1">
              <w:r w:rsidRPr="004A5D7E">
                <w:rPr>
                  <w:rStyle w:val="Hyperlink"/>
                  <w:sz w:val="26"/>
                  <w:szCs w:val="26"/>
                  <w:u w:val="none"/>
                </w:rPr>
                <w:t xml:space="preserve"> </w:t>
              </w:r>
              <w:r w:rsidR="00BD12C0" w:rsidRPr="004A5D7E">
                <w:rPr>
                  <w:rStyle w:val="Hyperlink"/>
                  <w:color w:val="auto"/>
                  <w:sz w:val="26"/>
                  <w:szCs w:val="26"/>
                  <w:u w:val="none"/>
                </w:rPr>
                <w:t>II nodaļā</w:t>
              </w:r>
            </w:hyperlink>
            <w:r w:rsidR="00BD12C0" w:rsidRPr="004A5D7E">
              <w:rPr>
                <w:sz w:val="26"/>
                <w:szCs w:val="26"/>
              </w:rPr>
              <w:t xml:space="preserve"> noteiktajām prasībām. </w:t>
            </w:r>
            <w:r w:rsidR="006F1A20" w:rsidRPr="004A5D7E">
              <w:rPr>
                <w:sz w:val="26"/>
                <w:szCs w:val="26"/>
              </w:rPr>
              <w:t>MK</w:t>
            </w:r>
            <w:r w:rsidR="00BD12C0" w:rsidRPr="004A5D7E">
              <w:rPr>
                <w:sz w:val="26"/>
                <w:szCs w:val="26"/>
              </w:rPr>
              <w:t xml:space="preserve"> noteikumu projekta 18.3.apakšpunkts </w:t>
            </w:r>
            <w:r w:rsidR="006F1A20" w:rsidRPr="004A5D7E">
              <w:rPr>
                <w:sz w:val="26"/>
                <w:szCs w:val="26"/>
              </w:rPr>
              <w:t>paredz</w:t>
            </w:r>
            <w:r w:rsidR="00BD12C0" w:rsidRPr="004A5D7E">
              <w:rPr>
                <w:sz w:val="26"/>
                <w:szCs w:val="26"/>
              </w:rPr>
              <w:t xml:space="preserve">, ka vietējā pašvaldība mēneša laikā pēc iesnieguma saņemšanas </w:t>
            </w:r>
            <w:r w:rsidRPr="004A5D7E">
              <w:rPr>
                <w:sz w:val="26"/>
                <w:szCs w:val="26"/>
              </w:rPr>
              <w:t>pārliecinās par iecerētā</w:t>
            </w:r>
            <w:r w:rsidR="00BD12C0" w:rsidRPr="004A5D7E">
              <w:rPr>
                <w:sz w:val="26"/>
                <w:szCs w:val="26"/>
              </w:rPr>
              <w:t xml:space="preserve">s šautuves atbilstību būvniecības un būvakustikas jomas </w:t>
            </w:r>
            <w:r w:rsidRPr="004A5D7E">
              <w:rPr>
                <w:sz w:val="26"/>
                <w:szCs w:val="26"/>
              </w:rPr>
              <w:t>prasībām vai citu jomu normatīvo</w:t>
            </w:r>
            <w:r w:rsidR="00BD12C0" w:rsidRPr="004A5D7E">
              <w:rPr>
                <w:sz w:val="26"/>
                <w:szCs w:val="26"/>
              </w:rPr>
              <w:t xml:space="preserve"> akt</w:t>
            </w:r>
            <w:r w:rsidRPr="004A5D7E">
              <w:rPr>
                <w:sz w:val="26"/>
                <w:szCs w:val="26"/>
              </w:rPr>
              <w:t>u prasībām, kas attieca</w:t>
            </w:r>
            <w:r w:rsidR="00BD12C0" w:rsidRPr="004A5D7E">
              <w:rPr>
                <w:sz w:val="26"/>
                <w:szCs w:val="26"/>
              </w:rPr>
              <w:t xml:space="preserve">s uz šautuves darbību. Šāds tiesiskais regulējums tika izstrādāts, ņemot vērā, situāciju, ka šautuves </w:t>
            </w:r>
            <w:r w:rsidR="00BD12C0" w:rsidRPr="00D00250">
              <w:rPr>
                <w:sz w:val="26"/>
                <w:szCs w:val="26"/>
              </w:rPr>
              <w:t>īpašnieks</w:t>
            </w:r>
            <w:r w:rsidR="007A6329" w:rsidRPr="00D00250">
              <w:rPr>
                <w:sz w:val="26"/>
                <w:szCs w:val="26"/>
              </w:rPr>
              <w:t>,</w:t>
            </w:r>
            <w:r w:rsidR="00BD12C0" w:rsidRPr="00D00250">
              <w:rPr>
                <w:sz w:val="26"/>
                <w:szCs w:val="26"/>
              </w:rPr>
              <w:t xml:space="preserve"> izpildot </w:t>
            </w:r>
            <w:r w:rsidR="00BD12C0" w:rsidRPr="004A5D7E">
              <w:rPr>
                <w:sz w:val="26"/>
                <w:szCs w:val="26"/>
              </w:rPr>
              <w:t>būvniecības jomas normatīvo aktu prasības, jau nodev</w:t>
            </w:r>
            <w:r w:rsidRPr="004A5D7E">
              <w:rPr>
                <w:sz w:val="26"/>
                <w:szCs w:val="26"/>
              </w:rPr>
              <w:t>a šautuves objektu ekspluatācijā</w:t>
            </w:r>
            <w:r w:rsidR="00BD12C0" w:rsidRPr="004A5D7E">
              <w:rPr>
                <w:sz w:val="26"/>
                <w:szCs w:val="26"/>
              </w:rPr>
              <w:t xml:space="preserve">. Ņemot vērā minēto, pašvaldībai ir nepieciešams tikai pārliecināties par minēto faktu būvniecības dokumentācijā. Tomēr nepieciešamības </w:t>
            </w:r>
            <w:r w:rsidR="00BD12C0" w:rsidRPr="004A5D7E">
              <w:rPr>
                <w:sz w:val="26"/>
                <w:szCs w:val="26"/>
              </w:rPr>
              <w:lastRenderedPageBreak/>
              <w:t xml:space="preserve">gadījumā pašvaldība var pati pieprasīt nepieciešamo atzinumu no būvvaldes. </w:t>
            </w:r>
            <w:r w:rsidR="00F01B4E" w:rsidRPr="004A5D7E">
              <w:rPr>
                <w:sz w:val="26"/>
                <w:szCs w:val="26"/>
              </w:rPr>
              <w:t>Izstrādājot MK noteikumu projekta III nodaļas tiesisko regulējum</w:t>
            </w:r>
            <w:r w:rsidR="00F01B4E" w:rsidRPr="00D00250">
              <w:rPr>
                <w:sz w:val="26"/>
                <w:szCs w:val="26"/>
              </w:rPr>
              <w:t>u</w:t>
            </w:r>
            <w:r w:rsidR="007A6329" w:rsidRPr="00D00250">
              <w:rPr>
                <w:sz w:val="26"/>
                <w:szCs w:val="26"/>
              </w:rPr>
              <w:t>,</w:t>
            </w:r>
            <w:r w:rsidR="00F01B4E" w:rsidRPr="00D00250">
              <w:rPr>
                <w:sz w:val="26"/>
                <w:szCs w:val="26"/>
              </w:rPr>
              <w:t xml:space="preserve"> </w:t>
            </w:r>
            <w:r w:rsidR="00F01B4E" w:rsidRPr="004A5D7E">
              <w:rPr>
                <w:sz w:val="26"/>
                <w:szCs w:val="26"/>
              </w:rPr>
              <w:t xml:space="preserve">tika izslēgtas līdzšinējo MK noteikumu Nr.840 tiesību normas, kas dublē Administratīvā procesa likuma tiesību normas. </w:t>
            </w:r>
            <w:r w:rsidR="00D95861">
              <w:rPr>
                <w:sz w:val="26"/>
                <w:szCs w:val="26"/>
              </w:rPr>
              <w:t>Noradām, ka</w:t>
            </w:r>
            <w:r w:rsidR="006C3AFA">
              <w:rPr>
                <w:sz w:val="26"/>
                <w:szCs w:val="26"/>
              </w:rPr>
              <w:t xml:space="preserve"> lēmumu par atļaujas izsniegšanu šautuves izveidei un darbībai pašvaldība pieņem </w:t>
            </w:r>
            <w:r w:rsidR="00D95861" w:rsidRPr="00D95861">
              <w:rPr>
                <w:sz w:val="26"/>
                <w:szCs w:val="26"/>
              </w:rPr>
              <w:t>Administratīvā procesa likuma</w:t>
            </w:r>
            <w:r w:rsidR="00D95861">
              <w:rPr>
                <w:sz w:val="26"/>
                <w:szCs w:val="26"/>
              </w:rPr>
              <w:t xml:space="preserve"> noteiktajā kārtībā. </w:t>
            </w:r>
            <w:r w:rsidR="00F01B4E" w:rsidRPr="004A5D7E">
              <w:rPr>
                <w:sz w:val="26"/>
                <w:szCs w:val="26"/>
              </w:rPr>
              <w:t>Papildus tiek norādīts, ka saskaņā ar Oficiālās elektroniskās adreses likuma 12. pantu, oficiālā elektroniskā adrese jāizmanto kā primārais saziņas kanāls, ja tā ir aktivizēta. Ņemot vērā iepriekš minēto gadījumā, ja fiziskā vai juridiskā persona, kas iesniedza iesniegumu pašvaldībā šautuves atļaujas saņemšanai ir aktivizējusi savu ofici</w:t>
            </w:r>
            <w:r w:rsidR="00D17939" w:rsidRPr="004A5D7E">
              <w:rPr>
                <w:sz w:val="26"/>
                <w:szCs w:val="26"/>
              </w:rPr>
              <w:t>ālo elektronisko adresi, tā tiks</w:t>
            </w:r>
            <w:r w:rsidR="00F01B4E" w:rsidRPr="004A5D7E">
              <w:rPr>
                <w:sz w:val="26"/>
                <w:szCs w:val="26"/>
              </w:rPr>
              <w:t xml:space="preserve"> izmantota kā primārais saziņas kanāls.</w:t>
            </w:r>
          </w:p>
          <w:p w:rsidR="00C4059B" w:rsidRPr="004A5D7E" w:rsidRDefault="009232B6" w:rsidP="002A4BD7">
            <w:pPr>
              <w:ind w:firstLine="559"/>
              <w:jc w:val="both"/>
              <w:rPr>
                <w:sz w:val="26"/>
                <w:szCs w:val="26"/>
              </w:rPr>
            </w:pPr>
            <w:r w:rsidRPr="004A5D7E">
              <w:rPr>
                <w:sz w:val="26"/>
                <w:szCs w:val="26"/>
              </w:rPr>
              <w:t>MK noteikumu pro</w:t>
            </w:r>
            <w:r w:rsidR="00D17939" w:rsidRPr="004A5D7E">
              <w:rPr>
                <w:sz w:val="26"/>
                <w:szCs w:val="26"/>
              </w:rPr>
              <w:t>jekta IV</w:t>
            </w:r>
            <w:r w:rsidR="0003069D" w:rsidRPr="004A5D7E">
              <w:rPr>
                <w:sz w:val="26"/>
                <w:szCs w:val="26"/>
              </w:rPr>
              <w:t xml:space="preserve"> un V</w:t>
            </w:r>
            <w:r w:rsidR="00D17939" w:rsidRPr="004A5D7E">
              <w:rPr>
                <w:sz w:val="26"/>
                <w:szCs w:val="26"/>
              </w:rPr>
              <w:t xml:space="preserve"> nodaļā ietvertais regulējums pēc būtības netiek ma</w:t>
            </w:r>
            <w:r w:rsidR="0003069D" w:rsidRPr="004A5D7E">
              <w:rPr>
                <w:sz w:val="26"/>
                <w:szCs w:val="26"/>
              </w:rPr>
              <w:t>i</w:t>
            </w:r>
            <w:r w:rsidR="00D17939" w:rsidRPr="004A5D7E">
              <w:rPr>
                <w:sz w:val="26"/>
                <w:szCs w:val="26"/>
              </w:rPr>
              <w:t>nīts, taču precizēts tā, lai</w:t>
            </w:r>
            <w:proofErr w:type="gramStart"/>
            <w:r w:rsidR="00D17939" w:rsidRPr="004A5D7E">
              <w:rPr>
                <w:sz w:val="26"/>
                <w:szCs w:val="26"/>
              </w:rPr>
              <w:t xml:space="preserve">  </w:t>
            </w:r>
            <w:proofErr w:type="gramEnd"/>
            <w:r w:rsidR="00D17939" w:rsidRPr="004A5D7E">
              <w:rPr>
                <w:sz w:val="26"/>
                <w:szCs w:val="26"/>
              </w:rPr>
              <w:t>nodrošin</w:t>
            </w:r>
            <w:r w:rsidR="000B47CC" w:rsidRPr="004A5D7E">
              <w:rPr>
                <w:sz w:val="26"/>
                <w:szCs w:val="26"/>
              </w:rPr>
              <w:t>ātu regulējuma labāku uztveramību, kā arī mazināts administratīvais slogs.</w:t>
            </w:r>
            <w:r w:rsidRPr="004A5D7E">
              <w:rPr>
                <w:sz w:val="26"/>
                <w:szCs w:val="26"/>
              </w:rPr>
              <w:t xml:space="preserve"> </w:t>
            </w:r>
            <w:r w:rsidR="002A4BD7" w:rsidRPr="004A5D7E">
              <w:rPr>
                <w:sz w:val="26"/>
                <w:szCs w:val="26"/>
              </w:rPr>
              <w:t>Piemēram,</w:t>
            </w:r>
            <w:r w:rsidR="00C4059B" w:rsidRPr="004A5D7E">
              <w:rPr>
                <w:sz w:val="26"/>
                <w:szCs w:val="26"/>
              </w:rPr>
              <w:t xml:space="preserve"> MK noteikumu </w:t>
            </w:r>
            <w:r w:rsidR="000F38ED" w:rsidRPr="004A5D7E">
              <w:rPr>
                <w:sz w:val="26"/>
                <w:szCs w:val="26"/>
              </w:rPr>
              <w:t xml:space="preserve">projekta </w:t>
            </w:r>
            <w:r w:rsidR="00C4059B" w:rsidRPr="004A5D7E">
              <w:rPr>
                <w:sz w:val="26"/>
                <w:szCs w:val="26"/>
              </w:rPr>
              <w:t>43.</w:t>
            </w:r>
            <w:r w:rsidR="00F2434C" w:rsidRPr="004A5D7E">
              <w:rPr>
                <w:sz w:val="26"/>
                <w:szCs w:val="26"/>
              </w:rPr>
              <w:t xml:space="preserve"> </w:t>
            </w:r>
            <w:r w:rsidR="00C4059B" w:rsidRPr="004A5D7E">
              <w:rPr>
                <w:sz w:val="26"/>
                <w:szCs w:val="26"/>
              </w:rPr>
              <w:t>punkts nosaka, ka informāciju par publiskām sacensībām vismaz mēnesi pirms to norises publicē internetā un Latvijas Sporta federāciju padomes kalendāra gada plānā. MK noteikumu Nr.840 tiesību normas</w:t>
            </w:r>
            <w:r w:rsidR="00F2434C" w:rsidRPr="004A5D7E">
              <w:rPr>
                <w:sz w:val="26"/>
                <w:szCs w:val="26"/>
              </w:rPr>
              <w:t xml:space="preserve"> </w:t>
            </w:r>
            <w:r w:rsidR="00F2434C" w:rsidRPr="004A5D7E">
              <w:rPr>
                <w:color w:val="000000" w:themeColor="text1"/>
                <w:sz w:val="26"/>
                <w:szCs w:val="26"/>
              </w:rPr>
              <w:t>noteica</w:t>
            </w:r>
            <w:r w:rsidR="00F2434C" w:rsidRPr="004A5D7E">
              <w:rPr>
                <w:sz w:val="26"/>
                <w:szCs w:val="26"/>
              </w:rPr>
              <w:t xml:space="preserve"> publicēt interne</w:t>
            </w:r>
            <w:r w:rsidR="00C4059B" w:rsidRPr="004A5D7E">
              <w:rPr>
                <w:sz w:val="26"/>
                <w:szCs w:val="26"/>
              </w:rPr>
              <w:t>ta un Latvijas Sporta federāciju padomes kalendāra gada plānā informāciju par sporta kluba ietvaros organizētajām iekš</w:t>
            </w:r>
            <w:r w:rsidR="00F2434C" w:rsidRPr="004A5D7E">
              <w:rPr>
                <w:sz w:val="26"/>
                <w:szCs w:val="26"/>
              </w:rPr>
              <w:t>ējām sacensībām, kas savukārt ra</w:t>
            </w:r>
            <w:r w:rsidR="00C4059B" w:rsidRPr="004A5D7E">
              <w:rPr>
                <w:sz w:val="26"/>
                <w:szCs w:val="26"/>
              </w:rPr>
              <w:t>dīja sportistiem nevajadzīgo administratīvo slogu, j</w:t>
            </w:r>
            <w:r w:rsidR="00F2434C" w:rsidRPr="004A5D7E">
              <w:rPr>
                <w:sz w:val="26"/>
                <w:szCs w:val="26"/>
              </w:rPr>
              <w:t>o šādām sacensībām nav nacionālas nozīmes vai starptautiska</w:t>
            </w:r>
            <w:r w:rsidR="00C4059B" w:rsidRPr="004A5D7E">
              <w:rPr>
                <w:sz w:val="26"/>
                <w:szCs w:val="26"/>
              </w:rPr>
              <w:t xml:space="preserve">s nozīmes un minētajās sacensībās sportisti negūst sporta klases.  </w:t>
            </w:r>
          </w:p>
          <w:p w:rsidR="00DB7D1A" w:rsidRPr="002A4BD7" w:rsidRDefault="00116E55" w:rsidP="000B47CC">
            <w:pPr>
              <w:ind w:firstLine="275"/>
              <w:jc w:val="both"/>
              <w:rPr>
                <w:sz w:val="26"/>
                <w:szCs w:val="26"/>
              </w:rPr>
            </w:pPr>
            <w:r w:rsidRPr="004A5D7E">
              <w:rPr>
                <w:sz w:val="26"/>
                <w:szCs w:val="26"/>
              </w:rPr>
              <w:t>MK noteikumu projekta</w:t>
            </w:r>
            <w:r w:rsidR="0091241C" w:rsidRPr="004A5D7E">
              <w:rPr>
                <w:sz w:val="26"/>
                <w:szCs w:val="26"/>
              </w:rPr>
              <w:t xml:space="preserve"> </w:t>
            </w:r>
            <w:r w:rsidR="000B47CC" w:rsidRPr="004A5D7E">
              <w:rPr>
                <w:sz w:val="26"/>
                <w:szCs w:val="26"/>
              </w:rPr>
              <w:t xml:space="preserve">noslēguma jautājums paredz, ka </w:t>
            </w:r>
            <w:r w:rsidR="0091241C" w:rsidRPr="004A5D7E">
              <w:rPr>
                <w:sz w:val="26"/>
                <w:szCs w:val="26"/>
              </w:rPr>
              <w:t xml:space="preserve">pašvaldības izsniegtās atļaujas otrās un trešās kategorijas šautuves (šaušanas stenda) izveidei un darbībai ir derīgas. Šautuvēs, kas izveidotas līdz šo noteikumu spēkā stāšanās, izmanto Ieroču aprites likuma 69.panta 2.punktā un 3.punktā noteiktos ieročus atbilstoši izsniegtās atļaujas kategorijai. </w:t>
            </w:r>
            <w:r w:rsidRPr="002A4BD7">
              <w:rPr>
                <w:sz w:val="26"/>
                <w:szCs w:val="26"/>
              </w:rPr>
              <w:t>Līdz ar to jau izveidotajām šautuvēm atļaujas atbilstoši MK noteikumu projekta prasībām nav nepieciešams saņemt. Izveidotājās šautuvēs drīkst izmantot Ieroču aprites likuma 69.panta 2.punktā un 3.punktā noteiktos ieročus atbilstoši izsniegtās atļaujas kategorijai.</w:t>
            </w:r>
          </w:p>
          <w:p w:rsidR="003D2666" w:rsidRPr="004A5D7E" w:rsidRDefault="003D2666" w:rsidP="003D2666">
            <w:pPr>
              <w:ind w:firstLine="365"/>
              <w:jc w:val="both"/>
              <w:rPr>
                <w:sz w:val="26"/>
                <w:szCs w:val="26"/>
              </w:rPr>
            </w:pPr>
            <w:r w:rsidRPr="004A5D7E">
              <w:rPr>
                <w:sz w:val="26"/>
                <w:szCs w:val="26"/>
              </w:rPr>
              <w:t>Eiropas Parlamenta un Padomes 2016. gada 27. aprīļa Regulā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w:t>
            </w:r>
            <w:r w:rsidR="00BC1146" w:rsidRPr="004A5D7E">
              <w:rPr>
                <w:color w:val="FF0000"/>
                <w:sz w:val="26"/>
                <w:szCs w:val="26"/>
              </w:rPr>
              <w:t>,</w:t>
            </w:r>
            <w:r w:rsidRPr="004A5D7E">
              <w:rPr>
                <w:sz w:val="26"/>
                <w:szCs w:val="26"/>
              </w:rPr>
              <w:t xml:space="preserve"> veicot personas </w:t>
            </w:r>
            <w:r w:rsidRPr="004A5D7E">
              <w:rPr>
                <w:sz w:val="26"/>
                <w:szCs w:val="26"/>
              </w:rPr>
              <w:lastRenderedPageBreak/>
              <w:t>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No minētā secināms, ka, apstrādājot personu datus, ir jāvērtē, vai netiek apstrādāts lielāks daudzums personas datu nekā nepieciešams.</w:t>
            </w:r>
          </w:p>
          <w:p w:rsidR="003D2666" w:rsidRPr="004A5D7E" w:rsidRDefault="003D2666" w:rsidP="00C75180">
            <w:pPr>
              <w:ind w:firstLine="365"/>
              <w:jc w:val="both"/>
              <w:rPr>
                <w:sz w:val="26"/>
                <w:szCs w:val="26"/>
              </w:rPr>
            </w:pPr>
            <w:r w:rsidRPr="004A5D7E">
              <w:rPr>
                <w:sz w:val="26"/>
                <w:szCs w:val="26"/>
              </w:rPr>
              <w:t xml:space="preserve">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MK noteikumu projekta 14.8.apakšpunkts paredz šautuves īpašniekam šautuvē nodrošināt </w:t>
            </w:r>
            <w:r w:rsidRPr="004A5D7E">
              <w:rPr>
                <w:bCs/>
                <w:sz w:val="26"/>
                <w:szCs w:val="26"/>
              </w:rPr>
              <w:t>apmeklētāju reģistrācijas un instruktāžas žurnāla (3.pielikums) iekārtošanu un aizpildīšanu.  Lai izveidotu vienotu paraugu apmeklētāju reģistrācijas un instruktāžas žurnālam</w:t>
            </w:r>
            <w:r w:rsidR="00B5091E" w:rsidRPr="004A5D7E">
              <w:rPr>
                <w:bCs/>
                <w:color w:val="FF0000"/>
                <w:sz w:val="26"/>
                <w:szCs w:val="26"/>
              </w:rPr>
              <w:t>,</w:t>
            </w:r>
            <w:r w:rsidRPr="004A5D7E">
              <w:rPr>
                <w:bCs/>
                <w:color w:val="FF0000"/>
                <w:sz w:val="26"/>
                <w:szCs w:val="26"/>
              </w:rPr>
              <w:t xml:space="preserve"> </w:t>
            </w:r>
            <w:r w:rsidRPr="004A5D7E">
              <w:rPr>
                <w:bCs/>
                <w:sz w:val="26"/>
                <w:szCs w:val="26"/>
              </w:rPr>
              <w:t>MK noteikumu projektam ir pievienots 3.pielikums ar nosaukumu “Apmeklētāju reģistrācijas un instruktāžas žurnāls”. Minēta žurnāla trešajā</w:t>
            </w:r>
            <w:r w:rsidR="00B5091E" w:rsidRPr="004A5D7E">
              <w:rPr>
                <w:bCs/>
                <w:sz w:val="26"/>
                <w:szCs w:val="26"/>
              </w:rPr>
              <w:t xml:space="preserve"> ailē ir nepieciešams aizpildīt</w:t>
            </w:r>
            <w:r w:rsidRPr="004A5D7E">
              <w:rPr>
                <w:bCs/>
                <w:sz w:val="26"/>
                <w:szCs w:val="26"/>
              </w:rPr>
              <w:t xml:space="preserve"> ziņas par </w:t>
            </w:r>
            <w:r w:rsidRPr="002A4BD7">
              <w:rPr>
                <w:bCs/>
                <w:sz w:val="26"/>
                <w:szCs w:val="26"/>
              </w:rPr>
              <w:t>apmeklētāju</w:t>
            </w:r>
            <w:r w:rsidR="00B5091E" w:rsidRPr="002A4BD7">
              <w:rPr>
                <w:bCs/>
                <w:sz w:val="26"/>
                <w:szCs w:val="26"/>
              </w:rPr>
              <w:t>,</w:t>
            </w:r>
            <w:r w:rsidR="002A4BD7" w:rsidRPr="002A4BD7">
              <w:rPr>
                <w:bCs/>
                <w:sz w:val="26"/>
                <w:szCs w:val="26"/>
              </w:rPr>
              <w:t xml:space="preserve"> </w:t>
            </w:r>
            <w:r w:rsidRPr="002A4BD7">
              <w:rPr>
                <w:bCs/>
                <w:sz w:val="26"/>
                <w:szCs w:val="26"/>
              </w:rPr>
              <w:t xml:space="preserve">norādot </w:t>
            </w:r>
            <w:r w:rsidRPr="004A5D7E">
              <w:rPr>
                <w:bCs/>
                <w:sz w:val="26"/>
                <w:szCs w:val="26"/>
              </w:rPr>
              <w:t>apmeklētāja personas vārdu, uzvārdu, dzimšanas</w:t>
            </w:r>
            <w:r w:rsidRPr="004A5D7E">
              <w:rPr>
                <w:b/>
                <w:bCs/>
                <w:sz w:val="26"/>
                <w:szCs w:val="26"/>
              </w:rPr>
              <w:t xml:space="preserve"> </w:t>
            </w:r>
            <w:r w:rsidRPr="004A5D7E">
              <w:rPr>
                <w:bCs/>
                <w:sz w:val="26"/>
                <w:szCs w:val="26"/>
              </w:rPr>
              <w:t>datumu, personas apliecinoša dokumenta numuru.</w:t>
            </w:r>
            <w:r w:rsidRPr="004A5D7E">
              <w:rPr>
                <w:b/>
                <w:bCs/>
                <w:sz w:val="26"/>
                <w:szCs w:val="26"/>
              </w:rPr>
              <w:t xml:space="preserve"> </w:t>
            </w:r>
            <w:r w:rsidRPr="004A5D7E">
              <w:rPr>
                <w:sz w:val="26"/>
                <w:szCs w:val="26"/>
              </w:rPr>
              <w:t>Min</w:t>
            </w:r>
            <w:r w:rsidR="00B5091E" w:rsidRPr="004A5D7E">
              <w:rPr>
                <w:sz w:val="26"/>
                <w:szCs w:val="26"/>
              </w:rPr>
              <w:t>ētā informācija ir nepieciešama</w:t>
            </w:r>
            <w:r w:rsidR="002A4BD7">
              <w:rPr>
                <w:sz w:val="26"/>
                <w:szCs w:val="26"/>
              </w:rPr>
              <w:t xml:space="preserve"> šautuves darbiniekam</w:t>
            </w:r>
            <w:r w:rsidRPr="004A5D7E">
              <w:rPr>
                <w:sz w:val="26"/>
                <w:szCs w:val="26"/>
              </w:rPr>
              <w:t>, lai pārliecināt</w:t>
            </w:r>
            <w:r w:rsidRPr="004A5D7E">
              <w:rPr>
                <w:color w:val="000000" w:themeColor="text1"/>
                <w:sz w:val="26"/>
                <w:szCs w:val="26"/>
              </w:rPr>
              <w:t>o</w:t>
            </w:r>
            <w:r w:rsidRPr="004A5D7E">
              <w:rPr>
                <w:sz w:val="26"/>
                <w:szCs w:val="26"/>
              </w:rPr>
              <w:t xml:space="preserve">s, ka apmeklētāja vecums atbilst Ieroču aprites likuma 71.panta sestās daļas </w:t>
            </w:r>
            <w:r w:rsidRPr="002A4BD7">
              <w:rPr>
                <w:sz w:val="26"/>
                <w:szCs w:val="26"/>
              </w:rPr>
              <w:t>prasībām</w:t>
            </w:r>
            <w:r w:rsidR="00B5091E" w:rsidRPr="002A4BD7">
              <w:rPr>
                <w:sz w:val="26"/>
                <w:szCs w:val="26"/>
              </w:rPr>
              <w:t>,</w:t>
            </w:r>
            <w:r w:rsidRPr="002A4BD7">
              <w:rPr>
                <w:sz w:val="26"/>
                <w:szCs w:val="26"/>
              </w:rPr>
              <w:t xml:space="preserve"> </w:t>
            </w:r>
            <w:r w:rsidR="00A675CA" w:rsidRPr="004A5D7E">
              <w:rPr>
                <w:sz w:val="26"/>
                <w:szCs w:val="26"/>
              </w:rPr>
              <w:t xml:space="preserve">kā arī </w:t>
            </w:r>
            <w:r w:rsidR="00A675CA" w:rsidRPr="002A4BD7">
              <w:rPr>
                <w:sz w:val="26"/>
                <w:szCs w:val="26"/>
              </w:rPr>
              <w:t>pārliecināto</w:t>
            </w:r>
            <w:r w:rsidRPr="002A4BD7">
              <w:rPr>
                <w:sz w:val="26"/>
                <w:szCs w:val="26"/>
              </w:rPr>
              <w:t xml:space="preserve">s par </w:t>
            </w:r>
            <w:r w:rsidRPr="004A5D7E">
              <w:rPr>
                <w:sz w:val="26"/>
                <w:szCs w:val="26"/>
              </w:rPr>
              <w:t>personas identi</w:t>
            </w:r>
            <w:r w:rsidR="00A675CA" w:rsidRPr="004A5D7E">
              <w:rPr>
                <w:sz w:val="26"/>
                <w:szCs w:val="26"/>
              </w:rPr>
              <w:t xml:space="preserve">tāti, jo var būt situācijas, kad </w:t>
            </w:r>
            <w:r w:rsidR="00A675CA" w:rsidRPr="002A4BD7">
              <w:rPr>
                <w:sz w:val="26"/>
                <w:szCs w:val="26"/>
              </w:rPr>
              <w:t xml:space="preserve">personām </w:t>
            </w:r>
            <w:r w:rsidRPr="004A5D7E">
              <w:rPr>
                <w:sz w:val="26"/>
                <w:szCs w:val="26"/>
              </w:rPr>
              <w:t xml:space="preserve">ir vienāds vārds un uzvārds. Papildus minēta informācija ir nepieciešama, lai Valsts policijas varētu īstenot ieroču aprites kontroles pasākumus, ka arī minēta informācija būs nepieciešama izmeklēšanai, gadījumā, ja šautuvē notiks negadījums, kas izraisīja cilvēka nāvi vai miesas bojājumus. </w:t>
            </w:r>
          </w:p>
        </w:tc>
      </w:tr>
      <w:tr w:rsidR="003530C3" w:rsidRPr="004A5D7E" w:rsidTr="005B03F1">
        <w:tc>
          <w:tcPr>
            <w:tcW w:w="247" w:type="pct"/>
            <w:hideMark/>
          </w:tcPr>
          <w:p w:rsidR="003530C3" w:rsidRPr="004A5D7E" w:rsidRDefault="003530C3" w:rsidP="007E7995">
            <w:pPr>
              <w:jc w:val="center"/>
              <w:rPr>
                <w:sz w:val="26"/>
                <w:szCs w:val="26"/>
              </w:rPr>
            </w:pPr>
            <w:r w:rsidRPr="004A5D7E">
              <w:rPr>
                <w:sz w:val="26"/>
                <w:szCs w:val="26"/>
              </w:rPr>
              <w:lastRenderedPageBreak/>
              <w:t>3.</w:t>
            </w:r>
          </w:p>
        </w:tc>
        <w:tc>
          <w:tcPr>
            <w:tcW w:w="1158" w:type="pct"/>
            <w:hideMark/>
          </w:tcPr>
          <w:p w:rsidR="003530C3" w:rsidRPr="004A5D7E" w:rsidRDefault="003530C3" w:rsidP="007E7995">
            <w:pPr>
              <w:rPr>
                <w:sz w:val="26"/>
                <w:szCs w:val="26"/>
              </w:rPr>
            </w:pPr>
            <w:r w:rsidRPr="004A5D7E">
              <w:rPr>
                <w:sz w:val="26"/>
                <w:szCs w:val="26"/>
              </w:rPr>
              <w:t>Projekta izstrādē iesaistītās institūcijas un publiskas personas kapitālsabiedrības</w:t>
            </w:r>
          </w:p>
        </w:tc>
        <w:tc>
          <w:tcPr>
            <w:tcW w:w="3595" w:type="pct"/>
            <w:hideMark/>
          </w:tcPr>
          <w:p w:rsidR="003530C3" w:rsidRPr="004A5D7E" w:rsidRDefault="00C70874" w:rsidP="007E7995">
            <w:pPr>
              <w:rPr>
                <w:sz w:val="26"/>
                <w:szCs w:val="26"/>
              </w:rPr>
            </w:pPr>
            <w:r w:rsidRPr="004A5D7E">
              <w:rPr>
                <w:sz w:val="26"/>
                <w:szCs w:val="26"/>
              </w:rPr>
              <w:t>Valsts policija</w:t>
            </w:r>
            <w:r w:rsidR="003530C3" w:rsidRPr="004A5D7E">
              <w:rPr>
                <w:sz w:val="26"/>
                <w:szCs w:val="26"/>
              </w:rPr>
              <w:t>.</w:t>
            </w:r>
          </w:p>
        </w:tc>
      </w:tr>
      <w:tr w:rsidR="003530C3" w:rsidRPr="004A5D7E" w:rsidTr="005B03F1">
        <w:tc>
          <w:tcPr>
            <w:tcW w:w="247" w:type="pct"/>
            <w:hideMark/>
          </w:tcPr>
          <w:p w:rsidR="003530C3" w:rsidRPr="004A5D7E" w:rsidRDefault="003530C3" w:rsidP="007E7995">
            <w:pPr>
              <w:jc w:val="center"/>
              <w:rPr>
                <w:sz w:val="26"/>
                <w:szCs w:val="26"/>
              </w:rPr>
            </w:pPr>
            <w:r w:rsidRPr="004A5D7E">
              <w:rPr>
                <w:sz w:val="26"/>
                <w:szCs w:val="26"/>
              </w:rPr>
              <w:t>4.</w:t>
            </w:r>
          </w:p>
        </w:tc>
        <w:tc>
          <w:tcPr>
            <w:tcW w:w="1158" w:type="pct"/>
            <w:hideMark/>
          </w:tcPr>
          <w:p w:rsidR="003530C3" w:rsidRPr="004A5D7E" w:rsidRDefault="003530C3" w:rsidP="007E7995">
            <w:pPr>
              <w:rPr>
                <w:sz w:val="26"/>
                <w:szCs w:val="26"/>
              </w:rPr>
            </w:pPr>
            <w:r w:rsidRPr="004A5D7E">
              <w:rPr>
                <w:sz w:val="26"/>
                <w:szCs w:val="26"/>
              </w:rPr>
              <w:t>Cita informācija</w:t>
            </w:r>
          </w:p>
        </w:tc>
        <w:tc>
          <w:tcPr>
            <w:tcW w:w="3595" w:type="pct"/>
            <w:hideMark/>
          </w:tcPr>
          <w:p w:rsidR="003530C3" w:rsidRPr="004A5D7E" w:rsidRDefault="003530C3" w:rsidP="007E7995">
            <w:pPr>
              <w:rPr>
                <w:sz w:val="26"/>
                <w:szCs w:val="26"/>
              </w:rPr>
            </w:pPr>
            <w:r w:rsidRPr="004A5D7E">
              <w:rPr>
                <w:sz w:val="26"/>
                <w:szCs w:val="26"/>
              </w:rPr>
              <w:t>Nav.</w:t>
            </w:r>
          </w:p>
        </w:tc>
      </w:tr>
    </w:tbl>
    <w:p w:rsidR="003530C3" w:rsidRPr="004A5D7E" w:rsidRDefault="003530C3"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4A5D7E" w:rsidTr="007E7995">
        <w:trPr>
          <w:cantSplit/>
        </w:trPr>
        <w:tc>
          <w:tcPr>
            <w:tcW w:w="5000" w:type="pct"/>
            <w:gridSpan w:val="3"/>
            <w:vAlign w:val="center"/>
            <w:hideMark/>
          </w:tcPr>
          <w:p w:rsidR="003530C3" w:rsidRPr="004A5D7E" w:rsidRDefault="003530C3" w:rsidP="007E7995">
            <w:pPr>
              <w:jc w:val="center"/>
              <w:rPr>
                <w:b/>
                <w:bCs/>
                <w:sz w:val="26"/>
                <w:szCs w:val="26"/>
              </w:rPr>
            </w:pPr>
            <w:r w:rsidRPr="004A5D7E">
              <w:rPr>
                <w:b/>
                <w:bCs/>
                <w:sz w:val="26"/>
                <w:szCs w:val="26"/>
              </w:rPr>
              <w:t>II. Tiesību akta projekta ietekme uz sabiedrību, tautsaimniecības attīstību un administratīvo slogu</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lastRenderedPageBreak/>
              <w:t>1.</w:t>
            </w:r>
          </w:p>
        </w:tc>
        <w:tc>
          <w:tcPr>
            <w:tcW w:w="1479" w:type="pct"/>
            <w:hideMark/>
          </w:tcPr>
          <w:p w:rsidR="003530C3" w:rsidRPr="004A5D7E" w:rsidRDefault="003530C3" w:rsidP="007E7995">
            <w:pPr>
              <w:rPr>
                <w:sz w:val="26"/>
                <w:szCs w:val="26"/>
              </w:rPr>
            </w:pPr>
            <w:r w:rsidRPr="004A5D7E">
              <w:rPr>
                <w:sz w:val="26"/>
                <w:szCs w:val="26"/>
              </w:rPr>
              <w:t>Sabiedrības mērķgrupas, kuras tiesiskais regulējums ietekmē vai varētu ietekmēt</w:t>
            </w:r>
          </w:p>
        </w:tc>
        <w:tc>
          <w:tcPr>
            <w:tcW w:w="3210" w:type="pct"/>
            <w:hideMark/>
          </w:tcPr>
          <w:p w:rsidR="00943FC6" w:rsidRPr="004A5D7E" w:rsidRDefault="00943FC6" w:rsidP="00FE4B6F">
            <w:pPr>
              <w:jc w:val="both"/>
              <w:rPr>
                <w:sz w:val="26"/>
                <w:szCs w:val="26"/>
              </w:rPr>
            </w:pPr>
            <w:r w:rsidRPr="004A5D7E">
              <w:rPr>
                <w:sz w:val="26"/>
                <w:szCs w:val="26"/>
              </w:rPr>
              <w:t xml:space="preserve">Sabiedrības mērķgrupa ir fiziskās un juridiskās personas, kuras izveidojušas šautuves, kā arī personas, kuras nodarbojas ar šaušanas sporta veidiem un personas, kuras izmanto šautuves </w:t>
            </w:r>
            <w:proofErr w:type="spellStart"/>
            <w:r w:rsidRPr="004A5D7E">
              <w:rPr>
                <w:sz w:val="26"/>
                <w:szCs w:val="26"/>
              </w:rPr>
              <w:t>treniņšaušanai</w:t>
            </w:r>
            <w:proofErr w:type="spellEnd"/>
            <w:r w:rsidRPr="004A5D7E">
              <w:rPr>
                <w:sz w:val="26"/>
                <w:szCs w:val="26"/>
              </w:rPr>
              <w:t>, kā arī fizi</w:t>
            </w:r>
            <w:r w:rsidR="0021400A" w:rsidRPr="004A5D7E">
              <w:rPr>
                <w:sz w:val="26"/>
                <w:szCs w:val="26"/>
              </w:rPr>
              <w:t>skās un juridiskās personas, kuras</w:t>
            </w:r>
            <w:r w:rsidRPr="004A5D7E">
              <w:rPr>
                <w:sz w:val="26"/>
                <w:szCs w:val="26"/>
              </w:rPr>
              <w:t xml:space="preserve"> nākotnē vēlēsies izveidot šautuves, kā arī nodarboties ar </w:t>
            </w:r>
            <w:proofErr w:type="spellStart"/>
            <w:r w:rsidRPr="004A5D7E">
              <w:rPr>
                <w:sz w:val="26"/>
                <w:szCs w:val="26"/>
              </w:rPr>
              <w:t>treniņšaušanu</w:t>
            </w:r>
            <w:proofErr w:type="spellEnd"/>
            <w:r w:rsidRPr="004A5D7E">
              <w:rPr>
                <w:sz w:val="26"/>
                <w:szCs w:val="26"/>
              </w:rPr>
              <w:t xml:space="preserve"> un sporta veidiem, kas saistīti ar šaušanu.</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2.</w:t>
            </w:r>
          </w:p>
        </w:tc>
        <w:tc>
          <w:tcPr>
            <w:tcW w:w="1479" w:type="pct"/>
            <w:hideMark/>
          </w:tcPr>
          <w:p w:rsidR="000359A0" w:rsidRPr="004A5D7E" w:rsidRDefault="003530C3" w:rsidP="007E7995">
            <w:pPr>
              <w:rPr>
                <w:sz w:val="26"/>
                <w:szCs w:val="26"/>
              </w:rPr>
            </w:pPr>
            <w:r w:rsidRPr="004A5D7E">
              <w:rPr>
                <w:sz w:val="26"/>
                <w:szCs w:val="26"/>
              </w:rPr>
              <w:t>Tiesiskā regulējuma ietekme uz tautsaimniecību un administratīvo slogu</w:t>
            </w:r>
          </w:p>
          <w:p w:rsidR="000359A0" w:rsidRPr="004A5D7E" w:rsidRDefault="000359A0">
            <w:pPr>
              <w:rPr>
                <w:sz w:val="26"/>
                <w:szCs w:val="26"/>
              </w:rPr>
            </w:pPr>
          </w:p>
          <w:p w:rsidR="000359A0" w:rsidRPr="004A5D7E" w:rsidRDefault="000359A0">
            <w:pPr>
              <w:rPr>
                <w:sz w:val="26"/>
                <w:szCs w:val="26"/>
              </w:rPr>
            </w:pPr>
          </w:p>
          <w:p w:rsidR="000359A0" w:rsidRPr="004A5D7E" w:rsidRDefault="000359A0">
            <w:pPr>
              <w:rPr>
                <w:sz w:val="26"/>
                <w:szCs w:val="26"/>
              </w:rPr>
            </w:pPr>
          </w:p>
          <w:p w:rsidR="000359A0" w:rsidRPr="004A5D7E" w:rsidRDefault="000359A0">
            <w:pPr>
              <w:rPr>
                <w:sz w:val="26"/>
                <w:szCs w:val="26"/>
              </w:rPr>
            </w:pPr>
          </w:p>
          <w:p w:rsidR="003530C3" w:rsidRPr="004A5D7E" w:rsidRDefault="003530C3" w:rsidP="008166A1">
            <w:pPr>
              <w:jc w:val="center"/>
              <w:rPr>
                <w:sz w:val="26"/>
                <w:szCs w:val="26"/>
              </w:rPr>
            </w:pPr>
          </w:p>
        </w:tc>
        <w:tc>
          <w:tcPr>
            <w:tcW w:w="3210" w:type="pct"/>
            <w:hideMark/>
          </w:tcPr>
          <w:p w:rsidR="003530C3" w:rsidRPr="004A5D7E" w:rsidRDefault="00943FC6" w:rsidP="00073DB0">
            <w:pPr>
              <w:jc w:val="both"/>
              <w:rPr>
                <w:sz w:val="26"/>
                <w:szCs w:val="26"/>
              </w:rPr>
            </w:pPr>
            <w:r w:rsidRPr="004A5D7E">
              <w:rPr>
                <w:sz w:val="26"/>
                <w:szCs w:val="26"/>
              </w:rPr>
              <w:t>Lai saņemtu atļ</w:t>
            </w:r>
            <w:r w:rsidR="00B966A3" w:rsidRPr="004A5D7E">
              <w:rPr>
                <w:sz w:val="26"/>
                <w:szCs w:val="26"/>
              </w:rPr>
              <w:t xml:space="preserve">auju šautuves izveidošanai un </w:t>
            </w:r>
            <w:r w:rsidRPr="004A5D7E">
              <w:rPr>
                <w:sz w:val="26"/>
                <w:szCs w:val="26"/>
              </w:rPr>
              <w:t xml:space="preserve">darbībai, nepieciešams </w:t>
            </w:r>
            <w:r w:rsidR="00073DB0" w:rsidRPr="004A5D7E">
              <w:rPr>
                <w:sz w:val="26"/>
                <w:szCs w:val="26"/>
              </w:rPr>
              <w:t xml:space="preserve">nodrošināt iecerētās šautuves atbilstību </w:t>
            </w:r>
            <w:r w:rsidRPr="004A5D7E">
              <w:rPr>
                <w:sz w:val="26"/>
                <w:szCs w:val="26"/>
              </w:rPr>
              <w:t>noteiktajām prasībām un iesniegt iesniegumu vietējā pašvaldībā atļaujas saņemšanai. Iesniegumam jāpie</w:t>
            </w:r>
            <w:r w:rsidR="00B966A3" w:rsidRPr="004A5D7E">
              <w:rPr>
                <w:sz w:val="26"/>
                <w:szCs w:val="26"/>
              </w:rPr>
              <w:t>vieno šautuves plāns</w:t>
            </w:r>
            <w:r w:rsidR="00073DB0" w:rsidRPr="004A5D7E">
              <w:rPr>
                <w:sz w:val="26"/>
                <w:szCs w:val="26"/>
              </w:rPr>
              <w:t>, ja tās nav atrodams būvniecības dokumentos</w:t>
            </w:r>
            <w:r w:rsidR="00B966A3" w:rsidRPr="004A5D7E">
              <w:rPr>
                <w:sz w:val="26"/>
                <w:szCs w:val="26"/>
              </w:rPr>
              <w:t xml:space="preserve"> un šautuves </w:t>
            </w:r>
            <w:r w:rsidRPr="004A5D7E">
              <w:rPr>
                <w:sz w:val="26"/>
                <w:szCs w:val="26"/>
              </w:rPr>
              <w:t>nolikums.</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3.</w:t>
            </w:r>
          </w:p>
        </w:tc>
        <w:tc>
          <w:tcPr>
            <w:tcW w:w="1479" w:type="pct"/>
            <w:hideMark/>
          </w:tcPr>
          <w:p w:rsidR="003530C3" w:rsidRPr="004A5D7E" w:rsidRDefault="003530C3" w:rsidP="007E7995">
            <w:pPr>
              <w:rPr>
                <w:sz w:val="26"/>
                <w:szCs w:val="26"/>
              </w:rPr>
            </w:pPr>
            <w:r w:rsidRPr="004A5D7E">
              <w:rPr>
                <w:sz w:val="26"/>
                <w:szCs w:val="26"/>
              </w:rPr>
              <w:t>Administratīvo izmaksu monetārs novērtējums</w:t>
            </w:r>
          </w:p>
        </w:tc>
        <w:tc>
          <w:tcPr>
            <w:tcW w:w="3210" w:type="pct"/>
            <w:hideMark/>
          </w:tcPr>
          <w:p w:rsidR="003530C3" w:rsidRPr="004A5D7E" w:rsidRDefault="0026102B" w:rsidP="00577E5F">
            <w:pPr>
              <w:jc w:val="both"/>
              <w:rPr>
                <w:sz w:val="26"/>
                <w:szCs w:val="26"/>
              </w:rPr>
            </w:pPr>
            <w:r w:rsidRPr="004A5D7E">
              <w:rPr>
                <w:sz w:val="26"/>
                <w:szCs w:val="26"/>
              </w:rPr>
              <w:t>Projekts nemaina šobrīd esošo administratīvo procedūru.</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4.</w:t>
            </w:r>
          </w:p>
        </w:tc>
        <w:tc>
          <w:tcPr>
            <w:tcW w:w="1479" w:type="pct"/>
            <w:hideMark/>
          </w:tcPr>
          <w:p w:rsidR="003530C3" w:rsidRPr="004A5D7E" w:rsidRDefault="003530C3" w:rsidP="007E7995">
            <w:pPr>
              <w:rPr>
                <w:sz w:val="26"/>
                <w:szCs w:val="26"/>
              </w:rPr>
            </w:pPr>
            <w:r w:rsidRPr="004A5D7E">
              <w:rPr>
                <w:sz w:val="26"/>
                <w:szCs w:val="26"/>
              </w:rPr>
              <w:t>Atbilstības izmaksu monetārs novērtējums</w:t>
            </w:r>
          </w:p>
        </w:tc>
        <w:tc>
          <w:tcPr>
            <w:tcW w:w="3210" w:type="pct"/>
            <w:hideMark/>
          </w:tcPr>
          <w:p w:rsidR="003530C3" w:rsidRPr="004A5D7E" w:rsidRDefault="0026102B" w:rsidP="00577E5F">
            <w:pPr>
              <w:jc w:val="both"/>
              <w:rPr>
                <w:sz w:val="26"/>
                <w:szCs w:val="26"/>
              </w:rPr>
            </w:pPr>
            <w:r w:rsidRPr="004A5D7E">
              <w:rPr>
                <w:sz w:val="26"/>
                <w:szCs w:val="26"/>
              </w:rPr>
              <w:t>Projekts neparedz papildu izmaksas, lai nodrošinātu projektā ietverto atbilstības prasību izpildi.</w:t>
            </w:r>
          </w:p>
          <w:p w:rsidR="0026102B" w:rsidRPr="004A5D7E" w:rsidRDefault="0026102B" w:rsidP="007E7995">
            <w:pPr>
              <w:rPr>
                <w:sz w:val="26"/>
                <w:szCs w:val="26"/>
              </w:rPr>
            </w:pP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5.</w:t>
            </w:r>
          </w:p>
        </w:tc>
        <w:tc>
          <w:tcPr>
            <w:tcW w:w="1479" w:type="pct"/>
            <w:hideMark/>
          </w:tcPr>
          <w:p w:rsidR="003530C3" w:rsidRPr="004A5D7E" w:rsidRDefault="003530C3" w:rsidP="007E7995">
            <w:pPr>
              <w:rPr>
                <w:sz w:val="26"/>
                <w:szCs w:val="26"/>
              </w:rPr>
            </w:pPr>
            <w:r w:rsidRPr="004A5D7E">
              <w:rPr>
                <w:sz w:val="26"/>
                <w:szCs w:val="26"/>
              </w:rPr>
              <w:t>Cita informācija</w:t>
            </w:r>
          </w:p>
        </w:tc>
        <w:tc>
          <w:tcPr>
            <w:tcW w:w="3210" w:type="pct"/>
            <w:hideMark/>
          </w:tcPr>
          <w:p w:rsidR="003530C3" w:rsidRPr="004A5D7E" w:rsidRDefault="003530C3" w:rsidP="007E7995">
            <w:pPr>
              <w:rPr>
                <w:sz w:val="26"/>
                <w:szCs w:val="26"/>
              </w:rPr>
            </w:pPr>
            <w:r w:rsidRPr="004A5D7E">
              <w:rPr>
                <w:sz w:val="26"/>
                <w:szCs w:val="26"/>
              </w:rPr>
              <w:t>Nav.</w:t>
            </w:r>
          </w:p>
        </w:tc>
      </w:tr>
    </w:tbl>
    <w:p w:rsidR="003530C3" w:rsidRPr="004A5D7E" w:rsidRDefault="003530C3" w:rsidP="003530C3">
      <w:pPr>
        <w:rPr>
          <w:sz w:val="26"/>
          <w:szCs w:val="26"/>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4A5D7E" w:rsidTr="007E7995">
        <w:trPr>
          <w:cantSplit/>
        </w:trPr>
        <w:tc>
          <w:tcPr>
            <w:tcW w:w="9065" w:type="dxa"/>
            <w:shd w:val="clear" w:color="auto" w:fill="auto"/>
            <w:vAlign w:val="center"/>
            <w:hideMark/>
          </w:tcPr>
          <w:p w:rsidR="003530C3" w:rsidRPr="004A5D7E" w:rsidRDefault="003530C3" w:rsidP="007E7995">
            <w:pPr>
              <w:jc w:val="center"/>
              <w:rPr>
                <w:b/>
                <w:bCs/>
                <w:sz w:val="26"/>
                <w:szCs w:val="26"/>
                <w:lang w:eastAsia="en-US"/>
              </w:rPr>
            </w:pPr>
            <w:r w:rsidRPr="004A5D7E">
              <w:rPr>
                <w:b/>
                <w:bCs/>
                <w:sz w:val="26"/>
                <w:szCs w:val="26"/>
                <w:lang w:eastAsia="en-US"/>
              </w:rPr>
              <w:t>III. Tiesību akta projekta ietekme uz valsts budžetu un pašvaldību budžetiem</w:t>
            </w:r>
          </w:p>
        </w:tc>
      </w:tr>
      <w:tr w:rsidR="006606C1" w:rsidRPr="004A5D7E" w:rsidTr="007E7995">
        <w:trPr>
          <w:cantSplit/>
        </w:trPr>
        <w:tc>
          <w:tcPr>
            <w:tcW w:w="9065" w:type="dxa"/>
            <w:shd w:val="clear" w:color="auto" w:fill="auto"/>
          </w:tcPr>
          <w:p w:rsidR="006606C1" w:rsidRPr="004A5D7E" w:rsidRDefault="006606C1" w:rsidP="006606C1">
            <w:pPr>
              <w:jc w:val="center"/>
              <w:rPr>
                <w:sz w:val="26"/>
                <w:szCs w:val="26"/>
                <w:lang w:eastAsia="en-US"/>
              </w:rPr>
            </w:pPr>
            <w:r w:rsidRPr="004A5D7E">
              <w:rPr>
                <w:sz w:val="26"/>
                <w:szCs w:val="26"/>
              </w:rPr>
              <w:t>Projekts šo jomu neskar.</w:t>
            </w:r>
          </w:p>
        </w:tc>
      </w:tr>
    </w:tbl>
    <w:p w:rsidR="003530C3" w:rsidRPr="004A5D7E" w:rsidRDefault="003530C3" w:rsidP="003530C3">
      <w:pPr>
        <w:rPr>
          <w:sz w:val="26"/>
          <w:szCs w:val="26"/>
        </w:rPr>
      </w:pPr>
    </w:p>
    <w:tbl>
      <w:tblPr>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064"/>
      </w:tblGrid>
      <w:tr w:rsidR="007E5B9B" w:rsidRPr="004A5D7E" w:rsidTr="007E5B9B">
        <w:trPr>
          <w:trHeight w:val="180"/>
          <w:jc w:val="center"/>
        </w:trPr>
        <w:tc>
          <w:tcPr>
            <w:tcW w:w="9064" w:type="dxa"/>
            <w:tcBorders>
              <w:top w:val="single" w:sz="6" w:space="0" w:color="414142"/>
              <w:left w:val="single" w:sz="6" w:space="0" w:color="414142"/>
              <w:bottom w:val="single" w:sz="6" w:space="0" w:color="414142"/>
              <w:right w:val="single" w:sz="6" w:space="0" w:color="414142"/>
            </w:tcBorders>
            <w:vAlign w:val="center"/>
          </w:tcPr>
          <w:p w:rsidR="007E5B9B" w:rsidRPr="004A5D7E" w:rsidRDefault="007E5B9B" w:rsidP="007E7995">
            <w:pPr>
              <w:jc w:val="center"/>
              <w:rPr>
                <w:b/>
                <w:sz w:val="26"/>
                <w:szCs w:val="26"/>
              </w:rPr>
            </w:pPr>
            <w:r w:rsidRPr="004A5D7E">
              <w:rPr>
                <w:b/>
                <w:sz w:val="26"/>
                <w:szCs w:val="26"/>
              </w:rPr>
              <w:t>IV. Tiesību akta projekta ietekme uz spēkā esošo tiesību normu sistēmu</w:t>
            </w:r>
          </w:p>
        </w:tc>
      </w:tr>
      <w:tr w:rsidR="00577E5F" w:rsidRPr="004A5D7E" w:rsidTr="007E5B9B">
        <w:trPr>
          <w:trHeight w:val="180"/>
          <w:jc w:val="center"/>
        </w:trPr>
        <w:tc>
          <w:tcPr>
            <w:tcW w:w="9064" w:type="dxa"/>
            <w:tcBorders>
              <w:top w:val="single" w:sz="6" w:space="0" w:color="414142"/>
              <w:left w:val="single" w:sz="6" w:space="0" w:color="414142"/>
              <w:bottom w:val="single" w:sz="6" w:space="0" w:color="414142"/>
              <w:right w:val="single" w:sz="6" w:space="0" w:color="414142"/>
            </w:tcBorders>
            <w:vAlign w:val="center"/>
          </w:tcPr>
          <w:p w:rsidR="00577E5F" w:rsidRPr="004A5D7E" w:rsidRDefault="00577E5F" w:rsidP="007E7995">
            <w:pPr>
              <w:jc w:val="center"/>
              <w:rPr>
                <w:b/>
                <w:sz w:val="26"/>
                <w:szCs w:val="26"/>
              </w:rPr>
            </w:pPr>
            <w:r w:rsidRPr="00C75180">
              <w:rPr>
                <w:sz w:val="26"/>
                <w:szCs w:val="26"/>
              </w:rPr>
              <w:t>Projekts šo jomu neskar.</w:t>
            </w:r>
          </w:p>
        </w:tc>
      </w:tr>
    </w:tbl>
    <w:p w:rsidR="003530C3" w:rsidRPr="004A5D7E" w:rsidRDefault="003530C3" w:rsidP="00577E5F">
      <w:pPr>
        <w:pStyle w:val="Title"/>
        <w:spacing w:before="130" w:line="260" w:lineRule="exact"/>
        <w:rPr>
          <w:sz w:val="26"/>
          <w:szCs w:val="26"/>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5B59F4" w:rsidRPr="004A5D7E"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B59F4" w:rsidRPr="004A5D7E" w:rsidRDefault="005B59F4" w:rsidP="007E7995">
            <w:pPr>
              <w:spacing w:before="100" w:beforeAutospacing="1" w:after="100" w:afterAutospacing="1" w:line="293" w:lineRule="atLeast"/>
              <w:jc w:val="center"/>
              <w:rPr>
                <w:b/>
                <w:bCs/>
                <w:sz w:val="26"/>
                <w:szCs w:val="26"/>
              </w:rPr>
            </w:pPr>
            <w:r w:rsidRPr="004A5D7E">
              <w:rPr>
                <w:b/>
                <w:bCs/>
                <w:sz w:val="26"/>
                <w:szCs w:val="26"/>
              </w:rPr>
              <w:t>V. Tiesību akta projekta atbilstība Latvijas Republikas starptautiskajām saistībām</w:t>
            </w:r>
          </w:p>
        </w:tc>
      </w:tr>
      <w:tr w:rsidR="007E5B9B" w:rsidRPr="004A5D7E"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5B9B" w:rsidRPr="004A5D7E" w:rsidRDefault="007E5B9B" w:rsidP="007E7995">
            <w:pPr>
              <w:spacing w:before="100" w:beforeAutospacing="1" w:after="100" w:afterAutospacing="1" w:line="293" w:lineRule="atLeast"/>
              <w:jc w:val="center"/>
              <w:rPr>
                <w:b/>
                <w:bCs/>
                <w:sz w:val="26"/>
                <w:szCs w:val="26"/>
              </w:rPr>
            </w:pPr>
            <w:r w:rsidRPr="004A5D7E">
              <w:rPr>
                <w:sz w:val="26"/>
                <w:szCs w:val="26"/>
              </w:rPr>
              <w:t>Projekts šo jomu neskar.</w:t>
            </w:r>
          </w:p>
        </w:tc>
      </w:tr>
    </w:tbl>
    <w:p w:rsidR="007E5B9B" w:rsidRPr="004A5D7E" w:rsidRDefault="007E5B9B" w:rsidP="005B59F4">
      <w:pPr>
        <w:pStyle w:val="Title"/>
        <w:spacing w:before="130" w:line="260" w:lineRule="exact"/>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702"/>
        <w:gridCol w:w="7080"/>
      </w:tblGrid>
      <w:tr w:rsidR="003530C3" w:rsidRPr="004A5D7E" w:rsidTr="00DC6A62">
        <w:trPr>
          <w:cantSplit/>
        </w:trPr>
        <w:tc>
          <w:tcPr>
            <w:tcW w:w="5000" w:type="pct"/>
            <w:gridSpan w:val="3"/>
            <w:vAlign w:val="center"/>
            <w:hideMark/>
          </w:tcPr>
          <w:p w:rsidR="003530C3" w:rsidRPr="004A5D7E" w:rsidRDefault="003530C3" w:rsidP="007E7995">
            <w:pPr>
              <w:jc w:val="center"/>
              <w:rPr>
                <w:b/>
                <w:bCs/>
                <w:sz w:val="26"/>
                <w:szCs w:val="26"/>
              </w:rPr>
            </w:pPr>
            <w:r w:rsidRPr="004A5D7E">
              <w:rPr>
                <w:b/>
                <w:bCs/>
                <w:sz w:val="26"/>
                <w:szCs w:val="26"/>
              </w:rPr>
              <w:t>VI. Sabiedrības līdzdalība un komunikācijas aktivitātes</w:t>
            </w:r>
          </w:p>
        </w:tc>
      </w:tr>
      <w:tr w:rsidR="003530C3" w:rsidRPr="004A5D7E" w:rsidTr="00DC6A62">
        <w:trPr>
          <w:cantSplit/>
        </w:trPr>
        <w:tc>
          <w:tcPr>
            <w:tcW w:w="154" w:type="pct"/>
            <w:hideMark/>
          </w:tcPr>
          <w:p w:rsidR="003530C3" w:rsidRPr="004A5D7E" w:rsidRDefault="003530C3" w:rsidP="007E7995">
            <w:pPr>
              <w:jc w:val="center"/>
              <w:rPr>
                <w:sz w:val="26"/>
                <w:szCs w:val="26"/>
              </w:rPr>
            </w:pPr>
            <w:r w:rsidRPr="004A5D7E">
              <w:rPr>
                <w:sz w:val="26"/>
                <w:szCs w:val="26"/>
              </w:rPr>
              <w:t>1.</w:t>
            </w:r>
          </w:p>
        </w:tc>
        <w:tc>
          <w:tcPr>
            <w:tcW w:w="939" w:type="pct"/>
            <w:hideMark/>
          </w:tcPr>
          <w:p w:rsidR="003530C3" w:rsidRPr="004A5D7E" w:rsidRDefault="003530C3" w:rsidP="007E7995">
            <w:pPr>
              <w:rPr>
                <w:sz w:val="26"/>
                <w:szCs w:val="26"/>
              </w:rPr>
            </w:pPr>
            <w:r w:rsidRPr="004A5D7E">
              <w:rPr>
                <w:sz w:val="26"/>
                <w:szCs w:val="26"/>
              </w:rPr>
              <w:t>Plānotās sabiedrības līdzdalības un komunikācijas aktivitātes saistībā ar projektu</w:t>
            </w:r>
          </w:p>
        </w:tc>
        <w:tc>
          <w:tcPr>
            <w:tcW w:w="3907" w:type="pct"/>
            <w:hideMark/>
          </w:tcPr>
          <w:p w:rsidR="003530C3" w:rsidRPr="004A5D7E" w:rsidRDefault="006E0166" w:rsidP="007E7995">
            <w:pPr>
              <w:jc w:val="both"/>
              <w:rPr>
                <w:sz w:val="26"/>
                <w:szCs w:val="26"/>
              </w:rPr>
            </w:pPr>
            <w:r w:rsidRPr="004A5D7E">
              <w:rPr>
                <w:sz w:val="26"/>
                <w:szCs w:val="26"/>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3530C3" w:rsidRPr="004A5D7E" w:rsidTr="00DC6A62">
        <w:trPr>
          <w:cantSplit/>
        </w:trPr>
        <w:tc>
          <w:tcPr>
            <w:tcW w:w="154" w:type="pct"/>
            <w:hideMark/>
          </w:tcPr>
          <w:p w:rsidR="003530C3" w:rsidRPr="004A5D7E" w:rsidRDefault="003530C3" w:rsidP="007E7995">
            <w:pPr>
              <w:jc w:val="center"/>
              <w:rPr>
                <w:sz w:val="26"/>
                <w:szCs w:val="26"/>
              </w:rPr>
            </w:pPr>
            <w:r w:rsidRPr="004A5D7E">
              <w:rPr>
                <w:sz w:val="26"/>
                <w:szCs w:val="26"/>
              </w:rPr>
              <w:lastRenderedPageBreak/>
              <w:t>2.</w:t>
            </w:r>
          </w:p>
        </w:tc>
        <w:tc>
          <w:tcPr>
            <w:tcW w:w="939" w:type="pct"/>
            <w:hideMark/>
          </w:tcPr>
          <w:p w:rsidR="003530C3" w:rsidRPr="004A5D7E" w:rsidRDefault="003530C3" w:rsidP="007E7995">
            <w:pPr>
              <w:rPr>
                <w:sz w:val="26"/>
                <w:szCs w:val="26"/>
              </w:rPr>
            </w:pPr>
            <w:r w:rsidRPr="004A5D7E">
              <w:rPr>
                <w:sz w:val="26"/>
                <w:szCs w:val="26"/>
              </w:rPr>
              <w:t>Sabiedrības līdzdalība projekta izstrādē</w:t>
            </w:r>
          </w:p>
        </w:tc>
        <w:tc>
          <w:tcPr>
            <w:tcW w:w="3907" w:type="pct"/>
            <w:hideMark/>
          </w:tcPr>
          <w:p w:rsidR="00DC6A62" w:rsidRPr="004A5D7E" w:rsidRDefault="00DC6A62" w:rsidP="00DC6A62">
            <w:pPr>
              <w:jc w:val="both"/>
              <w:rPr>
                <w:sz w:val="26"/>
                <w:szCs w:val="26"/>
              </w:rPr>
            </w:pPr>
            <w:r w:rsidRPr="004A5D7E">
              <w:rPr>
                <w:sz w:val="26"/>
                <w:szCs w:val="26"/>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2019.gada </w:t>
            </w:r>
            <w:r w:rsidR="006644B6" w:rsidRPr="004A5D7E">
              <w:rPr>
                <w:sz w:val="26"/>
                <w:szCs w:val="26"/>
              </w:rPr>
              <w:t>18</w:t>
            </w:r>
            <w:r w:rsidRPr="004A5D7E">
              <w:rPr>
                <w:sz w:val="26"/>
                <w:szCs w:val="26"/>
              </w:rPr>
              <w:t>.</w:t>
            </w:r>
            <w:r w:rsidR="006644B6" w:rsidRPr="004A5D7E">
              <w:rPr>
                <w:sz w:val="26"/>
                <w:szCs w:val="26"/>
              </w:rPr>
              <w:t>decembrī</w:t>
            </w:r>
            <w:r w:rsidRPr="004A5D7E">
              <w:rPr>
                <w:sz w:val="26"/>
                <w:szCs w:val="26"/>
              </w:rPr>
              <w:t xml:space="preserve"> ievietots Iekšlietu ministrijas mājas lapā sadaļā „Sabiedrības līdzdalība” apakšsadaļā ”Diskusiju dokumenti”, tīmekļvietnes adrese: </w:t>
            </w:r>
          </w:p>
          <w:p w:rsidR="006644B6" w:rsidRPr="004A5D7E" w:rsidRDefault="000F22CB" w:rsidP="00DC6A62">
            <w:pPr>
              <w:jc w:val="both"/>
              <w:rPr>
                <w:sz w:val="26"/>
                <w:szCs w:val="26"/>
              </w:rPr>
            </w:pPr>
            <w:hyperlink r:id="rId9" w:history="1">
              <w:r w:rsidR="006644B6" w:rsidRPr="004A5D7E">
                <w:rPr>
                  <w:rStyle w:val="Hyperlink"/>
                  <w:sz w:val="26"/>
                  <w:szCs w:val="26"/>
                </w:rPr>
                <w:t>http://www.iem.gov.lv/lat/sadarbiba_ar_nvo/diskusiju_dokumenti/?doc=42357</w:t>
              </w:r>
            </w:hyperlink>
          </w:p>
          <w:p w:rsidR="003530C3" w:rsidRPr="004A5D7E" w:rsidRDefault="00DC6A62" w:rsidP="006644B6">
            <w:pPr>
              <w:pStyle w:val="NormalWeb"/>
              <w:spacing w:after="0"/>
              <w:jc w:val="both"/>
              <w:rPr>
                <w:sz w:val="26"/>
                <w:szCs w:val="26"/>
              </w:rPr>
            </w:pPr>
            <w:r w:rsidRPr="004A5D7E">
              <w:rPr>
                <w:sz w:val="26"/>
                <w:szCs w:val="26"/>
              </w:rPr>
              <w:t xml:space="preserve">Iekšlietu ministrija, izpildot Ministru kabineta 2009.gada 25.augusta noteikumu Nr.970 ”Sabiedrības līdzdalības kārtība attīstības plānošanas procesā” 14.punktu, projektu 2019.gada </w:t>
            </w:r>
            <w:r w:rsidR="006644B6" w:rsidRPr="004A5D7E">
              <w:rPr>
                <w:sz w:val="26"/>
                <w:szCs w:val="26"/>
              </w:rPr>
              <w:t>18</w:t>
            </w:r>
            <w:r w:rsidRPr="004A5D7E">
              <w:rPr>
                <w:sz w:val="26"/>
                <w:szCs w:val="26"/>
              </w:rPr>
              <w:t>.</w:t>
            </w:r>
            <w:r w:rsidR="006644B6" w:rsidRPr="004A5D7E">
              <w:rPr>
                <w:sz w:val="26"/>
                <w:szCs w:val="26"/>
              </w:rPr>
              <w:t>decembrī</w:t>
            </w:r>
            <w:r w:rsidRPr="004A5D7E">
              <w:rPr>
                <w:sz w:val="26"/>
                <w:szCs w:val="26"/>
              </w:rPr>
              <w:t xml:space="preserve"> nosūtīja Valsts kancelejai </w:t>
            </w:r>
            <w:hyperlink r:id="rId10" w:history="1">
              <w:r w:rsidR="006644B6" w:rsidRPr="004A5D7E">
                <w:rPr>
                  <w:rStyle w:val="Hyperlink"/>
                  <w:sz w:val="26"/>
                  <w:szCs w:val="26"/>
                </w:rPr>
                <w:t>https://www.mk.gov.lv/content/ministru-kabineta-diskusiju-dokumenti</w:t>
              </w:r>
            </w:hyperlink>
            <w:r w:rsidRPr="004A5D7E">
              <w:rPr>
                <w:sz w:val="26"/>
                <w:szCs w:val="26"/>
              </w:rPr>
              <w:t>.</w:t>
            </w:r>
          </w:p>
        </w:tc>
      </w:tr>
      <w:tr w:rsidR="003530C3" w:rsidRPr="004A5D7E" w:rsidTr="00DC6A62">
        <w:trPr>
          <w:cantSplit/>
        </w:trPr>
        <w:tc>
          <w:tcPr>
            <w:tcW w:w="154" w:type="pct"/>
            <w:hideMark/>
          </w:tcPr>
          <w:p w:rsidR="003530C3" w:rsidRPr="004A5D7E" w:rsidRDefault="003530C3" w:rsidP="007E7995">
            <w:pPr>
              <w:jc w:val="center"/>
              <w:rPr>
                <w:sz w:val="26"/>
                <w:szCs w:val="26"/>
              </w:rPr>
            </w:pPr>
            <w:r w:rsidRPr="004A5D7E">
              <w:rPr>
                <w:sz w:val="26"/>
                <w:szCs w:val="26"/>
              </w:rPr>
              <w:t>3.</w:t>
            </w:r>
          </w:p>
        </w:tc>
        <w:tc>
          <w:tcPr>
            <w:tcW w:w="939" w:type="pct"/>
            <w:hideMark/>
          </w:tcPr>
          <w:p w:rsidR="003530C3" w:rsidRPr="004A5D7E" w:rsidRDefault="003530C3" w:rsidP="007E7995">
            <w:pPr>
              <w:rPr>
                <w:sz w:val="26"/>
                <w:szCs w:val="26"/>
              </w:rPr>
            </w:pPr>
            <w:r w:rsidRPr="004A5D7E">
              <w:rPr>
                <w:sz w:val="26"/>
                <w:szCs w:val="26"/>
              </w:rPr>
              <w:t>Sabiedrības līdzdalības rezultāti</w:t>
            </w:r>
          </w:p>
        </w:tc>
        <w:tc>
          <w:tcPr>
            <w:tcW w:w="3907" w:type="pct"/>
          </w:tcPr>
          <w:p w:rsidR="003530C3" w:rsidRPr="004A5D7E" w:rsidRDefault="00DC6A62" w:rsidP="009F738C">
            <w:pPr>
              <w:pStyle w:val="NormalWeb"/>
              <w:spacing w:after="0"/>
              <w:jc w:val="both"/>
              <w:rPr>
                <w:sz w:val="26"/>
                <w:szCs w:val="26"/>
              </w:rPr>
            </w:pPr>
            <w:r w:rsidRPr="004A5D7E">
              <w:rPr>
                <w:iCs/>
                <w:sz w:val="26"/>
                <w:szCs w:val="26"/>
              </w:rPr>
              <w:t>Projekta izstrādes laikā priekšlikumi netika saņemti.</w:t>
            </w:r>
          </w:p>
        </w:tc>
      </w:tr>
      <w:tr w:rsidR="003530C3" w:rsidRPr="004A5D7E" w:rsidTr="00DC6A62">
        <w:trPr>
          <w:cantSplit/>
        </w:trPr>
        <w:tc>
          <w:tcPr>
            <w:tcW w:w="154" w:type="pct"/>
            <w:hideMark/>
          </w:tcPr>
          <w:p w:rsidR="003530C3" w:rsidRPr="004A5D7E" w:rsidRDefault="003530C3" w:rsidP="007E7995">
            <w:pPr>
              <w:jc w:val="center"/>
              <w:rPr>
                <w:sz w:val="26"/>
                <w:szCs w:val="26"/>
              </w:rPr>
            </w:pPr>
            <w:r w:rsidRPr="004A5D7E">
              <w:rPr>
                <w:sz w:val="26"/>
                <w:szCs w:val="26"/>
              </w:rPr>
              <w:t>4.</w:t>
            </w:r>
          </w:p>
        </w:tc>
        <w:tc>
          <w:tcPr>
            <w:tcW w:w="939" w:type="pct"/>
            <w:hideMark/>
          </w:tcPr>
          <w:p w:rsidR="003530C3" w:rsidRPr="004A5D7E" w:rsidRDefault="003530C3" w:rsidP="007E7995">
            <w:pPr>
              <w:rPr>
                <w:sz w:val="26"/>
                <w:szCs w:val="26"/>
              </w:rPr>
            </w:pPr>
            <w:r w:rsidRPr="004A5D7E">
              <w:rPr>
                <w:sz w:val="26"/>
                <w:szCs w:val="26"/>
              </w:rPr>
              <w:t>Cita informācija</w:t>
            </w:r>
          </w:p>
        </w:tc>
        <w:tc>
          <w:tcPr>
            <w:tcW w:w="3907" w:type="pct"/>
            <w:hideMark/>
          </w:tcPr>
          <w:p w:rsidR="003530C3" w:rsidRPr="004A5D7E" w:rsidRDefault="003530C3" w:rsidP="007E7995">
            <w:pPr>
              <w:rPr>
                <w:sz w:val="26"/>
                <w:szCs w:val="26"/>
              </w:rPr>
            </w:pPr>
            <w:r w:rsidRPr="004A5D7E">
              <w:rPr>
                <w:sz w:val="26"/>
                <w:szCs w:val="26"/>
              </w:rPr>
              <w:t>Nav.</w:t>
            </w:r>
          </w:p>
        </w:tc>
      </w:tr>
    </w:tbl>
    <w:p w:rsidR="00E15674" w:rsidRPr="004A5D7E" w:rsidRDefault="00E15674"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4A5D7E" w:rsidTr="007E7995">
        <w:trPr>
          <w:cantSplit/>
        </w:trPr>
        <w:tc>
          <w:tcPr>
            <w:tcW w:w="5000" w:type="pct"/>
            <w:gridSpan w:val="3"/>
            <w:vAlign w:val="center"/>
            <w:hideMark/>
          </w:tcPr>
          <w:p w:rsidR="003530C3" w:rsidRPr="004A5D7E" w:rsidRDefault="003530C3" w:rsidP="007E7995">
            <w:pPr>
              <w:jc w:val="center"/>
              <w:rPr>
                <w:b/>
                <w:bCs/>
                <w:sz w:val="26"/>
                <w:szCs w:val="26"/>
              </w:rPr>
            </w:pPr>
            <w:r w:rsidRPr="004A5D7E">
              <w:rPr>
                <w:b/>
                <w:bCs/>
                <w:sz w:val="26"/>
                <w:szCs w:val="26"/>
              </w:rPr>
              <w:t>VII. Tiesību akta projekta izpildes nodrošināšana un tās ietekme uz institūcijām</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1.</w:t>
            </w:r>
          </w:p>
        </w:tc>
        <w:tc>
          <w:tcPr>
            <w:tcW w:w="1479" w:type="pct"/>
            <w:hideMark/>
          </w:tcPr>
          <w:p w:rsidR="003530C3" w:rsidRPr="004A5D7E" w:rsidRDefault="003530C3" w:rsidP="007E7995">
            <w:pPr>
              <w:rPr>
                <w:sz w:val="26"/>
                <w:szCs w:val="26"/>
              </w:rPr>
            </w:pPr>
            <w:r w:rsidRPr="004A5D7E">
              <w:rPr>
                <w:sz w:val="26"/>
                <w:szCs w:val="26"/>
              </w:rPr>
              <w:t>Projekta izpildē iesaistītās institūcijas</w:t>
            </w:r>
          </w:p>
        </w:tc>
        <w:tc>
          <w:tcPr>
            <w:tcW w:w="3210" w:type="pct"/>
            <w:hideMark/>
          </w:tcPr>
          <w:p w:rsidR="004B1D1D" w:rsidRPr="004A5D7E" w:rsidRDefault="00CC1E1E" w:rsidP="007B1997">
            <w:pPr>
              <w:jc w:val="both"/>
              <w:rPr>
                <w:sz w:val="26"/>
                <w:szCs w:val="26"/>
              </w:rPr>
            </w:pPr>
            <w:r w:rsidRPr="004A5D7E">
              <w:rPr>
                <w:sz w:val="26"/>
                <w:szCs w:val="26"/>
              </w:rPr>
              <w:t>Valsts policija</w:t>
            </w:r>
            <w:r w:rsidR="004B1D1D" w:rsidRPr="004A5D7E">
              <w:rPr>
                <w:sz w:val="26"/>
                <w:szCs w:val="26"/>
              </w:rPr>
              <w:t>, vietējā pašvaldība, kā arī citas institūcijas savas kompetences ietvaros.</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2.</w:t>
            </w:r>
          </w:p>
        </w:tc>
        <w:tc>
          <w:tcPr>
            <w:tcW w:w="1479" w:type="pct"/>
            <w:hideMark/>
          </w:tcPr>
          <w:p w:rsidR="003530C3" w:rsidRPr="004A5D7E" w:rsidRDefault="003530C3" w:rsidP="007E7995">
            <w:pPr>
              <w:rPr>
                <w:sz w:val="26"/>
                <w:szCs w:val="26"/>
              </w:rPr>
            </w:pPr>
            <w:r w:rsidRPr="004A5D7E">
              <w:rPr>
                <w:sz w:val="26"/>
                <w:szCs w:val="26"/>
              </w:rPr>
              <w:t>Projekta izpildes ietekme uz pārvaldes funkcijām un institucionālo struktūru.</w:t>
            </w:r>
            <w:r w:rsidRPr="004A5D7E">
              <w:rPr>
                <w:sz w:val="26"/>
                <w:szCs w:val="26"/>
              </w:rPr>
              <w:br/>
              <w:t>Jaunu institūciju izveide, esošu institūciju likvidācija vai reorganizācija, to ietekme uz institūcijas cilvēkresursiem</w:t>
            </w:r>
          </w:p>
        </w:tc>
        <w:tc>
          <w:tcPr>
            <w:tcW w:w="3210" w:type="pct"/>
            <w:hideMark/>
          </w:tcPr>
          <w:p w:rsidR="003530C3" w:rsidRPr="004A5D7E" w:rsidRDefault="006F41F3" w:rsidP="007E7995">
            <w:pPr>
              <w:jc w:val="both"/>
              <w:rPr>
                <w:sz w:val="26"/>
                <w:szCs w:val="26"/>
              </w:rPr>
            </w:pPr>
            <w:r w:rsidRPr="004A5D7E">
              <w:rPr>
                <w:sz w:val="26"/>
                <w:szCs w:val="26"/>
              </w:rPr>
              <w:t>Projekta izpildes rezultātā nav paredzēta esošu institūciju likvidācija vai reorganizācija. Iestāžu institucionālā struktūra netiek ietekmēta, papildus cilvēkresursi nav nepieciešami.</w:t>
            </w:r>
          </w:p>
        </w:tc>
      </w:tr>
      <w:tr w:rsidR="003530C3" w:rsidRPr="004A5D7E" w:rsidTr="007E7995">
        <w:trPr>
          <w:cantSplit/>
        </w:trPr>
        <w:tc>
          <w:tcPr>
            <w:tcW w:w="311" w:type="pct"/>
            <w:hideMark/>
          </w:tcPr>
          <w:p w:rsidR="003530C3" w:rsidRPr="004A5D7E" w:rsidRDefault="003530C3" w:rsidP="007E7995">
            <w:pPr>
              <w:jc w:val="center"/>
              <w:rPr>
                <w:sz w:val="26"/>
                <w:szCs w:val="26"/>
              </w:rPr>
            </w:pPr>
            <w:r w:rsidRPr="004A5D7E">
              <w:rPr>
                <w:sz w:val="26"/>
                <w:szCs w:val="26"/>
              </w:rPr>
              <w:t>3.</w:t>
            </w:r>
          </w:p>
        </w:tc>
        <w:tc>
          <w:tcPr>
            <w:tcW w:w="1479" w:type="pct"/>
            <w:hideMark/>
          </w:tcPr>
          <w:p w:rsidR="003530C3" w:rsidRPr="004A5D7E" w:rsidRDefault="003530C3" w:rsidP="007E7995">
            <w:pPr>
              <w:rPr>
                <w:sz w:val="26"/>
                <w:szCs w:val="26"/>
              </w:rPr>
            </w:pPr>
            <w:r w:rsidRPr="004A5D7E">
              <w:rPr>
                <w:sz w:val="26"/>
                <w:szCs w:val="26"/>
              </w:rPr>
              <w:t>Cita informācija</w:t>
            </w:r>
          </w:p>
        </w:tc>
        <w:tc>
          <w:tcPr>
            <w:tcW w:w="3210" w:type="pct"/>
            <w:hideMark/>
          </w:tcPr>
          <w:p w:rsidR="003530C3" w:rsidRPr="004A5D7E" w:rsidRDefault="003530C3" w:rsidP="007E7995">
            <w:pPr>
              <w:rPr>
                <w:sz w:val="26"/>
                <w:szCs w:val="26"/>
              </w:rPr>
            </w:pPr>
            <w:r w:rsidRPr="004A5D7E">
              <w:rPr>
                <w:sz w:val="26"/>
                <w:szCs w:val="26"/>
              </w:rPr>
              <w:t>Nav.</w:t>
            </w:r>
          </w:p>
        </w:tc>
      </w:tr>
    </w:tbl>
    <w:p w:rsidR="003530C3" w:rsidRPr="004A5D7E" w:rsidRDefault="003530C3" w:rsidP="003530C3">
      <w:pPr>
        <w:rPr>
          <w:sz w:val="26"/>
          <w:szCs w:val="26"/>
        </w:rPr>
      </w:pPr>
    </w:p>
    <w:p w:rsidR="003530C3" w:rsidRPr="004A5D7E" w:rsidRDefault="003530C3" w:rsidP="003530C3">
      <w:pPr>
        <w:tabs>
          <w:tab w:val="left" w:pos="6521"/>
        </w:tabs>
        <w:jc w:val="both"/>
        <w:rPr>
          <w:sz w:val="26"/>
          <w:szCs w:val="26"/>
        </w:rPr>
      </w:pPr>
    </w:p>
    <w:p w:rsidR="003530C3" w:rsidRPr="004A5D7E" w:rsidRDefault="006F41F3" w:rsidP="003530C3">
      <w:pPr>
        <w:tabs>
          <w:tab w:val="left" w:pos="6521"/>
        </w:tabs>
        <w:jc w:val="both"/>
        <w:rPr>
          <w:sz w:val="26"/>
          <w:szCs w:val="26"/>
        </w:rPr>
      </w:pPr>
      <w:r w:rsidRPr="004A5D7E">
        <w:rPr>
          <w:sz w:val="26"/>
          <w:szCs w:val="26"/>
        </w:rPr>
        <w:t>Iekšlietu ministrs</w:t>
      </w:r>
      <w:r w:rsidRPr="004A5D7E">
        <w:rPr>
          <w:sz w:val="26"/>
          <w:szCs w:val="26"/>
        </w:rPr>
        <w:tab/>
        <w:t xml:space="preserve">Sandis </w:t>
      </w:r>
      <w:proofErr w:type="spellStart"/>
      <w:r w:rsidRPr="004A5D7E">
        <w:rPr>
          <w:sz w:val="26"/>
          <w:szCs w:val="26"/>
        </w:rPr>
        <w:t>Ģirģens</w:t>
      </w:r>
      <w:proofErr w:type="spellEnd"/>
    </w:p>
    <w:p w:rsidR="003530C3" w:rsidRPr="004A5D7E" w:rsidRDefault="003530C3" w:rsidP="003530C3">
      <w:pPr>
        <w:pStyle w:val="naisf"/>
        <w:rPr>
          <w:sz w:val="26"/>
          <w:szCs w:val="26"/>
        </w:rPr>
      </w:pPr>
    </w:p>
    <w:p w:rsidR="006606C1" w:rsidRPr="004A5D7E" w:rsidRDefault="006606C1" w:rsidP="003530C3">
      <w:pPr>
        <w:pStyle w:val="naisf"/>
        <w:rPr>
          <w:sz w:val="26"/>
          <w:szCs w:val="26"/>
        </w:rPr>
      </w:pPr>
    </w:p>
    <w:p w:rsidR="003530C3" w:rsidRPr="004A5D7E" w:rsidRDefault="00315698" w:rsidP="003530C3">
      <w:pPr>
        <w:pStyle w:val="naisf"/>
        <w:rPr>
          <w:sz w:val="26"/>
          <w:szCs w:val="26"/>
        </w:rPr>
      </w:pPr>
      <w:r w:rsidRPr="004A5D7E">
        <w:rPr>
          <w:sz w:val="26"/>
          <w:szCs w:val="26"/>
        </w:rPr>
        <w:t>Vīza: valsts sekretārs</w:t>
      </w:r>
      <w:r w:rsidRPr="004A5D7E">
        <w:rPr>
          <w:sz w:val="26"/>
          <w:szCs w:val="26"/>
        </w:rPr>
        <w:tab/>
      </w:r>
      <w:r w:rsidRPr="004A5D7E">
        <w:rPr>
          <w:sz w:val="26"/>
          <w:szCs w:val="26"/>
        </w:rPr>
        <w:tab/>
      </w:r>
      <w:r w:rsidRPr="004A5D7E">
        <w:rPr>
          <w:sz w:val="26"/>
          <w:szCs w:val="26"/>
        </w:rPr>
        <w:tab/>
      </w:r>
      <w:proofErr w:type="gramStart"/>
      <w:r w:rsidRPr="004A5D7E">
        <w:rPr>
          <w:sz w:val="26"/>
          <w:szCs w:val="26"/>
        </w:rPr>
        <w:t xml:space="preserve">  </w:t>
      </w:r>
      <w:proofErr w:type="gramEnd"/>
      <w:r w:rsidRPr="004A5D7E">
        <w:rPr>
          <w:sz w:val="26"/>
          <w:szCs w:val="26"/>
        </w:rPr>
        <w:tab/>
      </w:r>
      <w:r w:rsidRPr="004A5D7E">
        <w:rPr>
          <w:sz w:val="26"/>
          <w:szCs w:val="26"/>
        </w:rPr>
        <w:tab/>
      </w:r>
      <w:r w:rsidRPr="004A5D7E">
        <w:rPr>
          <w:sz w:val="26"/>
          <w:szCs w:val="26"/>
        </w:rPr>
        <w:tab/>
      </w:r>
      <w:proofErr w:type="spellStart"/>
      <w:r w:rsidR="001502EF" w:rsidRPr="004A5D7E">
        <w:rPr>
          <w:sz w:val="26"/>
          <w:szCs w:val="26"/>
        </w:rPr>
        <w:t>Dimitrijs</w:t>
      </w:r>
      <w:proofErr w:type="spellEnd"/>
      <w:r w:rsidR="001502EF" w:rsidRPr="004A5D7E">
        <w:rPr>
          <w:sz w:val="26"/>
          <w:szCs w:val="26"/>
        </w:rPr>
        <w:t xml:space="preserve"> </w:t>
      </w:r>
      <w:proofErr w:type="spellStart"/>
      <w:r w:rsidR="003530C3" w:rsidRPr="004A5D7E">
        <w:rPr>
          <w:sz w:val="26"/>
          <w:szCs w:val="26"/>
        </w:rPr>
        <w:t>Trofimovs</w:t>
      </w:r>
      <w:proofErr w:type="spellEnd"/>
    </w:p>
    <w:p w:rsidR="007B1997" w:rsidRDefault="007B1997" w:rsidP="003530C3">
      <w:pPr>
        <w:rPr>
          <w:sz w:val="20"/>
          <w:szCs w:val="20"/>
        </w:rPr>
      </w:pPr>
    </w:p>
    <w:p w:rsidR="007B1997" w:rsidRPr="008110BC" w:rsidRDefault="007B1997" w:rsidP="003530C3">
      <w:pPr>
        <w:rPr>
          <w:sz w:val="16"/>
          <w:szCs w:val="16"/>
        </w:rPr>
      </w:pPr>
    </w:p>
    <w:p w:rsidR="003530C3" w:rsidRPr="008110BC" w:rsidRDefault="00073DB0" w:rsidP="003530C3">
      <w:pPr>
        <w:rPr>
          <w:sz w:val="16"/>
          <w:szCs w:val="16"/>
        </w:rPr>
      </w:pPr>
      <w:r w:rsidRPr="008110BC">
        <w:rPr>
          <w:sz w:val="16"/>
          <w:szCs w:val="16"/>
        </w:rPr>
        <w:t>A.Melkers</w:t>
      </w:r>
      <w:r w:rsidR="00A26071" w:rsidRPr="008110BC">
        <w:rPr>
          <w:sz w:val="16"/>
          <w:szCs w:val="16"/>
        </w:rPr>
        <w:t>, 67208</w:t>
      </w:r>
      <w:r w:rsidRPr="008110BC">
        <w:rPr>
          <w:sz w:val="16"/>
          <w:szCs w:val="16"/>
        </w:rPr>
        <w:t>232</w:t>
      </w:r>
    </w:p>
    <w:p w:rsidR="00E04BDC" w:rsidRPr="008110BC" w:rsidRDefault="000F22CB" w:rsidP="008110BC">
      <w:pPr>
        <w:rPr>
          <w:sz w:val="16"/>
          <w:szCs w:val="16"/>
        </w:rPr>
      </w:pPr>
      <w:hyperlink r:id="rId11" w:history="1">
        <w:r w:rsidR="00073DB0" w:rsidRPr="008110BC">
          <w:rPr>
            <w:rStyle w:val="Hyperlink"/>
            <w:sz w:val="16"/>
            <w:szCs w:val="16"/>
          </w:rPr>
          <w:t>andris.melkers@vp.gov.lv</w:t>
        </w:r>
      </w:hyperlink>
      <w:r w:rsidR="00094774">
        <w:rPr>
          <w:sz w:val="20"/>
          <w:szCs w:val="20"/>
        </w:rPr>
        <w:tab/>
      </w:r>
    </w:p>
    <w:sectPr w:rsidR="00E04BDC" w:rsidRPr="008110BC" w:rsidSect="007E7995">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CB" w:rsidRDefault="000F22CB" w:rsidP="00576B88">
      <w:r>
        <w:separator/>
      </w:r>
    </w:p>
  </w:endnote>
  <w:endnote w:type="continuationSeparator" w:id="0">
    <w:p w:rsidR="000F22CB" w:rsidRDefault="000F22CB"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CC" w:rsidRDefault="000B47CC" w:rsidP="00B364B5">
    <w:pPr>
      <w:pStyle w:val="Footer"/>
      <w:jc w:val="both"/>
    </w:pPr>
    <w:r>
      <w:rPr>
        <w:sz w:val="20"/>
        <w:szCs w:val="20"/>
      </w:rPr>
      <w:t>IEMan</w:t>
    </w:r>
    <w:r w:rsidRPr="003E0172">
      <w:rPr>
        <w:sz w:val="20"/>
        <w:szCs w:val="20"/>
      </w:rPr>
      <w:t>ot_</w:t>
    </w:r>
    <w:r>
      <w:rPr>
        <w:sz w:val="20"/>
        <w:szCs w:val="20"/>
      </w:rPr>
      <w:t>280520</w:t>
    </w:r>
    <w:r w:rsidRPr="003E0172">
      <w:rPr>
        <w:sz w:val="20"/>
        <w:szCs w:val="20"/>
      </w:rPr>
      <w:t>_</w:t>
    </w:r>
    <w:r>
      <w:rPr>
        <w:sz w:val="20"/>
        <w:szCs w:val="20"/>
      </w:rPr>
      <w:t>sautuves</w:t>
    </w:r>
  </w:p>
  <w:p w:rsidR="000B47CC" w:rsidRPr="00B364B5" w:rsidRDefault="000B47CC" w:rsidP="00B36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CC" w:rsidRDefault="000B47CC" w:rsidP="007E7995">
    <w:pPr>
      <w:pStyle w:val="Footer"/>
      <w:jc w:val="both"/>
    </w:pPr>
    <w:r>
      <w:rPr>
        <w:sz w:val="20"/>
        <w:szCs w:val="20"/>
      </w:rPr>
      <w:t>IEMan</w:t>
    </w:r>
    <w:r w:rsidRPr="003E0172">
      <w:rPr>
        <w:sz w:val="20"/>
        <w:szCs w:val="20"/>
      </w:rPr>
      <w:t>ot_</w:t>
    </w:r>
    <w:r>
      <w:rPr>
        <w:sz w:val="20"/>
        <w:szCs w:val="20"/>
      </w:rPr>
      <w:t>280520</w:t>
    </w:r>
    <w:r w:rsidRPr="003E0172">
      <w:rPr>
        <w:sz w:val="20"/>
        <w:szCs w:val="20"/>
      </w:rPr>
      <w:t>_</w:t>
    </w:r>
    <w:r>
      <w:rPr>
        <w:sz w:val="20"/>
        <w:szCs w:val="20"/>
      </w:rPr>
      <w:t>sautuves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CB" w:rsidRDefault="000F22CB" w:rsidP="00576B88">
      <w:r>
        <w:separator/>
      </w:r>
    </w:p>
  </w:footnote>
  <w:footnote w:type="continuationSeparator" w:id="0">
    <w:p w:rsidR="000F22CB" w:rsidRDefault="000F22CB"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0B47CC" w:rsidRDefault="000B47CC">
        <w:pPr>
          <w:pStyle w:val="Header"/>
          <w:jc w:val="center"/>
        </w:pPr>
        <w:r>
          <w:fldChar w:fldCharType="begin"/>
        </w:r>
        <w:r>
          <w:instrText xml:space="preserve"> PAGE   \* MERGEFORMAT </w:instrText>
        </w:r>
        <w:r>
          <w:fldChar w:fldCharType="separate"/>
        </w:r>
        <w:r w:rsidR="00FC5955">
          <w:rPr>
            <w:noProof/>
          </w:rPr>
          <w:t>9</w:t>
        </w:r>
        <w:r>
          <w:rPr>
            <w:noProof/>
          </w:rPr>
          <w:fldChar w:fldCharType="end"/>
        </w:r>
      </w:p>
    </w:sdtContent>
  </w:sdt>
  <w:p w:rsidR="000B47CC" w:rsidRDefault="000B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D27"/>
    <w:multiLevelType w:val="multilevel"/>
    <w:tmpl w:val="273437DE"/>
    <w:lvl w:ilvl="0">
      <w:start w:val="1"/>
      <w:numFmt w:val="decimal"/>
      <w:lvlText w:val="%1."/>
      <w:lvlJc w:val="left"/>
      <w:pPr>
        <w:ind w:left="1070" w:hanging="360"/>
      </w:pPr>
    </w:lvl>
    <w:lvl w:ilvl="1">
      <w:start w:val="1"/>
      <w:numFmt w:val="decimal"/>
      <w:isLgl/>
      <w:lvlText w:val="%1.%2."/>
      <w:lvlJc w:val="left"/>
      <w:pPr>
        <w:ind w:left="6628" w:hanging="39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11D97"/>
    <w:rsid w:val="000153A7"/>
    <w:rsid w:val="000213F8"/>
    <w:rsid w:val="0003069D"/>
    <w:rsid w:val="000359A0"/>
    <w:rsid w:val="000372E7"/>
    <w:rsid w:val="000415B0"/>
    <w:rsid w:val="00043A6B"/>
    <w:rsid w:val="00060D2F"/>
    <w:rsid w:val="00073DB0"/>
    <w:rsid w:val="00082BA0"/>
    <w:rsid w:val="00084B45"/>
    <w:rsid w:val="0008796D"/>
    <w:rsid w:val="000912BB"/>
    <w:rsid w:val="00094774"/>
    <w:rsid w:val="000A0B42"/>
    <w:rsid w:val="000A733A"/>
    <w:rsid w:val="000B11B2"/>
    <w:rsid w:val="000B15DA"/>
    <w:rsid w:val="000B47CC"/>
    <w:rsid w:val="000C1335"/>
    <w:rsid w:val="000C67C1"/>
    <w:rsid w:val="000D1F33"/>
    <w:rsid w:val="000E5285"/>
    <w:rsid w:val="000F22CB"/>
    <w:rsid w:val="000F38ED"/>
    <w:rsid w:val="000F6620"/>
    <w:rsid w:val="00100D3E"/>
    <w:rsid w:val="0010225D"/>
    <w:rsid w:val="00107BC6"/>
    <w:rsid w:val="00110949"/>
    <w:rsid w:val="00116E55"/>
    <w:rsid w:val="00117044"/>
    <w:rsid w:val="0014339B"/>
    <w:rsid w:val="00143C46"/>
    <w:rsid w:val="0014609C"/>
    <w:rsid w:val="001502EF"/>
    <w:rsid w:val="001523ED"/>
    <w:rsid w:val="0015284C"/>
    <w:rsid w:val="00152ED1"/>
    <w:rsid w:val="00156E01"/>
    <w:rsid w:val="001836E9"/>
    <w:rsid w:val="00184889"/>
    <w:rsid w:val="001A249F"/>
    <w:rsid w:val="001A5CB2"/>
    <w:rsid w:val="001A6D8E"/>
    <w:rsid w:val="001B1B4C"/>
    <w:rsid w:val="001C3B57"/>
    <w:rsid w:val="001C6364"/>
    <w:rsid w:val="001D072D"/>
    <w:rsid w:val="001D116E"/>
    <w:rsid w:val="001D19CC"/>
    <w:rsid w:val="001D5F6A"/>
    <w:rsid w:val="001E1778"/>
    <w:rsid w:val="001E7363"/>
    <w:rsid w:val="001E763F"/>
    <w:rsid w:val="001F21D3"/>
    <w:rsid w:val="0021400A"/>
    <w:rsid w:val="00215EA9"/>
    <w:rsid w:val="00216767"/>
    <w:rsid w:val="00217B17"/>
    <w:rsid w:val="00221838"/>
    <w:rsid w:val="002250CA"/>
    <w:rsid w:val="00226917"/>
    <w:rsid w:val="00230570"/>
    <w:rsid w:val="002418FE"/>
    <w:rsid w:val="00244D40"/>
    <w:rsid w:val="00254913"/>
    <w:rsid w:val="00257AF1"/>
    <w:rsid w:val="0026102B"/>
    <w:rsid w:val="00264B3E"/>
    <w:rsid w:val="0026658A"/>
    <w:rsid w:val="00266E6B"/>
    <w:rsid w:val="00267F40"/>
    <w:rsid w:val="00281088"/>
    <w:rsid w:val="0028174F"/>
    <w:rsid w:val="0029250C"/>
    <w:rsid w:val="00296834"/>
    <w:rsid w:val="002A4BD7"/>
    <w:rsid w:val="002A5887"/>
    <w:rsid w:val="002B5E12"/>
    <w:rsid w:val="002D0316"/>
    <w:rsid w:val="002D7195"/>
    <w:rsid w:val="002D7B1A"/>
    <w:rsid w:val="002F17F7"/>
    <w:rsid w:val="002F38DE"/>
    <w:rsid w:val="00302D52"/>
    <w:rsid w:val="003068B1"/>
    <w:rsid w:val="003100E5"/>
    <w:rsid w:val="003120D8"/>
    <w:rsid w:val="00315698"/>
    <w:rsid w:val="0032121B"/>
    <w:rsid w:val="0032195B"/>
    <w:rsid w:val="00332D38"/>
    <w:rsid w:val="00337F54"/>
    <w:rsid w:val="003530C3"/>
    <w:rsid w:val="003564CC"/>
    <w:rsid w:val="0035754F"/>
    <w:rsid w:val="00360295"/>
    <w:rsid w:val="003608C6"/>
    <w:rsid w:val="00360D17"/>
    <w:rsid w:val="00371F57"/>
    <w:rsid w:val="003814F5"/>
    <w:rsid w:val="00394466"/>
    <w:rsid w:val="0039665A"/>
    <w:rsid w:val="003A7C6B"/>
    <w:rsid w:val="003B021F"/>
    <w:rsid w:val="003C403F"/>
    <w:rsid w:val="003C651B"/>
    <w:rsid w:val="003D2666"/>
    <w:rsid w:val="003D53A2"/>
    <w:rsid w:val="003D5891"/>
    <w:rsid w:val="003D6F31"/>
    <w:rsid w:val="003F54CC"/>
    <w:rsid w:val="003F70FA"/>
    <w:rsid w:val="00416674"/>
    <w:rsid w:val="0041782F"/>
    <w:rsid w:val="00427EDE"/>
    <w:rsid w:val="00430376"/>
    <w:rsid w:val="00433BC7"/>
    <w:rsid w:val="00443C03"/>
    <w:rsid w:val="004474C3"/>
    <w:rsid w:val="00447B58"/>
    <w:rsid w:val="00466BE7"/>
    <w:rsid w:val="00480FC1"/>
    <w:rsid w:val="00486839"/>
    <w:rsid w:val="0049384A"/>
    <w:rsid w:val="004A0464"/>
    <w:rsid w:val="004A47E1"/>
    <w:rsid w:val="004A5D7E"/>
    <w:rsid w:val="004B1D1D"/>
    <w:rsid w:val="004B67EA"/>
    <w:rsid w:val="004C31F8"/>
    <w:rsid w:val="0050628F"/>
    <w:rsid w:val="005069D3"/>
    <w:rsid w:val="00506B7D"/>
    <w:rsid w:val="005138A2"/>
    <w:rsid w:val="00513D24"/>
    <w:rsid w:val="005222E8"/>
    <w:rsid w:val="005323A4"/>
    <w:rsid w:val="005328AE"/>
    <w:rsid w:val="0053559A"/>
    <w:rsid w:val="00551E8D"/>
    <w:rsid w:val="00560F3B"/>
    <w:rsid w:val="00564A43"/>
    <w:rsid w:val="005654F9"/>
    <w:rsid w:val="00576B88"/>
    <w:rsid w:val="00577E5F"/>
    <w:rsid w:val="005833EF"/>
    <w:rsid w:val="00586E96"/>
    <w:rsid w:val="00590240"/>
    <w:rsid w:val="005933F0"/>
    <w:rsid w:val="00595FA2"/>
    <w:rsid w:val="005A1C6F"/>
    <w:rsid w:val="005A2A6D"/>
    <w:rsid w:val="005B03F1"/>
    <w:rsid w:val="005B264C"/>
    <w:rsid w:val="005B5578"/>
    <w:rsid w:val="005B59F4"/>
    <w:rsid w:val="005C064D"/>
    <w:rsid w:val="005C156D"/>
    <w:rsid w:val="005C722A"/>
    <w:rsid w:val="005C72DC"/>
    <w:rsid w:val="005F2FB4"/>
    <w:rsid w:val="005F576A"/>
    <w:rsid w:val="00615FAB"/>
    <w:rsid w:val="006238E5"/>
    <w:rsid w:val="00623E07"/>
    <w:rsid w:val="00625BCC"/>
    <w:rsid w:val="00625BE6"/>
    <w:rsid w:val="00627960"/>
    <w:rsid w:val="0063369C"/>
    <w:rsid w:val="00636BB3"/>
    <w:rsid w:val="00644FD2"/>
    <w:rsid w:val="00645C90"/>
    <w:rsid w:val="006466FA"/>
    <w:rsid w:val="00657815"/>
    <w:rsid w:val="006606C1"/>
    <w:rsid w:val="006644B6"/>
    <w:rsid w:val="00664737"/>
    <w:rsid w:val="00670B10"/>
    <w:rsid w:val="00675F39"/>
    <w:rsid w:val="00695E90"/>
    <w:rsid w:val="006B0E42"/>
    <w:rsid w:val="006B57F4"/>
    <w:rsid w:val="006B6EB2"/>
    <w:rsid w:val="006C12FD"/>
    <w:rsid w:val="006C2F54"/>
    <w:rsid w:val="006C3AFA"/>
    <w:rsid w:val="006C438E"/>
    <w:rsid w:val="006C48E9"/>
    <w:rsid w:val="006C7661"/>
    <w:rsid w:val="006D0880"/>
    <w:rsid w:val="006E0166"/>
    <w:rsid w:val="006E030D"/>
    <w:rsid w:val="006E41E7"/>
    <w:rsid w:val="006F1A20"/>
    <w:rsid w:val="006F41F3"/>
    <w:rsid w:val="006F5A80"/>
    <w:rsid w:val="006F7E00"/>
    <w:rsid w:val="00704736"/>
    <w:rsid w:val="007145F9"/>
    <w:rsid w:val="00743DD9"/>
    <w:rsid w:val="00745C3D"/>
    <w:rsid w:val="007578A6"/>
    <w:rsid w:val="00760A00"/>
    <w:rsid w:val="007736B4"/>
    <w:rsid w:val="00777C79"/>
    <w:rsid w:val="00783693"/>
    <w:rsid w:val="0079518E"/>
    <w:rsid w:val="007A6329"/>
    <w:rsid w:val="007A7E6D"/>
    <w:rsid w:val="007B1997"/>
    <w:rsid w:val="007B4DD0"/>
    <w:rsid w:val="007B75FA"/>
    <w:rsid w:val="007B7991"/>
    <w:rsid w:val="007C3E8F"/>
    <w:rsid w:val="007C731F"/>
    <w:rsid w:val="007D5AEE"/>
    <w:rsid w:val="007D7422"/>
    <w:rsid w:val="007D7817"/>
    <w:rsid w:val="007E5B9B"/>
    <w:rsid w:val="007E7008"/>
    <w:rsid w:val="007E7995"/>
    <w:rsid w:val="0080512D"/>
    <w:rsid w:val="008059DA"/>
    <w:rsid w:val="008110BC"/>
    <w:rsid w:val="008166A1"/>
    <w:rsid w:val="00825BD7"/>
    <w:rsid w:val="008315F3"/>
    <w:rsid w:val="00850F70"/>
    <w:rsid w:val="008539A0"/>
    <w:rsid w:val="008605BB"/>
    <w:rsid w:val="00866081"/>
    <w:rsid w:val="008707C6"/>
    <w:rsid w:val="00875C0F"/>
    <w:rsid w:val="00881D34"/>
    <w:rsid w:val="00896738"/>
    <w:rsid w:val="00897380"/>
    <w:rsid w:val="008A65C6"/>
    <w:rsid w:val="008B11B7"/>
    <w:rsid w:val="008B2B89"/>
    <w:rsid w:val="008B40C9"/>
    <w:rsid w:val="008C3BE4"/>
    <w:rsid w:val="008C6208"/>
    <w:rsid w:val="008C6B6F"/>
    <w:rsid w:val="008D3EC2"/>
    <w:rsid w:val="008D528D"/>
    <w:rsid w:val="008E38F9"/>
    <w:rsid w:val="008E7E69"/>
    <w:rsid w:val="008F1AD8"/>
    <w:rsid w:val="0091241C"/>
    <w:rsid w:val="00921006"/>
    <w:rsid w:val="009232B6"/>
    <w:rsid w:val="009266A5"/>
    <w:rsid w:val="00933470"/>
    <w:rsid w:val="00934F79"/>
    <w:rsid w:val="00943FC6"/>
    <w:rsid w:val="00945A15"/>
    <w:rsid w:val="00945A2D"/>
    <w:rsid w:val="00965A77"/>
    <w:rsid w:val="00965FAF"/>
    <w:rsid w:val="00975589"/>
    <w:rsid w:val="00975AA4"/>
    <w:rsid w:val="0097776B"/>
    <w:rsid w:val="00984B56"/>
    <w:rsid w:val="009851D4"/>
    <w:rsid w:val="00987B6E"/>
    <w:rsid w:val="00994913"/>
    <w:rsid w:val="009954DE"/>
    <w:rsid w:val="009A523E"/>
    <w:rsid w:val="009B1A4E"/>
    <w:rsid w:val="009C0078"/>
    <w:rsid w:val="009C0202"/>
    <w:rsid w:val="009C1923"/>
    <w:rsid w:val="009D0D63"/>
    <w:rsid w:val="009D126D"/>
    <w:rsid w:val="009E799C"/>
    <w:rsid w:val="009F43A6"/>
    <w:rsid w:val="009F5ACA"/>
    <w:rsid w:val="009F738C"/>
    <w:rsid w:val="00A02688"/>
    <w:rsid w:val="00A14244"/>
    <w:rsid w:val="00A15979"/>
    <w:rsid w:val="00A15C31"/>
    <w:rsid w:val="00A176B0"/>
    <w:rsid w:val="00A26071"/>
    <w:rsid w:val="00A32E24"/>
    <w:rsid w:val="00A34D6B"/>
    <w:rsid w:val="00A40FB5"/>
    <w:rsid w:val="00A515D2"/>
    <w:rsid w:val="00A518AE"/>
    <w:rsid w:val="00A640C2"/>
    <w:rsid w:val="00A675CA"/>
    <w:rsid w:val="00A96ACF"/>
    <w:rsid w:val="00AA652F"/>
    <w:rsid w:val="00AC0319"/>
    <w:rsid w:val="00AC2EE5"/>
    <w:rsid w:val="00AD3E3F"/>
    <w:rsid w:val="00AD6ACE"/>
    <w:rsid w:val="00AE76CF"/>
    <w:rsid w:val="00AF3168"/>
    <w:rsid w:val="00B0797A"/>
    <w:rsid w:val="00B167D2"/>
    <w:rsid w:val="00B364B5"/>
    <w:rsid w:val="00B3679B"/>
    <w:rsid w:val="00B402F6"/>
    <w:rsid w:val="00B41F71"/>
    <w:rsid w:val="00B5091E"/>
    <w:rsid w:val="00B5199E"/>
    <w:rsid w:val="00B55935"/>
    <w:rsid w:val="00B62ADF"/>
    <w:rsid w:val="00B82DFC"/>
    <w:rsid w:val="00B86FAB"/>
    <w:rsid w:val="00B95A9F"/>
    <w:rsid w:val="00B966A3"/>
    <w:rsid w:val="00BB3345"/>
    <w:rsid w:val="00BB39F6"/>
    <w:rsid w:val="00BC1146"/>
    <w:rsid w:val="00BC56C7"/>
    <w:rsid w:val="00BD12C0"/>
    <w:rsid w:val="00BD7302"/>
    <w:rsid w:val="00BE1C82"/>
    <w:rsid w:val="00BF34AA"/>
    <w:rsid w:val="00BF3DF9"/>
    <w:rsid w:val="00BF6B13"/>
    <w:rsid w:val="00BF6E4C"/>
    <w:rsid w:val="00C30C81"/>
    <w:rsid w:val="00C3320C"/>
    <w:rsid w:val="00C343D3"/>
    <w:rsid w:val="00C4059B"/>
    <w:rsid w:val="00C40F7F"/>
    <w:rsid w:val="00C45F55"/>
    <w:rsid w:val="00C4635A"/>
    <w:rsid w:val="00C600EE"/>
    <w:rsid w:val="00C61C0E"/>
    <w:rsid w:val="00C70874"/>
    <w:rsid w:val="00C728E2"/>
    <w:rsid w:val="00C75180"/>
    <w:rsid w:val="00C80DC6"/>
    <w:rsid w:val="00C86D78"/>
    <w:rsid w:val="00C94AD4"/>
    <w:rsid w:val="00C94E18"/>
    <w:rsid w:val="00CA374F"/>
    <w:rsid w:val="00CB49FC"/>
    <w:rsid w:val="00CB722D"/>
    <w:rsid w:val="00CC1E1E"/>
    <w:rsid w:val="00CC503B"/>
    <w:rsid w:val="00CE5539"/>
    <w:rsid w:val="00CF447D"/>
    <w:rsid w:val="00D00250"/>
    <w:rsid w:val="00D003D6"/>
    <w:rsid w:val="00D00DD2"/>
    <w:rsid w:val="00D019EF"/>
    <w:rsid w:val="00D15690"/>
    <w:rsid w:val="00D17939"/>
    <w:rsid w:val="00D21E8C"/>
    <w:rsid w:val="00D230F7"/>
    <w:rsid w:val="00D546C4"/>
    <w:rsid w:val="00D7197A"/>
    <w:rsid w:val="00D71A2C"/>
    <w:rsid w:val="00D8036C"/>
    <w:rsid w:val="00D92F62"/>
    <w:rsid w:val="00D95861"/>
    <w:rsid w:val="00D975F8"/>
    <w:rsid w:val="00DA11B3"/>
    <w:rsid w:val="00DB7D1A"/>
    <w:rsid w:val="00DC10DD"/>
    <w:rsid w:val="00DC6A62"/>
    <w:rsid w:val="00DD1ECC"/>
    <w:rsid w:val="00DD33F5"/>
    <w:rsid w:val="00DD6EFD"/>
    <w:rsid w:val="00DE3F76"/>
    <w:rsid w:val="00DE5E39"/>
    <w:rsid w:val="00DF583A"/>
    <w:rsid w:val="00DF6EC0"/>
    <w:rsid w:val="00E04BDC"/>
    <w:rsid w:val="00E0679B"/>
    <w:rsid w:val="00E06846"/>
    <w:rsid w:val="00E07561"/>
    <w:rsid w:val="00E13E72"/>
    <w:rsid w:val="00E15674"/>
    <w:rsid w:val="00E2001A"/>
    <w:rsid w:val="00E2582E"/>
    <w:rsid w:val="00E35440"/>
    <w:rsid w:val="00E50754"/>
    <w:rsid w:val="00E507F6"/>
    <w:rsid w:val="00E51CE3"/>
    <w:rsid w:val="00E65669"/>
    <w:rsid w:val="00E65DE2"/>
    <w:rsid w:val="00E67441"/>
    <w:rsid w:val="00EA4D86"/>
    <w:rsid w:val="00EA6146"/>
    <w:rsid w:val="00EC0B22"/>
    <w:rsid w:val="00EC5595"/>
    <w:rsid w:val="00ED097C"/>
    <w:rsid w:val="00ED1D23"/>
    <w:rsid w:val="00ED25B9"/>
    <w:rsid w:val="00ED5571"/>
    <w:rsid w:val="00EE160B"/>
    <w:rsid w:val="00EE2C39"/>
    <w:rsid w:val="00F01B4E"/>
    <w:rsid w:val="00F04445"/>
    <w:rsid w:val="00F11E63"/>
    <w:rsid w:val="00F17C30"/>
    <w:rsid w:val="00F226F0"/>
    <w:rsid w:val="00F23A58"/>
    <w:rsid w:val="00F2434C"/>
    <w:rsid w:val="00F304D5"/>
    <w:rsid w:val="00F30B97"/>
    <w:rsid w:val="00F31B57"/>
    <w:rsid w:val="00F333FB"/>
    <w:rsid w:val="00F33D19"/>
    <w:rsid w:val="00F450BC"/>
    <w:rsid w:val="00F45986"/>
    <w:rsid w:val="00F50C2F"/>
    <w:rsid w:val="00F535DC"/>
    <w:rsid w:val="00F6477A"/>
    <w:rsid w:val="00F7433C"/>
    <w:rsid w:val="00F74FE0"/>
    <w:rsid w:val="00F8626E"/>
    <w:rsid w:val="00F94ACA"/>
    <w:rsid w:val="00F95F60"/>
    <w:rsid w:val="00FA40A1"/>
    <w:rsid w:val="00FA60CB"/>
    <w:rsid w:val="00FB6504"/>
    <w:rsid w:val="00FC2D09"/>
    <w:rsid w:val="00FC4FB5"/>
    <w:rsid w:val="00FC5955"/>
    <w:rsid w:val="00FD3EFB"/>
    <w:rsid w:val="00FD4A9B"/>
    <w:rsid w:val="00FE267D"/>
    <w:rsid w:val="00FE29FD"/>
    <w:rsid w:val="00FE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9CE1C-EB77-4D56-9D4D-B16CBA82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styleId="NormalWeb">
    <w:name w:val="Normal (Web)"/>
    <w:basedOn w:val="Normal"/>
    <w:uiPriority w:val="99"/>
    <w:unhideWhenUsed/>
    <w:rsid w:val="00866081"/>
    <w:pPr>
      <w:spacing w:before="100" w:beforeAutospacing="1" w:after="119"/>
    </w:pPr>
  </w:style>
  <w:style w:type="character" w:styleId="CommentReference">
    <w:name w:val="annotation reference"/>
    <w:rsid w:val="00C80DC6"/>
    <w:rPr>
      <w:sz w:val="16"/>
      <w:szCs w:val="16"/>
    </w:rPr>
  </w:style>
  <w:style w:type="paragraph" w:customStyle="1" w:styleId="tv213">
    <w:name w:val="tv213"/>
    <w:basedOn w:val="Normal"/>
    <w:rsid w:val="006F7E00"/>
    <w:pPr>
      <w:spacing w:before="100" w:beforeAutospacing="1" w:after="100" w:afterAutospacing="1"/>
    </w:pPr>
  </w:style>
  <w:style w:type="table" w:styleId="TableGrid">
    <w:name w:val="Table Grid"/>
    <w:basedOn w:val="TableNormal"/>
    <w:uiPriority w:val="39"/>
    <w:rsid w:val="00DC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806">
      <w:bodyDiv w:val="1"/>
      <w:marLeft w:val="0"/>
      <w:marRight w:val="0"/>
      <w:marTop w:val="0"/>
      <w:marBottom w:val="0"/>
      <w:divBdr>
        <w:top w:val="none" w:sz="0" w:space="0" w:color="auto"/>
        <w:left w:val="none" w:sz="0" w:space="0" w:color="auto"/>
        <w:bottom w:val="none" w:sz="0" w:space="0" w:color="auto"/>
        <w:right w:val="none" w:sz="0" w:space="0" w:color="auto"/>
      </w:divBdr>
    </w:div>
    <w:div w:id="102849806">
      <w:bodyDiv w:val="1"/>
      <w:marLeft w:val="0"/>
      <w:marRight w:val="0"/>
      <w:marTop w:val="0"/>
      <w:marBottom w:val="0"/>
      <w:divBdr>
        <w:top w:val="none" w:sz="0" w:space="0" w:color="auto"/>
        <w:left w:val="none" w:sz="0" w:space="0" w:color="auto"/>
        <w:bottom w:val="none" w:sz="0" w:space="0" w:color="auto"/>
        <w:right w:val="none" w:sz="0" w:space="0" w:color="auto"/>
      </w:divBdr>
    </w:div>
    <w:div w:id="109514084">
      <w:bodyDiv w:val="1"/>
      <w:marLeft w:val="0"/>
      <w:marRight w:val="0"/>
      <w:marTop w:val="0"/>
      <w:marBottom w:val="0"/>
      <w:divBdr>
        <w:top w:val="none" w:sz="0" w:space="0" w:color="auto"/>
        <w:left w:val="none" w:sz="0" w:space="0" w:color="auto"/>
        <w:bottom w:val="none" w:sz="0" w:space="0" w:color="auto"/>
        <w:right w:val="none" w:sz="0" w:space="0" w:color="auto"/>
      </w:divBdr>
    </w:div>
    <w:div w:id="343675696">
      <w:bodyDiv w:val="1"/>
      <w:marLeft w:val="0"/>
      <w:marRight w:val="0"/>
      <w:marTop w:val="0"/>
      <w:marBottom w:val="0"/>
      <w:divBdr>
        <w:top w:val="none" w:sz="0" w:space="0" w:color="auto"/>
        <w:left w:val="none" w:sz="0" w:space="0" w:color="auto"/>
        <w:bottom w:val="none" w:sz="0" w:space="0" w:color="auto"/>
        <w:right w:val="none" w:sz="0" w:space="0" w:color="auto"/>
      </w:divBdr>
    </w:div>
    <w:div w:id="476184703">
      <w:bodyDiv w:val="1"/>
      <w:marLeft w:val="0"/>
      <w:marRight w:val="0"/>
      <w:marTop w:val="0"/>
      <w:marBottom w:val="0"/>
      <w:divBdr>
        <w:top w:val="none" w:sz="0" w:space="0" w:color="auto"/>
        <w:left w:val="none" w:sz="0" w:space="0" w:color="auto"/>
        <w:bottom w:val="none" w:sz="0" w:space="0" w:color="auto"/>
        <w:right w:val="none" w:sz="0" w:space="0" w:color="auto"/>
      </w:divBdr>
    </w:div>
    <w:div w:id="866605427">
      <w:bodyDiv w:val="1"/>
      <w:marLeft w:val="0"/>
      <w:marRight w:val="0"/>
      <w:marTop w:val="0"/>
      <w:marBottom w:val="0"/>
      <w:divBdr>
        <w:top w:val="none" w:sz="0" w:space="0" w:color="auto"/>
        <w:left w:val="none" w:sz="0" w:space="0" w:color="auto"/>
        <w:bottom w:val="none" w:sz="0" w:space="0" w:color="auto"/>
        <w:right w:val="none" w:sz="0" w:space="0" w:color="auto"/>
      </w:divBdr>
    </w:div>
    <w:div w:id="936641835">
      <w:bodyDiv w:val="1"/>
      <w:marLeft w:val="0"/>
      <w:marRight w:val="0"/>
      <w:marTop w:val="0"/>
      <w:marBottom w:val="0"/>
      <w:divBdr>
        <w:top w:val="none" w:sz="0" w:space="0" w:color="auto"/>
        <w:left w:val="none" w:sz="0" w:space="0" w:color="auto"/>
        <w:bottom w:val="none" w:sz="0" w:space="0" w:color="auto"/>
        <w:right w:val="none" w:sz="0" w:space="0" w:color="auto"/>
      </w:divBdr>
    </w:div>
    <w:div w:id="996806256">
      <w:bodyDiv w:val="1"/>
      <w:marLeft w:val="0"/>
      <w:marRight w:val="0"/>
      <w:marTop w:val="0"/>
      <w:marBottom w:val="0"/>
      <w:divBdr>
        <w:top w:val="none" w:sz="0" w:space="0" w:color="auto"/>
        <w:left w:val="none" w:sz="0" w:space="0" w:color="auto"/>
        <w:bottom w:val="none" w:sz="0" w:space="0" w:color="auto"/>
        <w:right w:val="none" w:sz="0" w:space="0" w:color="auto"/>
      </w:divBdr>
    </w:div>
    <w:div w:id="1018043821">
      <w:bodyDiv w:val="1"/>
      <w:marLeft w:val="0"/>
      <w:marRight w:val="0"/>
      <w:marTop w:val="0"/>
      <w:marBottom w:val="0"/>
      <w:divBdr>
        <w:top w:val="none" w:sz="0" w:space="0" w:color="auto"/>
        <w:left w:val="none" w:sz="0" w:space="0" w:color="auto"/>
        <w:bottom w:val="none" w:sz="0" w:space="0" w:color="auto"/>
        <w:right w:val="none" w:sz="0" w:space="0" w:color="auto"/>
      </w:divBdr>
    </w:div>
    <w:div w:id="1044718861">
      <w:bodyDiv w:val="1"/>
      <w:marLeft w:val="0"/>
      <w:marRight w:val="0"/>
      <w:marTop w:val="0"/>
      <w:marBottom w:val="0"/>
      <w:divBdr>
        <w:top w:val="none" w:sz="0" w:space="0" w:color="auto"/>
        <w:left w:val="none" w:sz="0" w:space="0" w:color="auto"/>
        <w:bottom w:val="none" w:sz="0" w:space="0" w:color="auto"/>
        <w:right w:val="none" w:sz="0" w:space="0" w:color="auto"/>
      </w:divBdr>
    </w:div>
    <w:div w:id="1101560888">
      <w:bodyDiv w:val="1"/>
      <w:marLeft w:val="0"/>
      <w:marRight w:val="0"/>
      <w:marTop w:val="0"/>
      <w:marBottom w:val="0"/>
      <w:divBdr>
        <w:top w:val="none" w:sz="0" w:space="0" w:color="auto"/>
        <w:left w:val="none" w:sz="0" w:space="0" w:color="auto"/>
        <w:bottom w:val="none" w:sz="0" w:space="0" w:color="auto"/>
        <w:right w:val="none" w:sz="0" w:space="0" w:color="auto"/>
      </w:divBdr>
    </w:div>
    <w:div w:id="1159661211">
      <w:bodyDiv w:val="1"/>
      <w:marLeft w:val="0"/>
      <w:marRight w:val="0"/>
      <w:marTop w:val="0"/>
      <w:marBottom w:val="0"/>
      <w:divBdr>
        <w:top w:val="none" w:sz="0" w:space="0" w:color="auto"/>
        <w:left w:val="none" w:sz="0" w:space="0" w:color="auto"/>
        <w:bottom w:val="none" w:sz="0" w:space="0" w:color="auto"/>
        <w:right w:val="none" w:sz="0" w:space="0" w:color="auto"/>
      </w:divBdr>
    </w:div>
    <w:div w:id="1161652500">
      <w:bodyDiv w:val="1"/>
      <w:marLeft w:val="0"/>
      <w:marRight w:val="0"/>
      <w:marTop w:val="0"/>
      <w:marBottom w:val="0"/>
      <w:divBdr>
        <w:top w:val="none" w:sz="0" w:space="0" w:color="auto"/>
        <w:left w:val="none" w:sz="0" w:space="0" w:color="auto"/>
        <w:bottom w:val="none" w:sz="0" w:space="0" w:color="auto"/>
        <w:right w:val="none" w:sz="0" w:space="0" w:color="auto"/>
      </w:divBdr>
    </w:div>
    <w:div w:id="1395473900">
      <w:bodyDiv w:val="1"/>
      <w:marLeft w:val="0"/>
      <w:marRight w:val="0"/>
      <w:marTop w:val="0"/>
      <w:marBottom w:val="0"/>
      <w:divBdr>
        <w:top w:val="none" w:sz="0" w:space="0" w:color="auto"/>
        <w:left w:val="none" w:sz="0" w:space="0" w:color="auto"/>
        <w:bottom w:val="none" w:sz="0" w:space="0" w:color="auto"/>
        <w:right w:val="none" w:sz="0" w:space="0" w:color="auto"/>
      </w:divBdr>
    </w:div>
    <w:div w:id="1468283053">
      <w:bodyDiv w:val="1"/>
      <w:marLeft w:val="0"/>
      <w:marRight w:val="0"/>
      <w:marTop w:val="0"/>
      <w:marBottom w:val="0"/>
      <w:divBdr>
        <w:top w:val="none" w:sz="0" w:space="0" w:color="auto"/>
        <w:left w:val="none" w:sz="0" w:space="0" w:color="auto"/>
        <w:bottom w:val="none" w:sz="0" w:space="0" w:color="auto"/>
        <w:right w:val="none" w:sz="0" w:space="0" w:color="auto"/>
      </w:divBdr>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33105592">
      <w:bodyDiv w:val="1"/>
      <w:marLeft w:val="0"/>
      <w:marRight w:val="0"/>
      <w:marTop w:val="0"/>
      <w:marBottom w:val="0"/>
      <w:divBdr>
        <w:top w:val="none" w:sz="0" w:space="0" w:color="auto"/>
        <w:left w:val="none" w:sz="0" w:space="0" w:color="auto"/>
        <w:bottom w:val="none" w:sz="0" w:space="0" w:color="auto"/>
        <w:right w:val="none" w:sz="0" w:space="0" w:color="auto"/>
      </w:divBdr>
    </w:div>
    <w:div w:id="1715690539">
      <w:bodyDiv w:val="1"/>
      <w:marLeft w:val="0"/>
      <w:marRight w:val="0"/>
      <w:marTop w:val="0"/>
      <w:marBottom w:val="0"/>
      <w:divBdr>
        <w:top w:val="none" w:sz="0" w:space="0" w:color="auto"/>
        <w:left w:val="none" w:sz="0" w:space="0" w:color="auto"/>
        <w:bottom w:val="none" w:sz="0" w:space="0" w:color="auto"/>
        <w:right w:val="none" w:sz="0" w:space="0" w:color="auto"/>
      </w:divBdr>
    </w:div>
    <w:div w:id="1949505380">
      <w:bodyDiv w:val="1"/>
      <w:marLeft w:val="0"/>
      <w:marRight w:val="0"/>
      <w:marTop w:val="0"/>
      <w:marBottom w:val="0"/>
      <w:divBdr>
        <w:top w:val="none" w:sz="0" w:space="0" w:color="auto"/>
        <w:left w:val="none" w:sz="0" w:space="0" w:color="auto"/>
        <w:bottom w:val="none" w:sz="0" w:space="0" w:color="auto"/>
        <w:right w:val="none" w:sz="0" w:space="0" w:color="auto"/>
      </w:divBdr>
    </w:div>
    <w:div w:id="19841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89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elkers@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doc=423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DAF2-D059-4E72-BCEF-B2ECD9C5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3272</Words>
  <Characters>18656</Characters>
  <Application>Microsoft Office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Andris Melkers</dc:creator>
  <cp:keywords/>
  <dc:description/>
  <cp:lastModifiedBy>Andris Melkers</cp:lastModifiedBy>
  <cp:revision>13</cp:revision>
  <cp:lastPrinted>2018-02-16T08:13:00Z</cp:lastPrinted>
  <dcterms:created xsi:type="dcterms:W3CDTF">2020-05-28T13:06:00Z</dcterms:created>
  <dcterms:modified xsi:type="dcterms:W3CDTF">2020-05-29T05:43:00Z</dcterms:modified>
</cp:coreProperties>
</file>