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129" w:rsidRPr="006E25EF" w:rsidRDefault="0004690A">
      <w:pPr>
        <w:pStyle w:val="naisnod"/>
        <w:spacing w:before="0" w:after="0"/>
      </w:pPr>
      <w:r w:rsidRPr="006E25EF">
        <w:t>Izziņa par atzinumos sniegtajiem iebildumiem</w:t>
      </w:r>
    </w:p>
    <w:p w:rsidR="00324129" w:rsidRPr="006E25EF" w:rsidRDefault="0004690A">
      <w:pPr>
        <w:pStyle w:val="naisnod"/>
        <w:spacing w:before="0" w:after="0"/>
      </w:pPr>
      <w:r w:rsidRPr="006E25EF">
        <w:t>Ministru kabineta noteikumu projektam “Grozījumi Ministru kabineta 2010. gada 26. janvāra</w:t>
      </w:r>
    </w:p>
    <w:p w:rsidR="00324129" w:rsidRPr="006E25EF" w:rsidRDefault="0004690A">
      <w:pPr>
        <w:pStyle w:val="naisnod"/>
        <w:spacing w:before="0" w:after="0"/>
      </w:pPr>
      <w:r w:rsidRPr="006E25EF">
        <w:t xml:space="preserve"> noteikumos Nr. 75 “Ceļu satiksmes negadījumu, tajos cietušo un bojā gājušo personu reģistrācijas un uzskaites noteikumi” (</w:t>
      </w:r>
      <w:proofErr w:type="gramStart"/>
      <w:r w:rsidRPr="006E25EF">
        <w:t>turpmāk –pr</w:t>
      </w:r>
      <w:proofErr w:type="gramEnd"/>
      <w:r w:rsidRPr="006E25EF">
        <w:t>ojekts)</w:t>
      </w:r>
    </w:p>
    <w:p w:rsidR="00324129" w:rsidRPr="006E25EF" w:rsidRDefault="00324129">
      <w:pPr>
        <w:pStyle w:val="naisf"/>
        <w:spacing w:before="0" w:after="0"/>
        <w:ind w:firstLine="0"/>
        <w:jc w:val="center"/>
      </w:pPr>
    </w:p>
    <w:p w:rsidR="00324129" w:rsidRPr="006E25EF" w:rsidRDefault="0004690A">
      <w:pPr>
        <w:pStyle w:val="naisf"/>
        <w:spacing w:before="0" w:after="0"/>
        <w:ind w:left="1080" w:firstLine="0"/>
        <w:jc w:val="center"/>
      </w:pPr>
      <w:r w:rsidRPr="006E25EF">
        <w:rPr>
          <w:b/>
        </w:rPr>
        <w:t>I. Jautājumi, par kuriem saskaņošanā vienošanās nav panākta</w:t>
      </w:r>
    </w:p>
    <w:p w:rsidR="00324129" w:rsidRPr="006E25EF" w:rsidRDefault="00324129">
      <w:pPr>
        <w:pStyle w:val="naisf"/>
        <w:spacing w:before="0" w:after="0"/>
        <w:jc w:val="center"/>
        <w:rPr>
          <w:b/>
        </w:rPr>
      </w:pPr>
    </w:p>
    <w:tbl>
      <w:tblPr>
        <w:tblW w:w="14969" w:type="dxa"/>
        <w:tblInd w:w="-8" w:type="dxa"/>
        <w:tblBorders>
          <w:top w:val="single" w:sz="4" w:space="0" w:color="000000"/>
          <w:left w:val="single" w:sz="4" w:space="0" w:color="000000"/>
          <w:bottom w:val="single" w:sz="4" w:space="0" w:color="000000"/>
          <w:insideH w:val="single" w:sz="4" w:space="0" w:color="000000"/>
        </w:tblBorders>
        <w:tblCellMar>
          <w:top w:w="55" w:type="dxa"/>
          <w:left w:w="106" w:type="dxa"/>
          <w:bottom w:w="55" w:type="dxa"/>
        </w:tblCellMar>
        <w:tblLook w:val="00A0" w:firstRow="1" w:lastRow="0" w:firstColumn="1" w:lastColumn="0" w:noHBand="0" w:noVBand="0"/>
      </w:tblPr>
      <w:tblGrid>
        <w:gridCol w:w="710"/>
        <w:gridCol w:w="3085"/>
        <w:gridCol w:w="3120"/>
        <w:gridCol w:w="3119"/>
        <w:gridCol w:w="2322"/>
        <w:gridCol w:w="2613"/>
      </w:tblGrid>
      <w:tr w:rsidR="006E25EF" w:rsidRPr="006E25EF">
        <w:tc>
          <w:tcPr>
            <w:tcW w:w="709" w:type="dxa"/>
            <w:tcBorders>
              <w:top w:val="single" w:sz="4" w:space="0" w:color="000000"/>
              <w:left w:val="single" w:sz="4" w:space="0" w:color="000000"/>
              <w:bottom w:val="single" w:sz="4" w:space="0" w:color="000000"/>
            </w:tcBorders>
            <w:shd w:val="clear" w:color="auto" w:fill="auto"/>
            <w:vAlign w:val="center"/>
          </w:tcPr>
          <w:p w:rsidR="00324129" w:rsidRPr="006E25EF" w:rsidRDefault="0004690A">
            <w:pPr>
              <w:pStyle w:val="naisc"/>
              <w:spacing w:before="0" w:after="0"/>
            </w:pPr>
            <w:r w:rsidRPr="006E25EF">
              <w:t>Nr. p.k.</w:t>
            </w:r>
          </w:p>
        </w:tc>
        <w:tc>
          <w:tcPr>
            <w:tcW w:w="30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129" w:rsidRPr="006E25EF" w:rsidRDefault="0004690A">
            <w:pPr>
              <w:pStyle w:val="naisc"/>
              <w:spacing w:before="0" w:after="0"/>
              <w:ind w:firstLine="12"/>
            </w:pPr>
            <w:r w:rsidRPr="006E25EF">
              <w:t>Saskaņošanai nosūtītā projekta redakcija (konkrēta punkta (panta) redakcija)</w:t>
            </w:r>
          </w:p>
        </w:tc>
        <w:tc>
          <w:tcPr>
            <w:tcW w:w="3120" w:type="dxa"/>
            <w:tcBorders>
              <w:top w:val="single" w:sz="4" w:space="0" w:color="000000"/>
              <w:left w:val="single" w:sz="4" w:space="0" w:color="000000"/>
              <w:bottom w:val="single" w:sz="4" w:space="0" w:color="000000"/>
            </w:tcBorders>
            <w:shd w:val="clear" w:color="auto" w:fill="auto"/>
            <w:vAlign w:val="center"/>
          </w:tcPr>
          <w:p w:rsidR="00324129" w:rsidRPr="006E25EF" w:rsidRDefault="0004690A">
            <w:pPr>
              <w:pStyle w:val="naisc"/>
              <w:spacing w:before="0" w:after="0"/>
              <w:ind w:right="3"/>
            </w:pPr>
            <w:r w:rsidRPr="006E25EF">
              <w:t>Atzinumā norādītais ministrijas (citas institūcijas) iebildums, kā arī saskaņošanā papildus izteiktais iebildums par projekta konkrēto punktu (pantu)</w:t>
            </w:r>
          </w:p>
        </w:tc>
        <w:tc>
          <w:tcPr>
            <w:tcW w:w="3119" w:type="dxa"/>
            <w:tcBorders>
              <w:top w:val="single" w:sz="4" w:space="0" w:color="000000"/>
              <w:left w:val="single" w:sz="4" w:space="0" w:color="000000"/>
              <w:bottom w:val="single" w:sz="4" w:space="0" w:color="000000"/>
            </w:tcBorders>
            <w:shd w:val="clear" w:color="auto" w:fill="auto"/>
            <w:vAlign w:val="center"/>
          </w:tcPr>
          <w:p w:rsidR="00324129" w:rsidRPr="006E25EF" w:rsidRDefault="0004690A">
            <w:pPr>
              <w:pStyle w:val="naisc"/>
              <w:spacing w:before="0" w:after="0"/>
              <w:ind w:hanging="82"/>
            </w:pPr>
            <w:r w:rsidRPr="006E25EF">
              <w:t>Atbildīgās ministrijas pamatojums iebilduma noraidījumam</w:t>
            </w:r>
          </w:p>
        </w:tc>
        <w:tc>
          <w:tcPr>
            <w:tcW w:w="2322" w:type="dxa"/>
            <w:tcBorders>
              <w:top w:val="single" w:sz="4" w:space="0" w:color="000000"/>
              <w:left w:val="single" w:sz="4" w:space="0" w:color="000000"/>
              <w:bottom w:val="single" w:sz="4" w:space="0" w:color="000000"/>
            </w:tcBorders>
            <w:shd w:val="clear" w:color="auto" w:fill="auto"/>
            <w:vAlign w:val="center"/>
          </w:tcPr>
          <w:p w:rsidR="00324129" w:rsidRPr="006E25EF" w:rsidRDefault="0004690A">
            <w:pPr>
              <w:jc w:val="center"/>
            </w:pPr>
            <w:r w:rsidRPr="006E25EF">
              <w:t>Atzinuma sniedzēja uzturētais iebildums, ja tas atšķiras no atzinumā norādītā iebilduma pamatojuma</w:t>
            </w:r>
          </w:p>
        </w:tc>
        <w:tc>
          <w:tcPr>
            <w:tcW w:w="26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129" w:rsidRPr="006E25EF" w:rsidRDefault="0004690A">
            <w:pPr>
              <w:jc w:val="center"/>
            </w:pPr>
            <w:r w:rsidRPr="006E25EF">
              <w:t>Projekta attiecīgā punkta (panta) galīgā redakcija</w:t>
            </w:r>
          </w:p>
        </w:tc>
      </w:tr>
      <w:tr w:rsidR="006E25EF" w:rsidRPr="006E25EF">
        <w:trPr>
          <w:trHeight w:val="135"/>
        </w:trPr>
        <w:tc>
          <w:tcPr>
            <w:tcW w:w="709" w:type="dxa"/>
            <w:tcBorders>
              <w:top w:val="single" w:sz="4" w:space="0" w:color="000000"/>
              <w:left w:val="single" w:sz="4" w:space="0" w:color="000000"/>
              <w:bottom w:val="single" w:sz="4" w:space="0" w:color="000000"/>
            </w:tcBorders>
            <w:shd w:val="clear" w:color="auto" w:fill="auto"/>
          </w:tcPr>
          <w:p w:rsidR="00324129" w:rsidRPr="006E25EF" w:rsidRDefault="0004690A">
            <w:pPr>
              <w:pStyle w:val="naisc"/>
              <w:spacing w:before="0" w:after="0"/>
            </w:pPr>
            <w:r w:rsidRPr="006E25EF">
              <w:rPr>
                <w:sz w:val="20"/>
                <w:szCs w:val="20"/>
              </w:rPr>
              <w:t>1</w:t>
            </w:r>
          </w:p>
        </w:tc>
        <w:tc>
          <w:tcPr>
            <w:tcW w:w="3085" w:type="dxa"/>
            <w:tcBorders>
              <w:top w:val="single" w:sz="4" w:space="0" w:color="000000"/>
              <w:left w:val="single" w:sz="4" w:space="0" w:color="000000"/>
              <w:bottom w:val="single" w:sz="4" w:space="0" w:color="000000"/>
            </w:tcBorders>
            <w:shd w:val="clear" w:color="auto" w:fill="auto"/>
          </w:tcPr>
          <w:p w:rsidR="00324129" w:rsidRPr="006E25EF" w:rsidRDefault="0004690A">
            <w:pPr>
              <w:pStyle w:val="naisc"/>
              <w:spacing w:before="0" w:after="0"/>
              <w:ind w:firstLine="720"/>
            </w:pPr>
            <w:r w:rsidRPr="006E25EF">
              <w:rPr>
                <w:sz w:val="20"/>
                <w:szCs w:val="20"/>
              </w:rPr>
              <w:t>2</w:t>
            </w:r>
          </w:p>
        </w:tc>
        <w:tc>
          <w:tcPr>
            <w:tcW w:w="3120" w:type="dxa"/>
            <w:tcBorders>
              <w:top w:val="single" w:sz="4" w:space="0" w:color="000000"/>
              <w:left w:val="single" w:sz="4" w:space="0" w:color="000000"/>
              <w:bottom w:val="single" w:sz="4" w:space="0" w:color="000000"/>
            </w:tcBorders>
            <w:shd w:val="clear" w:color="auto" w:fill="auto"/>
          </w:tcPr>
          <w:p w:rsidR="00324129" w:rsidRPr="006E25EF" w:rsidRDefault="0004690A">
            <w:pPr>
              <w:pStyle w:val="naisc"/>
              <w:spacing w:before="0" w:after="0"/>
              <w:ind w:firstLine="720"/>
            </w:pPr>
            <w:r w:rsidRPr="006E25EF">
              <w:rPr>
                <w:sz w:val="20"/>
                <w:szCs w:val="20"/>
              </w:rPr>
              <w:t>3</w:t>
            </w:r>
          </w:p>
        </w:tc>
        <w:tc>
          <w:tcPr>
            <w:tcW w:w="3119" w:type="dxa"/>
            <w:tcBorders>
              <w:top w:val="single" w:sz="4" w:space="0" w:color="000000"/>
              <w:left w:val="single" w:sz="4" w:space="0" w:color="000000"/>
              <w:bottom w:val="single" w:sz="4" w:space="0" w:color="000000"/>
            </w:tcBorders>
            <w:shd w:val="clear" w:color="auto" w:fill="auto"/>
          </w:tcPr>
          <w:p w:rsidR="00324129" w:rsidRPr="006E25EF" w:rsidRDefault="0004690A">
            <w:pPr>
              <w:pStyle w:val="naisc"/>
              <w:spacing w:before="0" w:after="0"/>
              <w:ind w:hanging="82"/>
            </w:pPr>
            <w:r w:rsidRPr="006E25EF">
              <w:rPr>
                <w:sz w:val="20"/>
                <w:szCs w:val="20"/>
              </w:rPr>
              <w:t>4</w:t>
            </w:r>
          </w:p>
        </w:tc>
        <w:tc>
          <w:tcPr>
            <w:tcW w:w="2322" w:type="dxa"/>
            <w:tcBorders>
              <w:top w:val="single" w:sz="4" w:space="0" w:color="000000"/>
              <w:left w:val="single" w:sz="4" w:space="0" w:color="000000"/>
              <w:bottom w:val="single" w:sz="4" w:space="0" w:color="000000"/>
            </w:tcBorders>
            <w:shd w:val="clear" w:color="auto" w:fill="auto"/>
          </w:tcPr>
          <w:p w:rsidR="00324129" w:rsidRPr="006E25EF" w:rsidRDefault="0004690A">
            <w:pPr>
              <w:jc w:val="center"/>
            </w:pPr>
            <w:r w:rsidRPr="006E25EF">
              <w:rPr>
                <w:sz w:val="20"/>
                <w:szCs w:val="20"/>
              </w:rPr>
              <w:t>5</w:t>
            </w: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ind w:left="10"/>
              <w:jc w:val="center"/>
            </w:pPr>
            <w:r w:rsidRPr="006E25EF">
              <w:t>6</w:t>
            </w:r>
          </w:p>
        </w:tc>
      </w:tr>
      <w:tr w:rsidR="006E25EF" w:rsidRPr="006E25EF">
        <w:trPr>
          <w:trHeight w:val="135"/>
        </w:trPr>
        <w:tc>
          <w:tcPr>
            <w:tcW w:w="709" w:type="dxa"/>
            <w:tcBorders>
              <w:top w:val="single" w:sz="4" w:space="0" w:color="000000"/>
              <w:left w:val="single" w:sz="4" w:space="0" w:color="000000"/>
              <w:bottom w:val="single" w:sz="4" w:space="0" w:color="000000"/>
            </w:tcBorders>
            <w:shd w:val="clear" w:color="auto" w:fill="auto"/>
          </w:tcPr>
          <w:p w:rsidR="00324129" w:rsidRPr="006E25EF" w:rsidRDefault="00324129">
            <w:pPr>
              <w:pStyle w:val="naisc"/>
              <w:spacing w:before="114" w:after="114"/>
            </w:pPr>
          </w:p>
        </w:tc>
        <w:tc>
          <w:tcPr>
            <w:tcW w:w="3085" w:type="dxa"/>
            <w:tcBorders>
              <w:top w:val="single" w:sz="4" w:space="0" w:color="000000"/>
              <w:left w:val="single" w:sz="4" w:space="0" w:color="000000"/>
              <w:bottom w:val="single" w:sz="4" w:space="0" w:color="000000"/>
            </w:tcBorders>
            <w:shd w:val="clear" w:color="auto" w:fill="auto"/>
          </w:tcPr>
          <w:p w:rsidR="00324129" w:rsidRPr="006E25EF" w:rsidRDefault="00324129">
            <w:pPr>
              <w:spacing w:before="120"/>
            </w:pPr>
          </w:p>
        </w:tc>
        <w:tc>
          <w:tcPr>
            <w:tcW w:w="3120" w:type="dxa"/>
            <w:tcBorders>
              <w:top w:val="single" w:sz="4" w:space="0" w:color="000000"/>
              <w:left w:val="single" w:sz="4" w:space="0" w:color="000000"/>
              <w:bottom w:val="single" w:sz="4" w:space="0" w:color="000000"/>
            </w:tcBorders>
            <w:shd w:val="clear" w:color="auto" w:fill="auto"/>
          </w:tcPr>
          <w:p w:rsidR="00324129" w:rsidRPr="006E25EF" w:rsidRDefault="00324129">
            <w:pPr>
              <w:spacing w:before="120" w:line="240" w:lineRule="atLeast"/>
              <w:jc w:val="center"/>
              <w:rPr>
                <w:rFonts w:eastAsia="Calibri"/>
              </w:rPr>
            </w:pPr>
          </w:p>
        </w:tc>
        <w:tc>
          <w:tcPr>
            <w:tcW w:w="3119" w:type="dxa"/>
            <w:tcBorders>
              <w:top w:val="single" w:sz="4" w:space="0" w:color="000000"/>
              <w:left w:val="single" w:sz="4" w:space="0" w:color="000000"/>
              <w:bottom w:val="single" w:sz="4" w:space="0" w:color="000000"/>
            </w:tcBorders>
            <w:shd w:val="clear" w:color="auto" w:fill="auto"/>
          </w:tcPr>
          <w:p w:rsidR="00324129" w:rsidRPr="006E25EF" w:rsidRDefault="00324129">
            <w:pPr>
              <w:pStyle w:val="naisc"/>
              <w:spacing w:before="120" w:after="0"/>
              <w:jc w:val="left"/>
            </w:pPr>
          </w:p>
        </w:tc>
        <w:tc>
          <w:tcPr>
            <w:tcW w:w="2322" w:type="dxa"/>
            <w:tcBorders>
              <w:top w:val="single" w:sz="4" w:space="0" w:color="000000"/>
              <w:left w:val="single" w:sz="4" w:space="0" w:color="000000"/>
              <w:bottom w:val="single" w:sz="4" w:space="0" w:color="000000"/>
            </w:tcBorders>
            <w:shd w:val="clear" w:color="auto" w:fill="auto"/>
          </w:tcPr>
          <w:p w:rsidR="00324129" w:rsidRPr="006E25EF" w:rsidRDefault="00324129">
            <w:pPr>
              <w:spacing w:before="120"/>
              <w:jc w:val="center"/>
            </w:pPr>
          </w:p>
        </w:tc>
        <w:tc>
          <w:tcPr>
            <w:tcW w:w="2613"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324129">
            <w:pPr>
              <w:spacing w:before="120"/>
            </w:pPr>
          </w:p>
        </w:tc>
      </w:tr>
    </w:tbl>
    <w:p w:rsidR="00324129" w:rsidRPr="006E25EF" w:rsidRDefault="00324129">
      <w:pPr>
        <w:jc w:val="center"/>
        <w:rPr>
          <w:b/>
        </w:rPr>
      </w:pPr>
    </w:p>
    <w:p w:rsidR="00324129" w:rsidRPr="006E25EF" w:rsidRDefault="00324129">
      <w:pPr>
        <w:pStyle w:val="naisf"/>
        <w:spacing w:before="0" w:after="0"/>
        <w:jc w:val="center"/>
        <w:rPr>
          <w:b/>
        </w:rPr>
      </w:pPr>
    </w:p>
    <w:p w:rsidR="00324129" w:rsidRPr="006E25EF" w:rsidRDefault="00324129">
      <w:pPr>
        <w:pStyle w:val="naisf"/>
        <w:tabs>
          <w:tab w:val="left" w:pos="9356"/>
        </w:tabs>
        <w:spacing w:before="0" w:after="0"/>
        <w:ind w:left="1080" w:firstLine="0"/>
        <w:rPr>
          <w:b/>
        </w:rPr>
      </w:pPr>
    </w:p>
    <w:tbl>
      <w:tblPr>
        <w:tblW w:w="1496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0" w:type="dxa"/>
          <w:bottom w:w="55" w:type="dxa"/>
          <w:right w:w="55" w:type="dxa"/>
        </w:tblCellMar>
        <w:tblLook w:val="00A0" w:firstRow="1" w:lastRow="0" w:firstColumn="1" w:lastColumn="0" w:noHBand="0" w:noVBand="0"/>
      </w:tblPr>
      <w:tblGrid>
        <w:gridCol w:w="3739"/>
        <w:gridCol w:w="2271"/>
        <w:gridCol w:w="8959"/>
      </w:tblGrid>
      <w:tr w:rsidR="006E25EF" w:rsidRPr="006E25EF">
        <w:tc>
          <w:tcPr>
            <w:tcW w:w="14969" w:type="dxa"/>
            <w:gridSpan w:val="3"/>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324129">
            <w:pPr>
              <w:pStyle w:val="naisf"/>
              <w:spacing w:before="0" w:after="0"/>
              <w:ind w:firstLine="0"/>
            </w:pPr>
          </w:p>
          <w:p w:rsidR="00324129" w:rsidRPr="006E25EF" w:rsidRDefault="0004690A">
            <w:pPr>
              <w:pStyle w:val="naisf"/>
              <w:spacing w:before="0" w:after="0"/>
              <w:ind w:firstLine="0"/>
            </w:pPr>
            <w:r w:rsidRPr="006E25EF">
              <w:rPr>
                <w:b/>
              </w:rPr>
              <w:t>Informācija par starpministriju (starpinstitūciju) sanāksmi vai elektronisko saskaņošanu</w:t>
            </w:r>
          </w:p>
          <w:p w:rsidR="00324129" w:rsidRPr="006E25EF" w:rsidRDefault="00324129">
            <w:pPr>
              <w:pStyle w:val="naisf"/>
              <w:spacing w:before="0" w:after="0"/>
              <w:ind w:firstLine="0"/>
              <w:rPr>
                <w:b/>
              </w:rPr>
            </w:pPr>
          </w:p>
        </w:tc>
      </w:tr>
      <w:tr w:rsidR="006E25EF" w:rsidRPr="006E25EF">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aisf"/>
              <w:spacing w:before="0" w:after="0"/>
              <w:ind w:firstLine="0"/>
            </w:pPr>
            <w:r w:rsidRPr="006E25EF">
              <w:t>Datums: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324129">
            <w:pPr>
              <w:pStyle w:val="naiskr"/>
              <w:spacing w:before="0" w:after="0"/>
              <w:rPr>
                <w:b/>
              </w:rPr>
            </w:pP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B43449" w:rsidRPr="006E25EF" w:rsidRDefault="00B43449">
            <w:pPr>
              <w:pStyle w:val="naiskr"/>
              <w:spacing w:before="0" w:after="0"/>
            </w:pPr>
            <w:r w:rsidRPr="006E25EF">
              <w:t xml:space="preserve">Sanāksme: </w:t>
            </w:r>
            <w:r w:rsidR="0004690A" w:rsidRPr="006E25EF">
              <w:t>2020. gada 4. jūnijs</w:t>
            </w:r>
            <w:r w:rsidRPr="006E25EF">
              <w:t xml:space="preserve"> (attālināti)</w:t>
            </w:r>
          </w:p>
          <w:p w:rsidR="00324129" w:rsidRPr="006E25EF" w:rsidRDefault="006E25EF">
            <w:pPr>
              <w:pStyle w:val="naiskr"/>
              <w:spacing w:before="0" w:after="0"/>
            </w:pPr>
            <w:r w:rsidRPr="006E25EF">
              <w:t xml:space="preserve">Piecu dienu </w:t>
            </w:r>
            <w:r w:rsidR="00B43449" w:rsidRPr="006E25EF">
              <w:t xml:space="preserve">saskaņošana: </w:t>
            </w:r>
            <w:r w:rsidR="0004690A" w:rsidRPr="006E25EF">
              <w:t>2020.</w:t>
            </w:r>
            <w:r w:rsidR="00B43449" w:rsidRPr="006E25EF">
              <w:t xml:space="preserve"> </w:t>
            </w:r>
            <w:r w:rsidR="0004690A" w:rsidRPr="006E25EF">
              <w:t>gada 17. jūnijs – 2020.</w:t>
            </w:r>
            <w:r w:rsidR="00B43449" w:rsidRPr="006E25EF">
              <w:t xml:space="preserve"> </w:t>
            </w:r>
            <w:r w:rsidR="0004690A" w:rsidRPr="006E25EF">
              <w:t>gada 26. jūnijs</w:t>
            </w:r>
          </w:p>
          <w:p w:rsidR="00324129" w:rsidRPr="006E25EF" w:rsidRDefault="00324129">
            <w:pPr>
              <w:pStyle w:val="naiskr"/>
              <w:spacing w:before="0" w:after="0"/>
              <w:rPr>
                <w:b/>
              </w:rPr>
            </w:pPr>
          </w:p>
        </w:tc>
      </w:tr>
      <w:tr w:rsidR="006E25EF" w:rsidRPr="006E25EF">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aiskr"/>
              <w:spacing w:before="0" w:after="0"/>
            </w:pPr>
            <w:r w:rsidRPr="006E25EF">
              <w:t>Saskaņošanas dalībnieki:</w:t>
            </w:r>
          </w:p>
          <w:p w:rsidR="00324129" w:rsidRPr="006E25EF" w:rsidRDefault="00324129">
            <w:pPr>
              <w:pStyle w:val="naiskr"/>
              <w:spacing w:before="0" w:after="0"/>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324129">
            <w:pPr>
              <w:pStyle w:val="NormalWeb"/>
            </w:pP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ormalWeb"/>
            </w:pPr>
            <w:r w:rsidRPr="006E25EF">
              <w:t xml:space="preserve">Finanšu ministrija, Satiksmes ministrija, Tieslietu ministrija, Veselības ministrija, Vides aizsardzības un reģionālās attīstības ministrija un Latvijas Brīvo arodbiedrību savienība </w:t>
            </w:r>
          </w:p>
          <w:p w:rsidR="00324129" w:rsidRPr="006E25EF" w:rsidRDefault="00324129">
            <w:pPr>
              <w:pStyle w:val="NormalWeb"/>
            </w:pPr>
          </w:p>
        </w:tc>
      </w:tr>
      <w:tr w:rsidR="006E25EF" w:rsidRPr="006E25EF">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aiskr"/>
              <w:spacing w:before="0" w:after="0"/>
            </w:pPr>
            <w:r w:rsidRPr="006E25EF">
              <w:lastRenderedPageBreak/>
              <w:t xml:space="preserve">Saskaņošanas dalībnieki izskatīja šādu ministriju (citu institūciju) iebildumus: </w:t>
            </w:r>
          </w:p>
          <w:p w:rsidR="00324129" w:rsidRPr="006E25EF" w:rsidRDefault="00324129">
            <w:pPr>
              <w:pStyle w:val="naiskr"/>
              <w:spacing w:before="0" w:after="0"/>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324129">
            <w:pPr>
              <w:pStyle w:val="naiskr"/>
              <w:spacing w:before="0" w:after="0"/>
            </w:pP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aiskr"/>
              <w:spacing w:before="0" w:after="0"/>
            </w:pPr>
            <w:r w:rsidRPr="006E25EF">
              <w:t xml:space="preserve">Satiksmes ministrija, Veselības ministrija </w:t>
            </w:r>
          </w:p>
        </w:tc>
      </w:tr>
      <w:tr w:rsidR="006E25EF" w:rsidRPr="006E25EF">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aiskr"/>
              <w:spacing w:before="0" w:after="0"/>
            </w:pPr>
            <w:r w:rsidRPr="006E25EF">
              <w:t>Ministrijas (citas institūcijas), kuras nav ieradušās uz sanāksmi vai kuras nav atbildējušas uz uzaicinājumu piedalīties elektroniskajā saskaņošanā:</w:t>
            </w:r>
          </w:p>
          <w:p w:rsidR="00324129" w:rsidRPr="006E25EF" w:rsidRDefault="00324129">
            <w:pPr>
              <w:pStyle w:val="naiskr"/>
              <w:spacing w:before="0" w:after="0"/>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324129">
            <w:pPr>
              <w:pStyle w:val="naiskr"/>
              <w:spacing w:before="0" w:after="0"/>
              <w:ind w:firstLine="720"/>
            </w:pPr>
          </w:p>
        </w:tc>
        <w:tc>
          <w:tcPr>
            <w:tcW w:w="8959" w:type="dxa"/>
            <w:tcBorders>
              <w:top w:val="single" w:sz="4" w:space="0" w:color="000000"/>
              <w:left w:val="single" w:sz="4" w:space="0" w:color="000000"/>
              <w:bottom w:val="single" w:sz="4" w:space="0" w:color="000000"/>
              <w:right w:val="single" w:sz="4" w:space="0" w:color="000000"/>
            </w:tcBorders>
            <w:shd w:val="clear" w:color="auto" w:fill="auto"/>
          </w:tcPr>
          <w:p w:rsidR="00B43449" w:rsidRPr="006E25EF" w:rsidRDefault="00B43449">
            <w:pPr>
              <w:pStyle w:val="naiskr"/>
              <w:spacing w:before="0" w:after="0"/>
            </w:pPr>
            <w:r w:rsidRPr="006E25EF">
              <w:t>Sanāksme:</w:t>
            </w:r>
          </w:p>
          <w:p w:rsidR="00324129" w:rsidRPr="006E25EF" w:rsidRDefault="0004690A">
            <w:pPr>
              <w:pStyle w:val="naiskr"/>
              <w:spacing w:before="0" w:after="0"/>
            </w:pPr>
            <w:r w:rsidRPr="006E25EF">
              <w:t xml:space="preserve">Tieslietu ministrija, Vides aizsardzības un reģionālās attīstības ministrija un Latvijas Brīvo arodbiedrību savienība </w:t>
            </w:r>
          </w:p>
          <w:p w:rsidR="00B43449" w:rsidRPr="006E25EF" w:rsidRDefault="00B43449">
            <w:pPr>
              <w:pStyle w:val="naiskr"/>
              <w:spacing w:before="0" w:after="0"/>
            </w:pPr>
          </w:p>
          <w:p w:rsidR="00B43449" w:rsidRPr="006E25EF" w:rsidRDefault="006E25EF">
            <w:pPr>
              <w:pStyle w:val="naiskr"/>
              <w:spacing w:before="0" w:after="0"/>
            </w:pPr>
            <w:r w:rsidRPr="006E25EF">
              <w:t>Piecu dienu</w:t>
            </w:r>
            <w:r w:rsidR="00B43449" w:rsidRPr="006E25EF">
              <w:t xml:space="preserve"> saskaņošana:</w:t>
            </w:r>
          </w:p>
          <w:p w:rsidR="00B43449" w:rsidRPr="006E25EF" w:rsidRDefault="00B43449">
            <w:pPr>
              <w:pStyle w:val="naiskr"/>
              <w:spacing w:before="0" w:after="0"/>
            </w:pPr>
            <w:r w:rsidRPr="006E25EF">
              <w:t>Vides aizsardzības un reģionālās attīstības ministrija un Latvijas Brīvo arodbiedrību savienība</w:t>
            </w:r>
          </w:p>
        </w:tc>
      </w:tr>
    </w:tbl>
    <w:p w:rsidR="00324129" w:rsidRPr="006E25EF" w:rsidRDefault="00324129">
      <w:pPr>
        <w:pStyle w:val="naisf"/>
        <w:spacing w:before="0" w:after="0"/>
        <w:ind w:firstLine="720"/>
      </w:pPr>
    </w:p>
    <w:p w:rsidR="00324129" w:rsidRPr="006E25EF" w:rsidRDefault="00324129">
      <w:pPr>
        <w:pStyle w:val="naisf"/>
        <w:spacing w:before="0" w:after="0"/>
        <w:ind w:firstLine="720"/>
      </w:pPr>
    </w:p>
    <w:p w:rsidR="00324129" w:rsidRPr="006E25EF" w:rsidRDefault="0004690A">
      <w:pPr>
        <w:pStyle w:val="naisf"/>
        <w:spacing w:before="0" w:after="0"/>
        <w:ind w:firstLine="0"/>
        <w:jc w:val="center"/>
      </w:pPr>
      <w:r w:rsidRPr="006E25EF">
        <w:rPr>
          <w:b/>
        </w:rPr>
        <w:t>II.  Jautājumi, par kuriem saskaņošanā vienošanās ir panākta</w:t>
      </w:r>
    </w:p>
    <w:p w:rsidR="00324129" w:rsidRPr="006E25EF" w:rsidRDefault="00324129">
      <w:pPr>
        <w:pStyle w:val="naisf"/>
        <w:spacing w:before="0" w:after="0"/>
        <w:ind w:firstLine="720"/>
      </w:pPr>
    </w:p>
    <w:tbl>
      <w:tblPr>
        <w:tblW w:w="14992"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3" w:type="dxa"/>
        </w:tblCellMar>
        <w:tblLook w:val="00A0" w:firstRow="1" w:lastRow="0" w:firstColumn="1" w:lastColumn="0" w:noHBand="0" w:noVBand="0"/>
      </w:tblPr>
      <w:tblGrid>
        <w:gridCol w:w="706"/>
        <w:gridCol w:w="2400"/>
        <w:gridCol w:w="685"/>
        <w:gridCol w:w="4394"/>
        <w:gridCol w:w="1101"/>
        <w:gridCol w:w="2479"/>
        <w:gridCol w:w="3227"/>
      </w:tblGrid>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129" w:rsidRPr="006E25EF" w:rsidRDefault="0004690A">
            <w:pPr>
              <w:pStyle w:val="naisc"/>
              <w:spacing w:before="0" w:after="0"/>
            </w:pPr>
            <w:r w:rsidRPr="006E25EF">
              <w:t>Nr. p.k.</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24129" w:rsidRPr="006E25EF" w:rsidRDefault="0004690A">
            <w:pPr>
              <w:pStyle w:val="naisc"/>
              <w:spacing w:before="0" w:after="0"/>
              <w:ind w:firstLine="12"/>
            </w:pPr>
            <w:r w:rsidRPr="006E25EF">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4129" w:rsidRPr="006E25EF" w:rsidRDefault="0004690A">
            <w:pPr>
              <w:pStyle w:val="naisc"/>
              <w:spacing w:before="0" w:after="0"/>
              <w:ind w:right="3"/>
            </w:pPr>
            <w:r w:rsidRPr="006E25EF">
              <w:t>Atzinumā norādītais ministrijas (citas institūcijas) iebildums, kā arī saskaņošanā papildus izteiktais iebildums par projekta konkrēto punktu (pantu)</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324129" w:rsidRPr="006E25EF" w:rsidRDefault="0004690A">
            <w:pPr>
              <w:pStyle w:val="naisc"/>
              <w:spacing w:before="0" w:after="0"/>
              <w:ind w:firstLine="21"/>
            </w:pPr>
            <w:r w:rsidRPr="006E25EF">
              <w:t xml:space="preserve">Atbildīgās ministrijas norāde par to, </w:t>
            </w:r>
            <w:proofErr w:type="gramStart"/>
            <w:r w:rsidRPr="006E25EF">
              <w:t>ka iebildums ir</w:t>
            </w:r>
            <w:proofErr w:type="gramEnd"/>
            <w:r w:rsidRPr="006E25EF">
              <w:t xml:space="preserve"> ņemts vērā, vai informācija par saskaņošanā panākto alternatīvo risinājumu</w:t>
            </w:r>
          </w:p>
        </w:tc>
        <w:tc>
          <w:tcPr>
            <w:tcW w:w="3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4129" w:rsidRPr="006E25EF" w:rsidRDefault="0004690A">
            <w:pPr>
              <w:jc w:val="center"/>
            </w:pPr>
            <w:r w:rsidRPr="006E25EF">
              <w:t>Projekta attiecīgā punkta (panta) galīgā redakcija</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0" w:after="0"/>
              <w:rPr>
                <w:sz w:val="20"/>
                <w:szCs w:val="20"/>
              </w:rPr>
            </w:pPr>
            <w:r w:rsidRPr="006E25EF">
              <w:rPr>
                <w:sz w:val="20"/>
                <w:szCs w:val="20"/>
              </w:rPr>
              <w:t>1</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0" w:after="0"/>
              <w:ind w:firstLine="720"/>
              <w:rPr>
                <w:sz w:val="20"/>
                <w:szCs w:val="20"/>
              </w:rPr>
            </w:pPr>
            <w:r w:rsidRPr="006E25EF">
              <w:rPr>
                <w:sz w:val="20"/>
                <w:szCs w:val="20"/>
              </w:rPr>
              <w:t>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0" w:after="0"/>
              <w:ind w:firstLine="720"/>
              <w:rPr>
                <w:sz w:val="20"/>
                <w:szCs w:val="20"/>
              </w:rPr>
            </w:pPr>
            <w:r w:rsidRPr="006E25EF">
              <w:rPr>
                <w:sz w:val="20"/>
                <w:szCs w:val="20"/>
              </w:rPr>
              <w:t>3</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0" w:after="0"/>
              <w:ind w:firstLine="720"/>
              <w:rPr>
                <w:sz w:val="20"/>
                <w:szCs w:val="20"/>
              </w:rPr>
            </w:pPr>
            <w:r w:rsidRPr="006E25EF">
              <w:rPr>
                <w:sz w:val="20"/>
                <w:szCs w:val="20"/>
              </w:rPr>
              <w:t>4</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jc w:val="center"/>
              <w:rPr>
                <w:sz w:val="20"/>
                <w:szCs w:val="20"/>
              </w:rPr>
            </w:pPr>
            <w:r w:rsidRPr="006E25EF">
              <w:rPr>
                <w:sz w:val="20"/>
                <w:szCs w:val="20"/>
              </w:rPr>
              <w:t>5</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pPr>
            <w:r w:rsidRPr="006E25EF">
              <w:t>1.</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pPr>
            <w:r w:rsidRPr="006E25EF">
              <w:t>“3. Izteikt 7.1. un 7.2. apakšpunktu šādā redakcijā:</w:t>
            </w:r>
          </w:p>
          <w:p w:rsidR="00324129" w:rsidRPr="006E25EF" w:rsidRDefault="0004690A">
            <w:pPr>
              <w:spacing w:before="120"/>
            </w:pPr>
            <w:r w:rsidRPr="006E25EF">
              <w:t xml:space="preserve">“7.1. smagi ievainotas personas – personas, kurām vissmagākais negadījumā gūtais ievainojums atbilst Maksimāli saīsinātās ievainojumu klasifikācijas (turpmāk - </w:t>
            </w:r>
            <w:r w:rsidRPr="006E25EF">
              <w:rPr>
                <w:i/>
                <w:iCs/>
              </w:rPr>
              <w:t>MAIS</w:t>
            </w:r>
            <w:r w:rsidRPr="006E25EF">
              <w:t xml:space="preserve">) trešajai vai augstākai pakāpei (turpmāk - </w:t>
            </w:r>
            <w:r w:rsidRPr="006E25EF">
              <w:rPr>
                <w:i/>
                <w:iCs/>
              </w:rPr>
              <w:t>MAIS3+</w:t>
            </w:r>
            <w:r w:rsidRPr="006E25EF">
              <w:t>)</w:t>
            </w:r>
            <w:r w:rsidRPr="006E25EF">
              <w:rPr>
                <w:i/>
                <w:iCs/>
              </w:rPr>
              <w:t>;</w:t>
            </w:r>
          </w:p>
          <w:p w:rsidR="00324129" w:rsidRPr="006E25EF" w:rsidRDefault="0004690A">
            <w:pPr>
              <w:spacing w:before="120"/>
              <w:ind w:firstLine="720"/>
            </w:pPr>
            <w:r w:rsidRPr="006E25EF">
              <w:lastRenderedPageBreak/>
              <w:t xml:space="preserve"> 7.2. viegli ievainotas personas – personas, kurām vissmagākais negadījumā gūtais ievainojums atbilst </w:t>
            </w:r>
            <w:r w:rsidRPr="006E25EF">
              <w:rPr>
                <w:i/>
                <w:iCs/>
              </w:rPr>
              <w:t>MAIS</w:t>
            </w:r>
            <w:r w:rsidRPr="006E25EF">
              <w:t xml:space="preserve"> pirmajai vai otrajai pakāpei (turpmāk – </w:t>
            </w:r>
            <w:r w:rsidRPr="006E25EF">
              <w:rPr>
                <w:i/>
                <w:iCs/>
              </w:rPr>
              <w:t>MAIS&lt;3</w:t>
            </w:r>
            <w:r w:rsidRPr="006E25EF">
              <w:t>).”</w:t>
            </w:r>
          </w:p>
          <w:p w:rsidR="00324129" w:rsidRPr="006E25EF" w:rsidRDefault="00324129">
            <w:pPr>
              <w:pStyle w:val="naisc"/>
              <w:spacing w:before="120" w:after="0"/>
              <w:ind w:firstLine="720"/>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center"/>
            </w:pPr>
            <w:r w:rsidRPr="006E25EF">
              <w:rPr>
                <w:rFonts w:eastAsia="Calibri"/>
                <w:b/>
              </w:rPr>
              <w:lastRenderedPageBreak/>
              <w:t>Satiksmes ministrija</w:t>
            </w:r>
          </w:p>
          <w:p w:rsidR="00324129" w:rsidRPr="006E25EF" w:rsidRDefault="0004690A">
            <w:pPr>
              <w:spacing w:before="120" w:line="240" w:lineRule="atLeast"/>
              <w:jc w:val="both"/>
            </w:pPr>
            <w:r w:rsidRPr="006E25EF">
              <w:rPr>
                <w:rFonts w:eastAsia="Calibri"/>
              </w:rPr>
              <w:t xml:space="preserve">Noteikumu projekta 3.punktā tiek precizēti negadījumos smagi ievainotās personas un viegli ievainotās personas definīcijas, tādējādi Ministru kabineta </w:t>
            </w:r>
            <w:proofErr w:type="gramStart"/>
            <w:r w:rsidRPr="006E25EF">
              <w:rPr>
                <w:rFonts w:eastAsia="Calibri"/>
              </w:rPr>
              <w:t>2010.gada</w:t>
            </w:r>
            <w:proofErr w:type="gramEnd"/>
            <w:r w:rsidRPr="006E25EF">
              <w:rPr>
                <w:rFonts w:eastAsia="Calibri"/>
              </w:rPr>
              <w:t xml:space="preserve"> 26.janvāra noteikumos Nr.75 “Ceļu satiksmes negadījumu, tajos cietušo un bojā gājušo personu reģistrācijas un uzskaites noteikumi” (turpmāk – MK noteikumi Nr.75) nosakot, ka smagi ievainotu un viegli ievainotu personu ceļu satiksmes negadījumā gūtais ievainojums atbilst </w:t>
            </w:r>
            <w:r w:rsidRPr="006E25EF">
              <w:rPr>
                <w:rFonts w:eastAsia="Calibri"/>
              </w:rPr>
              <w:lastRenderedPageBreak/>
              <w:t xml:space="preserve">Maksimāli saīsinātās ievainojumu skalas (MAIS ) klasifikācijai. </w:t>
            </w:r>
          </w:p>
          <w:p w:rsidR="00324129" w:rsidRPr="006E25EF" w:rsidRDefault="0004690A">
            <w:pPr>
              <w:spacing w:before="120" w:line="240" w:lineRule="atLeast"/>
              <w:jc w:val="both"/>
            </w:pPr>
            <w:r w:rsidRPr="006E25EF">
              <w:rPr>
                <w:rFonts w:eastAsia="Calibri"/>
              </w:rPr>
              <w:t xml:space="preserve">Tomēr noteikumu projektā MAIS netiek attiecināts uz personām, kuras ceļu satiksmes negadījumā ir gājušas bojā. </w:t>
            </w:r>
          </w:p>
          <w:p w:rsidR="00324129" w:rsidRPr="006E25EF" w:rsidRDefault="0004690A">
            <w:pPr>
              <w:spacing w:before="120" w:line="240" w:lineRule="atLeast"/>
              <w:jc w:val="both"/>
            </w:pPr>
            <w:r w:rsidRPr="006E25EF">
              <w:rPr>
                <w:rFonts w:eastAsia="Calibri"/>
              </w:rPr>
              <w:t xml:space="preserve">Saskaņā ar informatīvā ziņojuma “Par vienotu ceļu satiksmes negadījumos smagi ievainoto personu statistikas datu uzskaiti atbilstoši MAIS3+ prasībām” (apstiprināts Ministru kabineta </w:t>
            </w:r>
            <w:proofErr w:type="gramStart"/>
            <w:r w:rsidRPr="006E25EF">
              <w:rPr>
                <w:rFonts w:eastAsia="Calibri"/>
              </w:rPr>
              <w:t>2019.gada</w:t>
            </w:r>
            <w:proofErr w:type="gramEnd"/>
            <w:r w:rsidRPr="006E25EF">
              <w:rPr>
                <w:rFonts w:eastAsia="Calibri"/>
              </w:rPr>
              <w:t xml:space="preserve"> 25.jūnija sēdē (prot. Nr.30, 31.§)) kopsavilkumu MAIS3+ ir izstrādāts transporta negadījumu izmeklēšanas vajadzībām, lai nodrošinātu vienkāršu skaitlisku metodi </w:t>
            </w:r>
            <w:proofErr w:type="spellStart"/>
            <w:r w:rsidRPr="006E25EF">
              <w:rPr>
                <w:rFonts w:eastAsia="Calibri"/>
              </w:rPr>
              <w:t>ranžēšanai</w:t>
            </w:r>
            <w:proofErr w:type="spellEnd"/>
            <w:r w:rsidRPr="006E25EF">
              <w:rPr>
                <w:rFonts w:eastAsia="Calibri"/>
              </w:rPr>
              <w:t xml:space="preserve"> un traumu smaguma pakāpes salīdzināšanai. MAIS3+ tiek ieviests ar mērķi nodrošināt derīgus, ticamus un salīdzināmus datus ES līmenī, kā arī nodrošināt atbalstu satiksmes drošības politikas veidotājiem ES un nacionālā līmenī. Cita starpā informatīvā ziņojuma 2.nodaļā norādīts, ka MAIS3+ tiek izmantots, lai noteiktu </w:t>
            </w:r>
            <w:proofErr w:type="spellStart"/>
            <w:r w:rsidRPr="006E25EF">
              <w:rPr>
                <w:rFonts w:eastAsia="Calibri"/>
              </w:rPr>
              <w:t>CSNg</w:t>
            </w:r>
            <w:proofErr w:type="spellEnd"/>
            <w:r w:rsidRPr="006E25EF">
              <w:rPr>
                <w:rFonts w:eastAsia="Calibri"/>
              </w:rPr>
              <w:t xml:space="preserve"> gūto traumu smaguma pakāpi skalā no 1 līdz 6. Attiecīgi personas, kuras guvušas traumas ar smaguma pakāpi no 1 līdz 2, tiek uzskatītas par viegli ievainotām, bet personas, kuras guvušas traumas ar smaguma pakāpi no 3 līdz 6, tiek uzskatītas par smagi ievainotām. Uzticami un salīdzināmi dati, izmantojot kopīgu definīciju, kuras pamatā ir MAIS3+ traumu skala, ir svarīgi, lai varētu veiksmīgi īstenot </w:t>
            </w:r>
            <w:r w:rsidRPr="006E25EF">
              <w:rPr>
                <w:rFonts w:eastAsia="Calibri"/>
              </w:rPr>
              <w:lastRenderedPageBreak/>
              <w:t xml:space="preserve">kopīgo ES stratēģiju </w:t>
            </w:r>
            <w:proofErr w:type="spellStart"/>
            <w:r w:rsidRPr="006E25EF">
              <w:rPr>
                <w:rFonts w:eastAsia="Calibri"/>
              </w:rPr>
              <w:t>CSNg</w:t>
            </w:r>
            <w:proofErr w:type="spellEnd"/>
            <w:r w:rsidRPr="006E25EF">
              <w:rPr>
                <w:rFonts w:eastAsia="Calibri"/>
              </w:rPr>
              <w:t xml:space="preserve"> bojāgājušo un cietušo skaita samazināšanai. </w:t>
            </w:r>
          </w:p>
          <w:p w:rsidR="00324129" w:rsidRPr="006E25EF" w:rsidRDefault="0004690A">
            <w:pPr>
              <w:spacing w:before="120" w:line="240" w:lineRule="atLeast"/>
              <w:jc w:val="both"/>
            </w:pPr>
            <w:r w:rsidRPr="006E25EF">
              <w:rPr>
                <w:rFonts w:eastAsia="Calibri"/>
              </w:rPr>
              <w:t xml:space="preserve">No minētā ir secināms, ka ceļu satiksmes drošības politikas veidošanā un ieviesto pasākumu izvērtēšanā ir būtiska arī ceļu satiksmes negadījumā bojāgājušo personu traumu klasifikācija atbilstoši MAIS. </w:t>
            </w:r>
          </w:p>
          <w:p w:rsidR="00324129" w:rsidRPr="006E25EF" w:rsidRDefault="0004690A">
            <w:pPr>
              <w:spacing w:before="120" w:line="240" w:lineRule="atLeast"/>
              <w:jc w:val="both"/>
            </w:pPr>
            <w:r w:rsidRPr="006E25EF">
              <w:rPr>
                <w:rFonts w:eastAsia="Calibri"/>
              </w:rPr>
              <w:t>Ņemot vērā minēto, lūdzam papildināt noteikumu projektu, nosakot, ka arī ceļu satiksmes negadījumos bojā gājušo personu ceļu satiksmes negadījumā gūtie ievainojumi (traumas) tiktu klasificēti atbilstoši Maksimāli saīsinātās ievainojumu klasifikācijai (MAIS).</w:t>
            </w:r>
          </w:p>
          <w:p w:rsidR="00324129" w:rsidRPr="006E25EF" w:rsidRDefault="00324129">
            <w:pPr>
              <w:spacing w:before="120" w:line="240" w:lineRule="atLeast"/>
              <w:jc w:val="both"/>
              <w:rPr>
                <w:rFonts w:eastAsia="Calibri"/>
              </w:rPr>
            </w:pP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jc w:val="left"/>
            </w:pPr>
            <w:r w:rsidRPr="006E25EF">
              <w:lastRenderedPageBreak/>
              <w:t>Panākta vienošanās starpinstitūciju sanāksmē.</w:t>
            </w:r>
          </w:p>
          <w:p w:rsidR="00324129" w:rsidRPr="006E25EF" w:rsidRDefault="00324129">
            <w:pPr>
              <w:pStyle w:val="naisc"/>
              <w:spacing w:before="120" w:after="0"/>
              <w:jc w:val="both"/>
              <w:rPr>
                <w:b/>
                <w:bCs/>
              </w:rPr>
            </w:pP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spacing w:before="120"/>
            </w:pPr>
            <w:r w:rsidRPr="006E25EF">
              <w:t>“</w:t>
            </w:r>
            <w:r w:rsidR="00C83B5C" w:rsidRPr="006E25EF">
              <w:t>1.</w:t>
            </w:r>
            <w:r w:rsidRPr="006E25EF">
              <w:t>3. Izteikt 7.1. un 7.2. apakšpunktu šādā redakcijā:</w:t>
            </w:r>
          </w:p>
          <w:p w:rsidR="00324129" w:rsidRPr="006E25EF" w:rsidRDefault="0004690A">
            <w:pPr>
              <w:spacing w:before="120"/>
            </w:pPr>
            <w:r w:rsidRPr="006E25EF">
              <w:t xml:space="preserve">“7.1. smagi ievainotas personas – personas, kurām vissmagākais negadījumā gūtais ievainojums atbilst Maksimāli saīsinātās ievainojumu klasifikācijas (turpmāk - </w:t>
            </w:r>
            <w:r w:rsidRPr="006E25EF">
              <w:rPr>
                <w:i/>
                <w:iCs/>
              </w:rPr>
              <w:t>MAIS</w:t>
            </w:r>
            <w:r w:rsidRPr="006E25EF">
              <w:t>) trešajai vai augstākai pakāpei</w:t>
            </w:r>
            <w:r w:rsidRPr="006E25EF">
              <w:rPr>
                <w:i/>
                <w:iCs/>
              </w:rPr>
              <w:t>;</w:t>
            </w:r>
          </w:p>
          <w:p w:rsidR="00324129" w:rsidRPr="006E25EF" w:rsidRDefault="0004690A">
            <w:pPr>
              <w:spacing w:before="120"/>
            </w:pPr>
            <w:r w:rsidRPr="006E25EF">
              <w:lastRenderedPageBreak/>
              <w:t xml:space="preserve">7.2. viegli ievainotas personas – personas, kurām vissmagākais negadījumā gūtais ievainojums atbilst </w:t>
            </w:r>
            <w:r w:rsidRPr="006E25EF">
              <w:rPr>
                <w:i/>
                <w:iCs/>
              </w:rPr>
              <w:t>MAIS</w:t>
            </w:r>
            <w:r w:rsidRPr="006E25EF">
              <w:t xml:space="preserve"> pirmajai vai otrajai pakāpei</w:t>
            </w:r>
            <w:proofErr w:type="gramStart"/>
            <w:r w:rsidRPr="006E25EF">
              <w:t xml:space="preserve"> .</w:t>
            </w:r>
            <w:proofErr w:type="gramEnd"/>
            <w:r w:rsidRPr="006E25EF">
              <w:t>”</w:t>
            </w:r>
          </w:p>
          <w:p w:rsidR="00324129" w:rsidRPr="006E25EF" w:rsidRDefault="0004690A">
            <w:pPr>
              <w:spacing w:before="120"/>
            </w:pPr>
            <w:r w:rsidRPr="006E25EF">
              <w:t>Papildināts projekts:</w:t>
            </w:r>
          </w:p>
          <w:p w:rsidR="00324129" w:rsidRPr="006E25EF" w:rsidRDefault="0004690A">
            <w:pPr>
              <w:spacing w:before="120"/>
            </w:pPr>
            <w:r w:rsidRPr="006E25EF">
              <w:t>“</w:t>
            </w:r>
            <w:r w:rsidR="00C83B5C" w:rsidRPr="006E25EF">
              <w:t>1.</w:t>
            </w:r>
            <w:r w:rsidRPr="006E25EF">
              <w:t xml:space="preserve">7. Papildināt 15. punktu pēc vārdiem “cietušajām personām” ar vārdiem “un to ievainojumu smaguma pakāpi saskaņā ar </w:t>
            </w:r>
            <w:r w:rsidRPr="006E25EF">
              <w:rPr>
                <w:i/>
                <w:iCs/>
              </w:rPr>
              <w:t>MAIS.</w:t>
            </w:r>
            <w:r w:rsidRPr="006E25EF">
              <w:t>”.</w:t>
            </w:r>
          </w:p>
          <w:p w:rsidR="00324129" w:rsidRPr="006E25EF" w:rsidRDefault="0004690A">
            <w:pPr>
              <w:spacing w:before="120"/>
            </w:pPr>
            <w:r w:rsidRPr="006E25EF">
              <w:t>Papildināts Anotācijas I sadaļas 2.punkts</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pPr>
            <w:r w:rsidRPr="006E25EF">
              <w:lastRenderedPageBreak/>
              <w:t>2.</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jc w:val="both"/>
            </w:pPr>
            <w:r w:rsidRPr="006E25EF">
              <w:t>Projekts.</w:t>
            </w:r>
          </w:p>
          <w:p w:rsidR="00324129" w:rsidRPr="006E25EF" w:rsidRDefault="00324129">
            <w:pPr>
              <w:spacing w:before="120"/>
              <w:jc w:val="both"/>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center"/>
            </w:pPr>
            <w:r w:rsidRPr="006E25EF">
              <w:rPr>
                <w:rFonts w:eastAsia="Calibri"/>
                <w:b/>
              </w:rPr>
              <w:t>Veselības ministrija</w:t>
            </w:r>
          </w:p>
          <w:p w:rsidR="00324129" w:rsidRPr="006E25EF" w:rsidRDefault="0004690A">
            <w:pPr>
              <w:spacing w:before="120" w:line="240" w:lineRule="atLeast"/>
              <w:jc w:val="both"/>
            </w:pPr>
            <w:r w:rsidRPr="006E25EF">
              <w:rPr>
                <w:rFonts w:eastAsia="Calibri"/>
              </w:rPr>
              <w:t>Lūdzam papildināt Projektu ar jaunu punktu, nosakot pārejas periodu</w:t>
            </w:r>
            <w:proofErr w:type="gramStart"/>
            <w:r w:rsidRPr="006E25EF">
              <w:rPr>
                <w:rFonts w:eastAsia="Calibri"/>
              </w:rPr>
              <w:t xml:space="preserve">  </w:t>
            </w:r>
            <w:proofErr w:type="gramEnd"/>
            <w:r w:rsidRPr="006E25EF">
              <w:rPr>
                <w:rFonts w:eastAsia="Calibri"/>
              </w:rPr>
              <w:t>noteikumu 12.2.2. un 12.3.3. apakšpunktiem, šādā redakcijā:</w:t>
            </w:r>
          </w:p>
          <w:p w:rsidR="00324129" w:rsidRPr="006E25EF" w:rsidRDefault="0004690A">
            <w:pPr>
              <w:spacing w:before="120" w:line="240" w:lineRule="atLeast"/>
              <w:jc w:val="both"/>
            </w:pPr>
            <w:r w:rsidRPr="006E25EF">
              <w:rPr>
                <w:rFonts w:eastAsia="Calibri"/>
              </w:rPr>
              <w:t>"9. papildināt noteikumus ar 22.1 punktu šādā redakcijā:</w:t>
            </w:r>
          </w:p>
          <w:p w:rsidR="00324129" w:rsidRPr="006E25EF" w:rsidRDefault="0004690A">
            <w:pPr>
              <w:spacing w:before="120" w:line="240" w:lineRule="atLeast"/>
              <w:jc w:val="both"/>
            </w:pPr>
            <w:r w:rsidRPr="006E25EF">
              <w:rPr>
                <w:rFonts w:eastAsia="Calibri"/>
              </w:rPr>
              <w:t xml:space="preserve">"22.1 Šo noteikumu 12.2.2. un 12.2.3. apakšpunktā minētās ziņas reģistrē no 2022. gada </w:t>
            </w:r>
            <w:proofErr w:type="gramStart"/>
            <w:r w:rsidRPr="006E25EF">
              <w:rPr>
                <w:rFonts w:eastAsia="Calibri"/>
              </w:rPr>
              <w:t>1.janvāra</w:t>
            </w:r>
            <w:proofErr w:type="gramEnd"/>
            <w:r w:rsidRPr="006E25EF">
              <w:rPr>
                <w:rFonts w:eastAsia="Calibri"/>
              </w:rPr>
              <w:t>. ""</w:t>
            </w:r>
          </w:p>
          <w:p w:rsidR="00324129" w:rsidRPr="006E25EF" w:rsidRDefault="0004690A">
            <w:pPr>
              <w:spacing w:before="120" w:line="240" w:lineRule="atLeast"/>
              <w:jc w:val="both"/>
            </w:pPr>
            <w:r w:rsidRPr="006E25EF">
              <w:rPr>
                <w:rFonts w:eastAsia="Calibri"/>
              </w:rPr>
              <w:t xml:space="preserve">Pārejas perioda noteikšana saistīta ar to, ka Nacionālajam veselības dienestam (turpmāk – NVD) sadarbībā ar Iekšlietu ministriju un Satiksmes ministriju uzdots veikt pasākumus, lai nodrošinātu vienotu </w:t>
            </w:r>
            <w:r w:rsidRPr="006E25EF">
              <w:rPr>
                <w:rFonts w:eastAsia="Calibri"/>
              </w:rPr>
              <w:lastRenderedPageBreak/>
              <w:t>ceļu satiksmes negadījumos smagi ievainoto personu statistikas datu uzskaiti atbilstoši maksimāli saīsinātās traumu klasifikācijas (MAIS) prasībām. Pēc NVD sniegtās informācijas, NVD ir pieprasījis Satiksmes ministrijai piešķirt līdzekļus izpētes veikšanai un tehniskās specifikācijas izstrādei izmaiņām NVD informācijas sistēmā, lai nodrošinātu informācijas apmaiņu starp NVD un Iekšlietu ministriju. 2020. gada 17. februāra Ceļu satiksmes drošības padomes sēdes tika nolemts piešķirt līdzekļus izpētes veikšanai un tehniskās specifikācijas izstrādei, no apdrošināšanas līdzekļiem, ko apdrošinātāji ceļu satiksmes negadījumu novēršanas pasākumu veikšanai ieskaita biedrības „Latvijas Transportlīdzekļu apdrošinātāju birojs” kontā.</w:t>
            </w:r>
          </w:p>
          <w:p w:rsidR="00324129" w:rsidRPr="006E25EF" w:rsidRDefault="0004690A">
            <w:pPr>
              <w:spacing w:before="120" w:line="240" w:lineRule="atLeast"/>
              <w:jc w:val="both"/>
            </w:pPr>
            <w:r w:rsidRPr="006E25EF">
              <w:rPr>
                <w:rFonts w:eastAsia="Calibri"/>
              </w:rPr>
              <w:t>Ņemot vērā to, ka līdzekļi ceļu satiksmes negadījumos smagi ievainoto personu statistikas datu uzskaites sistēmas izveidei vēl nav saņemti, NVD nevar uzsākt izpētes veikšanu un tehniskās specifikācijas izstrādi, kā arī pārējo izmaiņu veikšanu NVD informācijas sistēmās. Līdz ar to Projektā noteikto prasību ieviešanai nepieciešams pārejas periods, nosakot 2022. gada 1. janvāri kā ieviešanas datumu Projekta 12.2.2. un 12.2.</w:t>
            </w:r>
            <w:proofErr w:type="gramStart"/>
            <w:r w:rsidRPr="006E25EF">
              <w:rPr>
                <w:rFonts w:eastAsia="Calibri"/>
              </w:rPr>
              <w:t>3. apakšpunktiem</w:t>
            </w:r>
            <w:proofErr w:type="gramEnd"/>
            <w:r w:rsidRPr="006E25EF">
              <w:rPr>
                <w:rFonts w:eastAsia="Calibri"/>
              </w:rPr>
              <w:t>.</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jc w:val="left"/>
            </w:pPr>
            <w:r w:rsidRPr="006E25EF">
              <w:lastRenderedPageBreak/>
              <w:t>Panākta vienošanās starpinstitūciju sanāksmē.</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spacing w:before="120"/>
            </w:pPr>
            <w:r w:rsidRPr="006E25EF">
              <w:t>Papildināts projekts</w:t>
            </w:r>
          </w:p>
          <w:p w:rsidR="00324129" w:rsidRPr="006E25EF" w:rsidRDefault="0004690A">
            <w:pPr>
              <w:spacing w:before="120"/>
            </w:pPr>
            <w:r w:rsidRPr="006E25EF">
              <w:t>"</w:t>
            </w:r>
            <w:r w:rsidR="00C83B5C" w:rsidRPr="006E25EF">
              <w:t>2</w:t>
            </w:r>
            <w:r w:rsidRPr="006E25EF">
              <w:t xml:space="preserve">. Šo noteikumu </w:t>
            </w:r>
            <w:r w:rsidR="00C83B5C" w:rsidRPr="006E25EF">
              <w:t>1.</w:t>
            </w:r>
            <w:r w:rsidRPr="006E25EF">
              <w:t xml:space="preserve">3. un </w:t>
            </w:r>
            <w:r w:rsidR="00C83B5C" w:rsidRPr="006E25EF">
              <w:t>1.</w:t>
            </w:r>
            <w:r w:rsidRPr="006E25EF">
              <w:t>7. </w:t>
            </w:r>
            <w:r w:rsidR="00C83B5C" w:rsidRPr="006E25EF">
              <w:t>apakš</w:t>
            </w:r>
            <w:r w:rsidRPr="006E25EF">
              <w:t>punkts stājas spēkā 2021. gada 1. augustā. ".</w:t>
            </w:r>
          </w:p>
          <w:p w:rsidR="00324129" w:rsidRPr="006E25EF" w:rsidRDefault="0004690A">
            <w:pPr>
              <w:spacing w:before="120"/>
            </w:pPr>
            <w:r w:rsidRPr="006E25EF">
              <w:t>Papildināts Anotācijas I sadaļas 2. punkts</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pPr>
            <w:r w:rsidRPr="006E25EF">
              <w:t>3.</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pPr>
            <w:r w:rsidRPr="006E25EF">
              <w:t>Anotācijas I sadaļas 2.punkts</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center"/>
              <w:rPr>
                <w:rFonts w:eastAsia="Calibri"/>
                <w:b/>
              </w:rPr>
            </w:pPr>
            <w:r w:rsidRPr="006E25EF">
              <w:rPr>
                <w:rFonts w:eastAsia="Calibri"/>
                <w:b/>
              </w:rPr>
              <w:t>Tieslietu ministrija</w:t>
            </w:r>
          </w:p>
          <w:p w:rsidR="00324129" w:rsidRPr="006E25EF" w:rsidRDefault="0004690A">
            <w:pPr>
              <w:spacing w:before="120" w:line="240" w:lineRule="atLeast"/>
              <w:jc w:val="both"/>
            </w:pPr>
            <w:r w:rsidRPr="006E25EF">
              <w:rPr>
                <w:rFonts w:eastAsia="Calibri"/>
              </w:rPr>
              <w:lastRenderedPageBreak/>
              <w:t xml:space="preserve">Atbilstoši Eiropas Parlamenta un Padomes 2016. gada 27. aprīļa Regulas (ES) 2016/679 par fizisku personu aizsardzību attiecībā uz personas datu apstrādi un šādu datu brīvu apriti un ar ko atceļ Direktīvu 95/46/EK (Vispārīgā datu aizsardzības regula) (turpmāk – Regula) 5. panta pirmajai daļai personas dati tiek vākti likumīgi, konkrētos, skaidros un leģitīmos nolūkos un tiek glabāti ne ilgāk kā nepieciešams nolūkiem, kādos attiecīgos personas datus apstrādā. Projekta 5. punktā paredzētais Ministru kabineta 2010. gada 26. janvāra noteikumu Nr. 75 "Ceļu satiksmes negadījumu, tajos cietušo un bojā gājušo personu reģistrācijas un uzskaites noteikumi" (turpmāk – noteikumi) 12.1.2., 12.8.1., 12.8.3., 12.8.9., 12.9.5. un 12.9.6. apakšpunkts noteic, ka par negadījumu un tajā cietušajām personām Ceļu policijas reģistrā ievada ziņas par ceļu satiksmes negadījuma reģistrēšanas protokola sagatavotāja iestādi, amatu, vārdu un uzvārdu, par negadījumā iesaistīto personu – vārdu, uzvārdu, valstspiederību un personas dzīvesvietas adresi, par negadījumā iesaistīto transportlīdzekli – transportlīdzekļa īpašnieka vārdu, uzvārdu vai nosaukumu, valstspiederību, adresi un transportlīdzekļa īpašnieka civiltiesiskās atbildības obligāto apdrošināšanu (apdrošināšanas sabiedrības nosaukumu, polises numuru, izdošanas datumu, laiku un </w:t>
            </w:r>
            <w:r w:rsidRPr="006E25EF">
              <w:rPr>
                <w:rFonts w:eastAsia="Calibri"/>
              </w:rPr>
              <w:lastRenderedPageBreak/>
              <w:t xml:space="preserve">derīguma termiņu). Norādām, ka projekta sākotnējās </w:t>
            </w:r>
            <w:r w:rsidRPr="006E25EF">
              <w:rPr>
                <w:rFonts w:eastAsia="Calibri"/>
                <w:i/>
              </w:rPr>
              <w:t>(</w:t>
            </w:r>
            <w:proofErr w:type="spellStart"/>
            <w:r w:rsidRPr="006E25EF">
              <w:rPr>
                <w:rFonts w:eastAsia="Calibri"/>
                <w:i/>
              </w:rPr>
              <w:t>ex-ante)</w:t>
            </w:r>
            <w:proofErr w:type="spellEnd"/>
            <w:r w:rsidRPr="006E25EF">
              <w:rPr>
                <w:rFonts w:eastAsia="Calibri"/>
              </w:rPr>
              <w:t xml:space="preserve"> ietekmes novērtējuma ziņojumā (turpmāk – anotācija) netiek skaidrota projekta 5. punktā paredzētajā noteikumu </w:t>
            </w:r>
            <w:bookmarkStart w:id="0" w:name="__DdeLink__2381_1624640765"/>
            <w:r w:rsidRPr="006E25EF">
              <w:rPr>
                <w:rFonts w:eastAsia="Calibri"/>
              </w:rPr>
              <w:t>12.1.2., 12.8.1., 12.8.3., 12.8.9., 12.9.5. un 12.9.6. apakšpunktā</w:t>
            </w:r>
            <w:bookmarkEnd w:id="0"/>
            <w:r w:rsidRPr="006E25EF">
              <w:rPr>
                <w:rFonts w:eastAsia="Calibri"/>
              </w:rPr>
              <w:t xml:space="preserve"> minēto datu apstrādes nepieciešamība. Ņemot vērā minēto, lūdzam precizēt anotāciju, skaidrojot iepriekš norādīto personas datu apstrādes mērķi, tiesisko pamatu, nosacījumus un glabāšanas termiņus.</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jc w:val="both"/>
            </w:pPr>
            <w:r w:rsidRPr="006E25EF">
              <w:lastRenderedPageBreak/>
              <w:t>Iebildums ņemts vērā.</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spacing w:before="120"/>
            </w:pPr>
            <w:r w:rsidRPr="006E25EF">
              <w:t>Papildināts Anotācijas I sadaļas 2.punkts</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pPr>
            <w:r w:rsidRPr="006E25EF">
              <w:lastRenderedPageBreak/>
              <w:t>4.</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jc w:val="both"/>
            </w:pPr>
            <w:r w:rsidRPr="006E25EF">
              <w:t>Anotācijas kopsavilkums:</w:t>
            </w:r>
          </w:p>
          <w:p w:rsidR="00324129" w:rsidRPr="006E25EF" w:rsidRDefault="0004690A">
            <w:pPr>
              <w:spacing w:before="120"/>
              <w:jc w:val="both"/>
            </w:pPr>
            <w:r w:rsidRPr="006E25EF">
              <w:t>“Projekts stājas spēkā tā parakstīšanas brīdī.”</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both"/>
              <w:rPr>
                <w:rFonts w:eastAsia="Calibri"/>
                <w:b/>
              </w:rPr>
            </w:pPr>
            <w:r w:rsidRPr="006E25EF">
              <w:rPr>
                <w:rFonts w:eastAsia="Calibri"/>
              </w:rPr>
              <w:t>Vēršam uzmanību uz to, ka Oficiālo publikāciju un tiesiskās informācijas likuma 7. panta otrā daļa noteic, ka Ministru kabineta noteikumi, instrukcijas vai ieteikumi stājas spēkā nākamajā dienā pēc to izsludināšanas, ja pašā tiesību aktā nav noteikts cits tā spēkā stāšanās termiņš. Ievērojot minēto, lūdzam precizēt anotācijas kopsavilkumā ietverto informāciju par to, ka projekts stājas spēkā tā parakstīšanas brīdī.</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jc w:val="both"/>
            </w:pPr>
            <w:r w:rsidRPr="006E25EF">
              <w:t>Iebildums ņemts vērā.</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spacing w:before="120"/>
            </w:pPr>
            <w:r w:rsidRPr="006E25EF">
              <w:t>Precizēts Anotācijas kopsavilkums:</w:t>
            </w:r>
          </w:p>
          <w:p w:rsidR="00324129" w:rsidRPr="006E25EF" w:rsidRDefault="0004690A" w:rsidP="005B4642">
            <w:pPr>
              <w:spacing w:before="120"/>
            </w:pPr>
            <w:r w:rsidRPr="006E25EF">
              <w:t>“Projekts stāsies spēkā vispārējā kārtībā atbilstoši Oficiālo publikāciju un tiesiskās informācijas likumam. Projekts paredz,</w:t>
            </w:r>
            <w:r w:rsidR="00C83B5C" w:rsidRPr="006E25EF">
              <w:t xml:space="preserve"> ka</w:t>
            </w:r>
            <w:r w:rsidR="00C83B5C" w:rsidRPr="006E25EF">
              <w:rPr>
                <w:rFonts w:eastAsia="Noto Sans CJK SC"/>
                <w:kern w:val="2"/>
                <w:lang w:eastAsia="zh-CN"/>
              </w:rPr>
              <w:t xml:space="preserve"> </w:t>
            </w:r>
            <w:r w:rsidR="00C83B5C" w:rsidRPr="006E25EF">
              <w:t>grozījums par noteikumu papildināšanu ar 2.5.</w:t>
            </w:r>
            <w:r w:rsidR="00C83B5C" w:rsidRPr="006E25EF">
              <w:rPr>
                <w:vertAlign w:val="superscript"/>
              </w:rPr>
              <w:t>1</w:t>
            </w:r>
            <w:r w:rsidR="00C83B5C" w:rsidRPr="006E25EF">
              <w:t xml:space="preserve"> apakšpunktu un grozījums noteikumu 2.10. apakšpunktā par tā papildināšanu ar atsauci uz noteikumu 2.5.</w:t>
            </w:r>
            <w:r w:rsidR="00C83B5C" w:rsidRPr="006E25EF">
              <w:rPr>
                <w:vertAlign w:val="superscript"/>
              </w:rPr>
              <w:t>1 </w:t>
            </w:r>
            <w:r w:rsidR="00C83B5C" w:rsidRPr="006E25EF">
              <w:t>apakšpunktu stāsies spēkā vienlaikus ar grozījumiem Ceļu satiksmes likumā, kas noteic</w:t>
            </w:r>
            <w:r w:rsidRPr="006E25EF">
              <w:t xml:space="preserve"> </w:t>
            </w:r>
            <w:proofErr w:type="spellStart"/>
            <w:r w:rsidRPr="006E25EF">
              <w:t>elektroskrejriteņa</w:t>
            </w:r>
            <w:proofErr w:type="spellEnd"/>
            <w:r w:rsidRPr="006E25EF">
              <w:t xml:space="preserve"> izmantošanu ceļu satiksmē, bet tā </w:t>
            </w:r>
            <w:r w:rsidR="00C83B5C" w:rsidRPr="006E25EF">
              <w:t>1.</w:t>
            </w:r>
            <w:r w:rsidRPr="006E25EF">
              <w:t xml:space="preserve">3. un </w:t>
            </w:r>
            <w:r w:rsidR="00C83B5C" w:rsidRPr="006E25EF">
              <w:t>1.</w:t>
            </w:r>
            <w:r w:rsidRPr="006E25EF">
              <w:t xml:space="preserve">7. </w:t>
            </w:r>
            <w:r w:rsidR="00C83B5C" w:rsidRPr="006E25EF">
              <w:t>apakš</w:t>
            </w:r>
            <w:r w:rsidRPr="006E25EF">
              <w:t>punkts stāsies spēkā 2021. gada 1. augustā.”</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pPr>
            <w:r w:rsidRPr="006E25EF">
              <w:lastRenderedPageBreak/>
              <w:t>5.</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jc w:val="both"/>
            </w:pPr>
            <w:r w:rsidRPr="006E25EF">
              <w:t xml:space="preserve">Anotācijas </w:t>
            </w:r>
            <w:r w:rsidRPr="006E25EF">
              <w:rPr>
                <w:rFonts w:eastAsia="Calibri"/>
              </w:rPr>
              <w:t>I sadaļas 2. punkts</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both"/>
              <w:rPr>
                <w:rFonts w:eastAsia="Calibri"/>
              </w:rPr>
            </w:pPr>
            <w:r w:rsidRPr="006E25EF">
              <w:rPr>
                <w:rFonts w:eastAsia="Calibri"/>
              </w:rPr>
              <w:t xml:space="preserve">Anotācijas I sadaļas 2. punktā ir minēts, ka, lai Latvijā nodrošinātu datu par negadījumos ievainotajām personām reģistrāciju atbilstoši Maksimāli saīsinātajai traumu klasifikācijai (MAIS), nepieciešamas izmaiņas Pacientu tiesību likumā un noteikumos. Turklāt tikai pēc grozījumu izdarīšanas Pacientu tiesību likumā un noteikumos starp Nacionālo veselības dienestu un Iekšlietu ministrijas Informācijas centru tiks noslēgta starpresoru vienošanās par informācijas apmaiņu. Vēršam uzmanību uz to, ka likumprojekts "Grozījumi Pacientu tiesību likumā" </w:t>
            </w:r>
            <w:proofErr w:type="gramStart"/>
            <w:r w:rsidRPr="006E25EF">
              <w:rPr>
                <w:rFonts w:eastAsia="Calibri"/>
              </w:rPr>
              <w:t>(</w:t>
            </w:r>
            <w:proofErr w:type="gramEnd"/>
            <w:r w:rsidRPr="006E25EF">
              <w:rPr>
                <w:rFonts w:eastAsia="Calibri"/>
              </w:rPr>
              <w:t xml:space="preserve">Saeimas reģ. Nr. 672/Lp13) nav pieņemts nevienā lasījumā. </w:t>
            </w:r>
            <w:proofErr w:type="gramStart"/>
            <w:r w:rsidRPr="006E25EF">
              <w:rPr>
                <w:rFonts w:eastAsia="Calibri"/>
              </w:rPr>
              <w:t>Turklāt,</w:t>
            </w:r>
            <w:proofErr w:type="gramEnd"/>
            <w:r w:rsidRPr="006E25EF">
              <w:rPr>
                <w:rFonts w:eastAsia="Calibri"/>
              </w:rPr>
              <w:t xml:space="preserve"> Tieslietu ministrijas ieskatā, attiecīgajiem grozījumiem noteikumos un Pacientu tiesību likumā būtu jāstājas vienlaikus, bet ne no projektā paredzētā regulējuma, ne no anotācijā ietvertās informācijas tas neizriet. Ievērojot minēto, lūdzam izvērtēt projektā noteikto un precizēt to</w:t>
            </w:r>
            <w:proofErr w:type="gramStart"/>
            <w:r w:rsidRPr="006E25EF">
              <w:rPr>
                <w:rFonts w:eastAsia="Calibri"/>
              </w:rPr>
              <w:t xml:space="preserve"> vai papildināt anotāciju ar atbilstošu skaidrojumu</w:t>
            </w:r>
            <w:proofErr w:type="gramEnd"/>
            <w:r w:rsidRPr="006E25EF">
              <w:rPr>
                <w:rFonts w:eastAsia="Calibri"/>
              </w:rPr>
              <w:t>.</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jc w:val="both"/>
            </w:pPr>
            <w:r w:rsidRPr="006E25EF">
              <w:t xml:space="preserve">Iebildums ņemts vērā.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spacing w:before="120"/>
            </w:pPr>
            <w:r w:rsidRPr="006E25EF">
              <w:t>Papildināts projekts:</w:t>
            </w:r>
          </w:p>
          <w:p w:rsidR="00324129" w:rsidRPr="006E25EF" w:rsidRDefault="0004690A">
            <w:pPr>
              <w:spacing w:before="120"/>
            </w:pPr>
            <w:r w:rsidRPr="006E25EF">
              <w:t>"</w:t>
            </w:r>
            <w:r w:rsidR="00C83B5C" w:rsidRPr="006E25EF">
              <w:t>2</w:t>
            </w:r>
            <w:r w:rsidRPr="006E25EF">
              <w:t xml:space="preserve">. Šo noteikumu </w:t>
            </w:r>
            <w:r w:rsidR="00C83B5C" w:rsidRPr="006E25EF">
              <w:t>1.</w:t>
            </w:r>
            <w:r w:rsidRPr="006E25EF">
              <w:t xml:space="preserve">3. un </w:t>
            </w:r>
            <w:r w:rsidR="00C83B5C" w:rsidRPr="006E25EF">
              <w:t>1.</w:t>
            </w:r>
            <w:r w:rsidRPr="006E25EF">
              <w:t>7. </w:t>
            </w:r>
            <w:r w:rsidR="00C83B5C" w:rsidRPr="006E25EF">
              <w:t>apakš</w:t>
            </w:r>
            <w:r w:rsidRPr="006E25EF">
              <w:t>punkts stājas spēkā 2021. gada 1. augustā.".</w:t>
            </w:r>
          </w:p>
          <w:p w:rsidR="00324129" w:rsidRPr="006E25EF" w:rsidRDefault="0004690A">
            <w:pPr>
              <w:spacing w:before="120"/>
            </w:pPr>
            <w:r w:rsidRPr="006E25EF">
              <w:t>Papildināts Anotācijas I sadaļas 2. punkts</w:t>
            </w:r>
          </w:p>
        </w:tc>
      </w:tr>
      <w:tr w:rsidR="006E25EF" w:rsidRPr="006E25EF">
        <w:tc>
          <w:tcPr>
            <w:tcW w:w="706"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20" w:after="0"/>
            </w:pPr>
            <w:r w:rsidRPr="006E25EF">
              <w:t>6.</w:t>
            </w:r>
          </w:p>
        </w:tc>
        <w:tc>
          <w:tcPr>
            <w:tcW w:w="3085"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both"/>
            </w:pPr>
            <w:r w:rsidRPr="006E25EF">
              <w:rPr>
                <w:rFonts w:eastAsia="Calibri"/>
              </w:rPr>
              <w:t>Anotācijas I sadaļas 2. punkts</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spacing w:before="120" w:line="240" w:lineRule="atLeast"/>
              <w:jc w:val="both"/>
            </w:pPr>
            <w:r w:rsidRPr="006E25EF">
              <w:rPr>
                <w:rFonts w:eastAsia="Calibri"/>
              </w:rPr>
              <w:t xml:space="preserve">Anotācijas I sadaļas 2. punktā ir minēts, ka, lai reglamentētu </w:t>
            </w:r>
            <w:proofErr w:type="spellStart"/>
            <w:r w:rsidRPr="006E25EF">
              <w:rPr>
                <w:rFonts w:eastAsia="Calibri"/>
              </w:rPr>
              <w:t>elektroskrejriteņu</w:t>
            </w:r>
            <w:proofErr w:type="spellEnd"/>
            <w:r w:rsidRPr="006E25EF">
              <w:rPr>
                <w:rFonts w:eastAsia="Calibri"/>
              </w:rPr>
              <w:t xml:space="preserve"> izmantošanas kārtību ceļu satiksmē, Satiksmes ministrija ir sagatavojusi grozījumus Ceļu satiksmes likumā. Līdz ar to, lai nodrošinātu negadījumu, kuros iesaistīti </w:t>
            </w:r>
            <w:proofErr w:type="spellStart"/>
            <w:r w:rsidRPr="006E25EF">
              <w:rPr>
                <w:rFonts w:eastAsia="Calibri"/>
              </w:rPr>
              <w:t>elektroskrejriteņu</w:t>
            </w:r>
            <w:proofErr w:type="spellEnd"/>
            <w:r w:rsidRPr="006E25EF">
              <w:rPr>
                <w:rFonts w:eastAsia="Calibri"/>
              </w:rPr>
              <w:t xml:space="preserve"> vadītāji, precīzu statistisko uzskaiti, noteikumus nepieciešams papildināt ar jaunu </w:t>
            </w:r>
            <w:r w:rsidRPr="006E25EF">
              <w:rPr>
                <w:rFonts w:eastAsia="Calibri"/>
              </w:rPr>
              <w:lastRenderedPageBreak/>
              <w:t xml:space="preserve">negadījuma veidu – uzbraukums </w:t>
            </w:r>
            <w:proofErr w:type="spellStart"/>
            <w:r w:rsidRPr="006E25EF">
              <w:rPr>
                <w:rFonts w:eastAsia="Calibri"/>
              </w:rPr>
              <w:t>elektroskrejriteņa</w:t>
            </w:r>
            <w:proofErr w:type="spellEnd"/>
            <w:r w:rsidRPr="006E25EF">
              <w:rPr>
                <w:rFonts w:eastAsia="Calibri"/>
              </w:rPr>
              <w:t xml:space="preserve"> vadītājam – un tā skaidrojumu. Vēršam uzmanību uz to, ka likumprojekts "Grozījumi Ceļu satiksmes likumā" vēl nav iesniegts Saeimā. </w:t>
            </w:r>
            <w:proofErr w:type="gramStart"/>
            <w:r w:rsidRPr="006E25EF">
              <w:rPr>
                <w:rFonts w:eastAsia="Calibri"/>
              </w:rPr>
              <w:t>Turklāt,</w:t>
            </w:r>
            <w:proofErr w:type="gramEnd"/>
            <w:r w:rsidRPr="006E25EF">
              <w:rPr>
                <w:rFonts w:eastAsia="Calibri"/>
              </w:rPr>
              <w:t xml:space="preserve"> Tieslietu ministrijas ieskatā, attiecīgajiem grozījumiem noteikumos un Ceļu satiksmes likumā būtu jāstājas vienlaikus, bet ne no projektā paredzētā regulējuma, ne no anotācijā ietvertās informācijas tas neizriet. Ievērojot minēto, lūdzam izvērtēt projektā noteikto un precizēt to</w:t>
            </w:r>
            <w:proofErr w:type="gramStart"/>
            <w:r w:rsidRPr="006E25EF">
              <w:rPr>
                <w:rFonts w:eastAsia="Calibri"/>
              </w:rPr>
              <w:t xml:space="preserve"> vai papildināt anotāciju ar atbilstošu skaidrojumu</w:t>
            </w:r>
            <w:proofErr w:type="gramEnd"/>
            <w:r w:rsidRPr="006E25EF">
              <w:rPr>
                <w:rFonts w:eastAsia="Calibri"/>
              </w:rPr>
              <w:t>.</w:t>
            </w:r>
          </w:p>
        </w:tc>
        <w:tc>
          <w:tcPr>
            <w:tcW w:w="3580" w:type="dxa"/>
            <w:gridSpan w:val="2"/>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c"/>
              <w:spacing w:before="114" w:after="114"/>
              <w:jc w:val="both"/>
            </w:pPr>
            <w:r w:rsidRPr="006E25EF">
              <w:lastRenderedPageBreak/>
              <w:t xml:space="preserve">Iebildums ņemts vērā. </w:t>
            </w:r>
          </w:p>
        </w:tc>
        <w:tc>
          <w:tcPr>
            <w:tcW w:w="3227" w:type="dxa"/>
            <w:tcBorders>
              <w:top w:val="single" w:sz="4" w:space="0" w:color="000000"/>
              <w:left w:val="single" w:sz="4" w:space="0" w:color="000000"/>
              <w:bottom w:val="single" w:sz="4" w:space="0" w:color="000000"/>
              <w:right w:val="single" w:sz="4" w:space="0" w:color="000000"/>
            </w:tcBorders>
            <w:shd w:val="clear" w:color="auto" w:fill="auto"/>
          </w:tcPr>
          <w:p w:rsidR="00324129" w:rsidRPr="006E25EF" w:rsidRDefault="0004690A">
            <w:pPr>
              <w:pStyle w:val="naisc"/>
              <w:spacing w:before="114" w:after="114"/>
              <w:jc w:val="both"/>
            </w:pPr>
            <w:r w:rsidRPr="006E25EF">
              <w:t>Papildināts projekts:</w:t>
            </w:r>
          </w:p>
          <w:p w:rsidR="00C83B5C" w:rsidRPr="006E25EF" w:rsidRDefault="00C83B5C" w:rsidP="00C83B5C">
            <w:pPr>
              <w:spacing w:before="120"/>
            </w:pPr>
            <w:r w:rsidRPr="006E25EF">
              <w:t>1.10. Papildināt noteikumus ar 22.</w:t>
            </w:r>
            <w:r w:rsidRPr="006E25EF">
              <w:rPr>
                <w:vertAlign w:val="superscript"/>
              </w:rPr>
              <w:t>1</w:t>
            </w:r>
            <w:r w:rsidRPr="006E25EF">
              <w:t xml:space="preserve"> punktu šādā redakcijā:</w:t>
            </w:r>
          </w:p>
          <w:p w:rsidR="00C83B5C" w:rsidRPr="006E25EF" w:rsidRDefault="00C83B5C" w:rsidP="00C83B5C">
            <w:pPr>
              <w:spacing w:before="120"/>
            </w:pPr>
            <w:r w:rsidRPr="006E25EF">
              <w:t>“22.</w:t>
            </w:r>
            <w:r w:rsidRPr="006E25EF">
              <w:rPr>
                <w:vertAlign w:val="superscript"/>
              </w:rPr>
              <w:t xml:space="preserve">1 </w:t>
            </w:r>
            <w:r w:rsidRPr="006E25EF">
              <w:t>Grozījums par noteikumu papildināšanu ar 2.5.</w:t>
            </w:r>
            <w:r w:rsidRPr="006E25EF">
              <w:rPr>
                <w:vertAlign w:val="superscript"/>
              </w:rPr>
              <w:t>1</w:t>
            </w:r>
            <w:r w:rsidRPr="006E25EF">
              <w:t xml:space="preserve"> apakšpunktu un grozījums noteikumu 2.10. apakšpunktā par tā papildināšanu ar atsauci </w:t>
            </w:r>
            <w:r w:rsidRPr="006E25EF">
              <w:lastRenderedPageBreak/>
              <w:t>uz noteikumu 2.5.</w:t>
            </w:r>
            <w:r w:rsidRPr="006E25EF">
              <w:rPr>
                <w:vertAlign w:val="superscript"/>
              </w:rPr>
              <w:t>1 </w:t>
            </w:r>
            <w:r w:rsidRPr="006E25EF">
              <w:t xml:space="preserve">apakšpunktu stājas spēkā vienlaikus ar grozījumiem Ceļu satiksmes likumā, kas noteic </w:t>
            </w:r>
            <w:proofErr w:type="spellStart"/>
            <w:r w:rsidRPr="006E25EF">
              <w:t>elektroskrejriteņa</w:t>
            </w:r>
            <w:proofErr w:type="spellEnd"/>
            <w:r w:rsidRPr="006E25EF">
              <w:t xml:space="preserve"> izmantošanu ceļu satiksmē”.</w:t>
            </w:r>
          </w:p>
          <w:p w:rsidR="00324129" w:rsidRPr="006E25EF" w:rsidRDefault="0004690A">
            <w:pPr>
              <w:spacing w:before="120"/>
            </w:pPr>
            <w:r w:rsidRPr="006E25EF">
              <w:t>Papildināts Anotācijas I sadaļas 2. punkts</w:t>
            </w:r>
          </w:p>
        </w:tc>
      </w:tr>
      <w:tr w:rsidR="006E25EF" w:rsidRPr="006E25EF">
        <w:tc>
          <w:tcPr>
            <w:tcW w:w="3106" w:type="dxa"/>
            <w:gridSpan w:val="2"/>
            <w:tcBorders>
              <w:top w:val="single" w:sz="6" w:space="0" w:color="000000"/>
              <w:left w:val="single" w:sz="4" w:space="0" w:color="000000"/>
              <w:bottom w:val="single" w:sz="6" w:space="0" w:color="000000"/>
              <w:right w:val="single" w:sz="6" w:space="0" w:color="000000"/>
            </w:tcBorders>
            <w:shd w:val="clear" w:color="auto" w:fill="auto"/>
          </w:tcPr>
          <w:p w:rsidR="00324129" w:rsidRPr="006E25EF" w:rsidRDefault="00324129">
            <w:pPr>
              <w:pStyle w:val="naiskr"/>
              <w:spacing w:before="0" w:after="0"/>
            </w:pPr>
          </w:p>
          <w:p w:rsidR="00324129" w:rsidRPr="006E25EF" w:rsidRDefault="0004690A">
            <w:pPr>
              <w:pStyle w:val="naiskr"/>
              <w:spacing w:before="0" w:after="0"/>
            </w:pPr>
            <w:r w:rsidRPr="006E25EF">
              <w:t>Atbildīgā amatpersona</w:t>
            </w:r>
          </w:p>
        </w:tc>
        <w:tc>
          <w:tcPr>
            <w:tcW w:w="6180" w:type="dxa"/>
            <w:gridSpan w:val="3"/>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04690A">
            <w:pPr>
              <w:pStyle w:val="naiskr"/>
              <w:spacing w:before="0" w:after="0"/>
              <w:ind w:firstLine="720"/>
            </w:pPr>
            <w:r w:rsidRPr="006E25EF">
              <w:t>  </w:t>
            </w:r>
          </w:p>
        </w:tc>
        <w:tc>
          <w:tcPr>
            <w:tcW w:w="2479"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324129"/>
        </w:tc>
        <w:tc>
          <w:tcPr>
            <w:tcW w:w="3227"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324129"/>
        </w:tc>
      </w:tr>
      <w:tr w:rsidR="006E25EF" w:rsidRPr="006E25EF">
        <w:tc>
          <w:tcPr>
            <w:tcW w:w="3106" w:type="dxa"/>
            <w:gridSpan w:val="2"/>
            <w:tcBorders>
              <w:top w:val="single" w:sz="6" w:space="0" w:color="000000"/>
              <w:left w:val="single" w:sz="4" w:space="0" w:color="000000"/>
              <w:bottom w:val="single" w:sz="4" w:space="0" w:color="000000"/>
              <w:right w:val="single" w:sz="6" w:space="0" w:color="000000"/>
            </w:tcBorders>
            <w:shd w:val="clear" w:color="auto" w:fill="auto"/>
          </w:tcPr>
          <w:p w:rsidR="00324129" w:rsidRPr="006E25EF" w:rsidRDefault="00324129">
            <w:pPr>
              <w:pStyle w:val="naiskr"/>
              <w:spacing w:before="0" w:after="0"/>
              <w:ind w:firstLine="720"/>
            </w:pPr>
          </w:p>
        </w:tc>
        <w:tc>
          <w:tcPr>
            <w:tcW w:w="6180" w:type="dxa"/>
            <w:gridSpan w:val="3"/>
            <w:tcBorders>
              <w:top w:val="single" w:sz="6" w:space="0" w:color="000000"/>
              <w:left w:val="single" w:sz="6" w:space="0" w:color="000000"/>
              <w:bottom w:val="single" w:sz="4" w:space="0" w:color="000000"/>
              <w:right w:val="single" w:sz="6" w:space="0" w:color="000000"/>
            </w:tcBorders>
            <w:shd w:val="clear" w:color="auto" w:fill="auto"/>
          </w:tcPr>
          <w:p w:rsidR="00324129" w:rsidRPr="006E25EF" w:rsidRDefault="0004690A">
            <w:pPr>
              <w:pStyle w:val="naisc"/>
              <w:spacing w:before="0" w:after="0"/>
              <w:ind w:firstLine="720"/>
            </w:pPr>
            <w:r w:rsidRPr="006E25EF">
              <w:t>(paraksts)*</w:t>
            </w:r>
          </w:p>
        </w:tc>
        <w:tc>
          <w:tcPr>
            <w:tcW w:w="2479"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324129"/>
        </w:tc>
        <w:tc>
          <w:tcPr>
            <w:tcW w:w="3227" w:type="dxa"/>
            <w:tcBorders>
              <w:top w:val="single" w:sz="6" w:space="0" w:color="000000"/>
              <w:left w:val="single" w:sz="6" w:space="0" w:color="000000"/>
              <w:bottom w:val="single" w:sz="6" w:space="0" w:color="000000"/>
              <w:right w:val="single" w:sz="6" w:space="0" w:color="000000"/>
            </w:tcBorders>
            <w:shd w:val="clear" w:color="auto" w:fill="auto"/>
          </w:tcPr>
          <w:p w:rsidR="00324129" w:rsidRPr="006E25EF" w:rsidRDefault="00324129"/>
        </w:tc>
      </w:tr>
    </w:tbl>
    <w:p w:rsidR="00324129" w:rsidRPr="006E25EF" w:rsidRDefault="00324129">
      <w:pPr>
        <w:pStyle w:val="naisf"/>
        <w:spacing w:before="0" w:after="0"/>
        <w:ind w:firstLine="720"/>
      </w:pPr>
    </w:p>
    <w:p w:rsidR="00324129" w:rsidRPr="006E25EF" w:rsidRDefault="0004690A">
      <w:pPr>
        <w:pStyle w:val="naisf"/>
        <w:spacing w:before="0" w:after="0"/>
        <w:ind w:firstLine="720"/>
      </w:pPr>
      <w:r w:rsidRPr="006E25EF">
        <w:t>Piezīme. * Dokumenta rekvizītu "paraksts" neaizpilda, ja elektroniskais dokuments ir sagatavots atbilstoši normatīvajiem aktiem par elektronisko dokumentu noformēšanu.</w:t>
      </w:r>
    </w:p>
    <w:p w:rsidR="00324129" w:rsidRPr="006E25EF" w:rsidRDefault="00324129"/>
    <w:p w:rsidR="00324129" w:rsidRPr="006E25EF" w:rsidRDefault="00324129"/>
    <w:p w:rsidR="00324129" w:rsidRPr="006E25EF" w:rsidRDefault="00B43449">
      <w:r w:rsidRPr="006E25EF">
        <w:t>30</w:t>
      </w:r>
      <w:r w:rsidR="00592F6F" w:rsidRPr="006E25EF">
        <w:t>.06.2020.</w:t>
      </w:r>
    </w:p>
    <w:p w:rsidR="00324129" w:rsidRPr="006E25EF" w:rsidRDefault="0004690A">
      <w:r w:rsidRPr="006E25EF">
        <w:t>Ronalds Petrovskis</w:t>
      </w:r>
    </w:p>
    <w:p w:rsidR="00324129" w:rsidRPr="006E25EF" w:rsidRDefault="0004690A">
      <w:r w:rsidRPr="006E25EF">
        <w:t>Nozares politikas departamenta</w:t>
      </w:r>
    </w:p>
    <w:p w:rsidR="00324129" w:rsidRPr="006E25EF" w:rsidRDefault="0004690A">
      <w:r w:rsidRPr="006E25EF">
        <w:t>Politikas izstrādes nodaļas vecākais referents</w:t>
      </w:r>
    </w:p>
    <w:p w:rsidR="00324129" w:rsidRPr="006E25EF" w:rsidRDefault="0004690A">
      <w:r w:rsidRPr="006E25EF">
        <w:t>67219593, ronalds.petrovskis@iem.gov.lv</w:t>
      </w:r>
      <w:bookmarkStart w:id="1" w:name="_GoBack"/>
      <w:bookmarkEnd w:id="1"/>
    </w:p>
    <w:p w:rsidR="00324129" w:rsidRPr="006E25EF" w:rsidRDefault="00324129"/>
    <w:sectPr w:rsidR="00324129" w:rsidRPr="006E25EF">
      <w:headerReference w:type="default" r:id="rId6"/>
      <w:footerReference w:type="default" r:id="rId7"/>
      <w:footerReference w:type="first" r:id="rId8"/>
      <w:pgSz w:w="16838" w:h="11906" w:orient="landscape"/>
      <w:pgMar w:top="1134" w:right="1134" w:bottom="1134" w:left="1134" w:header="709" w:footer="709"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42F" w:rsidRDefault="008B742F">
      <w:r>
        <w:separator/>
      </w:r>
    </w:p>
  </w:endnote>
  <w:endnote w:type="continuationSeparator" w:id="0">
    <w:p w:rsidR="008B742F" w:rsidRDefault="008B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29" w:rsidRDefault="00B43449">
    <w:pPr>
      <w:pStyle w:val="Footer"/>
    </w:pPr>
    <w:bookmarkStart w:id="2" w:name="__DdeLink__1782_1296673304"/>
    <w:r>
      <w:rPr>
        <w:sz w:val="20"/>
        <w:szCs w:val="20"/>
      </w:rPr>
      <w:t>IeMIzz_30</w:t>
    </w:r>
    <w:r w:rsidR="0004690A">
      <w:rPr>
        <w:sz w:val="20"/>
        <w:szCs w:val="20"/>
      </w:rPr>
      <w:t>0620_VSS-351</w:t>
    </w:r>
    <w:bookmarkEnd w:id="2"/>
  </w:p>
  <w:p w:rsidR="00324129" w:rsidRDefault="00B43449" w:rsidP="00B43449">
    <w:pPr>
      <w:pStyle w:val="Footer"/>
      <w:tabs>
        <w:tab w:val="clear" w:pos="4153"/>
        <w:tab w:val="clear" w:pos="8306"/>
        <w:tab w:val="left" w:pos="119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29" w:rsidRDefault="00B43449">
    <w:pPr>
      <w:pStyle w:val="Footer"/>
    </w:pPr>
    <w:r>
      <w:rPr>
        <w:sz w:val="20"/>
        <w:szCs w:val="20"/>
      </w:rPr>
      <w:t>IeMIzz_30</w:t>
    </w:r>
    <w:r w:rsidR="0004690A">
      <w:rPr>
        <w:sz w:val="20"/>
        <w:szCs w:val="20"/>
      </w:rPr>
      <w:t>0620_VSS-351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42F" w:rsidRDefault="008B742F">
      <w:r>
        <w:separator/>
      </w:r>
    </w:p>
  </w:footnote>
  <w:footnote w:type="continuationSeparator" w:id="0">
    <w:p w:rsidR="008B742F" w:rsidRDefault="008B7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289461"/>
      <w:docPartObj>
        <w:docPartGallery w:val="Page Numbers (Top of Page)"/>
        <w:docPartUnique/>
      </w:docPartObj>
    </w:sdtPr>
    <w:sdtEndPr/>
    <w:sdtContent>
      <w:p w:rsidR="00324129" w:rsidRDefault="0004690A">
        <w:pPr>
          <w:pStyle w:val="Header"/>
          <w:jc w:val="center"/>
        </w:pPr>
        <w:r>
          <w:fldChar w:fldCharType="begin"/>
        </w:r>
        <w:r>
          <w:instrText>PAGE</w:instrText>
        </w:r>
        <w:r>
          <w:fldChar w:fldCharType="separate"/>
        </w:r>
        <w:r w:rsidR="006E25EF">
          <w:rPr>
            <w:noProof/>
          </w:rPr>
          <w:t>2</w:t>
        </w:r>
        <w:r>
          <w:fldChar w:fldCharType="end"/>
        </w:r>
      </w:p>
    </w:sdtContent>
  </w:sdt>
  <w:p w:rsidR="00324129" w:rsidRDefault="003241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9"/>
    <w:rsid w:val="0004690A"/>
    <w:rsid w:val="000E1E25"/>
    <w:rsid w:val="00324129"/>
    <w:rsid w:val="00592F6F"/>
    <w:rsid w:val="005B4642"/>
    <w:rsid w:val="006E25EF"/>
    <w:rsid w:val="008B742F"/>
    <w:rsid w:val="00B43449"/>
    <w:rsid w:val="00C83B5C"/>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95D48-EB1D-4902-BB95-9DA7BA0A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A1"/>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91D6E"/>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qFormat/>
    <w:rsid w:val="00891D6E"/>
    <w:rPr>
      <w:rFonts w:ascii="Times New Roman" w:eastAsia="Times New Roman" w:hAnsi="Times New Roman" w:cs="Times New Roman"/>
      <w:sz w:val="24"/>
      <w:szCs w:val="24"/>
      <w:lang w:eastAsia="lv-LV"/>
    </w:rPr>
  </w:style>
  <w:style w:type="character" w:customStyle="1" w:styleId="Internetasaite">
    <w:name w:val="Interneta saite"/>
    <w:basedOn w:val="DefaultParagraphFont"/>
    <w:uiPriority w:val="99"/>
    <w:semiHidden/>
    <w:unhideWhenUsed/>
    <w:rsid w:val="00C47B54"/>
    <w:rPr>
      <w:color w:val="0000FF"/>
      <w:u w:val="single"/>
    </w:rPr>
  </w:style>
  <w:style w:type="character" w:customStyle="1" w:styleId="BalloonTextChar">
    <w:name w:val="Balloon Text Char"/>
    <w:basedOn w:val="DefaultParagraphFont"/>
    <w:link w:val="BalloonText"/>
    <w:uiPriority w:val="99"/>
    <w:semiHidden/>
    <w:qFormat/>
    <w:rsid w:val="00E507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qFormat/>
    <w:rsid w:val="00777F1D"/>
    <w:rPr>
      <w:sz w:val="16"/>
      <w:szCs w:val="16"/>
    </w:rPr>
  </w:style>
  <w:style w:type="character" w:customStyle="1" w:styleId="CommentTextChar">
    <w:name w:val="Comment Text Char"/>
    <w:basedOn w:val="DefaultParagraphFont"/>
    <w:link w:val="CommentText"/>
    <w:uiPriority w:val="99"/>
    <w:semiHidden/>
    <w:qFormat/>
    <w:rsid w:val="00777F1D"/>
    <w:rPr>
      <w:rFonts w:ascii="Times New Roman" w:eastAsia="Times New Roman" w:hAnsi="Times New Roman" w:cs="Times New Roman"/>
      <w:szCs w:val="20"/>
      <w:lang w:eastAsia="lv-LV"/>
    </w:rPr>
  </w:style>
  <w:style w:type="character" w:customStyle="1" w:styleId="CommentSubjectChar">
    <w:name w:val="Comment Subject Char"/>
    <w:basedOn w:val="CommentTextChar"/>
    <w:link w:val="CommentSubject"/>
    <w:uiPriority w:val="99"/>
    <w:semiHidden/>
    <w:qFormat/>
    <w:rsid w:val="00777F1D"/>
    <w:rPr>
      <w:rFonts w:ascii="Times New Roman" w:eastAsia="Times New Roman" w:hAnsi="Times New Roman" w:cs="Times New Roman"/>
      <w:b/>
      <w:bCs/>
      <w:szCs w:val="20"/>
      <w:lang w:eastAsia="lv-LV"/>
    </w:rPr>
  </w:style>
  <w:style w:type="character" w:customStyle="1" w:styleId="ListLabel1">
    <w:name w:val="ListLabel 1"/>
    <w:qFormat/>
  </w:style>
  <w:style w:type="paragraph" w:customStyle="1" w:styleId="Virsraksts">
    <w:name w:val="Virsraksts"/>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Rdtjs">
    <w:name w:val="Rādītājs"/>
    <w:basedOn w:val="Normal"/>
    <w:qFormat/>
    <w:pPr>
      <w:suppressLineNumbers/>
    </w:pPr>
    <w:rPr>
      <w:rFonts w:cs="Lohit Devanagari"/>
    </w:rPr>
  </w:style>
  <w:style w:type="paragraph" w:styleId="NormalWeb">
    <w:name w:val="Normal (Web)"/>
    <w:basedOn w:val="Normal"/>
    <w:uiPriority w:val="99"/>
    <w:qFormat/>
    <w:rsid w:val="00891D6E"/>
    <w:pPr>
      <w:spacing w:beforeAutospacing="1" w:afterAutospacing="1"/>
    </w:pPr>
  </w:style>
  <w:style w:type="paragraph" w:customStyle="1" w:styleId="naisf">
    <w:name w:val="naisf"/>
    <w:basedOn w:val="Normal"/>
    <w:qFormat/>
    <w:rsid w:val="00891D6E"/>
    <w:pPr>
      <w:spacing w:before="75" w:after="75"/>
      <w:ind w:firstLine="375"/>
      <w:jc w:val="both"/>
    </w:pPr>
  </w:style>
  <w:style w:type="paragraph" w:customStyle="1" w:styleId="naisnod">
    <w:name w:val="naisnod"/>
    <w:basedOn w:val="Normal"/>
    <w:uiPriority w:val="99"/>
    <w:qFormat/>
    <w:rsid w:val="00891D6E"/>
    <w:pPr>
      <w:spacing w:before="150" w:after="150"/>
      <w:jc w:val="center"/>
    </w:pPr>
    <w:rPr>
      <w:b/>
      <w:bCs/>
    </w:rPr>
  </w:style>
  <w:style w:type="paragraph" w:customStyle="1" w:styleId="naiskr">
    <w:name w:val="naiskr"/>
    <w:basedOn w:val="Normal"/>
    <w:qFormat/>
    <w:rsid w:val="00891D6E"/>
    <w:pPr>
      <w:spacing w:before="75" w:after="75"/>
    </w:pPr>
  </w:style>
  <w:style w:type="paragraph" w:customStyle="1" w:styleId="naisc">
    <w:name w:val="naisc"/>
    <w:basedOn w:val="Normal"/>
    <w:qFormat/>
    <w:rsid w:val="00891D6E"/>
    <w:pPr>
      <w:spacing w:before="75" w:after="75"/>
      <w:jc w:val="center"/>
    </w:pPr>
  </w:style>
  <w:style w:type="paragraph" w:styleId="Header">
    <w:name w:val="header"/>
    <w:basedOn w:val="Normal"/>
    <w:link w:val="HeaderChar"/>
    <w:uiPriority w:val="99"/>
    <w:unhideWhenUsed/>
    <w:rsid w:val="00891D6E"/>
    <w:pPr>
      <w:tabs>
        <w:tab w:val="center" w:pos="4153"/>
        <w:tab w:val="right" w:pos="8306"/>
      </w:tabs>
    </w:pPr>
  </w:style>
  <w:style w:type="paragraph" w:styleId="Footer">
    <w:name w:val="footer"/>
    <w:basedOn w:val="Normal"/>
    <w:link w:val="FooterChar"/>
    <w:uiPriority w:val="99"/>
    <w:unhideWhenUsed/>
    <w:rsid w:val="00891D6E"/>
    <w:pPr>
      <w:tabs>
        <w:tab w:val="center" w:pos="4153"/>
        <w:tab w:val="right" w:pos="8306"/>
      </w:tabs>
    </w:pPr>
  </w:style>
  <w:style w:type="paragraph" w:styleId="ListParagraph">
    <w:name w:val="List Paragraph"/>
    <w:basedOn w:val="Normal"/>
    <w:uiPriority w:val="34"/>
    <w:qFormat/>
    <w:rsid w:val="00891D6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qFormat/>
    <w:rsid w:val="00E5071A"/>
    <w:rPr>
      <w:rFonts w:ascii="Segoe UI" w:hAnsi="Segoe UI" w:cs="Segoe UI"/>
      <w:sz w:val="18"/>
      <w:szCs w:val="18"/>
    </w:rPr>
  </w:style>
  <w:style w:type="paragraph" w:styleId="CommentText">
    <w:name w:val="annotation text"/>
    <w:basedOn w:val="Normal"/>
    <w:link w:val="CommentTextChar"/>
    <w:uiPriority w:val="99"/>
    <w:semiHidden/>
    <w:unhideWhenUsed/>
    <w:qFormat/>
    <w:rsid w:val="00777F1D"/>
    <w:rPr>
      <w:sz w:val="20"/>
      <w:szCs w:val="20"/>
    </w:rPr>
  </w:style>
  <w:style w:type="paragraph" w:styleId="CommentSubject">
    <w:name w:val="annotation subject"/>
    <w:basedOn w:val="CommentText"/>
    <w:link w:val="CommentSubjectChar"/>
    <w:uiPriority w:val="99"/>
    <w:semiHidden/>
    <w:unhideWhenUsed/>
    <w:qFormat/>
    <w:rsid w:val="00777F1D"/>
    <w:rPr>
      <w:b/>
      <w:bCs/>
    </w:rPr>
  </w:style>
  <w:style w:type="paragraph" w:customStyle="1" w:styleId="Saturardtjs">
    <w:name w:val="Satura rādītājs"/>
    <w:basedOn w:val="Normal"/>
    <w:qFormat/>
    <w:pPr>
      <w:suppressLineNumbers/>
    </w:pPr>
  </w:style>
  <w:style w:type="paragraph" w:customStyle="1" w:styleId="Tabulasvirsraksts">
    <w:name w:val="Tabulas virsraksts"/>
    <w:basedOn w:val="Saturardtj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9</Pages>
  <Words>8429</Words>
  <Characters>4805</Characters>
  <Application>Microsoft Office Word</Application>
  <DocSecurity>0</DocSecurity>
  <Lines>40</Lines>
  <Paragraphs>26</Paragraphs>
  <ScaleCrop>false</ScaleCrop>
  <Company>Microsoft</Company>
  <LinksUpToDate>false</LinksUpToDate>
  <CharactersWithSpaces>13208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Radzeviča</dc:creator>
  <dc:description/>
  <cp:lastModifiedBy>Ronalds Petrovskis</cp:lastModifiedBy>
  <cp:revision>29</cp:revision>
  <cp:lastPrinted>2020-05-14T10:20:00Z</cp:lastPrinted>
  <dcterms:created xsi:type="dcterms:W3CDTF">2020-05-20T08:19:00Z</dcterms:created>
  <dcterms:modified xsi:type="dcterms:W3CDTF">2020-07-01T08:52:00Z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