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2004C" w:rsidR="00EA4FB1" w:rsidP="0062004C" w:rsidRDefault="000A531F" w14:paraId="75F7FBFF" w14:textId="66F0339E">
      <w:pPr>
        <w:jc w:val="center"/>
        <w:rPr>
          <w:b/>
          <w:sz w:val="28"/>
          <w:szCs w:val="28"/>
        </w:rPr>
      </w:pPr>
      <w:bookmarkStart w:name="_Hlk520114501" w:id="0"/>
      <w:smartTag w:uri="schemas-tilde-lv/tildestengine" w:element="veidnes">
        <w:smartTagPr>
          <w:attr w:name="text" w:val="Izziņa"/>
          <w:attr w:name="baseform" w:val="Izziņa"/>
          <w:attr w:name="id" w:val="-1"/>
        </w:smartTagPr>
        <w:r w:rsidRPr="00F71C64">
          <w:rPr>
            <w:b/>
            <w:sz w:val="28"/>
            <w:szCs w:val="28"/>
          </w:rPr>
          <w:t>Izziņa</w:t>
        </w:r>
      </w:smartTag>
      <w:r w:rsidRPr="00F71C64">
        <w:rPr>
          <w:b/>
          <w:sz w:val="28"/>
          <w:szCs w:val="28"/>
        </w:rPr>
        <w:t xml:space="preserve"> par atzinumos sniegtajiem iebildumiem</w:t>
      </w:r>
      <w:r w:rsidR="0062004C">
        <w:rPr>
          <w:b/>
          <w:sz w:val="28"/>
          <w:szCs w:val="28"/>
        </w:rPr>
        <w:t xml:space="preserve"> </w:t>
      </w:r>
      <w:r w:rsidRPr="00F71C64">
        <w:rPr>
          <w:b/>
          <w:sz w:val="28"/>
        </w:rPr>
        <w:t>Min</w:t>
      </w:r>
      <w:r w:rsidR="00705DBC">
        <w:rPr>
          <w:b/>
          <w:sz w:val="28"/>
        </w:rPr>
        <w:t>istru kabineta rīkojuma projektam</w:t>
      </w:r>
      <w:r w:rsidRPr="00F71C64">
        <w:rPr>
          <w:b/>
          <w:sz w:val="28"/>
        </w:rPr>
        <w:t xml:space="preserve"> </w:t>
      </w:r>
    </w:p>
    <w:p w:rsidRPr="005B7B05" w:rsidR="000A531F" w:rsidP="005B7B05" w:rsidRDefault="000A531F" w14:paraId="458B585A" w14:textId="5123E262">
      <w:pPr>
        <w:jc w:val="center"/>
        <w:rPr>
          <w:b/>
          <w:sz w:val="28"/>
          <w:szCs w:val="28"/>
        </w:rPr>
      </w:pPr>
      <w:r w:rsidRPr="00AA30C8">
        <w:rPr>
          <w:b/>
          <w:sz w:val="28"/>
          <w:szCs w:val="28"/>
        </w:rPr>
        <w:t>„</w:t>
      </w:r>
      <w:r w:rsidRPr="000F6B62" w:rsidR="000F6B62">
        <w:rPr>
          <w:b/>
          <w:sz w:val="28"/>
          <w:szCs w:val="28"/>
        </w:rPr>
        <w:t>Par nekustamo īpašumu atsavināšanu valsts reģionālā autoceļa P4 Rīga-Ērgļi pārbūves projekta īstenošanai</w:t>
      </w:r>
      <w:r w:rsidRPr="00AA30C8">
        <w:rPr>
          <w:b/>
          <w:sz w:val="28"/>
          <w:szCs w:val="28"/>
        </w:rPr>
        <w:t>”</w:t>
      </w:r>
    </w:p>
    <w:bookmarkEnd w:id="0"/>
    <w:p w:rsidRPr="00EA4FB1" w:rsidR="00EA4FB1" w:rsidP="00EA4FB1" w:rsidRDefault="00EA4FB1" w14:paraId="0DC95222" w14:textId="77777777">
      <w:pPr>
        <w:ind w:firstLine="720"/>
        <w:jc w:val="center"/>
        <w:rPr>
          <w:b/>
          <w:bCs/>
          <w:sz w:val="28"/>
          <w:szCs w:val="28"/>
          <w:lang w:eastAsia="ko-KR"/>
        </w:rPr>
      </w:pPr>
    </w:p>
    <w:p w:rsidRPr="0053729A" w:rsidR="000A531F" w:rsidP="000A531F" w:rsidRDefault="000A531F" w14:paraId="7F60A93B" w14:textId="777777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8F6980" w:rsidR="000A531F" w:rsidTr="0072110C" w14:paraId="325B19CA" w14:textId="77777777">
        <w:tc>
          <w:tcPr>
            <w:tcW w:w="648" w:type="dxa"/>
            <w:vAlign w:val="center"/>
          </w:tcPr>
          <w:p w:rsidRPr="00390339" w:rsidR="000A531F" w:rsidP="0072110C" w:rsidRDefault="000A531F" w14:paraId="3A493631" w14:textId="77777777">
            <w:pPr>
              <w:jc w:val="center"/>
              <w:rPr>
                <w:sz w:val="20"/>
                <w:szCs w:val="20"/>
              </w:rPr>
            </w:pPr>
            <w:proofErr w:type="spellStart"/>
            <w:r w:rsidRPr="00390339">
              <w:rPr>
                <w:sz w:val="20"/>
                <w:szCs w:val="20"/>
              </w:rPr>
              <w:t>Nr.p.k</w:t>
            </w:r>
            <w:proofErr w:type="spellEnd"/>
            <w:r w:rsidRPr="00390339">
              <w:rPr>
                <w:sz w:val="20"/>
                <w:szCs w:val="20"/>
              </w:rPr>
              <w:t>.</w:t>
            </w:r>
          </w:p>
        </w:tc>
        <w:tc>
          <w:tcPr>
            <w:tcW w:w="1980" w:type="dxa"/>
            <w:vAlign w:val="center"/>
          </w:tcPr>
          <w:p w:rsidRPr="00390339" w:rsidR="000A531F" w:rsidP="0072110C" w:rsidRDefault="000A531F" w14:paraId="25B0D616" w14:textId="77777777">
            <w:pPr>
              <w:jc w:val="center"/>
              <w:rPr>
                <w:sz w:val="20"/>
                <w:szCs w:val="20"/>
              </w:rPr>
            </w:pPr>
            <w:r w:rsidRPr="00390339">
              <w:rPr>
                <w:sz w:val="20"/>
                <w:szCs w:val="20"/>
              </w:rPr>
              <w:t>Saskaņošanai nosūtītā projekta redakcija (konkrēta punkta (panta) redakcija)</w:t>
            </w:r>
          </w:p>
        </w:tc>
        <w:tc>
          <w:tcPr>
            <w:tcW w:w="4500" w:type="dxa"/>
            <w:vAlign w:val="center"/>
          </w:tcPr>
          <w:p w:rsidRPr="00390339" w:rsidR="000A531F" w:rsidP="0072110C" w:rsidRDefault="000A531F" w14:paraId="0C11CD22" w14:textId="77777777">
            <w:pPr>
              <w:jc w:val="center"/>
              <w:rPr>
                <w:sz w:val="20"/>
                <w:szCs w:val="20"/>
              </w:rPr>
            </w:pPr>
            <w:r w:rsidRPr="00390339">
              <w:rPr>
                <w:sz w:val="20"/>
                <w:szCs w:val="20"/>
              </w:rPr>
              <w:t>Atzinumā norādītais ministrijas (citas institūcijas) iebildums, kā arī saskaņošanā papildus izteiktais iebildums par projekta konkrēto punktu (pantu)</w:t>
            </w:r>
          </w:p>
        </w:tc>
        <w:tc>
          <w:tcPr>
            <w:tcW w:w="3240" w:type="dxa"/>
            <w:vAlign w:val="center"/>
          </w:tcPr>
          <w:p w:rsidRPr="00390339" w:rsidR="000A531F" w:rsidP="0072110C" w:rsidRDefault="000A531F" w14:paraId="21F73B3D" w14:textId="77777777">
            <w:pPr>
              <w:jc w:val="center"/>
              <w:rPr>
                <w:sz w:val="20"/>
                <w:szCs w:val="20"/>
              </w:rPr>
            </w:pPr>
            <w:r w:rsidRPr="00390339">
              <w:rPr>
                <w:sz w:val="20"/>
                <w:szCs w:val="20"/>
              </w:rPr>
              <w:t>Atbildīgās ministrijas pamatojums iebilduma noraidījumam</w:t>
            </w:r>
          </w:p>
        </w:tc>
        <w:tc>
          <w:tcPr>
            <w:tcW w:w="1620" w:type="dxa"/>
            <w:vAlign w:val="center"/>
          </w:tcPr>
          <w:p w:rsidRPr="00390339" w:rsidR="000A531F" w:rsidP="0072110C" w:rsidRDefault="000A531F" w14:paraId="24A85B3E" w14:textId="77777777">
            <w:pPr>
              <w:jc w:val="center"/>
              <w:rPr>
                <w:sz w:val="20"/>
                <w:szCs w:val="20"/>
              </w:rPr>
            </w:pPr>
            <w:r w:rsidRPr="00390339">
              <w:rPr>
                <w:sz w:val="20"/>
                <w:szCs w:val="20"/>
              </w:rPr>
              <w:t>Atzinuma sniedzēja uzturētais iebildums, ja tas atšķiras no atzinumā norādītā iebilduma pamatojuma</w:t>
            </w:r>
          </w:p>
        </w:tc>
        <w:tc>
          <w:tcPr>
            <w:tcW w:w="2186" w:type="dxa"/>
            <w:vAlign w:val="center"/>
          </w:tcPr>
          <w:p w:rsidRPr="00390339" w:rsidR="000A531F" w:rsidP="0072110C" w:rsidRDefault="000A531F" w14:paraId="69C12952" w14:textId="77777777">
            <w:pPr>
              <w:jc w:val="center"/>
              <w:rPr>
                <w:sz w:val="20"/>
                <w:szCs w:val="20"/>
              </w:rPr>
            </w:pPr>
            <w:r w:rsidRPr="00390339">
              <w:rPr>
                <w:sz w:val="20"/>
                <w:szCs w:val="20"/>
              </w:rPr>
              <w:t>Projekta attiecīgā punkta (panta) galīgā redakcija</w:t>
            </w:r>
          </w:p>
        </w:tc>
      </w:tr>
      <w:tr w:rsidRPr="00B945F5" w:rsidR="000A531F" w:rsidTr="0072110C" w14:paraId="5ED8EFBD" w14:textId="77777777">
        <w:tc>
          <w:tcPr>
            <w:tcW w:w="648" w:type="dxa"/>
          </w:tcPr>
          <w:p w:rsidR="000A531F" w:rsidP="0072110C" w:rsidRDefault="000A531F" w14:paraId="6BF91C8B" w14:textId="77777777">
            <w:pPr>
              <w:jc w:val="center"/>
            </w:pPr>
            <w:r>
              <w:t>1.</w:t>
            </w:r>
          </w:p>
        </w:tc>
        <w:tc>
          <w:tcPr>
            <w:tcW w:w="1980" w:type="dxa"/>
          </w:tcPr>
          <w:p w:rsidR="000A531F" w:rsidP="0072110C" w:rsidRDefault="000A531F" w14:paraId="4EC8E93F" w14:textId="77777777">
            <w:pPr>
              <w:jc w:val="center"/>
            </w:pPr>
            <w:r>
              <w:t>2.</w:t>
            </w:r>
          </w:p>
        </w:tc>
        <w:tc>
          <w:tcPr>
            <w:tcW w:w="4500"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Pr="0053729A" w:rsidR="000A531F" w:rsidP="00390339" w:rsidRDefault="000A531F" w14:paraId="0C266C57" w14:textId="77777777">
      <w:pPr>
        <w:jc w:val="center"/>
        <w:rPr>
          <w:b/>
        </w:rPr>
      </w:pPr>
      <w:r w:rsidRPr="0053729A">
        <w:rPr>
          <w:b/>
        </w:rPr>
        <w:t xml:space="preserve">Informācija par </w:t>
      </w:r>
      <w:proofErr w:type="spellStart"/>
      <w:r w:rsidRPr="0053729A">
        <w:rPr>
          <w:b/>
        </w:rPr>
        <w:t>starpministriju</w:t>
      </w:r>
      <w:proofErr w:type="spellEnd"/>
      <w:r w:rsidRPr="0053729A">
        <w:rPr>
          <w:b/>
        </w:rPr>
        <w:t xml:space="preserve">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Pr="003A7944" w:rsidR="00D201AD" w:rsidP="000A531F" w:rsidRDefault="000A531F" w14:paraId="43E80F13" w14:textId="71F416D5">
            <w:r w:rsidRPr="003E112E">
              <w:t xml:space="preserve"> </w:t>
            </w:r>
            <w:r w:rsidR="00D201AD">
              <w:t>2020.gada</w:t>
            </w:r>
            <w:r w:rsidR="00AF7939">
              <w:t xml:space="preserve"> </w:t>
            </w:r>
            <w:r w:rsidR="000F6B62">
              <w:t>1</w:t>
            </w:r>
            <w:r w:rsidR="00780A70">
              <w:t>3</w:t>
            </w:r>
            <w:r w:rsidR="000F6B62">
              <w:t>.jūlijs</w:t>
            </w:r>
            <w:r w:rsidR="00D201AD">
              <w:t xml:space="preserve"> (elektroniskās saskaņošana).</w:t>
            </w: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77777777">
            <w:pPr>
              <w:ind w:left="72"/>
            </w:pPr>
            <w:r w:rsidRPr="003A7944">
              <w:t>Tieslietu ministrija</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77777777">
            <w:pPr>
              <w:ind w:left="72"/>
            </w:pPr>
            <w:r w:rsidRPr="003A7944">
              <w:t>Finanšu ministrija</w:t>
            </w:r>
          </w:p>
        </w:tc>
      </w:tr>
      <w:tr w:rsidRPr="003A7944" w:rsidR="000A531F" w:rsidTr="00906110" w14:paraId="0EEC5C18" w14:textId="77777777">
        <w:trPr>
          <w:trHeight w:val="340"/>
        </w:trPr>
        <w:tc>
          <w:tcPr>
            <w:tcW w:w="3663" w:type="dxa"/>
            <w:vMerge/>
          </w:tcPr>
          <w:p w:rsidRPr="003A7944" w:rsidR="000A531F" w:rsidP="0072110C" w:rsidRDefault="000A531F" w14:paraId="0AEBEF60" w14:textId="77777777"/>
        </w:tc>
        <w:tc>
          <w:tcPr>
            <w:tcW w:w="10507" w:type="dxa"/>
            <w:gridSpan w:val="2"/>
            <w:vAlign w:val="bottom"/>
          </w:tcPr>
          <w:p w:rsidRPr="003A7944" w:rsidR="000A531F" w:rsidP="0072110C" w:rsidRDefault="000A531F" w14:paraId="184AF6D7" w14:textId="065497A7">
            <w:pPr>
              <w:ind w:left="72"/>
            </w:pPr>
          </w:p>
        </w:tc>
      </w:tr>
      <w:tr w:rsidRPr="003A7944" w:rsidR="000A531F" w:rsidTr="00906110" w14:paraId="0AB77599" w14:textId="77777777">
        <w:trPr>
          <w:trHeight w:val="135"/>
        </w:trPr>
        <w:tc>
          <w:tcPr>
            <w:tcW w:w="3663" w:type="dxa"/>
            <w:vMerge/>
            <w:vAlign w:val="bottom"/>
          </w:tcPr>
          <w:p w:rsidRPr="003A7944" w:rsidR="000A531F" w:rsidP="0072110C" w:rsidRDefault="000A531F" w14:paraId="1C95AADC" w14:textId="77777777"/>
        </w:tc>
        <w:tc>
          <w:tcPr>
            <w:tcW w:w="10507" w:type="dxa"/>
            <w:gridSpan w:val="2"/>
            <w:vAlign w:val="bottom"/>
          </w:tcPr>
          <w:p w:rsidRPr="003A7944" w:rsidR="000A531F" w:rsidP="0072110C" w:rsidRDefault="000A531F" w14:paraId="34C87EDB" w14:textId="764A9178">
            <w:pPr>
              <w:ind w:left="72"/>
            </w:pPr>
          </w:p>
        </w:tc>
      </w:tr>
      <w:tr w:rsidRPr="003A7944" w:rsidR="00AA30C8" w:rsidTr="00906110" w14:paraId="67160DD6" w14:textId="77777777">
        <w:trPr>
          <w:gridAfter w:val="2"/>
          <w:wAfter w:w="10507" w:type="dxa"/>
          <w:trHeight w:val="276"/>
        </w:trPr>
        <w:tc>
          <w:tcPr>
            <w:tcW w:w="3663" w:type="dxa"/>
            <w:vMerge/>
            <w:vAlign w:val="bottom"/>
          </w:tcPr>
          <w:p w:rsidRPr="003A7944" w:rsidR="00AA30C8" w:rsidP="0072110C" w:rsidRDefault="00AA30C8" w14:paraId="3B27207C" w14:textId="77777777"/>
        </w:tc>
      </w:tr>
      <w:tr w:rsidRPr="003A7944" w:rsidR="000A531F" w:rsidTr="00906110" w14:paraId="50297B32" w14:textId="77777777">
        <w:trPr>
          <w:trHeight w:val="629"/>
        </w:trPr>
        <w:tc>
          <w:tcPr>
            <w:tcW w:w="6132" w:type="dxa"/>
            <w:gridSpan w:val="2"/>
            <w:vAlign w:val="bottom"/>
          </w:tcPr>
          <w:p w:rsidRPr="003A7944" w:rsidR="000A531F" w:rsidP="0072110C"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007F5237" w:rsidP="00D47019" w:rsidRDefault="007F5237" w14:paraId="32D2DBC8" w14:textId="77777777"/>
          <w:p w:rsidRPr="003A7944" w:rsidR="00AF7939" w:rsidP="00D47019" w:rsidRDefault="00AF7939" w14:paraId="11A709A3" w14:textId="1B78A196">
            <w:r>
              <w:t>Tieslietu ministrija</w:t>
            </w:r>
            <w:r w:rsidR="000F6B62">
              <w:t>s</w:t>
            </w:r>
          </w:p>
        </w:tc>
      </w:tr>
      <w:tr w:rsidRPr="003A7944" w:rsidR="000A531F" w:rsidTr="00906110" w14:paraId="0DDF6A41" w14:textId="77777777">
        <w:trPr>
          <w:trHeight w:val="80"/>
        </w:trPr>
        <w:tc>
          <w:tcPr>
            <w:tcW w:w="6132" w:type="dxa"/>
            <w:gridSpan w:val="2"/>
            <w:vAlign w:val="bottom"/>
          </w:tcPr>
          <w:p w:rsidRPr="003A7944" w:rsidR="000A531F" w:rsidP="0072110C" w:rsidRDefault="000A531F" w14:paraId="626803DB" w14:textId="77777777">
            <w:r w:rsidRPr="003A7944">
              <w:t>Ministrijas (citas institūcijas), kuras nav ieradušās uz sanāksmi vai kuras nav atbildējušas uz uzaicinājumu piedalīties elektroniskajā saskaņošanā</w:t>
            </w:r>
          </w:p>
        </w:tc>
        <w:tc>
          <w:tcPr>
            <w:tcW w:w="8038" w:type="dxa"/>
          </w:tcPr>
          <w:p w:rsidRPr="0073295B" w:rsidR="000A531F" w:rsidP="0072110C" w:rsidRDefault="000A531F" w14:paraId="4B68C877" w14:textId="77777777"/>
        </w:tc>
      </w:tr>
    </w:tbl>
    <w:p w:rsidR="00C73711" w:rsidP="0062004C" w:rsidRDefault="000A531F" w14:paraId="7FB632DB" w14:textId="2774300D">
      <w:pPr>
        <w:pStyle w:val="naisf"/>
        <w:spacing w:before="0" w:after="0"/>
        <w:ind w:firstLine="0"/>
        <w:jc w:val="center"/>
        <w:rPr>
          <w:b/>
        </w:rPr>
      </w:pPr>
      <w:r w:rsidRPr="00B05446">
        <w:rPr>
          <w:b/>
          <w:sz w:val="28"/>
          <w:szCs w:val="28"/>
        </w:rPr>
        <w:t xml:space="preserve">II. </w:t>
      </w:r>
      <w:r w:rsidRPr="00930695"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3119"/>
        <w:gridCol w:w="4678"/>
        <w:gridCol w:w="2722"/>
        <w:gridCol w:w="2980"/>
      </w:tblGrid>
      <w:tr w:rsidR="005D403F" w:rsidTr="0091003F" w14:paraId="19535BC7" w14:textId="77777777">
        <w:tc>
          <w:tcPr>
            <w:tcW w:w="675" w:type="dxa"/>
          </w:tcPr>
          <w:p w:rsidR="005D403F" w:rsidP="005D403F" w:rsidRDefault="005D403F" w14:paraId="0BCA00DC" w14:textId="77777777">
            <w:pPr>
              <w:pStyle w:val="naisf"/>
              <w:spacing w:before="0" w:after="0"/>
              <w:ind w:firstLine="0"/>
              <w:jc w:val="center"/>
            </w:pPr>
            <w:r>
              <w:t>Nr.</w:t>
            </w:r>
          </w:p>
          <w:p w:rsidR="005D403F" w:rsidP="005D403F" w:rsidRDefault="005D403F" w14:paraId="5F8FB0CA" w14:textId="77777777">
            <w:pPr>
              <w:pStyle w:val="naisf"/>
              <w:spacing w:before="0" w:after="0"/>
              <w:ind w:firstLine="0"/>
              <w:jc w:val="center"/>
            </w:pPr>
            <w:r>
              <w:t>p.k.</w:t>
            </w:r>
          </w:p>
        </w:tc>
        <w:tc>
          <w:tcPr>
            <w:tcW w:w="3119" w:type="dxa"/>
          </w:tcPr>
          <w:p w:rsidR="005D403F" w:rsidP="005D403F" w:rsidRDefault="005D403F" w14:paraId="267E306B" w14:textId="77777777">
            <w:pPr>
              <w:pStyle w:val="naisf"/>
              <w:spacing w:before="0" w:after="0"/>
              <w:ind w:firstLine="0"/>
              <w:jc w:val="center"/>
            </w:pPr>
            <w:r w:rsidRPr="00930695">
              <w:t>Saskaņošanai nosūtītā projekta redakcija (konkrēta punkta (panta) redakcija)</w:t>
            </w:r>
          </w:p>
        </w:tc>
        <w:tc>
          <w:tcPr>
            <w:tcW w:w="4678" w:type="dxa"/>
          </w:tcPr>
          <w:p w:rsidR="005D403F" w:rsidP="005D403F" w:rsidRDefault="005D403F" w14:paraId="52143616" w14:textId="77777777">
            <w:pPr>
              <w:pStyle w:val="naisf"/>
              <w:spacing w:before="0" w:after="0"/>
              <w:ind w:firstLine="0"/>
              <w:jc w:val="center"/>
            </w:pPr>
            <w:r w:rsidRPr="00930695">
              <w:t>Atzinumā norādītais ministrijas (citas institūcijas) iebildums, kā arī saskaņošanā papildus izteiktais iebildums par projekta konkrēto punktu (pantu)</w:t>
            </w:r>
          </w:p>
        </w:tc>
        <w:tc>
          <w:tcPr>
            <w:tcW w:w="2722" w:type="dxa"/>
          </w:tcPr>
          <w:p w:rsidR="005D403F" w:rsidP="005D403F" w:rsidRDefault="005D403F" w14:paraId="6C6BD330" w14:textId="77777777">
            <w:pPr>
              <w:pStyle w:val="naisf"/>
              <w:spacing w:before="0" w:after="0"/>
              <w:ind w:firstLine="0"/>
              <w:jc w:val="center"/>
            </w:pPr>
            <w:r w:rsidRPr="00930695">
              <w:t xml:space="preserve">Atbildīgās ministrijas norāde par to, ka iebildums ir ņemts vērā, vai informācija par </w:t>
            </w:r>
            <w:r w:rsidRPr="00930695">
              <w:lastRenderedPageBreak/>
              <w:t>saskaņošanā panākto alternatīvo risinājumu</w:t>
            </w:r>
          </w:p>
        </w:tc>
        <w:tc>
          <w:tcPr>
            <w:tcW w:w="2980" w:type="dxa"/>
          </w:tcPr>
          <w:p w:rsidR="005D403F" w:rsidP="005D403F" w:rsidRDefault="005D403F" w14:paraId="7F91D989" w14:textId="77777777">
            <w:pPr>
              <w:pStyle w:val="naisf"/>
              <w:spacing w:before="0" w:after="0"/>
              <w:ind w:firstLine="0"/>
              <w:jc w:val="center"/>
            </w:pPr>
            <w:r w:rsidRPr="00930695">
              <w:lastRenderedPageBreak/>
              <w:t>Projekta attiecīgā punkta (panta) galīgā redakcija</w:t>
            </w:r>
          </w:p>
        </w:tc>
      </w:tr>
      <w:tr w:rsidR="005D403F" w:rsidTr="0091003F" w14:paraId="4254AEA4" w14:textId="77777777">
        <w:tc>
          <w:tcPr>
            <w:tcW w:w="675" w:type="dxa"/>
          </w:tcPr>
          <w:p w:rsidR="005D403F" w:rsidP="005D403F" w:rsidRDefault="000F6B62" w14:paraId="2DF49046" w14:textId="5FC0EB10">
            <w:pPr>
              <w:pStyle w:val="naisf"/>
              <w:spacing w:before="0" w:after="0"/>
              <w:ind w:firstLine="0"/>
              <w:jc w:val="center"/>
            </w:pPr>
            <w:r>
              <w:t>1.</w:t>
            </w:r>
          </w:p>
        </w:tc>
        <w:tc>
          <w:tcPr>
            <w:tcW w:w="3119" w:type="dxa"/>
          </w:tcPr>
          <w:p w:rsidR="00491E1F" w:rsidP="001D6641" w:rsidRDefault="00491E1F" w14:paraId="1A4FA300" w14:textId="43FC2E66">
            <w:pPr>
              <w:jc w:val="both"/>
              <w:rPr>
                <w:lang w:eastAsia="ko-KR"/>
              </w:rPr>
            </w:pPr>
          </w:p>
        </w:tc>
        <w:tc>
          <w:tcPr>
            <w:tcW w:w="4678" w:type="dxa"/>
          </w:tcPr>
          <w:p w:rsidR="005B7B05" w:rsidP="00AF7939" w:rsidRDefault="000F6B62" w14:paraId="10957702" w14:textId="77777777">
            <w:pPr>
              <w:widowControl w:val="0"/>
              <w:jc w:val="both"/>
            </w:pPr>
            <w:r w:rsidRPr="000F6B62">
              <w:rPr>
                <w:b/>
                <w:bCs/>
              </w:rPr>
              <w:t>Tieslietu ministrijas</w:t>
            </w:r>
            <w:r>
              <w:t xml:space="preserve"> 2020.gada 26.jūnija atzinums Nr.1-9.1/665.</w:t>
            </w:r>
          </w:p>
          <w:p w:rsidR="000F6B62" w:rsidP="000F6B62" w:rsidRDefault="000F6B62" w14:paraId="790B2C98" w14:textId="77777777">
            <w:pPr>
              <w:widowControl w:val="0"/>
              <w:jc w:val="both"/>
            </w:pPr>
            <w:r>
              <w:t>1. Anotācijas I sadaļas 2.punktā norādīts, ka nekustamajam īpašumam “Autoceļš P4” (nekustamā īpašuma kadastra Nr. 7456 003 0128), kura sastāvā ir zemes vienība ar kadastra apzīmējumu 7456 004 0114, saskaņā ar Nekustamā īpašuma valsts kadastra informācijas sistēmas datiem (turpmāk – NĪVKIS) ir noteikti divi apgrūtinājumi – aizsargjoslu teritorijas.</w:t>
            </w:r>
          </w:p>
          <w:p w:rsidR="000F6B62" w:rsidP="000F6B62" w:rsidRDefault="000F6B62" w14:paraId="3CBABEA0" w14:textId="77777777">
            <w:pPr>
              <w:widowControl w:val="0"/>
              <w:jc w:val="both"/>
            </w:pPr>
            <w:r>
              <w:t>Saskaņā ar Aizsargjoslu likuma 60.panta pirmo daļu īpašuma tiesību aprobežojumi, ja aizsargjosla atrodas uz īpašumā esoša zemes gabala, ierakstāmi zemesgrāmatā likumā noteiktajā kārtībā.</w:t>
            </w:r>
          </w:p>
          <w:p w:rsidR="000F6B62" w:rsidP="000F6B62" w:rsidRDefault="000F6B62" w14:paraId="632FE042" w14:textId="77777777">
            <w:pPr>
              <w:widowControl w:val="0"/>
              <w:jc w:val="both"/>
            </w:pPr>
            <w:r>
              <w:t>Ministrija vērš uzmanību, ka no projektam pievienotajiem paskaidrojošajiem materiāliem  konstatējams, ka nekustamajam īpašumam zemesgrāmatā ir noteikti 35 apgrūtinājumi.</w:t>
            </w:r>
          </w:p>
          <w:p w:rsidRPr="00B14512" w:rsidR="000F6B62" w:rsidP="000F6B62" w:rsidRDefault="000F6B62" w14:paraId="724A8C63" w14:textId="3EBB1F8A">
            <w:pPr>
              <w:widowControl w:val="0"/>
              <w:jc w:val="both"/>
            </w:pPr>
            <w:r>
              <w:t>Ievērojot minēto, ministrija lūdz papildināt anotāciju, skaidrojot pretrunīgo informāciju starp minētajiem NĪVKIS datiem un zemesgrāmatas ierakstiem.</w:t>
            </w:r>
          </w:p>
        </w:tc>
        <w:tc>
          <w:tcPr>
            <w:tcW w:w="2722" w:type="dxa"/>
          </w:tcPr>
          <w:p w:rsidRPr="007F5237" w:rsidR="00955F6B" w:rsidP="00D47019" w:rsidRDefault="002757A1" w14:paraId="4F11965E" w14:textId="63C0270B">
            <w:pPr>
              <w:pStyle w:val="naisf"/>
              <w:spacing w:before="0" w:after="0"/>
              <w:ind w:firstLine="0"/>
              <w:rPr>
                <w:b/>
                <w:bCs/>
              </w:rPr>
            </w:pPr>
            <w:r>
              <w:rPr>
                <w:b/>
                <w:bCs/>
              </w:rPr>
              <w:t>Iebildums ir ņemts vērā. Attiecīgi papildināta anotācija.</w:t>
            </w:r>
          </w:p>
        </w:tc>
        <w:tc>
          <w:tcPr>
            <w:tcW w:w="2980" w:type="dxa"/>
          </w:tcPr>
          <w:p w:rsidR="0070782F" w:rsidP="004669F6" w:rsidRDefault="002757A1" w14:paraId="0F3AFED2" w14:textId="77777777">
            <w:pPr>
              <w:jc w:val="both"/>
              <w:rPr>
                <w:bCs/>
              </w:rPr>
            </w:pPr>
            <w:r w:rsidRPr="002757A1">
              <w:rPr>
                <w:bCs/>
              </w:rPr>
              <w:t>Anotācijas I sadaļas 2.punkts.</w:t>
            </w:r>
          </w:p>
          <w:p w:rsidRPr="00577B89" w:rsidR="00577B89" w:rsidP="00577B89" w:rsidRDefault="00577B89" w14:paraId="5F21751B" w14:textId="77777777">
            <w:pPr>
              <w:ind w:firstLine="748"/>
              <w:jc w:val="both"/>
              <w:rPr>
                <w:b/>
                <w:bCs/>
              </w:rPr>
            </w:pPr>
            <w:r w:rsidRPr="00577B89">
              <w:rPr>
                <w:b/>
                <w:bCs/>
              </w:rPr>
              <w:t>Nekustamā īpašuma valsts kadastra informācijas sistēmas dati un zemesgrāmatas ieraksti par valsts nekustamā īpašuma “Autoceļš P4” un tā sastāvā esošās zemes vienības ar kadastra apzīmējumu 7456 004 0114 apgrūtinājumiem ir atšķirīgi ar to, ka zemesgrāmatā tie nesatur norādes par apgrūtinājumu sadali atbilstoši zemes vienību skaitam un to piekritību konkrētai zemes vienībai.</w:t>
            </w:r>
          </w:p>
          <w:p w:rsidRPr="00577B89" w:rsidR="00577B89" w:rsidP="00577B89" w:rsidRDefault="00577B89" w14:paraId="21966454" w14:textId="60375FE6">
            <w:pPr>
              <w:ind w:firstLine="748"/>
              <w:jc w:val="both"/>
              <w:rPr>
                <w:b/>
                <w:bCs/>
              </w:rPr>
            </w:pPr>
            <w:r w:rsidRPr="00577B89">
              <w:rPr>
                <w:b/>
                <w:bCs/>
              </w:rPr>
              <w:t xml:space="preserve">Saskaņā ar 2018.gada 11.oktobra grozījumiem Zemesgrāmatu likumā un Nekustamā īpašuma valsts kadastra likumā ar 2019.gada 1.decembri Kadastra informācijas sistēmā veiktie ieraksti par nekustamā īpašuma apgrūtinājumiem vairs </w:t>
            </w:r>
            <w:r w:rsidRPr="00577B89">
              <w:rPr>
                <w:b/>
                <w:bCs/>
              </w:rPr>
              <w:lastRenderedPageBreak/>
              <w:t>netiek attēlot</w:t>
            </w:r>
            <w:r w:rsidR="006353BF">
              <w:rPr>
                <w:b/>
                <w:bCs/>
              </w:rPr>
              <w:t>i</w:t>
            </w:r>
            <w:r w:rsidRPr="00577B89">
              <w:rPr>
                <w:b/>
                <w:bCs/>
              </w:rPr>
              <w:t xml:space="preserve"> zemesgrāmatas ierakstos. Pamatojoties uz Zemesgrāmatu likuma 17.panta pirmās daļas b) apakšpunktu, zemesgrāmatā ierakstāmi tikai tie apgrūtinājumi, kas norāda uz ēku, ūdens lietošanas un ceļa servitūtiem. Tādējādi nekustamā īpašuma “Autoceļš P4” zemesgrāmatas nodalījumā veikto apgrūtinājumu ierakstu turētājs ir Valsts zemes dienests un strīdus gadījumā par pamatu ir tā sagatavotā informācija. </w:t>
            </w:r>
          </w:p>
          <w:p w:rsidRPr="00577B89" w:rsidR="002757A1" w:rsidP="00577B89" w:rsidRDefault="00577B89" w14:paraId="2BB4635D" w14:textId="5710C247">
            <w:pPr>
              <w:ind w:firstLine="748"/>
              <w:jc w:val="both"/>
              <w:rPr>
                <w:b/>
                <w:bCs/>
              </w:rPr>
            </w:pPr>
            <w:r w:rsidRPr="00577B89">
              <w:rPr>
                <w:b/>
                <w:bCs/>
              </w:rPr>
              <w:t>Nekustamā īpašuma “</w:t>
            </w:r>
            <w:proofErr w:type="spellStart"/>
            <w:r w:rsidRPr="00577B89">
              <w:rPr>
                <w:b/>
                <w:bCs/>
              </w:rPr>
              <w:t>Lieldesas</w:t>
            </w:r>
            <w:proofErr w:type="spellEnd"/>
            <w:r w:rsidRPr="00577B89">
              <w:rPr>
                <w:b/>
                <w:bCs/>
              </w:rPr>
              <w:t xml:space="preserve">” zemesgrāmatas nodalījumā veiktie ieraksti par tā apgrūtinājumiem ir jau dzēsti, pamatojoties uz Zemesgrāmatas likuma pārejas noteikumu 19.punktu.  </w:t>
            </w:r>
          </w:p>
        </w:tc>
      </w:tr>
      <w:tr w:rsidR="001914B9" w:rsidTr="0091003F" w14:paraId="031ABAFE" w14:textId="77777777">
        <w:tc>
          <w:tcPr>
            <w:tcW w:w="675" w:type="dxa"/>
          </w:tcPr>
          <w:p w:rsidR="001914B9" w:rsidP="005D403F" w:rsidRDefault="00990458" w14:paraId="45BCAAD6" w14:textId="1353488F">
            <w:pPr>
              <w:pStyle w:val="naisf"/>
              <w:spacing w:before="0" w:after="0"/>
              <w:ind w:firstLine="0"/>
              <w:jc w:val="center"/>
            </w:pPr>
            <w:r>
              <w:lastRenderedPageBreak/>
              <w:t>2.</w:t>
            </w:r>
          </w:p>
        </w:tc>
        <w:tc>
          <w:tcPr>
            <w:tcW w:w="3119" w:type="dxa"/>
          </w:tcPr>
          <w:p w:rsidRPr="005B7B05" w:rsidR="005B7B05" w:rsidP="004021B9" w:rsidRDefault="005B7B05" w14:paraId="71F2A4BD" w14:textId="7B330EEB">
            <w:pPr>
              <w:jc w:val="both"/>
              <w:rPr>
                <w:szCs w:val="28"/>
              </w:rPr>
            </w:pPr>
          </w:p>
        </w:tc>
        <w:tc>
          <w:tcPr>
            <w:tcW w:w="4678" w:type="dxa"/>
          </w:tcPr>
          <w:p w:rsidRPr="00990458" w:rsidR="00990458" w:rsidP="00990458" w:rsidRDefault="00990458" w14:paraId="06411904" w14:textId="4D95B964">
            <w:pPr>
              <w:widowControl w:val="0"/>
              <w:jc w:val="both"/>
            </w:pPr>
            <w:r w:rsidRPr="000F6B62">
              <w:rPr>
                <w:b/>
                <w:bCs/>
              </w:rPr>
              <w:t>Tieslietu ministrijas</w:t>
            </w:r>
            <w:r>
              <w:t xml:space="preserve"> 2020.gada 26.jūnija atzinums Nr.1-9.1/665.</w:t>
            </w:r>
          </w:p>
          <w:p w:rsidRPr="00990458" w:rsidR="00990458" w:rsidP="00990458" w:rsidRDefault="00990458" w14:paraId="524DB00E" w14:textId="0E1CE9C6">
            <w:pPr>
              <w:widowControl w:val="0"/>
              <w:ind w:firstLine="720"/>
              <w:jc w:val="both"/>
              <w:rPr>
                <w:rFonts w:eastAsia="Calibri"/>
                <w:szCs w:val="22"/>
                <w:lang w:eastAsia="en-US"/>
              </w:rPr>
            </w:pPr>
            <w:r w:rsidRPr="00990458">
              <w:rPr>
                <w:rFonts w:eastAsia="Calibri"/>
                <w:szCs w:val="22"/>
                <w:lang w:eastAsia="en-US"/>
              </w:rPr>
              <w:t xml:space="preserve">2. Anotācijas I sadaļas 2.punktā </w:t>
            </w:r>
            <w:r w:rsidRPr="00990458">
              <w:rPr>
                <w:rFonts w:eastAsia="Calibri"/>
                <w:szCs w:val="22"/>
                <w:lang w:eastAsia="en-US"/>
              </w:rPr>
              <w:lastRenderedPageBreak/>
              <w:t xml:space="preserve">norādīts, ka nekustamajam īpašumam </w:t>
            </w:r>
            <w:r w:rsidRPr="00990458">
              <w:rPr>
                <w:rFonts w:eastAsia="Calibri"/>
                <w:szCs w:val="28"/>
                <w:lang w:eastAsia="en-US"/>
              </w:rPr>
              <w:t>“</w:t>
            </w:r>
            <w:proofErr w:type="spellStart"/>
            <w:r w:rsidRPr="00990458">
              <w:rPr>
                <w:rFonts w:eastAsia="Calibri"/>
                <w:szCs w:val="28"/>
                <w:lang w:eastAsia="en-US"/>
              </w:rPr>
              <w:t>Lieldesas</w:t>
            </w:r>
            <w:proofErr w:type="spellEnd"/>
            <w:r w:rsidRPr="00990458">
              <w:rPr>
                <w:rFonts w:eastAsia="Calibri"/>
                <w:szCs w:val="28"/>
                <w:lang w:eastAsia="en-US"/>
              </w:rPr>
              <w:t>” (</w:t>
            </w:r>
            <w:r w:rsidRPr="00990458">
              <w:rPr>
                <w:rFonts w:eastAsia="Calibri"/>
                <w:szCs w:val="22"/>
                <w:lang w:eastAsia="en-US"/>
              </w:rPr>
              <w:t>nekustamā īpašuma kadastra Nr. 7456 004 0074</w:t>
            </w:r>
            <w:r w:rsidRPr="00990458">
              <w:rPr>
                <w:rFonts w:eastAsia="Calibri"/>
                <w:szCs w:val="28"/>
                <w:lang w:eastAsia="en-US"/>
              </w:rPr>
              <w:t>)</w:t>
            </w:r>
            <w:r w:rsidRPr="00990458">
              <w:rPr>
                <w:rFonts w:eastAsia="Calibri"/>
                <w:szCs w:val="22"/>
                <w:lang w:eastAsia="en-US"/>
              </w:rPr>
              <w:t xml:space="preserve">, kura sastāvā ir </w:t>
            </w:r>
            <w:r w:rsidRPr="00990458">
              <w:rPr>
                <w:rFonts w:eastAsia="Calibri"/>
                <w:szCs w:val="28"/>
                <w:lang w:eastAsia="en-US"/>
              </w:rPr>
              <w:t xml:space="preserve">zemes vienība ar kadastra apzīmējumu </w:t>
            </w:r>
            <w:r w:rsidRPr="00990458">
              <w:rPr>
                <w:rFonts w:eastAsia="Calibri"/>
                <w:szCs w:val="22"/>
                <w:lang w:eastAsia="en-US"/>
              </w:rPr>
              <w:t>7456 004 0111</w:t>
            </w:r>
            <w:r w:rsidRPr="00990458">
              <w:rPr>
                <w:rFonts w:eastAsia="Calibri"/>
                <w:szCs w:val="28"/>
                <w:lang w:eastAsia="en-US"/>
              </w:rPr>
              <w:t xml:space="preserve">, </w:t>
            </w:r>
            <w:r w:rsidRPr="00990458">
              <w:rPr>
                <w:rFonts w:eastAsia="Calibri"/>
                <w:szCs w:val="22"/>
                <w:lang w:eastAsia="en-US"/>
              </w:rPr>
              <w:t>saskaņā ar Nekustamā īpašuma valsts kadastra informācijas sistēmas datiem (turpmāk – NĪVKIS)</w:t>
            </w:r>
            <w:r w:rsidRPr="00990458">
              <w:rPr>
                <w:rFonts w:eastAsia="Calibri"/>
                <w:szCs w:val="28"/>
                <w:lang w:eastAsia="en-US"/>
              </w:rPr>
              <w:t xml:space="preserve"> ir noteikti trīs apgrūtinājumi </w:t>
            </w:r>
            <w:r w:rsidRPr="00990458">
              <w:rPr>
                <w:rFonts w:eastAsia="Calibri"/>
                <w:szCs w:val="22"/>
                <w:lang w:eastAsia="en-US"/>
              </w:rPr>
              <w:t>– aizsargjoslu teritorijas.</w:t>
            </w:r>
          </w:p>
          <w:p w:rsidRPr="00990458" w:rsidR="00990458" w:rsidP="00990458" w:rsidRDefault="00990458" w14:paraId="0967F955" w14:textId="77777777">
            <w:pPr>
              <w:widowControl w:val="0"/>
              <w:ind w:right="57" w:firstLine="720"/>
              <w:jc w:val="both"/>
              <w:rPr>
                <w:rFonts w:eastAsia="Calibri"/>
                <w:szCs w:val="22"/>
                <w:lang w:eastAsia="en-US"/>
              </w:rPr>
            </w:pPr>
            <w:r w:rsidRPr="00990458">
              <w:rPr>
                <w:rFonts w:eastAsia="Calibri"/>
                <w:szCs w:val="22"/>
                <w:lang w:eastAsia="en-US"/>
              </w:rPr>
              <w:t>Ministrija vērš uzmanību, ka no projektam pievienotajiem paskaidrojošajiem materiāliem</w:t>
            </w:r>
            <w:r w:rsidRPr="00990458">
              <w:rPr>
                <w:rFonts w:eastAsia="Calibri"/>
                <w:szCs w:val="22"/>
                <w:vertAlign w:val="superscript"/>
                <w:lang w:eastAsia="en-US"/>
              </w:rPr>
              <w:footnoteReference w:id="1"/>
            </w:r>
            <w:r w:rsidRPr="00990458">
              <w:rPr>
                <w:rFonts w:eastAsia="Calibri"/>
                <w:szCs w:val="22"/>
                <w:lang w:eastAsia="en-US"/>
              </w:rPr>
              <w:t xml:space="preserve"> konstatējams, ka nekustamajam īpašumam zemesgrāmatā nav noteikti apgrūtinājumi.</w:t>
            </w:r>
          </w:p>
          <w:p w:rsidRPr="00990458" w:rsidR="00AF7939" w:rsidP="00990458" w:rsidRDefault="00990458" w14:paraId="0E3C08C4" w14:textId="65371B3D">
            <w:pPr>
              <w:widowControl w:val="0"/>
              <w:ind w:right="57" w:firstLine="720"/>
              <w:jc w:val="both"/>
              <w:rPr>
                <w:rFonts w:eastAsia="Calibri"/>
                <w:szCs w:val="22"/>
                <w:lang w:eastAsia="en-US"/>
              </w:rPr>
            </w:pPr>
            <w:r w:rsidRPr="00990458">
              <w:rPr>
                <w:rFonts w:eastAsia="Calibri"/>
                <w:szCs w:val="22"/>
                <w:lang w:eastAsia="en-US"/>
              </w:rPr>
              <w:t>Ievērojot minēto, ministrija lūdz papildināt anotāciju, skaidrojot pretrunīgo informāciju starp minētajiem NĪVKIS datiem un zemesgrāmatu.</w:t>
            </w:r>
          </w:p>
        </w:tc>
        <w:tc>
          <w:tcPr>
            <w:tcW w:w="2722" w:type="dxa"/>
          </w:tcPr>
          <w:p w:rsidRPr="007F0A92" w:rsidR="00523362" w:rsidP="00FE5C77" w:rsidRDefault="00577B89" w14:paraId="3247B2CD" w14:textId="4A64114C">
            <w:pPr>
              <w:pStyle w:val="naisf"/>
              <w:spacing w:before="0" w:after="0"/>
              <w:ind w:firstLine="0"/>
              <w:rPr>
                <w:rFonts w:eastAsia="Calibri"/>
                <w:b/>
                <w:lang w:eastAsia="en-US"/>
              </w:rPr>
            </w:pPr>
            <w:r>
              <w:rPr>
                <w:rFonts w:eastAsia="Calibri"/>
                <w:b/>
                <w:lang w:eastAsia="en-US"/>
              </w:rPr>
              <w:lastRenderedPageBreak/>
              <w:t>Iebildums ir ņemts vērā. Attiecīgi papildināta anotācija.</w:t>
            </w:r>
          </w:p>
        </w:tc>
        <w:tc>
          <w:tcPr>
            <w:tcW w:w="2980" w:type="dxa"/>
          </w:tcPr>
          <w:p w:rsidRPr="00EE4B10" w:rsidR="005B7B05" w:rsidP="007F0A92" w:rsidRDefault="00577B89" w14:paraId="24AFB0B4" w14:textId="2B08F3ED">
            <w:pPr>
              <w:jc w:val="both"/>
              <w:rPr>
                <w:b/>
                <w:bCs/>
                <w:iCs/>
                <w:color w:val="000000"/>
              </w:rPr>
            </w:pPr>
            <w:r>
              <w:rPr>
                <w:b/>
                <w:bCs/>
                <w:iCs/>
                <w:color w:val="000000"/>
              </w:rPr>
              <w:t>Lūdzu skatīt izziņas 1.punktu.</w:t>
            </w:r>
          </w:p>
        </w:tc>
      </w:tr>
      <w:tr w:rsidR="00577B89" w:rsidTr="0091003F" w14:paraId="63BA5AD2" w14:textId="77777777">
        <w:tc>
          <w:tcPr>
            <w:tcW w:w="675" w:type="dxa"/>
          </w:tcPr>
          <w:p w:rsidR="00577B89" w:rsidP="005D403F" w:rsidRDefault="0062004C" w14:paraId="1626011C" w14:textId="259580AA">
            <w:pPr>
              <w:pStyle w:val="naisf"/>
              <w:spacing w:before="0" w:after="0"/>
              <w:ind w:firstLine="0"/>
              <w:jc w:val="center"/>
            </w:pPr>
            <w:r>
              <w:t>3</w:t>
            </w:r>
            <w:r w:rsidR="00577B89">
              <w:t>.</w:t>
            </w:r>
          </w:p>
        </w:tc>
        <w:tc>
          <w:tcPr>
            <w:tcW w:w="3119" w:type="dxa"/>
          </w:tcPr>
          <w:p w:rsidRPr="002E3DBA" w:rsidR="00577B89" w:rsidP="004021B9" w:rsidRDefault="00577B89" w14:paraId="4B055A53" w14:textId="77777777">
            <w:pPr>
              <w:jc w:val="both"/>
              <w:rPr>
                <w:szCs w:val="28"/>
              </w:rPr>
            </w:pPr>
          </w:p>
        </w:tc>
        <w:tc>
          <w:tcPr>
            <w:tcW w:w="4678" w:type="dxa"/>
          </w:tcPr>
          <w:p w:rsidR="00577B89" w:rsidP="00577B89" w:rsidRDefault="00577B89" w14:paraId="2CF05629" w14:textId="77777777">
            <w:pPr>
              <w:jc w:val="both"/>
              <w:rPr>
                <w:lang w:eastAsia="en-US"/>
              </w:rPr>
            </w:pPr>
            <w:r w:rsidRPr="00577B89">
              <w:rPr>
                <w:b/>
                <w:bCs/>
                <w:lang w:eastAsia="en-US"/>
              </w:rPr>
              <w:t>Finanšu ministrijas</w:t>
            </w:r>
            <w:r>
              <w:rPr>
                <w:lang w:eastAsia="en-US"/>
              </w:rPr>
              <w:t xml:space="preserve"> 2020.gada 18.jūnija atzinums Nr.12/A-7/3364 (priekšlikumi).</w:t>
            </w:r>
          </w:p>
          <w:p w:rsidRPr="00577B89" w:rsidR="00577B89" w:rsidP="00331D0B" w:rsidRDefault="00577B89" w14:paraId="2767031D" w14:textId="4FD7EE5D">
            <w:pPr>
              <w:jc w:val="both"/>
              <w:rPr>
                <w:lang w:eastAsia="en-US"/>
              </w:rPr>
            </w:pPr>
            <w:r w:rsidRPr="00577B89">
              <w:rPr>
                <w:lang w:eastAsia="en-US"/>
              </w:rPr>
              <w:t xml:space="preserve">2. Anotācijā norādīts, ka valsts reģionālā autoceļa P4 Rīga-Ērgļi posma 61,12.-69,10.km pārbūves (rekonstrukcijas) projekts īstenots no valsts budžeta programmas 62.00.00 “Eiropas Reģionālās attīstības fonda (ERAF) projektu un pasākumu īstenošana” apakšprogrammā 62.06.00 “Eiropas Reģionālās attīstības fonda (ERAF) finansētie ierobežotās atlases VAS “Latvijas Valsts ceļi” īstenotie projekti (2007–2013)” paredzētajiem līdzekļiem. Lūdzam papildināt rīkojuma projekta anotāciju ar </w:t>
            </w:r>
            <w:r w:rsidRPr="00577B89">
              <w:rPr>
                <w:lang w:eastAsia="en-US"/>
              </w:rPr>
              <w:lastRenderedPageBreak/>
              <w:t>informāciju, kad minētais projekts tika pabeigts.</w:t>
            </w:r>
          </w:p>
        </w:tc>
        <w:tc>
          <w:tcPr>
            <w:tcW w:w="2722" w:type="dxa"/>
          </w:tcPr>
          <w:p w:rsidR="00577B89" w:rsidP="00FE5C77" w:rsidRDefault="00577B89" w14:paraId="35EF24A9" w14:textId="269B8AAC">
            <w:pPr>
              <w:pStyle w:val="naisf"/>
              <w:spacing w:before="0" w:after="0"/>
              <w:ind w:firstLine="0"/>
              <w:rPr>
                <w:rFonts w:eastAsia="Calibri"/>
                <w:b/>
                <w:lang w:eastAsia="en-US"/>
              </w:rPr>
            </w:pPr>
            <w:r>
              <w:rPr>
                <w:rFonts w:eastAsia="Calibri"/>
                <w:b/>
                <w:lang w:eastAsia="en-US"/>
              </w:rPr>
              <w:lastRenderedPageBreak/>
              <w:t>Priekšlikums ir ņemts vērā. Attiecīgi papildināta anotācija.</w:t>
            </w:r>
          </w:p>
        </w:tc>
        <w:tc>
          <w:tcPr>
            <w:tcW w:w="2980" w:type="dxa"/>
          </w:tcPr>
          <w:p w:rsidRPr="00577B89" w:rsidR="00577B89" w:rsidP="003712CD" w:rsidRDefault="00577B89" w14:paraId="6D4A13B8" w14:textId="77777777">
            <w:pPr>
              <w:widowControl w:val="0"/>
              <w:jc w:val="both"/>
              <w:rPr>
                <w:szCs w:val="28"/>
              </w:rPr>
            </w:pPr>
            <w:r w:rsidRPr="00577B89">
              <w:rPr>
                <w:szCs w:val="28"/>
              </w:rPr>
              <w:t>Anotācijas I sadaļas 2.punkts.</w:t>
            </w:r>
          </w:p>
          <w:p w:rsidRPr="00836D01" w:rsidR="00577B89" w:rsidP="003712CD" w:rsidRDefault="00B5347B" w14:paraId="325E38EB" w14:textId="15CFB1F0">
            <w:pPr>
              <w:widowControl w:val="0"/>
              <w:jc w:val="both"/>
              <w:rPr>
                <w:b/>
                <w:bCs/>
                <w:szCs w:val="28"/>
              </w:rPr>
            </w:pPr>
            <w:r w:rsidRPr="00B5347B">
              <w:rPr>
                <w:b/>
                <w:bCs/>
                <w:szCs w:val="28"/>
              </w:rPr>
              <w:t xml:space="preserve">Valsts reģionālā autoceļa P4 Rīga-Ērgļi posma 61,12.-69,10.km pārbūves (rekonstrukcijas) projekts ir pabeigts </w:t>
            </w:r>
            <w:r w:rsidR="006353BF">
              <w:rPr>
                <w:b/>
                <w:bCs/>
                <w:szCs w:val="28"/>
              </w:rPr>
              <w:t>2013.gada 28.novembrī.</w:t>
            </w:r>
          </w:p>
        </w:tc>
      </w:tr>
      <w:tr w:rsidR="00B5347B" w:rsidTr="0091003F" w14:paraId="3A654770" w14:textId="77777777">
        <w:tc>
          <w:tcPr>
            <w:tcW w:w="675" w:type="dxa"/>
          </w:tcPr>
          <w:p w:rsidR="00B5347B" w:rsidP="005D403F" w:rsidRDefault="0062004C" w14:paraId="6F6AE8E5" w14:textId="4FE4260E">
            <w:pPr>
              <w:pStyle w:val="naisf"/>
              <w:spacing w:before="0" w:after="0"/>
              <w:ind w:firstLine="0"/>
              <w:jc w:val="center"/>
            </w:pPr>
            <w:r>
              <w:t>4</w:t>
            </w:r>
            <w:r w:rsidR="00B5347B">
              <w:t>.</w:t>
            </w:r>
          </w:p>
        </w:tc>
        <w:tc>
          <w:tcPr>
            <w:tcW w:w="3119" w:type="dxa"/>
          </w:tcPr>
          <w:p w:rsidRPr="002E3DBA" w:rsidR="00B5347B" w:rsidP="004021B9" w:rsidRDefault="00B5347B" w14:paraId="73758D07" w14:textId="77777777">
            <w:pPr>
              <w:jc w:val="both"/>
              <w:rPr>
                <w:szCs w:val="28"/>
              </w:rPr>
            </w:pPr>
          </w:p>
        </w:tc>
        <w:tc>
          <w:tcPr>
            <w:tcW w:w="4678" w:type="dxa"/>
          </w:tcPr>
          <w:p w:rsidR="00B5347B" w:rsidP="00B5347B" w:rsidRDefault="00B5347B" w14:paraId="29A2F8D5" w14:textId="5F239560">
            <w:pPr>
              <w:shd w:val="clear" w:color="auto" w:fill="FFFFFF"/>
              <w:jc w:val="both"/>
              <w:rPr>
                <w:lang w:eastAsia="en-US"/>
              </w:rPr>
            </w:pPr>
            <w:r w:rsidRPr="00B5347B">
              <w:rPr>
                <w:b/>
                <w:bCs/>
                <w:lang w:eastAsia="en-US"/>
              </w:rPr>
              <w:t>Finanšu ministrijas</w:t>
            </w:r>
            <w:r w:rsidRPr="00B5347B">
              <w:rPr>
                <w:lang w:eastAsia="en-US"/>
              </w:rPr>
              <w:t xml:space="preserve"> 2020.gada 18.jūnija atzinums Nr.12/A-7/3364 (priekšlikumi).</w:t>
            </w:r>
          </w:p>
          <w:p w:rsidRPr="00B5347B" w:rsidR="00B5347B" w:rsidP="00B5347B" w:rsidRDefault="00B5347B" w14:paraId="5A726CC7" w14:textId="74C44BF5">
            <w:pPr>
              <w:shd w:val="clear" w:color="auto" w:fill="FFFFFF"/>
              <w:jc w:val="both"/>
              <w:rPr>
                <w:lang w:eastAsia="en-US"/>
              </w:rPr>
            </w:pPr>
            <w:r w:rsidRPr="00B5347B">
              <w:rPr>
                <w:lang w:eastAsia="en-US"/>
              </w:rPr>
              <w:t xml:space="preserve">2. Saskaņā ar rīkojuma projektu daļa no aprēķinātās atlīdzības par privātpersonas nekustamā īpašuma atsavināšanu sabiedrības vajadzībām tiks kompensēta ar valsts nekustamo īpašumu. Lūdzam skaidrot, kurš segs izdevumus, kuri privātpersonai radīsies, nostiprinot īpašuma tiesības zemesgrāmatā uz tai kompensācijai nodoto zemesgabalu. </w:t>
            </w:r>
          </w:p>
          <w:p w:rsidRPr="00577B89" w:rsidR="00B5347B" w:rsidP="00577B89" w:rsidRDefault="00B5347B" w14:paraId="7FB03ED9" w14:textId="77777777">
            <w:pPr>
              <w:jc w:val="both"/>
              <w:rPr>
                <w:b/>
                <w:bCs/>
                <w:lang w:eastAsia="en-US"/>
              </w:rPr>
            </w:pPr>
          </w:p>
        </w:tc>
        <w:tc>
          <w:tcPr>
            <w:tcW w:w="2722" w:type="dxa"/>
          </w:tcPr>
          <w:p w:rsidR="00B5347B" w:rsidP="00FE5C77" w:rsidRDefault="00B5347B" w14:paraId="27680E09" w14:textId="33FB4A58">
            <w:pPr>
              <w:pStyle w:val="naisf"/>
              <w:spacing w:before="0" w:after="0"/>
              <w:ind w:firstLine="0"/>
              <w:rPr>
                <w:rFonts w:eastAsia="Calibri"/>
                <w:b/>
                <w:lang w:eastAsia="en-US"/>
              </w:rPr>
            </w:pPr>
            <w:r>
              <w:rPr>
                <w:rFonts w:eastAsia="Calibri"/>
                <w:b/>
                <w:lang w:eastAsia="en-US"/>
              </w:rPr>
              <w:t>Priekšlikums ir ņemts vērā. Attiecīgi papildināta anotācija.</w:t>
            </w:r>
          </w:p>
        </w:tc>
        <w:tc>
          <w:tcPr>
            <w:tcW w:w="2980" w:type="dxa"/>
          </w:tcPr>
          <w:p w:rsidR="00B5347B" w:rsidP="003712CD" w:rsidRDefault="00B5347B" w14:paraId="47070E77" w14:textId="77777777">
            <w:pPr>
              <w:widowControl w:val="0"/>
              <w:jc w:val="both"/>
              <w:rPr>
                <w:szCs w:val="28"/>
              </w:rPr>
            </w:pPr>
            <w:r>
              <w:rPr>
                <w:szCs w:val="28"/>
              </w:rPr>
              <w:t>Anotācijas III sadaļas 8.punkts.</w:t>
            </w:r>
          </w:p>
          <w:p w:rsidRPr="00577B89" w:rsidR="00B5347B" w:rsidP="003712CD" w:rsidRDefault="00B5347B" w14:paraId="5DEF24D7" w14:textId="7B743C4A">
            <w:pPr>
              <w:widowControl w:val="0"/>
              <w:jc w:val="both"/>
              <w:rPr>
                <w:szCs w:val="28"/>
              </w:rPr>
            </w:pPr>
            <w:r w:rsidRPr="00B5347B">
              <w:rPr>
                <w:szCs w:val="28"/>
              </w:rPr>
              <w:t xml:space="preserve">Izdevumi, kas saistīti ar minētā nekustamā īpašuma daļas atsavināšanu </w:t>
            </w:r>
            <w:r w:rsidRPr="00B5347B">
              <w:rPr>
                <w:b/>
                <w:bCs/>
                <w:szCs w:val="28"/>
              </w:rPr>
              <w:t>un privātpersonas īpašuma tiesību nostiprināšanu zemesgrāmatā uz tai nodoto nekustamo īpašumu,</w:t>
            </w:r>
            <w:r w:rsidRPr="00B5347B">
              <w:rPr>
                <w:szCs w:val="28"/>
              </w:rPr>
              <w:t xml:space="preserve"> tiks segti no Satiksmes ministrijas budžeta programmas 23.00.00 "Valsts autoceļu fonds" apakšprogrammā 23.06.00 "Valsts autoceļu uzturēšana un atjaunošana" 2020. gadam paredzētajiem līdzekļiem.</w:t>
            </w:r>
          </w:p>
        </w:tc>
      </w:tr>
      <w:tr w:rsidR="00995E20" w:rsidTr="0091003F" w14:paraId="3D535894" w14:textId="77777777">
        <w:tc>
          <w:tcPr>
            <w:tcW w:w="675" w:type="dxa"/>
          </w:tcPr>
          <w:p w:rsidR="00995E20" w:rsidP="005D403F" w:rsidRDefault="0062004C" w14:paraId="69683DFC" w14:textId="2E213A18">
            <w:pPr>
              <w:pStyle w:val="naisf"/>
              <w:spacing w:before="0" w:after="0"/>
              <w:ind w:firstLine="0"/>
              <w:jc w:val="center"/>
            </w:pPr>
            <w:r>
              <w:t>5</w:t>
            </w:r>
            <w:r w:rsidR="00995E20">
              <w:t>.</w:t>
            </w:r>
          </w:p>
        </w:tc>
        <w:tc>
          <w:tcPr>
            <w:tcW w:w="3119" w:type="dxa"/>
          </w:tcPr>
          <w:p w:rsidRPr="002E3DBA" w:rsidR="00995E20" w:rsidP="004021B9" w:rsidRDefault="00995E20" w14:paraId="5F1EDB84" w14:textId="77777777">
            <w:pPr>
              <w:jc w:val="both"/>
              <w:rPr>
                <w:szCs w:val="28"/>
              </w:rPr>
            </w:pPr>
          </w:p>
        </w:tc>
        <w:tc>
          <w:tcPr>
            <w:tcW w:w="4678" w:type="dxa"/>
          </w:tcPr>
          <w:p w:rsidR="00995E20" w:rsidP="00995E20" w:rsidRDefault="00995E20" w14:paraId="038933AE" w14:textId="77777777">
            <w:pPr>
              <w:shd w:val="clear" w:color="auto" w:fill="FFFFFF"/>
              <w:jc w:val="both"/>
              <w:rPr>
                <w:lang w:eastAsia="en-US"/>
              </w:rPr>
            </w:pPr>
            <w:r w:rsidRPr="00B5347B">
              <w:rPr>
                <w:b/>
                <w:bCs/>
                <w:lang w:eastAsia="en-US"/>
              </w:rPr>
              <w:t>Finanšu ministrijas</w:t>
            </w:r>
            <w:r w:rsidRPr="00B5347B">
              <w:rPr>
                <w:lang w:eastAsia="en-US"/>
              </w:rPr>
              <w:t xml:space="preserve"> 2020.gada 18.jūnija atzinums Nr.12/A-7/3364 (priekšlikumi).</w:t>
            </w:r>
          </w:p>
          <w:p w:rsidRPr="00995E20" w:rsidR="00995E20" w:rsidP="00B5347B" w:rsidRDefault="00995E20" w14:paraId="3DD8312B" w14:textId="21429CC7">
            <w:pPr>
              <w:shd w:val="clear" w:color="auto" w:fill="FFFFFF"/>
              <w:jc w:val="both"/>
              <w:rPr>
                <w:lang w:eastAsia="en-US"/>
              </w:rPr>
            </w:pPr>
            <w:r w:rsidRPr="00995E20">
              <w:rPr>
                <w:lang w:eastAsia="en-US"/>
              </w:rPr>
              <w:t>4. Aicinām anotācijā vārdu “realizēt” aizstāt ar vārdu “īstenot”.</w:t>
            </w:r>
          </w:p>
        </w:tc>
        <w:tc>
          <w:tcPr>
            <w:tcW w:w="2722" w:type="dxa"/>
          </w:tcPr>
          <w:p w:rsidR="00995E20" w:rsidP="00FE5C77" w:rsidRDefault="00995E20" w14:paraId="29E30CC6" w14:textId="4247D993">
            <w:pPr>
              <w:pStyle w:val="naisf"/>
              <w:spacing w:before="0" w:after="0"/>
              <w:ind w:firstLine="0"/>
              <w:rPr>
                <w:rFonts w:eastAsia="Calibri"/>
                <w:b/>
                <w:lang w:eastAsia="en-US"/>
              </w:rPr>
            </w:pPr>
            <w:r>
              <w:rPr>
                <w:rFonts w:eastAsia="Calibri"/>
                <w:b/>
                <w:lang w:eastAsia="en-US"/>
              </w:rPr>
              <w:t>Priekšlikums ir ņemts vērā. Attiecīgi precizēta anotācija.</w:t>
            </w:r>
          </w:p>
        </w:tc>
        <w:tc>
          <w:tcPr>
            <w:tcW w:w="2980" w:type="dxa"/>
          </w:tcPr>
          <w:p w:rsidR="00995E20" w:rsidP="003712CD" w:rsidRDefault="00995E20" w14:paraId="066DCCB8" w14:textId="77777777">
            <w:pPr>
              <w:widowControl w:val="0"/>
              <w:jc w:val="both"/>
              <w:rPr>
                <w:szCs w:val="28"/>
              </w:rPr>
            </w:pPr>
          </w:p>
        </w:tc>
      </w:tr>
    </w:tbl>
    <w:p w:rsidR="002E3DBA" w:rsidP="000A531F" w:rsidRDefault="002E3DBA" w14:paraId="6DD613F6" w14:textId="77777777">
      <w:pPr>
        <w:jc w:val="both"/>
      </w:pPr>
    </w:p>
    <w:p w:rsidRPr="00EA0FF1" w:rsidR="000A531F" w:rsidP="000A531F" w:rsidRDefault="000A531F" w14:paraId="53C4EB95" w14:textId="55B72367">
      <w:pPr>
        <w:jc w:val="both"/>
      </w:pPr>
      <w:r w:rsidRPr="00EA0FF1">
        <w:t>Atbildīgā amatpersona __________________________________________</w:t>
      </w:r>
    </w:p>
    <w:p w:rsidRPr="00EA0FF1" w:rsidR="000A531F" w:rsidP="000A531F" w:rsidRDefault="001B0C1E" w14:paraId="448E9A74" w14:textId="77777777">
      <w:pPr>
        <w:jc w:val="both"/>
      </w:pPr>
      <w:r w:rsidRPr="00EA0FF1">
        <w:t>Sandra Siliņa</w:t>
      </w:r>
      <w:r w:rsidRPr="00EA0FF1" w:rsidR="000A531F">
        <w:t>, Satiksmes ministrijas Juridiskā departamenta</w:t>
      </w:r>
    </w:p>
    <w:p w:rsidRPr="00EA0FF1" w:rsidR="000A531F" w:rsidP="000A531F" w:rsidRDefault="000A531F" w14:paraId="2DC8407D" w14:textId="77777777">
      <w:pPr>
        <w:jc w:val="both"/>
      </w:pPr>
      <w:r w:rsidRPr="00EA0FF1">
        <w:t>Nekustamo īpašumu nodaļas vecākā referente</w:t>
      </w:r>
    </w:p>
    <w:p w:rsidR="005F3723" w:rsidP="00390339" w:rsidRDefault="001B0C1E" w14:paraId="2D2820F1" w14:textId="253CCE46">
      <w:pPr>
        <w:jc w:val="both"/>
      </w:pPr>
      <w:r w:rsidRPr="00EA0FF1">
        <w:t>Tālr.67028031</w:t>
      </w:r>
      <w:r w:rsidRPr="00EA0FF1" w:rsidR="000A531F">
        <w:t xml:space="preserve">, e-pasts: </w:t>
      </w:r>
      <w:r w:rsidRPr="00EA0FF1">
        <w:t>sandra.silina</w:t>
      </w:r>
      <w:r w:rsidRPr="00EA0FF1" w:rsidR="000A531F">
        <w:t xml:space="preserve">@sam.gov.lv </w:t>
      </w:r>
    </w:p>
    <w:sectPr w:rsidR="005F3723" w:rsidSect="002A4998">
      <w:headerReference w:type="even" r:id="rId8"/>
      <w:headerReference w:type="default" r:id="rId9"/>
      <w:footerReference w:type="default" r:id="rId10"/>
      <w:footerReference w:type="first" r:id="rId11"/>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913C8" w14:textId="77777777" w:rsidR="000A531F" w:rsidRDefault="000A531F" w:rsidP="000A531F">
      <w:r>
        <w:separator/>
      </w:r>
    </w:p>
  </w:endnote>
  <w:endnote w:type="continuationSeparator" w:id="0">
    <w:p w14:paraId="6389A845" w14:textId="77777777" w:rsidR="000A531F" w:rsidRDefault="000A531F"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56C5C" w14:textId="53C7D77C" w:rsidR="00FC51C5" w:rsidRPr="00FC51C5" w:rsidRDefault="008D3595" w:rsidP="00FC51C5">
    <w:pPr>
      <w:jc w:val="both"/>
      <w:rPr>
        <w:bCs/>
        <w:sz w:val="20"/>
        <w:szCs w:val="20"/>
        <w:lang w:eastAsia="ko-KR"/>
      </w:rPr>
    </w:pPr>
    <w:r>
      <w:rPr>
        <w:sz w:val="20"/>
        <w:szCs w:val="20"/>
      </w:rPr>
      <w:t>SMi</w:t>
    </w:r>
    <w:r w:rsidR="00AA30C8">
      <w:rPr>
        <w:sz w:val="20"/>
        <w:szCs w:val="20"/>
      </w:rPr>
      <w:t>zz_</w:t>
    </w:r>
    <w:r w:rsidR="000F6B62">
      <w:rPr>
        <w:sz w:val="20"/>
        <w:szCs w:val="20"/>
      </w:rPr>
      <w:t>130720_VSS_451</w:t>
    </w:r>
  </w:p>
  <w:p w14:paraId="0E9B010F" w14:textId="77777777" w:rsidR="00013AD7" w:rsidRPr="00570BB9" w:rsidRDefault="0062004C"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19BE9" w14:textId="36E1EA5D" w:rsidR="00EA4FB1" w:rsidRPr="00FC51C5" w:rsidRDefault="008D3595" w:rsidP="00EA4FB1">
    <w:pPr>
      <w:jc w:val="both"/>
      <w:rPr>
        <w:bCs/>
        <w:sz w:val="20"/>
        <w:szCs w:val="20"/>
        <w:lang w:eastAsia="ko-KR"/>
      </w:rPr>
    </w:pPr>
    <w:r>
      <w:rPr>
        <w:sz w:val="20"/>
        <w:szCs w:val="20"/>
      </w:rPr>
      <w:t>SMi</w:t>
    </w:r>
    <w:r w:rsidR="00E9372F">
      <w:rPr>
        <w:sz w:val="20"/>
        <w:szCs w:val="20"/>
      </w:rPr>
      <w:t>zz_</w:t>
    </w:r>
    <w:r w:rsidR="000F6B62">
      <w:rPr>
        <w:sz w:val="20"/>
        <w:szCs w:val="20"/>
      </w:rPr>
      <w:t>130720_VSS_451</w:t>
    </w:r>
  </w:p>
  <w:p w14:paraId="71D70F49" w14:textId="77777777" w:rsidR="00E65AF3" w:rsidRPr="00E15A76" w:rsidRDefault="00E65AF3" w:rsidP="00E65AF3">
    <w:pPr>
      <w:jc w:val="both"/>
      <w:rPr>
        <w:bCs/>
        <w:sz w:val="20"/>
        <w:szCs w:val="20"/>
      </w:rPr>
    </w:pPr>
  </w:p>
  <w:p w14:paraId="627254F6" w14:textId="77777777" w:rsidR="00013AD7" w:rsidRPr="0022701B" w:rsidRDefault="0062004C"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49B95" w14:textId="77777777" w:rsidR="000A531F" w:rsidRDefault="000A531F" w:rsidP="000A531F">
      <w:r>
        <w:separator/>
      </w:r>
    </w:p>
  </w:footnote>
  <w:footnote w:type="continuationSeparator" w:id="0">
    <w:p w14:paraId="17B7686B" w14:textId="77777777" w:rsidR="000A531F" w:rsidRDefault="000A531F" w:rsidP="000A531F">
      <w:r>
        <w:continuationSeparator/>
      </w:r>
    </w:p>
  </w:footnote>
  <w:footnote w:id="1">
    <w:p w14:paraId="2927466F" w14:textId="7375BCF7" w:rsidR="00990458" w:rsidRPr="0062004C" w:rsidRDefault="00990458" w:rsidP="0062004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62004C"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62004C"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321B1"/>
    <w:rsid w:val="00036659"/>
    <w:rsid w:val="00054FE8"/>
    <w:rsid w:val="0006139E"/>
    <w:rsid w:val="000A39DD"/>
    <w:rsid w:val="000A531F"/>
    <w:rsid w:val="000B045E"/>
    <w:rsid w:val="000B5ECF"/>
    <w:rsid w:val="000F6B62"/>
    <w:rsid w:val="00120338"/>
    <w:rsid w:val="00120A54"/>
    <w:rsid w:val="0013486B"/>
    <w:rsid w:val="001616A0"/>
    <w:rsid w:val="00161C98"/>
    <w:rsid w:val="00180E9A"/>
    <w:rsid w:val="00185895"/>
    <w:rsid w:val="001914B9"/>
    <w:rsid w:val="001B0C1E"/>
    <w:rsid w:val="001B4F15"/>
    <w:rsid w:val="001D6641"/>
    <w:rsid w:val="001E1A14"/>
    <w:rsid w:val="001E350D"/>
    <w:rsid w:val="001F380D"/>
    <w:rsid w:val="001F5E0D"/>
    <w:rsid w:val="00212734"/>
    <w:rsid w:val="00212D1C"/>
    <w:rsid w:val="0021718F"/>
    <w:rsid w:val="002230AC"/>
    <w:rsid w:val="00236459"/>
    <w:rsid w:val="00251198"/>
    <w:rsid w:val="00264C2F"/>
    <w:rsid w:val="00270D5D"/>
    <w:rsid w:val="002710B5"/>
    <w:rsid w:val="002757A1"/>
    <w:rsid w:val="00283C11"/>
    <w:rsid w:val="00287A40"/>
    <w:rsid w:val="00290A24"/>
    <w:rsid w:val="002D588B"/>
    <w:rsid w:val="002D7A98"/>
    <w:rsid w:val="002E3DBA"/>
    <w:rsid w:val="002E51C4"/>
    <w:rsid w:val="002F72F8"/>
    <w:rsid w:val="00302611"/>
    <w:rsid w:val="00304936"/>
    <w:rsid w:val="00307E7E"/>
    <w:rsid w:val="003101D8"/>
    <w:rsid w:val="00326543"/>
    <w:rsid w:val="00331D0B"/>
    <w:rsid w:val="003501C0"/>
    <w:rsid w:val="003712CD"/>
    <w:rsid w:val="00390339"/>
    <w:rsid w:val="003C1E3D"/>
    <w:rsid w:val="003D2373"/>
    <w:rsid w:val="003D37F3"/>
    <w:rsid w:val="003D5631"/>
    <w:rsid w:val="003E112E"/>
    <w:rsid w:val="004021B9"/>
    <w:rsid w:val="00405454"/>
    <w:rsid w:val="004227B4"/>
    <w:rsid w:val="004273F5"/>
    <w:rsid w:val="00431A7C"/>
    <w:rsid w:val="004401DB"/>
    <w:rsid w:val="00444A47"/>
    <w:rsid w:val="00453894"/>
    <w:rsid w:val="00457251"/>
    <w:rsid w:val="004669F6"/>
    <w:rsid w:val="00474825"/>
    <w:rsid w:val="00483870"/>
    <w:rsid w:val="00485BEE"/>
    <w:rsid w:val="00486CEF"/>
    <w:rsid w:val="00490480"/>
    <w:rsid w:val="004911C0"/>
    <w:rsid w:val="00491E1F"/>
    <w:rsid w:val="0049672C"/>
    <w:rsid w:val="004A3325"/>
    <w:rsid w:val="004A4217"/>
    <w:rsid w:val="004F65A9"/>
    <w:rsid w:val="005023AC"/>
    <w:rsid w:val="00511A74"/>
    <w:rsid w:val="00517539"/>
    <w:rsid w:val="00523362"/>
    <w:rsid w:val="00523477"/>
    <w:rsid w:val="0053729A"/>
    <w:rsid w:val="00546049"/>
    <w:rsid w:val="00557845"/>
    <w:rsid w:val="00557BA5"/>
    <w:rsid w:val="005617F5"/>
    <w:rsid w:val="00562EF2"/>
    <w:rsid w:val="0057339C"/>
    <w:rsid w:val="005776CA"/>
    <w:rsid w:val="00577B89"/>
    <w:rsid w:val="00580CD2"/>
    <w:rsid w:val="005A5CE7"/>
    <w:rsid w:val="005B5C10"/>
    <w:rsid w:val="005B7B05"/>
    <w:rsid w:val="005C28F5"/>
    <w:rsid w:val="005D403F"/>
    <w:rsid w:val="005F3723"/>
    <w:rsid w:val="005F3BB5"/>
    <w:rsid w:val="005F437F"/>
    <w:rsid w:val="005F4B79"/>
    <w:rsid w:val="00602FC3"/>
    <w:rsid w:val="00606571"/>
    <w:rsid w:val="0062004C"/>
    <w:rsid w:val="00632F71"/>
    <w:rsid w:val="006353BF"/>
    <w:rsid w:val="00640D28"/>
    <w:rsid w:val="006523CA"/>
    <w:rsid w:val="00664A66"/>
    <w:rsid w:val="006854E4"/>
    <w:rsid w:val="00693260"/>
    <w:rsid w:val="006A2F79"/>
    <w:rsid w:val="006A335A"/>
    <w:rsid w:val="006B04E7"/>
    <w:rsid w:val="006B3025"/>
    <w:rsid w:val="006C196E"/>
    <w:rsid w:val="006C703C"/>
    <w:rsid w:val="006D534A"/>
    <w:rsid w:val="006E1F6A"/>
    <w:rsid w:val="00705DBC"/>
    <w:rsid w:val="00707579"/>
    <w:rsid w:val="0070782F"/>
    <w:rsid w:val="00716F47"/>
    <w:rsid w:val="007210AF"/>
    <w:rsid w:val="0072704D"/>
    <w:rsid w:val="00732176"/>
    <w:rsid w:val="007469D5"/>
    <w:rsid w:val="00757582"/>
    <w:rsid w:val="00764E51"/>
    <w:rsid w:val="00770AD8"/>
    <w:rsid w:val="00780A70"/>
    <w:rsid w:val="00783E6E"/>
    <w:rsid w:val="007A38FD"/>
    <w:rsid w:val="007A439B"/>
    <w:rsid w:val="007A67A2"/>
    <w:rsid w:val="007B0C72"/>
    <w:rsid w:val="007C21FF"/>
    <w:rsid w:val="007C24D1"/>
    <w:rsid w:val="007D3819"/>
    <w:rsid w:val="007E2611"/>
    <w:rsid w:val="007F0A92"/>
    <w:rsid w:val="007F39E0"/>
    <w:rsid w:val="007F5214"/>
    <w:rsid w:val="007F5237"/>
    <w:rsid w:val="007F7190"/>
    <w:rsid w:val="008138C6"/>
    <w:rsid w:val="00836D01"/>
    <w:rsid w:val="00840AC1"/>
    <w:rsid w:val="008454B7"/>
    <w:rsid w:val="00845C31"/>
    <w:rsid w:val="0085341D"/>
    <w:rsid w:val="00857BEB"/>
    <w:rsid w:val="00861F81"/>
    <w:rsid w:val="00863A75"/>
    <w:rsid w:val="008655DA"/>
    <w:rsid w:val="00887A13"/>
    <w:rsid w:val="008973CB"/>
    <w:rsid w:val="008A3BA3"/>
    <w:rsid w:val="008B1CF5"/>
    <w:rsid w:val="008B7F1D"/>
    <w:rsid w:val="008C2198"/>
    <w:rsid w:val="008C7596"/>
    <w:rsid w:val="008D3595"/>
    <w:rsid w:val="008D74D3"/>
    <w:rsid w:val="008D7795"/>
    <w:rsid w:val="008E5699"/>
    <w:rsid w:val="0090000D"/>
    <w:rsid w:val="00906110"/>
    <w:rsid w:val="0091003F"/>
    <w:rsid w:val="00930695"/>
    <w:rsid w:val="00940187"/>
    <w:rsid w:val="0094059F"/>
    <w:rsid w:val="00955F6B"/>
    <w:rsid w:val="009637BC"/>
    <w:rsid w:val="009702A1"/>
    <w:rsid w:val="00971B02"/>
    <w:rsid w:val="00974FA1"/>
    <w:rsid w:val="00975516"/>
    <w:rsid w:val="00977DFB"/>
    <w:rsid w:val="009903D9"/>
    <w:rsid w:val="00990458"/>
    <w:rsid w:val="00995E20"/>
    <w:rsid w:val="009D0DE2"/>
    <w:rsid w:val="009D6B36"/>
    <w:rsid w:val="009E765A"/>
    <w:rsid w:val="009E7D11"/>
    <w:rsid w:val="00A10EA0"/>
    <w:rsid w:val="00A34347"/>
    <w:rsid w:val="00A36F3C"/>
    <w:rsid w:val="00A67E47"/>
    <w:rsid w:val="00A87882"/>
    <w:rsid w:val="00A91A94"/>
    <w:rsid w:val="00AA30C8"/>
    <w:rsid w:val="00AA4796"/>
    <w:rsid w:val="00AA6CE9"/>
    <w:rsid w:val="00AB2D31"/>
    <w:rsid w:val="00AC59EC"/>
    <w:rsid w:val="00AD0322"/>
    <w:rsid w:val="00AD080E"/>
    <w:rsid w:val="00AD3972"/>
    <w:rsid w:val="00AF7939"/>
    <w:rsid w:val="00AF7C82"/>
    <w:rsid w:val="00B06A0E"/>
    <w:rsid w:val="00B13F24"/>
    <w:rsid w:val="00B14512"/>
    <w:rsid w:val="00B44F89"/>
    <w:rsid w:val="00B45DE0"/>
    <w:rsid w:val="00B5347B"/>
    <w:rsid w:val="00B641E0"/>
    <w:rsid w:val="00B65773"/>
    <w:rsid w:val="00B87422"/>
    <w:rsid w:val="00B93C32"/>
    <w:rsid w:val="00BA5981"/>
    <w:rsid w:val="00BA5B5C"/>
    <w:rsid w:val="00BB5CE6"/>
    <w:rsid w:val="00BC0E1F"/>
    <w:rsid w:val="00BF46D9"/>
    <w:rsid w:val="00BF56C6"/>
    <w:rsid w:val="00C03748"/>
    <w:rsid w:val="00C24317"/>
    <w:rsid w:val="00C319A3"/>
    <w:rsid w:val="00C6361E"/>
    <w:rsid w:val="00C708D6"/>
    <w:rsid w:val="00C73711"/>
    <w:rsid w:val="00C759D4"/>
    <w:rsid w:val="00C77313"/>
    <w:rsid w:val="00C80A32"/>
    <w:rsid w:val="00C908F5"/>
    <w:rsid w:val="00CA0484"/>
    <w:rsid w:val="00CA590E"/>
    <w:rsid w:val="00CC0355"/>
    <w:rsid w:val="00CD3D34"/>
    <w:rsid w:val="00CD59D2"/>
    <w:rsid w:val="00CD5ABC"/>
    <w:rsid w:val="00CF228A"/>
    <w:rsid w:val="00D14451"/>
    <w:rsid w:val="00D17E2B"/>
    <w:rsid w:val="00D201AD"/>
    <w:rsid w:val="00D47019"/>
    <w:rsid w:val="00D56DC4"/>
    <w:rsid w:val="00D66F4C"/>
    <w:rsid w:val="00D84BD2"/>
    <w:rsid w:val="00DA2FA4"/>
    <w:rsid w:val="00DA5A2A"/>
    <w:rsid w:val="00DC28A7"/>
    <w:rsid w:val="00DF3EEC"/>
    <w:rsid w:val="00DF59E7"/>
    <w:rsid w:val="00DF5CFC"/>
    <w:rsid w:val="00E15A76"/>
    <w:rsid w:val="00E41B15"/>
    <w:rsid w:val="00E51EB0"/>
    <w:rsid w:val="00E5280C"/>
    <w:rsid w:val="00E65AF3"/>
    <w:rsid w:val="00E71BDB"/>
    <w:rsid w:val="00E90C3C"/>
    <w:rsid w:val="00E9372F"/>
    <w:rsid w:val="00E97C36"/>
    <w:rsid w:val="00EA0FF1"/>
    <w:rsid w:val="00EA19C2"/>
    <w:rsid w:val="00EA2237"/>
    <w:rsid w:val="00EA35D7"/>
    <w:rsid w:val="00EA4FB1"/>
    <w:rsid w:val="00EA5070"/>
    <w:rsid w:val="00EA671E"/>
    <w:rsid w:val="00EB2FCF"/>
    <w:rsid w:val="00ED020A"/>
    <w:rsid w:val="00ED02EA"/>
    <w:rsid w:val="00ED471F"/>
    <w:rsid w:val="00EE4B10"/>
    <w:rsid w:val="00EE7A2F"/>
    <w:rsid w:val="00EF21E1"/>
    <w:rsid w:val="00EF5852"/>
    <w:rsid w:val="00F07B97"/>
    <w:rsid w:val="00F5533C"/>
    <w:rsid w:val="00F57C7D"/>
    <w:rsid w:val="00F62623"/>
    <w:rsid w:val="00F6373F"/>
    <w:rsid w:val="00F73D99"/>
    <w:rsid w:val="00F77C0F"/>
    <w:rsid w:val="00F87749"/>
    <w:rsid w:val="00FC51C5"/>
    <w:rsid w:val="00FC6C47"/>
    <w:rsid w:val="00FD5582"/>
    <w:rsid w:val="00FE5C77"/>
    <w:rsid w:val="00FF2261"/>
    <w:rsid w:val="00FF2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A0DA2-93C8-4E8A-96BB-C23F11D5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5</Pages>
  <Words>4349</Words>
  <Characters>2479</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Par nekustamo īpašumu atsavināšanu valsts reģionālā autoceļa P4 Rīga-Ērgļi pārbūves projekta īstenošanai</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nekustamo īpašumu atsavināšanu valsts reģionālā autoceļa P4 Rīga-Ērgļi pārbūves projekta īstenošanai</dc:title>
  <dc:creator>Sandra.Silina@sam.gov.lv;Satiksmes ministrijas Juridiskā departamenta Nekustamo īpašumu nodaļas vecākā referente;tālr. 67028031;VAS "Latvijas Valsts ceļi" jurists Varis Putāns;67028149;varis.putans@lvceli.lv</dc:creator>
  <cp:keywords>Izziņa par atzinumos sniegtajiem iebildumiem</cp:keywords>
  <dc:description>varis.putans@lvceli.lv, 67028149; sandra.silina@sam.gov.lv, 67028031</dc:description>
  <cp:lastModifiedBy>Sandra Siliņa</cp:lastModifiedBy>
  <cp:revision>45</cp:revision>
  <cp:lastPrinted>2018-07-23T10:08:00Z</cp:lastPrinted>
  <dcterms:created xsi:type="dcterms:W3CDTF">2019-12-09T14:00:00Z</dcterms:created>
  <dcterms:modified xsi:type="dcterms:W3CDTF">2020-07-20T11:42:00Z</dcterms:modified>
</cp:coreProperties>
</file>