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AE76EB" w:rsidR="000A531F" w:rsidP="00173110" w:rsidRDefault="000A531F" w14:paraId="458B585A" w14:textId="442A656B">
      <w:pPr>
        <w:jc w:val="center"/>
        <w:rPr>
          <w:b/>
          <w:sz w:val="28"/>
          <w:szCs w:val="28"/>
        </w:rPr>
      </w:pPr>
      <w:r w:rsidRPr="00AA30C8">
        <w:rPr>
          <w:b/>
          <w:sz w:val="28"/>
          <w:szCs w:val="28"/>
        </w:rPr>
        <w:t>„</w:t>
      </w:r>
      <w:r w:rsidRPr="00DB786B" w:rsidR="00DB786B">
        <w:rPr>
          <w:b/>
          <w:sz w:val="28"/>
          <w:szCs w:val="28"/>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Pr="00AA30C8">
        <w:rPr>
          <w:b/>
          <w:sz w:val="28"/>
          <w:szCs w:val="28"/>
        </w:rPr>
        <w:t>”</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proofErr w:type="spellStart"/>
            <w:r w:rsidRPr="00D81B3E">
              <w:t>Nr.p.k</w:t>
            </w:r>
            <w:proofErr w:type="spellEnd"/>
            <w:r w:rsidRPr="00D81B3E">
              <w:t>.</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265CC021">
            <w:r w:rsidRPr="00020056">
              <w:t xml:space="preserve">2020.gada </w:t>
            </w:r>
            <w:r w:rsidR="00893254">
              <w:t>22.jūlijs</w:t>
            </w:r>
            <w:r w:rsidRPr="00020056">
              <w:t xml:space="preserve"> (elektroniskā saskaņošana).</w:t>
            </w:r>
          </w:p>
          <w:p w:rsidRPr="003A7944" w:rsidR="00E44D7D" w:rsidP="00CB339A" w:rsidRDefault="00E44D7D" w14:paraId="43E80F13" w14:textId="6021768F">
            <w:pPr>
              <w:pStyle w:val="ListParagraph"/>
              <w:ind w:left="780"/>
            </w:pP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CB339A" w14:paraId="184AF6D7" w14:textId="7433FEDE">
            <w:pPr>
              <w:ind w:left="72"/>
            </w:pPr>
            <w:r w:rsidRPr="00CB339A">
              <w:t>Vides aizsardzības un reģionālas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CB339A" w14:paraId="34C87EDB" w14:textId="1141941A">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E44D7D" w:rsidP="00E44D7D" w:rsidRDefault="005C709A" w14:paraId="1032F1E3" w14:textId="3C6647DD">
            <w:r>
              <w:t>Tieslietu ministrijas</w:t>
            </w:r>
          </w:p>
          <w:p w:rsidR="00E44D7D" w:rsidP="00E44D7D" w:rsidRDefault="00E44D7D" w14:paraId="0D0505AD" w14:textId="340AFC61">
            <w:pPr>
              <w:pStyle w:val="ListParagraph"/>
              <w:ind w:left="1080"/>
            </w:pP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3261"/>
        <w:gridCol w:w="2980"/>
      </w:tblGrid>
      <w:tr w:rsidRPr="000C6C1A" w:rsidR="005D403F" w:rsidTr="00000749"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3261"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2980"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D403F" w:rsidTr="00000749" w14:paraId="4254AEA4" w14:textId="77777777">
        <w:tc>
          <w:tcPr>
            <w:tcW w:w="675" w:type="dxa"/>
          </w:tcPr>
          <w:p w:rsidRPr="000C6C1A" w:rsidR="005D403F" w:rsidP="005D403F" w:rsidRDefault="005D403F" w14:paraId="2DF49046" w14:textId="2BACA3A0">
            <w:pPr>
              <w:pStyle w:val="naisf"/>
              <w:spacing w:before="0" w:after="0"/>
              <w:ind w:firstLine="0"/>
              <w:jc w:val="center"/>
            </w:pPr>
            <w:r w:rsidRPr="000C6C1A">
              <w:t>1</w:t>
            </w:r>
            <w:r w:rsidRPr="000C6C1A" w:rsidR="00D47019">
              <w:t>.</w:t>
            </w:r>
          </w:p>
        </w:tc>
        <w:tc>
          <w:tcPr>
            <w:tcW w:w="2722" w:type="dxa"/>
          </w:tcPr>
          <w:p w:rsidRPr="000C6C1A" w:rsidR="00E44D7D" w:rsidP="00491E1F" w:rsidRDefault="00E44D7D" w14:paraId="05897BC7" w14:textId="77777777">
            <w:pPr>
              <w:jc w:val="both"/>
              <w:rPr>
                <w:b/>
                <w:bCs/>
                <w:lang w:eastAsia="ko-KR"/>
              </w:rPr>
            </w:pPr>
          </w:p>
          <w:p w:rsidRPr="000C6C1A" w:rsidR="00824569" w:rsidP="00491E1F" w:rsidRDefault="00824569" w14:paraId="4303C9C9" w14:textId="77777777">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Pr="00CB339A" w:rsidR="00B61ABD" w:rsidP="00893254" w:rsidRDefault="00CB339A" w14:paraId="50BCCC7E" w14:textId="28025169">
            <w:pPr>
              <w:widowControl w:val="0"/>
              <w:jc w:val="both"/>
            </w:pPr>
            <w:r>
              <w:rPr>
                <w:b/>
                <w:bCs/>
              </w:rPr>
              <w:t>Tieslietu</w:t>
            </w:r>
            <w:r w:rsidRPr="000C6C1A" w:rsidR="005C709A">
              <w:rPr>
                <w:b/>
                <w:bCs/>
              </w:rPr>
              <w:t xml:space="preserve"> ministrijas</w:t>
            </w:r>
            <w:r w:rsidRPr="000C6C1A" w:rsidR="005C709A">
              <w:t xml:space="preserve"> </w:t>
            </w:r>
            <w:r w:rsidRPr="00893254" w:rsidR="00893254">
              <w:t>2020.gada 8.jūlija atzinums Nr.1-9.1/732</w:t>
            </w:r>
            <w:r w:rsidR="00893254">
              <w:rPr>
                <w:b/>
                <w:bCs/>
              </w:rPr>
              <w:t>.</w:t>
            </w:r>
          </w:p>
          <w:p w:rsidR="00CB339A" w:rsidP="00000749" w:rsidRDefault="00CB339A" w14:paraId="01B05CF7" w14:textId="35CC9E04">
            <w:pPr>
              <w:widowControl w:val="0"/>
              <w:jc w:val="both"/>
            </w:pPr>
            <w:r w:rsidRPr="00CB339A">
              <w:t xml:space="preserve">Projekts cita starp paredz par valstij piekritīgu noteikt zemes vienību Rīgā (zemes vienības kadastra apzīmējums 0100 082 2182) 0,0884 ha platībā. Atbilstoši projekta sākotnējās ietekmes novērtējuma ziņojuma (anotācijas) (turpmāk – anotācija) I sadaļas 2. punktā (12. lpp.) sniegtajai informācijai minēto zemes vienību saskaņā ar Sabiedrības vajadzībām nepieciešamā nekustamā īpašuma atsavināšanas likuma 26. panta pirmās daļas 1.punktu paredzēt izmantot kā kompensāciju, izmaksājot taisnīgu atlīdzību par privātpersonu kopīpašumā esošu nekustamo īpašumu ar kadastra numuriem 0100 082 0572 un 0100 082 2026 daļām, kuras tiek atsavinātas Rail </w:t>
            </w:r>
            <w:proofErr w:type="spellStart"/>
            <w:r w:rsidRPr="00CB339A">
              <w:t>Baltica</w:t>
            </w:r>
            <w:proofErr w:type="spellEnd"/>
            <w:r w:rsidRPr="00CB339A">
              <w:t xml:space="preserve"> projekta realizācijai. Līdz ar to secināms, ka minēto zemes vienību nav paredzēts apbūvēt Rail </w:t>
            </w:r>
            <w:proofErr w:type="spellStart"/>
            <w:r w:rsidRPr="00CB339A">
              <w:t>Baltica</w:t>
            </w:r>
            <w:proofErr w:type="spellEnd"/>
            <w:r w:rsidRPr="00CB339A">
              <w:t xml:space="preserve"> projekta realizācijai.</w:t>
            </w:r>
            <w:r>
              <w:t xml:space="preserve"> Tādējādi nav saprotams pamatojums anotācijā </w:t>
            </w:r>
            <w:r>
              <w:lastRenderedPageBreak/>
              <w:t>norādītajam, ka minētā zemes vienība atbilstoši likuma „Par valsts un pašvaldību zemes īpašuma tiesībām un to nostiprināšanu zemesgrāmatās” 4.</w:t>
            </w:r>
            <w:r w:rsidRPr="00000749">
              <w:rPr>
                <w:vertAlign w:val="superscript"/>
              </w:rPr>
              <w:t>1</w:t>
            </w:r>
            <w:r>
              <w:t xml:space="preserve"> panta pirmās daļas 5. punktam piekrīt valstij. </w:t>
            </w:r>
          </w:p>
          <w:p w:rsidR="00CB339A" w:rsidP="00CB339A" w:rsidRDefault="00CB339A" w14:paraId="65EB333D" w14:textId="77777777">
            <w:pPr>
              <w:widowControl w:val="0"/>
              <w:jc w:val="both"/>
            </w:pPr>
            <w:r>
              <w:t xml:space="preserve">Turklāt atbilstoši projektam pievienotajai Rīgas domes Pilsētas attīstības departamenta 2019. gada 14. jūnija vēstulei Nr. DA-19-2962-nd zemes vienība (kadastra apzīmējums 0100 082 2182) ir atzīta par </w:t>
            </w:r>
            <w:proofErr w:type="spellStart"/>
            <w:r>
              <w:t>starpgabalu</w:t>
            </w:r>
            <w:proofErr w:type="spellEnd"/>
            <w:r>
              <w:t xml:space="preserve">. Vēršam uzmanību, ka saskaņā ar likuma "Par valsts un pašvaldību zemes īpašuma tiesībām un to nostiprināšanu zemesgrāmatās” 41. panta otrās daļas 6. punktu zeme, kuras piederība 1940. gada 21. jūlijā nav konstatēta, zemes reformas laikā piekrīt pašvaldībai un ierakstāma zemesgrāmatā uz pašvaldības vārda, ja ir zemes </w:t>
            </w:r>
            <w:proofErr w:type="spellStart"/>
            <w:r>
              <w:t>starpgabals</w:t>
            </w:r>
            <w:proofErr w:type="spellEnd"/>
            <w:r>
              <w:t xml:space="preserve"> atbilstoši šā likuma 3. panta otrās daļas 4. punktam.</w:t>
            </w:r>
          </w:p>
          <w:p w:rsidRPr="000C6C1A" w:rsidR="005C709A" w:rsidP="00F66EC8" w:rsidRDefault="00CB339A" w14:paraId="724A8C63" w14:textId="6B56D262">
            <w:pPr>
              <w:spacing w:line="276" w:lineRule="auto"/>
              <w:jc w:val="both"/>
            </w:pPr>
            <w:r>
              <w:t xml:space="preserve">Ņemot vērā minēto, lūdzam anotācijā skaidrot, kāpēc attiecīgā zemes vienība kā </w:t>
            </w:r>
            <w:proofErr w:type="spellStart"/>
            <w:r>
              <w:t>starpgabals</w:t>
            </w:r>
            <w:proofErr w:type="spellEnd"/>
            <w:r>
              <w:t xml:space="preserve"> nav ierakstāma uz Rīgas pašvaldības vārda saskaņā ar likuma "Par valsts un pašvaldību zemes īpašuma tiesībām un to nostiprināšanu zemesgrāmatās” 4</w:t>
            </w:r>
            <w:r w:rsidRPr="006F244F">
              <w:rPr>
                <w:vertAlign w:val="superscript"/>
              </w:rPr>
              <w:t>1</w:t>
            </w:r>
            <w:r>
              <w:t>. panta otrās daļas 6. punktu.</w:t>
            </w:r>
          </w:p>
        </w:tc>
        <w:tc>
          <w:tcPr>
            <w:tcW w:w="3261" w:type="dxa"/>
          </w:tcPr>
          <w:p w:rsidR="00955F6B" w:rsidP="00D47019" w:rsidRDefault="00B61ABD" w14:paraId="28309DBD" w14:textId="529233CE">
            <w:pPr>
              <w:pStyle w:val="naisf"/>
              <w:spacing w:before="0" w:after="0"/>
              <w:ind w:firstLine="0"/>
              <w:rPr>
                <w:b/>
                <w:bCs/>
              </w:rPr>
            </w:pPr>
            <w:r w:rsidRPr="000C6C1A">
              <w:rPr>
                <w:b/>
                <w:bCs/>
              </w:rPr>
              <w:lastRenderedPageBreak/>
              <w:t>Iebildums</w:t>
            </w:r>
            <w:r w:rsidRPr="000C6C1A" w:rsidR="0021388A">
              <w:rPr>
                <w:b/>
                <w:bCs/>
              </w:rPr>
              <w:t xml:space="preserve"> </w:t>
            </w:r>
            <w:r w:rsidR="00893254">
              <w:rPr>
                <w:b/>
                <w:bCs/>
              </w:rPr>
              <w:t xml:space="preserve">ir </w:t>
            </w:r>
            <w:r w:rsidRPr="000C6C1A" w:rsidR="0021388A">
              <w:rPr>
                <w:b/>
                <w:bCs/>
              </w:rPr>
              <w:t xml:space="preserve">ņemts </w:t>
            </w:r>
            <w:r w:rsidRPr="000C6C1A" w:rsidR="007F5237">
              <w:rPr>
                <w:b/>
                <w:bCs/>
              </w:rPr>
              <w:t>vērā.</w:t>
            </w:r>
            <w:r w:rsidR="00893254">
              <w:rPr>
                <w:b/>
                <w:bCs/>
              </w:rPr>
              <w:t xml:space="preserve"> Attiecīgi papildināta anotācija.</w:t>
            </w:r>
          </w:p>
          <w:p w:rsidRPr="000C6C1A" w:rsidR="00824569" w:rsidP="00D47019" w:rsidRDefault="00824569" w14:paraId="263DBD61" w14:textId="77777777">
            <w:pPr>
              <w:pStyle w:val="naisf"/>
              <w:spacing w:before="0" w:after="0"/>
              <w:ind w:firstLine="0"/>
              <w:rPr>
                <w:b/>
                <w:bCs/>
              </w:rPr>
            </w:pPr>
          </w:p>
          <w:p w:rsidRPr="000C6C1A" w:rsidR="00824569" w:rsidP="00D47019" w:rsidRDefault="00824569" w14:paraId="1D7029B9" w14:textId="77777777">
            <w:pPr>
              <w:pStyle w:val="naisf"/>
              <w:spacing w:before="0" w:after="0"/>
              <w:ind w:firstLine="0"/>
              <w:rPr>
                <w:b/>
                <w:bCs/>
              </w:rPr>
            </w:pPr>
          </w:p>
          <w:p w:rsidRPr="000C6C1A" w:rsidR="00824569" w:rsidP="00D47019" w:rsidRDefault="00824569" w14:paraId="7DF0D8B0"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3DF91AB7">
            <w:pPr>
              <w:pStyle w:val="naisf"/>
              <w:spacing w:before="0" w:after="0"/>
              <w:ind w:firstLine="0"/>
              <w:rPr>
                <w:b/>
                <w:bCs/>
              </w:rPr>
            </w:pPr>
          </w:p>
        </w:tc>
        <w:tc>
          <w:tcPr>
            <w:tcW w:w="2980" w:type="dxa"/>
          </w:tcPr>
          <w:p w:rsidR="00CB339A" w:rsidP="00274B83" w:rsidRDefault="00CB339A" w14:paraId="28F4671D" w14:textId="13802EA9">
            <w:pPr>
              <w:jc w:val="both"/>
              <w:rPr>
                <w:b/>
              </w:rPr>
            </w:pPr>
            <w:r w:rsidRPr="00CB339A">
              <w:rPr>
                <w:b/>
              </w:rPr>
              <w:t>Anotācijas I sadaļas 2.punkts</w:t>
            </w:r>
            <w:r w:rsidR="00893254">
              <w:rPr>
                <w:b/>
              </w:rPr>
              <w:t xml:space="preserve"> (12.-14.lp.)</w:t>
            </w:r>
            <w:r w:rsidRPr="00CB339A">
              <w:rPr>
                <w:b/>
              </w:rPr>
              <w:t>.</w:t>
            </w:r>
          </w:p>
          <w:p w:rsidRPr="00893254" w:rsidR="00893254" w:rsidP="00893254" w:rsidRDefault="00893254" w14:paraId="64D4C376" w14:textId="77777777">
            <w:pPr>
              <w:jc w:val="both"/>
              <w:rPr>
                <w:b/>
                <w:bCs/>
                <w:iCs/>
              </w:rPr>
            </w:pPr>
            <w:r w:rsidRPr="00893254">
              <w:rPr>
                <w:b/>
                <w:bCs/>
                <w:iCs/>
              </w:rPr>
              <w:t xml:space="preserve">Lidlaukam piekritīgajā teritorijā iekļauto valstij piederošo zemes īpašumu izmantošana ir rezervēta valsts akciju sabiedrības "Starptautiskā lidosta "Rīga"" darbības mērķiem, t.i., lidlauka attīstības perspektīvām. </w:t>
            </w:r>
          </w:p>
          <w:p w:rsidRPr="00893254" w:rsidR="00893254" w:rsidP="00893254" w:rsidRDefault="00893254" w14:paraId="515B67A6" w14:textId="77777777">
            <w:pPr>
              <w:jc w:val="both"/>
              <w:rPr>
                <w:b/>
                <w:bCs/>
                <w:iCs/>
              </w:rPr>
            </w:pPr>
            <w:r w:rsidRPr="00893254">
              <w:rPr>
                <w:b/>
                <w:bCs/>
                <w:iCs/>
              </w:rPr>
              <w:t xml:space="preserve">Valsts akciju sabiedrības "Starptautiskā lidosta "Rīga"" lidlauks ir ieguvis valsts nozīmes civilās aviācijas lidlauka statusu. Lidlauka attīstībai liela nozīme ir vietai un tai pieejamajai infrastruktūrai, kuras izbūves laiks un daudzums plānojams valsts akciju </w:t>
            </w:r>
            <w:r w:rsidRPr="00893254">
              <w:rPr>
                <w:b/>
                <w:bCs/>
                <w:iCs/>
              </w:rPr>
              <w:lastRenderedPageBreak/>
              <w:t>sabiedrības "Starptautiskā lidosta "Rīga"" saimnieciskās darbības ietvaros.</w:t>
            </w:r>
          </w:p>
          <w:p w:rsidRPr="00893254" w:rsidR="00893254" w:rsidP="00893254" w:rsidRDefault="00893254" w14:paraId="3AA426B8" w14:textId="77777777">
            <w:pPr>
              <w:jc w:val="both"/>
              <w:rPr>
                <w:b/>
                <w:bCs/>
                <w:iCs/>
              </w:rPr>
            </w:pPr>
            <w:r w:rsidRPr="00893254">
              <w:rPr>
                <w:b/>
                <w:bCs/>
                <w:iCs/>
              </w:rPr>
              <w:t xml:space="preserve">Savukārt arī Rail </w:t>
            </w:r>
            <w:proofErr w:type="spellStart"/>
            <w:r w:rsidRPr="00893254">
              <w:rPr>
                <w:b/>
                <w:bCs/>
                <w:iCs/>
              </w:rPr>
              <w:t>Baltica</w:t>
            </w:r>
            <w:proofErr w:type="spellEnd"/>
            <w:r w:rsidRPr="00893254">
              <w:rPr>
                <w:b/>
                <w:bCs/>
                <w:iCs/>
              </w:rPr>
              <w:t xml:space="preserve"> projekta ietvaros izbūvējamai infrastruktūrai un citām ar šo projekta īstenošanu saistītajām būvēm ir noteikts nacionālo interešu objekta statuss, pamatojoties uz Ministru kabineta 2016. gada 24. augusta rīkojumu Nr.468 “Par nacionālā interešu objekta statusa noteikšanu Eiropas standarta platuma publiskās lietošanas dzelzceļa infrastruktūrai Rail </w:t>
            </w:r>
            <w:proofErr w:type="spellStart"/>
            <w:r w:rsidRPr="00893254">
              <w:rPr>
                <w:b/>
                <w:bCs/>
                <w:iCs/>
              </w:rPr>
              <w:t>Baltica</w:t>
            </w:r>
            <w:proofErr w:type="spellEnd"/>
            <w:r w:rsidRPr="00893254">
              <w:rPr>
                <w:b/>
                <w:bCs/>
                <w:iCs/>
              </w:rPr>
              <w:t xml:space="preserve">”. </w:t>
            </w:r>
          </w:p>
          <w:p w:rsidRPr="00893254" w:rsidR="00893254" w:rsidP="00893254" w:rsidRDefault="00893254" w14:paraId="466E2B66" w14:textId="77777777">
            <w:pPr>
              <w:jc w:val="both"/>
              <w:rPr>
                <w:b/>
                <w:bCs/>
                <w:iCs/>
              </w:rPr>
            </w:pPr>
            <w:r w:rsidRPr="00893254">
              <w:rPr>
                <w:b/>
                <w:bCs/>
                <w:iCs/>
              </w:rPr>
              <w:t xml:space="preserve">Viena no Rail </w:t>
            </w:r>
            <w:proofErr w:type="spellStart"/>
            <w:r w:rsidRPr="00893254">
              <w:rPr>
                <w:b/>
                <w:bCs/>
                <w:iCs/>
              </w:rPr>
              <w:t>Baltica</w:t>
            </w:r>
            <w:proofErr w:type="spellEnd"/>
            <w:r w:rsidRPr="00893254">
              <w:rPr>
                <w:b/>
                <w:bCs/>
                <w:iCs/>
              </w:rPr>
              <w:t xml:space="preserve"> projekta posma ietvaros ir paredzēts dzelzceļa infrastruktūru un citas saistītās būves izbūvēt Lidlauka pašreizējās un perspektīvās izmantošanas zemēs. </w:t>
            </w:r>
          </w:p>
          <w:p w:rsidRPr="00893254" w:rsidR="00893254" w:rsidP="00893254" w:rsidRDefault="00893254" w14:paraId="0B83B7A2" w14:textId="77777777">
            <w:pPr>
              <w:jc w:val="both"/>
              <w:rPr>
                <w:b/>
                <w:bCs/>
                <w:iCs/>
              </w:rPr>
            </w:pPr>
            <w:r w:rsidRPr="00893254">
              <w:rPr>
                <w:b/>
                <w:bCs/>
                <w:iCs/>
              </w:rPr>
              <w:t xml:space="preserve">Rail </w:t>
            </w:r>
            <w:proofErr w:type="spellStart"/>
            <w:r w:rsidRPr="00893254">
              <w:rPr>
                <w:b/>
                <w:bCs/>
                <w:iCs/>
              </w:rPr>
              <w:t>Baltica</w:t>
            </w:r>
            <w:proofErr w:type="spellEnd"/>
            <w:r w:rsidRPr="00893254">
              <w:rPr>
                <w:b/>
                <w:bCs/>
                <w:iCs/>
              </w:rPr>
              <w:t xml:space="preserve"> projekta īstenošanas vajadzībām starp atbildīgo institūciju </w:t>
            </w:r>
            <w:r w:rsidRPr="00893254">
              <w:rPr>
                <w:b/>
                <w:bCs/>
                <w:iCs/>
              </w:rPr>
              <w:lastRenderedPageBreak/>
              <w:t xml:space="preserve">un VAS “Starptautiskā lidosta “Rīga”” ir panākta vienošanās par Lidlaukam piekritīgajā teritorijā esošo zemju izmantošanas nosacījumiem, apvienojot VAS “Starptautiskā lidosta “Rīga”” noteiktos teritorijas attīstības mērķus un Rail </w:t>
            </w:r>
            <w:proofErr w:type="spellStart"/>
            <w:r w:rsidRPr="00893254">
              <w:rPr>
                <w:b/>
                <w:bCs/>
                <w:iCs/>
              </w:rPr>
              <w:t>Baltica</w:t>
            </w:r>
            <w:proofErr w:type="spellEnd"/>
            <w:r w:rsidRPr="00893254">
              <w:rPr>
                <w:b/>
                <w:bCs/>
                <w:iCs/>
              </w:rPr>
              <w:t xml:space="preserve"> projekta īstenošanas pasākumus vienā kopīgā uzdevumā, lai nodrošinātu augstas kvalitātes un drošības standartu prasību ievērošanu attiecībā uz </w:t>
            </w:r>
            <w:proofErr w:type="spellStart"/>
            <w:r w:rsidRPr="00893254">
              <w:rPr>
                <w:b/>
                <w:bCs/>
                <w:iCs/>
              </w:rPr>
              <w:t>jaunbūvējo</w:t>
            </w:r>
            <w:proofErr w:type="spellEnd"/>
            <w:r w:rsidRPr="00893254">
              <w:rPr>
                <w:b/>
                <w:bCs/>
                <w:iCs/>
              </w:rPr>
              <w:t xml:space="preserve"> objektu drošas un ērtas izmantošanas iespējām.</w:t>
            </w:r>
          </w:p>
          <w:p w:rsidRPr="00893254" w:rsidR="00893254" w:rsidP="00893254" w:rsidRDefault="00893254" w14:paraId="57287194" w14:textId="77777777">
            <w:pPr>
              <w:jc w:val="both"/>
              <w:rPr>
                <w:b/>
                <w:bCs/>
                <w:iCs/>
              </w:rPr>
            </w:pPr>
          </w:p>
          <w:p w:rsidRPr="00893254" w:rsidR="00893254" w:rsidP="00893254" w:rsidRDefault="00893254" w14:paraId="459A2FA7" w14:textId="77777777">
            <w:pPr>
              <w:jc w:val="both"/>
              <w:rPr>
                <w:b/>
                <w:bCs/>
                <w:iCs/>
              </w:rPr>
            </w:pPr>
            <w:r w:rsidRPr="00893254">
              <w:rPr>
                <w:b/>
                <w:bCs/>
                <w:iCs/>
              </w:rPr>
              <w:t>Rīgas domes Īpašuma departamenta Nekustamā īpašuma pārvalde 2019. gada 7. novembra vēstulē Nr. DINIP-19-529-ap ir informējusi, ka zemesgabals (kadastra apzīmējums 0100 082 2182) saskaņā ar MK noteikumiem Nr.535 atrodas  VAS „Starptautiskā lidosta „Rīga”” lidlauka teritorijas (arī turpmākajai attīstībai nepieciešamās teritorijas) robežās un ir piekritīgs valstij.</w:t>
            </w:r>
          </w:p>
          <w:p w:rsidRPr="00893254" w:rsidR="00893254" w:rsidP="00893254" w:rsidRDefault="00893254" w14:paraId="4723014B" w14:textId="77777777">
            <w:pPr>
              <w:jc w:val="both"/>
              <w:rPr>
                <w:b/>
                <w:bCs/>
                <w:iCs/>
              </w:rPr>
            </w:pPr>
          </w:p>
          <w:p w:rsidRPr="00893254" w:rsidR="00893254" w:rsidP="00893254" w:rsidRDefault="00893254" w14:paraId="24F57C1B" w14:textId="77777777">
            <w:pPr>
              <w:jc w:val="both"/>
              <w:rPr>
                <w:b/>
                <w:bCs/>
                <w:iCs/>
              </w:rPr>
            </w:pPr>
            <w:r w:rsidRPr="00893254">
              <w:rPr>
                <w:b/>
                <w:bCs/>
                <w:iCs/>
              </w:rPr>
              <w:t>Atbilstoši Ministru kabineta 2003.gada 29.aprīļa noteikumu Nr.242 “Satiksmes ministrijas nolikums” 4.punktam Satiksmes ministrijai deleģētās funkcijas ir organizēt un koordinēt transporta un sakaru politikas īstenošanu, saskaņā ar ko Satiksmes ministrijas uzdevums ir izstrādāt starptautiskās un vietējās gaisa satiksmes nodrošināšanas un attīstības politiku un veikt pasākumus tās īstenošanai; organizēt Eiropas Savienības fondu finansēto projektu ieviešanu transporta un sakaru nozarē;</w:t>
            </w:r>
            <w:r w:rsidRPr="00893254">
              <w:rPr>
                <w:b/>
                <w:bCs/>
              </w:rPr>
              <w:t xml:space="preserve"> </w:t>
            </w:r>
            <w:r w:rsidRPr="00893254">
              <w:rPr>
                <w:b/>
                <w:bCs/>
                <w:iCs/>
              </w:rPr>
              <w:t xml:space="preserve">koordinēt Rail </w:t>
            </w:r>
            <w:proofErr w:type="spellStart"/>
            <w:r w:rsidRPr="00893254">
              <w:rPr>
                <w:b/>
                <w:bCs/>
                <w:iCs/>
              </w:rPr>
              <w:t>Baltica</w:t>
            </w:r>
            <w:proofErr w:type="spellEnd"/>
            <w:r w:rsidRPr="00893254">
              <w:rPr>
                <w:b/>
                <w:bCs/>
                <w:iCs/>
              </w:rPr>
              <w:t xml:space="preserve"> valsts publiskās lietošanas dzelzceļa infrastruktūras projekta īstenošanu līdz projekta realizācijai.</w:t>
            </w:r>
          </w:p>
          <w:p w:rsidRPr="00893254" w:rsidR="00893254" w:rsidP="00893254" w:rsidRDefault="00893254" w14:paraId="78A6D3D3" w14:textId="77777777">
            <w:pPr>
              <w:jc w:val="both"/>
              <w:rPr>
                <w:iCs/>
              </w:rPr>
            </w:pPr>
          </w:p>
          <w:p w:rsidRPr="00893254" w:rsidR="00893254" w:rsidP="00893254" w:rsidRDefault="00893254" w14:paraId="33193273" w14:textId="77777777">
            <w:pPr>
              <w:jc w:val="both"/>
              <w:rPr>
                <w:b/>
                <w:bCs/>
                <w:iCs/>
              </w:rPr>
            </w:pPr>
            <w:r w:rsidRPr="00893254">
              <w:rPr>
                <w:b/>
                <w:bCs/>
                <w:iCs/>
              </w:rPr>
              <w:t>Lidlauka attīstībai plānotās (atļautās) izmantošanas teritorija nav izmantojama citiem mērķiem un Satiksmes ministrija ir atbildīga par šīs teritorijas attīstības perspektīvu īstenošanas pasākumiem.</w:t>
            </w:r>
          </w:p>
          <w:p w:rsidRPr="00893254" w:rsidR="00893254" w:rsidP="00893254" w:rsidRDefault="00893254" w14:paraId="68B135B9" w14:textId="77777777">
            <w:pPr>
              <w:jc w:val="both"/>
              <w:rPr>
                <w:b/>
                <w:bCs/>
                <w:iCs/>
              </w:rPr>
            </w:pPr>
            <w:r w:rsidRPr="00893254">
              <w:rPr>
                <w:b/>
                <w:bCs/>
                <w:iCs/>
              </w:rPr>
              <w:t xml:space="preserve">Zemesgabala (kadastra apzīmējums 0100 082 2182) izmantošana atlīdzības kompensācijas veidam ir viens no minēto mērķu īstenošanas veidiem, jo nodrošina Lidlauka teritorijā esošas privātpersonai piederošas zemes iegūšanu tās izmantošanai sabiedriskas nozīmes objektu izbūvei un izmantošanai. </w:t>
            </w:r>
          </w:p>
          <w:p w:rsidRPr="00893254" w:rsidR="00893254" w:rsidP="00893254" w:rsidRDefault="00893254" w14:paraId="7166F323" w14:textId="77777777">
            <w:pPr>
              <w:jc w:val="both"/>
              <w:rPr>
                <w:iCs/>
              </w:rPr>
            </w:pPr>
          </w:p>
          <w:p w:rsidRPr="00893254" w:rsidR="00893254" w:rsidP="00893254" w:rsidRDefault="00893254" w14:paraId="158A8C5D" w14:textId="77777777">
            <w:pPr>
              <w:jc w:val="both"/>
              <w:rPr>
                <w:b/>
                <w:bCs/>
                <w:iCs/>
              </w:rPr>
            </w:pPr>
            <w:r w:rsidRPr="00893254">
              <w:rPr>
                <w:b/>
                <w:bCs/>
                <w:iCs/>
              </w:rPr>
              <w:t>Ņemot vērā, ka zemesgabals atrodas nacionālas nozīmes objektu izbūves teritorijā, atzīstams, ka atbilstoši likuma “Par valsts un pašvaldību zemes īpašuma tiesībām un to nostiprināšanu zemesgrāmatās” 4.</w:t>
            </w:r>
            <w:r w:rsidRPr="00893254">
              <w:rPr>
                <w:b/>
                <w:bCs/>
                <w:iCs/>
                <w:vertAlign w:val="superscript"/>
              </w:rPr>
              <w:t>1</w:t>
            </w:r>
            <w:r w:rsidRPr="00893254">
              <w:rPr>
                <w:b/>
                <w:bCs/>
                <w:iCs/>
              </w:rPr>
              <w:t xml:space="preserve"> panta pirmās daļas piektajā punktā minētajam tas ir pielīdzināms zemesgabalam, kas izmantojams jaunu valsts ēku (būvju) celtniecībai vai valsts funkciju īstenošanai. </w:t>
            </w:r>
          </w:p>
          <w:p w:rsidRPr="00893254" w:rsidR="00893254" w:rsidP="00893254" w:rsidRDefault="00893254" w14:paraId="7F378EFE" w14:textId="77777777">
            <w:pPr>
              <w:jc w:val="both"/>
              <w:rPr>
                <w:b/>
                <w:bCs/>
                <w:iCs/>
              </w:rPr>
            </w:pPr>
            <w:r w:rsidRPr="00893254">
              <w:rPr>
                <w:b/>
                <w:bCs/>
                <w:iCs/>
              </w:rPr>
              <w:t xml:space="preserve">Neizpildot īpašnieka izvirzītos nosacījumus un zemesgabalu neizmantojot kā atlīdzības kompensācijas veidu par īpašniekam piederošā nekustamā īpašuma atsavināšanu, zemesgabals ir saglabājams valsts īpašumā Satiksmes ministrijas personā iepriekš minēto mērķu īstenošanai. </w:t>
            </w:r>
          </w:p>
          <w:p w:rsidRPr="00893254" w:rsidR="00893254" w:rsidP="00893254" w:rsidRDefault="00893254" w14:paraId="1175A3DB" w14:textId="77777777">
            <w:pPr>
              <w:jc w:val="both"/>
              <w:rPr>
                <w:b/>
                <w:bCs/>
                <w:iCs/>
              </w:rPr>
            </w:pPr>
          </w:p>
          <w:p w:rsidRPr="00893254" w:rsidR="00274B83" w:rsidP="00274B83" w:rsidRDefault="00893254" w14:paraId="2BB4635D" w14:textId="07374A4C">
            <w:pPr>
              <w:jc w:val="both"/>
              <w:rPr>
                <w:b/>
                <w:bCs/>
                <w:iCs/>
              </w:rPr>
            </w:pPr>
            <w:r w:rsidRPr="00893254">
              <w:rPr>
                <w:b/>
                <w:bCs/>
                <w:iCs/>
              </w:rPr>
              <w:t xml:space="preserve">Rīgas pilsētas pašvaldības zemesgabalam (kadastra apzīmējums 0100 082 2182) noteiktais </w:t>
            </w:r>
            <w:proofErr w:type="spellStart"/>
            <w:r w:rsidRPr="00893254">
              <w:rPr>
                <w:b/>
                <w:bCs/>
                <w:iCs/>
              </w:rPr>
              <w:t>starpgabala</w:t>
            </w:r>
            <w:proofErr w:type="spellEnd"/>
            <w:r w:rsidRPr="00893254">
              <w:rPr>
                <w:b/>
                <w:bCs/>
                <w:iCs/>
              </w:rPr>
              <w:t xml:space="preserve"> statuss neizmaina minētos apstākļus un neietekmē to juridisk</w:t>
            </w:r>
            <w:r w:rsidR="000C6FFC">
              <w:rPr>
                <w:b/>
                <w:bCs/>
                <w:iCs/>
              </w:rPr>
              <w:t>o</w:t>
            </w:r>
            <w:r w:rsidRPr="00893254">
              <w:rPr>
                <w:b/>
                <w:bCs/>
                <w:iCs/>
              </w:rPr>
              <w:t xml:space="preserve"> skaidrojumu, lai konstatētu zemesgabala piekritību pašvaldībai. Zemesgabals ir atzīstams par valsts zemi, kas nepieciešama valsts transporta objektu uzturēšanai atbilstoši likuma “Par valsts un pašvaldību zemes īpašuma tiesībām un to nostiprināšanu zemesgrāmatās” 8.panta </w:t>
            </w:r>
            <w:proofErr w:type="spellStart"/>
            <w:r w:rsidRPr="00893254">
              <w:rPr>
                <w:b/>
                <w:bCs/>
                <w:iCs/>
              </w:rPr>
              <w:t>trešai</w:t>
            </w:r>
            <w:proofErr w:type="spellEnd"/>
            <w:r w:rsidRPr="00893254">
              <w:rPr>
                <w:b/>
                <w:bCs/>
                <w:iCs/>
              </w:rPr>
              <w:t xml:space="preserve"> daļai.</w:t>
            </w:r>
          </w:p>
        </w:tc>
      </w:tr>
    </w:tbl>
    <w:p w:rsidRPr="000C6C1A" w:rsidR="00C62357" w:rsidP="000A531F" w:rsidRDefault="00C62357" w14:paraId="4960A14F" w14:textId="77777777">
      <w:pPr>
        <w:jc w:val="both"/>
      </w:pPr>
    </w:p>
    <w:p w:rsidRPr="002646A8" w:rsidR="00020056" w:rsidP="00893254" w:rsidRDefault="000A531F" w14:paraId="2589A521" w14:textId="18A03EC8">
      <w:pPr>
        <w:jc w:val="both"/>
        <w:rPr>
          <w:bCs/>
        </w:rPr>
      </w:pPr>
      <w:r w:rsidRPr="002646A8">
        <w:t xml:space="preserve">Atbildīgā amatpersona </w:t>
      </w:r>
      <w:r w:rsidRPr="002646A8" w:rsidR="00893254">
        <w:t xml:space="preserve"> Sandra Siliņa, 67028031, sandra.silina@sam.gov.lv</w:t>
      </w:r>
    </w:p>
    <w:p w:rsidRPr="002646A8" w:rsidR="00020056" w:rsidP="00020056" w:rsidRDefault="00020056" w14:paraId="0BF6A11B" w14:textId="25A296C3">
      <w:pPr>
        <w:rPr>
          <w:bCs/>
        </w:rPr>
      </w:pPr>
      <w:r w:rsidRPr="002646A8">
        <w:rPr>
          <w:bCs/>
        </w:rPr>
        <w:t>Satiksmes ministrija</w:t>
      </w:r>
      <w:r w:rsidR="002646A8">
        <w:rPr>
          <w:bCs/>
        </w:rPr>
        <w:t xml:space="preserve">s </w:t>
      </w:r>
      <w:r w:rsidRPr="002646A8">
        <w:rPr>
          <w:bCs/>
        </w:rPr>
        <w:t>Juridisk</w:t>
      </w:r>
      <w:r w:rsidR="002646A8">
        <w:rPr>
          <w:bCs/>
        </w:rPr>
        <w:t>ā</w:t>
      </w:r>
      <w:r w:rsidRPr="002646A8">
        <w:rPr>
          <w:bCs/>
        </w:rPr>
        <w:t xml:space="preserve"> departament</w:t>
      </w:r>
      <w:r w:rsidR="002646A8">
        <w:rPr>
          <w:bCs/>
        </w:rPr>
        <w:t>a</w:t>
      </w:r>
      <w:r w:rsidRPr="002646A8">
        <w:rPr>
          <w:bCs/>
        </w:rPr>
        <w:t xml:space="preserve"> </w:t>
      </w:r>
    </w:p>
    <w:p w:rsidRPr="002646A8" w:rsidR="00020056" w:rsidP="00020056" w:rsidRDefault="00020056" w14:paraId="0F8F3266" w14:textId="77777777">
      <w:pPr>
        <w:rPr>
          <w:bCs/>
        </w:rPr>
      </w:pPr>
      <w:r w:rsidRPr="002646A8">
        <w:rPr>
          <w:bCs/>
        </w:rPr>
        <w:t>Nekustamo īpašumu nodaļas vecākā referente</w:t>
      </w:r>
    </w:p>
    <w:p w:rsidRPr="002646A8" w:rsidR="00893254" w:rsidP="00020056" w:rsidRDefault="00893254" w14:paraId="581ACCB8" w14:textId="77777777"/>
    <w:p w:rsidRPr="002646A8" w:rsidR="00893254" w:rsidP="00020056" w:rsidRDefault="002646A8" w14:paraId="23BDC527" w14:textId="29C82E93">
      <w:pPr>
        <w:rPr>
          <w:rStyle w:val="Hyperlink"/>
          <w:bCs/>
          <w:color w:val="auto"/>
          <w:u w:val="none"/>
        </w:rPr>
      </w:pPr>
      <w:r>
        <w:rPr>
          <w:bCs/>
        </w:rPr>
        <w:t xml:space="preserve">Iveta </w:t>
      </w:r>
      <w:proofErr w:type="spellStart"/>
      <w:r w:rsidRPr="002646A8" w:rsidR="00823D9A">
        <w:rPr>
          <w:bCs/>
        </w:rPr>
        <w:t>Antoneviča</w:t>
      </w:r>
      <w:proofErr w:type="spellEnd"/>
      <w:r w:rsidRPr="002646A8" w:rsidR="00823D9A">
        <w:rPr>
          <w:bCs/>
        </w:rPr>
        <w:t xml:space="preserve">, 66954259, </w:t>
      </w:r>
      <w:hyperlink w:history="1" r:id="rId8">
        <w:r w:rsidRPr="002646A8" w:rsidR="007D226C">
          <w:rPr>
            <w:rStyle w:val="Hyperlink"/>
            <w:bCs/>
            <w:color w:val="auto"/>
            <w:u w:val="none"/>
          </w:rPr>
          <w:t>iveta.antonevica@edzl.lv</w:t>
        </w:r>
      </w:hyperlink>
    </w:p>
    <w:p w:rsidRPr="002646A8" w:rsidR="00893254" w:rsidP="00020056" w:rsidRDefault="00893254" w14:paraId="7061EBD0" w14:textId="77777777">
      <w:pPr>
        <w:rPr>
          <w:rStyle w:val="Hyperlink"/>
          <w:bCs/>
          <w:color w:val="auto"/>
          <w:u w:val="none"/>
        </w:rPr>
      </w:pPr>
      <w:r w:rsidRPr="002646A8">
        <w:rPr>
          <w:rStyle w:val="Hyperlink"/>
          <w:bCs/>
          <w:color w:val="auto"/>
          <w:u w:val="none"/>
        </w:rPr>
        <w:t xml:space="preserve">SIA “Eiropas dzelzceļa līnijas” </w:t>
      </w:r>
    </w:p>
    <w:p w:rsidRPr="002646A8" w:rsidR="00893254" w:rsidP="00020056" w:rsidRDefault="00893254" w14:paraId="259AAE24" w14:textId="77777777">
      <w:pPr>
        <w:rPr>
          <w:rStyle w:val="Hyperlink"/>
          <w:bCs/>
          <w:color w:val="auto"/>
          <w:u w:val="none"/>
        </w:rPr>
      </w:pPr>
      <w:r w:rsidRPr="002646A8">
        <w:rPr>
          <w:rStyle w:val="Hyperlink"/>
          <w:bCs/>
          <w:color w:val="auto"/>
          <w:u w:val="none"/>
        </w:rPr>
        <w:t xml:space="preserve">Nekustamā īpašuma atsavināšanas departamenta </w:t>
      </w:r>
    </w:p>
    <w:p w:rsidRPr="00893254" w:rsidR="00893254" w:rsidP="00020056" w:rsidRDefault="00893254" w14:paraId="34BC9382" w14:textId="6F718B95">
      <w:pPr>
        <w:rPr>
          <w:rStyle w:val="Hyperlink"/>
          <w:bCs/>
          <w:color w:val="auto"/>
          <w:sz w:val="22"/>
          <w:szCs w:val="22"/>
          <w:u w:val="none"/>
        </w:rPr>
      </w:pPr>
      <w:r w:rsidRPr="002646A8">
        <w:rPr>
          <w:rStyle w:val="Hyperlink"/>
          <w:bCs/>
          <w:color w:val="auto"/>
          <w:u w:val="none"/>
        </w:rPr>
        <w:t>nekustamā īpašuma speciāliste</w:t>
      </w:r>
    </w:p>
    <w:p w:rsidRPr="00893254" w:rsidR="00823D9A" w:rsidP="00020056" w:rsidRDefault="00823D9A" w14:paraId="41C1997C" w14:textId="172C90DA">
      <w:pPr>
        <w:rPr>
          <w:bCs/>
          <w:sz w:val="22"/>
          <w:szCs w:val="22"/>
        </w:rPr>
      </w:pPr>
      <w:r w:rsidRPr="00893254">
        <w:rPr>
          <w:bCs/>
          <w:sz w:val="22"/>
          <w:szCs w:val="22"/>
        </w:rPr>
        <w:t xml:space="preserve"> </w:t>
      </w:r>
    </w:p>
    <w:p w:rsidRPr="000C6C1A" w:rsidR="005F3723" w:rsidP="00390339" w:rsidRDefault="005F3723" w14:paraId="2D2820F1" w14:textId="35472595">
      <w:pPr>
        <w:jc w:val="both"/>
      </w:pPr>
    </w:p>
    <w:sectPr w:rsidRPr="000C6C1A" w:rsidR="005F3723" w:rsidSect="002A4998">
      <w:headerReference w:type="even" r:id="rId9"/>
      <w:headerReference w:type="default" r:id="rId10"/>
      <w:footerReference w:type="default" r:id="rId11"/>
      <w:footerReference w:type="first" r:id="rId12"/>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482B7757" w:rsidR="00FC51C5" w:rsidRPr="00FC51C5" w:rsidRDefault="008D3595" w:rsidP="00FC51C5">
    <w:pPr>
      <w:jc w:val="both"/>
      <w:rPr>
        <w:bCs/>
        <w:sz w:val="20"/>
        <w:szCs w:val="20"/>
        <w:lang w:eastAsia="ko-KR"/>
      </w:rPr>
    </w:pPr>
    <w:r>
      <w:rPr>
        <w:sz w:val="20"/>
        <w:szCs w:val="20"/>
      </w:rPr>
      <w:t>SMi</w:t>
    </w:r>
    <w:r w:rsidR="00AA30C8">
      <w:rPr>
        <w:sz w:val="20"/>
        <w:szCs w:val="20"/>
      </w:rPr>
      <w:t>zz_</w:t>
    </w:r>
    <w:r w:rsidR="00CB339A">
      <w:rPr>
        <w:sz w:val="20"/>
        <w:szCs w:val="20"/>
      </w:rPr>
      <w:t>1</w:t>
    </w:r>
    <w:r w:rsidR="00807D98">
      <w:rPr>
        <w:sz w:val="20"/>
        <w:szCs w:val="20"/>
      </w:rPr>
      <w:t>4</w:t>
    </w:r>
    <w:r w:rsidR="00CB339A">
      <w:rPr>
        <w:sz w:val="20"/>
        <w:szCs w:val="20"/>
      </w:rPr>
      <w:t>07</w:t>
    </w:r>
    <w:r w:rsidR="004165C5">
      <w:rPr>
        <w:sz w:val="20"/>
        <w:szCs w:val="20"/>
      </w:rPr>
      <w:t>20</w:t>
    </w:r>
    <w:r w:rsidR="005F437F">
      <w:rPr>
        <w:sz w:val="20"/>
        <w:szCs w:val="20"/>
      </w:rPr>
      <w:t>_</w:t>
    </w:r>
    <w:r w:rsidR="00290A24">
      <w:rPr>
        <w:sz w:val="20"/>
        <w:szCs w:val="20"/>
      </w:rPr>
      <w:t>VSS</w:t>
    </w:r>
    <w:r w:rsidR="00CE6204">
      <w:rPr>
        <w:sz w:val="20"/>
        <w:szCs w:val="20"/>
      </w:rPr>
      <w:t>5</w:t>
    </w:r>
    <w:r w:rsidR="00CB339A">
      <w:rPr>
        <w:sz w:val="20"/>
        <w:szCs w:val="20"/>
      </w:rPr>
      <w:t>18</w:t>
    </w:r>
  </w:p>
  <w:p w14:paraId="0E9B010F" w14:textId="77777777" w:rsidR="00013AD7" w:rsidRPr="00570BB9" w:rsidRDefault="00807D98"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ECFFC10" w:rsidR="00EA4FB1" w:rsidRPr="00FC51C5" w:rsidRDefault="008D3595" w:rsidP="00EA4FB1">
    <w:pPr>
      <w:jc w:val="both"/>
      <w:rPr>
        <w:bCs/>
        <w:sz w:val="20"/>
        <w:szCs w:val="20"/>
        <w:lang w:eastAsia="ko-KR"/>
      </w:rPr>
    </w:pPr>
    <w:r>
      <w:rPr>
        <w:sz w:val="20"/>
        <w:szCs w:val="20"/>
      </w:rPr>
      <w:t>SMi</w:t>
    </w:r>
    <w:r w:rsidR="00E9372F">
      <w:rPr>
        <w:sz w:val="20"/>
        <w:szCs w:val="20"/>
      </w:rPr>
      <w:t>zz_</w:t>
    </w:r>
    <w:r w:rsidR="00CB339A">
      <w:rPr>
        <w:sz w:val="20"/>
        <w:szCs w:val="20"/>
      </w:rPr>
      <w:t>1407</w:t>
    </w:r>
    <w:r w:rsidR="00AE76EB">
      <w:rPr>
        <w:sz w:val="20"/>
        <w:szCs w:val="20"/>
      </w:rPr>
      <w:t>20</w:t>
    </w:r>
    <w:r w:rsidR="005F437F">
      <w:rPr>
        <w:sz w:val="20"/>
        <w:szCs w:val="20"/>
      </w:rPr>
      <w:t>_</w:t>
    </w:r>
    <w:r w:rsidR="00E15A76">
      <w:rPr>
        <w:sz w:val="20"/>
        <w:szCs w:val="20"/>
      </w:rPr>
      <w:t>VSS</w:t>
    </w:r>
    <w:r w:rsidR="00CE6204">
      <w:rPr>
        <w:sz w:val="20"/>
        <w:szCs w:val="20"/>
      </w:rPr>
      <w:t>5</w:t>
    </w:r>
    <w:r w:rsidR="00CB339A">
      <w:rPr>
        <w:sz w:val="20"/>
        <w:szCs w:val="20"/>
      </w:rPr>
      <w:t>18</w:t>
    </w:r>
  </w:p>
  <w:p w14:paraId="71D70F49" w14:textId="77777777" w:rsidR="00E65AF3" w:rsidRPr="00E15A76" w:rsidRDefault="00E65AF3" w:rsidP="00E65AF3">
    <w:pPr>
      <w:jc w:val="both"/>
      <w:rPr>
        <w:bCs/>
        <w:sz w:val="20"/>
        <w:szCs w:val="20"/>
      </w:rPr>
    </w:pPr>
  </w:p>
  <w:p w14:paraId="627254F6" w14:textId="77777777" w:rsidR="00013AD7" w:rsidRPr="0022701B" w:rsidRDefault="00807D98"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807D98"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807D98"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13A9E"/>
    <w:rsid w:val="00020056"/>
    <w:rsid w:val="00031A2B"/>
    <w:rsid w:val="00036659"/>
    <w:rsid w:val="0004179C"/>
    <w:rsid w:val="00054FE8"/>
    <w:rsid w:val="0006139E"/>
    <w:rsid w:val="00070584"/>
    <w:rsid w:val="0007084A"/>
    <w:rsid w:val="000A39DD"/>
    <w:rsid w:val="000A531F"/>
    <w:rsid w:val="000B045E"/>
    <w:rsid w:val="000B5ECF"/>
    <w:rsid w:val="000C6C1A"/>
    <w:rsid w:val="000C6FFC"/>
    <w:rsid w:val="000E7C70"/>
    <w:rsid w:val="00120959"/>
    <w:rsid w:val="00120A54"/>
    <w:rsid w:val="0013486B"/>
    <w:rsid w:val="001616A0"/>
    <w:rsid w:val="00161C98"/>
    <w:rsid w:val="00173110"/>
    <w:rsid w:val="001770D4"/>
    <w:rsid w:val="00185895"/>
    <w:rsid w:val="001914B9"/>
    <w:rsid w:val="001B0C1E"/>
    <w:rsid w:val="001B4F15"/>
    <w:rsid w:val="001C60E5"/>
    <w:rsid w:val="001E1A14"/>
    <w:rsid w:val="001E350D"/>
    <w:rsid w:val="001F380D"/>
    <w:rsid w:val="001F5E0D"/>
    <w:rsid w:val="00200F20"/>
    <w:rsid w:val="00203435"/>
    <w:rsid w:val="00212734"/>
    <w:rsid w:val="00212D1C"/>
    <w:rsid w:val="0021388A"/>
    <w:rsid w:val="00214B4E"/>
    <w:rsid w:val="0021718F"/>
    <w:rsid w:val="002230AC"/>
    <w:rsid w:val="00236459"/>
    <w:rsid w:val="00251198"/>
    <w:rsid w:val="002646A8"/>
    <w:rsid w:val="00264C2F"/>
    <w:rsid w:val="00270D5D"/>
    <w:rsid w:val="002710B5"/>
    <w:rsid w:val="0027374D"/>
    <w:rsid w:val="00274B83"/>
    <w:rsid w:val="00283C11"/>
    <w:rsid w:val="00287A40"/>
    <w:rsid w:val="00290A24"/>
    <w:rsid w:val="00297E79"/>
    <w:rsid w:val="002C47B5"/>
    <w:rsid w:val="002D3C34"/>
    <w:rsid w:val="002D588B"/>
    <w:rsid w:val="002D7A98"/>
    <w:rsid w:val="002E51C4"/>
    <w:rsid w:val="002F21FE"/>
    <w:rsid w:val="00302611"/>
    <w:rsid w:val="00304936"/>
    <w:rsid w:val="00307E7E"/>
    <w:rsid w:val="003101D8"/>
    <w:rsid w:val="00326543"/>
    <w:rsid w:val="003501C0"/>
    <w:rsid w:val="00380B98"/>
    <w:rsid w:val="00385EC6"/>
    <w:rsid w:val="00390339"/>
    <w:rsid w:val="003A410A"/>
    <w:rsid w:val="003C1E3D"/>
    <w:rsid w:val="003D2373"/>
    <w:rsid w:val="003D37F3"/>
    <w:rsid w:val="003E112E"/>
    <w:rsid w:val="004021B9"/>
    <w:rsid w:val="00405454"/>
    <w:rsid w:val="00410ADB"/>
    <w:rsid w:val="00411949"/>
    <w:rsid w:val="004165C5"/>
    <w:rsid w:val="004227B4"/>
    <w:rsid w:val="004273F5"/>
    <w:rsid w:val="00431A7C"/>
    <w:rsid w:val="004401DB"/>
    <w:rsid w:val="00444A47"/>
    <w:rsid w:val="004501FB"/>
    <w:rsid w:val="00453894"/>
    <w:rsid w:val="00457251"/>
    <w:rsid w:val="00474825"/>
    <w:rsid w:val="00483870"/>
    <w:rsid w:val="00485BEE"/>
    <w:rsid w:val="00486CEF"/>
    <w:rsid w:val="00487BCB"/>
    <w:rsid w:val="004911C0"/>
    <w:rsid w:val="00491E1F"/>
    <w:rsid w:val="0049672C"/>
    <w:rsid w:val="004A3325"/>
    <w:rsid w:val="004A3842"/>
    <w:rsid w:val="004A4217"/>
    <w:rsid w:val="004F4734"/>
    <w:rsid w:val="004F65A9"/>
    <w:rsid w:val="005023AC"/>
    <w:rsid w:val="00511A74"/>
    <w:rsid w:val="00517539"/>
    <w:rsid w:val="00523477"/>
    <w:rsid w:val="0053729A"/>
    <w:rsid w:val="00546049"/>
    <w:rsid w:val="00552EEB"/>
    <w:rsid w:val="00557845"/>
    <w:rsid w:val="00557BA5"/>
    <w:rsid w:val="005617F5"/>
    <w:rsid w:val="00562EF2"/>
    <w:rsid w:val="0057339C"/>
    <w:rsid w:val="005776CA"/>
    <w:rsid w:val="00580CD2"/>
    <w:rsid w:val="00592240"/>
    <w:rsid w:val="005A5CE7"/>
    <w:rsid w:val="005B5C10"/>
    <w:rsid w:val="005C28F5"/>
    <w:rsid w:val="005C29DE"/>
    <w:rsid w:val="005C709A"/>
    <w:rsid w:val="005D403F"/>
    <w:rsid w:val="005F3723"/>
    <w:rsid w:val="005F3CFA"/>
    <w:rsid w:val="005F437F"/>
    <w:rsid w:val="005F4B79"/>
    <w:rsid w:val="00602FC3"/>
    <w:rsid w:val="00606571"/>
    <w:rsid w:val="00640D28"/>
    <w:rsid w:val="006523CA"/>
    <w:rsid w:val="006854E4"/>
    <w:rsid w:val="00693260"/>
    <w:rsid w:val="006B04E7"/>
    <w:rsid w:val="006B3025"/>
    <w:rsid w:val="006C196E"/>
    <w:rsid w:val="006C4AF1"/>
    <w:rsid w:val="006C703C"/>
    <w:rsid w:val="006D534A"/>
    <w:rsid w:val="006D644F"/>
    <w:rsid w:val="006E1F6A"/>
    <w:rsid w:val="006E54CC"/>
    <w:rsid w:val="006F244F"/>
    <w:rsid w:val="00705DBC"/>
    <w:rsid w:val="00707579"/>
    <w:rsid w:val="00716F47"/>
    <w:rsid w:val="007210AF"/>
    <w:rsid w:val="0072704D"/>
    <w:rsid w:val="00732176"/>
    <w:rsid w:val="007469D5"/>
    <w:rsid w:val="00757582"/>
    <w:rsid w:val="00761D93"/>
    <w:rsid w:val="00764E51"/>
    <w:rsid w:val="00770AD8"/>
    <w:rsid w:val="00783E6E"/>
    <w:rsid w:val="007A38FD"/>
    <w:rsid w:val="007A67A2"/>
    <w:rsid w:val="007A6F0F"/>
    <w:rsid w:val="007B021C"/>
    <w:rsid w:val="007B0C72"/>
    <w:rsid w:val="007B387E"/>
    <w:rsid w:val="007C21FF"/>
    <w:rsid w:val="007C24D1"/>
    <w:rsid w:val="007D226C"/>
    <w:rsid w:val="007D3819"/>
    <w:rsid w:val="007E2611"/>
    <w:rsid w:val="007F0A92"/>
    <w:rsid w:val="007F39E0"/>
    <w:rsid w:val="007F5214"/>
    <w:rsid w:val="007F5237"/>
    <w:rsid w:val="007F7190"/>
    <w:rsid w:val="00807D98"/>
    <w:rsid w:val="008138C6"/>
    <w:rsid w:val="00823D9A"/>
    <w:rsid w:val="00824569"/>
    <w:rsid w:val="00840AC1"/>
    <w:rsid w:val="008454B7"/>
    <w:rsid w:val="00845C31"/>
    <w:rsid w:val="00854839"/>
    <w:rsid w:val="00857BEB"/>
    <w:rsid w:val="00861F81"/>
    <w:rsid w:val="00863A75"/>
    <w:rsid w:val="008655DA"/>
    <w:rsid w:val="00887A13"/>
    <w:rsid w:val="00893254"/>
    <w:rsid w:val="0089722D"/>
    <w:rsid w:val="008973CB"/>
    <w:rsid w:val="008A3BA3"/>
    <w:rsid w:val="008B1CF5"/>
    <w:rsid w:val="008C2198"/>
    <w:rsid w:val="008C7596"/>
    <w:rsid w:val="008D3595"/>
    <w:rsid w:val="008D74D3"/>
    <w:rsid w:val="008D7795"/>
    <w:rsid w:val="008E5699"/>
    <w:rsid w:val="0090000D"/>
    <w:rsid w:val="00906110"/>
    <w:rsid w:val="0091003F"/>
    <w:rsid w:val="009214DA"/>
    <w:rsid w:val="00930695"/>
    <w:rsid w:val="00940187"/>
    <w:rsid w:val="0094059F"/>
    <w:rsid w:val="00955F6B"/>
    <w:rsid w:val="009637BC"/>
    <w:rsid w:val="00967A82"/>
    <w:rsid w:val="009702A1"/>
    <w:rsid w:val="00971B02"/>
    <w:rsid w:val="00972C39"/>
    <w:rsid w:val="00974FA1"/>
    <w:rsid w:val="00975516"/>
    <w:rsid w:val="00977DFB"/>
    <w:rsid w:val="009903D9"/>
    <w:rsid w:val="0099571E"/>
    <w:rsid w:val="009A067A"/>
    <w:rsid w:val="009B4AC0"/>
    <w:rsid w:val="009C7CC0"/>
    <w:rsid w:val="009D0DE2"/>
    <w:rsid w:val="009D6B36"/>
    <w:rsid w:val="009E765A"/>
    <w:rsid w:val="009E7D11"/>
    <w:rsid w:val="00A15FF0"/>
    <w:rsid w:val="00A23CC0"/>
    <w:rsid w:val="00A34347"/>
    <w:rsid w:val="00A36F3C"/>
    <w:rsid w:val="00A67E47"/>
    <w:rsid w:val="00A91A94"/>
    <w:rsid w:val="00A95B09"/>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0911"/>
    <w:rsid w:val="00B43775"/>
    <w:rsid w:val="00B44F89"/>
    <w:rsid w:val="00B45DE0"/>
    <w:rsid w:val="00B61ABD"/>
    <w:rsid w:val="00B641E0"/>
    <w:rsid w:val="00B65773"/>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24317"/>
    <w:rsid w:val="00C319A3"/>
    <w:rsid w:val="00C62357"/>
    <w:rsid w:val="00C708D6"/>
    <w:rsid w:val="00C73711"/>
    <w:rsid w:val="00C759D4"/>
    <w:rsid w:val="00C77313"/>
    <w:rsid w:val="00C80A32"/>
    <w:rsid w:val="00C908F5"/>
    <w:rsid w:val="00CA0484"/>
    <w:rsid w:val="00CA590E"/>
    <w:rsid w:val="00CB339A"/>
    <w:rsid w:val="00CC0355"/>
    <w:rsid w:val="00CC6A3D"/>
    <w:rsid w:val="00CD3D34"/>
    <w:rsid w:val="00CD59D2"/>
    <w:rsid w:val="00CE6204"/>
    <w:rsid w:val="00CF228A"/>
    <w:rsid w:val="00D058F7"/>
    <w:rsid w:val="00D061A4"/>
    <w:rsid w:val="00D06CD2"/>
    <w:rsid w:val="00D17E2B"/>
    <w:rsid w:val="00D201AD"/>
    <w:rsid w:val="00D47019"/>
    <w:rsid w:val="00D55FAD"/>
    <w:rsid w:val="00D56DC4"/>
    <w:rsid w:val="00D66F4C"/>
    <w:rsid w:val="00D7217B"/>
    <w:rsid w:val="00D81B3E"/>
    <w:rsid w:val="00D84BD2"/>
    <w:rsid w:val="00DA2FA4"/>
    <w:rsid w:val="00DA5A2A"/>
    <w:rsid w:val="00DB786B"/>
    <w:rsid w:val="00DC000F"/>
    <w:rsid w:val="00DC002D"/>
    <w:rsid w:val="00DC28A7"/>
    <w:rsid w:val="00DF0CEF"/>
    <w:rsid w:val="00DF3EEC"/>
    <w:rsid w:val="00DF59E7"/>
    <w:rsid w:val="00DF5CFC"/>
    <w:rsid w:val="00E15A76"/>
    <w:rsid w:val="00E33864"/>
    <w:rsid w:val="00E41B15"/>
    <w:rsid w:val="00E44D7D"/>
    <w:rsid w:val="00E51EB0"/>
    <w:rsid w:val="00E638EB"/>
    <w:rsid w:val="00E65AF3"/>
    <w:rsid w:val="00E90C3C"/>
    <w:rsid w:val="00E91805"/>
    <w:rsid w:val="00E92479"/>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35A"/>
    <w:rsid w:val="00F6373F"/>
    <w:rsid w:val="00F66EC8"/>
    <w:rsid w:val="00F77C0F"/>
    <w:rsid w:val="00F87749"/>
    <w:rsid w:val="00FA1CC8"/>
    <w:rsid w:val="00FA2A7F"/>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antonevica@edzl.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Iveta Antoneviča</dc:creator>
  <cp:keywords>MK rīkojuma projekts</cp:keywords>
  <dc:description>iveta.antonevica@edzl.lv, 66954259</dc:description>
  <cp:lastModifiedBy>Santa Kārkliņa</cp:lastModifiedBy>
  <cp:revision>15</cp:revision>
  <cp:lastPrinted>2020-04-07T14:00:00Z</cp:lastPrinted>
  <dcterms:created xsi:type="dcterms:W3CDTF">2020-07-14T08:33:00Z</dcterms:created>
  <dcterms:modified xsi:type="dcterms:W3CDTF">2020-08-07T07:44:00Z</dcterms:modified>
</cp:coreProperties>
</file>