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09139" w14:textId="77777777" w:rsidR="00027A72" w:rsidRDefault="00422D30">
      <w:pPr>
        <w:jc w:val="center"/>
        <w:rPr>
          <w:b/>
        </w:rPr>
      </w:pPr>
      <w:r>
        <w:rPr>
          <w:b/>
          <w:color w:val="000000"/>
        </w:rPr>
        <w:t>Ministru kabineta noteikumu projekta "</w:t>
      </w:r>
      <w:r>
        <w:rPr>
          <w:b/>
        </w:rPr>
        <w:t>Grozījumi Ministru kabineta 2016. gada 8. marta noteikumos Nr. 152 "Darbības programmas "Izaugsme un nodarbinātība" 4.2.2. specifiskā atbalsta mērķa "Atbilstoši pašvaldības integrētajām attīstības programmām sekmēt energoefektivitātes paaugstināšanu un atjaunojamo energoresursu izmantošanu pašvaldību ēkās" īstenošanas noteikumi"</w:t>
      </w:r>
      <w:r>
        <w:rPr>
          <w:b/>
          <w:color w:val="000000"/>
        </w:rPr>
        <w:t xml:space="preserve">" sākotnējās ietekmes novērtējuma ziņojums (anotācija) </w:t>
      </w:r>
    </w:p>
    <w:p w14:paraId="4B101D89" w14:textId="77777777" w:rsidR="00027A72" w:rsidRDefault="00027A72">
      <w:pPr>
        <w:jc w:val="center"/>
        <w:rPr>
          <w:b/>
          <w:sz w:val="28"/>
          <w:szCs w:val="28"/>
        </w:rPr>
      </w:pPr>
    </w:p>
    <w:tbl>
      <w:tblPr>
        <w:tblStyle w:val="TableGrid"/>
        <w:tblW w:w="5000" w:type="pct"/>
        <w:tblInd w:w="-431" w:type="dxa"/>
        <w:tblCellMar>
          <w:left w:w="103" w:type="dxa"/>
        </w:tblCellMar>
        <w:tblLook w:val="04A0" w:firstRow="1" w:lastRow="0" w:firstColumn="1" w:lastColumn="0" w:noHBand="0" w:noVBand="1"/>
      </w:tblPr>
      <w:tblGrid>
        <w:gridCol w:w="2015"/>
        <w:gridCol w:w="7046"/>
      </w:tblGrid>
      <w:tr w:rsidR="00027A72" w14:paraId="61DCDE4D" w14:textId="77777777">
        <w:tc>
          <w:tcPr>
            <w:tcW w:w="9070" w:type="dxa"/>
            <w:gridSpan w:val="2"/>
            <w:shd w:val="clear" w:color="auto" w:fill="auto"/>
            <w:tcMar>
              <w:left w:w="103" w:type="dxa"/>
            </w:tcMar>
          </w:tcPr>
          <w:p w14:paraId="4449E4D7" w14:textId="77777777" w:rsidR="00027A72" w:rsidRDefault="00422D30">
            <w:pPr>
              <w:jc w:val="center"/>
              <w:rPr>
                <w:b/>
                <w:bCs/>
                <w:color w:val="000000"/>
              </w:rPr>
            </w:pPr>
            <w:r>
              <w:rPr>
                <w:b/>
                <w:bCs/>
                <w:color w:val="000000"/>
              </w:rPr>
              <w:t>Tiesību akta projekta anotācijas kopsavilkums</w:t>
            </w:r>
          </w:p>
        </w:tc>
      </w:tr>
      <w:tr w:rsidR="00027A72" w14:paraId="6566A978" w14:textId="77777777">
        <w:tc>
          <w:tcPr>
            <w:tcW w:w="2016" w:type="dxa"/>
            <w:shd w:val="clear" w:color="auto" w:fill="auto"/>
            <w:tcMar>
              <w:left w:w="103" w:type="dxa"/>
            </w:tcMar>
          </w:tcPr>
          <w:p w14:paraId="714913C6" w14:textId="77777777" w:rsidR="00027A72" w:rsidRDefault="00422D30">
            <w:pPr>
              <w:rPr>
                <w:rFonts w:eastAsia="Times New Roman"/>
                <w:color w:val="414142"/>
              </w:rPr>
            </w:pPr>
            <w:r>
              <w:rPr>
                <w:rFonts w:eastAsia="Times New Roman"/>
              </w:rPr>
              <w:t>Mērķis, risinājums un projekta spēkā stāšanās laiks (500 zīmes bez atstarpēm)</w:t>
            </w:r>
          </w:p>
        </w:tc>
        <w:tc>
          <w:tcPr>
            <w:tcW w:w="7054" w:type="dxa"/>
            <w:shd w:val="clear" w:color="auto" w:fill="auto"/>
            <w:tcMar>
              <w:left w:w="103" w:type="dxa"/>
            </w:tcMar>
          </w:tcPr>
          <w:p w14:paraId="1B889109" w14:textId="77777777" w:rsidR="00027A72" w:rsidRDefault="00422D30">
            <w:pPr>
              <w:ind w:right="142"/>
              <w:jc w:val="both"/>
              <w:rPr>
                <w:rFonts w:eastAsia="Times New Roman"/>
              </w:rPr>
            </w:pPr>
            <w:r>
              <w:rPr>
                <w:rFonts w:eastAsia="Times New Roman"/>
                <w:spacing w:val="-2"/>
              </w:rPr>
              <w:t>Ministru kabineta noteikumu projekts "</w:t>
            </w:r>
            <w:r>
              <w:rPr>
                <w:i/>
              </w:rPr>
              <w:t>Grozījumi Ministru kabineta 2016. gada 8. marta noteikumos Nr. 152 "Darbības programmas "Izaugsme un nodarbinātība" 4.2.2. specifiskā atbalsta mērķa "Atbilstoši pašvaldības integrētajām attīstības programmām sekmēt energoefektivitātes paaugstināšanu un atjaunojamo energoresursu izmantošanu pašvaldību ēkās" īstenošanas noteikumi"</w:t>
            </w:r>
            <w:r>
              <w:rPr>
                <w:rFonts w:eastAsia="Times New Roman"/>
                <w:spacing w:val="-2"/>
              </w:rPr>
              <w:t xml:space="preserve">" (turpmāk – noteikumu projekts) izstrādāts, ņemot vērā nepieciešamību stimulēt </w:t>
            </w:r>
            <w:r>
              <w:rPr>
                <w:rFonts w:eastAsia="Times New Roman"/>
                <w:color w:val="000000" w:themeColor="text1"/>
              </w:rPr>
              <w:t xml:space="preserve">ekonomisko aktivitāti reģionos pēc </w:t>
            </w:r>
            <w:proofErr w:type="spellStart"/>
            <w:r>
              <w:rPr>
                <w:rFonts w:eastAsia="Times New Roman"/>
              </w:rPr>
              <w:t>koronavīrusa</w:t>
            </w:r>
            <w:proofErr w:type="spellEnd"/>
            <w:r>
              <w:rPr>
                <w:rFonts w:eastAsia="Times New Roman"/>
              </w:rPr>
              <w:t xml:space="preserve"> (turpmāk – COVID-19)</w:t>
            </w:r>
            <w:r>
              <w:rPr>
                <w:rFonts w:eastAsia="Times New Roman"/>
                <w:color w:val="000000" w:themeColor="text1"/>
              </w:rPr>
              <w:t xml:space="preserve"> </w:t>
            </w:r>
            <w:r>
              <w:rPr>
                <w:rFonts w:eastAsia="Times New Roman"/>
                <w:color w:val="000000" w:themeColor="text1"/>
                <w:spacing w:val="-2"/>
              </w:rPr>
              <w:t>izraisītās ārkārtējās situācijas beigām. Noteikumu projekts izstrādāts,</w:t>
            </w:r>
            <w:r>
              <w:rPr>
                <w:rFonts w:eastAsia="Times New Roman"/>
              </w:rPr>
              <w:t xml:space="preserve"> lai:</w:t>
            </w:r>
          </w:p>
          <w:p w14:paraId="6130D4B8" w14:textId="77777777" w:rsidR="00027A72" w:rsidRDefault="00422D30">
            <w:pPr>
              <w:pStyle w:val="ListParagraph"/>
              <w:numPr>
                <w:ilvl w:val="0"/>
                <w:numId w:val="2"/>
              </w:numPr>
              <w:ind w:right="142"/>
              <w:jc w:val="both"/>
              <w:rPr>
                <w:rFonts w:asciiTheme="minorHAnsi" w:eastAsiaTheme="minorEastAsia" w:hAnsiTheme="minorHAnsi" w:cstheme="minorBidi"/>
                <w:sz w:val="24"/>
                <w:szCs w:val="24"/>
              </w:rPr>
            </w:pPr>
            <w:r>
              <w:rPr>
                <w:spacing w:val="-2"/>
                <w:sz w:val="24"/>
                <w:szCs w:val="24"/>
              </w:rPr>
              <w:t xml:space="preserve">darbības programmas "Izaugsme un nodarbinātība" </w:t>
            </w:r>
            <w:r>
              <w:rPr>
                <w:sz w:val="24"/>
                <w:szCs w:val="24"/>
              </w:rPr>
              <w:t>4.2.2. specifiskā atbalsta mērķa "</w:t>
            </w:r>
            <w:r>
              <w:rPr>
                <w:i/>
                <w:sz w:val="24"/>
                <w:szCs w:val="24"/>
              </w:rPr>
              <w:t>Atbilstoši pašvaldības integrētajām attīstības programmām sekmēt energoefektivitātes paaugstināšanu un atjaunojamo energoresursu izmantošanu pašvaldību ēkās</w:t>
            </w:r>
            <w:r>
              <w:rPr>
                <w:sz w:val="24"/>
                <w:szCs w:val="24"/>
              </w:rPr>
              <w:t xml:space="preserve">" (turpmāk – 4.2.2. SAM) ietvaros izveidotu jaunu ceturto projektu iesniegumu atlases kārtu "Energoefektivitātes paaugstināšana pašvaldību ēkās" (turpmāk – ceturtā atlases kārta), kas paredzēta pašvaldību ēku energoefektivitātes paaugstināšanas augstas gatavības projektu atbalstam nacionālas un reģionālas nozīmes attīstības centru pašvaldībās, lai palīdzētu pašvaldībām mazināt ar valstī izsludināto ārkārtējo situāciju </w:t>
            </w:r>
            <w:r>
              <w:rPr>
                <w:color w:val="000000" w:themeColor="text1"/>
                <w:sz w:val="24"/>
                <w:szCs w:val="24"/>
              </w:rPr>
              <w:t>saistīto negatīvo ietekmi uz tautsaimniecību un veicinātu ekonomikas straujāku atgūšanos no COVID-19 izraisītās krīzes</w:t>
            </w:r>
            <w:r>
              <w:rPr>
                <w:sz w:val="24"/>
                <w:szCs w:val="24"/>
              </w:rPr>
              <w:t>;</w:t>
            </w:r>
          </w:p>
          <w:p w14:paraId="295D7781" w14:textId="77777777" w:rsidR="00027A72" w:rsidRDefault="00422D30">
            <w:pPr>
              <w:pStyle w:val="ListParagraph"/>
              <w:numPr>
                <w:ilvl w:val="0"/>
                <w:numId w:val="2"/>
              </w:numPr>
              <w:ind w:right="142"/>
              <w:jc w:val="both"/>
              <w:rPr>
                <w:sz w:val="24"/>
                <w:szCs w:val="24"/>
              </w:rPr>
            </w:pPr>
            <w:r>
              <w:rPr>
                <w:sz w:val="24"/>
                <w:szCs w:val="24"/>
              </w:rPr>
              <w:t>noteiktu, ka neizmantotais 4.2.1. SAM "</w:t>
            </w:r>
            <w:r>
              <w:rPr>
                <w:i/>
                <w:sz w:val="24"/>
                <w:szCs w:val="24"/>
              </w:rPr>
              <w:t>Veicināt energoefektivitātes paaugstināšanu valsts un dzīvojamās ēkās</w:t>
            </w:r>
            <w:r>
              <w:rPr>
                <w:sz w:val="24"/>
                <w:szCs w:val="24"/>
              </w:rPr>
              <w:t>" 4.2.1.2. pasākuma "</w:t>
            </w:r>
            <w:r>
              <w:rPr>
                <w:i/>
                <w:sz w:val="24"/>
                <w:szCs w:val="24"/>
              </w:rPr>
              <w:t>Veicināt energoefektivitātes paaugstināšanu valsts ēkās</w:t>
            </w:r>
            <w:r>
              <w:rPr>
                <w:sz w:val="24"/>
                <w:szCs w:val="24"/>
              </w:rPr>
              <w:t>"</w:t>
            </w:r>
            <w:r>
              <w:rPr>
                <w:rFonts w:eastAsia="Calibri"/>
                <w:sz w:val="24"/>
                <w:szCs w:val="24"/>
              </w:rPr>
              <w:t xml:space="preserve"> (turpmāk – 4.2.1.2.pasākums) Eiropas Reģionālās attīstības fonda (turpmāk – </w:t>
            </w:r>
            <w:r>
              <w:rPr>
                <w:sz w:val="24"/>
                <w:szCs w:val="24"/>
              </w:rPr>
              <w:t xml:space="preserve">ERAF) finansējums 4,5 milj. </w:t>
            </w:r>
            <w:proofErr w:type="spellStart"/>
            <w:r>
              <w:rPr>
                <w:i/>
                <w:iCs/>
                <w:sz w:val="24"/>
                <w:szCs w:val="24"/>
              </w:rPr>
              <w:t>euro</w:t>
            </w:r>
            <w:proofErr w:type="spellEnd"/>
            <w:r>
              <w:rPr>
                <w:sz w:val="24"/>
                <w:szCs w:val="24"/>
              </w:rPr>
              <w:t xml:space="preserve"> apmērā tiek novirzīts 4.2.2.SAM  ceturtajai atlases kārtai;</w:t>
            </w:r>
          </w:p>
          <w:p w14:paraId="01BE4F7B" w14:textId="77777777" w:rsidR="00027A72" w:rsidRDefault="00422D30">
            <w:pPr>
              <w:pStyle w:val="ListParagraph"/>
              <w:numPr>
                <w:ilvl w:val="0"/>
                <w:numId w:val="2"/>
              </w:numPr>
              <w:ind w:left="714" w:right="142" w:hanging="357"/>
              <w:jc w:val="both"/>
              <w:rPr>
                <w:sz w:val="24"/>
                <w:szCs w:val="24"/>
              </w:rPr>
            </w:pPr>
            <w:r>
              <w:rPr>
                <w:sz w:val="24"/>
                <w:szCs w:val="24"/>
              </w:rPr>
              <w:t xml:space="preserve">palielinātu 4.2.2. SAM ietvaros sasniedzamos iznākuma rādītājus. Ņemot vērā no 4.2.1.2.pasākuma pārdalāmo ERAF finansējuma apmēru, papildu energoefektivitātes paaugstināšanas projektu īstenošanas rezultātā plānots ietaupīt pašvaldību ēkās patērēto primāro enerģiju par vismaz 2 186 350 </w:t>
            </w:r>
            <w:proofErr w:type="spellStart"/>
            <w:r>
              <w:rPr>
                <w:sz w:val="24"/>
                <w:szCs w:val="24"/>
              </w:rPr>
              <w:t>kWh</w:t>
            </w:r>
            <w:proofErr w:type="spellEnd"/>
            <w:r>
              <w:rPr>
                <w:sz w:val="24"/>
                <w:szCs w:val="24"/>
              </w:rPr>
              <w:t>/gadā un samazināt ogļskābās gāzes emisijas par vismaz 551 ogļskābās gāzes emisijas ekvivalenta tonnām gadā.</w:t>
            </w:r>
          </w:p>
          <w:p w14:paraId="7CFBDD53" w14:textId="77777777" w:rsidR="00027A72" w:rsidRDefault="00422D30">
            <w:pPr>
              <w:ind w:right="142"/>
              <w:jc w:val="both"/>
              <w:rPr>
                <w:rFonts w:eastAsia="Times New Roman"/>
              </w:rPr>
            </w:pPr>
            <w:r>
              <w:rPr>
                <w:rFonts w:eastAsia="Times New Roman"/>
              </w:rPr>
              <w:t>Noteikumu projekts stājas spēkā parastajā kārtībā (nākamajā dienā pēc tā izsludināšanas).</w:t>
            </w:r>
          </w:p>
        </w:tc>
      </w:tr>
    </w:tbl>
    <w:p w14:paraId="2E805C27" w14:textId="77777777" w:rsidR="00027A72" w:rsidRDefault="00027A72">
      <w:pPr>
        <w:jc w:val="center"/>
        <w:rPr>
          <w:rFonts w:eastAsia="Times New Roman"/>
        </w:rPr>
      </w:pPr>
    </w:p>
    <w:p w14:paraId="0D5C0BCE" w14:textId="77777777" w:rsidR="00027A72" w:rsidRDefault="00027A72">
      <w:pPr>
        <w:jc w:val="center"/>
        <w:rPr>
          <w:rFonts w:eastAsia="Times New Roman"/>
        </w:rPr>
      </w:pPr>
    </w:p>
    <w:p w14:paraId="1F3D83D4" w14:textId="77777777" w:rsidR="00027A72" w:rsidRDefault="00027A72">
      <w:pPr>
        <w:jc w:val="center"/>
        <w:rPr>
          <w:rFonts w:eastAsia="Times New Roman"/>
        </w:rPr>
      </w:pPr>
    </w:p>
    <w:p w14:paraId="15F71304" w14:textId="77777777" w:rsidR="00027A72" w:rsidRDefault="00027A72">
      <w:pPr>
        <w:jc w:val="center"/>
        <w:rPr>
          <w:rFonts w:eastAsia="Times New Roman"/>
        </w:rPr>
      </w:pPr>
    </w:p>
    <w:tbl>
      <w:tblPr>
        <w:tblW w:w="10207"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68"/>
        <w:gridCol w:w="1403"/>
        <w:gridCol w:w="8236"/>
      </w:tblGrid>
      <w:tr w:rsidR="00027A72" w14:paraId="3F2F2DAA" w14:textId="77777777">
        <w:trPr>
          <w:trHeight w:val="135"/>
        </w:trPr>
        <w:tc>
          <w:tcPr>
            <w:tcW w:w="1020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A1405E" w14:textId="77777777" w:rsidR="00027A72" w:rsidRDefault="00422D30">
            <w:pPr>
              <w:pStyle w:val="ListParagraph"/>
              <w:tabs>
                <w:tab w:val="left" w:pos="2268"/>
                <w:tab w:val="left" w:pos="2410"/>
              </w:tabs>
              <w:ind w:left="1080"/>
              <w:jc w:val="center"/>
              <w:rPr>
                <w:b/>
                <w:bCs/>
                <w:sz w:val="24"/>
                <w:szCs w:val="24"/>
                <w:lang w:eastAsia="en-US"/>
              </w:rPr>
            </w:pPr>
            <w:r>
              <w:rPr>
                <w:b/>
                <w:bCs/>
                <w:sz w:val="24"/>
                <w:szCs w:val="24"/>
              </w:rPr>
              <w:lastRenderedPageBreak/>
              <w:t>I. Tiesību akta projekta izstrādes nepieciešamība</w:t>
            </w:r>
          </w:p>
        </w:tc>
      </w:tr>
      <w:tr w:rsidR="00027A72" w14:paraId="05383F8C" w14:textId="77777777">
        <w:trPr>
          <w:trHeight w:val="135"/>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F7B298" w14:textId="77777777" w:rsidR="00027A72" w:rsidRDefault="00422D30">
            <w:pPr>
              <w:spacing w:before="60" w:after="144"/>
              <w:jc w:val="center"/>
              <w:rPr>
                <w:rFonts w:eastAsia="Times New Roman"/>
                <w:lang w:eastAsia="en-US"/>
              </w:rPr>
            </w:pPr>
            <w:r>
              <w:rPr>
                <w:rFonts w:eastAsia="Times New Roman"/>
              </w:rPr>
              <w:t>1.</w:t>
            </w: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8B30E9" w14:textId="77777777" w:rsidR="00027A72" w:rsidRDefault="00422D30">
            <w:pPr>
              <w:tabs>
                <w:tab w:val="left" w:pos="1904"/>
              </w:tabs>
              <w:spacing w:before="60" w:after="144"/>
              <w:rPr>
                <w:rFonts w:eastAsia="Times New Roman"/>
                <w:lang w:eastAsia="en-US"/>
              </w:rPr>
            </w:pPr>
            <w:r>
              <w:rPr>
                <w:rFonts w:eastAsia="Times New Roman"/>
              </w:rPr>
              <w:t>Pamatojums</w:t>
            </w:r>
          </w:p>
        </w:tc>
        <w:tc>
          <w:tcPr>
            <w:tcW w:w="823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14:paraId="72E01D41" w14:textId="77777777" w:rsidR="00027A72" w:rsidRDefault="00422D30">
            <w:pPr>
              <w:spacing w:after="120"/>
              <w:ind w:right="62"/>
              <w:jc w:val="both"/>
              <w:rPr>
                <w:rFonts w:eastAsia="Times New Roman"/>
                <w:spacing w:val="-2"/>
              </w:rPr>
            </w:pPr>
            <w:r>
              <w:rPr>
                <w:rFonts w:eastAsia="Times New Roman"/>
                <w:spacing w:val="-2"/>
              </w:rPr>
              <w:t>Noteikumu projekts izstrādāts, pamatojoties uz:</w:t>
            </w:r>
          </w:p>
          <w:p w14:paraId="1ACF32D0" w14:textId="77777777" w:rsidR="00027A72" w:rsidRDefault="00422D30">
            <w:pPr>
              <w:pStyle w:val="ListParagraph"/>
              <w:numPr>
                <w:ilvl w:val="0"/>
                <w:numId w:val="1"/>
              </w:numPr>
              <w:spacing w:after="120"/>
              <w:ind w:right="62"/>
              <w:jc w:val="both"/>
              <w:rPr>
                <w:spacing w:val="-2"/>
                <w:sz w:val="24"/>
                <w:szCs w:val="24"/>
              </w:rPr>
            </w:pPr>
            <w:r>
              <w:rPr>
                <w:sz w:val="24"/>
              </w:rPr>
              <w:t xml:space="preserve">Ministru kabineta 2020. gada 19. maija sēdes protokola Nr.34 33.§ </w:t>
            </w:r>
            <w:r>
              <w:rPr>
                <w:iCs/>
                <w:sz w:val="24"/>
              </w:rPr>
              <w:t>"</w:t>
            </w:r>
            <w:r>
              <w:rPr>
                <w:i/>
                <w:iCs/>
                <w:sz w:val="24"/>
              </w:rPr>
              <w:t>Informatīvais ziņojums "Par Eiropas Savienības struktūrfondu un Kohēzijas fonda finansējuma pārdalēm un risinājumiem COVID-19 seku mazināšanai"</w:t>
            </w:r>
            <w:r>
              <w:rPr>
                <w:sz w:val="24"/>
              </w:rPr>
              <w:t>" (turpmāk – protokols) 3. un 4. punktu.</w:t>
            </w:r>
          </w:p>
          <w:p w14:paraId="515A032A" w14:textId="6A1E9B62" w:rsidR="00027A72" w:rsidRDefault="00422D30" w:rsidP="00600BA0">
            <w:pPr>
              <w:pStyle w:val="ListParagraph"/>
              <w:numPr>
                <w:ilvl w:val="0"/>
                <w:numId w:val="1"/>
              </w:numPr>
              <w:spacing w:after="120"/>
              <w:ind w:right="62"/>
              <w:jc w:val="both"/>
            </w:pPr>
            <w:r>
              <w:rPr>
                <w:spacing w:val="-2"/>
                <w:sz w:val="24"/>
                <w:szCs w:val="24"/>
              </w:rPr>
              <w:t>Eiropas Savienības struktūrfondu un Kohēzijas fonda 2014.–2020. gada plānošanas perioda vadības likuma 20. panta 13. punktu</w:t>
            </w:r>
            <w:r w:rsidR="00600BA0">
              <w:rPr>
                <w:spacing w:val="-2"/>
                <w:sz w:val="24"/>
                <w:szCs w:val="24"/>
              </w:rPr>
              <w:t>.</w:t>
            </w:r>
          </w:p>
        </w:tc>
      </w:tr>
      <w:tr w:rsidR="00027A72" w14:paraId="0B214654" w14:textId="77777777">
        <w:trPr>
          <w:trHeight w:val="135"/>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EA96CE" w14:textId="77777777" w:rsidR="00027A72" w:rsidRDefault="00422D30">
            <w:pPr>
              <w:spacing w:before="60" w:after="144"/>
              <w:jc w:val="center"/>
              <w:rPr>
                <w:rFonts w:eastAsia="Times New Roman"/>
                <w:lang w:eastAsia="en-US"/>
              </w:rPr>
            </w:pPr>
            <w:r>
              <w:rPr>
                <w:rFonts w:eastAsia="Times New Roman"/>
              </w:rPr>
              <w:t>2.</w:t>
            </w: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A8387A" w14:textId="77777777" w:rsidR="00027A72" w:rsidRDefault="00422D30">
            <w:pPr>
              <w:spacing w:before="60" w:after="144"/>
              <w:jc w:val="both"/>
              <w:rPr>
                <w:rFonts w:eastAsia="Times New Roman"/>
                <w:lang w:eastAsia="en-US"/>
              </w:rPr>
            </w:pPr>
            <w:r>
              <w:rPr>
                <w:rFonts w:eastAsia="Times New Roman"/>
              </w:rPr>
              <w:t>Pašreizējā situācija un problēmas, kuru risināšanai tiesību akta projekts izstrādāts, tiesiskā regulējuma mērķis un būtība</w:t>
            </w:r>
          </w:p>
        </w:tc>
        <w:tc>
          <w:tcPr>
            <w:tcW w:w="82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8B596B" w14:textId="77777777" w:rsidR="00027A72" w:rsidRDefault="00422D30">
            <w:pPr>
              <w:spacing w:after="120"/>
              <w:jc w:val="both"/>
              <w:rPr>
                <w:rFonts w:eastAsia="Times New Roman"/>
              </w:rPr>
            </w:pPr>
            <w:r>
              <w:rPr>
                <w:rFonts w:eastAsia="Times New Roman"/>
              </w:rPr>
              <w:t>Lai ierobežotu COVID-19 vīrusa izplatību Latvijā, Ministru kabinets 2020. gada 12. martā izsludināja ārkārtējo situāciju</w:t>
            </w:r>
            <w:r>
              <w:rPr>
                <w:rStyle w:val="Vresenkurs"/>
                <w:rFonts w:eastAsia="Times New Roman"/>
              </w:rPr>
              <w:footnoteReference w:id="1"/>
            </w:r>
            <w:r>
              <w:rPr>
                <w:rFonts w:eastAsia="Times New Roman"/>
              </w:rPr>
              <w:t xml:space="preserve"> ar sākotnējo termiņu līdz 2020. gada 14. aprīlim, kas vēlāk tika pagarināts līdz 2020. gada 9. jūnijam. Latvijā ieviestie drošības pasākumi un ierobežojumi sakarā ar ārkārtējo situāciju, kā arī pasākumi, ko īsteno citas valstis COVID-19 izplatības ierobežošanai, negatīvi ietekmē Latvijas tautsaimniecības attīstību. </w:t>
            </w:r>
          </w:p>
          <w:p w14:paraId="1BF22116" w14:textId="77777777" w:rsidR="00027A72" w:rsidRDefault="00422D30">
            <w:pPr>
              <w:spacing w:after="120"/>
              <w:jc w:val="both"/>
              <w:rPr>
                <w:rFonts w:eastAsia="Times New Roman"/>
              </w:rPr>
            </w:pPr>
            <w:r>
              <w:rPr>
                <w:rFonts w:eastAsia="Times New Roman"/>
              </w:rPr>
              <w:t>Pašvaldības var sniegt būtisku ieguldījumu tautsaimniecībā, veicinot ekonomisko aktivitāti reģionos pēc COVID-19 izraisītās ārkārtējās situācijas beigām, īstenojot tautsaimniecībai nozīmīgus Eiropas Savienības (turpmāk – ES) fondu projektus. Publisko ēku energoefektivitātes paaugstināšana ir būtisks investīciju virziens gan valsts noteikto klimata mērķu sasniegšanai, gan iekšzemes patēriņa veicināšanai, atbalstot nodarbinātību būvniecības nozarē un ar to saistīto pakalpojumu sniegšanu.</w:t>
            </w:r>
          </w:p>
          <w:p w14:paraId="32EBF9D9" w14:textId="77777777" w:rsidR="00027A72" w:rsidRDefault="00422D30">
            <w:pPr>
              <w:spacing w:after="120"/>
              <w:jc w:val="both"/>
              <w:rPr>
                <w:rFonts w:eastAsia="Times New Roman"/>
              </w:rPr>
            </w:pPr>
            <w:r>
              <w:rPr>
                <w:rFonts w:eastAsia="Times New Roman"/>
              </w:rPr>
              <w:t xml:space="preserve">Valsts ekonomikas lejupslīdes laikā ES fondu finansējumu nepieciešams novirzīt augstas gatavības, ātri īstenojamiem projektiem. 4.2.2. SAM projektu sagatavošana un īstenošanas uzsākšana ir iespējama dažu mēnešu laikā, nodrošinot pirmo izmaksu veikšanu projektos jau 2020. gadā, kas palīdzētu pašvaldībām mazināt ar valstī izsludināto ārkārtējo situāciju saistīto negatīvo ietekmi uz tautsaimniecību un veicinātu ekonomikas straujāku atgūšanos no COVID-19 izraisītās krīzes. </w:t>
            </w:r>
          </w:p>
          <w:p w14:paraId="21DCBDCB" w14:textId="77777777" w:rsidR="00027A72" w:rsidRDefault="00422D30">
            <w:pPr>
              <w:spacing w:after="120"/>
              <w:jc w:val="both"/>
              <w:rPr>
                <w:rFonts w:eastAsia="Times New Roman"/>
              </w:rPr>
            </w:pPr>
            <w:r>
              <w:rPr>
                <w:rFonts w:eastAsia="Times New Roman"/>
              </w:rPr>
              <w:t xml:space="preserve">Noteikumu projekts paredz izveidot jaunu ceturto atlases kārtu 4.2.2. SAM ietvaros. 4.2.2. SAM ceturtās atlases kārtas īstenošanai tiek novirzīts neizmantotais 4.2.1.2. pasākuma ERAF finansējums 4 500 000 milj. </w:t>
            </w:r>
            <w:proofErr w:type="spellStart"/>
            <w:r>
              <w:rPr>
                <w:rFonts w:eastAsia="Times New Roman"/>
                <w:i/>
                <w:iCs/>
              </w:rPr>
              <w:t>euro</w:t>
            </w:r>
            <w:proofErr w:type="spellEnd"/>
            <w:r>
              <w:rPr>
                <w:rFonts w:eastAsia="Times New Roman"/>
              </w:rPr>
              <w:t>, kā arī 4.2.2. SAM projektu iesniegumu trešās atlases kārtas "</w:t>
            </w:r>
            <w:r>
              <w:rPr>
                <w:rFonts w:eastAsia="Times New Roman"/>
                <w:i/>
              </w:rPr>
              <w:t>Energoefektivitātes paaugstināšana un atjaunojamo energoresursu izmantošana reģionālas nozīmes attīstības centru pašvaldībās</w:t>
            </w:r>
            <w:r>
              <w:rPr>
                <w:rFonts w:eastAsia="Times New Roman"/>
              </w:rPr>
              <w:t xml:space="preserve">" (turpmāk – trešā atlases kārta) neizmantotais atlikums 503 379 </w:t>
            </w:r>
            <w:proofErr w:type="spellStart"/>
            <w:r>
              <w:rPr>
                <w:rFonts w:eastAsia="Times New Roman"/>
                <w:i/>
                <w:iCs/>
              </w:rPr>
              <w:t>euro</w:t>
            </w:r>
            <w:proofErr w:type="spellEnd"/>
            <w:r>
              <w:rPr>
                <w:rFonts w:eastAsia="Times New Roman"/>
              </w:rPr>
              <w:t xml:space="preserve"> – pavisam kopā 5 003 379 </w:t>
            </w:r>
            <w:proofErr w:type="spellStart"/>
            <w:r>
              <w:rPr>
                <w:rFonts w:eastAsia="Times New Roman"/>
                <w:i/>
                <w:iCs/>
              </w:rPr>
              <w:t>euro</w:t>
            </w:r>
            <w:proofErr w:type="spellEnd"/>
            <w:r>
              <w:rPr>
                <w:rFonts w:eastAsia="Times New Roman"/>
                <w:i/>
                <w:iCs/>
              </w:rPr>
              <w:t xml:space="preserve"> </w:t>
            </w:r>
            <w:r>
              <w:rPr>
                <w:rFonts w:eastAsia="Times New Roman"/>
              </w:rPr>
              <w:t>apmērā. Ceturtajai atlases kārtai, kas laika ziņā šobrīd ir pēdējā atlases kārta, tiks novirzīts arī viss iespējamais atlikums, kas veidosies 4.2.2. SAM visu atlases kārtu ietvaros.</w:t>
            </w:r>
          </w:p>
          <w:p w14:paraId="2C69E4EC" w14:textId="10298C0F" w:rsidR="00027A72" w:rsidRDefault="00422D30">
            <w:pPr>
              <w:spacing w:after="120"/>
              <w:jc w:val="both"/>
              <w:rPr>
                <w:rFonts w:eastAsia="Times New Roman"/>
              </w:rPr>
            </w:pPr>
            <w:r>
              <w:rPr>
                <w:rFonts w:eastAsia="Times New Roman"/>
              </w:rPr>
              <w:t xml:space="preserve">Piešķirot papildu finansējumu 5 003 379 </w:t>
            </w:r>
            <w:proofErr w:type="spellStart"/>
            <w:r>
              <w:rPr>
                <w:rFonts w:eastAsia="Times New Roman"/>
                <w:i/>
                <w:iCs/>
              </w:rPr>
              <w:t>euro</w:t>
            </w:r>
            <w:proofErr w:type="spellEnd"/>
            <w:r>
              <w:rPr>
                <w:rFonts w:eastAsia="Times New Roman"/>
              </w:rPr>
              <w:t xml:space="preserve"> apmērā augstas gatavības pašvaldību ēku energoefektivitātes paaugstināšanas projektiem, ik gadu tiks ietaupīta pašvaldību ēkās patērētā primārā enerģija vismaz 2 186 350 </w:t>
            </w:r>
            <w:proofErr w:type="spellStart"/>
            <w:r>
              <w:rPr>
                <w:rFonts w:eastAsia="Times New Roman"/>
              </w:rPr>
              <w:t>kWh</w:t>
            </w:r>
            <w:proofErr w:type="spellEnd"/>
            <w:r>
              <w:rPr>
                <w:rFonts w:eastAsia="Times New Roman"/>
              </w:rPr>
              <w:t xml:space="preserve"> un samazinātas ogļskābās gāzes emisijas vismaz 551 ekvivalenta tonnas. </w:t>
            </w:r>
            <w:r>
              <w:t>Sasniedzamie minimālie iznākuma rādītāji (primārās enerģijas gada patēriņa samazinājums sabiedriskajās ēkās - 22</w:t>
            </w:r>
            <w:r w:rsidR="00600F56">
              <w:t> 502 625</w:t>
            </w:r>
            <w:r>
              <w:t xml:space="preserve"> kilovatstundas gadā un aprēķinātais siltumnīcefekta gāzu samazinājums gadā – 5 </w:t>
            </w:r>
            <w:r w:rsidR="00600F56">
              <w:t>676</w:t>
            </w:r>
            <w:r>
              <w:t xml:space="preserve"> ogļskābās gāzes ekvivalenta tonnas) aprēķināti proporcionāli sākotnēji noteiktajam 4.2.2. SAM finansējumam un sasniedzamajiem iznākuma rādītājiem. Ar aprēķina pamatojumu var iepazīties Ministru kabineta 2016. gada 8. marta noteikumu Nr. 152 "</w:t>
            </w:r>
            <w:r>
              <w:rPr>
                <w:i/>
              </w:rPr>
              <w:t xml:space="preserve">Darbības programmas "Izaugsme un nodarbinātība" 4.2.2. specifiskā atbalsta mērķa "Atbilstoši pašvaldības integrētajām attīstības programmām sekmēt energoefektivitātes paaugstināšanu un </w:t>
            </w:r>
            <w:r>
              <w:rPr>
                <w:i/>
              </w:rPr>
              <w:lastRenderedPageBreak/>
              <w:t>atjaunojamo energoresursu izmantošanu pašvaldību ēkās" īstenošanas noteikumi"</w:t>
            </w:r>
            <w:r>
              <w:t>" (turpmāk – MK noteikumi Nr. 152) sākotnējās ietekmes novērtējuma ziņojumā.</w:t>
            </w:r>
            <w:r>
              <w:rPr>
                <w:rFonts w:eastAsia="Times New Roman"/>
              </w:rPr>
              <w:t xml:space="preserve"> Vienlaikus uz projektu īstenošanas laiku būvniecības procesa nodrošināšanai plānots izveidot līdz 400 darbavietām.</w:t>
            </w:r>
            <w:r>
              <w:rPr>
                <w:rStyle w:val="Vresenkurs"/>
                <w:rFonts w:eastAsia="Times New Roman"/>
              </w:rPr>
              <w:footnoteReference w:id="2"/>
            </w:r>
          </w:p>
          <w:p w14:paraId="757FF2D8" w14:textId="77777777" w:rsidR="00027A72" w:rsidRDefault="00422D30">
            <w:pPr>
              <w:spacing w:after="120"/>
              <w:jc w:val="both"/>
              <w:rPr>
                <w:rFonts w:eastAsia="Times New Roman"/>
              </w:rPr>
            </w:pPr>
            <w:r>
              <w:rPr>
                <w:rFonts w:eastAsia="Times New Roman"/>
              </w:rPr>
              <w:t xml:space="preserve">Ņemot vērā Administratīvi teritoriālo reformu un pašvaldību </w:t>
            </w:r>
            <w:r>
              <w:rPr>
                <w:rFonts w:eastAsia="Times New Roman"/>
                <w:lang w:val="lv"/>
              </w:rPr>
              <w:t>gatavību operatīvi iesniegt un īstenot augstas gatavības papildu projektus,</w:t>
            </w:r>
            <w:r>
              <w:rPr>
                <w:rFonts w:eastAsia="Times New Roman"/>
              </w:rPr>
              <w:t xml:space="preserve"> papildu ERAF finansējumu paredzēts novirzīt nacionālas nozīmes un reģionālas nozīmes attīstības centru pašvaldībām. Lai pēc iespējas ātrāk SAM 4.2.2. ceturtās atlases kārtas ietvaros plānotās investīcijas nonāktu tautsaimniecībā un mazinātu COVID-19 izraisītās ekonomiskās lejupslīdes sekas, Vides aizsardzības un reģionālās attīstības ministrija (turpmāk – VARAM) organizēs ceturtās atlases kārtas projektu ideju </w:t>
            </w:r>
            <w:proofErr w:type="spellStart"/>
            <w:r>
              <w:rPr>
                <w:rFonts w:eastAsia="Times New Roman"/>
              </w:rPr>
              <w:t>priekšatlasi</w:t>
            </w:r>
            <w:proofErr w:type="spellEnd"/>
            <w:r>
              <w:rPr>
                <w:rFonts w:eastAsia="Times New Roman"/>
              </w:rPr>
              <w:t xml:space="preserve">, atbalstot attīstības programmu investīciju plānos iekļautās pašvaldību ēku energoefektivitātes paaugstināšanas augstas gatavības projektu idejas. Pēc projekta ideju </w:t>
            </w:r>
            <w:proofErr w:type="spellStart"/>
            <w:r>
              <w:rPr>
                <w:rFonts w:eastAsia="Times New Roman"/>
              </w:rPr>
              <w:t>priekšatlases</w:t>
            </w:r>
            <w:proofErr w:type="spellEnd"/>
            <w:r>
              <w:rPr>
                <w:rFonts w:eastAsia="Times New Roman"/>
              </w:rPr>
              <w:t xml:space="preserve"> izsludināšanas projektu iesniedzējiem mēneša laikā būs jāsagatavo un jāiesniedz projekta idejas koncepts VARAM, kura tās izvērtēs un sagatavos atbalstāmo projektu ideju sarakstu. Atbalstāmo</w:t>
            </w:r>
            <w:r>
              <w:rPr>
                <w:rFonts w:eastAsia="Times New Roman"/>
                <w:lang w:val="lv"/>
              </w:rPr>
              <w:t xml:space="preserve"> projektu ideju sarakstu, pēc saskaņošanas Reģionālās attīstības koordinācijas padomē, apstiprinās Ministru kabinets, savukārt </w:t>
            </w:r>
            <w:r>
              <w:rPr>
                <w:rFonts w:eastAsia="Times New Roman"/>
              </w:rPr>
              <w:t>projektu iesniegumu vērtēšanu nodrošinās Centrālā finanšu un līgumu aģentūra (turpmāk – CFLA). Termiņš projektu iesniegumu sagatavošanai un iesniegšanai CFLA plānots viens mēnesis.</w:t>
            </w:r>
          </w:p>
          <w:p w14:paraId="489442C0" w14:textId="77777777" w:rsidR="00027A72" w:rsidRDefault="00422D30">
            <w:pPr>
              <w:spacing w:after="120"/>
              <w:jc w:val="both"/>
              <w:rPr>
                <w:rFonts w:eastAsia="Times New Roman"/>
              </w:rPr>
            </w:pPr>
            <w:r>
              <w:rPr>
                <w:rFonts w:eastAsia="Times New Roman"/>
              </w:rPr>
              <w:t>4.2.2. SAM ieviešana norit veiksmīgi, par to liecina augstais pabeigto projektu īpatsvars – 82 projekti jeb 63% (46% no kopējā 4.2.2. SAM ERAF finansējuma) no 130 iesniegtajiem projektiem ir pabeigti un 32 projekti jeb 25% (29% no kopējā 4.2.2. SAM ERAF finansējuma) ir īstenošanas stadijā. Tabulā zemāk</w:t>
            </w:r>
            <w:r>
              <w:rPr>
                <w:rStyle w:val="Vresenkurs"/>
                <w:rFonts w:eastAsia="Times New Roman"/>
              </w:rPr>
              <w:footnoteReference w:id="3"/>
            </w:r>
            <w:r>
              <w:rPr>
                <w:rFonts w:eastAsia="Times New Roman"/>
              </w:rPr>
              <w:t xml:space="preserve"> redzams finansējuma sadalījums un tā proporcija pret kopējo 4.2.2. SAM finansējumu.</w:t>
            </w:r>
          </w:p>
          <w:tbl>
            <w:tblPr>
              <w:tblW w:w="780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15" w:type="dxa"/>
                <w:left w:w="0" w:type="dxa"/>
                <w:bottom w:w="15" w:type="dxa"/>
                <w:right w:w="15" w:type="dxa"/>
              </w:tblCellMar>
              <w:tblLook w:val="04A0" w:firstRow="1" w:lastRow="0" w:firstColumn="1" w:lastColumn="0" w:noHBand="0" w:noVBand="1"/>
            </w:tblPr>
            <w:tblGrid>
              <w:gridCol w:w="2341"/>
              <w:gridCol w:w="1560"/>
              <w:gridCol w:w="1950"/>
              <w:gridCol w:w="1949"/>
            </w:tblGrid>
            <w:tr w:rsidR="00027A72" w14:paraId="09E7BA6A" w14:textId="77777777">
              <w:tc>
                <w:tcPr>
                  <w:tcW w:w="2340"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7AD1AA5F" w14:textId="77777777" w:rsidR="00027A72" w:rsidRDefault="00422D30">
                  <w:pPr>
                    <w:spacing w:beforeAutospacing="1" w:afterAutospacing="1"/>
                    <w:textAlignment w:val="baseline"/>
                    <w:rPr>
                      <w:rFonts w:eastAsia="Times New Roman"/>
                      <w:sz w:val="20"/>
                      <w:szCs w:val="20"/>
                      <w:lang w:eastAsia="en-GB"/>
                    </w:rPr>
                  </w:pPr>
                  <w:r>
                    <w:rPr>
                      <w:rFonts w:eastAsia="Times New Roman"/>
                      <w:b/>
                      <w:bCs/>
                      <w:color w:val="000000"/>
                      <w:sz w:val="20"/>
                      <w:szCs w:val="20"/>
                      <w:lang w:eastAsia="en-GB"/>
                    </w:rPr>
                    <w:t>Projektu statuss</w:t>
                  </w:r>
                  <w:r>
                    <w:rPr>
                      <w:rFonts w:eastAsia="Times New Roman"/>
                      <w:sz w:val="20"/>
                      <w:szCs w:val="20"/>
                      <w:lang w:eastAsia="en-GB"/>
                    </w:rPr>
                    <w:t>  </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5881EA8F" w14:textId="77777777" w:rsidR="00027A72" w:rsidRDefault="00422D30">
                  <w:pPr>
                    <w:spacing w:beforeAutospacing="1" w:afterAutospacing="1"/>
                    <w:jc w:val="center"/>
                    <w:textAlignment w:val="baseline"/>
                    <w:rPr>
                      <w:rFonts w:eastAsia="Times New Roman"/>
                      <w:sz w:val="20"/>
                      <w:szCs w:val="20"/>
                      <w:lang w:eastAsia="en-GB"/>
                    </w:rPr>
                  </w:pPr>
                  <w:r>
                    <w:rPr>
                      <w:rFonts w:eastAsia="Times New Roman"/>
                      <w:b/>
                      <w:bCs/>
                      <w:color w:val="000000"/>
                      <w:sz w:val="20"/>
                      <w:szCs w:val="20"/>
                      <w:lang w:eastAsia="en-GB"/>
                    </w:rPr>
                    <w:t>Skaits</w:t>
                  </w:r>
                  <w:r>
                    <w:rPr>
                      <w:rFonts w:eastAsia="Times New Roman"/>
                      <w:sz w:val="20"/>
                      <w:szCs w:val="20"/>
                      <w:lang w:eastAsia="en-GB"/>
                    </w:rPr>
                    <w:t>  </w:t>
                  </w:r>
                </w:p>
              </w:tc>
              <w:tc>
                <w:tcPr>
                  <w:tcW w:w="1950"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0B104718" w14:textId="77777777" w:rsidR="00027A72" w:rsidRDefault="00422D30">
                  <w:pPr>
                    <w:spacing w:beforeAutospacing="1" w:afterAutospacing="1"/>
                    <w:jc w:val="center"/>
                    <w:textAlignment w:val="baseline"/>
                    <w:rPr>
                      <w:rFonts w:eastAsia="Times New Roman"/>
                      <w:sz w:val="20"/>
                      <w:szCs w:val="20"/>
                      <w:lang w:eastAsia="en-GB"/>
                    </w:rPr>
                  </w:pPr>
                  <w:r>
                    <w:rPr>
                      <w:rFonts w:eastAsia="Times New Roman"/>
                      <w:b/>
                      <w:bCs/>
                      <w:color w:val="000000"/>
                      <w:sz w:val="20"/>
                      <w:szCs w:val="20"/>
                      <w:lang w:eastAsia="en-GB"/>
                    </w:rPr>
                    <w:t>ERAF, eiro</w:t>
                  </w:r>
                  <w:r>
                    <w:rPr>
                      <w:rFonts w:eastAsia="Times New Roman"/>
                      <w:sz w:val="20"/>
                      <w:szCs w:val="20"/>
                      <w:lang w:eastAsia="en-GB"/>
                    </w:rPr>
                    <w:t>  </w:t>
                  </w:r>
                </w:p>
              </w:tc>
              <w:tc>
                <w:tcPr>
                  <w:tcW w:w="1949"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0A8420B7" w14:textId="77777777" w:rsidR="00027A72" w:rsidRDefault="00422D30">
                  <w:pPr>
                    <w:spacing w:beforeAutospacing="1" w:afterAutospacing="1"/>
                    <w:jc w:val="center"/>
                    <w:textAlignment w:val="baseline"/>
                    <w:rPr>
                      <w:rFonts w:eastAsia="Times New Roman"/>
                      <w:sz w:val="20"/>
                      <w:szCs w:val="20"/>
                      <w:lang w:eastAsia="en-GB"/>
                    </w:rPr>
                  </w:pPr>
                  <w:r>
                    <w:rPr>
                      <w:rFonts w:eastAsia="Times New Roman"/>
                      <w:b/>
                      <w:bCs/>
                      <w:i/>
                      <w:iCs/>
                      <w:color w:val="000000"/>
                      <w:sz w:val="20"/>
                      <w:szCs w:val="20"/>
                      <w:lang w:eastAsia="en-GB"/>
                    </w:rPr>
                    <w:t>%</w:t>
                  </w:r>
                  <w:r>
                    <w:rPr>
                      <w:rFonts w:eastAsia="Times New Roman"/>
                      <w:sz w:val="20"/>
                      <w:szCs w:val="20"/>
                      <w:lang w:eastAsia="en-GB"/>
                    </w:rPr>
                    <w:t>  </w:t>
                  </w:r>
                </w:p>
              </w:tc>
            </w:tr>
            <w:tr w:rsidR="00027A72" w14:paraId="79D73FBE" w14:textId="77777777">
              <w:tc>
                <w:tcPr>
                  <w:tcW w:w="2340"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19E73540" w14:textId="77777777" w:rsidR="00027A72" w:rsidRDefault="00422D30">
                  <w:pPr>
                    <w:spacing w:beforeAutospacing="1" w:afterAutospacing="1"/>
                    <w:textAlignment w:val="baseline"/>
                    <w:rPr>
                      <w:rFonts w:eastAsia="Times New Roman"/>
                      <w:sz w:val="20"/>
                      <w:szCs w:val="20"/>
                      <w:lang w:eastAsia="en-GB"/>
                    </w:rPr>
                  </w:pPr>
                  <w:r>
                    <w:rPr>
                      <w:rFonts w:eastAsia="Times New Roman"/>
                      <w:color w:val="000000"/>
                      <w:sz w:val="20"/>
                      <w:szCs w:val="20"/>
                      <w:lang w:eastAsia="en-GB"/>
                    </w:rPr>
                    <w:t>Iesniegti projekti</w:t>
                  </w:r>
                  <w:r>
                    <w:rPr>
                      <w:rFonts w:eastAsia="Times New Roman"/>
                      <w:sz w:val="20"/>
                      <w:szCs w:val="20"/>
                      <w:lang w:eastAsia="en-GB"/>
                    </w:rPr>
                    <w:t> </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55F28954" w14:textId="77777777" w:rsidR="00027A72" w:rsidRDefault="00422D30">
                  <w:pPr>
                    <w:spacing w:beforeAutospacing="1" w:afterAutospacing="1"/>
                    <w:jc w:val="center"/>
                    <w:textAlignment w:val="baseline"/>
                    <w:rPr>
                      <w:rFonts w:eastAsia="Times New Roman"/>
                      <w:sz w:val="20"/>
                      <w:szCs w:val="20"/>
                      <w:lang w:eastAsia="en-GB"/>
                    </w:rPr>
                  </w:pPr>
                  <w:r>
                    <w:rPr>
                      <w:rFonts w:eastAsia="Times New Roman"/>
                      <w:sz w:val="20"/>
                      <w:szCs w:val="20"/>
                      <w:lang w:eastAsia="en-GB"/>
                    </w:rPr>
                    <w:t>2</w:t>
                  </w:r>
                </w:p>
              </w:tc>
              <w:tc>
                <w:tcPr>
                  <w:tcW w:w="1950"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548B3461" w14:textId="77777777" w:rsidR="00027A72" w:rsidRDefault="00422D30">
                  <w:pPr>
                    <w:spacing w:beforeAutospacing="1" w:afterAutospacing="1"/>
                    <w:jc w:val="right"/>
                    <w:textAlignment w:val="baseline"/>
                    <w:rPr>
                      <w:rFonts w:eastAsia="Times New Roman"/>
                      <w:sz w:val="20"/>
                      <w:szCs w:val="20"/>
                      <w:lang w:eastAsia="en-GB"/>
                    </w:rPr>
                  </w:pPr>
                  <w:r>
                    <w:rPr>
                      <w:rFonts w:eastAsia="Times New Roman"/>
                      <w:sz w:val="20"/>
                      <w:szCs w:val="20"/>
                      <w:lang w:eastAsia="en-GB"/>
                    </w:rPr>
                    <w:t>449 293  </w:t>
                  </w:r>
                </w:p>
              </w:tc>
              <w:tc>
                <w:tcPr>
                  <w:tcW w:w="1949"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7B655769" w14:textId="77777777" w:rsidR="00027A72" w:rsidRDefault="00422D30">
                  <w:pPr>
                    <w:spacing w:beforeAutospacing="1" w:afterAutospacing="1"/>
                    <w:jc w:val="center"/>
                    <w:textAlignment w:val="baseline"/>
                    <w:rPr>
                      <w:rFonts w:eastAsia="Times New Roman"/>
                      <w:sz w:val="20"/>
                      <w:szCs w:val="20"/>
                      <w:lang w:eastAsia="en-GB"/>
                    </w:rPr>
                  </w:pPr>
                  <w:r>
                    <w:rPr>
                      <w:rFonts w:eastAsia="Times New Roman"/>
                      <w:i/>
                      <w:iCs/>
                      <w:sz w:val="20"/>
                      <w:szCs w:val="20"/>
                      <w:lang w:eastAsia="en-GB"/>
                    </w:rPr>
                    <w:t>1</w:t>
                  </w:r>
                </w:p>
              </w:tc>
            </w:tr>
            <w:tr w:rsidR="00027A72" w14:paraId="32D32B13" w14:textId="77777777">
              <w:tc>
                <w:tcPr>
                  <w:tcW w:w="2340"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51B54BBE" w14:textId="77777777" w:rsidR="00027A72" w:rsidRDefault="00422D30">
                  <w:pPr>
                    <w:spacing w:beforeAutospacing="1" w:afterAutospacing="1"/>
                    <w:textAlignment w:val="baseline"/>
                    <w:rPr>
                      <w:rFonts w:eastAsia="Times New Roman"/>
                      <w:sz w:val="20"/>
                      <w:szCs w:val="20"/>
                      <w:lang w:eastAsia="en-GB"/>
                    </w:rPr>
                  </w:pPr>
                  <w:r>
                    <w:rPr>
                      <w:rFonts w:eastAsia="Times New Roman"/>
                      <w:color w:val="000000"/>
                      <w:sz w:val="20"/>
                      <w:szCs w:val="20"/>
                      <w:lang w:eastAsia="en-GB"/>
                    </w:rPr>
                    <w:t>Apstiprināti projekti</w:t>
                  </w:r>
                  <w:r>
                    <w:rPr>
                      <w:rFonts w:eastAsia="Times New Roman"/>
                      <w:sz w:val="20"/>
                      <w:szCs w:val="20"/>
                      <w:lang w:eastAsia="en-GB"/>
                    </w:rPr>
                    <w:t>  </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33278B45" w14:textId="77777777" w:rsidR="00027A72" w:rsidRDefault="00422D30">
                  <w:pPr>
                    <w:spacing w:beforeAutospacing="1" w:afterAutospacing="1"/>
                    <w:jc w:val="center"/>
                    <w:textAlignment w:val="baseline"/>
                    <w:rPr>
                      <w:rFonts w:eastAsia="Times New Roman"/>
                      <w:sz w:val="20"/>
                      <w:szCs w:val="20"/>
                      <w:lang w:eastAsia="en-GB"/>
                    </w:rPr>
                  </w:pPr>
                  <w:r>
                    <w:rPr>
                      <w:rFonts w:eastAsia="Times New Roman"/>
                      <w:sz w:val="20"/>
                      <w:szCs w:val="20"/>
                      <w:lang w:eastAsia="en-GB"/>
                    </w:rPr>
                    <w:t>14</w:t>
                  </w:r>
                </w:p>
              </w:tc>
              <w:tc>
                <w:tcPr>
                  <w:tcW w:w="1950"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0F16A857" w14:textId="77777777" w:rsidR="00027A72" w:rsidRDefault="00422D30">
                  <w:pPr>
                    <w:spacing w:beforeAutospacing="1" w:afterAutospacing="1"/>
                    <w:jc w:val="right"/>
                    <w:textAlignment w:val="baseline"/>
                    <w:rPr>
                      <w:rFonts w:eastAsia="Times New Roman"/>
                      <w:sz w:val="20"/>
                      <w:szCs w:val="20"/>
                      <w:lang w:eastAsia="en-GB"/>
                    </w:rPr>
                  </w:pPr>
                  <w:r>
                    <w:rPr>
                      <w:rFonts w:eastAsia="Times New Roman"/>
                      <w:sz w:val="20"/>
                      <w:szCs w:val="20"/>
                      <w:lang w:eastAsia="en-GB"/>
                    </w:rPr>
                    <w:t>6 232 211  </w:t>
                  </w:r>
                </w:p>
              </w:tc>
              <w:tc>
                <w:tcPr>
                  <w:tcW w:w="1949"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7344D603" w14:textId="77777777" w:rsidR="00027A72" w:rsidRDefault="00422D30">
                  <w:pPr>
                    <w:spacing w:beforeAutospacing="1" w:afterAutospacing="1"/>
                    <w:jc w:val="center"/>
                    <w:textAlignment w:val="baseline"/>
                    <w:rPr>
                      <w:rFonts w:eastAsia="Times New Roman"/>
                      <w:sz w:val="20"/>
                      <w:szCs w:val="20"/>
                      <w:lang w:eastAsia="en-GB"/>
                    </w:rPr>
                  </w:pPr>
                  <w:r>
                    <w:rPr>
                      <w:rFonts w:eastAsia="Times New Roman"/>
                      <w:i/>
                      <w:iCs/>
                      <w:sz w:val="20"/>
                      <w:szCs w:val="20"/>
                      <w:lang w:eastAsia="en-GB"/>
                    </w:rPr>
                    <w:t>13</w:t>
                  </w:r>
                </w:p>
              </w:tc>
            </w:tr>
            <w:tr w:rsidR="00027A72" w14:paraId="15E5FA35" w14:textId="77777777">
              <w:tc>
                <w:tcPr>
                  <w:tcW w:w="2340"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6A2846A6" w14:textId="77777777" w:rsidR="00027A72" w:rsidRDefault="00422D30">
                  <w:pPr>
                    <w:spacing w:beforeAutospacing="1" w:afterAutospacing="1"/>
                    <w:textAlignment w:val="baseline"/>
                    <w:rPr>
                      <w:rFonts w:eastAsia="Times New Roman"/>
                      <w:sz w:val="20"/>
                      <w:szCs w:val="20"/>
                      <w:lang w:eastAsia="en-GB"/>
                    </w:rPr>
                  </w:pPr>
                  <w:r>
                    <w:rPr>
                      <w:rFonts w:eastAsia="Times New Roman"/>
                      <w:color w:val="000000"/>
                      <w:sz w:val="20"/>
                      <w:szCs w:val="20"/>
                      <w:lang w:eastAsia="en-GB"/>
                    </w:rPr>
                    <w:t>Noslēgts līgums</w:t>
                  </w:r>
                  <w:r>
                    <w:rPr>
                      <w:rFonts w:eastAsia="Times New Roman"/>
                      <w:sz w:val="20"/>
                      <w:szCs w:val="20"/>
                      <w:lang w:eastAsia="en-GB"/>
                    </w:rPr>
                    <w:t>  </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262B4AD6" w14:textId="77777777" w:rsidR="00027A72" w:rsidRDefault="00422D30">
                  <w:pPr>
                    <w:spacing w:beforeAutospacing="1" w:afterAutospacing="1"/>
                    <w:jc w:val="center"/>
                    <w:textAlignment w:val="baseline"/>
                    <w:rPr>
                      <w:rFonts w:eastAsia="Times New Roman"/>
                      <w:sz w:val="20"/>
                      <w:szCs w:val="20"/>
                      <w:lang w:eastAsia="en-GB"/>
                    </w:rPr>
                  </w:pPr>
                  <w:r>
                    <w:rPr>
                      <w:rFonts w:eastAsia="Times New Roman"/>
                      <w:sz w:val="20"/>
                      <w:szCs w:val="20"/>
                      <w:lang w:eastAsia="en-GB"/>
                    </w:rPr>
                    <w:t>32</w:t>
                  </w:r>
                </w:p>
              </w:tc>
              <w:tc>
                <w:tcPr>
                  <w:tcW w:w="1950"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65E2C93C" w14:textId="77777777" w:rsidR="00027A72" w:rsidRDefault="00422D30">
                  <w:pPr>
                    <w:spacing w:beforeAutospacing="1" w:afterAutospacing="1"/>
                    <w:jc w:val="right"/>
                    <w:textAlignment w:val="baseline"/>
                    <w:rPr>
                      <w:rFonts w:eastAsia="Times New Roman"/>
                      <w:sz w:val="20"/>
                      <w:szCs w:val="20"/>
                      <w:lang w:eastAsia="en-GB"/>
                    </w:rPr>
                  </w:pPr>
                  <w:r>
                    <w:rPr>
                      <w:rFonts w:eastAsia="Times New Roman"/>
                      <w:sz w:val="20"/>
                      <w:szCs w:val="20"/>
                      <w:lang w:eastAsia="en-GB"/>
                    </w:rPr>
                    <w:t>13 756 351  </w:t>
                  </w:r>
                </w:p>
              </w:tc>
              <w:tc>
                <w:tcPr>
                  <w:tcW w:w="1949"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484EE64D" w14:textId="77777777" w:rsidR="00027A72" w:rsidRDefault="00422D30">
                  <w:pPr>
                    <w:spacing w:beforeAutospacing="1" w:afterAutospacing="1"/>
                    <w:jc w:val="center"/>
                    <w:textAlignment w:val="baseline"/>
                    <w:rPr>
                      <w:rFonts w:eastAsia="Times New Roman"/>
                      <w:i/>
                      <w:sz w:val="20"/>
                      <w:szCs w:val="20"/>
                      <w:lang w:eastAsia="en-GB"/>
                    </w:rPr>
                  </w:pPr>
                  <w:r>
                    <w:rPr>
                      <w:rFonts w:eastAsia="Times New Roman"/>
                      <w:i/>
                      <w:sz w:val="20"/>
                      <w:szCs w:val="20"/>
                      <w:lang w:eastAsia="en-GB"/>
                    </w:rPr>
                    <w:t>29</w:t>
                  </w:r>
                </w:p>
              </w:tc>
            </w:tr>
            <w:tr w:rsidR="00027A72" w14:paraId="58EED816" w14:textId="77777777">
              <w:tc>
                <w:tcPr>
                  <w:tcW w:w="2340"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32BC7BC0" w14:textId="77777777" w:rsidR="00027A72" w:rsidRDefault="00422D30">
                  <w:pPr>
                    <w:spacing w:beforeAutospacing="1" w:afterAutospacing="1"/>
                    <w:textAlignment w:val="baseline"/>
                    <w:rPr>
                      <w:rFonts w:eastAsia="Times New Roman"/>
                      <w:sz w:val="20"/>
                      <w:szCs w:val="20"/>
                      <w:lang w:eastAsia="en-GB"/>
                    </w:rPr>
                  </w:pPr>
                  <w:r>
                    <w:rPr>
                      <w:rFonts w:eastAsia="Times New Roman"/>
                      <w:color w:val="000000"/>
                      <w:sz w:val="20"/>
                      <w:szCs w:val="20"/>
                      <w:lang w:eastAsia="en-GB"/>
                    </w:rPr>
                    <w:t>Pabeigti projekti</w:t>
                  </w:r>
                  <w:r>
                    <w:rPr>
                      <w:rFonts w:eastAsia="Times New Roman"/>
                      <w:sz w:val="20"/>
                      <w:szCs w:val="20"/>
                      <w:lang w:eastAsia="en-GB"/>
                    </w:rPr>
                    <w:t>  </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03E44CF2" w14:textId="77777777" w:rsidR="00027A72" w:rsidRDefault="00422D30">
                  <w:pPr>
                    <w:spacing w:beforeAutospacing="1" w:afterAutospacing="1"/>
                    <w:jc w:val="center"/>
                    <w:textAlignment w:val="baseline"/>
                    <w:rPr>
                      <w:rFonts w:eastAsia="Times New Roman"/>
                      <w:sz w:val="20"/>
                      <w:szCs w:val="20"/>
                      <w:lang w:eastAsia="en-GB"/>
                    </w:rPr>
                  </w:pPr>
                  <w:r>
                    <w:rPr>
                      <w:rFonts w:eastAsia="Times New Roman"/>
                      <w:sz w:val="20"/>
                      <w:szCs w:val="20"/>
                      <w:lang w:eastAsia="en-GB"/>
                    </w:rPr>
                    <w:t>82</w:t>
                  </w:r>
                </w:p>
              </w:tc>
              <w:tc>
                <w:tcPr>
                  <w:tcW w:w="1950"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68688B5F" w14:textId="77777777" w:rsidR="00027A72" w:rsidRDefault="00422D30">
                  <w:pPr>
                    <w:spacing w:beforeAutospacing="1" w:afterAutospacing="1"/>
                    <w:jc w:val="right"/>
                    <w:textAlignment w:val="baseline"/>
                    <w:rPr>
                      <w:rFonts w:eastAsia="Times New Roman"/>
                      <w:sz w:val="20"/>
                      <w:szCs w:val="20"/>
                      <w:lang w:eastAsia="en-GB"/>
                    </w:rPr>
                  </w:pPr>
                  <w:r>
                    <w:rPr>
                      <w:rFonts w:eastAsia="Times New Roman"/>
                      <w:sz w:val="20"/>
                      <w:szCs w:val="20"/>
                      <w:lang w:eastAsia="en-GB"/>
                    </w:rPr>
                    <w:t>21 559 785  </w:t>
                  </w:r>
                </w:p>
              </w:tc>
              <w:tc>
                <w:tcPr>
                  <w:tcW w:w="1949"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0DB7A2D7" w14:textId="77777777" w:rsidR="00027A72" w:rsidRDefault="00422D30">
                  <w:pPr>
                    <w:spacing w:beforeAutospacing="1" w:afterAutospacing="1"/>
                    <w:jc w:val="center"/>
                    <w:textAlignment w:val="baseline"/>
                    <w:rPr>
                      <w:rFonts w:eastAsia="Times New Roman"/>
                      <w:i/>
                      <w:sz w:val="20"/>
                      <w:szCs w:val="20"/>
                      <w:lang w:eastAsia="en-GB"/>
                    </w:rPr>
                  </w:pPr>
                  <w:r>
                    <w:rPr>
                      <w:rFonts w:eastAsia="Times New Roman"/>
                      <w:i/>
                      <w:sz w:val="20"/>
                      <w:szCs w:val="20"/>
                      <w:lang w:eastAsia="en-GB"/>
                    </w:rPr>
                    <w:t>46</w:t>
                  </w:r>
                </w:p>
              </w:tc>
            </w:tr>
            <w:tr w:rsidR="00027A72" w14:paraId="0672D9D7" w14:textId="77777777">
              <w:tc>
                <w:tcPr>
                  <w:tcW w:w="2340"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5DE4B6DB" w14:textId="77777777" w:rsidR="00027A72" w:rsidRDefault="00422D30">
                  <w:pPr>
                    <w:spacing w:beforeAutospacing="1" w:afterAutospacing="1"/>
                    <w:textAlignment w:val="baseline"/>
                    <w:rPr>
                      <w:rFonts w:eastAsia="Times New Roman"/>
                      <w:sz w:val="20"/>
                      <w:szCs w:val="20"/>
                      <w:lang w:eastAsia="en-GB"/>
                    </w:rPr>
                  </w:pPr>
                  <w:r>
                    <w:rPr>
                      <w:rFonts w:eastAsia="Times New Roman"/>
                      <w:b/>
                      <w:bCs/>
                      <w:color w:val="000000"/>
                      <w:sz w:val="20"/>
                      <w:szCs w:val="20"/>
                      <w:lang w:eastAsia="en-GB"/>
                    </w:rPr>
                    <w:t>KOPĀ</w:t>
                  </w:r>
                  <w:r>
                    <w:rPr>
                      <w:rFonts w:eastAsia="Times New Roman"/>
                      <w:sz w:val="20"/>
                      <w:szCs w:val="20"/>
                      <w:lang w:eastAsia="en-GB"/>
                    </w:rPr>
                    <w:t>  </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2A47DADC" w14:textId="77777777" w:rsidR="00027A72" w:rsidRDefault="00422D30">
                  <w:pPr>
                    <w:spacing w:beforeAutospacing="1" w:afterAutospacing="1"/>
                    <w:jc w:val="center"/>
                    <w:textAlignment w:val="baseline"/>
                    <w:rPr>
                      <w:rFonts w:eastAsia="Times New Roman"/>
                      <w:sz w:val="20"/>
                      <w:szCs w:val="20"/>
                      <w:lang w:eastAsia="en-GB"/>
                    </w:rPr>
                  </w:pPr>
                  <w:r>
                    <w:rPr>
                      <w:rFonts w:eastAsia="Times New Roman"/>
                      <w:b/>
                      <w:bCs/>
                      <w:color w:val="000000"/>
                      <w:sz w:val="20"/>
                      <w:szCs w:val="20"/>
                      <w:lang w:eastAsia="en-GB"/>
                    </w:rPr>
                    <w:t>130</w:t>
                  </w:r>
                </w:p>
              </w:tc>
              <w:tc>
                <w:tcPr>
                  <w:tcW w:w="1950"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21A3E199" w14:textId="77777777" w:rsidR="00027A72" w:rsidRDefault="00422D30">
                  <w:pPr>
                    <w:spacing w:beforeAutospacing="1" w:afterAutospacing="1"/>
                    <w:jc w:val="right"/>
                    <w:textAlignment w:val="baseline"/>
                    <w:rPr>
                      <w:rFonts w:eastAsia="Times New Roman"/>
                      <w:b/>
                      <w:sz w:val="20"/>
                      <w:szCs w:val="20"/>
                      <w:lang w:eastAsia="en-GB"/>
                    </w:rPr>
                  </w:pPr>
                  <w:r>
                    <w:rPr>
                      <w:rFonts w:eastAsia="Times New Roman"/>
                      <w:b/>
                      <w:bCs/>
                      <w:color w:val="000000"/>
                      <w:sz w:val="20"/>
                      <w:szCs w:val="20"/>
                      <w:lang w:eastAsia="en-GB"/>
                    </w:rPr>
                    <w:t>41 997 639</w:t>
                  </w:r>
                  <w:r>
                    <w:rPr>
                      <w:rFonts w:eastAsia="Times New Roman"/>
                      <w:b/>
                      <w:sz w:val="20"/>
                      <w:szCs w:val="20"/>
                      <w:lang w:eastAsia="en-GB"/>
                    </w:rPr>
                    <w:t>  </w:t>
                  </w:r>
                </w:p>
              </w:tc>
              <w:tc>
                <w:tcPr>
                  <w:tcW w:w="1949"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27125C7C" w14:textId="77777777" w:rsidR="00027A72" w:rsidRDefault="00422D30">
                  <w:pPr>
                    <w:spacing w:beforeAutospacing="1" w:afterAutospacing="1"/>
                    <w:jc w:val="center"/>
                    <w:textAlignment w:val="baseline"/>
                    <w:rPr>
                      <w:rFonts w:eastAsia="Times New Roman"/>
                      <w:b/>
                      <w:i/>
                      <w:sz w:val="20"/>
                      <w:szCs w:val="20"/>
                      <w:lang w:eastAsia="en-GB"/>
                    </w:rPr>
                  </w:pPr>
                  <w:r>
                    <w:rPr>
                      <w:rFonts w:eastAsia="Times New Roman"/>
                      <w:b/>
                      <w:bCs/>
                      <w:i/>
                      <w:color w:val="000000"/>
                      <w:sz w:val="20"/>
                      <w:szCs w:val="20"/>
                      <w:lang w:eastAsia="en-GB"/>
                    </w:rPr>
                    <w:t>89</w:t>
                  </w:r>
                </w:p>
              </w:tc>
            </w:tr>
            <w:tr w:rsidR="00027A72" w14:paraId="10680E5C" w14:textId="77777777">
              <w:tc>
                <w:tcPr>
                  <w:tcW w:w="2340"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7F1BC9F2" w14:textId="77777777" w:rsidR="00027A72" w:rsidRDefault="00422D30">
                  <w:pPr>
                    <w:spacing w:beforeAutospacing="1" w:afterAutospacing="1"/>
                    <w:textAlignment w:val="baseline"/>
                    <w:rPr>
                      <w:rFonts w:eastAsia="Times New Roman"/>
                      <w:sz w:val="20"/>
                      <w:szCs w:val="20"/>
                      <w:lang w:eastAsia="en-GB"/>
                    </w:rPr>
                  </w:pPr>
                  <w:r>
                    <w:rPr>
                      <w:rFonts w:eastAsia="Times New Roman"/>
                      <w:color w:val="000000"/>
                      <w:sz w:val="20"/>
                      <w:szCs w:val="20"/>
                      <w:lang w:eastAsia="en-GB"/>
                    </w:rPr>
                    <w:t>Projektiem nepiesaistītais finansējums</w:t>
                  </w:r>
                  <w:r>
                    <w:rPr>
                      <w:rStyle w:val="Vresenkurs"/>
                      <w:rFonts w:eastAsia="Times New Roman"/>
                      <w:color w:val="000000"/>
                      <w:sz w:val="20"/>
                      <w:szCs w:val="20"/>
                      <w:lang w:eastAsia="en-GB"/>
                    </w:rPr>
                    <w:footnoteReference w:id="4"/>
                  </w:r>
                  <w:r>
                    <w:rPr>
                      <w:rFonts w:eastAsia="Times New Roman"/>
                      <w:sz w:val="20"/>
                      <w:szCs w:val="20"/>
                      <w:lang w:eastAsia="en-GB"/>
                    </w:rPr>
                    <w:t>  </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681F35A2" w14:textId="77777777" w:rsidR="00027A72" w:rsidRDefault="00422D30">
                  <w:pPr>
                    <w:spacing w:beforeAutospacing="1" w:afterAutospacing="1"/>
                    <w:textAlignment w:val="baseline"/>
                    <w:rPr>
                      <w:rFonts w:eastAsia="Times New Roman"/>
                      <w:sz w:val="20"/>
                      <w:szCs w:val="20"/>
                      <w:lang w:eastAsia="en-GB"/>
                    </w:rPr>
                  </w:pPr>
                  <w:r>
                    <w:rPr>
                      <w:rFonts w:eastAsia="Times New Roman"/>
                      <w:sz w:val="20"/>
                      <w:szCs w:val="20"/>
                      <w:lang w:eastAsia="en-GB"/>
                    </w:rPr>
                    <w:t>  </w:t>
                  </w:r>
                </w:p>
              </w:tc>
              <w:tc>
                <w:tcPr>
                  <w:tcW w:w="1950"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10597746" w14:textId="77777777" w:rsidR="00027A72" w:rsidRDefault="00422D30">
                  <w:pPr>
                    <w:spacing w:beforeAutospacing="1" w:afterAutospacing="1"/>
                    <w:jc w:val="right"/>
                    <w:textAlignment w:val="baseline"/>
                    <w:rPr>
                      <w:rFonts w:eastAsia="Times New Roman"/>
                      <w:sz w:val="20"/>
                      <w:szCs w:val="20"/>
                      <w:lang w:eastAsia="en-GB"/>
                    </w:rPr>
                  </w:pPr>
                  <w:r>
                    <w:rPr>
                      <w:rFonts w:eastAsia="Times New Roman"/>
                      <w:color w:val="000000"/>
                      <w:sz w:val="20"/>
                      <w:szCs w:val="20"/>
                      <w:lang w:eastAsia="en-GB"/>
                    </w:rPr>
                    <w:t>4 998 755</w:t>
                  </w:r>
                  <w:r>
                    <w:rPr>
                      <w:rFonts w:eastAsia="Times New Roman"/>
                      <w:sz w:val="20"/>
                      <w:szCs w:val="20"/>
                      <w:lang w:eastAsia="en-GB"/>
                    </w:rPr>
                    <w:t>  </w:t>
                  </w:r>
                </w:p>
              </w:tc>
              <w:tc>
                <w:tcPr>
                  <w:tcW w:w="1949"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53416FBA" w14:textId="77777777" w:rsidR="00027A72" w:rsidRDefault="00422D30">
                  <w:pPr>
                    <w:spacing w:beforeAutospacing="1" w:afterAutospacing="1"/>
                    <w:jc w:val="center"/>
                    <w:textAlignment w:val="baseline"/>
                    <w:rPr>
                      <w:rFonts w:eastAsia="Times New Roman"/>
                      <w:i/>
                      <w:sz w:val="20"/>
                      <w:szCs w:val="20"/>
                      <w:lang w:eastAsia="en-GB"/>
                    </w:rPr>
                  </w:pPr>
                  <w:r>
                    <w:rPr>
                      <w:rFonts w:eastAsia="Times New Roman"/>
                      <w:i/>
                      <w:color w:val="000000"/>
                      <w:sz w:val="20"/>
                      <w:szCs w:val="20"/>
                      <w:lang w:eastAsia="en-GB"/>
                    </w:rPr>
                    <w:t>11</w:t>
                  </w:r>
                </w:p>
              </w:tc>
            </w:tr>
            <w:tr w:rsidR="00027A72" w14:paraId="6CFF7636" w14:textId="77777777">
              <w:tc>
                <w:tcPr>
                  <w:tcW w:w="2340"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02FBA675" w14:textId="77777777" w:rsidR="00027A72" w:rsidRDefault="00422D30">
                  <w:pPr>
                    <w:spacing w:beforeAutospacing="1" w:afterAutospacing="1"/>
                    <w:textAlignment w:val="baseline"/>
                    <w:rPr>
                      <w:rFonts w:eastAsia="Times New Roman"/>
                      <w:sz w:val="20"/>
                      <w:szCs w:val="20"/>
                      <w:lang w:eastAsia="en-GB"/>
                    </w:rPr>
                  </w:pPr>
                  <w:r>
                    <w:rPr>
                      <w:rFonts w:eastAsia="Times New Roman"/>
                      <w:b/>
                      <w:bCs/>
                      <w:color w:val="000000"/>
                      <w:sz w:val="20"/>
                      <w:szCs w:val="20"/>
                      <w:lang w:eastAsia="en-GB"/>
                    </w:rPr>
                    <w:t>PAVISAM KOPĀ</w:t>
                  </w:r>
                  <w:r>
                    <w:rPr>
                      <w:rFonts w:eastAsia="Times New Roman"/>
                      <w:sz w:val="20"/>
                      <w:szCs w:val="20"/>
                      <w:lang w:eastAsia="en-GB"/>
                    </w:rPr>
                    <w:t>  </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0B2D917A" w14:textId="77777777" w:rsidR="00027A72" w:rsidRDefault="00422D30">
                  <w:pPr>
                    <w:spacing w:beforeAutospacing="1" w:afterAutospacing="1"/>
                    <w:jc w:val="center"/>
                    <w:textAlignment w:val="baseline"/>
                    <w:rPr>
                      <w:rFonts w:eastAsia="Times New Roman"/>
                      <w:sz w:val="20"/>
                      <w:szCs w:val="20"/>
                      <w:lang w:eastAsia="en-GB"/>
                    </w:rPr>
                  </w:pPr>
                  <w:r>
                    <w:rPr>
                      <w:rFonts w:eastAsia="Times New Roman"/>
                      <w:b/>
                      <w:bCs/>
                      <w:color w:val="000000"/>
                      <w:sz w:val="20"/>
                      <w:szCs w:val="20"/>
                      <w:lang w:eastAsia="en-GB"/>
                    </w:rPr>
                    <w:t>130</w:t>
                  </w:r>
                </w:p>
              </w:tc>
              <w:tc>
                <w:tcPr>
                  <w:tcW w:w="1950"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6E32A6EC" w14:textId="77777777" w:rsidR="00027A72" w:rsidRDefault="00422D30">
                  <w:pPr>
                    <w:spacing w:beforeAutospacing="1" w:afterAutospacing="1"/>
                    <w:jc w:val="right"/>
                    <w:textAlignment w:val="baseline"/>
                    <w:rPr>
                      <w:rFonts w:eastAsia="Times New Roman"/>
                      <w:sz w:val="20"/>
                      <w:szCs w:val="20"/>
                      <w:lang w:eastAsia="en-GB"/>
                    </w:rPr>
                  </w:pPr>
                  <w:r>
                    <w:rPr>
                      <w:rFonts w:eastAsia="Times New Roman"/>
                      <w:b/>
                      <w:bCs/>
                      <w:color w:val="000000"/>
                      <w:sz w:val="20"/>
                      <w:szCs w:val="20"/>
                      <w:lang w:eastAsia="en-GB"/>
                    </w:rPr>
                    <w:t>46 996 394</w:t>
                  </w:r>
                  <w:r>
                    <w:rPr>
                      <w:rFonts w:eastAsia="Times New Roman"/>
                      <w:sz w:val="20"/>
                      <w:szCs w:val="20"/>
                      <w:lang w:eastAsia="en-GB"/>
                    </w:rPr>
                    <w:t>  </w:t>
                  </w:r>
                </w:p>
              </w:tc>
              <w:tc>
                <w:tcPr>
                  <w:tcW w:w="1949"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283AA603" w14:textId="77777777" w:rsidR="00027A72" w:rsidRDefault="00422D30">
                  <w:pPr>
                    <w:spacing w:beforeAutospacing="1" w:afterAutospacing="1"/>
                    <w:jc w:val="center"/>
                    <w:textAlignment w:val="baseline"/>
                    <w:rPr>
                      <w:rFonts w:eastAsia="Times New Roman"/>
                      <w:i/>
                      <w:sz w:val="20"/>
                      <w:szCs w:val="20"/>
                      <w:lang w:eastAsia="en-GB"/>
                    </w:rPr>
                  </w:pPr>
                  <w:r>
                    <w:rPr>
                      <w:rFonts w:eastAsia="Times New Roman"/>
                      <w:b/>
                      <w:bCs/>
                      <w:i/>
                      <w:color w:val="000000"/>
                      <w:sz w:val="20"/>
                      <w:szCs w:val="20"/>
                      <w:lang w:eastAsia="en-GB"/>
                    </w:rPr>
                    <w:t>100</w:t>
                  </w:r>
                  <w:r>
                    <w:rPr>
                      <w:rFonts w:eastAsia="Times New Roman"/>
                      <w:i/>
                      <w:sz w:val="20"/>
                      <w:szCs w:val="20"/>
                      <w:lang w:eastAsia="en-GB"/>
                    </w:rPr>
                    <w:t>  </w:t>
                  </w:r>
                </w:p>
              </w:tc>
            </w:tr>
          </w:tbl>
          <w:p w14:paraId="1F66ED81" w14:textId="77777777" w:rsidR="00027A72" w:rsidRDefault="00422D30">
            <w:pPr>
              <w:spacing w:before="120" w:after="120"/>
              <w:jc w:val="both"/>
              <w:rPr>
                <w:rFonts w:eastAsia="Times New Roman"/>
              </w:rPr>
            </w:pPr>
            <w:r>
              <w:rPr>
                <w:rFonts w:eastAsia="Times New Roman"/>
              </w:rPr>
              <w:t>Īpaši vērā ņemams ir 4.2.2. SAM projektu iznākumu rādītāju sasniegtais progress. Lai gan pabeigti ir 6</w:t>
            </w:r>
            <w:r>
              <w:rPr>
                <w:rFonts w:eastAsia="Times New Roman"/>
                <w:b/>
              </w:rPr>
              <w:t>3</w:t>
            </w:r>
            <w:r>
              <w:rPr>
                <w:rFonts w:eastAsia="Times New Roman"/>
              </w:rPr>
              <w:t xml:space="preserve">% no līdz šim vērtēšanai iesniegtajiem projektiem, divos no trim iznākuma rādītājiem ir sasniegti vairāk nekā 80% no plānotajām kopējām rādītāju vērtībām (skat. tabulā zemāk). </w:t>
            </w:r>
          </w:p>
          <w:tbl>
            <w:tblPr>
              <w:tblW w:w="77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335"/>
              <w:gridCol w:w="1559"/>
              <w:gridCol w:w="1346"/>
              <w:gridCol w:w="1348"/>
              <w:gridCol w:w="1134"/>
            </w:tblGrid>
            <w:tr w:rsidR="00027A72" w14:paraId="14B6589D" w14:textId="77777777">
              <w:trPr>
                <w:trHeight w:val="735"/>
              </w:trPr>
              <w:tc>
                <w:tcPr>
                  <w:tcW w:w="233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AB23951" w14:textId="77777777" w:rsidR="00027A72" w:rsidRDefault="00422D30">
                  <w:pPr>
                    <w:jc w:val="center"/>
                    <w:rPr>
                      <w:rFonts w:eastAsia="Times New Roman"/>
                      <w:b/>
                      <w:sz w:val="20"/>
                      <w:szCs w:val="20"/>
                      <w:lang w:eastAsia="en-GB"/>
                    </w:rPr>
                  </w:pPr>
                  <w:r>
                    <w:rPr>
                      <w:rFonts w:eastAsia="Times New Roman"/>
                      <w:b/>
                      <w:sz w:val="20"/>
                      <w:szCs w:val="20"/>
                      <w:lang w:eastAsia="en-GB"/>
                    </w:rPr>
                    <w:t>Rādītāja nosaukums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24DAEE5" w14:textId="77777777" w:rsidR="00027A72" w:rsidRDefault="00422D30">
                  <w:pPr>
                    <w:jc w:val="center"/>
                    <w:rPr>
                      <w:rFonts w:eastAsia="Times New Roman"/>
                      <w:b/>
                      <w:sz w:val="20"/>
                      <w:szCs w:val="20"/>
                      <w:lang w:eastAsia="en-GB"/>
                    </w:rPr>
                  </w:pPr>
                  <w:r>
                    <w:rPr>
                      <w:rFonts w:eastAsia="Times New Roman"/>
                      <w:b/>
                      <w:sz w:val="20"/>
                      <w:szCs w:val="20"/>
                      <w:lang w:eastAsia="en-GB"/>
                    </w:rPr>
                    <w:t>Atbilstoši MK noteikumiem</w:t>
                  </w: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93B5231" w14:textId="77777777" w:rsidR="00027A72" w:rsidRDefault="00422D30">
                  <w:pPr>
                    <w:jc w:val="center"/>
                    <w:rPr>
                      <w:rFonts w:eastAsia="Times New Roman"/>
                      <w:b/>
                      <w:sz w:val="20"/>
                      <w:szCs w:val="20"/>
                      <w:u w:val="single"/>
                      <w:lang w:eastAsia="en-GB"/>
                    </w:rPr>
                  </w:pPr>
                  <w:r>
                    <w:rPr>
                      <w:rFonts w:eastAsia="Times New Roman"/>
                      <w:b/>
                      <w:sz w:val="20"/>
                      <w:szCs w:val="20"/>
                      <w:lang w:eastAsia="en-GB"/>
                    </w:rPr>
                    <w:t>Plānots</w:t>
                  </w:r>
                  <w:r>
                    <w:rPr>
                      <w:rStyle w:val="Vresenkurs"/>
                      <w:rFonts w:eastAsia="Times New Roman"/>
                      <w:b/>
                      <w:sz w:val="20"/>
                      <w:szCs w:val="20"/>
                      <w:lang w:eastAsia="en-GB"/>
                    </w:rPr>
                    <w:footnoteReference w:id="5"/>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3CD1B30" w14:textId="77777777" w:rsidR="00027A72" w:rsidRDefault="00422D30">
                  <w:pPr>
                    <w:jc w:val="center"/>
                    <w:rPr>
                      <w:rFonts w:eastAsia="Times New Roman"/>
                      <w:b/>
                      <w:sz w:val="20"/>
                      <w:szCs w:val="20"/>
                      <w:lang w:eastAsia="en-GB"/>
                    </w:rPr>
                  </w:pPr>
                  <w:r>
                    <w:rPr>
                      <w:rFonts w:eastAsia="Times New Roman"/>
                      <w:b/>
                      <w:sz w:val="20"/>
                      <w:szCs w:val="20"/>
                      <w:lang w:eastAsia="en-GB"/>
                    </w:rPr>
                    <w:t>Sasniegts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E98BDCF" w14:textId="77777777" w:rsidR="00027A72" w:rsidRDefault="00422D30">
                  <w:pPr>
                    <w:jc w:val="center"/>
                    <w:rPr>
                      <w:rFonts w:eastAsia="Times New Roman"/>
                      <w:b/>
                      <w:sz w:val="20"/>
                      <w:szCs w:val="20"/>
                      <w:lang w:eastAsia="en-GB"/>
                    </w:rPr>
                  </w:pPr>
                  <w:r>
                    <w:rPr>
                      <w:rFonts w:eastAsia="Times New Roman"/>
                      <w:b/>
                      <w:sz w:val="20"/>
                      <w:szCs w:val="20"/>
                      <w:lang w:eastAsia="en-GB"/>
                    </w:rPr>
                    <w:t xml:space="preserve">Sasniegts no </w:t>
                  </w:r>
                  <w:r>
                    <w:rPr>
                      <w:rFonts w:eastAsia="Times New Roman"/>
                      <w:b/>
                      <w:sz w:val="20"/>
                      <w:szCs w:val="20"/>
                      <w:lang w:eastAsia="en-GB"/>
                    </w:rPr>
                    <w:lastRenderedPageBreak/>
                    <w:t>plānotā, %</w:t>
                  </w:r>
                </w:p>
              </w:tc>
            </w:tr>
            <w:tr w:rsidR="00027A72" w14:paraId="4F114F73" w14:textId="77777777">
              <w:trPr>
                <w:trHeight w:val="585"/>
              </w:trPr>
              <w:tc>
                <w:tcPr>
                  <w:tcW w:w="233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2722B2B" w14:textId="77777777" w:rsidR="00027A72" w:rsidRDefault="00422D30">
                  <w:pPr>
                    <w:rPr>
                      <w:rFonts w:eastAsia="Times New Roman"/>
                      <w:sz w:val="20"/>
                      <w:szCs w:val="20"/>
                      <w:lang w:eastAsia="en-GB"/>
                    </w:rPr>
                  </w:pPr>
                  <w:r>
                    <w:rPr>
                      <w:rFonts w:eastAsia="Times New Roman"/>
                      <w:sz w:val="20"/>
                      <w:szCs w:val="20"/>
                      <w:lang w:eastAsia="en-GB"/>
                    </w:rPr>
                    <w:lastRenderedPageBreak/>
                    <w:t xml:space="preserve">Primārās enerģijas samazinājums, </w:t>
                  </w:r>
                  <w:proofErr w:type="spellStart"/>
                  <w:r>
                    <w:rPr>
                      <w:rFonts w:eastAsia="Times New Roman"/>
                      <w:sz w:val="20"/>
                      <w:szCs w:val="20"/>
                      <w:lang w:eastAsia="en-GB"/>
                    </w:rPr>
                    <w:t>kWh</w:t>
                  </w:r>
                  <w:proofErr w:type="spellEnd"/>
                  <w:r>
                    <w:rPr>
                      <w:rFonts w:eastAsia="Times New Roman"/>
                      <w:sz w:val="20"/>
                      <w:szCs w:val="20"/>
                      <w:lang w:eastAsia="en-GB"/>
                    </w:rPr>
                    <w:t>/gadā</w:t>
                  </w:r>
                  <w:r>
                    <w:rPr>
                      <w:rStyle w:val="Vresenkurs"/>
                      <w:rFonts w:eastAsia="Times New Roman"/>
                      <w:sz w:val="20"/>
                      <w:szCs w:val="20"/>
                      <w:lang w:eastAsia="en-GB"/>
                    </w:rPr>
                    <w:footnoteReference w:id="6"/>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0EEE9EF" w14:textId="77777777" w:rsidR="00027A72" w:rsidRDefault="00422D30">
                  <w:pPr>
                    <w:jc w:val="right"/>
                    <w:rPr>
                      <w:rFonts w:eastAsia="Times New Roman"/>
                      <w:sz w:val="20"/>
                      <w:szCs w:val="20"/>
                      <w:lang w:eastAsia="en-GB"/>
                    </w:rPr>
                  </w:pPr>
                  <w:r>
                    <w:rPr>
                      <w:rFonts w:eastAsia="Times New Roman"/>
                      <w:sz w:val="20"/>
                      <w:szCs w:val="20"/>
                      <w:lang w:eastAsia="en-GB"/>
                    </w:rPr>
                    <w:t>20 522 442</w:t>
                  </w: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8916372" w14:textId="77777777" w:rsidR="00027A72" w:rsidRDefault="00422D30">
                  <w:pPr>
                    <w:jc w:val="right"/>
                    <w:rPr>
                      <w:rFonts w:eastAsia="Times New Roman"/>
                      <w:sz w:val="20"/>
                      <w:szCs w:val="20"/>
                      <w:lang w:eastAsia="en-GB"/>
                    </w:rPr>
                  </w:pPr>
                  <w:r>
                    <w:rPr>
                      <w:rFonts w:eastAsia="Times New Roman"/>
                      <w:sz w:val="20"/>
                      <w:szCs w:val="20"/>
                      <w:lang w:eastAsia="en-GB"/>
                    </w:rPr>
                    <w:t>17 390 488</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CA0DC4B" w14:textId="77777777" w:rsidR="00027A72" w:rsidRDefault="00422D30">
                  <w:pPr>
                    <w:jc w:val="right"/>
                    <w:rPr>
                      <w:rFonts w:eastAsia="Times New Roman"/>
                      <w:sz w:val="20"/>
                      <w:szCs w:val="20"/>
                      <w:lang w:eastAsia="en-GB"/>
                    </w:rPr>
                  </w:pPr>
                  <w:r>
                    <w:rPr>
                      <w:rFonts w:eastAsia="Times New Roman"/>
                      <w:sz w:val="20"/>
                      <w:szCs w:val="20"/>
                      <w:lang w:eastAsia="en-GB"/>
                    </w:rPr>
                    <w:t>17 122 616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22FCE7D" w14:textId="77777777" w:rsidR="00027A72" w:rsidRDefault="00422D30">
                  <w:pPr>
                    <w:jc w:val="center"/>
                    <w:rPr>
                      <w:rFonts w:eastAsia="Times New Roman"/>
                      <w:i/>
                      <w:sz w:val="20"/>
                      <w:szCs w:val="20"/>
                      <w:lang w:eastAsia="en-GB"/>
                    </w:rPr>
                  </w:pPr>
                  <w:r>
                    <w:rPr>
                      <w:rFonts w:eastAsia="Times New Roman"/>
                      <w:i/>
                      <w:sz w:val="20"/>
                      <w:szCs w:val="20"/>
                      <w:lang w:eastAsia="en-GB"/>
                    </w:rPr>
                    <w:t>83</w:t>
                  </w:r>
                </w:p>
              </w:tc>
            </w:tr>
            <w:tr w:rsidR="00027A72" w14:paraId="4EBF1F2F" w14:textId="77777777">
              <w:trPr>
                <w:trHeight w:val="615"/>
              </w:trPr>
              <w:tc>
                <w:tcPr>
                  <w:tcW w:w="233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6621D7E6" w14:textId="77777777" w:rsidR="00027A72" w:rsidRDefault="00422D30">
                  <w:pPr>
                    <w:rPr>
                      <w:rFonts w:eastAsia="Times New Roman"/>
                      <w:color w:val="000000"/>
                      <w:sz w:val="20"/>
                      <w:szCs w:val="20"/>
                      <w:lang w:eastAsia="en-GB"/>
                    </w:rPr>
                  </w:pPr>
                  <w:r>
                    <w:rPr>
                      <w:rFonts w:eastAsia="Times New Roman"/>
                      <w:color w:val="000000"/>
                      <w:sz w:val="20"/>
                      <w:szCs w:val="20"/>
                      <w:lang w:eastAsia="en-GB"/>
                    </w:rPr>
                    <w:t>Siltumnīcefekta gāzu samazinājums,</w:t>
                  </w:r>
                </w:p>
                <w:p w14:paraId="3B648CB0" w14:textId="77777777" w:rsidR="00027A72" w:rsidRDefault="00422D30">
                  <w:pPr>
                    <w:rPr>
                      <w:rFonts w:eastAsia="Times New Roman"/>
                      <w:color w:val="000000"/>
                      <w:sz w:val="20"/>
                      <w:szCs w:val="20"/>
                      <w:lang w:eastAsia="en-GB"/>
                    </w:rPr>
                  </w:pPr>
                  <w:r>
                    <w:rPr>
                      <w:rFonts w:eastAsia="Times New Roman"/>
                      <w:color w:val="000000"/>
                      <w:sz w:val="20"/>
                      <w:szCs w:val="20"/>
                      <w:lang w:eastAsia="en-GB"/>
                    </w:rPr>
                    <w:t>CO</w:t>
                  </w:r>
                  <w:r>
                    <w:rPr>
                      <w:rFonts w:eastAsia="Times New Roman"/>
                      <w:color w:val="000000"/>
                      <w:sz w:val="20"/>
                      <w:szCs w:val="20"/>
                      <w:vertAlign w:val="subscript"/>
                      <w:lang w:eastAsia="en-GB"/>
                    </w:rPr>
                    <w:t>2</w:t>
                  </w:r>
                  <w:r>
                    <w:rPr>
                      <w:rFonts w:eastAsia="Times New Roman"/>
                      <w:color w:val="000000"/>
                      <w:sz w:val="20"/>
                      <w:szCs w:val="20"/>
                      <w:lang w:eastAsia="en-GB"/>
                    </w:rPr>
                    <w:t xml:space="preserve"> </w:t>
                  </w:r>
                  <w:proofErr w:type="spellStart"/>
                  <w:r>
                    <w:rPr>
                      <w:rFonts w:eastAsia="Times New Roman"/>
                      <w:color w:val="000000"/>
                      <w:sz w:val="20"/>
                      <w:szCs w:val="20"/>
                      <w:lang w:eastAsia="en-GB"/>
                    </w:rPr>
                    <w:t>ekv</w:t>
                  </w:r>
                  <w:proofErr w:type="spellEnd"/>
                  <w:r>
                    <w:rPr>
                      <w:rFonts w:eastAsia="Times New Roman"/>
                      <w:color w:val="000000"/>
                      <w:sz w:val="20"/>
                      <w:szCs w:val="20"/>
                      <w:lang w:eastAsia="en-GB"/>
                    </w:rPr>
                    <w:t xml:space="preserve">. t </w:t>
                  </w:r>
                  <w:r>
                    <w:rPr>
                      <w:rStyle w:val="Vresenkurs"/>
                      <w:rFonts w:eastAsia="Times New Roman"/>
                      <w:color w:val="000000"/>
                      <w:sz w:val="20"/>
                      <w:szCs w:val="20"/>
                      <w:lang w:eastAsia="en-GB"/>
                    </w:rPr>
                    <w:footnoteReference w:id="7"/>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B7618A0" w14:textId="77777777" w:rsidR="00027A72" w:rsidRDefault="00422D30">
                  <w:pPr>
                    <w:jc w:val="right"/>
                    <w:rPr>
                      <w:rFonts w:eastAsia="Times New Roman"/>
                      <w:sz w:val="20"/>
                      <w:szCs w:val="20"/>
                      <w:lang w:eastAsia="en-GB"/>
                    </w:rPr>
                  </w:pPr>
                  <w:r>
                    <w:rPr>
                      <w:rFonts w:eastAsia="Times New Roman"/>
                      <w:sz w:val="20"/>
                      <w:szCs w:val="20"/>
                      <w:lang w:eastAsia="en-GB"/>
                    </w:rPr>
                    <w:t>5180</w:t>
                  </w: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C9B800E" w14:textId="77777777" w:rsidR="00027A72" w:rsidRDefault="00422D30">
                  <w:pPr>
                    <w:jc w:val="right"/>
                    <w:rPr>
                      <w:rFonts w:eastAsia="Times New Roman"/>
                      <w:sz w:val="20"/>
                      <w:szCs w:val="20"/>
                      <w:lang w:eastAsia="en-GB"/>
                    </w:rPr>
                  </w:pPr>
                  <w:r>
                    <w:rPr>
                      <w:rFonts w:eastAsia="Times New Roman"/>
                      <w:sz w:val="20"/>
                      <w:szCs w:val="20"/>
                      <w:lang w:eastAsia="en-GB"/>
                    </w:rPr>
                    <w:t>2884</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48C48F8" w14:textId="77777777" w:rsidR="00027A72" w:rsidRDefault="00422D30">
                  <w:pPr>
                    <w:jc w:val="right"/>
                    <w:rPr>
                      <w:rFonts w:eastAsia="Times New Roman"/>
                      <w:sz w:val="20"/>
                      <w:szCs w:val="20"/>
                      <w:lang w:eastAsia="en-GB"/>
                    </w:rPr>
                  </w:pPr>
                  <w:r>
                    <w:rPr>
                      <w:rFonts w:eastAsia="Times New Roman"/>
                      <w:sz w:val="20"/>
                      <w:szCs w:val="20"/>
                      <w:lang w:eastAsia="en-GB"/>
                    </w:rPr>
                    <w:t>4864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4D80831" w14:textId="77777777" w:rsidR="00027A72" w:rsidRDefault="00422D30">
                  <w:pPr>
                    <w:jc w:val="center"/>
                    <w:rPr>
                      <w:rFonts w:eastAsia="Times New Roman"/>
                      <w:i/>
                      <w:sz w:val="20"/>
                      <w:szCs w:val="20"/>
                      <w:lang w:eastAsia="en-GB"/>
                    </w:rPr>
                  </w:pPr>
                  <w:r>
                    <w:rPr>
                      <w:rFonts w:eastAsia="Times New Roman"/>
                      <w:i/>
                      <w:sz w:val="20"/>
                      <w:szCs w:val="20"/>
                      <w:lang w:eastAsia="en-GB"/>
                    </w:rPr>
                    <w:t>94</w:t>
                  </w:r>
                </w:p>
              </w:tc>
            </w:tr>
            <w:tr w:rsidR="00027A72" w14:paraId="14150859" w14:textId="77777777">
              <w:trPr>
                <w:trHeight w:val="630"/>
              </w:trPr>
              <w:tc>
                <w:tcPr>
                  <w:tcW w:w="233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151C30AF" w14:textId="77777777" w:rsidR="00027A72" w:rsidRDefault="00422D30">
                  <w:pPr>
                    <w:rPr>
                      <w:rFonts w:eastAsia="Times New Roman"/>
                      <w:color w:val="000000"/>
                      <w:sz w:val="20"/>
                      <w:szCs w:val="20"/>
                      <w:lang w:eastAsia="en-GB"/>
                    </w:rPr>
                  </w:pPr>
                  <w:r>
                    <w:rPr>
                      <w:rFonts w:eastAsia="Times New Roman"/>
                      <w:color w:val="000000"/>
                      <w:sz w:val="20"/>
                      <w:szCs w:val="20"/>
                      <w:lang w:eastAsia="en-GB"/>
                    </w:rPr>
                    <w:t xml:space="preserve">No AER ražotā </w:t>
                  </w:r>
                  <w:proofErr w:type="spellStart"/>
                  <w:r>
                    <w:rPr>
                      <w:rFonts w:eastAsia="Times New Roman"/>
                      <w:color w:val="000000"/>
                      <w:sz w:val="20"/>
                      <w:szCs w:val="20"/>
                      <w:lang w:eastAsia="en-GB"/>
                    </w:rPr>
                    <w:t>papildjauda</w:t>
                  </w:r>
                  <w:proofErr w:type="spellEnd"/>
                  <w:r>
                    <w:rPr>
                      <w:rFonts w:eastAsia="Times New Roman"/>
                      <w:color w:val="000000"/>
                      <w:sz w:val="20"/>
                      <w:szCs w:val="20"/>
                      <w:lang w:eastAsia="en-GB"/>
                    </w:rPr>
                    <w:t>, MW</w:t>
                  </w:r>
                  <w:r>
                    <w:rPr>
                      <w:rStyle w:val="Vresenkurs"/>
                      <w:rFonts w:eastAsia="Times New Roman"/>
                      <w:color w:val="000000"/>
                      <w:sz w:val="20"/>
                      <w:szCs w:val="20"/>
                      <w:lang w:eastAsia="en-GB"/>
                    </w:rPr>
                    <w:footnoteReference w:id="8"/>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5845E8C" w14:textId="77777777" w:rsidR="00027A72" w:rsidRDefault="00422D30">
                  <w:pPr>
                    <w:jc w:val="right"/>
                    <w:rPr>
                      <w:rFonts w:eastAsia="Times New Roman"/>
                      <w:sz w:val="20"/>
                      <w:szCs w:val="20"/>
                      <w:lang w:eastAsia="en-GB"/>
                    </w:rPr>
                  </w:pPr>
                  <w:r>
                    <w:rPr>
                      <w:rFonts w:eastAsia="Times New Roman"/>
                      <w:sz w:val="20"/>
                      <w:szCs w:val="20"/>
                      <w:lang w:eastAsia="en-GB"/>
                    </w:rPr>
                    <w:t>1,6</w:t>
                  </w: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22C0ACE" w14:textId="77777777" w:rsidR="00027A72" w:rsidRDefault="00422D30">
                  <w:pPr>
                    <w:jc w:val="right"/>
                    <w:rPr>
                      <w:rFonts w:eastAsia="Times New Roman"/>
                      <w:sz w:val="20"/>
                      <w:szCs w:val="20"/>
                      <w:lang w:eastAsia="en-GB"/>
                    </w:rPr>
                  </w:pPr>
                  <w:r>
                    <w:rPr>
                      <w:rFonts w:eastAsia="Times New Roman"/>
                      <w:sz w:val="20"/>
                      <w:szCs w:val="20"/>
                      <w:lang w:eastAsia="en-GB"/>
                    </w:rPr>
                    <w:t>0,806</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EA77B0C" w14:textId="77777777" w:rsidR="00027A72" w:rsidRDefault="00422D30">
                  <w:pPr>
                    <w:jc w:val="right"/>
                    <w:rPr>
                      <w:rFonts w:eastAsia="Times New Roman"/>
                      <w:sz w:val="20"/>
                      <w:szCs w:val="20"/>
                      <w:lang w:eastAsia="en-GB"/>
                    </w:rPr>
                  </w:pPr>
                  <w:r>
                    <w:rPr>
                      <w:rFonts w:eastAsia="Times New Roman"/>
                      <w:sz w:val="20"/>
                      <w:szCs w:val="20"/>
                      <w:lang w:eastAsia="en-GB"/>
                    </w:rPr>
                    <w:t>0,622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A2838BA" w14:textId="77777777" w:rsidR="00027A72" w:rsidRDefault="00422D30">
                  <w:pPr>
                    <w:jc w:val="center"/>
                    <w:rPr>
                      <w:rFonts w:eastAsia="Times New Roman"/>
                      <w:i/>
                      <w:sz w:val="20"/>
                      <w:szCs w:val="20"/>
                      <w:lang w:eastAsia="en-GB"/>
                    </w:rPr>
                  </w:pPr>
                  <w:r>
                    <w:rPr>
                      <w:rFonts w:eastAsia="Times New Roman"/>
                      <w:i/>
                      <w:sz w:val="20"/>
                      <w:szCs w:val="20"/>
                      <w:lang w:eastAsia="en-GB"/>
                    </w:rPr>
                    <w:t>39</w:t>
                  </w:r>
                </w:p>
              </w:tc>
            </w:tr>
          </w:tbl>
          <w:p w14:paraId="05EDEA78" w14:textId="77777777" w:rsidR="00027A72" w:rsidRDefault="00422D30">
            <w:pPr>
              <w:spacing w:after="120"/>
              <w:jc w:val="both"/>
              <w:rPr>
                <w:rFonts w:eastAsia="Times New Roman"/>
              </w:rPr>
            </w:pPr>
            <w:r>
              <w:rPr>
                <w:rFonts w:eastAsia="Times New Roman"/>
              </w:rPr>
              <w:t xml:space="preserve">Papildu projektu īstenošana 4.2.2. SAM ietvaros veicinās primārās enerģijas patēriņa samazināšanu, sekmējot energoefektivitātes paaugstināšanu un pašvaldību izdevumu samazināšanos par siltumapgādi, atbilstošu ES fondu darbības programmā </w:t>
            </w:r>
            <w:r>
              <w:t>"</w:t>
            </w:r>
            <w:r>
              <w:rPr>
                <w:rFonts w:eastAsia="Times New Roman"/>
              </w:rPr>
              <w:t>Izaugsme un nodarbinātība</w:t>
            </w:r>
            <w:r>
              <w:t>"</w:t>
            </w:r>
            <w:r>
              <w:rPr>
                <w:rFonts w:eastAsia="Times New Roman"/>
              </w:rPr>
              <w:t xml:space="preserve"> noteiktajam.</w:t>
            </w:r>
          </w:p>
          <w:p w14:paraId="1348B08C" w14:textId="2042AB14" w:rsidR="00027A72" w:rsidRDefault="00422D30">
            <w:pPr>
              <w:spacing w:after="120"/>
              <w:jc w:val="both"/>
            </w:pPr>
            <w:r>
              <w:rPr>
                <w:rFonts w:eastAsia="Times New Roman"/>
                <w:color w:val="000000"/>
                <w:lang w:eastAsia="en-GB"/>
              </w:rPr>
              <w:t xml:space="preserve">Atbilstoši Ministru kabineta </w:t>
            </w:r>
            <w:r>
              <w:rPr>
                <w:rFonts w:eastAsia="Times New Roman"/>
              </w:rPr>
              <w:t>2020. gada 18. jūnija rīkojumam Nr. 331 "</w:t>
            </w:r>
            <w:r>
              <w:rPr>
                <w:rFonts w:eastAsia="Times New Roman"/>
                <w:i/>
              </w:rPr>
              <w:t>Par projektu ideju finansējuma apjomu un sasniedzamajiem iznākuma rādītājiem 4.2.2. specifiskā atbalsta mērķa "Atbilstoši pašvaldības integrētajām attīstības programmām sekmēt energoefektivitātes paaugstināšanu un atjaunojamo energoresursu izmantošanu pašvaldību ēkās" trešās projektu iesniegumu atlases kārtas "Energoefektivitātes paaugstināšana un atjaunojamo energoresursu izmantošana reģionālas nozīmes attīstības centru pašvaldībās" ietvaros</w:t>
            </w:r>
            <w:r>
              <w:rPr>
                <w:rFonts w:eastAsia="Times New Roman"/>
              </w:rPr>
              <w:t>" noteikumu projekts paredz samazināt trešās atlases kārta ietvaros sasniedzamo iznākuma rādītāju “</w:t>
            </w:r>
            <w:r>
              <w:rPr>
                <w:rFonts w:eastAsia="Times New Roman"/>
                <w:i/>
                <w:color w:val="000000"/>
                <w:lang w:eastAsia="en-GB"/>
              </w:rPr>
              <w:t xml:space="preserve">No atjaunojamiem energoresursiem ražotā </w:t>
            </w:r>
            <w:proofErr w:type="spellStart"/>
            <w:r>
              <w:rPr>
                <w:rFonts w:eastAsia="Times New Roman"/>
                <w:i/>
                <w:color w:val="000000"/>
                <w:lang w:eastAsia="en-GB"/>
              </w:rPr>
              <w:t>papildjauda</w:t>
            </w:r>
            <w:proofErr w:type="spellEnd"/>
            <w:r>
              <w:rPr>
                <w:rFonts w:eastAsia="Times New Roman"/>
                <w:color w:val="000000"/>
                <w:lang w:eastAsia="en-GB"/>
              </w:rPr>
              <w:t xml:space="preserve">” (turpmāk – AER rādītājs) no 0,74 megavatiem (turpmāk – MW) uz 0,479 MW. Sākotnējais rādītājs 0,74 MW apmērā tika noteikts ar Ministru </w:t>
            </w:r>
            <w:r w:rsidR="00AF59F4">
              <w:rPr>
                <w:rFonts w:eastAsia="Times New Roman"/>
                <w:color w:val="000000"/>
                <w:lang w:eastAsia="en-GB"/>
              </w:rPr>
              <w:t>k</w:t>
            </w:r>
            <w:r>
              <w:rPr>
                <w:rFonts w:eastAsia="Times New Roman"/>
                <w:color w:val="000000"/>
                <w:lang w:eastAsia="en-GB"/>
              </w:rPr>
              <w:t>abineta 2020. gada 14 aprīļa noteikumiem Nr. 213 “</w:t>
            </w:r>
            <w:r>
              <w:rPr>
                <w:rFonts w:eastAsia="Times New Roman"/>
                <w:i/>
                <w:color w:val="000000"/>
                <w:lang w:eastAsia="en-GB"/>
              </w:rPr>
              <w:t>Grozījumi Ministru kabineta 2016. gada 8. marta noteikumos Nr. 152 "Darbības programmas "Izaugsme un nodarbinātība" 4.2.2. specifiskā atbalsta mērķa "Atbilstoši pašvaldības integrētajām attīstības programmām sekmēt energoefektivitātes paaugstināšanu un atjaunojamo energoresursu izmantošanu pašvaldību ēkās" īstenošanas noteikumi"</w:t>
            </w:r>
            <w:r>
              <w:rPr>
                <w:rFonts w:eastAsia="Times New Roman"/>
                <w:color w:val="000000"/>
                <w:lang w:eastAsia="en-GB"/>
              </w:rPr>
              <w:t>", ar ko tika paredzēta trešās atlases kārtas rīkošana.</w:t>
            </w:r>
            <w:r>
              <w:rPr>
                <w:rFonts w:eastAsia="Times New Roman"/>
              </w:rPr>
              <w:t xml:space="preserve"> Taču, ņemot vērā </w:t>
            </w:r>
            <w:r>
              <w:rPr>
                <w:rFonts w:eastAsia="Times New Roman"/>
                <w:color w:val="000000"/>
                <w:lang w:eastAsia="en-GB"/>
              </w:rPr>
              <w:t xml:space="preserve">trešās atlases kārtas </w:t>
            </w:r>
            <w:r>
              <w:rPr>
                <w:rFonts w:eastAsia="Times New Roman"/>
              </w:rPr>
              <w:t xml:space="preserve">projektu ideju </w:t>
            </w:r>
            <w:proofErr w:type="spellStart"/>
            <w:r>
              <w:rPr>
                <w:rFonts w:eastAsia="Times New Roman"/>
              </w:rPr>
              <w:t>priekšatlases</w:t>
            </w:r>
            <w:proofErr w:type="spellEnd"/>
            <w:r>
              <w:rPr>
                <w:rFonts w:eastAsia="Times New Roman"/>
              </w:rPr>
              <w:t xml:space="preserve"> laikā Latvijā spēkā esošo ārkārtējo situāciju, tika precizēts atbalstāmo projektu ideju saraksts, priekšroku dodot projektu idejām ar augstāku gatavības pakāpi, kuras dotu lielāku ieguldījumu Covid-19 izraisītās krīzes negatīvo ekonomisko seku mazināšanā. Projektu idejas ar zemu gatavības pakāpi tika izslēgtas, attiecīgi samazinot kopējam trešajā atlases kārtā sasniedzamajam AER rādītājam noteikto vērtību. Vienlaikus jāņem vērā, ka AER rādītāja samazināšana trešajā atlases kārtā neietekmē </w:t>
            </w:r>
            <w:r>
              <w:rPr>
                <w:spacing w:val="-2"/>
              </w:rPr>
              <w:t>darbības programmā "Izaugsme un nodarbinātība" noteiktā rādītāja vērtības 1,2 MW apmērā sasniegšanu.</w:t>
            </w:r>
          </w:p>
          <w:p w14:paraId="66A9B21D" w14:textId="77777777" w:rsidR="00027A72" w:rsidRDefault="00422D30">
            <w:pPr>
              <w:spacing w:after="120"/>
              <w:jc w:val="both"/>
              <w:rPr>
                <w:rFonts w:eastAsia="Times New Roman"/>
              </w:rPr>
            </w:pPr>
            <w:r>
              <w:rPr>
                <w:rFonts w:eastAsia="Times New Roman"/>
              </w:rPr>
              <w:t xml:space="preserve">Noteikumu projekts paredz svītrot </w:t>
            </w:r>
            <w:r>
              <w:t xml:space="preserve">MK noteikumu Nr. 152 </w:t>
            </w:r>
            <w:r>
              <w:rPr>
                <w:rFonts w:eastAsia="Times New Roman"/>
              </w:rPr>
              <w:t xml:space="preserve">16. un 17. punktu, kuros ietverti 4.2.2. SAM snieguma rezerves jeb ietvara izpildes nosacījumi. Tā kā snieguma rezerve ir noteikts rādītāju kopums katram prioritārajam virzienam, kas sastāv no finanšu rādītāja uz 2018. gada 31. decembri, t.i. sertificēti izdevumi (ES fondu finansējums kopā ar nacionālo finansējumu), un atsevišķu SAM, t.sk. 4.2.2. SAM iznākumu rādītāju starpposmu vērtībām uz 2018. gada 31. decembri, tad </w:t>
            </w:r>
            <w:r>
              <w:t xml:space="preserve">MK noteikumu Nr. 152 </w:t>
            </w:r>
            <w:r>
              <w:rPr>
                <w:rFonts w:eastAsia="Times New Roman"/>
              </w:rPr>
              <w:t xml:space="preserve"> 16. un 17. punkts 4.2.2. SAM īstenošanas kontekstā vairs nav aktuāls.</w:t>
            </w:r>
          </w:p>
          <w:p w14:paraId="1722F8C6" w14:textId="77777777" w:rsidR="00027A72" w:rsidRDefault="00422D30">
            <w:pPr>
              <w:spacing w:after="120"/>
              <w:jc w:val="both"/>
              <w:rPr>
                <w:rFonts w:eastAsia="Times New Roman"/>
              </w:rPr>
            </w:pPr>
            <w:r>
              <w:rPr>
                <w:rFonts w:eastAsia="Times New Roman"/>
              </w:rPr>
              <w:t xml:space="preserve">Lai novērstu pārāk lielu pašvaldību saistību uzņemšanos un nesamērīgi mazu ERAF finansējuma proporciju projekta kopējo attiecināmo izmaksu īpatsvarā, kā viens no </w:t>
            </w:r>
            <w:r>
              <w:rPr>
                <w:rFonts w:eastAsia="Times New Roman"/>
              </w:rPr>
              <w:lastRenderedPageBreak/>
              <w:t>kontroles mehānismiem noteikts, ka ceturtās atlases kārtas ietvaros pieteiktajos projektos ERAF finansējums veido vismaz 30 procentus no projekta kopējām attiecināmajām izmaksām.</w:t>
            </w:r>
          </w:p>
          <w:p w14:paraId="33AE8F89" w14:textId="77777777" w:rsidR="00027A72" w:rsidRDefault="00422D30">
            <w:pPr>
              <w:spacing w:after="120"/>
              <w:jc w:val="both"/>
            </w:pPr>
            <w:r>
              <w:t>Lai samazinātu administratīvo slogu pašvaldībām (savstarpēji konkurējošu projektu ideju konceptu sagatavošana) un VARAM kā atbildīgajai iestādei (</w:t>
            </w:r>
            <w:proofErr w:type="spellStart"/>
            <w:r>
              <w:t>priekšatlases</w:t>
            </w:r>
            <w:proofErr w:type="spellEnd"/>
            <w:r>
              <w:t xml:space="preserve"> ietvaros iesniegto projektu konceptu vērtēšana), kā arī ņemot vērā ceturtās atlases kārtas ietvaros pieejamo ierobežoto ERAF finansējumu, noteikumu projekts paredz, ka ceturtās atlases kārtas ietvaros projekta iesniedzējs īsteno ne vairāk kā vienu projektu, kura kopējais ERAF finansējums nepārsniedz 500 000 </w:t>
            </w:r>
            <w:proofErr w:type="spellStart"/>
            <w:r>
              <w:rPr>
                <w:i/>
              </w:rPr>
              <w:t>euro</w:t>
            </w:r>
            <w:proofErr w:type="spellEnd"/>
            <w:r>
              <w:t>. Minētā summa indikatīvi atbilst vidējam viena projekta ERAF finansējuma apmēram 4.2.2. SAM projektu iesniegumu atlases pirmajā un otrajā kārtā.</w:t>
            </w:r>
          </w:p>
          <w:p w14:paraId="4AC538CF" w14:textId="77777777" w:rsidR="00027A72" w:rsidRDefault="00422D30">
            <w:pPr>
              <w:spacing w:after="120"/>
              <w:jc w:val="both"/>
            </w:pPr>
            <w:r>
              <w:t>Ņemot vērā COVID-19 krīzes ietekmi un nepieciešamību atbalstīt vairāk ēkas, kas saistītas ar izglītības, veselībai un sociālo jomu, kā arī atbalstu uzņēmējdarbībai, noteikumu projektā paredzēts neatbalstīt ēkas pašvaldības administratīvo funkciju nodrošināšanai (ēkas, kurās atrodas pašvaldības domes un pagastu pārvaldes)</w:t>
            </w:r>
            <w:r>
              <w:rPr>
                <w:szCs w:val="20"/>
              </w:rPr>
              <w:t>. Šis grozījums atbilst Latvijas Darba devēju konfederācijas (turpmāk – LDDK) priekšlikumam par pašvaldību energoefektivitātes pasākumiem 2020. gada projektiem - prioritāri atbalstīt pašvaldību iestādes (skolas, bērnudārzi u.c.) un valsts un pašvaldību kapitālsabiedrības, izslēdzot pašvaldību administratīvās ēkas.</w:t>
            </w:r>
          </w:p>
        </w:tc>
      </w:tr>
      <w:tr w:rsidR="00027A72" w14:paraId="3202E323" w14:textId="77777777">
        <w:trPr>
          <w:trHeight w:val="1229"/>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93B1ED" w14:textId="77777777" w:rsidR="00027A72" w:rsidRDefault="00422D30">
            <w:pPr>
              <w:spacing w:before="60" w:after="144"/>
              <w:jc w:val="center"/>
              <w:rPr>
                <w:lang w:eastAsia="en-US"/>
              </w:rPr>
            </w:pPr>
            <w:r>
              <w:lastRenderedPageBreak/>
              <w:t>3.</w:t>
            </w: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1D876C" w14:textId="77777777" w:rsidR="00027A72" w:rsidRDefault="00422D30">
            <w:pPr>
              <w:spacing w:before="60" w:after="144"/>
              <w:rPr>
                <w:lang w:eastAsia="en-US"/>
              </w:rPr>
            </w:pPr>
            <w:r>
              <w:t>Projekta izstrādē iesaistītās institūcijas</w:t>
            </w:r>
          </w:p>
        </w:tc>
        <w:tc>
          <w:tcPr>
            <w:tcW w:w="82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E10828" w14:textId="77777777" w:rsidR="00027A72" w:rsidRDefault="00422D30">
            <w:pPr>
              <w:spacing w:before="60" w:after="144"/>
              <w:jc w:val="both"/>
              <w:rPr>
                <w:b/>
              </w:rPr>
            </w:pPr>
            <w:r>
              <w:t>Ekonomikas ministrija, ņemot vērā, ka finansējums papildu 4.2.2. SAM projektu īstenošanai tiks pārdalīts no tās administrētā 4.2.1.2. pasākuma.</w:t>
            </w:r>
          </w:p>
        </w:tc>
      </w:tr>
      <w:tr w:rsidR="00027A72" w14:paraId="3A2C40AD" w14:textId="77777777">
        <w:trPr>
          <w:trHeight w:val="706"/>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D09241" w14:textId="77777777" w:rsidR="00027A72" w:rsidRDefault="00422D30">
            <w:pPr>
              <w:spacing w:before="60" w:after="144"/>
              <w:jc w:val="center"/>
              <w:rPr>
                <w:lang w:eastAsia="en-US"/>
              </w:rPr>
            </w:pPr>
            <w:r>
              <w:t>4.</w:t>
            </w: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87879A" w14:textId="77777777" w:rsidR="00027A72" w:rsidRDefault="00422D30">
            <w:pPr>
              <w:spacing w:before="60" w:after="144"/>
              <w:rPr>
                <w:lang w:eastAsia="en-US"/>
              </w:rPr>
            </w:pPr>
            <w:r>
              <w:t>Cita informācija</w:t>
            </w:r>
          </w:p>
        </w:tc>
        <w:tc>
          <w:tcPr>
            <w:tcW w:w="82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69FD6E" w14:textId="77777777" w:rsidR="00027A72" w:rsidRDefault="00422D30">
            <w:pPr>
              <w:spacing w:before="60" w:after="144"/>
            </w:pPr>
            <w:r>
              <w:t>Nav</w:t>
            </w:r>
          </w:p>
        </w:tc>
      </w:tr>
    </w:tbl>
    <w:p w14:paraId="4EB9ECE9" w14:textId="77777777" w:rsidR="00027A72" w:rsidRDefault="00027A72">
      <w:pPr>
        <w:jc w:val="both"/>
      </w:pPr>
    </w:p>
    <w:p w14:paraId="4DC28C19" w14:textId="77777777" w:rsidR="00027A72" w:rsidRDefault="00027A72">
      <w:pPr>
        <w:jc w:val="both"/>
      </w:pPr>
    </w:p>
    <w:p w14:paraId="3B8572AC" w14:textId="77777777" w:rsidR="00027A72" w:rsidRDefault="00027A72">
      <w:pPr>
        <w:jc w:val="both"/>
      </w:pPr>
    </w:p>
    <w:p w14:paraId="098D174A" w14:textId="77777777" w:rsidR="00027A72" w:rsidRDefault="00027A72">
      <w:pPr>
        <w:jc w:val="both"/>
        <w:rPr>
          <w:sz w:val="6"/>
        </w:rPr>
      </w:pPr>
    </w:p>
    <w:tbl>
      <w:tblPr>
        <w:tblW w:w="10207"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52"/>
        <w:gridCol w:w="2126"/>
        <w:gridCol w:w="7229"/>
      </w:tblGrid>
      <w:tr w:rsidR="00027A72" w14:paraId="4EB37E20" w14:textId="77777777">
        <w:tc>
          <w:tcPr>
            <w:tcW w:w="1020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C32D74" w14:textId="77777777" w:rsidR="00027A72" w:rsidRDefault="00422D30">
            <w:pPr>
              <w:pStyle w:val="ListParagraph"/>
              <w:tabs>
                <w:tab w:val="left" w:pos="2268"/>
                <w:tab w:val="left" w:pos="2410"/>
              </w:tabs>
              <w:ind w:left="1080"/>
              <w:jc w:val="center"/>
              <w:rPr>
                <w:b/>
                <w:sz w:val="24"/>
                <w:szCs w:val="24"/>
                <w:lang w:eastAsia="en-US"/>
              </w:rPr>
            </w:pPr>
            <w:r>
              <w:rPr>
                <w:b/>
                <w:bCs/>
                <w:sz w:val="24"/>
                <w:szCs w:val="24"/>
              </w:rPr>
              <w:t>II. Tiesību akta projekta ietekme uz sabiedrību, tautsaimniecības attīstību un administratīvo slogu</w:t>
            </w:r>
          </w:p>
        </w:tc>
      </w:tr>
      <w:tr w:rsidR="00027A72" w14:paraId="61215512" w14:textId="77777777">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FA7A4C" w14:textId="77777777" w:rsidR="00027A72" w:rsidRDefault="00422D30">
            <w:pPr>
              <w:jc w:val="center"/>
              <w:rPr>
                <w:lang w:eastAsia="en-US"/>
              </w:rPr>
            </w:pPr>
            <w:r>
              <w:t>1.</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32AC4B" w14:textId="77777777" w:rsidR="00027A72" w:rsidRDefault="00422D30">
            <w:pPr>
              <w:rPr>
                <w:lang w:eastAsia="en-US"/>
              </w:rPr>
            </w:pPr>
            <w:r>
              <w:t xml:space="preserve">Sabiedrības </w:t>
            </w:r>
            <w:proofErr w:type="spellStart"/>
            <w:r>
              <w:t>mērķgrupas</w:t>
            </w:r>
            <w:proofErr w:type="spellEnd"/>
            <w:r>
              <w:t>, kuras tiesiskais regulējums ietekmē vai varētu ietekmēt</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08AEA9" w14:textId="77777777" w:rsidR="00027A72" w:rsidRDefault="00422D30">
            <w:pPr>
              <w:jc w:val="both"/>
            </w:pPr>
            <w:r>
              <w:t>VARAM, 4.2.2. SAM ceturtās atlases kārtas finansējuma saņēmēji un CFLA.</w:t>
            </w:r>
          </w:p>
        </w:tc>
      </w:tr>
      <w:tr w:rsidR="00027A72" w14:paraId="7DA3C5C5" w14:textId="77777777">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C97EE9" w14:textId="77777777" w:rsidR="00027A72" w:rsidRDefault="00422D30">
            <w:pPr>
              <w:jc w:val="center"/>
            </w:pPr>
            <w:r>
              <w:t>2.</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1695A7" w14:textId="77777777" w:rsidR="00027A72" w:rsidRDefault="00422D30">
            <w:pPr>
              <w:rPr>
                <w:rFonts w:ascii="Arial" w:hAnsi="Arial" w:cs="Arial"/>
                <w:sz w:val="20"/>
                <w:szCs w:val="20"/>
              </w:rPr>
            </w:pPr>
            <w:r>
              <w:t>Tiesiskā regulējuma ietekme uz tautsaimniecību un administratīvo slogu</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77D572" w14:textId="77777777" w:rsidR="00027A72" w:rsidRDefault="00422D30">
            <w:pPr>
              <w:pStyle w:val="ListParagraph"/>
              <w:tabs>
                <w:tab w:val="left" w:pos="317"/>
              </w:tabs>
              <w:spacing w:before="60"/>
              <w:ind w:left="34"/>
              <w:jc w:val="both"/>
              <w:rPr>
                <w:sz w:val="24"/>
                <w:szCs w:val="24"/>
              </w:rPr>
            </w:pPr>
            <w:r>
              <w:rPr>
                <w:sz w:val="24"/>
                <w:szCs w:val="24"/>
              </w:rPr>
              <w:t>Vērtējot projektu īstenošanas ietekmi uz administratīvajām procedūrām un to izmaksām, nav identificēts administratīvā sloga palielinājums ne esošajiem finansējuma saņēmējiem, ne ES fondu vadībā iesaistītajām institūcijām.</w:t>
            </w:r>
          </w:p>
          <w:p w14:paraId="1C4475F2" w14:textId="77777777" w:rsidR="00027A72" w:rsidRDefault="00027A72">
            <w:pPr>
              <w:pStyle w:val="ListParagraph"/>
              <w:tabs>
                <w:tab w:val="left" w:pos="317"/>
              </w:tabs>
              <w:spacing w:before="60"/>
              <w:ind w:left="34"/>
              <w:jc w:val="both"/>
              <w:rPr>
                <w:sz w:val="24"/>
                <w:szCs w:val="24"/>
              </w:rPr>
            </w:pPr>
          </w:p>
          <w:p w14:paraId="096D7E63" w14:textId="77777777" w:rsidR="00027A72" w:rsidRDefault="00422D30">
            <w:pPr>
              <w:spacing w:after="120"/>
              <w:ind w:left="57" w:right="57"/>
              <w:jc w:val="both"/>
            </w:pPr>
            <w:r>
              <w:t xml:space="preserve">Noteikumu projektam būs labvēlīga ietekme uz būvniecības nozari un nodarbinātību. </w:t>
            </w:r>
          </w:p>
          <w:p w14:paraId="48965BA7" w14:textId="77777777" w:rsidR="00027A72" w:rsidRDefault="00422D30">
            <w:pPr>
              <w:spacing w:after="120"/>
              <w:ind w:left="57" w:right="57"/>
              <w:jc w:val="both"/>
            </w:pPr>
            <w:r>
              <w:t>Noteikumu projekta īstenošanas rezultātā ir sagaidāma labvēlīga ietekme uz Nacionālā attīstības plāna rādītājiem.</w:t>
            </w:r>
          </w:p>
          <w:p w14:paraId="4B46FEA4" w14:textId="77777777" w:rsidR="00027A72" w:rsidRDefault="00422D30">
            <w:pPr>
              <w:pStyle w:val="ListParagraph"/>
              <w:tabs>
                <w:tab w:val="left" w:pos="317"/>
              </w:tabs>
              <w:spacing w:before="60"/>
              <w:ind w:left="34"/>
              <w:jc w:val="both"/>
              <w:rPr>
                <w:bCs/>
                <w:sz w:val="24"/>
                <w:szCs w:val="24"/>
                <w:lang w:eastAsia="en-US"/>
              </w:rPr>
            </w:pPr>
            <w:r>
              <w:rPr>
                <w:sz w:val="24"/>
                <w:szCs w:val="24"/>
              </w:rPr>
              <w:t>Noteikumu projekts neietekmēs konkurenci, kā arī tam nav ietekmes uz nevalstiskajām organizācijām.</w:t>
            </w:r>
          </w:p>
        </w:tc>
      </w:tr>
      <w:tr w:rsidR="00027A72" w14:paraId="013E5D5A" w14:textId="77777777">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E721DD" w14:textId="77777777" w:rsidR="00027A72" w:rsidRDefault="00422D30">
            <w:pPr>
              <w:jc w:val="center"/>
            </w:pPr>
            <w:r>
              <w:lastRenderedPageBreak/>
              <w:t>3.</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0AC22C" w14:textId="77777777" w:rsidR="00027A72" w:rsidRDefault="00422D30">
            <w:pPr>
              <w:rPr>
                <w:rFonts w:ascii="Arial" w:hAnsi="Arial" w:cs="Arial"/>
                <w:sz w:val="20"/>
                <w:szCs w:val="20"/>
              </w:rPr>
            </w:pPr>
            <w:r>
              <w:t>Administratīvo izmaksu monetārs novērtējums</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C7F63D" w14:textId="77777777" w:rsidR="00027A72" w:rsidRDefault="00422D30">
            <w:pPr>
              <w:pStyle w:val="ListParagraph"/>
              <w:tabs>
                <w:tab w:val="left" w:pos="317"/>
              </w:tabs>
              <w:spacing w:before="60"/>
              <w:ind w:left="34"/>
              <w:jc w:val="both"/>
              <w:rPr>
                <w:bCs/>
                <w:sz w:val="24"/>
                <w:szCs w:val="24"/>
                <w:lang w:eastAsia="en-US"/>
              </w:rPr>
            </w:pPr>
            <w:r>
              <w:rPr>
                <w:bCs/>
                <w:sz w:val="24"/>
                <w:szCs w:val="24"/>
              </w:rPr>
              <w:t xml:space="preserve">Nav attiecināms. </w:t>
            </w:r>
          </w:p>
        </w:tc>
      </w:tr>
      <w:tr w:rsidR="00027A72" w14:paraId="34485B8E" w14:textId="77777777">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8FFB58" w14:textId="77777777" w:rsidR="00027A72" w:rsidRDefault="00422D30">
            <w:pPr>
              <w:jc w:val="center"/>
            </w:pPr>
            <w:r>
              <w:t>4.</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AA3AE8" w14:textId="77777777" w:rsidR="00027A72" w:rsidRDefault="00422D30">
            <w:r>
              <w:rPr>
                <w:rFonts w:eastAsia="Times New Roman"/>
              </w:rPr>
              <w:t>Atbilstības izmaksu monetārs novērtējums</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A2B6B7" w14:textId="77777777" w:rsidR="00027A72" w:rsidRDefault="00422D30">
            <w:pPr>
              <w:pStyle w:val="ListParagraph"/>
              <w:tabs>
                <w:tab w:val="left" w:pos="317"/>
              </w:tabs>
              <w:spacing w:before="60"/>
              <w:ind w:left="34"/>
              <w:jc w:val="both"/>
              <w:rPr>
                <w:bCs/>
                <w:sz w:val="24"/>
                <w:szCs w:val="24"/>
              </w:rPr>
            </w:pPr>
            <w:r>
              <w:rPr>
                <w:bCs/>
                <w:sz w:val="24"/>
                <w:szCs w:val="24"/>
              </w:rPr>
              <w:t>Noteikumu projekts šo jomu neskar.</w:t>
            </w:r>
          </w:p>
        </w:tc>
      </w:tr>
      <w:tr w:rsidR="00027A72" w14:paraId="4B88C578" w14:textId="77777777">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ED1E97" w14:textId="77777777" w:rsidR="00027A72" w:rsidRDefault="00422D30">
            <w:pPr>
              <w:jc w:val="center"/>
            </w:pPr>
            <w:r>
              <w:t>5.</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BB760C" w14:textId="77777777" w:rsidR="00027A72" w:rsidRDefault="00422D30">
            <w:pPr>
              <w:rPr>
                <w:rFonts w:ascii="Arial" w:hAnsi="Arial" w:cs="Arial"/>
                <w:sz w:val="20"/>
                <w:szCs w:val="20"/>
              </w:rPr>
            </w:pPr>
            <w:r>
              <w:t>Cita informācija</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AC997A" w14:textId="77777777" w:rsidR="00027A72" w:rsidRDefault="00422D30">
            <w:pPr>
              <w:ind w:left="57" w:right="113"/>
              <w:rPr>
                <w:spacing w:val="-2"/>
              </w:rPr>
            </w:pPr>
            <w:r>
              <w:rPr>
                <w:spacing w:val="-2"/>
              </w:rPr>
              <w:t>Nav</w:t>
            </w:r>
          </w:p>
        </w:tc>
      </w:tr>
    </w:tbl>
    <w:p w14:paraId="590C7904" w14:textId="77777777" w:rsidR="00027A72" w:rsidRDefault="00027A72">
      <w:pPr>
        <w:jc w:val="both"/>
      </w:pPr>
    </w:p>
    <w:tbl>
      <w:tblPr>
        <w:tblW w:w="10207"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207"/>
      </w:tblGrid>
      <w:tr w:rsidR="00027A72" w14:paraId="543881E9" w14:textId="77777777">
        <w:tc>
          <w:tcPr>
            <w:tcW w:w="102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8B61EC" w14:textId="77777777" w:rsidR="00027A72" w:rsidRDefault="00422D30">
            <w:pPr>
              <w:pStyle w:val="ListParagraph"/>
              <w:tabs>
                <w:tab w:val="left" w:pos="2268"/>
                <w:tab w:val="left" w:pos="2410"/>
              </w:tabs>
              <w:ind w:left="1080"/>
              <w:jc w:val="center"/>
              <w:rPr>
                <w:b/>
                <w:sz w:val="24"/>
                <w:szCs w:val="24"/>
                <w:lang w:eastAsia="en-US"/>
              </w:rPr>
            </w:pPr>
            <w:r>
              <w:rPr>
                <w:b/>
                <w:lang w:eastAsia="en-US"/>
              </w:rPr>
              <w:t>III. Tiesību akta projekta ietekme uz valsts budžetu un pašvaldību budžetiem</w:t>
            </w:r>
          </w:p>
        </w:tc>
      </w:tr>
      <w:tr w:rsidR="00027A72" w14:paraId="29DB3BD5" w14:textId="77777777">
        <w:tc>
          <w:tcPr>
            <w:tcW w:w="102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DCA60F" w14:textId="77777777" w:rsidR="00027A72" w:rsidRDefault="00422D30">
            <w:pPr>
              <w:spacing w:line="276" w:lineRule="auto"/>
              <w:jc w:val="center"/>
              <w:rPr>
                <w:lang w:eastAsia="en-US"/>
              </w:rPr>
            </w:pPr>
            <w:r>
              <w:rPr>
                <w:lang w:eastAsia="en-US"/>
              </w:rPr>
              <w:t>Noteikumu projekts šo jomu neskar.</w:t>
            </w:r>
          </w:p>
        </w:tc>
      </w:tr>
    </w:tbl>
    <w:p w14:paraId="5A931E90" w14:textId="77777777" w:rsidR="00027A72" w:rsidRDefault="00027A72">
      <w:pPr>
        <w:rPr>
          <w:lang w:eastAsia="en-US"/>
        </w:rPr>
      </w:pPr>
    </w:p>
    <w:tbl>
      <w:tblPr>
        <w:tblW w:w="10207"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852"/>
        <w:gridCol w:w="2126"/>
        <w:gridCol w:w="7229"/>
      </w:tblGrid>
      <w:tr w:rsidR="00027A72" w14:paraId="31405A71" w14:textId="77777777">
        <w:trPr>
          <w:trHeight w:val="421"/>
        </w:trPr>
        <w:tc>
          <w:tcPr>
            <w:tcW w:w="10207"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9085F64" w14:textId="77777777" w:rsidR="00027A72" w:rsidRDefault="00422D30">
            <w:pPr>
              <w:ind w:left="57" w:right="57"/>
              <w:jc w:val="center"/>
              <w:rPr>
                <w:rFonts w:eastAsia="Times New Roman"/>
              </w:rPr>
            </w:pPr>
            <w:r>
              <w:rPr>
                <w:rFonts w:eastAsia="Times New Roman"/>
                <w:b/>
              </w:rPr>
              <w:t xml:space="preserve">IV. Tiesību akta projekta ietekme uz spēkā esošo tiesību normu sistēmu </w:t>
            </w:r>
          </w:p>
        </w:tc>
      </w:tr>
      <w:tr w:rsidR="00027A72" w14:paraId="6D4BB513" w14:textId="77777777">
        <w:trPr>
          <w:trHeight w:val="553"/>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CDA7619" w14:textId="77777777" w:rsidR="00027A72" w:rsidRDefault="00422D30">
            <w:pPr>
              <w:ind w:left="57" w:right="57"/>
              <w:jc w:val="both"/>
              <w:rPr>
                <w:bCs/>
              </w:rPr>
            </w:pPr>
            <w:r>
              <w:rPr>
                <w:bCs/>
              </w:rPr>
              <w:t>1.</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F156C7" w14:textId="77777777" w:rsidR="00027A72" w:rsidRDefault="00422D30">
            <w:r>
              <w:t>Nepieciešamie saistītie tiesību aktu projekti</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C9AE4E3" w14:textId="38A9F40F" w:rsidR="00027A72" w:rsidRDefault="00422D30">
            <w:pPr>
              <w:ind w:left="132" w:right="151"/>
              <w:jc w:val="both"/>
              <w:rPr>
                <w:kern w:val="2"/>
              </w:rPr>
            </w:pPr>
            <w:r>
              <w:t xml:space="preserve">MK noteikumu projektu nepieciešams apstiprināt vienlaikus vai pēc grozījumiem Ministru </w:t>
            </w:r>
            <w:r w:rsidR="00AF59F4">
              <w:t>k</w:t>
            </w:r>
            <w:r>
              <w:t>abineta 2016. gada 9. augusta noteikumos Nr. 534</w:t>
            </w:r>
            <w:r>
              <w:rPr>
                <w:i/>
              </w:rPr>
              <w:t xml:space="preserve"> </w:t>
            </w:r>
            <w:r>
              <w:t>"</w:t>
            </w:r>
            <w:r>
              <w:rPr>
                <w:i/>
              </w:rPr>
              <w:t>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w:t>
            </w:r>
            <w:r>
              <w:t xml:space="preserve">" (turpmāk – MK noteikumi Nr. 534). </w:t>
            </w:r>
            <w:r>
              <w:rPr>
                <w:kern w:val="2"/>
              </w:rPr>
              <w:t xml:space="preserve">Tas nepieciešams, ņemot vērā, ka noteikumu projekts paredz finansējuma pārdali no 4.2.1.2. pasākuma uz 4.2.2. SAM. </w:t>
            </w:r>
          </w:p>
        </w:tc>
      </w:tr>
      <w:tr w:rsidR="00027A72" w14:paraId="7423CCEB" w14:textId="77777777">
        <w:trPr>
          <w:trHeight w:val="339"/>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C6E873A" w14:textId="77777777" w:rsidR="00027A72" w:rsidRDefault="00422D30">
            <w:pPr>
              <w:ind w:left="57" w:right="57"/>
              <w:jc w:val="both"/>
              <w:rPr>
                <w:bCs/>
              </w:rPr>
            </w:pPr>
            <w:r>
              <w:rPr>
                <w:bCs/>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7467026" w14:textId="77777777" w:rsidR="00027A72" w:rsidRDefault="00422D30">
            <w:pPr>
              <w:ind w:left="57" w:right="57"/>
            </w:pPr>
            <w:r>
              <w:rPr>
                <w:rFonts w:eastAsia="Times New Roman"/>
              </w:rPr>
              <w:t>Atbildīgā institūcija</w:t>
            </w:r>
            <w:r>
              <w:t xml:space="preserve"> </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4491E7F" w14:textId="77777777" w:rsidR="00027A72" w:rsidRDefault="00422D30">
            <w:pPr>
              <w:ind w:left="132" w:right="113"/>
              <w:jc w:val="both"/>
              <w:rPr>
                <w:kern w:val="2"/>
              </w:rPr>
            </w:pPr>
            <w:r>
              <w:rPr>
                <w:kern w:val="2"/>
              </w:rPr>
              <w:t>Par grozījumiem MK noteikumos Nr. 534 atbildīgā institūcija – Ekonomikas ministrija.</w:t>
            </w:r>
          </w:p>
        </w:tc>
      </w:tr>
      <w:tr w:rsidR="00027A72" w14:paraId="78B7AE4D" w14:textId="77777777">
        <w:trPr>
          <w:trHeight w:val="476"/>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C794AF6" w14:textId="77777777" w:rsidR="00027A72" w:rsidRDefault="00422D30">
            <w:pPr>
              <w:ind w:left="57" w:right="57"/>
              <w:jc w:val="both"/>
              <w:rPr>
                <w:bCs/>
              </w:rPr>
            </w:pPr>
            <w:r>
              <w:rPr>
                <w:bCs/>
              </w:rPr>
              <w:t>3.</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3D6EF2" w14:textId="77777777" w:rsidR="00027A72" w:rsidRDefault="00422D30">
            <w:pPr>
              <w:ind w:left="57" w:right="57"/>
            </w:pPr>
            <w:r>
              <w:t>Cita informācija</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3D620DD" w14:textId="77777777" w:rsidR="00027A72" w:rsidRDefault="00422D30">
            <w:pPr>
              <w:ind w:left="132" w:right="113"/>
              <w:jc w:val="both"/>
            </w:pPr>
            <w:r>
              <w:t>Nav</w:t>
            </w:r>
          </w:p>
        </w:tc>
      </w:tr>
    </w:tbl>
    <w:p w14:paraId="39A6AF18" w14:textId="77777777" w:rsidR="00027A72" w:rsidRDefault="00027A72">
      <w:pPr>
        <w:rPr>
          <w:lang w:eastAsia="en-US"/>
        </w:rPr>
      </w:pPr>
    </w:p>
    <w:p w14:paraId="4A97ED95" w14:textId="77777777" w:rsidR="00027A72" w:rsidRDefault="00027A72">
      <w:pPr>
        <w:rPr>
          <w:lang w:eastAsia="en-US"/>
        </w:rPr>
      </w:pPr>
    </w:p>
    <w:tbl>
      <w:tblPr>
        <w:tblStyle w:val="TableGrid"/>
        <w:tblW w:w="10207" w:type="dxa"/>
        <w:tblInd w:w="-431" w:type="dxa"/>
        <w:tblCellMar>
          <w:left w:w="103" w:type="dxa"/>
        </w:tblCellMar>
        <w:tblLook w:val="04A0" w:firstRow="1" w:lastRow="0" w:firstColumn="1" w:lastColumn="0" w:noHBand="0" w:noVBand="1"/>
      </w:tblPr>
      <w:tblGrid>
        <w:gridCol w:w="10207"/>
      </w:tblGrid>
      <w:tr w:rsidR="00027A72" w14:paraId="3BF82024" w14:textId="77777777">
        <w:trPr>
          <w:trHeight w:val="411"/>
        </w:trPr>
        <w:tc>
          <w:tcPr>
            <w:tcW w:w="10207" w:type="dxa"/>
            <w:shd w:val="clear" w:color="auto" w:fill="auto"/>
            <w:tcMar>
              <w:left w:w="103" w:type="dxa"/>
            </w:tcMar>
            <w:vAlign w:val="center"/>
          </w:tcPr>
          <w:p w14:paraId="41823A01" w14:textId="77777777" w:rsidR="00027A72" w:rsidRDefault="00422D30">
            <w:pPr>
              <w:spacing w:line="276" w:lineRule="auto"/>
              <w:jc w:val="center"/>
              <w:rPr>
                <w:b/>
                <w:lang w:eastAsia="en-US"/>
              </w:rPr>
            </w:pPr>
            <w:r>
              <w:rPr>
                <w:b/>
                <w:lang w:eastAsia="en-US"/>
              </w:rPr>
              <w:t>V. Tiesību akta projekta atbilstība Latvijas Republikas starptautiskajām saistībām</w:t>
            </w:r>
          </w:p>
        </w:tc>
      </w:tr>
      <w:tr w:rsidR="00027A72" w14:paraId="49002B5D" w14:textId="77777777">
        <w:trPr>
          <w:trHeight w:val="395"/>
        </w:trPr>
        <w:tc>
          <w:tcPr>
            <w:tcW w:w="10207" w:type="dxa"/>
            <w:shd w:val="clear" w:color="auto" w:fill="auto"/>
            <w:tcMar>
              <w:left w:w="103" w:type="dxa"/>
            </w:tcMar>
            <w:vAlign w:val="center"/>
          </w:tcPr>
          <w:p w14:paraId="38F5CE82" w14:textId="77777777" w:rsidR="00027A72" w:rsidRDefault="00422D30">
            <w:pPr>
              <w:spacing w:line="276" w:lineRule="auto"/>
              <w:jc w:val="center"/>
              <w:rPr>
                <w:lang w:eastAsia="en-US"/>
              </w:rPr>
            </w:pPr>
            <w:r>
              <w:rPr>
                <w:lang w:eastAsia="en-US"/>
              </w:rPr>
              <w:t>Noteikumu projekts šo jomu neskar.</w:t>
            </w:r>
          </w:p>
        </w:tc>
      </w:tr>
    </w:tbl>
    <w:p w14:paraId="268C7C55" w14:textId="77777777" w:rsidR="00027A72" w:rsidRDefault="00027A72">
      <w:pPr>
        <w:rPr>
          <w:lang w:eastAsia="en-US"/>
        </w:rPr>
      </w:pPr>
    </w:p>
    <w:tbl>
      <w:tblPr>
        <w:tblW w:w="10207"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852"/>
        <w:gridCol w:w="2608"/>
        <w:gridCol w:w="6747"/>
      </w:tblGrid>
      <w:tr w:rsidR="00027A72" w14:paraId="3D079BBE" w14:textId="77777777">
        <w:trPr>
          <w:trHeight w:val="421"/>
        </w:trPr>
        <w:tc>
          <w:tcPr>
            <w:tcW w:w="10207"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68A91C8" w14:textId="77777777" w:rsidR="00027A72" w:rsidRDefault="00422D30">
            <w:pPr>
              <w:pStyle w:val="naisnod"/>
              <w:spacing w:before="280" w:beforeAutospacing="0" w:after="280" w:afterAutospacing="0"/>
              <w:ind w:left="57" w:right="57"/>
              <w:jc w:val="center"/>
            </w:pPr>
            <w:r>
              <w:rPr>
                <w:b/>
              </w:rPr>
              <w:t>VI. Sabiedrības līdzdalība un komunikācijas aktivitātes</w:t>
            </w:r>
          </w:p>
        </w:tc>
      </w:tr>
      <w:tr w:rsidR="00027A72" w14:paraId="51FCA87E" w14:textId="77777777">
        <w:trPr>
          <w:trHeight w:val="553"/>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EEAC0D" w14:textId="77777777" w:rsidR="00027A72" w:rsidRDefault="00422D30">
            <w:pPr>
              <w:ind w:left="57" w:right="57"/>
              <w:jc w:val="center"/>
              <w:rPr>
                <w:bCs/>
              </w:rPr>
            </w:pPr>
            <w:r>
              <w:rPr>
                <w:bCs/>
              </w:rPr>
              <w:t>1.</w:t>
            </w:r>
          </w:p>
        </w:tc>
        <w:tc>
          <w:tcPr>
            <w:tcW w:w="260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4B5B5E" w14:textId="77777777" w:rsidR="00027A72" w:rsidRDefault="00422D30">
            <w:pPr>
              <w:tabs>
                <w:tab w:val="left" w:pos="170"/>
              </w:tabs>
              <w:ind w:left="57" w:right="57"/>
            </w:pPr>
            <w:r>
              <w:t>Plānotās sabiedrības līdzdalības un komunikācijas aktivitātes saistībā ar projektu</w:t>
            </w:r>
          </w:p>
        </w:tc>
        <w:tc>
          <w:tcPr>
            <w:tcW w:w="674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7FD0D86" w14:textId="77777777" w:rsidR="00027A72" w:rsidRDefault="00422D30">
            <w:pPr>
              <w:ind w:left="57" w:right="113"/>
              <w:jc w:val="both"/>
            </w:pPr>
            <w:r>
              <w:t xml:space="preserve">4.2.2. SAM projektu īstenotāji ir pašvaldības, savukārt sabiedrību noteikumu projekts skar tikai pastarpināti, līdz ar to noteikumu projekts netika publicēts VARAM tīmekļvietnē. Vienlaikus jāņem vērā, ka noteikumu projekts izstrādāts, ņemot vērā nepieciešamību nekavējoties </w:t>
            </w:r>
            <w:r>
              <w:rPr>
                <w:rFonts w:eastAsia="Times New Roman"/>
                <w:color w:val="000000" w:themeColor="text1"/>
              </w:rPr>
              <w:t>palīdzēt pašvaldībām mazināt ar valstī izsludināto ārkārtējo situāciju saistīto negatīvo ietekmi uz tautsaimniecību un veicināt ekonomikas straujāku atgūšanos no COVID-19 izraisītās krīzes.</w:t>
            </w:r>
          </w:p>
        </w:tc>
      </w:tr>
      <w:tr w:rsidR="00027A72" w14:paraId="384A8527" w14:textId="77777777">
        <w:trPr>
          <w:trHeight w:val="339"/>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D8C94E" w14:textId="77777777" w:rsidR="00027A72" w:rsidRDefault="00422D30">
            <w:pPr>
              <w:ind w:left="57" w:right="57"/>
              <w:jc w:val="center"/>
              <w:rPr>
                <w:bCs/>
              </w:rPr>
            </w:pPr>
            <w:r>
              <w:rPr>
                <w:bCs/>
              </w:rPr>
              <w:t>2.</w:t>
            </w:r>
          </w:p>
        </w:tc>
        <w:tc>
          <w:tcPr>
            <w:tcW w:w="260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BAFA5E0" w14:textId="77777777" w:rsidR="00027A72" w:rsidRDefault="00422D30">
            <w:pPr>
              <w:ind w:left="57" w:right="57"/>
            </w:pPr>
            <w:r>
              <w:t>Sabiedrības līdzdalība projekta izstrādē</w:t>
            </w:r>
          </w:p>
        </w:tc>
        <w:tc>
          <w:tcPr>
            <w:tcW w:w="674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C7B7BD5" w14:textId="77777777" w:rsidR="00027A72" w:rsidRDefault="00422D30">
            <w:pPr>
              <w:shd w:val="clear" w:color="auto" w:fill="FFFFFF"/>
              <w:ind w:left="57" w:right="113"/>
              <w:jc w:val="both"/>
              <w:rPr>
                <w:kern w:val="2"/>
              </w:rPr>
            </w:pPr>
            <w:r>
              <w:t>Noteikumu projekta izstrādes gaitā analizēti nevalstisko organizāciju priekšlikumi efektīvākai COVID-19 krīzes ietekmes mazināšanai.</w:t>
            </w:r>
          </w:p>
        </w:tc>
      </w:tr>
      <w:tr w:rsidR="00027A72" w14:paraId="46DDD9CF" w14:textId="77777777">
        <w:trPr>
          <w:trHeight w:val="476"/>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DE2FCCA" w14:textId="77777777" w:rsidR="00027A72" w:rsidRDefault="00422D30">
            <w:pPr>
              <w:ind w:left="57" w:right="57"/>
              <w:jc w:val="center"/>
              <w:rPr>
                <w:bCs/>
              </w:rPr>
            </w:pPr>
            <w:r>
              <w:rPr>
                <w:bCs/>
              </w:rPr>
              <w:t>3.</w:t>
            </w:r>
          </w:p>
        </w:tc>
        <w:tc>
          <w:tcPr>
            <w:tcW w:w="260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808A022" w14:textId="77777777" w:rsidR="00027A72" w:rsidRDefault="00422D30">
            <w:pPr>
              <w:ind w:left="57" w:right="57"/>
            </w:pPr>
            <w:r>
              <w:t>Sabiedrības līdzdalības rezultāti</w:t>
            </w:r>
          </w:p>
        </w:tc>
        <w:tc>
          <w:tcPr>
            <w:tcW w:w="674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DF40E84" w14:textId="77777777" w:rsidR="00027A72" w:rsidRDefault="00422D30">
            <w:pPr>
              <w:shd w:val="clear" w:color="auto" w:fill="FFFFFF"/>
              <w:ind w:right="113"/>
              <w:jc w:val="both"/>
            </w:pPr>
            <w:r>
              <w:t xml:space="preserve"> Ņemts vērā Latvijas Darba Devēju Konfederācijas priekšlikums </w:t>
            </w:r>
            <w:r>
              <w:rPr>
                <w:szCs w:val="20"/>
              </w:rPr>
              <w:t>prioritāri atbalstīt pašvaldību iestādes (skolas, bērnudārzi u.c.) un valsts un pašvaldību kapitālsabiedrības, izslēdzot pašvaldību administratīvās ēkas.</w:t>
            </w:r>
          </w:p>
        </w:tc>
      </w:tr>
      <w:tr w:rsidR="00027A72" w14:paraId="5BB44A27" w14:textId="77777777">
        <w:trPr>
          <w:trHeight w:val="357"/>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7F9BDC7" w14:textId="77777777" w:rsidR="00027A72" w:rsidRDefault="00422D30">
            <w:pPr>
              <w:ind w:left="57" w:right="57"/>
              <w:jc w:val="center"/>
              <w:rPr>
                <w:bCs/>
              </w:rPr>
            </w:pPr>
            <w:r>
              <w:rPr>
                <w:bCs/>
              </w:rPr>
              <w:t>4.</w:t>
            </w:r>
          </w:p>
        </w:tc>
        <w:tc>
          <w:tcPr>
            <w:tcW w:w="260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2F2647E" w14:textId="77777777" w:rsidR="00027A72" w:rsidRDefault="00422D30">
            <w:pPr>
              <w:ind w:left="57" w:right="57"/>
            </w:pPr>
            <w:r>
              <w:t>Cita informācija</w:t>
            </w:r>
          </w:p>
        </w:tc>
        <w:tc>
          <w:tcPr>
            <w:tcW w:w="674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8061083" w14:textId="77777777" w:rsidR="00027A72" w:rsidRDefault="00422D30">
            <w:pPr>
              <w:ind w:left="57" w:right="113"/>
              <w:jc w:val="both"/>
            </w:pPr>
            <w:r>
              <w:t>Nav</w:t>
            </w:r>
          </w:p>
        </w:tc>
      </w:tr>
    </w:tbl>
    <w:p w14:paraId="2E8DAED5" w14:textId="77777777" w:rsidR="00027A72" w:rsidRDefault="00027A72">
      <w:pPr>
        <w:spacing w:after="200" w:line="276" w:lineRule="auto"/>
        <w:rPr>
          <w:sz w:val="8"/>
        </w:rPr>
      </w:pPr>
    </w:p>
    <w:p w14:paraId="0C78F41A" w14:textId="77777777" w:rsidR="00027A72" w:rsidRDefault="00027A72">
      <w:pPr>
        <w:spacing w:after="200" w:line="276" w:lineRule="auto"/>
        <w:rPr>
          <w:sz w:val="8"/>
        </w:rPr>
      </w:pPr>
    </w:p>
    <w:tbl>
      <w:tblPr>
        <w:tblW w:w="10207"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852"/>
        <w:gridCol w:w="2613"/>
        <w:gridCol w:w="6742"/>
      </w:tblGrid>
      <w:tr w:rsidR="00027A72" w14:paraId="0CF0D83C" w14:textId="77777777">
        <w:trPr>
          <w:trHeight w:val="421"/>
        </w:trPr>
        <w:tc>
          <w:tcPr>
            <w:tcW w:w="10207"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739514E" w14:textId="77777777" w:rsidR="00027A72" w:rsidRDefault="00422D30">
            <w:pPr>
              <w:pStyle w:val="naisnod"/>
              <w:spacing w:before="280" w:beforeAutospacing="0" w:after="280" w:afterAutospacing="0"/>
              <w:ind w:left="57" w:right="57"/>
              <w:jc w:val="center"/>
            </w:pPr>
            <w:r>
              <w:rPr>
                <w:b/>
              </w:rPr>
              <w:lastRenderedPageBreak/>
              <w:t>VII. Tiesību akta projekta izpildes nodrošināšana un tās ietekme uz institūcijām</w:t>
            </w:r>
          </w:p>
        </w:tc>
      </w:tr>
      <w:tr w:rsidR="00027A72" w14:paraId="2725C20B" w14:textId="77777777">
        <w:trPr>
          <w:trHeight w:val="553"/>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EA4206F" w14:textId="77777777" w:rsidR="00027A72" w:rsidRDefault="00422D30">
            <w:pPr>
              <w:ind w:left="57" w:right="57"/>
              <w:jc w:val="center"/>
              <w:rPr>
                <w:bCs/>
              </w:rPr>
            </w:pPr>
            <w:r>
              <w:rPr>
                <w:bCs/>
              </w:rPr>
              <w:t>1.</w:t>
            </w:r>
          </w:p>
        </w:tc>
        <w:tc>
          <w:tcPr>
            <w:tcW w:w="261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97D035D" w14:textId="77777777" w:rsidR="00027A72" w:rsidRDefault="00422D30">
            <w:pPr>
              <w:ind w:left="57" w:right="57"/>
            </w:pPr>
            <w:r>
              <w:t>Projekta izpildē iesaistītās institūcijas</w:t>
            </w:r>
          </w:p>
        </w:tc>
        <w:tc>
          <w:tcPr>
            <w:tcW w:w="674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BF6D3BC" w14:textId="77777777" w:rsidR="00027A72" w:rsidRDefault="00422D30">
            <w:pPr>
              <w:shd w:val="clear" w:color="auto" w:fill="FFFFFF" w:themeFill="background1"/>
              <w:ind w:left="57" w:right="113"/>
              <w:jc w:val="both"/>
            </w:pPr>
            <w:r>
              <w:t>VARAM, 4.2.2. SAM ceturtās atlases kārtas finansējuma saņēmēji un CFLA.</w:t>
            </w:r>
          </w:p>
        </w:tc>
      </w:tr>
      <w:tr w:rsidR="00027A72" w14:paraId="3EA2BD40" w14:textId="77777777">
        <w:trPr>
          <w:trHeight w:val="339"/>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E91E54D" w14:textId="77777777" w:rsidR="00027A72" w:rsidRDefault="00422D30">
            <w:pPr>
              <w:ind w:left="57" w:right="57"/>
              <w:jc w:val="center"/>
              <w:rPr>
                <w:bCs/>
              </w:rPr>
            </w:pPr>
            <w:r>
              <w:rPr>
                <w:bCs/>
              </w:rPr>
              <w:t>2.</w:t>
            </w:r>
          </w:p>
        </w:tc>
        <w:tc>
          <w:tcPr>
            <w:tcW w:w="261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E16BBD9" w14:textId="77777777" w:rsidR="00027A72" w:rsidRDefault="00422D30">
            <w:pPr>
              <w:ind w:left="57" w:right="57"/>
            </w:pPr>
            <w:r>
              <w:t xml:space="preserve">Projekta izpildes ietekme uz pārvaldes funkcijām un institucionālo struktūru. </w:t>
            </w:r>
          </w:p>
          <w:p w14:paraId="79315DDA" w14:textId="77777777" w:rsidR="00027A72" w:rsidRDefault="00422D30">
            <w:pPr>
              <w:ind w:left="57" w:right="57"/>
            </w:pPr>
            <w:r>
              <w:t>Jaunu institūciju izveide, esošu institūciju likvidācija vai reorganizācija, to ietekme uz institūcijas cilvēkresursiem</w:t>
            </w:r>
          </w:p>
        </w:tc>
        <w:tc>
          <w:tcPr>
            <w:tcW w:w="674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EA754B" w14:textId="77777777" w:rsidR="00027A72" w:rsidRDefault="00422D30">
            <w:pPr>
              <w:shd w:val="clear" w:color="auto" w:fill="FFFFFF"/>
              <w:ind w:left="57" w:right="113"/>
              <w:jc w:val="both"/>
              <w:rPr>
                <w:kern w:val="2"/>
              </w:rPr>
            </w:pPr>
            <w:r>
              <w:rPr>
                <w:spacing w:val="-4"/>
              </w:rPr>
              <w:t xml:space="preserve">Noteikumu </w:t>
            </w:r>
            <w:r>
              <w:rPr>
                <w:bCs/>
                <w:iCs/>
              </w:rPr>
              <w:t>projekta īstenošana tiks veikta esošo cilvēkresursu ietvaros. Saistībā ar noteikumu projekta izpildi nebūs nepieciešams veidot jaunas institūcijas vai likvidēt, reorganizēt esošās.</w:t>
            </w:r>
          </w:p>
        </w:tc>
      </w:tr>
      <w:tr w:rsidR="00027A72" w14:paraId="26F0E9E3" w14:textId="77777777">
        <w:trPr>
          <w:trHeight w:val="351"/>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431599" w14:textId="77777777" w:rsidR="00027A72" w:rsidRDefault="00422D30">
            <w:pPr>
              <w:ind w:left="57" w:right="57"/>
              <w:jc w:val="center"/>
              <w:rPr>
                <w:bCs/>
              </w:rPr>
            </w:pPr>
            <w:r>
              <w:rPr>
                <w:bCs/>
              </w:rPr>
              <w:t>3.</w:t>
            </w:r>
          </w:p>
        </w:tc>
        <w:tc>
          <w:tcPr>
            <w:tcW w:w="261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CA03DCA" w14:textId="77777777" w:rsidR="00027A72" w:rsidRDefault="00422D30">
            <w:pPr>
              <w:ind w:left="57" w:right="57"/>
            </w:pPr>
            <w:r>
              <w:t>Cita informācija</w:t>
            </w:r>
          </w:p>
        </w:tc>
        <w:tc>
          <w:tcPr>
            <w:tcW w:w="674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6F327E" w14:textId="77777777" w:rsidR="00027A72" w:rsidRDefault="00422D30">
            <w:pPr>
              <w:shd w:val="clear" w:color="auto" w:fill="FFFFFF"/>
              <w:ind w:left="57" w:right="113"/>
              <w:jc w:val="both"/>
            </w:pPr>
            <w:r>
              <w:t>Nav</w:t>
            </w:r>
          </w:p>
        </w:tc>
      </w:tr>
    </w:tbl>
    <w:p w14:paraId="03496257" w14:textId="77777777" w:rsidR="00027A72" w:rsidRDefault="00027A72">
      <w:pPr>
        <w:pStyle w:val="Header"/>
        <w:rPr>
          <w:szCs w:val="20"/>
          <w:lang w:val="lv-LV"/>
        </w:rPr>
      </w:pPr>
    </w:p>
    <w:p w14:paraId="314E51EA" w14:textId="77777777" w:rsidR="00027A72" w:rsidRDefault="00027A72">
      <w:pPr>
        <w:pStyle w:val="Header"/>
        <w:rPr>
          <w:lang w:val="lv-LV"/>
        </w:rPr>
      </w:pPr>
    </w:p>
    <w:p w14:paraId="24A93B3B" w14:textId="77777777" w:rsidR="00027A72" w:rsidRDefault="00422D30">
      <w:pPr>
        <w:pStyle w:val="Header"/>
        <w:rPr>
          <w:lang w:val="lv-LV"/>
        </w:rPr>
      </w:pPr>
      <w:r>
        <w:rPr>
          <w:lang w:val="lv-LV"/>
        </w:rPr>
        <w:t xml:space="preserve">Vides aizsardzības un reģionālās attīstības ministrs                                                </w:t>
      </w:r>
      <w:r>
        <w:rPr>
          <w:szCs w:val="20"/>
          <w:lang w:val="lv-LV"/>
        </w:rPr>
        <w:tab/>
      </w:r>
      <w:r>
        <w:rPr>
          <w:lang w:val="lv-LV"/>
        </w:rPr>
        <w:t>J. Pūce</w:t>
      </w:r>
    </w:p>
    <w:p w14:paraId="0B51F9EA" w14:textId="77777777" w:rsidR="00027A72" w:rsidRDefault="00027A72">
      <w:pPr>
        <w:pStyle w:val="Header"/>
        <w:rPr>
          <w:szCs w:val="20"/>
          <w:lang w:val="lv-LV"/>
        </w:rPr>
      </w:pPr>
    </w:p>
    <w:p w14:paraId="62ED3151" w14:textId="77777777" w:rsidR="00027A72" w:rsidRDefault="00027A72">
      <w:pPr>
        <w:rPr>
          <w:color w:val="000000"/>
          <w:sz w:val="20"/>
          <w:szCs w:val="20"/>
        </w:rPr>
      </w:pPr>
    </w:p>
    <w:p w14:paraId="4089C9D1" w14:textId="77777777" w:rsidR="00027A72" w:rsidRDefault="00422D30">
      <w:pPr>
        <w:rPr>
          <w:color w:val="000000"/>
          <w:sz w:val="20"/>
          <w:szCs w:val="20"/>
        </w:rPr>
      </w:pPr>
      <w:proofErr w:type="spellStart"/>
      <w:r>
        <w:rPr>
          <w:color w:val="000000" w:themeColor="text1"/>
          <w:sz w:val="20"/>
          <w:szCs w:val="20"/>
        </w:rPr>
        <w:t>K.Raubiškis</w:t>
      </w:r>
      <w:proofErr w:type="spellEnd"/>
      <w:r>
        <w:rPr>
          <w:color w:val="000000" w:themeColor="text1"/>
          <w:sz w:val="20"/>
          <w:szCs w:val="20"/>
        </w:rPr>
        <w:t>, 66016717</w:t>
      </w:r>
    </w:p>
    <w:p w14:paraId="01102528" w14:textId="77777777" w:rsidR="00027A72" w:rsidRDefault="00422D30">
      <w:r>
        <w:rPr>
          <w:sz w:val="20"/>
          <w:szCs w:val="20"/>
        </w:rPr>
        <w:t>kaspars.raubiskis@varam.gov.lv</w:t>
      </w:r>
    </w:p>
    <w:sectPr w:rsidR="00027A72">
      <w:headerReference w:type="default" r:id="rId8"/>
      <w:footerReference w:type="default" r:id="rId9"/>
      <w:headerReference w:type="first" r:id="rId10"/>
      <w:footerReference w:type="first" r:id="rId11"/>
      <w:pgSz w:w="11906" w:h="16838"/>
      <w:pgMar w:top="1134" w:right="1134" w:bottom="993" w:left="1701" w:header="709" w:footer="36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980F5" w14:textId="77777777" w:rsidR="00422D30" w:rsidRDefault="00422D30">
      <w:r>
        <w:separator/>
      </w:r>
    </w:p>
  </w:endnote>
  <w:endnote w:type="continuationSeparator" w:id="0">
    <w:p w14:paraId="6CAE8B1D" w14:textId="77777777" w:rsidR="00422D30" w:rsidRDefault="00422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ABED9" w14:textId="6B04BC76" w:rsidR="00027A72" w:rsidRDefault="00422D30">
    <w:pPr>
      <w:pStyle w:val="BodyText2"/>
      <w:spacing w:line="240" w:lineRule="auto"/>
      <w:jc w:val="both"/>
      <w:rPr>
        <w:b w:val="0"/>
        <w:bCs w:val="0"/>
        <w:sz w:val="20"/>
        <w:szCs w:val="20"/>
        <w:lang w:val="lv-LV"/>
      </w:rPr>
    </w:pPr>
    <w:r>
      <w:rPr>
        <w:b w:val="0"/>
        <w:sz w:val="20"/>
        <w:szCs w:val="20"/>
        <w:lang w:val="lv-LV" w:eastAsia="lv-LV"/>
      </w:rPr>
      <w:t>VARAMAnot_0</w:t>
    </w:r>
    <w:r w:rsidR="00600BA0">
      <w:rPr>
        <w:b w:val="0"/>
        <w:sz w:val="20"/>
        <w:szCs w:val="20"/>
        <w:lang w:val="lv-LV" w:eastAsia="lv-LV"/>
      </w:rPr>
      <w:t>8</w:t>
    </w:r>
    <w:r>
      <w:rPr>
        <w:b w:val="0"/>
        <w:sz w:val="20"/>
        <w:szCs w:val="20"/>
        <w:lang w:val="lv-LV" w:eastAsia="lv-LV"/>
      </w:rPr>
      <w:t>0720_groz152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DBDE4" w14:textId="2FBEF2FB" w:rsidR="00027A72" w:rsidRDefault="00422D30">
    <w:pPr>
      <w:pStyle w:val="BodyText2"/>
      <w:spacing w:line="240" w:lineRule="auto"/>
      <w:jc w:val="both"/>
      <w:rPr>
        <w:b w:val="0"/>
        <w:bCs w:val="0"/>
        <w:sz w:val="20"/>
        <w:szCs w:val="20"/>
        <w:lang w:val="lv-LV"/>
      </w:rPr>
    </w:pPr>
    <w:r>
      <w:rPr>
        <w:b w:val="0"/>
        <w:sz w:val="20"/>
        <w:szCs w:val="20"/>
        <w:lang w:val="lv-LV" w:eastAsia="lv-LV"/>
      </w:rPr>
      <w:t>VARAMAnot_0</w:t>
    </w:r>
    <w:r w:rsidR="00600BA0">
      <w:rPr>
        <w:b w:val="0"/>
        <w:sz w:val="20"/>
        <w:szCs w:val="20"/>
        <w:lang w:val="lv-LV" w:eastAsia="lv-LV"/>
      </w:rPr>
      <w:t>8</w:t>
    </w:r>
    <w:r>
      <w:rPr>
        <w:b w:val="0"/>
        <w:sz w:val="20"/>
        <w:szCs w:val="20"/>
        <w:lang w:val="lv-LV" w:eastAsia="lv-LV"/>
      </w:rPr>
      <w:t>0720_groz152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54E06" w14:textId="77777777" w:rsidR="00422D30" w:rsidRDefault="00422D30">
      <w:r>
        <w:separator/>
      </w:r>
    </w:p>
  </w:footnote>
  <w:footnote w:type="continuationSeparator" w:id="0">
    <w:p w14:paraId="5573EFE0" w14:textId="77777777" w:rsidR="00422D30" w:rsidRDefault="00422D30">
      <w:r>
        <w:continuationSeparator/>
      </w:r>
    </w:p>
  </w:footnote>
  <w:footnote w:id="1">
    <w:p w14:paraId="3E3D9B05" w14:textId="25B3BFD5" w:rsidR="00027A72" w:rsidRDefault="00422D30">
      <w:pPr>
        <w:pStyle w:val="FootnoteText"/>
        <w:jc w:val="both"/>
      </w:pPr>
      <w:r>
        <w:rPr>
          <w:rStyle w:val="FootnoteReference"/>
        </w:rPr>
        <w:footnoteRef/>
      </w:r>
      <w:r w:rsidR="00600F56">
        <w:rPr>
          <w:rStyle w:val="FootnoteReference"/>
        </w:rPr>
        <w:t xml:space="preserve"> </w:t>
      </w:r>
      <w:r>
        <w:t>Ministru kabineta 2020. gada 12. marta rīkojums Nr. 103 "Par ārkārtējās situācijas izsludināšanu".</w:t>
      </w:r>
    </w:p>
  </w:footnote>
  <w:footnote w:id="2">
    <w:p w14:paraId="5C70E7AE" w14:textId="6E28249C" w:rsidR="00027A72" w:rsidRDefault="00422D30">
      <w:pPr>
        <w:pStyle w:val="FootnoteText"/>
        <w:jc w:val="both"/>
      </w:pPr>
      <w:r>
        <w:rPr>
          <w:rStyle w:val="FootnoteReference"/>
        </w:rPr>
        <w:footnoteRef/>
      </w:r>
      <w:r w:rsidR="00600F56">
        <w:t xml:space="preserve"> </w:t>
      </w:r>
      <w:r>
        <w:t xml:space="preserve">Pieņemts, ka no kopējā finansējuma atalgojumam tiks novirzīti vidēji 30% no kopējām izmaksām, savukārt uz vienu darbavietu energoefektivitātes uzlabošanas projektos vidēji tiek novirzīti 6800 </w:t>
      </w:r>
      <w:proofErr w:type="spellStart"/>
      <w:r>
        <w:rPr>
          <w:i/>
          <w:iCs/>
        </w:rPr>
        <w:t>euro</w:t>
      </w:r>
      <w:proofErr w:type="spellEnd"/>
      <w:r>
        <w:t xml:space="preserve"> (7500000/85*100*0,3/6800 = 389 darbavietas).</w:t>
      </w:r>
    </w:p>
  </w:footnote>
  <w:footnote w:id="3">
    <w:p w14:paraId="7274E862" w14:textId="1511607F" w:rsidR="00027A72" w:rsidRDefault="00422D30">
      <w:pPr>
        <w:pStyle w:val="FootnoteText"/>
      </w:pPr>
      <w:r>
        <w:rPr>
          <w:rStyle w:val="FootnoteReference"/>
        </w:rPr>
        <w:footnoteRef/>
      </w:r>
      <w:r>
        <w:t xml:space="preserve"> Kohēzijas politikas vadības informācijas sistēmas dati uz 2020. gada 29. jūniju.</w:t>
      </w:r>
    </w:p>
  </w:footnote>
  <w:footnote w:id="4">
    <w:p w14:paraId="0A03E034" w14:textId="56AFAA4C" w:rsidR="00027A72" w:rsidRDefault="00422D30">
      <w:pPr>
        <w:pStyle w:val="FootnoteText"/>
        <w:jc w:val="both"/>
      </w:pPr>
      <w:r>
        <w:rPr>
          <w:rStyle w:val="FootnoteReference"/>
        </w:rPr>
        <w:footnoteRef/>
      </w:r>
      <w:r>
        <w:rPr>
          <w:rStyle w:val="FootnoteReference"/>
        </w:rPr>
        <w:t xml:space="preserve"> </w:t>
      </w:r>
      <w:r>
        <w:t>4.2.2. SAM projektu iesniegumu atlasē neiesniegto, atsaukto, pārtraukto un noraidīto projektu finansējums, kas novirzīts 4.2.2. SAM projektu atlases 3.kārtas īstenošanai saskaņā ar 2016. gada 8. marta MK noteikumu Nr. 152 2020. gada 14. aprīļa grozījumiem.</w:t>
      </w:r>
    </w:p>
  </w:footnote>
  <w:footnote w:id="5">
    <w:p w14:paraId="51BCF43F" w14:textId="2C250E5C" w:rsidR="00027A72" w:rsidRDefault="00422D30">
      <w:pPr>
        <w:pStyle w:val="FootnoteText"/>
        <w:jc w:val="both"/>
      </w:pPr>
      <w:r>
        <w:rPr>
          <w:rStyle w:val="FootnoteReference"/>
        </w:rPr>
        <w:footnoteRef/>
      </w:r>
      <w:r>
        <w:t xml:space="preserve"> </w:t>
      </w:r>
      <w:bookmarkStart w:id="0" w:name="_GoBack"/>
      <w:bookmarkEnd w:id="0"/>
      <w:r>
        <w:rPr>
          <w:rFonts w:eastAsia="Times New Roman"/>
          <w:color w:val="000000"/>
          <w:lang w:eastAsia="en-GB"/>
        </w:rPr>
        <w:t>Projektos plānotie rādītāji, kurus plānots sasniegt līdz 2023. gada 31. decembrim (visi projekti, par kuru īstenošanu noslēgta vienošanās, neskaitot jau pabeigtos projektus)</w:t>
      </w:r>
    </w:p>
  </w:footnote>
  <w:footnote w:id="6">
    <w:p w14:paraId="58F2E80E" w14:textId="4B7C4141" w:rsidR="00027A72" w:rsidRDefault="00422D30">
      <w:pPr>
        <w:pStyle w:val="FootnoteText"/>
        <w:jc w:val="both"/>
      </w:pPr>
      <w:r>
        <w:rPr>
          <w:rStyle w:val="FootnoteReference"/>
        </w:rPr>
        <w:footnoteRef/>
      </w:r>
      <w:r>
        <w:t xml:space="preserve"> </w:t>
      </w:r>
      <w:r>
        <w:rPr>
          <w:rFonts w:eastAsia="Times New Roman"/>
          <w:color w:val="000000"/>
          <w:lang w:eastAsia="en-GB"/>
        </w:rPr>
        <w:t>Primārās enerģijas gada patēriņa samazinājums sabiedriskajās ēkās, kilovatstundas gadā</w:t>
      </w:r>
    </w:p>
  </w:footnote>
  <w:footnote w:id="7">
    <w:p w14:paraId="79BD52C0" w14:textId="4AF8C6F1" w:rsidR="00027A72" w:rsidRDefault="00422D30">
      <w:pPr>
        <w:pStyle w:val="FootnoteText"/>
        <w:jc w:val="both"/>
      </w:pPr>
      <w:r>
        <w:rPr>
          <w:rStyle w:val="FootnoteReference"/>
        </w:rPr>
        <w:footnoteRef/>
      </w:r>
      <w:r w:rsidR="00600BA0">
        <w:t xml:space="preserve"> </w:t>
      </w:r>
      <w:r>
        <w:rPr>
          <w:rFonts w:eastAsia="Times New Roman"/>
          <w:color w:val="000000"/>
          <w:lang w:eastAsia="en-GB"/>
        </w:rPr>
        <w:t>Aprēķinātais siltumnīcefekta gāzu samazinājums gadā, ogļskābās gāzes ekvivalenta tonnas</w:t>
      </w:r>
    </w:p>
  </w:footnote>
  <w:footnote w:id="8">
    <w:p w14:paraId="6F1C7EA4" w14:textId="44F4FAD2" w:rsidR="00027A72" w:rsidRDefault="00422D30">
      <w:pPr>
        <w:pStyle w:val="FootnoteText"/>
      </w:pPr>
      <w:r>
        <w:rPr>
          <w:rStyle w:val="FootnoteReference"/>
        </w:rPr>
        <w:footnoteRef/>
      </w:r>
      <w:r>
        <w:t xml:space="preserve"> </w:t>
      </w:r>
      <w:r>
        <w:rPr>
          <w:rFonts w:eastAsia="Times New Roman"/>
          <w:color w:val="000000"/>
          <w:lang w:eastAsia="en-GB"/>
        </w:rPr>
        <w:t xml:space="preserve">No atjaunojamiem energoresursiem ražotā </w:t>
      </w:r>
      <w:proofErr w:type="spellStart"/>
      <w:r>
        <w:rPr>
          <w:rFonts w:eastAsia="Times New Roman"/>
          <w:color w:val="000000"/>
          <w:lang w:eastAsia="en-GB"/>
        </w:rPr>
        <w:t>papildjauda</w:t>
      </w:r>
      <w:proofErr w:type="spellEnd"/>
      <w:r>
        <w:rPr>
          <w:rFonts w:eastAsia="Times New Roman"/>
          <w:color w:val="000000"/>
          <w:lang w:eastAsia="en-GB"/>
        </w:rPr>
        <w:t>, megavati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00BC" w14:textId="77777777" w:rsidR="00027A72" w:rsidRDefault="00422D30">
    <w:pPr>
      <w:pStyle w:val="Header"/>
    </w:pPr>
    <w:r>
      <w:rPr>
        <w:noProof/>
        <w:lang w:val="lv-LV"/>
      </w:rPr>
      <mc:AlternateContent>
        <mc:Choice Requires="wps">
          <w:drawing>
            <wp:anchor distT="0" distB="0" distL="0" distR="0" simplePos="0" relativeHeight="7" behindDoc="1" locked="0" layoutInCell="1" allowOverlap="1" wp14:anchorId="6CAC4312" wp14:editId="2795F0A4">
              <wp:simplePos x="0" y="0"/>
              <wp:positionH relativeFrom="margin">
                <wp:align>center</wp:align>
              </wp:positionH>
              <wp:positionV relativeFrom="paragraph">
                <wp:posOffset>635</wp:posOffset>
              </wp:positionV>
              <wp:extent cx="77470" cy="174625"/>
              <wp:effectExtent l="0" t="0" r="0" b="0"/>
              <wp:wrapSquare wrapText="largest"/>
              <wp:docPr id="1" name="Ietvars1"/>
              <wp:cNvGraphicFramePr/>
              <a:graphic xmlns:a="http://schemas.openxmlformats.org/drawingml/2006/main">
                <a:graphicData uri="http://schemas.microsoft.com/office/word/2010/wordprocessingShape">
                  <wps:wsp>
                    <wps:cNvSpPr/>
                    <wps:spPr>
                      <a:xfrm>
                        <a:off x="0" y="0"/>
                        <a:ext cx="7668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530B2AC8" w14:textId="77777777" w:rsidR="00027A72" w:rsidRDefault="00422D30">
                          <w:pPr>
                            <w:pStyle w:val="Header"/>
                          </w:pPr>
                          <w:r>
                            <w:fldChar w:fldCharType="begin"/>
                          </w:r>
                          <w:r>
                            <w:instrText>PAGE</w:instrText>
                          </w:r>
                          <w:r>
                            <w:fldChar w:fldCharType="separate"/>
                          </w:r>
                          <w:r w:rsidR="00600F56">
                            <w:rPr>
                              <w:noProof/>
                            </w:rPr>
                            <w:t>3</w:t>
                          </w:r>
                          <w:r>
                            <w:fldChar w:fldCharType="end"/>
                          </w:r>
                        </w:p>
                      </w:txbxContent>
                    </wps:txbx>
                    <wps:bodyPr lIns="0" tIns="0" rIns="0" bIns="0">
                      <a:spAutoFit/>
                    </wps:bodyPr>
                  </wps:wsp>
                </a:graphicData>
              </a:graphic>
            </wp:anchor>
          </w:drawing>
        </mc:Choice>
        <mc:Fallback>
          <w:pict>
            <v:rect w14:anchorId="6CAC4312" id="Ietvars1" o:spid="_x0000_s1026" style="position:absolute;margin-left:0;margin-top:.05pt;width:6.1pt;height:13.75pt;z-index:-50331647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" filled="f" stroked="f">
              <v:textbox style="mso-fit-shape-to-text:t" inset="0,0,0,0">
                <w:txbxContent>
                  <w:p w14:paraId="530B2AC8" w14:textId="77777777" w:rsidR="00027A72" w:rsidRDefault="00422D30">
                    <w:pPr>
                      <w:pStyle w:val="Header"/>
                    </w:pPr>
                    <w:r>
                      <w:fldChar w:fldCharType="begin"/>
                    </w:r>
                    <w:r>
                      <w:instrText>PAGE</w:instrText>
                    </w:r>
                    <w:r>
                      <w:fldChar w:fldCharType="separate"/>
                    </w:r>
                    <w:r w:rsidR="00600F56">
                      <w:rPr>
                        <w:noProof/>
                      </w:rPr>
                      <w:t>3</w:t>
                    </w:r>
                    <w:r>
                      <w:fldChar w:fldCharType="end"/>
                    </w:r>
                  </w:p>
                </w:txbxContent>
              </v:textbox>
              <w10:wrap type="square" side="largest"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30F64" w14:textId="77777777" w:rsidR="00027A72" w:rsidRDefault="00422D30">
    <w:pPr>
      <w:pStyle w:val="Header"/>
      <w:tabs>
        <w:tab w:val="center" w:pos="4535"/>
        <w:tab w:val="right" w:pos="907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031D9"/>
    <w:multiLevelType w:val="multilevel"/>
    <w:tmpl w:val="179E511A"/>
    <w:lvl w:ilvl="0">
      <w:start w:val="1"/>
      <w:numFmt w:val="decimal"/>
      <w:lvlText w:val="%1."/>
      <w:lvlJc w:val="left"/>
      <w:pPr>
        <w:ind w:left="720" w:hanging="360"/>
      </w:pPr>
      <w:rPr>
        <w:rFonts w:eastAsia="Calibri"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D872AF9"/>
    <w:multiLevelType w:val="multilevel"/>
    <w:tmpl w:val="75EEC9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F044E45"/>
    <w:multiLevelType w:val="multilevel"/>
    <w:tmpl w:val="DA2098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72"/>
    <w:rsid w:val="00027A72"/>
    <w:rsid w:val="00422D30"/>
    <w:rsid w:val="00600BA0"/>
    <w:rsid w:val="00600F56"/>
    <w:rsid w:val="00AC794C"/>
    <w:rsid w:val="00AF59F4"/>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1AAA2"/>
  <w15:docId w15:val="{7E1A1396-D282-4E00-AFE0-21166468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CB"/>
    <w:rPr>
      <w:rFonts w:ascii="Times New Roman" w:hAnsi="Times New Roman" w:cs="Times New Roman"/>
      <w:sz w:val="24"/>
      <w:szCs w:val="24"/>
      <w:lang w:eastAsia="lv-LV"/>
    </w:rPr>
  </w:style>
  <w:style w:type="paragraph" w:styleId="Heading3">
    <w:name w:val="heading 3"/>
    <w:basedOn w:val="Normal"/>
    <w:next w:val="Normal"/>
    <w:link w:val="Heading3Char"/>
    <w:uiPriority w:val="9"/>
    <w:unhideWhenUsed/>
    <w:qFormat/>
    <w:rsid w:val="007F7DFF"/>
    <w:pPr>
      <w:keepNext/>
      <w:keepLines/>
      <w:spacing w:before="40"/>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F0FCB"/>
    <w:rPr>
      <w:rFonts w:ascii="Times New Roman" w:eastAsia="Calibri" w:hAnsi="Times New Roman" w:cs="Times New Roman"/>
      <w:sz w:val="24"/>
      <w:szCs w:val="24"/>
      <w:lang w:val="x-none" w:eastAsia="lv-LV"/>
    </w:rPr>
  </w:style>
  <w:style w:type="character" w:styleId="PageNumber">
    <w:name w:val="page number"/>
    <w:qFormat/>
    <w:rsid w:val="00DF0FCB"/>
    <w:rPr>
      <w:rFonts w:cs="Times New Roman"/>
    </w:rPr>
  </w:style>
  <w:style w:type="character" w:customStyle="1" w:styleId="BodyText2Char">
    <w:name w:val="Body Text 2 Char"/>
    <w:basedOn w:val="DefaultParagraphFont"/>
    <w:link w:val="BodyText2"/>
    <w:semiHidden/>
    <w:qFormat/>
    <w:rsid w:val="00DF0FCB"/>
    <w:rPr>
      <w:rFonts w:ascii="Times New Roman" w:eastAsia="Calibri" w:hAnsi="Times New Roman" w:cs="Times New Roman"/>
      <w:b/>
      <w:bCs/>
      <w:sz w:val="28"/>
      <w:szCs w:val="28"/>
      <w:lang w:val="x-none" w:eastAsia="x-none"/>
    </w:rPr>
  </w:style>
  <w:style w:type="character" w:customStyle="1" w:styleId="ListParagraphChar">
    <w:name w:val="List Paragraph Char"/>
    <w:link w:val="ListParagraph"/>
    <w:uiPriority w:val="34"/>
    <w:qFormat/>
    <w:rsid w:val="00DF0FCB"/>
    <w:rPr>
      <w:rFonts w:ascii="Times New Roman" w:eastAsia="Times New Roman" w:hAnsi="Times New Roman" w:cs="Times New Roman"/>
      <w:lang w:eastAsia="lv-LV"/>
    </w:rPr>
  </w:style>
  <w:style w:type="character" w:customStyle="1" w:styleId="apple-converted-space">
    <w:name w:val="apple-converted-space"/>
    <w:qFormat/>
    <w:rsid w:val="00DF0FCB"/>
  </w:style>
  <w:style w:type="character" w:customStyle="1" w:styleId="BalloonTextChar">
    <w:name w:val="Balloon Text Char"/>
    <w:basedOn w:val="DefaultParagraphFont"/>
    <w:link w:val="BalloonText"/>
    <w:uiPriority w:val="99"/>
    <w:semiHidden/>
    <w:qFormat/>
    <w:rsid w:val="00EF0CE4"/>
    <w:rPr>
      <w:rFonts w:ascii="Segoe UI" w:eastAsia="Calibri" w:hAnsi="Segoe UI" w:cs="Segoe UI"/>
      <w:sz w:val="18"/>
      <w:szCs w:val="18"/>
      <w:lang w:eastAsia="lv-LV"/>
    </w:rPr>
  </w:style>
  <w:style w:type="character" w:styleId="CommentReference">
    <w:name w:val="annotation reference"/>
    <w:basedOn w:val="DefaultParagraphFont"/>
    <w:uiPriority w:val="99"/>
    <w:semiHidden/>
    <w:unhideWhenUsed/>
    <w:qFormat/>
    <w:rsid w:val="00AB7485"/>
    <w:rPr>
      <w:sz w:val="16"/>
      <w:szCs w:val="16"/>
    </w:rPr>
  </w:style>
  <w:style w:type="character" w:customStyle="1" w:styleId="CommentTextChar">
    <w:name w:val="Comment Text Char"/>
    <w:basedOn w:val="DefaultParagraphFont"/>
    <w:link w:val="CommentText"/>
    <w:uiPriority w:val="99"/>
    <w:qFormat/>
    <w:rsid w:val="00AB7485"/>
    <w:rPr>
      <w:rFonts w:ascii="Times New Roman" w:eastAsia="Calibri" w:hAnsi="Times New Roman" w:cs="Times New Roman"/>
      <w:sz w:val="20"/>
      <w:szCs w:val="20"/>
      <w:lang w:eastAsia="lv-LV"/>
    </w:rPr>
  </w:style>
  <w:style w:type="character" w:customStyle="1" w:styleId="CommentSubjectChar">
    <w:name w:val="Comment Subject Char"/>
    <w:basedOn w:val="CommentTextChar"/>
    <w:link w:val="CommentSubject"/>
    <w:uiPriority w:val="99"/>
    <w:semiHidden/>
    <w:qFormat/>
    <w:rsid w:val="00AB7485"/>
    <w:rPr>
      <w:rFonts w:ascii="Times New Roman" w:eastAsia="Calibri" w:hAnsi="Times New Roman" w:cs="Times New Roman"/>
      <w:b/>
      <w:bCs/>
      <w:sz w:val="20"/>
      <w:szCs w:val="20"/>
      <w:lang w:eastAsia="lv-LV"/>
    </w:rPr>
  </w:style>
  <w:style w:type="character" w:customStyle="1" w:styleId="FooterChar">
    <w:name w:val="Footer Char"/>
    <w:basedOn w:val="DefaultParagraphFont"/>
    <w:link w:val="Footer"/>
    <w:uiPriority w:val="99"/>
    <w:qFormat/>
    <w:rsid w:val="00863DF9"/>
    <w:rPr>
      <w:rFonts w:ascii="Times New Roman" w:eastAsia="Calibri" w:hAnsi="Times New Roman" w:cs="Times New Roman"/>
      <w:sz w:val="24"/>
      <w:szCs w:val="24"/>
      <w:lang w:eastAsia="lv-LV"/>
    </w:rPr>
  </w:style>
  <w:style w:type="character" w:customStyle="1" w:styleId="Internetasaite">
    <w:name w:val="Interneta saite"/>
    <w:basedOn w:val="DefaultParagraphFont"/>
    <w:uiPriority w:val="99"/>
    <w:unhideWhenUsed/>
    <w:rsid w:val="00404407"/>
    <w:rPr>
      <w:color w:val="0563C1"/>
      <w:u w:val="single"/>
    </w:rPr>
  </w:style>
  <w:style w:type="character" w:styleId="FollowedHyperlink">
    <w:name w:val="FollowedHyperlink"/>
    <w:basedOn w:val="DefaultParagraphFont"/>
    <w:uiPriority w:val="99"/>
    <w:semiHidden/>
    <w:unhideWhenUsed/>
    <w:qFormat/>
    <w:rsid w:val="00334386"/>
    <w:rPr>
      <w:color w:val="800080" w:themeColor="followedHyperlink"/>
      <w:u w:val="single"/>
    </w:rPr>
  </w:style>
  <w:style w:type="character" w:customStyle="1" w:styleId="BodyTextIndentChar">
    <w:name w:val="Body Text Indent Char"/>
    <w:basedOn w:val="DefaultParagraphFont"/>
    <w:link w:val="BodyTextIndent"/>
    <w:uiPriority w:val="99"/>
    <w:semiHidden/>
    <w:qFormat/>
    <w:rsid w:val="00141614"/>
    <w:rPr>
      <w:rFonts w:ascii="Times New Roman" w:eastAsia="Calibri" w:hAnsi="Times New Roman" w:cs="Times New Roman"/>
      <w:sz w:val="24"/>
      <w:szCs w:val="24"/>
      <w:lang w:eastAsia="lv-LV"/>
    </w:rPr>
  </w:style>
  <w:style w:type="character" w:customStyle="1" w:styleId="FootnoteTextChar">
    <w:name w:val="Footnote Text Char"/>
    <w:basedOn w:val="DefaultParagraphFont"/>
    <w:link w:val="FootnoteText"/>
    <w:qFormat/>
    <w:rsid w:val="00C13CCD"/>
    <w:rPr>
      <w:rFonts w:ascii="Times New Roman" w:eastAsia="Calibri" w:hAnsi="Times New Roman" w:cs="Times New Roman"/>
      <w:sz w:val="20"/>
      <w:szCs w:val="20"/>
      <w:lang w:eastAsia="lv-LV"/>
    </w:rPr>
  </w:style>
  <w:style w:type="character" w:styleId="FootnoteReference">
    <w:name w:val="footnote reference"/>
    <w:basedOn w:val="DefaultParagraphFont"/>
    <w:link w:val="CharCharCharChar"/>
    <w:uiPriority w:val="99"/>
    <w:unhideWhenUsed/>
    <w:qFormat/>
    <w:rsid w:val="00C13CCD"/>
    <w:rPr>
      <w:vertAlign w:val="superscript"/>
    </w:rPr>
  </w:style>
  <w:style w:type="character" w:customStyle="1" w:styleId="Heading3Char">
    <w:name w:val="Heading 3 Char"/>
    <w:basedOn w:val="DefaultParagraphFont"/>
    <w:link w:val="Heading3"/>
    <w:uiPriority w:val="9"/>
    <w:qFormat/>
    <w:rsid w:val="007F7DFF"/>
    <w:rPr>
      <w:rFonts w:asciiTheme="majorHAnsi" w:eastAsiaTheme="majorEastAsia" w:hAnsiTheme="majorHAnsi" w:cstheme="majorBidi"/>
      <w:color w:val="243F60" w:themeColor="accent1" w:themeShade="7F"/>
      <w:sz w:val="24"/>
      <w:szCs w:val="24"/>
    </w:rPr>
  </w:style>
  <w:style w:type="character" w:customStyle="1" w:styleId="Uzsvars">
    <w:name w:val="Uzsvars"/>
    <w:basedOn w:val="DefaultParagraphFont"/>
    <w:uiPriority w:val="20"/>
    <w:qFormat/>
    <w:rsid w:val="006A302E"/>
    <w:rPr>
      <w:i/>
      <w:iCs/>
    </w:rPr>
  </w:style>
  <w:style w:type="character" w:customStyle="1" w:styleId="Stils1Char">
    <w:name w:val="Stils 1 Char"/>
    <w:basedOn w:val="DefaultParagraphFont"/>
    <w:link w:val="Stils1"/>
    <w:qFormat/>
    <w:locked/>
    <w:rsid w:val="00D20A9D"/>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qFormat/>
    <w:rsid w:val="00C40DAE"/>
    <w:rPr>
      <w:rFonts w:ascii="Times New Roman" w:eastAsia="Calibri" w:hAnsi="Times New Roman" w:cs="Times New Roman"/>
      <w:sz w:val="24"/>
      <w:szCs w:val="24"/>
      <w:lang w:eastAsia="lv-LV"/>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i w:val="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Times New Roman"/>
      <w:sz w:val="24"/>
    </w:rPr>
  </w:style>
  <w:style w:type="character" w:customStyle="1" w:styleId="ListLabel22">
    <w:name w:val="ListLabel 22"/>
    <w:qFormat/>
    <w:rPr>
      <w:rFonts w:cs="Times New Roman"/>
    </w:rPr>
  </w:style>
  <w:style w:type="character" w:customStyle="1" w:styleId="Vresrakstzmes">
    <w:name w:val="Vēres rakstzīmes"/>
    <w:qFormat/>
  </w:style>
  <w:style w:type="character" w:customStyle="1" w:styleId="Vresenkurs">
    <w:name w:val="Vēres enkurs"/>
    <w:rPr>
      <w:vertAlign w:val="superscript"/>
    </w:rPr>
  </w:style>
  <w:style w:type="character" w:customStyle="1" w:styleId="Beiguvresenkurs">
    <w:name w:val="Beigu vēres enkurs"/>
    <w:rPr>
      <w:vertAlign w:val="superscript"/>
    </w:rPr>
  </w:style>
  <w:style w:type="character" w:customStyle="1" w:styleId="Beiguvresrakstzme">
    <w:name w:val="Beigu vēres rakstzīme"/>
    <w:qFormat/>
  </w:style>
  <w:style w:type="character" w:customStyle="1" w:styleId="ListLabel23">
    <w:name w:val="ListLabel 23"/>
    <w:qFormat/>
    <w:rPr>
      <w:rFonts w:eastAsia="Calibri" w:cs="Times New Roman"/>
      <w:sz w:val="24"/>
    </w:rPr>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semiHidden/>
    <w:unhideWhenUsed/>
    <w:rsid w:val="00C40DAE"/>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Rdtjs">
    <w:name w:val="Rādītājs"/>
    <w:basedOn w:val="Normal"/>
    <w:qFormat/>
    <w:pPr>
      <w:suppressLineNumbers/>
    </w:pPr>
    <w:rPr>
      <w:rFonts w:cs="Arial"/>
    </w:rPr>
  </w:style>
  <w:style w:type="paragraph" w:styleId="Header">
    <w:name w:val="header"/>
    <w:basedOn w:val="Normal"/>
    <w:link w:val="HeaderChar"/>
    <w:uiPriority w:val="99"/>
    <w:rsid w:val="00DF0FCB"/>
    <w:pPr>
      <w:tabs>
        <w:tab w:val="center" w:pos="4153"/>
        <w:tab w:val="right" w:pos="8306"/>
      </w:tabs>
    </w:pPr>
    <w:rPr>
      <w:lang w:val="x-none"/>
    </w:rPr>
  </w:style>
  <w:style w:type="paragraph" w:styleId="BodyText2">
    <w:name w:val="Body Text 2"/>
    <w:basedOn w:val="Normal"/>
    <w:link w:val="BodyText2Char"/>
    <w:semiHidden/>
    <w:qFormat/>
    <w:rsid w:val="00DF0FCB"/>
    <w:pPr>
      <w:widowControl w:val="0"/>
      <w:spacing w:line="360" w:lineRule="atLeast"/>
      <w:jc w:val="center"/>
      <w:textAlignment w:val="baseline"/>
    </w:pPr>
    <w:rPr>
      <w:b/>
      <w:bCs/>
      <w:sz w:val="28"/>
      <w:szCs w:val="28"/>
      <w:lang w:val="x-none" w:eastAsia="x-none"/>
    </w:rPr>
  </w:style>
  <w:style w:type="paragraph" w:styleId="ListParagraph">
    <w:name w:val="List Paragraph"/>
    <w:basedOn w:val="Normal"/>
    <w:link w:val="ListParagraphChar"/>
    <w:uiPriority w:val="34"/>
    <w:qFormat/>
    <w:rsid w:val="00DF0FCB"/>
    <w:pPr>
      <w:ind w:left="720"/>
      <w:contextualSpacing/>
    </w:pPr>
    <w:rPr>
      <w:rFonts w:eastAsia="Times New Roman"/>
      <w:sz w:val="22"/>
      <w:szCs w:val="22"/>
    </w:rPr>
  </w:style>
  <w:style w:type="paragraph" w:customStyle="1" w:styleId="naisnod">
    <w:name w:val="naisnod"/>
    <w:basedOn w:val="Normal"/>
    <w:qFormat/>
    <w:rsid w:val="00DF0FCB"/>
    <w:pPr>
      <w:spacing w:beforeAutospacing="1" w:afterAutospacing="1"/>
    </w:pPr>
    <w:rPr>
      <w:rFonts w:eastAsia="Times New Roman"/>
    </w:rPr>
  </w:style>
  <w:style w:type="paragraph" w:styleId="BalloonText">
    <w:name w:val="Balloon Text"/>
    <w:basedOn w:val="Normal"/>
    <w:link w:val="BalloonTextChar"/>
    <w:uiPriority w:val="99"/>
    <w:semiHidden/>
    <w:unhideWhenUsed/>
    <w:qFormat/>
    <w:rsid w:val="00EF0CE4"/>
    <w:rPr>
      <w:rFonts w:ascii="Segoe UI" w:hAnsi="Segoe UI" w:cs="Segoe UI"/>
      <w:sz w:val="18"/>
      <w:szCs w:val="18"/>
    </w:rPr>
  </w:style>
  <w:style w:type="paragraph" w:styleId="CommentText">
    <w:name w:val="annotation text"/>
    <w:basedOn w:val="Normal"/>
    <w:link w:val="CommentTextChar"/>
    <w:uiPriority w:val="99"/>
    <w:unhideWhenUsed/>
    <w:qFormat/>
    <w:rsid w:val="00AB7485"/>
    <w:rPr>
      <w:sz w:val="20"/>
      <w:szCs w:val="20"/>
    </w:rPr>
  </w:style>
  <w:style w:type="paragraph" w:styleId="CommentSubject">
    <w:name w:val="annotation subject"/>
    <w:basedOn w:val="CommentText"/>
    <w:link w:val="CommentSubjectChar"/>
    <w:uiPriority w:val="99"/>
    <w:semiHidden/>
    <w:unhideWhenUsed/>
    <w:qFormat/>
    <w:rsid w:val="00AB7485"/>
    <w:rPr>
      <w:b/>
      <w:bCs/>
    </w:rPr>
  </w:style>
  <w:style w:type="paragraph" w:styleId="Footer">
    <w:name w:val="footer"/>
    <w:basedOn w:val="Normal"/>
    <w:link w:val="FooterChar"/>
    <w:uiPriority w:val="99"/>
    <w:unhideWhenUsed/>
    <w:rsid w:val="00863DF9"/>
    <w:pPr>
      <w:tabs>
        <w:tab w:val="center" w:pos="4153"/>
        <w:tab w:val="right" w:pos="8306"/>
      </w:tabs>
    </w:pPr>
  </w:style>
  <w:style w:type="paragraph" w:styleId="BodyTextIndent">
    <w:name w:val="Body Text Indent"/>
    <w:basedOn w:val="Normal"/>
    <w:link w:val="BodyTextIndentChar"/>
    <w:uiPriority w:val="99"/>
    <w:semiHidden/>
    <w:unhideWhenUsed/>
    <w:rsid w:val="00141614"/>
    <w:pPr>
      <w:spacing w:after="120"/>
      <w:ind w:left="283"/>
    </w:pPr>
  </w:style>
  <w:style w:type="paragraph" w:customStyle="1" w:styleId="Default">
    <w:name w:val="Default"/>
    <w:qFormat/>
    <w:rsid w:val="000E3ED8"/>
    <w:rPr>
      <w:rFonts w:ascii="Times New Roman" w:eastAsia="Times New Roman" w:hAnsi="Times New Roman" w:cs="Times New Roman"/>
      <w:color w:val="000000"/>
      <w:sz w:val="24"/>
      <w:szCs w:val="24"/>
      <w:lang w:eastAsia="lv-LV"/>
    </w:rPr>
  </w:style>
  <w:style w:type="paragraph" w:styleId="FootnoteText">
    <w:name w:val="footnote text"/>
    <w:basedOn w:val="Normal"/>
    <w:link w:val="FootnoteTextChar"/>
  </w:style>
  <w:style w:type="paragraph" w:customStyle="1" w:styleId="Stils1">
    <w:name w:val="Stils 1"/>
    <w:basedOn w:val="Normal"/>
    <w:link w:val="Stils1Char"/>
    <w:qFormat/>
    <w:rsid w:val="00D20A9D"/>
    <w:pPr>
      <w:jc w:val="both"/>
    </w:pPr>
    <w:rPr>
      <w:lang w:eastAsia="en-US"/>
    </w:rPr>
  </w:style>
  <w:style w:type="paragraph" w:customStyle="1" w:styleId="tv213">
    <w:name w:val="tv213"/>
    <w:basedOn w:val="Normal"/>
    <w:qFormat/>
    <w:rsid w:val="000C7E0F"/>
    <w:pPr>
      <w:spacing w:beforeAutospacing="1" w:afterAutospacing="1"/>
    </w:pPr>
    <w:rPr>
      <w:rFonts w:eastAsia="Times New Roman"/>
    </w:rPr>
  </w:style>
  <w:style w:type="paragraph" w:styleId="Revision">
    <w:name w:val="Revision"/>
    <w:uiPriority w:val="99"/>
    <w:semiHidden/>
    <w:qFormat/>
    <w:rsid w:val="00BB209A"/>
    <w:rPr>
      <w:rFonts w:ascii="Times New Roman" w:hAnsi="Times New Roman" w:cs="Times New Roman"/>
      <w:sz w:val="24"/>
      <w:szCs w:val="24"/>
      <w:lang w:eastAsia="lv-LV"/>
    </w:rPr>
  </w:style>
  <w:style w:type="paragraph" w:customStyle="1" w:styleId="CharCharCharChar">
    <w:name w:val="Char Char Char Char"/>
    <w:basedOn w:val="Normal"/>
    <w:next w:val="Normal"/>
    <w:link w:val="FootnoteReference"/>
    <w:uiPriority w:val="99"/>
    <w:qFormat/>
    <w:rsid w:val="00C40DAE"/>
    <w:pPr>
      <w:spacing w:after="160" w:line="240" w:lineRule="exact"/>
    </w:pPr>
    <w:rPr>
      <w:rFonts w:asciiTheme="minorHAnsi" w:hAnsiTheme="minorHAnsi" w:cstheme="minorBidi"/>
      <w:sz w:val="22"/>
      <w:szCs w:val="22"/>
      <w:vertAlign w:val="superscript"/>
      <w:lang w:eastAsia="en-US"/>
    </w:rPr>
  </w:style>
  <w:style w:type="paragraph" w:customStyle="1" w:styleId="Ietvarasaturs">
    <w:name w:val="Ietvara saturs"/>
    <w:basedOn w:val="Normal"/>
    <w:qFormat/>
  </w:style>
  <w:style w:type="table" w:styleId="TableGrid">
    <w:name w:val="Table Grid"/>
    <w:basedOn w:val="TableNormal"/>
    <w:uiPriority w:val="39"/>
    <w:rsid w:val="00334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75693-D232-4F2E-9C23-A06F1484B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11285</Words>
  <Characters>6434</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2016. gada 8. marta noteikumos Nr. 152 "Darbības programmas "Izaugsme un nodarbinātība" 4.2.2. specifiskā atbalsta mērķa "Atbilstoši pašvaldības integrētajām attīstības programmām sekmēt en</vt:lpstr>
    </vt:vector>
  </TitlesOfParts>
  <Company>Vides aizsardzības un reģionālās attīstības ministrija</Company>
  <LinksUpToDate>false</LinksUpToDate>
  <CharactersWithSpaces>17684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2016. gada 8. marta noteikumos Nr. 152 "Darbības programmas "Izaugsme un nodarbinātība" 4.2.2. specifiskā atbalsta mērķa "Atbilstoši pašvaldības integrētajām attīstības programmām sekmēt en</dc:title>
  <dc:subject>Anotācija</dc:subject>
  <dc:creator>Kaspars.Raubiskis@varam.gov.lv</dc:creator>
  <dc:description/>
  <cp:lastModifiedBy>Kaspars Raubiškis</cp:lastModifiedBy>
  <cp:revision>4</cp:revision>
  <dcterms:created xsi:type="dcterms:W3CDTF">2020-07-08T13:26:00Z</dcterms:created>
  <dcterms:modified xsi:type="dcterms:W3CDTF">2020-07-08T13:29:00Z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Vides aizsardzības un reģionālās attīstības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