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ACA4B" w14:textId="77777777" w:rsidR="00996787" w:rsidRDefault="009206FA" w:rsidP="00996787">
      <w:pPr>
        <w:pStyle w:val="naisnod"/>
        <w:ind w:firstLine="720"/>
        <w:rPr>
          <w:sz w:val="28"/>
          <w:szCs w:val="28"/>
        </w:rPr>
      </w:pPr>
      <w:r w:rsidRPr="00996787">
        <w:rPr>
          <w:sz w:val="28"/>
          <w:szCs w:val="28"/>
        </w:rPr>
        <w:t>Izziņa par atzinumos sniegtajiem iebildumiem</w:t>
      </w:r>
      <w:r w:rsidR="00996787" w:rsidRPr="00996787">
        <w:rPr>
          <w:rFonts w:eastAsia="Calibri"/>
          <w:lang w:eastAsia="en-US"/>
        </w:rPr>
        <w:t xml:space="preserve"> </w:t>
      </w:r>
      <w:r w:rsidR="00996787" w:rsidRPr="00996787">
        <w:rPr>
          <w:rFonts w:eastAsia="Calibri"/>
          <w:sz w:val="28"/>
          <w:szCs w:val="28"/>
          <w:lang w:eastAsia="en-US"/>
        </w:rPr>
        <w:t>p</w:t>
      </w:r>
      <w:r w:rsidR="00996787" w:rsidRPr="00996787">
        <w:rPr>
          <w:sz w:val="28"/>
          <w:szCs w:val="28"/>
        </w:rPr>
        <w:t xml:space="preserve">ar </w:t>
      </w:r>
      <w:bookmarkStart w:id="0" w:name="_Hlk17445396"/>
      <w:bookmarkStart w:id="1" w:name="_Hlk11254360"/>
      <w:bookmarkStart w:id="2" w:name="_Hlk21523730"/>
    </w:p>
    <w:p w14:paraId="160554E5" w14:textId="32305168" w:rsidR="00996787" w:rsidRDefault="00996787" w:rsidP="00996787">
      <w:pPr>
        <w:pStyle w:val="naisnod"/>
        <w:ind w:firstLine="720"/>
        <w:rPr>
          <w:sz w:val="28"/>
          <w:szCs w:val="28"/>
        </w:rPr>
      </w:pPr>
      <w:r w:rsidRPr="00996787">
        <w:rPr>
          <w:sz w:val="28"/>
          <w:szCs w:val="28"/>
        </w:rPr>
        <w:t>Ministru kabineta noteikumu projektu</w:t>
      </w:r>
      <w:bookmarkEnd w:id="0"/>
      <w:bookmarkEnd w:id="1"/>
      <w:r w:rsidRPr="00996787">
        <w:rPr>
          <w:sz w:val="28"/>
          <w:szCs w:val="28"/>
        </w:rPr>
        <w:t xml:space="preserve"> "Higiēnas prasības baseina un pirts pakalpojumiem"</w:t>
      </w:r>
      <w:bookmarkEnd w:id="2"/>
    </w:p>
    <w:p w14:paraId="02AFD2CF" w14:textId="77777777" w:rsidR="00102A6B" w:rsidRPr="00996787" w:rsidRDefault="00102A6B" w:rsidP="00996787">
      <w:pPr>
        <w:pStyle w:val="naisnod"/>
        <w:ind w:firstLine="720"/>
        <w:rPr>
          <w:sz w:val="28"/>
          <w:szCs w:val="28"/>
        </w:rPr>
      </w:pPr>
    </w:p>
    <w:p w14:paraId="7DAD57BD" w14:textId="77777777" w:rsidR="007B4C0F" w:rsidRPr="00712B66" w:rsidRDefault="009206FA"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951"/>
        <w:gridCol w:w="3402"/>
        <w:gridCol w:w="4420"/>
        <w:gridCol w:w="1560"/>
        <w:gridCol w:w="1134"/>
      </w:tblGrid>
      <w:tr w:rsidR="005E280D" w:rsidRPr="00226440" w14:paraId="7FC51CD2" w14:textId="77777777" w:rsidTr="00014872">
        <w:tc>
          <w:tcPr>
            <w:tcW w:w="559" w:type="dxa"/>
            <w:tcBorders>
              <w:top w:val="single" w:sz="6" w:space="0" w:color="000000"/>
              <w:left w:val="single" w:sz="6" w:space="0" w:color="000000"/>
              <w:bottom w:val="single" w:sz="6" w:space="0" w:color="000000"/>
              <w:right w:val="single" w:sz="6" w:space="0" w:color="000000"/>
            </w:tcBorders>
            <w:vAlign w:val="center"/>
          </w:tcPr>
          <w:p w14:paraId="2AF605EE" w14:textId="77777777" w:rsidR="005F4BFD" w:rsidRPr="00226440" w:rsidRDefault="009206FA" w:rsidP="0036160E">
            <w:pPr>
              <w:pStyle w:val="naisc"/>
              <w:spacing w:before="0" w:after="0"/>
            </w:pPr>
            <w:r w:rsidRPr="00226440">
              <w:t>Nr. p.</w:t>
            </w:r>
            <w:r w:rsidR="00D64FB0" w:rsidRPr="00226440">
              <w:t> </w:t>
            </w:r>
            <w:r w:rsidRPr="00226440">
              <w:t>k.</w:t>
            </w:r>
          </w:p>
        </w:tc>
        <w:tc>
          <w:tcPr>
            <w:tcW w:w="2951" w:type="dxa"/>
            <w:tcBorders>
              <w:top w:val="single" w:sz="6" w:space="0" w:color="000000"/>
              <w:left w:val="single" w:sz="6" w:space="0" w:color="000000"/>
              <w:bottom w:val="single" w:sz="6" w:space="0" w:color="000000"/>
              <w:right w:val="single" w:sz="6" w:space="0" w:color="000000"/>
            </w:tcBorders>
            <w:vAlign w:val="center"/>
          </w:tcPr>
          <w:p w14:paraId="3B4E45B7" w14:textId="77777777" w:rsidR="005F4BFD" w:rsidRPr="00226440" w:rsidRDefault="009206FA" w:rsidP="00364BB6">
            <w:pPr>
              <w:pStyle w:val="naisc"/>
              <w:spacing w:before="0" w:after="0"/>
              <w:ind w:firstLine="12"/>
            </w:pPr>
            <w:r w:rsidRPr="00226440">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44D5578B" w14:textId="77777777" w:rsidR="005F4BFD" w:rsidRPr="00226440" w:rsidRDefault="009206FA" w:rsidP="00364BB6">
            <w:pPr>
              <w:pStyle w:val="naisc"/>
              <w:spacing w:before="0" w:after="0"/>
              <w:ind w:right="3"/>
            </w:pPr>
            <w:r w:rsidRPr="00226440">
              <w:t>Atzinumā norādītais ministrijas (citas institūcijas) iebildums</w:t>
            </w:r>
            <w:r w:rsidR="00184479" w:rsidRPr="00226440">
              <w:t>,</w:t>
            </w:r>
            <w:r w:rsidR="000E5509" w:rsidRPr="00226440">
              <w:t xml:space="preserve"> kā arī saskaņošanā papildus izteiktais iebildums</w:t>
            </w:r>
            <w:r w:rsidRPr="00226440">
              <w:t xml:space="preserve"> par projekta konkrēto punktu (pantu)</w:t>
            </w:r>
          </w:p>
        </w:tc>
        <w:tc>
          <w:tcPr>
            <w:tcW w:w="4420" w:type="dxa"/>
            <w:tcBorders>
              <w:top w:val="single" w:sz="6" w:space="0" w:color="000000"/>
              <w:left w:val="single" w:sz="6" w:space="0" w:color="000000"/>
              <w:bottom w:val="single" w:sz="6" w:space="0" w:color="000000"/>
              <w:right w:val="single" w:sz="6" w:space="0" w:color="000000"/>
            </w:tcBorders>
            <w:vAlign w:val="center"/>
          </w:tcPr>
          <w:p w14:paraId="478C5613" w14:textId="77777777" w:rsidR="005F4BFD" w:rsidRPr="00226440" w:rsidRDefault="009206FA" w:rsidP="00364BB6">
            <w:pPr>
              <w:pStyle w:val="naisc"/>
              <w:spacing w:before="0" w:after="0"/>
              <w:ind w:firstLine="21"/>
            </w:pPr>
            <w:r w:rsidRPr="00226440">
              <w:t>Atbildīgās ministrijas pamatojums</w:t>
            </w:r>
            <w:r w:rsidR="009307F2" w:rsidRPr="00226440">
              <w:t xml:space="preserve"> iebilduma noraidījumam</w:t>
            </w:r>
          </w:p>
        </w:tc>
        <w:tc>
          <w:tcPr>
            <w:tcW w:w="1560" w:type="dxa"/>
            <w:tcBorders>
              <w:top w:val="single" w:sz="4" w:space="0" w:color="auto"/>
              <w:left w:val="single" w:sz="4" w:space="0" w:color="auto"/>
              <w:bottom w:val="single" w:sz="4" w:space="0" w:color="auto"/>
              <w:right w:val="single" w:sz="4" w:space="0" w:color="auto"/>
            </w:tcBorders>
            <w:vAlign w:val="center"/>
          </w:tcPr>
          <w:p w14:paraId="6DCEE3ED" w14:textId="77777777" w:rsidR="005F4BFD" w:rsidRPr="00226440" w:rsidRDefault="009206FA" w:rsidP="00364BB6">
            <w:pPr>
              <w:jc w:val="center"/>
            </w:pPr>
            <w:r w:rsidRPr="00226440">
              <w:t>Atzinuma sniedzēja uzturētais iebildums, ja tas atšķiras no atzinumā norādītā iebilduma pamatojuma</w:t>
            </w:r>
          </w:p>
        </w:tc>
        <w:tc>
          <w:tcPr>
            <w:tcW w:w="1134" w:type="dxa"/>
            <w:tcBorders>
              <w:top w:val="single" w:sz="4" w:space="0" w:color="auto"/>
              <w:left w:val="single" w:sz="4" w:space="0" w:color="auto"/>
              <w:bottom w:val="single" w:sz="4" w:space="0" w:color="auto"/>
            </w:tcBorders>
            <w:vAlign w:val="center"/>
          </w:tcPr>
          <w:p w14:paraId="350AF0D0" w14:textId="77777777" w:rsidR="005F4BFD" w:rsidRPr="00226440" w:rsidRDefault="009206FA" w:rsidP="00364BB6">
            <w:pPr>
              <w:jc w:val="center"/>
            </w:pPr>
            <w:r w:rsidRPr="00226440">
              <w:t>Projekta attiecīgā punkta (panta) galīgā redakcija</w:t>
            </w:r>
          </w:p>
        </w:tc>
      </w:tr>
      <w:tr w:rsidR="005E280D" w:rsidRPr="00226440" w14:paraId="47CF4EE4" w14:textId="77777777" w:rsidTr="00014872">
        <w:tc>
          <w:tcPr>
            <w:tcW w:w="559" w:type="dxa"/>
            <w:tcBorders>
              <w:top w:val="single" w:sz="6" w:space="0" w:color="000000"/>
              <w:left w:val="single" w:sz="6" w:space="0" w:color="000000"/>
              <w:bottom w:val="single" w:sz="6" w:space="0" w:color="000000"/>
              <w:right w:val="single" w:sz="6" w:space="0" w:color="000000"/>
            </w:tcBorders>
          </w:tcPr>
          <w:p w14:paraId="47EFAC82" w14:textId="77777777" w:rsidR="005F4BFD" w:rsidRPr="00226440" w:rsidRDefault="009206FA" w:rsidP="008A36C9">
            <w:pPr>
              <w:pStyle w:val="naisc"/>
              <w:spacing w:before="0" w:after="0"/>
            </w:pPr>
            <w:r w:rsidRPr="00226440">
              <w:t>1</w:t>
            </w:r>
          </w:p>
        </w:tc>
        <w:tc>
          <w:tcPr>
            <w:tcW w:w="2951" w:type="dxa"/>
            <w:tcBorders>
              <w:top w:val="single" w:sz="6" w:space="0" w:color="000000"/>
              <w:left w:val="single" w:sz="6" w:space="0" w:color="000000"/>
              <w:bottom w:val="single" w:sz="6" w:space="0" w:color="000000"/>
              <w:right w:val="single" w:sz="6" w:space="0" w:color="000000"/>
            </w:tcBorders>
          </w:tcPr>
          <w:p w14:paraId="50B9D9C2" w14:textId="77777777" w:rsidR="005F4BFD" w:rsidRPr="00226440" w:rsidRDefault="009206FA" w:rsidP="00014872">
            <w:pPr>
              <w:pStyle w:val="naisc"/>
              <w:spacing w:before="0" w:after="0"/>
              <w:ind w:firstLine="29"/>
            </w:pPr>
            <w:r w:rsidRPr="00226440">
              <w:t>2</w:t>
            </w:r>
          </w:p>
        </w:tc>
        <w:tc>
          <w:tcPr>
            <w:tcW w:w="3402" w:type="dxa"/>
            <w:tcBorders>
              <w:top w:val="single" w:sz="6" w:space="0" w:color="000000"/>
              <w:left w:val="single" w:sz="6" w:space="0" w:color="000000"/>
              <w:bottom w:val="single" w:sz="6" w:space="0" w:color="000000"/>
              <w:right w:val="single" w:sz="6" w:space="0" w:color="000000"/>
            </w:tcBorders>
          </w:tcPr>
          <w:p w14:paraId="04E3BBDA" w14:textId="77777777" w:rsidR="005F4BFD" w:rsidRPr="00226440" w:rsidRDefault="009206FA" w:rsidP="00014872">
            <w:pPr>
              <w:pStyle w:val="naisc"/>
              <w:spacing w:before="0" w:after="0"/>
            </w:pPr>
            <w:r w:rsidRPr="00226440">
              <w:t>3</w:t>
            </w:r>
          </w:p>
        </w:tc>
        <w:tc>
          <w:tcPr>
            <w:tcW w:w="4420" w:type="dxa"/>
            <w:tcBorders>
              <w:top w:val="single" w:sz="6" w:space="0" w:color="000000"/>
              <w:left w:val="single" w:sz="6" w:space="0" w:color="000000"/>
              <w:bottom w:val="single" w:sz="6" w:space="0" w:color="000000"/>
              <w:right w:val="single" w:sz="6" w:space="0" w:color="000000"/>
            </w:tcBorders>
          </w:tcPr>
          <w:p w14:paraId="2FAA3B8A" w14:textId="77777777" w:rsidR="005F4BFD" w:rsidRPr="00226440" w:rsidRDefault="009206FA" w:rsidP="00014872">
            <w:pPr>
              <w:pStyle w:val="naisc"/>
              <w:spacing w:before="0" w:after="0"/>
            </w:pPr>
            <w:r w:rsidRPr="00226440">
              <w:t>4</w:t>
            </w:r>
          </w:p>
        </w:tc>
        <w:tc>
          <w:tcPr>
            <w:tcW w:w="1560" w:type="dxa"/>
            <w:tcBorders>
              <w:top w:val="single" w:sz="4" w:space="0" w:color="auto"/>
              <w:left w:val="single" w:sz="4" w:space="0" w:color="auto"/>
              <w:bottom w:val="single" w:sz="4" w:space="0" w:color="auto"/>
              <w:right w:val="single" w:sz="4" w:space="0" w:color="auto"/>
            </w:tcBorders>
          </w:tcPr>
          <w:p w14:paraId="30BAF074" w14:textId="77777777" w:rsidR="005F4BFD" w:rsidRPr="00226440" w:rsidRDefault="009206FA" w:rsidP="008A36C9">
            <w:pPr>
              <w:jc w:val="center"/>
            </w:pPr>
            <w:r w:rsidRPr="00226440">
              <w:t>5</w:t>
            </w:r>
          </w:p>
        </w:tc>
        <w:tc>
          <w:tcPr>
            <w:tcW w:w="1134" w:type="dxa"/>
            <w:tcBorders>
              <w:top w:val="single" w:sz="4" w:space="0" w:color="auto"/>
              <w:left w:val="single" w:sz="4" w:space="0" w:color="auto"/>
              <w:bottom w:val="single" w:sz="4" w:space="0" w:color="auto"/>
            </w:tcBorders>
          </w:tcPr>
          <w:p w14:paraId="0EA76B62" w14:textId="77777777" w:rsidR="005F4BFD" w:rsidRPr="00226440" w:rsidRDefault="009206FA" w:rsidP="008A36C9">
            <w:pPr>
              <w:jc w:val="center"/>
            </w:pPr>
            <w:r w:rsidRPr="00226440">
              <w:t>6</w:t>
            </w:r>
          </w:p>
        </w:tc>
      </w:tr>
    </w:tbl>
    <w:p w14:paraId="20135BA5" w14:textId="77777777" w:rsidR="00D35578" w:rsidRPr="00226440" w:rsidRDefault="00D35578" w:rsidP="005D67F7">
      <w:pPr>
        <w:pStyle w:val="naisf"/>
        <w:spacing w:before="0" w:after="0"/>
        <w:ind w:firstLine="0"/>
      </w:pPr>
    </w:p>
    <w:p w14:paraId="2F33E2B8" w14:textId="2E370260" w:rsidR="005D67F7" w:rsidRDefault="009206FA" w:rsidP="005D67F7">
      <w:pPr>
        <w:pStyle w:val="naisf"/>
        <w:spacing w:before="0" w:after="0"/>
        <w:ind w:firstLine="0"/>
        <w:rPr>
          <w:b/>
        </w:rPr>
      </w:pPr>
      <w:r w:rsidRPr="00226440">
        <w:rPr>
          <w:b/>
        </w:rPr>
        <w:t xml:space="preserve">Informācija par </w:t>
      </w:r>
      <w:proofErr w:type="spellStart"/>
      <w:r w:rsidRPr="00226440">
        <w:rPr>
          <w:b/>
        </w:rPr>
        <w:t>starpministriju</w:t>
      </w:r>
      <w:proofErr w:type="spellEnd"/>
      <w:r w:rsidRPr="00226440">
        <w:rPr>
          <w:b/>
        </w:rPr>
        <w:t xml:space="preserve"> (starpinstitūciju) sanāksmi vai elektronisko saskaņošanu</w:t>
      </w:r>
    </w:p>
    <w:p w14:paraId="0F62F90B" w14:textId="77777777" w:rsidR="00102A6B" w:rsidRPr="00226440" w:rsidRDefault="00102A6B" w:rsidP="005D67F7">
      <w:pPr>
        <w:pStyle w:val="naisf"/>
        <w:spacing w:before="0" w:after="0"/>
        <w:ind w:firstLine="0"/>
        <w:rPr>
          <w:b/>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8"/>
        <w:gridCol w:w="7901"/>
      </w:tblGrid>
      <w:tr w:rsidR="005E280D" w:rsidRPr="00226440" w14:paraId="0C9D6F4F" w14:textId="77777777" w:rsidTr="00AA4612">
        <w:tc>
          <w:tcPr>
            <w:tcW w:w="6128" w:type="dxa"/>
          </w:tcPr>
          <w:p w14:paraId="750752A6" w14:textId="77777777" w:rsidR="007B4C0F" w:rsidRPr="00226440" w:rsidRDefault="009206FA" w:rsidP="005D67F7">
            <w:pPr>
              <w:pStyle w:val="naisf"/>
              <w:spacing w:before="0" w:after="0"/>
              <w:ind w:firstLine="0"/>
            </w:pPr>
            <w:r w:rsidRPr="00226440">
              <w:t>Datums</w:t>
            </w:r>
          </w:p>
        </w:tc>
        <w:tc>
          <w:tcPr>
            <w:tcW w:w="7901" w:type="dxa"/>
          </w:tcPr>
          <w:p w14:paraId="5D7F71D8" w14:textId="7E39F873" w:rsidR="00B86F48" w:rsidRDefault="00B86F48" w:rsidP="00E82DD1">
            <w:pPr>
              <w:pStyle w:val="naiskr"/>
              <w:spacing w:before="0" w:after="0"/>
              <w:ind w:firstLine="12"/>
            </w:pPr>
            <w:r w:rsidRPr="00226440">
              <w:t xml:space="preserve">Elektroniskā </w:t>
            </w:r>
            <w:r w:rsidR="00497A2B" w:rsidRPr="00226440">
              <w:t xml:space="preserve">piecu darbdienu </w:t>
            </w:r>
            <w:r w:rsidRPr="00226440">
              <w:t>saskaņošana</w:t>
            </w:r>
            <w:r w:rsidR="00CC61CC" w:rsidRPr="00226440">
              <w:t xml:space="preserve">  </w:t>
            </w:r>
            <w:r w:rsidR="00420C7D">
              <w:t>11.</w:t>
            </w:r>
            <w:r w:rsidR="00E5698E">
              <w:t>-16.</w:t>
            </w:r>
            <w:r w:rsidR="00420C7D">
              <w:t>03.2020.</w:t>
            </w:r>
          </w:p>
          <w:p w14:paraId="34FA97C7" w14:textId="421A1544" w:rsidR="00420C7D" w:rsidRPr="00226440" w:rsidRDefault="00420C7D" w:rsidP="00E82DD1">
            <w:pPr>
              <w:pStyle w:val="naiskr"/>
              <w:spacing w:before="0" w:after="0"/>
              <w:ind w:firstLine="12"/>
            </w:pPr>
            <w:r>
              <w:t>Atkārtota elektroniskā piecu darbdienu saskaņošana</w:t>
            </w:r>
            <w:r w:rsidR="00FC2777">
              <w:t xml:space="preserve"> </w:t>
            </w:r>
            <w:r w:rsidR="00FC2777" w:rsidRPr="00E5698E">
              <w:t>05.</w:t>
            </w:r>
            <w:r w:rsidR="00E5698E" w:rsidRPr="00E5698E">
              <w:t>-10.</w:t>
            </w:r>
            <w:r w:rsidR="00FC2777" w:rsidRPr="00E5698E">
              <w:t>06.2020</w:t>
            </w:r>
            <w:r w:rsidR="00FC2777">
              <w:t>.</w:t>
            </w:r>
          </w:p>
        </w:tc>
      </w:tr>
      <w:tr w:rsidR="005E280D" w:rsidRPr="00226440" w14:paraId="4DE42973" w14:textId="77777777" w:rsidTr="00AA4612">
        <w:tc>
          <w:tcPr>
            <w:tcW w:w="6128" w:type="dxa"/>
          </w:tcPr>
          <w:p w14:paraId="37C2C81E" w14:textId="77777777" w:rsidR="007B4C0F" w:rsidRPr="00226440" w:rsidRDefault="009206FA" w:rsidP="003C27A2">
            <w:pPr>
              <w:pStyle w:val="naiskr"/>
              <w:spacing w:before="0" w:after="0"/>
            </w:pPr>
            <w:r w:rsidRPr="00226440">
              <w:t>Saskaņošanas dalībnieki</w:t>
            </w:r>
          </w:p>
        </w:tc>
        <w:tc>
          <w:tcPr>
            <w:tcW w:w="7901" w:type="dxa"/>
          </w:tcPr>
          <w:p w14:paraId="4683EB3C" w14:textId="08403454" w:rsidR="00E43A15" w:rsidRPr="00226440" w:rsidRDefault="00B86F48" w:rsidP="00E43A15">
            <w:pPr>
              <w:pStyle w:val="naiskr"/>
              <w:spacing w:before="0" w:after="0"/>
              <w:ind w:firstLine="12"/>
              <w:jc w:val="both"/>
            </w:pPr>
            <w:r w:rsidRPr="00226440">
              <w:t xml:space="preserve">Elektroniskās </w:t>
            </w:r>
            <w:r w:rsidR="00497A2B" w:rsidRPr="00226440">
              <w:t xml:space="preserve">piecu darbdienu </w:t>
            </w:r>
            <w:r w:rsidRPr="00226440">
              <w:t xml:space="preserve">saskaņošanas dalībnieki: Finanšu ministrija, </w:t>
            </w:r>
            <w:r w:rsidR="00E43A15" w:rsidRPr="00226440">
              <w:t xml:space="preserve">Tieslietu ministrija, </w:t>
            </w:r>
            <w:r w:rsidR="00996787">
              <w:t xml:space="preserve">Aizsardzības ministrija, </w:t>
            </w:r>
            <w:r w:rsidR="008471DB" w:rsidRPr="00226440">
              <w:t xml:space="preserve">Vides aizsardzības un reģionālās attīstības ministrija, </w:t>
            </w:r>
            <w:r w:rsidR="00996787">
              <w:t>Ekonomikas</w:t>
            </w:r>
            <w:r w:rsidR="008471DB" w:rsidRPr="00226440">
              <w:t xml:space="preserve"> ministrija</w:t>
            </w:r>
            <w:r w:rsidR="000D5B9C" w:rsidRPr="00226440">
              <w:t xml:space="preserve">, </w:t>
            </w:r>
            <w:proofErr w:type="spellStart"/>
            <w:r w:rsidR="00996787">
              <w:t>Iekšlietu</w:t>
            </w:r>
            <w:proofErr w:type="spellEnd"/>
            <w:r w:rsidR="00996787">
              <w:t xml:space="preserve"> ministrija, Valsts kanceleja, Latvijas Pašvaldību savienība</w:t>
            </w:r>
          </w:p>
        </w:tc>
      </w:tr>
      <w:tr w:rsidR="005E280D" w:rsidRPr="00226440" w14:paraId="7665459F" w14:textId="77777777" w:rsidTr="00AA4612">
        <w:tc>
          <w:tcPr>
            <w:tcW w:w="6128" w:type="dxa"/>
          </w:tcPr>
          <w:p w14:paraId="339BEDE6" w14:textId="77777777" w:rsidR="007B4C0F" w:rsidRPr="00226440" w:rsidRDefault="009206FA" w:rsidP="0036160E">
            <w:pPr>
              <w:pStyle w:val="naiskr"/>
              <w:spacing w:before="0" w:after="0"/>
            </w:pPr>
            <w:r w:rsidRPr="00226440">
              <w:t>Ministrijas (citas institūcijas), kuras nav ieradušās uz sanāksmi vai kuras nav atbildējušas uz uzaicinājumu piedalīties elektroniskajā saskaņošanā</w:t>
            </w:r>
          </w:p>
        </w:tc>
        <w:tc>
          <w:tcPr>
            <w:tcW w:w="7901" w:type="dxa"/>
          </w:tcPr>
          <w:p w14:paraId="0002618E" w14:textId="7182C4D1" w:rsidR="007B4C0F" w:rsidRPr="00226440" w:rsidRDefault="007B4C0F" w:rsidP="006A1BD9">
            <w:pPr>
              <w:pStyle w:val="naiskr"/>
              <w:spacing w:before="0" w:after="0"/>
              <w:ind w:firstLine="12"/>
              <w:jc w:val="both"/>
            </w:pPr>
          </w:p>
        </w:tc>
      </w:tr>
    </w:tbl>
    <w:p w14:paraId="2B8ACFAC" w14:textId="77777777" w:rsidR="007B11D2" w:rsidRPr="00226440" w:rsidRDefault="007B11D2" w:rsidP="00831A53">
      <w:pPr>
        <w:pStyle w:val="naisf"/>
        <w:spacing w:before="0" w:after="0"/>
        <w:ind w:firstLine="0"/>
        <w:jc w:val="center"/>
        <w:rPr>
          <w:b/>
        </w:rPr>
      </w:pPr>
    </w:p>
    <w:p w14:paraId="6D204F52" w14:textId="49BBFF93" w:rsidR="007B4C0F" w:rsidRDefault="009206FA" w:rsidP="00831A53">
      <w:pPr>
        <w:pStyle w:val="naisf"/>
        <w:spacing w:before="0" w:after="0"/>
        <w:ind w:firstLine="0"/>
        <w:jc w:val="center"/>
        <w:rPr>
          <w:b/>
        </w:rPr>
      </w:pPr>
      <w:r w:rsidRPr="00226440">
        <w:rPr>
          <w:b/>
        </w:rPr>
        <w:t>II. </w:t>
      </w:r>
      <w:r w:rsidR="00134188" w:rsidRPr="00226440">
        <w:rPr>
          <w:b/>
        </w:rPr>
        <w:t>Jautājumi, par kuriem saskaņošanā vienošan</w:t>
      </w:r>
      <w:r w:rsidR="00144622" w:rsidRPr="00226440">
        <w:rPr>
          <w:b/>
        </w:rPr>
        <w:t>ā</w:t>
      </w:r>
      <w:r w:rsidR="00134188" w:rsidRPr="00226440">
        <w:rPr>
          <w:b/>
        </w:rPr>
        <w:t>s ir panākta</w:t>
      </w:r>
    </w:p>
    <w:p w14:paraId="4C48861D" w14:textId="154DECF7" w:rsidR="00810BB2" w:rsidRPr="00810BB2" w:rsidRDefault="00810BB2" w:rsidP="00810BB2"/>
    <w:p w14:paraId="69887ED1" w14:textId="347615E2" w:rsidR="00810BB2" w:rsidRPr="00810BB2" w:rsidRDefault="00810BB2" w:rsidP="00102A6B">
      <w:pPr>
        <w:ind w:firstLine="720"/>
      </w:pPr>
    </w:p>
    <w:p w14:paraId="31323F8B" w14:textId="77777777" w:rsidR="00810BB2" w:rsidRPr="00810BB2" w:rsidRDefault="00810BB2" w:rsidP="00810BB2">
      <w:pPr>
        <w:ind w:firstLine="720"/>
      </w:pPr>
    </w:p>
    <w:tbl>
      <w:tblPr>
        <w:tblW w:w="1388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552"/>
        <w:gridCol w:w="7028"/>
        <w:gridCol w:w="202"/>
        <w:gridCol w:w="2693"/>
        <w:gridCol w:w="1701"/>
      </w:tblGrid>
      <w:tr w:rsidR="005E280D" w:rsidRPr="00226440" w14:paraId="3962A00A" w14:textId="77777777" w:rsidTr="00B368A0">
        <w:tc>
          <w:tcPr>
            <w:tcW w:w="708" w:type="dxa"/>
            <w:tcBorders>
              <w:top w:val="single" w:sz="6" w:space="0" w:color="000000"/>
              <w:left w:val="single" w:sz="6" w:space="0" w:color="000000"/>
              <w:bottom w:val="single" w:sz="6" w:space="0" w:color="000000"/>
              <w:right w:val="single" w:sz="6" w:space="0" w:color="000000"/>
            </w:tcBorders>
            <w:vAlign w:val="center"/>
          </w:tcPr>
          <w:p w14:paraId="297A0108" w14:textId="77777777" w:rsidR="00134188" w:rsidRPr="00226440" w:rsidRDefault="009206FA" w:rsidP="009623BC">
            <w:pPr>
              <w:pStyle w:val="naisc"/>
              <w:spacing w:before="0" w:after="0"/>
            </w:pPr>
            <w:r w:rsidRPr="00226440">
              <w:t>Nr. p.</w:t>
            </w:r>
            <w:r w:rsidR="00D64FB0" w:rsidRPr="00226440">
              <w:t> </w:t>
            </w:r>
            <w:r w:rsidRPr="00226440">
              <w:t>k.</w:t>
            </w:r>
          </w:p>
        </w:tc>
        <w:tc>
          <w:tcPr>
            <w:tcW w:w="1552" w:type="dxa"/>
            <w:tcBorders>
              <w:top w:val="single" w:sz="6" w:space="0" w:color="000000"/>
              <w:left w:val="single" w:sz="6" w:space="0" w:color="000000"/>
              <w:bottom w:val="single" w:sz="6" w:space="0" w:color="000000"/>
              <w:right w:val="single" w:sz="6" w:space="0" w:color="000000"/>
            </w:tcBorders>
            <w:vAlign w:val="center"/>
          </w:tcPr>
          <w:p w14:paraId="4886537E" w14:textId="77777777" w:rsidR="00134188" w:rsidRPr="00226440" w:rsidRDefault="009206FA" w:rsidP="009623BC">
            <w:pPr>
              <w:pStyle w:val="naisc"/>
              <w:spacing w:before="0" w:after="0"/>
              <w:ind w:firstLine="12"/>
            </w:pPr>
            <w:r w:rsidRPr="00226440">
              <w:t>Saskaņošanai nosūtītā projekta redakcija (konkrēta punkta (panta) redakcija)</w:t>
            </w:r>
          </w:p>
        </w:tc>
        <w:tc>
          <w:tcPr>
            <w:tcW w:w="7230" w:type="dxa"/>
            <w:gridSpan w:val="2"/>
            <w:tcBorders>
              <w:top w:val="single" w:sz="6" w:space="0" w:color="000000"/>
              <w:left w:val="single" w:sz="6" w:space="0" w:color="000000"/>
              <w:bottom w:val="single" w:sz="6" w:space="0" w:color="000000"/>
              <w:right w:val="single" w:sz="6" w:space="0" w:color="000000"/>
            </w:tcBorders>
            <w:vAlign w:val="center"/>
          </w:tcPr>
          <w:p w14:paraId="643DDC77" w14:textId="77777777" w:rsidR="00134188" w:rsidRPr="00226440" w:rsidRDefault="009206FA" w:rsidP="009623BC">
            <w:pPr>
              <w:pStyle w:val="naisc"/>
              <w:spacing w:before="0" w:after="0"/>
              <w:ind w:right="3"/>
            </w:pPr>
            <w:r w:rsidRPr="00226440">
              <w:t>Atzinumā norādītais ministrijas (citas institūcijas) iebildums, kā arī saskaņošanā papildus izteiktais iebildums par projekta konkrēto punktu (pantu)</w:t>
            </w:r>
          </w:p>
        </w:tc>
        <w:tc>
          <w:tcPr>
            <w:tcW w:w="2693" w:type="dxa"/>
            <w:tcBorders>
              <w:top w:val="single" w:sz="6" w:space="0" w:color="000000"/>
              <w:left w:val="single" w:sz="6" w:space="0" w:color="000000"/>
              <w:bottom w:val="single" w:sz="6" w:space="0" w:color="000000"/>
              <w:right w:val="single" w:sz="6" w:space="0" w:color="000000"/>
            </w:tcBorders>
            <w:vAlign w:val="center"/>
          </w:tcPr>
          <w:p w14:paraId="343FBD50" w14:textId="77777777" w:rsidR="00134188" w:rsidRPr="00226440" w:rsidRDefault="009206FA" w:rsidP="009623BC">
            <w:pPr>
              <w:pStyle w:val="naisc"/>
              <w:spacing w:before="0" w:after="0"/>
              <w:ind w:firstLine="21"/>
            </w:pPr>
            <w:r w:rsidRPr="00226440">
              <w:t>Atbildīgās ministrijas norāde</w:t>
            </w:r>
            <w:r w:rsidR="006C1C48" w:rsidRPr="00226440">
              <w:t xml:space="preserve"> par to, ka </w:t>
            </w:r>
            <w:r w:rsidRPr="00226440">
              <w:t>iebildums ir ņemts vērā</w:t>
            </w:r>
            <w:r w:rsidR="006455E7" w:rsidRPr="00226440">
              <w:t>,</w:t>
            </w:r>
            <w:r w:rsidRPr="00226440">
              <w:t xml:space="preserve"> vai </w:t>
            </w:r>
            <w:r w:rsidR="006C1C48" w:rsidRPr="00226440">
              <w:t xml:space="preserve">informācija par saskaņošanā </w:t>
            </w:r>
            <w:r w:rsidR="00022B0F" w:rsidRPr="00226440">
              <w:t>panākto alternatīvo risinājumu</w:t>
            </w:r>
          </w:p>
        </w:tc>
        <w:tc>
          <w:tcPr>
            <w:tcW w:w="1701" w:type="dxa"/>
            <w:tcBorders>
              <w:top w:val="single" w:sz="4" w:space="0" w:color="auto"/>
              <w:left w:val="single" w:sz="4" w:space="0" w:color="auto"/>
              <w:bottom w:val="single" w:sz="4" w:space="0" w:color="auto"/>
            </w:tcBorders>
            <w:vAlign w:val="center"/>
          </w:tcPr>
          <w:p w14:paraId="0C4E781D" w14:textId="77777777" w:rsidR="00134188" w:rsidRPr="00226440" w:rsidRDefault="009206FA" w:rsidP="009623BC">
            <w:pPr>
              <w:jc w:val="center"/>
            </w:pPr>
            <w:r w:rsidRPr="00226440">
              <w:t>Projekta attiecīgā punkta (panta) galīgā redakcija</w:t>
            </w:r>
          </w:p>
        </w:tc>
      </w:tr>
      <w:tr w:rsidR="005E280D" w:rsidRPr="00226440" w14:paraId="09FAB45B" w14:textId="77777777" w:rsidTr="00B368A0">
        <w:tc>
          <w:tcPr>
            <w:tcW w:w="708" w:type="dxa"/>
            <w:tcBorders>
              <w:top w:val="single" w:sz="6" w:space="0" w:color="000000"/>
              <w:left w:val="single" w:sz="6" w:space="0" w:color="000000"/>
              <w:bottom w:val="single" w:sz="6" w:space="0" w:color="000000"/>
              <w:right w:val="single" w:sz="6" w:space="0" w:color="000000"/>
            </w:tcBorders>
          </w:tcPr>
          <w:p w14:paraId="17A27F9E" w14:textId="77777777" w:rsidR="00134188" w:rsidRPr="00226440" w:rsidRDefault="009206FA" w:rsidP="00014872">
            <w:pPr>
              <w:pStyle w:val="naisc"/>
              <w:spacing w:before="0" w:after="0"/>
            </w:pPr>
            <w:r w:rsidRPr="00226440">
              <w:t>1</w:t>
            </w:r>
          </w:p>
        </w:tc>
        <w:tc>
          <w:tcPr>
            <w:tcW w:w="1552" w:type="dxa"/>
            <w:tcBorders>
              <w:top w:val="single" w:sz="6" w:space="0" w:color="000000"/>
              <w:left w:val="single" w:sz="6" w:space="0" w:color="000000"/>
              <w:bottom w:val="single" w:sz="6" w:space="0" w:color="000000"/>
              <w:right w:val="single" w:sz="6" w:space="0" w:color="000000"/>
            </w:tcBorders>
          </w:tcPr>
          <w:p w14:paraId="50069E06" w14:textId="77777777" w:rsidR="00134188" w:rsidRPr="00226440" w:rsidRDefault="009206FA" w:rsidP="00014872">
            <w:pPr>
              <w:pStyle w:val="naisc"/>
              <w:spacing w:before="0" w:after="0"/>
            </w:pPr>
            <w:r w:rsidRPr="00226440">
              <w:t>2</w:t>
            </w:r>
          </w:p>
        </w:tc>
        <w:tc>
          <w:tcPr>
            <w:tcW w:w="7230" w:type="dxa"/>
            <w:gridSpan w:val="2"/>
            <w:tcBorders>
              <w:top w:val="single" w:sz="6" w:space="0" w:color="000000"/>
              <w:left w:val="single" w:sz="6" w:space="0" w:color="000000"/>
              <w:bottom w:val="single" w:sz="6" w:space="0" w:color="000000"/>
              <w:right w:val="single" w:sz="6" w:space="0" w:color="000000"/>
            </w:tcBorders>
          </w:tcPr>
          <w:p w14:paraId="28E92CEA" w14:textId="77777777" w:rsidR="00134188" w:rsidRPr="00226440" w:rsidRDefault="009206FA" w:rsidP="00014872">
            <w:pPr>
              <w:pStyle w:val="naisc"/>
              <w:spacing w:before="0" w:after="0"/>
              <w:ind w:firstLine="720"/>
            </w:pPr>
            <w:r w:rsidRPr="00226440">
              <w:t>3</w:t>
            </w:r>
          </w:p>
        </w:tc>
        <w:tc>
          <w:tcPr>
            <w:tcW w:w="2693" w:type="dxa"/>
            <w:tcBorders>
              <w:top w:val="single" w:sz="6" w:space="0" w:color="000000"/>
              <w:left w:val="single" w:sz="6" w:space="0" w:color="000000"/>
              <w:bottom w:val="single" w:sz="6" w:space="0" w:color="000000"/>
              <w:right w:val="single" w:sz="6" w:space="0" w:color="000000"/>
            </w:tcBorders>
          </w:tcPr>
          <w:p w14:paraId="146CD398" w14:textId="77777777" w:rsidR="00134188" w:rsidRPr="00226440" w:rsidRDefault="009206FA" w:rsidP="00014872">
            <w:pPr>
              <w:pStyle w:val="naisc"/>
              <w:spacing w:before="0" w:after="0"/>
              <w:ind w:firstLine="720"/>
            </w:pPr>
            <w:r w:rsidRPr="00226440">
              <w:t>4</w:t>
            </w:r>
          </w:p>
        </w:tc>
        <w:tc>
          <w:tcPr>
            <w:tcW w:w="1701" w:type="dxa"/>
            <w:tcBorders>
              <w:top w:val="single" w:sz="4" w:space="0" w:color="auto"/>
              <w:left w:val="single" w:sz="4" w:space="0" w:color="auto"/>
              <w:bottom w:val="single" w:sz="4" w:space="0" w:color="auto"/>
            </w:tcBorders>
          </w:tcPr>
          <w:p w14:paraId="2DFE25BE" w14:textId="77777777" w:rsidR="00134188" w:rsidRPr="00226440" w:rsidRDefault="009206FA" w:rsidP="00014872">
            <w:pPr>
              <w:jc w:val="center"/>
            </w:pPr>
            <w:r w:rsidRPr="00226440">
              <w:t>5</w:t>
            </w:r>
          </w:p>
        </w:tc>
      </w:tr>
      <w:tr w:rsidR="00996787" w:rsidRPr="00226440" w14:paraId="4D2CF85F" w14:textId="77777777" w:rsidTr="00B368A0">
        <w:tc>
          <w:tcPr>
            <w:tcW w:w="708" w:type="dxa"/>
            <w:tcBorders>
              <w:left w:val="single" w:sz="6" w:space="0" w:color="000000"/>
              <w:bottom w:val="single" w:sz="4" w:space="0" w:color="auto"/>
              <w:right w:val="single" w:sz="6" w:space="0" w:color="000000"/>
            </w:tcBorders>
          </w:tcPr>
          <w:p w14:paraId="7E4A4D6D" w14:textId="765790AE" w:rsidR="00996787" w:rsidRPr="00226440" w:rsidRDefault="00481B7A" w:rsidP="00E90C14">
            <w:pPr>
              <w:pStyle w:val="naisc"/>
              <w:spacing w:before="0" w:after="0"/>
            </w:pPr>
            <w:r>
              <w:t>1.</w:t>
            </w:r>
          </w:p>
        </w:tc>
        <w:tc>
          <w:tcPr>
            <w:tcW w:w="1552" w:type="dxa"/>
            <w:tcBorders>
              <w:left w:val="single" w:sz="6" w:space="0" w:color="000000"/>
              <w:bottom w:val="single" w:sz="4" w:space="0" w:color="auto"/>
              <w:right w:val="single" w:sz="6" w:space="0" w:color="000000"/>
            </w:tcBorders>
          </w:tcPr>
          <w:p w14:paraId="03893AB9" w14:textId="77777777" w:rsidR="00996787" w:rsidRPr="00B20FCA" w:rsidRDefault="00996787" w:rsidP="00B20FCA">
            <w:pPr>
              <w:jc w:val="both"/>
            </w:pPr>
          </w:p>
        </w:tc>
        <w:tc>
          <w:tcPr>
            <w:tcW w:w="7230" w:type="dxa"/>
            <w:gridSpan w:val="2"/>
            <w:tcBorders>
              <w:left w:val="single" w:sz="6" w:space="0" w:color="000000"/>
              <w:bottom w:val="single" w:sz="4" w:space="0" w:color="auto"/>
              <w:right w:val="single" w:sz="6" w:space="0" w:color="000000"/>
            </w:tcBorders>
          </w:tcPr>
          <w:p w14:paraId="341949A6" w14:textId="5D1C7F70" w:rsidR="00514C7C" w:rsidRPr="00481B7A" w:rsidRDefault="00514C7C" w:rsidP="00163D32">
            <w:pPr>
              <w:widowControl w:val="0"/>
              <w:ind w:firstLine="720"/>
              <w:jc w:val="both"/>
              <w:rPr>
                <w:rFonts w:eastAsia="Calibri"/>
                <w:b/>
                <w:lang w:eastAsia="en-US"/>
              </w:rPr>
            </w:pPr>
            <w:proofErr w:type="spellStart"/>
            <w:r w:rsidRPr="00481B7A">
              <w:rPr>
                <w:rFonts w:eastAsia="Calibri"/>
                <w:b/>
                <w:lang w:eastAsia="en-US"/>
              </w:rPr>
              <w:t>Iek</w:t>
            </w:r>
            <w:r w:rsidR="00481B7A" w:rsidRPr="00481B7A">
              <w:rPr>
                <w:rFonts w:eastAsia="Calibri"/>
                <w:b/>
                <w:lang w:eastAsia="en-US"/>
              </w:rPr>
              <w:t>š</w:t>
            </w:r>
            <w:r w:rsidRPr="00481B7A">
              <w:rPr>
                <w:rFonts w:eastAsia="Calibri"/>
                <w:b/>
                <w:lang w:eastAsia="en-US"/>
              </w:rPr>
              <w:t>lietu</w:t>
            </w:r>
            <w:proofErr w:type="spellEnd"/>
            <w:r w:rsidRPr="00481B7A">
              <w:rPr>
                <w:rFonts w:eastAsia="Calibri"/>
                <w:b/>
                <w:lang w:eastAsia="en-US"/>
              </w:rPr>
              <w:t xml:space="preserve"> </w:t>
            </w:r>
            <w:r w:rsidR="00481B7A" w:rsidRPr="00481B7A">
              <w:rPr>
                <w:rFonts w:eastAsia="Calibri"/>
                <w:b/>
                <w:lang w:eastAsia="en-US"/>
              </w:rPr>
              <w:t>ministrija</w:t>
            </w:r>
          </w:p>
          <w:p w14:paraId="66DAE467" w14:textId="191C31AB" w:rsidR="00163D32" w:rsidRPr="00163D32" w:rsidRDefault="00481B7A" w:rsidP="00163D32">
            <w:pPr>
              <w:widowControl w:val="0"/>
              <w:ind w:firstLine="720"/>
              <w:jc w:val="both"/>
              <w:rPr>
                <w:rFonts w:eastAsia="Calibri"/>
                <w:lang w:eastAsia="en-US"/>
              </w:rPr>
            </w:pPr>
            <w:r w:rsidRPr="00481B7A">
              <w:rPr>
                <w:rFonts w:eastAsia="Calibri"/>
                <w:lang w:eastAsia="en-US"/>
              </w:rPr>
              <w:t>A</w:t>
            </w:r>
            <w:r w:rsidR="00163D32" w:rsidRPr="00163D32">
              <w:rPr>
                <w:rFonts w:eastAsia="Calibri"/>
                <w:lang w:eastAsia="en-US"/>
              </w:rPr>
              <w:t xml:space="preserve">notācijas I. sadaļas 2. punktā ir norādīts, ka noteikumu projekts apvienos pašreiz spēkā esošos noteikumus (Ministru kabineta 2009. gada 13. janvāra noteikumus “Higiēnas prasības publiskas lietošanas peldbaseiniem“  un Ministru kabineta 2000. gada 19. decembra noteikumus Nr. 439 “Higiēnas prasības publiskas lietošanas pirtīm”)  un ir izstrādāts, jo nepieciešams pārskatīt pašreizējos noteikumos noteikto atbilstoši mūsdienu tendencēm. Vēršam uzmanību, ka ne noteikumu projektā, ne anotācijā nav minēts, ka spēkā esošie noteikumi atzīstami par spēku zaudējušiem. Ņemot vērā minēto, lūdzam precizēt noteikumu projektu un anotāciju vai izstrādāt papildus Ministru kabineta noteikumu projektu, ar kuriem atzītu minētos noteikumus par spēku zaudējušiem saskaņā ar Ministru kabineta 2009. gada 3. februāra noteikumu Nr. 108 “Normatīvo aktu projektu sagatavošanas noteikumi”.  </w:t>
            </w:r>
          </w:p>
          <w:p w14:paraId="429E82E1" w14:textId="77777777" w:rsidR="00996787" w:rsidRPr="00481B7A" w:rsidRDefault="00996787" w:rsidP="00996787">
            <w:pPr>
              <w:widowControl w:val="0"/>
              <w:tabs>
                <w:tab w:val="left" w:pos="851"/>
              </w:tabs>
              <w:suppressAutoHyphens/>
              <w:ind w:left="567"/>
              <w:contextualSpacing/>
              <w:jc w:val="both"/>
              <w:outlineLvl w:val="0"/>
              <w:rPr>
                <w:rFonts w:eastAsia="Calibri"/>
                <w:iCs/>
                <w:lang w:eastAsia="en-US"/>
              </w:rPr>
            </w:pPr>
          </w:p>
        </w:tc>
        <w:tc>
          <w:tcPr>
            <w:tcW w:w="2693" w:type="dxa"/>
            <w:tcBorders>
              <w:left w:val="single" w:sz="6" w:space="0" w:color="000000"/>
              <w:bottom w:val="single" w:sz="4" w:space="0" w:color="auto"/>
              <w:right w:val="single" w:sz="6" w:space="0" w:color="000000"/>
            </w:tcBorders>
          </w:tcPr>
          <w:p w14:paraId="560FCA01" w14:textId="50E1CB37" w:rsidR="00996787" w:rsidRPr="00B20FCA" w:rsidRDefault="00D32A7B" w:rsidP="00B20FCA">
            <w:pPr>
              <w:pStyle w:val="naisc"/>
              <w:spacing w:before="0" w:after="0"/>
              <w:jc w:val="both"/>
              <w:rPr>
                <w:b/>
              </w:rPr>
            </w:pPr>
            <w:r>
              <w:rPr>
                <w:b/>
              </w:rPr>
              <w:t>Ņemts vērā</w:t>
            </w:r>
          </w:p>
        </w:tc>
        <w:tc>
          <w:tcPr>
            <w:tcW w:w="1701" w:type="dxa"/>
            <w:tcBorders>
              <w:top w:val="single" w:sz="4" w:space="0" w:color="auto"/>
              <w:left w:val="single" w:sz="4" w:space="0" w:color="auto"/>
              <w:bottom w:val="single" w:sz="4" w:space="0" w:color="auto"/>
            </w:tcBorders>
          </w:tcPr>
          <w:p w14:paraId="0F4C2420" w14:textId="12D325A0" w:rsidR="00810BB2" w:rsidRPr="00810BB2" w:rsidRDefault="00810BB2" w:rsidP="00810BB2">
            <w:pPr>
              <w:jc w:val="both"/>
              <w:rPr>
                <w:bCs/>
              </w:rPr>
            </w:pPr>
            <w:r w:rsidRPr="00810BB2">
              <w:rPr>
                <w:bCs/>
              </w:rPr>
              <w:t>3</w:t>
            </w:r>
            <w:r w:rsidR="00420C7D">
              <w:rPr>
                <w:bCs/>
              </w:rPr>
              <w:t>1</w:t>
            </w:r>
            <w:r w:rsidRPr="00810BB2">
              <w:rPr>
                <w:bCs/>
              </w:rPr>
              <w:t xml:space="preserve">. Atzīt par spēku zaudējušiem: </w:t>
            </w:r>
          </w:p>
          <w:p w14:paraId="77129E90" w14:textId="2ED06506" w:rsidR="00810BB2" w:rsidRPr="00810BB2" w:rsidRDefault="00810BB2" w:rsidP="00810BB2">
            <w:pPr>
              <w:jc w:val="both"/>
              <w:rPr>
                <w:bCs/>
              </w:rPr>
            </w:pPr>
            <w:r w:rsidRPr="00810BB2">
              <w:rPr>
                <w:bCs/>
              </w:rPr>
              <w:t>3</w:t>
            </w:r>
            <w:r w:rsidR="00420C7D">
              <w:rPr>
                <w:bCs/>
              </w:rPr>
              <w:t>1</w:t>
            </w:r>
            <w:r w:rsidRPr="00810BB2">
              <w:rPr>
                <w:bCs/>
              </w:rPr>
              <w:t>.1. Ministru kabineta 2009.gada 13.janvāra noteikumus Nr. 37 “</w:t>
            </w:r>
            <w:hyperlink r:id="rId8" w:tgtFrame="_blank" w:history="1">
              <w:r w:rsidRPr="00810BB2">
                <w:rPr>
                  <w:rStyle w:val="Hyperlink"/>
                  <w:bCs/>
                </w:rPr>
                <w:t>Higiēnas prasības publiskas lietošanas peldbaseiniem</w:t>
              </w:r>
            </w:hyperlink>
            <w:r w:rsidRPr="00810BB2">
              <w:rPr>
                <w:bCs/>
              </w:rPr>
              <w:t xml:space="preserve">“  (Latvijas Vēstnesis, 2009, 10. nr.); </w:t>
            </w:r>
          </w:p>
          <w:p w14:paraId="205A0156" w14:textId="1087B5F5" w:rsidR="00810BB2" w:rsidRPr="00810BB2" w:rsidRDefault="00810BB2" w:rsidP="00810BB2">
            <w:pPr>
              <w:jc w:val="both"/>
              <w:rPr>
                <w:bCs/>
              </w:rPr>
            </w:pPr>
            <w:r w:rsidRPr="00810BB2">
              <w:rPr>
                <w:bCs/>
              </w:rPr>
              <w:t>3</w:t>
            </w:r>
            <w:r w:rsidR="00420C7D">
              <w:rPr>
                <w:bCs/>
              </w:rPr>
              <w:t>1.</w:t>
            </w:r>
            <w:r w:rsidRPr="00810BB2">
              <w:rPr>
                <w:bCs/>
              </w:rPr>
              <w:t xml:space="preserve">2. Ministru kabineta 2000.gada 19.decembra noteikumus Nr. 439 </w:t>
            </w:r>
            <w:r w:rsidRPr="00810BB2">
              <w:rPr>
                <w:bCs/>
              </w:rPr>
              <w:br/>
              <w:t>“</w:t>
            </w:r>
            <w:hyperlink r:id="rId9" w:tgtFrame="_blank" w:history="1">
              <w:r w:rsidRPr="00810BB2">
                <w:rPr>
                  <w:rStyle w:val="Hyperlink"/>
                  <w:bCs/>
                </w:rPr>
                <w:t xml:space="preserve">Higiēnas prasības </w:t>
              </w:r>
              <w:r w:rsidRPr="00810BB2">
                <w:rPr>
                  <w:rStyle w:val="Hyperlink"/>
                  <w:bCs/>
                </w:rPr>
                <w:lastRenderedPageBreak/>
                <w:t>publiskas lietošanas pirtīm</w:t>
              </w:r>
            </w:hyperlink>
            <w:r w:rsidRPr="00810BB2">
              <w:rPr>
                <w:bCs/>
              </w:rPr>
              <w:t> “ (Latvijas Vēstnesis, 2000, 466/469.nr., 2005, 135.nr., 2006, 176 nr., 2008, 45.nr.)</w:t>
            </w:r>
          </w:p>
          <w:p w14:paraId="36C56127" w14:textId="77777777" w:rsidR="00996787" w:rsidRPr="00B20FCA" w:rsidRDefault="00996787" w:rsidP="00B20FCA">
            <w:pPr>
              <w:jc w:val="both"/>
            </w:pPr>
          </w:p>
        </w:tc>
      </w:tr>
      <w:tr w:rsidR="00C357B5" w:rsidRPr="00226440" w14:paraId="72421B13" w14:textId="77777777" w:rsidTr="00B368A0">
        <w:tc>
          <w:tcPr>
            <w:tcW w:w="708" w:type="dxa"/>
            <w:tcBorders>
              <w:left w:val="single" w:sz="6" w:space="0" w:color="000000"/>
              <w:bottom w:val="single" w:sz="4" w:space="0" w:color="auto"/>
              <w:right w:val="single" w:sz="6" w:space="0" w:color="000000"/>
            </w:tcBorders>
          </w:tcPr>
          <w:p w14:paraId="6C86DD9D" w14:textId="0E435F88" w:rsidR="00C357B5" w:rsidRDefault="00420C7D" w:rsidP="00E90C14">
            <w:pPr>
              <w:pStyle w:val="naisc"/>
              <w:spacing w:before="0" w:after="0"/>
            </w:pPr>
            <w:r>
              <w:lastRenderedPageBreak/>
              <w:t>2.</w:t>
            </w:r>
          </w:p>
        </w:tc>
        <w:tc>
          <w:tcPr>
            <w:tcW w:w="1552" w:type="dxa"/>
            <w:tcBorders>
              <w:left w:val="single" w:sz="6" w:space="0" w:color="000000"/>
              <w:bottom w:val="single" w:sz="4" w:space="0" w:color="auto"/>
              <w:right w:val="single" w:sz="6" w:space="0" w:color="000000"/>
            </w:tcBorders>
          </w:tcPr>
          <w:p w14:paraId="303E3407" w14:textId="31A8A9C8" w:rsidR="00176DFE" w:rsidRPr="00176DFE" w:rsidRDefault="00176DFE" w:rsidP="00176DFE">
            <w:pPr>
              <w:jc w:val="both"/>
            </w:pPr>
            <w:r w:rsidRPr="00176DFE">
              <w:t xml:space="preserve">14. Dušas telpās un tualetes telpās ir nodrošināta nepārtraukta aukstā un karstā ūdens padeve. Karstā ūdens temperatūra izejā no </w:t>
            </w:r>
            <w:proofErr w:type="spellStart"/>
            <w:r w:rsidRPr="00176DFE">
              <w:t>siltummaiņa</w:t>
            </w:r>
            <w:proofErr w:type="spellEnd"/>
            <w:r w:rsidRPr="00176DFE">
              <w:t xml:space="preserve"> ir ne zemāka par +55 </w:t>
            </w:r>
            <w:proofErr w:type="spellStart"/>
            <w:r w:rsidRPr="00176DFE">
              <w:rPr>
                <w:vertAlign w:val="superscript"/>
              </w:rPr>
              <w:t>o</w:t>
            </w:r>
            <w:r w:rsidRPr="00176DFE">
              <w:t>C</w:t>
            </w:r>
            <w:proofErr w:type="spellEnd"/>
            <w:r w:rsidRPr="00176DFE">
              <w:t>.</w:t>
            </w:r>
          </w:p>
          <w:p w14:paraId="0CF0B4BE" w14:textId="77777777" w:rsidR="00C357B5" w:rsidRPr="00B20FCA" w:rsidRDefault="00C357B5" w:rsidP="00B20FCA">
            <w:pPr>
              <w:jc w:val="both"/>
            </w:pPr>
          </w:p>
        </w:tc>
        <w:tc>
          <w:tcPr>
            <w:tcW w:w="7230" w:type="dxa"/>
            <w:gridSpan w:val="2"/>
            <w:tcBorders>
              <w:left w:val="single" w:sz="6" w:space="0" w:color="000000"/>
              <w:bottom w:val="single" w:sz="4" w:space="0" w:color="auto"/>
              <w:right w:val="single" w:sz="6" w:space="0" w:color="000000"/>
            </w:tcBorders>
          </w:tcPr>
          <w:p w14:paraId="02106E1F" w14:textId="32E60042" w:rsidR="00C357B5" w:rsidRPr="00420C7D" w:rsidRDefault="00C357B5" w:rsidP="00C357B5">
            <w:pPr>
              <w:widowControl w:val="0"/>
              <w:ind w:firstLine="720"/>
              <w:jc w:val="both"/>
              <w:rPr>
                <w:rFonts w:eastAsia="Calibri"/>
                <w:bCs/>
                <w:iCs/>
                <w:lang w:eastAsia="en-US"/>
              </w:rPr>
            </w:pPr>
            <w:r w:rsidRPr="00420C7D">
              <w:rPr>
                <w:rFonts w:eastAsia="Calibri"/>
                <w:bCs/>
                <w:iCs/>
                <w:lang w:eastAsia="en-US"/>
              </w:rPr>
              <w:t>Par precizēto projektu izteiktais iebildums 18.03.2020</w:t>
            </w:r>
          </w:p>
          <w:p w14:paraId="412EE320" w14:textId="77777777" w:rsidR="00C357B5" w:rsidRPr="00420C7D" w:rsidRDefault="00C357B5" w:rsidP="00C357B5">
            <w:pPr>
              <w:widowControl w:val="0"/>
              <w:ind w:firstLine="720"/>
              <w:jc w:val="both"/>
              <w:rPr>
                <w:rFonts w:eastAsia="Calibri"/>
                <w:lang w:eastAsia="en-US"/>
              </w:rPr>
            </w:pPr>
          </w:p>
          <w:p w14:paraId="01FE0E95" w14:textId="180441BD" w:rsidR="00C357B5" w:rsidRPr="00420C7D" w:rsidRDefault="00C357B5" w:rsidP="00C357B5">
            <w:pPr>
              <w:widowControl w:val="0"/>
              <w:ind w:firstLine="720"/>
              <w:jc w:val="both"/>
              <w:rPr>
                <w:rFonts w:eastAsia="Calibri"/>
                <w:lang w:eastAsia="en-US"/>
              </w:rPr>
            </w:pPr>
            <w:r w:rsidRPr="00420C7D">
              <w:rPr>
                <w:rFonts w:eastAsia="Calibri"/>
                <w:lang w:eastAsia="en-US"/>
              </w:rPr>
              <w:t>Precizēt noteikumu projekta 14. punktu, paredzot, ka punkta prasības ir piemērojamas arī ūdens sagatavošanas sistēmām, kuras nodrošina kompleksā ūdens sagatavošanu (patērētājs nevar regulēt ūdens temperatūru ģērbtuvju dušās).</w:t>
            </w:r>
          </w:p>
          <w:p w14:paraId="0A820CD3" w14:textId="77777777" w:rsidR="00C357B5" w:rsidRPr="00420C7D" w:rsidRDefault="00C357B5" w:rsidP="00C357B5">
            <w:pPr>
              <w:widowControl w:val="0"/>
              <w:ind w:firstLine="720"/>
              <w:jc w:val="both"/>
              <w:rPr>
                <w:rFonts w:eastAsia="Calibri"/>
                <w:lang w:eastAsia="en-US"/>
              </w:rPr>
            </w:pPr>
            <w:r w:rsidRPr="00420C7D">
              <w:rPr>
                <w:rFonts w:eastAsia="Calibri"/>
                <w:lang w:eastAsia="en-US"/>
              </w:rPr>
              <w:t>Valsts robežsardzes koledžas Profesionālās un taktiskās apmācības centra sporta komplekss (turpmāk – Centrs) nevar īstenot noteikumu projekta 14. punktā noteiktās prasības bez ūdens sagatavošanas sistēmas rekonstrukcijas. Centra esošā ūdens sagatavošanas sistēma nodrošina karstā ūdens sagatavošanu ūdenssildītājā +57</w:t>
            </w:r>
            <w:r w:rsidRPr="00420C7D">
              <w:rPr>
                <w:rFonts w:eastAsia="Calibri"/>
                <w:vertAlign w:val="superscript"/>
                <w:lang w:eastAsia="en-US"/>
              </w:rPr>
              <w:t>0</w:t>
            </w:r>
            <w:r w:rsidRPr="00420C7D">
              <w:rPr>
                <w:rFonts w:eastAsia="Calibri"/>
                <w:lang w:eastAsia="en-US"/>
              </w:rPr>
              <w:t xml:space="preserve"> C, pēc tam </w:t>
            </w:r>
            <w:proofErr w:type="spellStart"/>
            <w:r w:rsidRPr="00420C7D">
              <w:rPr>
                <w:rFonts w:eastAsia="Calibri"/>
                <w:lang w:eastAsia="en-US"/>
              </w:rPr>
              <w:t>trīsgaitas</w:t>
            </w:r>
            <w:proofErr w:type="spellEnd"/>
            <w:r w:rsidRPr="00420C7D">
              <w:rPr>
                <w:rFonts w:eastAsia="Calibri"/>
                <w:lang w:eastAsia="en-US"/>
              </w:rPr>
              <w:t xml:space="preserve"> regulējošais vārsts nodrošina siltā ūdens sagatavošanu patērētājam no +38</w:t>
            </w:r>
            <w:r w:rsidRPr="00420C7D">
              <w:rPr>
                <w:rFonts w:eastAsia="Calibri"/>
                <w:vertAlign w:val="superscript"/>
                <w:lang w:eastAsia="en-US"/>
              </w:rPr>
              <w:t>0</w:t>
            </w:r>
            <w:r w:rsidRPr="00420C7D">
              <w:rPr>
                <w:rFonts w:eastAsia="Calibri"/>
                <w:lang w:eastAsia="en-US"/>
              </w:rPr>
              <w:t> C līdz +41</w:t>
            </w:r>
            <w:r w:rsidRPr="00420C7D">
              <w:rPr>
                <w:rFonts w:eastAsia="Calibri"/>
                <w:vertAlign w:val="superscript"/>
                <w:lang w:eastAsia="en-US"/>
              </w:rPr>
              <w:t>0</w:t>
            </w:r>
            <w:r w:rsidRPr="00420C7D">
              <w:rPr>
                <w:rFonts w:eastAsia="Calibri"/>
                <w:lang w:eastAsia="en-US"/>
              </w:rPr>
              <w:t xml:space="preserve"> C. Lai nodrošinātu </w:t>
            </w:r>
            <w:proofErr w:type="spellStart"/>
            <w:r w:rsidRPr="00420C7D">
              <w:rPr>
                <w:rFonts w:eastAsia="Calibri"/>
                <w:lang w:eastAsia="en-US"/>
              </w:rPr>
              <w:t>legionelozes</w:t>
            </w:r>
            <w:proofErr w:type="spellEnd"/>
            <w:r w:rsidRPr="00420C7D">
              <w:rPr>
                <w:rFonts w:eastAsia="Calibri"/>
                <w:lang w:eastAsia="en-US"/>
              </w:rPr>
              <w:t xml:space="preserve"> profilakses pasākumu īstenošanu, reizi nedēļā apkures katla automātika nodrošina paaugstinātu ūdens sildīšanas temperatūru līdz +70</w:t>
            </w:r>
            <w:r w:rsidRPr="00420C7D">
              <w:rPr>
                <w:rFonts w:eastAsia="Calibri"/>
                <w:vertAlign w:val="superscript"/>
                <w:lang w:eastAsia="en-US"/>
              </w:rPr>
              <w:t>0</w:t>
            </w:r>
            <w:r w:rsidRPr="00420C7D">
              <w:rPr>
                <w:rFonts w:eastAsia="Calibri"/>
                <w:lang w:eastAsia="en-US"/>
              </w:rPr>
              <w:t xml:space="preserve"> C.</w:t>
            </w:r>
          </w:p>
          <w:p w14:paraId="0952954C" w14:textId="77777777" w:rsidR="00C357B5" w:rsidRPr="00481B7A" w:rsidRDefault="00C357B5" w:rsidP="00163D32">
            <w:pPr>
              <w:widowControl w:val="0"/>
              <w:ind w:firstLine="720"/>
              <w:jc w:val="both"/>
              <w:rPr>
                <w:rFonts w:eastAsia="Calibri"/>
                <w:b/>
                <w:lang w:eastAsia="en-US"/>
              </w:rPr>
            </w:pPr>
          </w:p>
        </w:tc>
        <w:tc>
          <w:tcPr>
            <w:tcW w:w="2693" w:type="dxa"/>
            <w:tcBorders>
              <w:left w:val="single" w:sz="6" w:space="0" w:color="000000"/>
              <w:bottom w:val="single" w:sz="4" w:space="0" w:color="auto"/>
              <w:right w:val="single" w:sz="6" w:space="0" w:color="000000"/>
            </w:tcBorders>
          </w:tcPr>
          <w:p w14:paraId="403647E5" w14:textId="77777777" w:rsidR="00C357B5" w:rsidRDefault="00C357B5" w:rsidP="00B20FCA">
            <w:pPr>
              <w:pStyle w:val="naisc"/>
              <w:spacing w:before="0" w:after="0"/>
              <w:jc w:val="both"/>
              <w:rPr>
                <w:b/>
              </w:rPr>
            </w:pPr>
          </w:p>
        </w:tc>
        <w:tc>
          <w:tcPr>
            <w:tcW w:w="1701" w:type="dxa"/>
            <w:tcBorders>
              <w:top w:val="single" w:sz="4" w:space="0" w:color="auto"/>
              <w:left w:val="single" w:sz="4" w:space="0" w:color="auto"/>
              <w:bottom w:val="single" w:sz="4" w:space="0" w:color="auto"/>
            </w:tcBorders>
          </w:tcPr>
          <w:p w14:paraId="3E78DA25" w14:textId="63EA9FD9" w:rsidR="00176DFE" w:rsidRPr="00176DFE" w:rsidRDefault="00176DFE" w:rsidP="00176DFE">
            <w:pPr>
              <w:jc w:val="both"/>
              <w:rPr>
                <w:bCs/>
              </w:rPr>
            </w:pPr>
            <w:r w:rsidRPr="00176DFE">
              <w:rPr>
                <w:bCs/>
              </w:rPr>
              <w:t>1</w:t>
            </w:r>
            <w:r w:rsidR="00420C7D">
              <w:rPr>
                <w:bCs/>
              </w:rPr>
              <w:t>3</w:t>
            </w:r>
            <w:r w:rsidRPr="00176DFE">
              <w:rPr>
                <w:bCs/>
              </w:rPr>
              <w:t xml:space="preserve">. Dušas telpās un tualetes telpās ir nodrošināta nepārtraukta aukstā un karstā ūdens padeve. Karstā ūdens temperatūra izejā no </w:t>
            </w:r>
            <w:proofErr w:type="spellStart"/>
            <w:r w:rsidRPr="00176DFE">
              <w:rPr>
                <w:bCs/>
              </w:rPr>
              <w:t>siltummaiņa</w:t>
            </w:r>
            <w:proofErr w:type="spellEnd"/>
            <w:r w:rsidRPr="00176DFE">
              <w:rPr>
                <w:bCs/>
              </w:rPr>
              <w:t xml:space="preserve"> </w:t>
            </w:r>
            <w:r w:rsidRPr="00420C7D">
              <w:rPr>
                <w:bCs/>
                <w:u w:val="single"/>
              </w:rPr>
              <w:t>vai</w:t>
            </w:r>
            <w:r w:rsidRPr="00176DFE">
              <w:rPr>
                <w:bCs/>
              </w:rPr>
              <w:t xml:space="preserve"> </w:t>
            </w:r>
            <w:r w:rsidRPr="00420C7D">
              <w:rPr>
                <w:bCs/>
                <w:u w:val="single"/>
              </w:rPr>
              <w:t>ūdenssildītāja</w:t>
            </w:r>
            <w:r w:rsidRPr="00176DFE">
              <w:rPr>
                <w:bCs/>
              </w:rPr>
              <w:t xml:space="preserve"> ir ne zemāka par +55 </w:t>
            </w:r>
            <w:proofErr w:type="spellStart"/>
            <w:r w:rsidRPr="00176DFE">
              <w:rPr>
                <w:bCs/>
                <w:vertAlign w:val="superscript"/>
              </w:rPr>
              <w:t>o</w:t>
            </w:r>
            <w:r w:rsidRPr="00176DFE">
              <w:rPr>
                <w:bCs/>
              </w:rPr>
              <w:t>C</w:t>
            </w:r>
            <w:proofErr w:type="spellEnd"/>
            <w:r w:rsidRPr="00176DFE">
              <w:rPr>
                <w:bCs/>
              </w:rPr>
              <w:t>.</w:t>
            </w:r>
          </w:p>
          <w:p w14:paraId="7D70FA5F" w14:textId="28B5B0E4" w:rsidR="00C357B5" w:rsidRPr="00810BB2" w:rsidRDefault="00C357B5" w:rsidP="00810BB2">
            <w:pPr>
              <w:jc w:val="both"/>
              <w:rPr>
                <w:bCs/>
              </w:rPr>
            </w:pPr>
          </w:p>
        </w:tc>
      </w:tr>
      <w:tr w:rsidR="00E90C14" w:rsidRPr="00226440" w14:paraId="0AA26271" w14:textId="77777777" w:rsidTr="00B368A0">
        <w:tc>
          <w:tcPr>
            <w:tcW w:w="708" w:type="dxa"/>
            <w:tcBorders>
              <w:left w:val="single" w:sz="6" w:space="0" w:color="000000"/>
              <w:bottom w:val="single" w:sz="4" w:space="0" w:color="auto"/>
              <w:right w:val="single" w:sz="6" w:space="0" w:color="000000"/>
            </w:tcBorders>
          </w:tcPr>
          <w:p w14:paraId="7FB3BB0C" w14:textId="3224D467" w:rsidR="00E90C14" w:rsidRPr="00226440" w:rsidRDefault="00420C7D" w:rsidP="00E90C14">
            <w:pPr>
              <w:pStyle w:val="naisc"/>
              <w:spacing w:before="0" w:after="0"/>
            </w:pPr>
            <w:r>
              <w:t>3</w:t>
            </w:r>
            <w:r w:rsidR="00E90C14" w:rsidRPr="00226440">
              <w:t>.</w:t>
            </w:r>
          </w:p>
        </w:tc>
        <w:tc>
          <w:tcPr>
            <w:tcW w:w="1552" w:type="dxa"/>
            <w:tcBorders>
              <w:left w:val="single" w:sz="6" w:space="0" w:color="000000"/>
              <w:bottom w:val="single" w:sz="4" w:space="0" w:color="auto"/>
              <w:right w:val="single" w:sz="6" w:space="0" w:color="000000"/>
            </w:tcBorders>
          </w:tcPr>
          <w:p w14:paraId="41EB8F81" w14:textId="03E6DB26" w:rsidR="00276D29" w:rsidRPr="00276D29" w:rsidRDefault="00276D29" w:rsidP="00276D29">
            <w:pPr>
              <w:jc w:val="both"/>
            </w:pPr>
            <w:r>
              <w:t>1.</w:t>
            </w:r>
            <w:r w:rsidRPr="00276D29">
              <w:t xml:space="preserve">Noteikumi nosaka higiēnas prasības publiskas lietošanas </w:t>
            </w:r>
            <w:r w:rsidRPr="00276D29">
              <w:lastRenderedPageBreak/>
              <w:t xml:space="preserve">baseiniem, kā arī publiskas lietošanas pirtīm. </w:t>
            </w:r>
          </w:p>
          <w:p w14:paraId="2D1BBF03" w14:textId="5572BB3B" w:rsidR="00E90C14" w:rsidRPr="00B20FCA" w:rsidRDefault="00E90C14" w:rsidP="00B20FCA">
            <w:pPr>
              <w:jc w:val="both"/>
            </w:pPr>
          </w:p>
        </w:tc>
        <w:tc>
          <w:tcPr>
            <w:tcW w:w="7230" w:type="dxa"/>
            <w:gridSpan w:val="2"/>
            <w:tcBorders>
              <w:left w:val="single" w:sz="6" w:space="0" w:color="000000"/>
              <w:bottom w:val="single" w:sz="4" w:space="0" w:color="auto"/>
              <w:right w:val="single" w:sz="6" w:space="0" w:color="000000"/>
            </w:tcBorders>
          </w:tcPr>
          <w:p w14:paraId="41747F71" w14:textId="6B7AA297" w:rsidR="00481B7A" w:rsidRPr="004517FF" w:rsidRDefault="00481B7A" w:rsidP="00481B7A">
            <w:pPr>
              <w:widowControl w:val="0"/>
              <w:tabs>
                <w:tab w:val="left" w:pos="851"/>
              </w:tabs>
              <w:suppressAutoHyphens/>
              <w:ind w:left="710"/>
              <w:contextualSpacing/>
              <w:jc w:val="both"/>
              <w:outlineLvl w:val="0"/>
              <w:rPr>
                <w:rFonts w:eastAsia="Calibri"/>
                <w:b/>
                <w:lang w:eastAsia="zh-CN"/>
              </w:rPr>
            </w:pPr>
            <w:r w:rsidRPr="004517FF">
              <w:rPr>
                <w:rFonts w:eastAsia="Calibri"/>
                <w:b/>
                <w:lang w:eastAsia="zh-CN"/>
              </w:rPr>
              <w:lastRenderedPageBreak/>
              <w:t>Tieslietu ministrija</w:t>
            </w:r>
          </w:p>
          <w:p w14:paraId="7570E9CA" w14:textId="085A3C89" w:rsidR="00996787" w:rsidRPr="00996787" w:rsidRDefault="004517FF" w:rsidP="004517FF">
            <w:pPr>
              <w:widowControl w:val="0"/>
              <w:tabs>
                <w:tab w:val="left" w:pos="851"/>
              </w:tabs>
              <w:suppressAutoHyphens/>
              <w:contextualSpacing/>
              <w:jc w:val="both"/>
              <w:outlineLvl w:val="0"/>
              <w:rPr>
                <w:rFonts w:eastAsia="Calibri"/>
                <w:lang w:eastAsia="zh-CN"/>
              </w:rPr>
            </w:pPr>
            <w:r>
              <w:rPr>
                <w:rFonts w:eastAsia="Calibri"/>
                <w:iCs/>
                <w:lang w:eastAsia="en-US"/>
              </w:rPr>
              <w:t xml:space="preserve">1. </w:t>
            </w:r>
            <w:r w:rsidR="00996787" w:rsidRPr="00996787">
              <w:rPr>
                <w:rFonts w:eastAsia="Calibri"/>
                <w:iCs/>
                <w:lang w:eastAsia="en-US"/>
              </w:rPr>
              <w:t xml:space="preserve">Lūdzam precizēt projekta 1. punktu atbilstoši </w:t>
            </w:r>
            <w:r w:rsidR="00996787" w:rsidRPr="00996787">
              <w:rPr>
                <w:rFonts w:eastAsia="Calibri"/>
                <w:lang w:eastAsia="zh-CN"/>
              </w:rPr>
              <w:t>Ministru kabineta 2009. gada 3. februāra noteikumu Nr. 108 "Normatīvo aktu projektu sagatavošanas noteikumi" (turpmāk – MK noteikumi Nr. 108) 100.2. apakšpunkta prasībām.</w:t>
            </w:r>
          </w:p>
          <w:p w14:paraId="07C5D649" w14:textId="77777777" w:rsidR="00996787" w:rsidRPr="00996787" w:rsidRDefault="00996787" w:rsidP="00996787">
            <w:pPr>
              <w:tabs>
                <w:tab w:val="left" w:pos="851"/>
              </w:tabs>
              <w:suppressAutoHyphens/>
              <w:ind w:firstLine="567"/>
              <w:contextualSpacing/>
              <w:jc w:val="both"/>
              <w:outlineLvl w:val="0"/>
              <w:rPr>
                <w:rFonts w:eastAsia="Calibri"/>
                <w:iCs/>
                <w:lang w:eastAsia="en-US"/>
              </w:rPr>
            </w:pPr>
            <w:r w:rsidRPr="00996787">
              <w:rPr>
                <w:rFonts w:eastAsia="Calibri"/>
                <w:iCs/>
                <w:lang w:eastAsia="en-US"/>
              </w:rPr>
              <w:lastRenderedPageBreak/>
              <w:t>Vēršam uzmanību, ka Epidemioloģiskās drošības likuma (turpmāk – EDL) 38.</w:t>
            </w:r>
            <w:r w:rsidRPr="00996787">
              <w:rPr>
                <w:rFonts w:eastAsia="Calibri"/>
                <w:iCs/>
                <w:vertAlign w:val="superscript"/>
                <w:lang w:eastAsia="en-US"/>
              </w:rPr>
              <w:t>1 </w:t>
            </w:r>
            <w:r w:rsidRPr="00996787">
              <w:rPr>
                <w:rFonts w:eastAsia="Calibri"/>
                <w:iCs/>
                <w:lang w:eastAsia="en-US"/>
              </w:rPr>
              <w:t xml:space="preserve">panta pirmā daļa paredz Ministru kabinetam pilnvarojumu noteikt higiēnas prasības </w:t>
            </w:r>
            <w:r w:rsidRPr="00996787">
              <w:rPr>
                <w:rFonts w:eastAsia="Calibri"/>
                <w:iCs/>
                <w:u w:val="single"/>
                <w:lang w:eastAsia="en-US"/>
              </w:rPr>
              <w:t>paaugstināta riska subjektiem</w:t>
            </w:r>
            <w:r w:rsidRPr="00996787">
              <w:rPr>
                <w:rFonts w:eastAsia="Calibri"/>
                <w:iCs/>
                <w:lang w:eastAsia="en-US"/>
              </w:rPr>
              <w:t xml:space="preserve">, kā arī peldvietām. Savukārt projekta 1. punkts paredz, ka šie noteikumi nosaka higiēnas prasības </w:t>
            </w:r>
            <w:r w:rsidRPr="00996787">
              <w:rPr>
                <w:rFonts w:eastAsia="Calibri"/>
                <w:iCs/>
                <w:u w:val="single"/>
                <w:lang w:eastAsia="en-US"/>
              </w:rPr>
              <w:t>publiskas lietošanas baseiniem</w:t>
            </w:r>
            <w:r w:rsidRPr="00996787">
              <w:rPr>
                <w:rFonts w:eastAsia="Calibri"/>
                <w:iCs/>
                <w:lang w:eastAsia="en-US"/>
              </w:rPr>
              <w:t xml:space="preserve">, kā arī </w:t>
            </w:r>
            <w:r w:rsidRPr="00996787">
              <w:rPr>
                <w:rFonts w:eastAsia="Calibri"/>
                <w:iCs/>
                <w:u w:val="single"/>
                <w:lang w:eastAsia="en-US"/>
              </w:rPr>
              <w:t>publiskas lietošanas pirtīm</w:t>
            </w:r>
            <w:r w:rsidRPr="00996787">
              <w:rPr>
                <w:rFonts w:eastAsia="Calibri"/>
                <w:iCs/>
                <w:lang w:eastAsia="en-US"/>
              </w:rPr>
              <w:t xml:space="preserve"> (proti, objektiem, nevis subjektiem).</w:t>
            </w:r>
          </w:p>
          <w:p w14:paraId="4BBA5136" w14:textId="77777777" w:rsidR="00996787" w:rsidRPr="00996787" w:rsidRDefault="00996787" w:rsidP="00996787">
            <w:pPr>
              <w:tabs>
                <w:tab w:val="left" w:pos="851"/>
              </w:tabs>
              <w:suppressAutoHyphens/>
              <w:ind w:firstLine="567"/>
              <w:contextualSpacing/>
              <w:jc w:val="both"/>
              <w:outlineLvl w:val="0"/>
              <w:rPr>
                <w:rFonts w:eastAsia="Calibri"/>
                <w:iCs/>
                <w:lang w:eastAsia="en-US"/>
              </w:rPr>
            </w:pPr>
            <w:r w:rsidRPr="00996787">
              <w:rPr>
                <w:rFonts w:eastAsia="Calibri"/>
                <w:iCs/>
                <w:lang w:eastAsia="en-US"/>
              </w:rPr>
              <w:t xml:space="preserve">Tiesību subjekts ir </w:t>
            </w:r>
            <w:r w:rsidRPr="00996787">
              <w:rPr>
                <w:rFonts w:eastAsia="Calibri"/>
                <w:iCs/>
                <w:u w:val="single"/>
                <w:lang w:eastAsia="en-US"/>
              </w:rPr>
              <w:t>persona</w:t>
            </w:r>
            <w:r w:rsidRPr="00996787">
              <w:rPr>
                <w:rFonts w:eastAsia="Calibri"/>
                <w:iCs/>
                <w:lang w:eastAsia="en-US"/>
              </w:rPr>
              <w:t xml:space="preserve"> (indivīds, indivīdu grupa, organizācijas, fiziska vai juridiska persona, privātpersona, publiska persona u.c.), kas potenciāli var kļūt par tiesību un pienākumu nesējiem.</w:t>
            </w:r>
            <w:r w:rsidRPr="00996787">
              <w:rPr>
                <w:rFonts w:eastAsia="Calibri"/>
                <w:iCs/>
                <w:vertAlign w:val="superscript"/>
                <w:lang w:eastAsia="en-US"/>
              </w:rPr>
              <w:footnoteReference w:id="1"/>
            </w:r>
            <w:r w:rsidRPr="00996787">
              <w:rPr>
                <w:rFonts w:eastAsia="Calibri"/>
                <w:iCs/>
                <w:lang w:eastAsia="en-US"/>
              </w:rPr>
              <w:t xml:space="preserve"> Turklāt EDL 1. panta 32. punktā skaidrots, ka </w:t>
            </w:r>
            <w:r w:rsidRPr="00996787">
              <w:rPr>
                <w:rFonts w:eastAsia="Calibri"/>
                <w:iCs/>
                <w:u w:val="single"/>
                <w:lang w:eastAsia="en-US"/>
              </w:rPr>
              <w:t xml:space="preserve">paaugstināta riska subjekts ir tiesību subjekts, </w:t>
            </w:r>
            <w:r w:rsidRPr="00996787">
              <w:rPr>
                <w:rFonts w:eastAsia="Calibri"/>
                <w:iCs/>
                <w:lang w:eastAsia="en-US"/>
              </w:rPr>
              <w:t>kura darbības veids ir pakalpojumu sniegšana patērētājiem un kura darbības vai izmantojamo iekārtu darbības dēļ var plaši izplatīties infekcijas slimības vai kura darbība ir saistīta ar veselību ietekmējošo faktoru kaitīgo iedarbību un kurš ir pakļauts epidemioloģisko drošību regulējošo normatīvo aktu prasībām.</w:t>
            </w:r>
          </w:p>
          <w:p w14:paraId="45CA6247" w14:textId="1BD6E0FF" w:rsidR="00996787" w:rsidRDefault="00996787" w:rsidP="00996787">
            <w:pPr>
              <w:tabs>
                <w:tab w:val="left" w:pos="851"/>
              </w:tabs>
              <w:suppressAutoHyphens/>
              <w:ind w:firstLine="567"/>
              <w:contextualSpacing/>
              <w:jc w:val="both"/>
              <w:outlineLvl w:val="0"/>
              <w:rPr>
                <w:rFonts w:eastAsia="Calibri"/>
                <w:iCs/>
                <w:lang w:eastAsia="en-US"/>
              </w:rPr>
            </w:pPr>
            <w:r w:rsidRPr="00996787">
              <w:rPr>
                <w:rFonts w:eastAsia="Calibri"/>
                <w:iCs/>
                <w:lang w:eastAsia="en-US"/>
              </w:rPr>
              <w:t>Ievērojot minēto, lūdzam precizēt projekta 1. punktu, paredzot, ka noteikumi nosaka higiēnas prasības konkrētiem paaugstināta riska subjektiem (tiesību subjektiem), nevis baseiniem vai pirtīm.</w:t>
            </w:r>
          </w:p>
          <w:p w14:paraId="2AE64642" w14:textId="77777777" w:rsidR="00873FDA" w:rsidRPr="00873FDA" w:rsidRDefault="00873FDA" w:rsidP="00873FDA">
            <w:pPr>
              <w:tabs>
                <w:tab w:val="left" w:pos="851"/>
              </w:tabs>
              <w:suppressAutoHyphens/>
              <w:ind w:firstLine="567"/>
              <w:contextualSpacing/>
              <w:jc w:val="both"/>
              <w:outlineLvl w:val="0"/>
              <w:rPr>
                <w:rFonts w:eastAsia="Calibri"/>
                <w:bCs/>
                <w:iCs/>
                <w:lang w:eastAsia="en-US"/>
              </w:rPr>
            </w:pPr>
            <w:r w:rsidRPr="00873FDA">
              <w:rPr>
                <w:rFonts w:eastAsia="Calibri"/>
                <w:bCs/>
                <w:iCs/>
                <w:lang w:eastAsia="en-US"/>
              </w:rPr>
              <w:t>Par precizēto projektu izteiktais iebildums 23.03.2020</w:t>
            </w:r>
          </w:p>
          <w:p w14:paraId="1D824D90" w14:textId="77777777" w:rsidR="00873FDA" w:rsidRDefault="00873FDA" w:rsidP="00996787">
            <w:pPr>
              <w:tabs>
                <w:tab w:val="left" w:pos="851"/>
              </w:tabs>
              <w:suppressAutoHyphens/>
              <w:ind w:firstLine="567"/>
              <w:contextualSpacing/>
              <w:jc w:val="both"/>
              <w:outlineLvl w:val="0"/>
              <w:rPr>
                <w:rFonts w:eastAsia="Calibri"/>
                <w:iCs/>
                <w:lang w:eastAsia="en-US"/>
              </w:rPr>
            </w:pPr>
          </w:p>
          <w:p w14:paraId="52C1DC8C" w14:textId="77777777" w:rsidR="00691A12" w:rsidRPr="00691A12" w:rsidRDefault="00691A12" w:rsidP="00691A12">
            <w:pPr>
              <w:tabs>
                <w:tab w:val="left" w:pos="851"/>
              </w:tabs>
              <w:suppressAutoHyphens/>
              <w:ind w:firstLine="567"/>
              <w:contextualSpacing/>
              <w:jc w:val="both"/>
              <w:outlineLvl w:val="0"/>
              <w:rPr>
                <w:rFonts w:eastAsia="Calibri"/>
                <w:iCs/>
                <w:lang w:eastAsia="en-US"/>
              </w:rPr>
            </w:pPr>
            <w:r w:rsidRPr="00691A12">
              <w:rPr>
                <w:rFonts w:eastAsia="Calibri"/>
                <w:iCs/>
                <w:lang w:eastAsia="en-US"/>
              </w:rPr>
              <w:t>Tieslietu ministrija ir izskatījusi Ministru kabineta noteikumu projektu “Higiēnas prasības baseina un pirts pakalpojumiem" (VSS-1130 (2019)), tā anotāciju un izziņu, un informē, ka uztur izziņas II sadaļā ietverto:</w:t>
            </w:r>
          </w:p>
          <w:p w14:paraId="7236BEBF" w14:textId="00774670" w:rsidR="00691A12" w:rsidRPr="00691A12" w:rsidRDefault="00691A12" w:rsidP="00691A12">
            <w:pPr>
              <w:tabs>
                <w:tab w:val="left" w:pos="851"/>
              </w:tabs>
              <w:suppressAutoHyphens/>
              <w:ind w:firstLine="567"/>
              <w:contextualSpacing/>
              <w:jc w:val="both"/>
              <w:outlineLvl w:val="0"/>
              <w:rPr>
                <w:rFonts w:eastAsia="Calibri"/>
                <w:iCs/>
                <w:lang w:eastAsia="en-US"/>
              </w:rPr>
            </w:pPr>
            <w:r w:rsidRPr="00691A12">
              <w:rPr>
                <w:rFonts w:eastAsia="Calibri"/>
                <w:iCs/>
                <w:lang w:eastAsia="en-US"/>
              </w:rPr>
              <w:t> 2.iebildumu, jo uzskatam, ka </w:t>
            </w:r>
            <w:r w:rsidRPr="00691A12">
              <w:rPr>
                <w:rFonts w:eastAsia="Calibri"/>
                <w:iCs/>
                <w:u w:val="single"/>
                <w:lang w:eastAsia="en-US"/>
              </w:rPr>
              <w:t>paaugstināta riska subjekts var būt ne tikai projekta 1.punktā paredzētais saimnieciskās darbības veicējs</w:t>
            </w:r>
            <w:r w:rsidRPr="00691A12">
              <w:rPr>
                <w:rFonts w:eastAsia="Calibri"/>
                <w:iCs/>
                <w:lang w:eastAsia="en-US"/>
              </w:rPr>
              <w:t xml:space="preserve">, kuram jāievēro higiēnas prasības sniedzot  baseina vai pirts pakalpojumus. Komerclikuma 1.panta otra un trešā daļa skaidro, ka komercdarbība ir atklāta saimnieciskā darbība, kuru savā vārdā peļņas gūšanas nolūkā veic komersants. Komercdarbība ir viens no uzņēmējdarbības veidiem. Saimnieciskā darbība ir jebkura sistemātiska, patstāvīga darbība par </w:t>
            </w:r>
            <w:r w:rsidRPr="00691A12">
              <w:rPr>
                <w:rFonts w:eastAsia="Calibri"/>
                <w:iCs/>
                <w:lang w:eastAsia="en-US"/>
              </w:rPr>
              <w:lastRenderedPageBreak/>
              <w:t>atlīdzību. Likums “Par iedzīvotāju ienākuma nodokli” un likums “Par nekustamā īpašuma nodokli” arī definē, kas ir saimnieciskā darbība.</w:t>
            </w:r>
          </w:p>
          <w:p w14:paraId="3940A810" w14:textId="77777777" w:rsidR="00691A12" w:rsidRPr="00691A12" w:rsidRDefault="00691A12" w:rsidP="00691A12">
            <w:pPr>
              <w:tabs>
                <w:tab w:val="left" w:pos="851"/>
              </w:tabs>
              <w:suppressAutoHyphens/>
              <w:ind w:firstLine="567"/>
              <w:contextualSpacing/>
              <w:jc w:val="both"/>
              <w:outlineLvl w:val="0"/>
              <w:rPr>
                <w:rFonts w:eastAsia="Calibri"/>
                <w:iCs/>
                <w:lang w:eastAsia="en-US"/>
              </w:rPr>
            </w:pPr>
            <w:r w:rsidRPr="00691A12">
              <w:rPr>
                <w:rFonts w:eastAsia="Calibri"/>
                <w:iCs/>
                <w:lang w:eastAsia="en-US"/>
              </w:rPr>
              <w:t>Baseina un pirts pakalpojumu (tik šauram formulējumam arī grūti piekrist) sniedz ne tikai saimnieciskā darbības veicējs atlīdzības gūšanas nolūkā, bet arī šādu pakalpojumu sniedz, piem., </w:t>
            </w:r>
            <w:r w:rsidRPr="00691A12">
              <w:rPr>
                <w:rFonts w:eastAsia="Calibri"/>
                <w:iCs/>
                <w:u w:val="single"/>
                <w:lang w:eastAsia="en-US"/>
              </w:rPr>
              <w:t>izglītības iestāde, sociālās aprūpes iestāde, biedrība un iespējams vēl neminēts subjekts bez mērķa gūt atlīdzību</w:t>
            </w:r>
            <w:r w:rsidRPr="00691A12">
              <w:rPr>
                <w:rFonts w:eastAsia="Calibri"/>
                <w:iCs/>
                <w:lang w:eastAsia="en-US"/>
              </w:rPr>
              <w:t>. Turklāt baseinu un pirti personas var lietot arī citu darbības veidu ietvaros – nekustamā īpašuma īre vai noma, medicīnas un rehabilitācijas pakalpojumi, sociālās aprūpes pakalpojums utt. Tāpēc tie ne vienmēr būs pirts vai baseina pakalpojumi.</w:t>
            </w:r>
          </w:p>
          <w:p w14:paraId="007C3F44" w14:textId="77777777" w:rsidR="00691A12" w:rsidRPr="00691A12" w:rsidRDefault="00691A12" w:rsidP="00691A12">
            <w:pPr>
              <w:tabs>
                <w:tab w:val="left" w:pos="851"/>
              </w:tabs>
              <w:suppressAutoHyphens/>
              <w:ind w:firstLine="567"/>
              <w:contextualSpacing/>
              <w:jc w:val="both"/>
              <w:outlineLvl w:val="0"/>
              <w:rPr>
                <w:rFonts w:eastAsia="Calibri"/>
                <w:iCs/>
                <w:lang w:eastAsia="en-US"/>
              </w:rPr>
            </w:pPr>
            <w:proofErr w:type="spellStart"/>
            <w:r w:rsidRPr="00691A12">
              <w:rPr>
                <w:rFonts w:eastAsia="Calibri"/>
                <w:iCs/>
                <w:lang w:eastAsia="en-US"/>
              </w:rPr>
              <w:t>Epidemiloģiskās</w:t>
            </w:r>
            <w:proofErr w:type="spellEnd"/>
            <w:r w:rsidRPr="00691A12">
              <w:rPr>
                <w:rFonts w:eastAsia="Calibri"/>
                <w:iCs/>
                <w:lang w:eastAsia="en-US"/>
              </w:rPr>
              <w:t xml:space="preserve"> drošības likums (turpmāk – EDL) skaidro, ka paaugstināta riska subjekts ir tiesību subjekts:</w:t>
            </w:r>
          </w:p>
          <w:p w14:paraId="3993B1D3" w14:textId="77777777" w:rsidR="00691A12" w:rsidRPr="00691A12" w:rsidRDefault="00691A12" w:rsidP="00691A12">
            <w:pPr>
              <w:tabs>
                <w:tab w:val="left" w:pos="851"/>
              </w:tabs>
              <w:suppressAutoHyphens/>
              <w:ind w:firstLine="567"/>
              <w:contextualSpacing/>
              <w:jc w:val="both"/>
              <w:outlineLvl w:val="0"/>
              <w:rPr>
                <w:rFonts w:eastAsia="Calibri"/>
                <w:iCs/>
                <w:lang w:eastAsia="en-US"/>
              </w:rPr>
            </w:pPr>
            <w:r w:rsidRPr="00691A12">
              <w:rPr>
                <w:rFonts w:eastAsia="Calibri"/>
                <w:iCs/>
                <w:lang w:eastAsia="en-US"/>
              </w:rPr>
              <w:t>1) kura darbības veids ir pakalpojumu sniegšana patērētājiem un kura darbības vai izmantojamo iekārtu darbības dēļ var plaši izplatīties infekcijas slimības</w:t>
            </w:r>
          </w:p>
          <w:p w14:paraId="7219C63D" w14:textId="77777777" w:rsidR="00691A12" w:rsidRPr="00691A12" w:rsidRDefault="00691A12" w:rsidP="00691A12">
            <w:pPr>
              <w:tabs>
                <w:tab w:val="left" w:pos="851"/>
              </w:tabs>
              <w:suppressAutoHyphens/>
              <w:ind w:firstLine="567"/>
              <w:contextualSpacing/>
              <w:jc w:val="both"/>
              <w:outlineLvl w:val="0"/>
              <w:rPr>
                <w:rFonts w:eastAsia="Calibri"/>
                <w:iCs/>
                <w:lang w:eastAsia="en-US"/>
              </w:rPr>
            </w:pPr>
            <w:r w:rsidRPr="00691A12">
              <w:rPr>
                <w:rFonts w:eastAsia="Calibri"/>
                <w:iCs/>
                <w:lang w:eastAsia="en-US"/>
              </w:rPr>
              <w:t>2) vai kura darbība ir saistīta ar veselību ietekmējošo faktoru kaitīgo iedarbību un kurš ir pakļauts epidemioloģisko drošību regulējošo normatīvo aktu prasībām.</w:t>
            </w:r>
          </w:p>
          <w:p w14:paraId="61D70E9D" w14:textId="77777777" w:rsidR="00691A12" w:rsidRPr="00691A12" w:rsidRDefault="00691A12" w:rsidP="00691A12">
            <w:pPr>
              <w:tabs>
                <w:tab w:val="left" w:pos="851"/>
              </w:tabs>
              <w:suppressAutoHyphens/>
              <w:ind w:firstLine="567"/>
              <w:contextualSpacing/>
              <w:jc w:val="both"/>
              <w:outlineLvl w:val="0"/>
              <w:rPr>
                <w:rFonts w:eastAsia="Calibri"/>
                <w:iCs/>
                <w:lang w:eastAsia="en-US"/>
              </w:rPr>
            </w:pPr>
            <w:r w:rsidRPr="00691A12">
              <w:rPr>
                <w:rFonts w:eastAsia="Calibri"/>
                <w:iCs/>
                <w:lang w:eastAsia="en-US"/>
              </w:rPr>
              <w:t>Atkārtoti lūdzam precizēt projekta 1.punktu, jo tas šobrīd paredz šaurāku regulējumu nekā paredz likuma pilnvarojums.</w:t>
            </w:r>
          </w:p>
          <w:p w14:paraId="1C7B8F1D" w14:textId="07363C6C" w:rsidR="00E90C14" w:rsidRPr="00B20FCA" w:rsidRDefault="00E90C14" w:rsidP="004517FF">
            <w:pPr>
              <w:widowControl w:val="0"/>
              <w:tabs>
                <w:tab w:val="left" w:pos="851"/>
              </w:tabs>
              <w:suppressAutoHyphens/>
              <w:ind w:left="567"/>
              <w:contextualSpacing/>
              <w:jc w:val="both"/>
              <w:outlineLvl w:val="0"/>
            </w:pPr>
          </w:p>
        </w:tc>
        <w:tc>
          <w:tcPr>
            <w:tcW w:w="2693" w:type="dxa"/>
            <w:tcBorders>
              <w:left w:val="single" w:sz="6" w:space="0" w:color="000000"/>
              <w:bottom w:val="single" w:sz="4" w:space="0" w:color="auto"/>
              <w:right w:val="single" w:sz="6" w:space="0" w:color="000000"/>
            </w:tcBorders>
          </w:tcPr>
          <w:p w14:paraId="4B2E07C7" w14:textId="53D724BE" w:rsidR="00E90C14" w:rsidRPr="00B20FCA" w:rsidRDefault="00D32A7B" w:rsidP="00B20FCA">
            <w:pPr>
              <w:pStyle w:val="naisc"/>
              <w:spacing w:before="0" w:after="0"/>
              <w:jc w:val="both"/>
              <w:rPr>
                <w:b/>
              </w:rPr>
            </w:pPr>
            <w:r w:rsidRPr="00D32A7B">
              <w:rPr>
                <w:b/>
              </w:rPr>
              <w:lastRenderedPageBreak/>
              <w:t>Ņemts vērā</w:t>
            </w:r>
          </w:p>
        </w:tc>
        <w:tc>
          <w:tcPr>
            <w:tcW w:w="1701" w:type="dxa"/>
            <w:tcBorders>
              <w:top w:val="single" w:sz="4" w:space="0" w:color="auto"/>
              <w:left w:val="single" w:sz="4" w:space="0" w:color="auto"/>
              <w:bottom w:val="single" w:sz="4" w:space="0" w:color="auto"/>
            </w:tcBorders>
          </w:tcPr>
          <w:p w14:paraId="5CD215EF" w14:textId="77777777" w:rsidR="00420C7D" w:rsidRPr="00E5698E" w:rsidRDefault="00420C7D" w:rsidP="00420C7D">
            <w:pPr>
              <w:jc w:val="both"/>
            </w:pPr>
            <w:r w:rsidRPr="00420C7D">
              <w:t>1</w:t>
            </w:r>
            <w:r w:rsidRPr="00E5698E">
              <w:t xml:space="preserve">. Noteikumi nosaka higiēnas prasības paaugstināta riska </w:t>
            </w:r>
            <w:r w:rsidRPr="00E5698E">
              <w:lastRenderedPageBreak/>
              <w:t>subjektiem, kuri piedāvā baseina vai pirts pakalpojumus kā pamatpakalpojumu vai papildus pakalpojumu, tai skaitā izglītības iestādēs, sociālās aprūpes iestādēs, veselības aprūpes iestādēs, sporta, izklaides, atpūtas vietās, viesnīcās (turpmāk – pakalpojuma sniedzējs).</w:t>
            </w:r>
          </w:p>
          <w:p w14:paraId="08809EF6" w14:textId="77777777" w:rsidR="00810BB2" w:rsidRPr="00E5698E" w:rsidRDefault="00810BB2" w:rsidP="00810BB2">
            <w:pPr>
              <w:jc w:val="both"/>
            </w:pPr>
            <w:bookmarkStart w:id="3" w:name="p2"/>
            <w:bookmarkStart w:id="4" w:name="p-264671"/>
            <w:bookmarkEnd w:id="3"/>
            <w:bookmarkEnd w:id="4"/>
          </w:p>
          <w:p w14:paraId="3FED38A2" w14:textId="17E50C2F" w:rsidR="00E90C14" w:rsidRPr="00B20FCA" w:rsidRDefault="00E90C14" w:rsidP="00B20FCA">
            <w:pPr>
              <w:jc w:val="both"/>
            </w:pPr>
          </w:p>
        </w:tc>
      </w:tr>
      <w:tr w:rsidR="004517FF" w:rsidRPr="00226440" w14:paraId="1569DCB1" w14:textId="77777777" w:rsidTr="00B368A0">
        <w:trPr>
          <w:trHeight w:val="1253"/>
        </w:trPr>
        <w:tc>
          <w:tcPr>
            <w:tcW w:w="708" w:type="dxa"/>
            <w:tcBorders>
              <w:left w:val="single" w:sz="6" w:space="0" w:color="000000"/>
              <w:bottom w:val="single" w:sz="4" w:space="0" w:color="auto"/>
              <w:right w:val="single" w:sz="6" w:space="0" w:color="000000"/>
            </w:tcBorders>
          </w:tcPr>
          <w:p w14:paraId="73236460" w14:textId="5F34F617" w:rsidR="004517FF" w:rsidRDefault="00420C7D" w:rsidP="00E90C14">
            <w:pPr>
              <w:pStyle w:val="naisc"/>
              <w:spacing w:before="0" w:after="0"/>
            </w:pPr>
            <w:r>
              <w:lastRenderedPageBreak/>
              <w:t>4</w:t>
            </w:r>
            <w:r w:rsidR="004517FF">
              <w:t>.</w:t>
            </w:r>
          </w:p>
        </w:tc>
        <w:tc>
          <w:tcPr>
            <w:tcW w:w="1552" w:type="dxa"/>
            <w:tcBorders>
              <w:left w:val="single" w:sz="6" w:space="0" w:color="000000"/>
              <w:bottom w:val="single" w:sz="4" w:space="0" w:color="auto"/>
              <w:right w:val="single" w:sz="6" w:space="0" w:color="000000"/>
            </w:tcBorders>
          </w:tcPr>
          <w:p w14:paraId="1109A6F9" w14:textId="77777777" w:rsidR="00E11662" w:rsidRPr="00E11662" w:rsidRDefault="00E11662" w:rsidP="00E11662">
            <w:pPr>
              <w:spacing w:before="120"/>
              <w:jc w:val="both"/>
              <w:rPr>
                <w:lang w:bidi="en-US"/>
              </w:rPr>
            </w:pPr>
            <w:r w:rsidRPr="00E11662">
              <w:rPr>
                <w:lang w:bidi="en-US"/>
              </w:rPr>
              <w:t>12.1. baseina un pirts telpas neapmeklē  virsdrēbēs un āra apavos;</w:t>
            </w:r>
          </w:p>
          <w:p w14:paraId="67F6F01F" w14:textId="77777777" w:rsidR="004517FF" w:rsidRDefault="004517FF" w:rsidP="00B20FCA">
            <w:pPr>
              <w:spacing w:before="120"/>
              <w:jc w:val="both"/>
              <w:rPr>
                <w:lang w:bidi="en-US"/>
              </w:rPr>
            </w:pPr>
          </w:p>
          <w:p w14:paraId="0A218111" w14:textId="77777777" w:rsidR="00E5698E" w:rsidRDefault="00E5698E" w:rsidP="00B20FCA">
            <w:pPr>
              <w:spacing w:before="120"/>
              <w:jc w:val="both"/>
              <w:rPr>
                <w:lang w:bidi="en-US"/>
              </w:rPr>
            </w:pPr>
          </w:p>
          <w:p w14:paraId="2546E54E" w14:textId="77777777" w:rsidR="00E5698E" w:rsidRDefault="00E5698E" w:rsidP="00B20FCA">
            <w:pPr>
              <w:spacing w:before="120"/>
              <w:jc w:val="both"/>
              <w:rPr>
                <w:lang w:bidi="en-US"/>
              </w:rPr>
            </w:pPr>
          </w:p>
          <w:p w14:paraId="09A57388" w14:textId="77777777" w:rsidR="00E5698E" w:rsidRDefault="00E5698E" w:rsidP="00B20FCA">
            <w:pPr>
              <w:spacing w:before="120"/>
              <w:jc w:val="both"/>
              <w:rPr>
                <w:lang w:bidi="en-US"/>
              </w:rPr>
            </w:pPr>
          </w:p>
          <w:p w14:paraId="34F12DA7" w14:textId="6F67DFDC" w:rsidR="00E5698E" w:rsidRPr="00E5698E" w:rsidRDefault="00E5698E" w:rsidP="00E5698E">
            <w:pPr>
              <w:spacing w:before="120"/>
              <w:jc w:val="both"/>
              <w:rPr>
                <w:lang w:bidi="en-US"/>
              </w:rPr>
            </w:pPr>
            <w:r w:rsidRPr="00E5698E">
              <w:rPr>
                <w:lang w:bidi="en-US"/>
              </w:rPr>
              <w:lastRenderedPageBreak/>
              <w:t xml:space="preserve">2. Pakalpojuma sniedzējs izstrādā </w:t>
            </w:r>
            <w:r>
              <w:rPr>
                <w:lang w:bidi="en-US"/>
              </w:rPr>
              <w:t>iekšējās kārtības</w:t>
            </w:r>
            <w:r w:rsidRPr="00E5698E">
              <w:rPr>
                <w:lang w:bidi="en-US"/>
              </w:rPr>
              <w:t xml:space="preserve"> noteikumus un dara tos publiski pieejamus.</w:t>
            </w:r>
          </w:p>
          <w:p w14:paraId="2FCEAE3D" w14:textId="2BD79CC1" w:rsidR="00E5698E" w:rsidRPr="00B20FCA" w:rsidRDefault="00E5698E" w:rsidP="00B20FCA">
            <w:pPr>
              <w:spacing w:before="120"/>
              <w:jc w:val="both"/>
              <w:rPr>
                <w:lang w:bidi="en-US"/>
              </w:rPr>
            </w:pPr>
          </w:p>
        </w:tc>
        <w:tc>
          <w:tcPr>
            <w:tcW w:w="7230" w:type="dxa"/>
            <w:gridSpan w:val="2"/>
            <w:tcBorders>
              <w:left w:val="single" w:sz="6" w:space="0" w:color="000000"/>
              <w:bottom w:val="single" w:sz="4" w:space="0" w:color="auto"/>
              <w:right w:val="single" w:sz="6" w:space="0" w:color="000000"/>
            </w:tcBorders>
          </w:tcPr>
          <w:p w14:paraId="6ADF3603" w14:textId="1FC98F08" w:rsidR="004517FF" w:rsidRDefault="004517FF" w:rsidP="00810BB2">
            <w:pPr>
              <w:widowControl w:val="0"/>
              <w:tabs>
                <w:tab w:val="left" w:pos="851"/>
              </w:tabs>
              <w:suppressAutoHyphens/>
              <w:contextualSpacing/>
              <w:jc w:val="both"/>
              <w:outlineLvl w:val="0"/>
              <w:rPr>
                <w:rFonts w:eastAsia="Calibri"/>
                <w:iCs/>
                <w:lang w:eastAsia="en-US"/>
              </w:rPr>
            </w:pPr>
            <w:r>
              <w:rPr>
                <w:rFonts w:eastAsia="Calibri"/>
                <w:iCs/>
                <w:lang w:eastAsia="en-US"/>
              </w:rPr>
              <w:lastRenderedPageBreak/>
              <w:t xml:space="preserve">2. </w:t>
            </w:r>
            <w:r w:rsidRPr="00996787">
              <w:rPr>
                <w:rFonts w:eastAsia="Calibri"/>
                <w:iCs/>
                <w:lang w:eastAsia="en-US"/>
              </w:rPr>
              <w:t>Ņemot vērā šā atzinuma 1. iebildumā minēto, lūdzam pārskatīt un precizēt arī pārējo projekta tekstu, lai tas atbilst EDL 38.</w:t>
            </w:r>
            <w:r w:rsidRPr="00996787">
              <w:rPr>
                <w:rFonts w:eastAsia="Calibri"/>
                <w:iCs/>
                <w:vertAlign w:val="superscript"/>
                <w:lang w:eastAsia="en-US"/>
              </w:rPr>
              <w:t>1 </w:t>
            </w:r>
            <w:r w:rsidRPr="00996787">
              <w:rPr>
                <w:rFonts w:eastAsia="Calibri"/>
                <w:iCs/>
                <w:lang w:eastAsia="en-US"/>
              </w:rPr>
              <w:t>panta pirmajā daļā Ministru kabinetam dotajam pilnvarojumam. Vēršam uzmanību, ka projektā ir paredzētas prasības ne tikai paaugstināta riska objektiem (nevis subjektiem), bet arī tā sniegto pakalpojumu lietotājiem (piemēram, projekta 12.1. apakšpunktā), kas pārsniedz Ministru kabinetam likumā doto pilnvarojumu.</w:t>
            </w:r>
          </w:p>
          <w:p w14:paraId="4CCA4476" w14:textId="77777777" w:rsidR="00502701" w:rsidRDefault="00502701" w:rsidP="00873FDA">
            <w:pPr>
              <w:widowControl w:val="0"/>
              <w:tabs>
                <w:tab w:val="left" w:pos="851"/>
              </w:tabs>
              <w:suppressAutoHyphens/>
              <w:contextualSpacing/>
              <w:jc w:val="both"/>
              <w:outlineLvl w:val="0"/>
              <w:rPr>
                <w:rFonts w:eastAsia="Calibri"/>
                <w:bCs/>
                <w:iCs/>
                <w:lang w:eastAsia="en-US"/>
              </w:rPr>
            </w:pPr>
          </w:p>
          <w:p w14:paraId="75F4E131" w14:textId="3D8C5CA0" w:rsidR="00873FDA" w:rsidRPr="00873FDA" w:rsidRDefault="00873FDA" w:rsidP="00873FDA">
            <w:pPr>
              <w:widowControl w:val="0"/>
              <w:tabs>
                <w:tab w:val="left" w:pos="851"/>
              </w:tabs>
              <w:suppressAutoHyphens/>
              <w:contextualSpacing/>
              <w:jc w:val="both"/>
              <w:outlineLvl w:val="0"/>
              <w:rPr>
                <w:rFonts w:eastAsia="Calibri"/>
                <w:bCs/>
                <w:iCs/>
                <w:lang w:eastAsia="en-US"/>
              </w:rPr>
            </w:pPr>
            <w:r w:rsidRPr="00873FDA">
              <w:rPr>
                <w:rFonts w:eastAsia="Calibri"/>
                <w:bCs/>
                <w:iCs/>
                <w:lang w:eastAsia="en-US"/>
              </w:rPr>
              <w:t>Par precizēto projektu izteiktais iebildums 23.03.2020</w:t>
            </w:r>
          </w:p>
          <w:p w14:paraId="1280E599" w14:textId="77777777" w:rsidR="00873FDA" w:rsidRDefault="00873FDA" w:rsidP="00810BB2">
            <w:pPr>
              <w:widowControl w:val="0"/>
              <w:tabs>
                <w:tab w:val="left" w:pos="851"/>
              </w:tabs>
              <w:suppressAutoHyphens/>
              <w:contextualSpacing/>
              <w:jc w:val="both"/>
              <w:outlineLvl w:val="0"/>
              <w:rPr>
                <w:rFonts w:eastAsia="Calibri"/>
                <w:iCs/>
                <w:lang w:eastAsia="en-US"/>
              </w:rPr>
            </w:pPr>
          </w:p>
          <w:p w14:paraId="1EA5B74E" w14:textId="0F1E9CEF" w:rsidR="00873FDA" w:rsidRPr="00873FDA" w:rsidRDefault="00873FDA" w:rsidP="00873FDA">
            <w:pPr>
              <w:widowControl w:val="0"/>
              <w:tabs>
                <w:tab w:val="left" w:pos="851"/>
              </w:tabs>
              <w:suppressAutoHyphens/>
              <w:contextualSpacing/>
              <w:jc w:val="both"/>
              <w:outlineLvl w:val="0"/>
              <w:rPr>
                <w:rFonts w:eastAsia="Calibri"/>
                <w:iCs/>
                <w:lang w:eastAsia="en-US"/>
              </w:rPr>
            </w:pPr>
            <w:r w:rsidRPr="00873FDA">
              <w:rPr>
                <w:rFonts w:eastAsia="Calibri"/>
                <w:iCs/>
                <w:lang w:eastAsia="en-US"/>
              </w:rPr>
              <w:t> </w:t>
            </w:r>
            <w:r w:rsidR="00980447">
              <w:rPr>
                <w:rFonts w:eastAsia="Calibri"/>
                <w:iCs/>
                <w:lang w:eastAsia="en-US"/>
              </w:rPr>
              <w:t>U</w:t>
            </w:r>
            <w:r w:rsidR="00980447" w:rsidRPr="00691A12">
              <w:rPr>
                <w:rFonts w:eastAsia="Calibri"/>
                <w:iCs/>
                <w:lang w:eastAsia="en-US"/>
              </w:rPr>
              <w:t>ztur izziņas II sadaļā ietverto</w:t>
            </w:r>
            <w:r w:rsidR="00980447" w:rsidRPr="00980447">
              <w:rPr>
                <w:rFonts w:eastAsia="Calibri"/>
                <w:iCs/>
                <w:lang w:eastAsia="en-US"/>
              </w:rPr>
              <w:t xml:space="preserve"> </w:t>
            </w:r>
            <w:r w:rsidRPr="00873FDA">
              <w:rPr>
                <w:rFonts w:eastAsia="Calibri"/>
                <w:iCs/>
                <w:lang w:eastAsia="en-US"/>
              </w:rPr>
              <w:t xml:space="preserve">3.iebildumu, jo projekts vēl joprojām neatbilst  EDL 38.1 panta pirmajā daļā Ministru kabinetam dotajam pilnvarojumam. Vēršam uzmanību, ka projektā ir paredzētas prasības ne </w:t>
            </w:r>
            <w:r w:rsidRPr="00873FDA">
              <w:rPr>
                <w:rFonts w:eastAsia="Calibri"/>
                <w:iCs/>
                <w:lang w:eastAsia="en-US"/>
              </w:rPr>
              <w:lastRenderedPageBreak/>
              <w:t>tikai paaugstināta riska objektiem (nevis subjektiem), bet arī tā sniegto pakalpojumu lietotājiem (piemēram, iepriekšējās redakcija projekta 12.1. apakšpunktā), kas pārsniedz Ministru kabinetam likumā doto pilnvarojumu. Projekta II sadaļa  paredz, ka pakalpojuma sniedzējs ar iekšējās kārtības noteikumiem higiēnas prasības pakalpojuma  saņēmējam padara saistošas. Vēršam uzmanību, ka veiksmīgāk higiēnas prasības, kas jāievēro pakalpojuma saņēmējam ir ietvert pakalpojuma saņemšanas noteikumos. Iekšējās kārtības noteikumi būtu vairāk piemēroti darbinieku rīcības regulēšanai. Patērētājs, klients, pakalpojuma saņēmējs jau nav padotības attiecībās ar pakalpojuma sniedzēju. Pakalpojumi tiek sniegti uz vienošanās pamata.</w:t>
            </w:r>
          </w:p>
          <w:p w14:paraId="26FF1B46" w14:textId="1E3B7AB5" w:rsidR="00873FDA" w:rsidRPr="00B20FCA" w:rsidRDefault="00873FDA" w:rsidP="00810BB2">
            <w:pPr>
              <w:widowControl w:val="0"/>
              <w:tabs>
                <w:tab w:val="left" w:pos="851"/>
              </w:tabs>
              <w:suppressAutoHyphens/>
              <w:contextualSpacing/>
              <w:jc w:val="both"/>
              <w:outlineLvl w:val="0"/>
            </w:pPr>
          </w:p>
        </w:tc>
        <w:tc>
          <w:tcPr>
            <w:tcW w:w="2693" w:type="dxa"/>
            <w:tcBorders>
              <w:left w:val="single" w:sz="6" w:space="0" w:color="000000"/>
              <w:bottom w:val="single" w:sz="4" w:space="0" w:color="auto"/>
              <w:right w:val="single" w:sz="6" w:space="0" w:color="000000"/>
            </w:tcBorders>
          </w:tcPr>
          <w:p w14:paraId="23C6205A" w14:textId="7FF4A47B" w:rsidR="004517FF" w:rsidRPr="00B20FCA" w:rsidRDefault="00D32A7B" w:rsidP="00B20FCA">
            <w:pPr>
              <w:pStyle w:val="naisc"/>
              <w:spacing w:before="0" w:after="0"/>
              <w:jc w:val="both"/>
            </w:pPr>
            <w:r w:rsidRPr="00D32A7B">
              <w:rPr>
                <w:b/>
              </w:rPr>
              <w:lastRenderedPageBreak/>
              <w:t>Ņemts vērā</w:t>
            </w:r>
          </w:p>
        </w:tc>
        <w:tc>
          <w:tcPr>
            <w:tcW w:w="1701" w:type="dxa"/>
            <w:tcBorders>
              <w:top w:val="single" w:sz="4" w:space="0" w:color="auto"/>
              <w:left w:val="single" w:sz="4" w:space="0" w:color="auto"/>
              <w:bottom w:val="single" w:sz="4" w:space="0" w:color="auto"/>
            </w:tcBorders>
          </w:tcPr>
          <w:p w14:paraId="72FA3BF8" w14:textId="6C48BD20" w:rsidR="00810BB2" w:rsidRPr="00810BB2" w:rsidRDefault="00810BB2" w:rsidP="00810BB2">
            <w:pPr>
              <w:jc w:val="both"/>
            </w:pPr>
            <w:r w:rsidRPr="00810BB2">
              <w:t xml:space="preserve">7.1. pakalpojuma sniedzējs nodrošina, ka baseina un pirts telpas </w:t>
            </w:r>
            <w:r w:rsidR="00502701">
              <w:t>nelieto</w:t>
            </w:r>
            <w:r w:rsidRPr="00810BB2">
              <w:t xml:space="preserve">  virsdrēbēs un āra apavos;</w:t>
            </w:r>
          </w:p>
          <w:p w14:paraId="4D22B07F" w14:textId="77777777" w:rsidR="004517FF" w:rsidRDefault="004517FF" w:rsidP="00B20FCA">
            <w:pPr>
              <w:jc w:val="both"/>
            </w:pPr>
          </w:p>
          <w:p w14:paraId="2D5375C1" w14:textId="77777777" w:rsidR="00E5698E" w:rsidRDefault="00E5698E" w:rsidP="00B20FCA">
            <w:pPr>
              <w:jc w:val="both"/>
            </w:pPr>
          </w:p>
          <w:p w14:paraId="26EF0514" w14:textId="77777777" w:rsidR="00E5698E" w:rsidRDefault="00E5698E" w:rsidP="00B20FCA">
            <w:pPr>
              <w:jc w:val="both"/>
            </w:pPr>
          </w:p>
          <w:p w14:paraId="0C5C2B62" w14:textId="77777777" w:rsidR="00E5698E" w:rsidRDefault="00E5698E" w:rsidP="00B20FCA">
            <w:pPr>
              <w:jc w:val="both"/>
            </w:pPr>
          </w:p>
          <w:p w14:paraId="0F79389D" w14:textId="77777777" w:rsidR="00E5698E" w:rsidRPr="00E5698E" w:rsidRDefault="00E5698E" w:rsidP="00E5698E">
            <w:pPr>
              <w:jc w:val="both"/>
            </w:pPr>
            <w:r w:rsidRPr="00E5698E">
              <w:lastRenderedPageBreak/>
              <w:t xml:space="preserve">2. Pakalpojuma sniedzējs izstrādā </w:t>
            </w:r>
            <w:bookmarkStart w:id="5" w:name="_Hlk20923530"/>
            <w:r w:rsidRPr="00E5698E">
              <w:t xml:space="preserve">pakalpojuma saņemšanas noteikumus </w:t>
            </w:r>
            <w:bookmarkEnd w:id="5"/>
            <w:r w:rsidRPr="00E5698E">
              <w:t>un dara tos publiski pieejamus.</w:t>
            </w:r>
          </w:p>
          <w:p w14:paraId="02D3E0F6" w14:textId="3AA2A336" w:rsidR="00E5698E" w:rsidRPr="00B20FCA" w:rsidRDefault="00E5698E" w:rsidP="00B20FCA">
            <w:pPr>
              <w:jc w:val="both"/>
            </w:pPr>
          </w:p>
        </w:tc>
      </w:tr>
      <w:tr w:rsidR="004517FF" w:rsidRPr="00226440" w14:paraId="0C671B0E" w14:textId="77777777" w:rsidTr="00B368A0">
        <w:trPr>
          <w:trHeight w:val="1253"/>
        </w:trPr>
        <w:tc>
          <w:tcPr>
            <w:tcW w:w="708" w:type="dxa"/>
            <w:tcBorders>
              <w:left w:val="single" w:sz="6" w:space="0" w:color="000000"/>
              <w:bottom w:val="single" w:sz="4" w:space="0" w:color="auto"/>
              <w:right w:val="single" w:sz="6" w:space="0" w:color="000000"/>
            </w:tcBorders>
          </w:tcPr>
          <w:p w14:paraId="688AC195" w14:textId="56A3F23F" w:rsidR="004517FF" w:rsidRDefault="00502701" w:rsidP="00E90C14">
            <w:pPr>
              <w:pStyle w:val="naisc"/>
              <w:spacing w:before="0" w:after="0"/>
            </w:pPr>
            <w:r>
              <w:lastRenderedPageBreak/>
              <w:t>5</w:t>
            </w:r>
            <w:r w:rsidR="004517FF">
              <w:t>.</w:t>
            </w:r>
          </w:p>
        </w:tc>
        <w:tc>
          <w:tcPr>
            <w:tcW w:w="1552" w:type="dxa"/>
            <w:tcBorders>
              <w:left w:val="single" w:sz="6" w:space="0" w:color="000000"/>
              <w:bottom w:val="single" w:sz="4" w:space="0" w:color="auto"/>
              <w:right w:val="single" w:sz="6" w:space="0" w:color="000000"/>
            </w:tcBorders>
          </w:tcPr>
          <w:p w14:paraId="2E315755" w14:textId="77777777" w:rsidR="004517FF" w:rsidRPr="00B20FCA" w:rsidRDefault="004517FF" w:rsidP="00B20FCA">
            <w:pPr>
              <w:spacing w:before="120"/>
              <w:jc w:val="both"/>
              <w:rPr>
                <w:lang w:bidi="en-US"/>
              </w:rPr>
            </w:pPr>
          </w:p>
        </w:tc>
        <w:tc>
          <w:tcPr>
            <w:tcW w:w="7230" w:type="dxa"/>
            <w:gridSpan w:val="2"/>
            <w:tcBorders>
              <w:left w:val="single" w:sz="6" w:space="0" w:color="000000"/>
              <w:bottom w:val="single" w:sz="4" w:space="0" w:color="auto"/>
              <w:right w:val="single" w:sz="6" w:space="0" w:color="000000"/>
            </w:tcBorders>
          </w:tcPr>
          <w:p w14:paraId="3AD6A8D0" w14:textId="5401C09A" w:rsidR="004517FF" w:rsidRDefault="004517FF" w:rsidP="004517FF">
            <w:pPr>
              <w:widowControl w:val="0"/>
              <w:tabs>
                <w:tab w:val="left" w:pos="851"/>
              </w:tabs>
              <w:suppressAutoHyphens/>
              <w:contextualSpacing/>
              <w:jc w:val="both"/>
              <w:outlineLvl w:val="0"/>
              <w:rPr>
                <w:rFonts w:eastAsia="Calibri"/>
                <w:iCs/>
                <w:lang w:eastAsia="en-US"/>
              </w:rPr>
            </w:pPr>
            <w:r>
              <w:rPr>
                <w:rFonts w:eastAsia="Calibri"/>
                <w:iCs/>
                <w:lang w:eastAsia="en-US"/>
              </w:rPr>
              <w:t xml:space="preserve">3. </w:t>
            </w:r>
            <w:r w:rsidRPr="00996787">
              <w:rPr>
                <w:rFonts w:eastAsia="Calibri"/>
                <w:iCs/>
                <w:lang w:eastAsia="en-US"/>
              </w:rPr>
              <w:t>Lūdzam anotācijā norādīt dokumentu, uz ko balstīta konkrētu paaugstināta riska subjektiem paredzētu prasību iekļaušana projektā, jo vairākām projektā ietvertajām prasībām pamatojums nav pašsaprotams. Piemēram, nav saprotams, kādēļ projekta 12. punktā tiek noteiktas būtiski atšķirīgas prasības dušas iekārtu skaitam baseinu un pirts pakalpojumu sniedzējiem</w:t>
            </w:r>
          </w:p>
          <w:p w14:paraId="35276A13" w14:textId="4791AE40" w:rsidR="004517FF" w:rsidRPr="00996787" w:rsidRDefault="004517FF" w:rsidP="004517FF">
            <w:pPr>
              <w:widowControl w:val="0"/>
              <w:tabs>
                <w:tab w:val="left" w:pos="851"/>
              </w:tabs>
              <w:suppressAutoHyphens/>
              <w:contextualSpacing/>
              <w:jc w:val="both"/>
              <w:outlineLvl w:val="0"/>
              <w:rPr>
                <w:rFonts w:eastAsia="Calibri"/>
                <w:iCs/>
                <w:lang w:eastAsia="en-US"/>
              </w:rPr>
            </w:pPr>
            <w:r w:rsidRPr="00996787">
              <w:rPr>
                <w:rFonts w:eastAsia="Calibri"/>
                <w:iCs/>
                <w:lang w:eastAsia="en-US"/>
              </w:rPr>
              <w:t>(1 iekārta uz 30 baseina apmeklētājiem, bet pirts gadījumā – 1 iekārta uz 10 apmeklētājiem) vai uz ko ir balstītas projekta 24. punktā paredzētās prasības.</w:t>
            </w:r>
          </w:p>
          <w:p w14:paraId="35F0286E" w14:textId="77777777" w:rsidR="004517FF" w:rsidRPr="00B20FCA" w:rsidRDefault="004517FF" w:rsidP="00B20FCA">
            <w:pPr>
              <w:jc w:val="both"/>
            </w:pPr>
          </w:p>
        </w:tc>
        <w:tc>
          <w:tcPr>
            <w:tcW w:w="2693" w:type="dxa"/>
            <w:tcBorders>
              <w:left w:val="single" w:sz="6" w:space="0" w:color="000000"/>
              <w:bottom w:val="single" w:sz="4" w:space="0" w:color="auto"/>
              <w:right w:val="single" w:sz="6" w:space="0" w:color="000000"/>
            </w:tcBorders>
          </w:tcPr>
          <w:p w14:paraId="594BC18D" w14:textId="549D4FAE" w:rsidR="004517FF" w:rsidRPr="00B20FCA" w:rsidRDefault="00D32A7B" w:rsidP="00B20FCA">
            <w:pPr>
              <w:pStyle w:val="naisc"/>
              <w:spacing w:before="0" w:after="0"/>
              <w:jc w:val="both"/>
            </w:pPr>
            <w:r w:rsidRPr="00D32A7B">
              <w:rPr>
                <w:b/>
              </w:rPr>
              <w:t>Ņemts vērā</w:t>
            </w:r>
          </w:p>
        </w:tc>
        <w:tc>
          <w:tcPr>
            <w:tcW w:w="1701" w:type="dxa"/>
            <w:tcBorders>
              <w:top w:val="single" w:sz="4" w:space="0" w:color="auto"/>
              <w:left w:val="single" w:sz="4" w:space="0" w:color="auto"/>
              <w:bottom w:val="single" w:sz="4" w:space="0" w:color="auto"/>
            </w:tcBorders>
          </w:tcPr>
          <w:p w14:paraId="4A4D23E6" w14:textId="2E5F4A60" w:rsidR="004517FF" w:rsidRPr="00B20FCA" w:rsidRDefault="00276D29" w:rsidP="00B20FCA">
            <w:pPr>
              <w:jc w:val="both"/>
            </w:pPr>
            <w:r>
              <w:t>Precizēta anotācija</w:t>
            </w:r>
          </w:p>
        </w:tc>
      </w:tr>
      <w:tr w:rsidR="004517FF" w:rsidRPr="00226440" w14:paraId="0D69EE7F" w14:textId="77777777" w:rsidTr="00B368A0">
        <w:trPr>
          <w:trHeight w:val="1253"/>
        </w:trPr>
        <w:tc>
          <w:tcPr>
            <w:tcW w:w="708" w:type="dxa"/>
            <w:tcBorders>
              <w:left w:val="single" w:sz="6" w:space="0" w:color="000000"/>
              <w:bottom w:val="single" w:sz="4" w:space="0" w:color="auto"/>
              <w:right w:val="single" w:sz="6" w:space="0" w:color="000000"/>
            </w:tcBorders>
          </w:tcPr>
          <w:p w14:paraId="6BD6DF25" w14:textId="6141627D" w:rsidR="004517FF" w:rsidRDefault="00502701" w:rsidP="00E90C14">
            <w:pPr>
              <w:pStyle w:val="naisc"/>
              <w:spacing w:before="0" w:after="0"/>
            </w:pPr>
            <w:r>
              <w:t>6</w:t>
            </w:r>
            <w:r w:rsidR="004517FF">
              <w:t>.</w:t>
            </w:r>
          </w:p>
        </w:tc>
        <w:tc>
          <w:tcPr>
            <w:tcW w:w="1552" w:type="dxa"/>
            <w:tcBorders>
              <w:left w:val="single" w:sz="6" w:space="0" w:color="000000"/>
              <w:bottom w:val="single" w:sz="4" w:space="0" w:color="auto"/>
              <w:right w:val="single" w:sz="6" w:space="0" w:color="000000"/>
            </w:tcBorders>
          </w:tcPr>
          <w:p w14:paraId="2D3B75D8" w14:textId="77777777" w:rsidR="004517FF" w:rsidRPr="00B20FCA" w:rsidRDefault="004517FF" w:rsidP="00B20FCA">
            <w:pPr>
              <w:spacing w:before="120"/>
              <w:jc w:val="both"/>
              <w:rPr>
                <w:lang w:bidi="en-US"/>
              </w:rPr>
            </w:pPr>
          </w:p>
        </w:tc>
        <w:tc>
          <w:tcPr>
            <w:tcW w:w="7230" w:type="dxa"/>
            <w:gridSpan w:val="2"/>
            <w:tcBorders>
              <w:left w:val="single" w:sz="6" w:space="0" w:color="000000"/>
              <w:bottom w:val="single" w:sz="4" w:space="0" w:color="auto"/>
              <w:right w:val="single" w:sz="6" w:space="0" w:color="000000"/>
            </w:tcBorders>
          </w:tcPr>
          <w:p w14:paraId="6E28E686" w14:textId="2E879E94" w:rsidR="004517FF" w:rsidRDefault="004517FF" w:rsidP="004517FF">
            <w:pPr>
              <w:widowControl w:val="0"/>
              <w:tabs>
                <w:tab w:val="left" w:pos="851"/>
              </w:tabs>
              <w:suppressAutoHyphens/>
              <w:contextualSpacing/>
              <w:jc w:val="both"/>
              <w:outlineLvl w:val="0"/>
              <w:rPr>
                <w:rFonts w:eastAsia="Calibri"/>
                <w:iCs/>
                <w:lang w:eastAsia="en-US"/>
              </w:rPr>
            </w:pPr>
            <w:r>
              <w:rPr>
                <w:rFonts w:eastAsia="Calibri"/>
                <w:iCs/>
                <w:lang w:eastAsia="en-US"/>
              </w:rPr>
              <w:t xml:space="preserve">4. </w:t>
            </w:r>
            <w:r w:rsidRPr="00996787">
              <w:rPr>
                <w:rFonts w:eastAsia="Calibri"/>
                <w:iCs/>
                <w:lang w:eastAsia="en-US"/>
              </w:rPr>
              <w:t xml:space="preserve">Ņemot vērā, ka šis ir jaunu Ministru kabineta noteikumu projekts, lūdzam pilnīgāk aizpildīt anotāciju, jo projekts paredz virkni prasību, ierobežojumu, termiņu un kritēriju, kuriem anotācijā nav skaidrojuma (pamatojuma). Vēršam uzmanību, ka ikvienam nosacījumam normatīvajā aktā ir jābūt objektīvi pamatotam. Par pamatojumu nevar kalpot tas, ka iepriekš izdotajos Ministru kabineta noteikumos šāds regulējums jau pastāvēja. Tas izriet no Valsts pārvaldes iekārtas likuma 10. panta sestās daļas, saskaņā ar kuru valsts pārvalde savā darbībā pastāvīgi pārbauda un uzlabo sabiedrībai sniegto pakalpojumu kvalitāti un valsts pārvaldei ir pienākums vienkāršot un uzlabot procedūras privātpersonas labā. Uz to ir norādīts arī Ekonomiskās sadarbības un attīstības organizācijas Padomes 2012. gada 22. marta rekomendācijā Nr. C(2012)37 par pārvaldes </w:t>
            </w:r>
            <w:r w:rsidRPr="00996787">
              <w:rPr>
                <w:rFonts w:eastAsia="Calibri"/>
                <w:iCs/>
                <w:lang w:eastAsia="en-US"/>
              </w:rPr>
              <w:lastRenderedPageBreak/>
              <w:t>politiku un pārvaldību, kur minēts, ka valdībai sistemātiski un periodiski jāpārskata spēkā esošais regulējums, lai identificētu un atceltu vai mainītu regulējumu, kurš ir</w:t>
            </w:r>
          </w:p>
          <w:p w14:paraId="44B1B964" w14:textId="6F5A16C8" w:rsidR="004517FF" w:rsidRPr="00996787" w:rsidRDefault="004517FF" w:rsidP="004517FF">
            <w:pPr>
              <w:widowControl w:val="0"/>
              <w:tabs>
                <w:tab w:val="left" w:pos="851"/>
              </w:tabs>
              <w:suppressAutoHyphens/>
              <w:contextualSpacing/>
              <w:jc w:val="both"/>
              <w:outlineLvl w:val="0"/>
              <w:rPr>
                <w:rFonts w:eastAsia="Calibri"/>
                <w:iCs/>
                <w:lang w:eastAsia="en-US"/>
              </w:rPr>
            </w:pPr>
            <w:r w:rsidRPr="00996787">
              <w:rPr>
                <w:rFonts w:eastAsia="Calibri"/>
                <w:iCs/>
                <w:lang w:eastAsia="en-US"/>
              </w:rPr>
              <w:t>novecojis, nepietiekams vai neefektīvs.</w:t>
            </w:r>
          </w:p>
          <w:p w14:paraId="71221701" w14:textId="77777777" w:rsidR="004517FF" w:rsidRPr="00996787" w:rsidRDefault="004517FF" w:rsidP="004517FF">
            <w:pPr>
              <w:tabs>
                <w:tab w:val="left" w:pos="851"/>
              </w:tabs>
              <w:suppressAutoHyphens/>
              <w:ind w:firstLine="567"/>
              <w:contextualSpacing/>
              <w:jc w:val="both"/>
              <w:outlineLvl w:val="0"/>
              <w:rPr>
                <w:rFonts w:eastAsia="Calibri"/>
                <w:iCs/>
                <w:lang w:eastAsia="en-US"/>
              </w:rPr>
            </w:pPr>
            <w:r w:rsidRPr="00996787">
              <w:rPr>
                <w:rFonts w:eastAsia="Calibri"/>
                <w:iCs/>
                <w:lang w:eastAsia="en-US"/>
              </w:rPr>
              <w:t>Ievērojot minēto, lūdzam precizēt projekta anotāciju atbilstoši Ministru kabineta 2009. gada 15. decembra instrukcijas Nr. 19 "Tiesību akta projekta sākotnējās ietekmes izvērtēšanas kārtība" (turpmāk – Instrukcija Nr. 19) 14. punktam, saskaņā ar kuru anotācijas I sadaļas 2. punktā:</w:t>
            </w:r>
          </w:p>
          <w:p w14:paraId="43D96DDC" w14:textId="77777777" w:rsidR="004517FF" w:rsidRPr="00996787" w:rsidRDefault="004517FF" w:rsidP="004517FF">
            <w:pPr>
              <w:tabs>
                <w:tab w:val="left" w:pos="851"/>
              </w:tabs>
              <w:suppressAutoHyphens/>
              <w:ind w:firstLine="567"/>
              <w:contextualSpacing/>
              <w:jc w:val="both"/>
              <w:outlineLvl w:val="0"/>
              <w:rPr>
                <w:rFonts w:eastAsia="Calibri"/>
                <w:iCs/>
                <w:lang w:eastAsia="en-US"/>
              </w:rPr>
            </w:pPr>
            <w:r w:rsidRPr="00996787">
              <w:rPr>
                <w:rFonts w:eastAsia="Calibri"/>
                <w:iCs/>
                <w:lang w:eastAsia="en-US"/>
              </w:rPr>
              <w:t>1) raksturo problēmu, kuras risināšanai nepieciešama projekta izstrāde. Problēmas identificēšanai un raksturošanai pēc iespējas izmanto uz pierādījumiem balstītus faktus, kas raksturo risināmo problēmu un attiecīgo politikas jomu (ja attiecināms), norāda informāciju par iepriekš veiktajiem politikas ietekmes novērtējumiem (sākotnējiem, starpposma un gala novērtējumiem) vai cita veida pētījumiem, ietverot pārskatu par šo ietekmes novērtējumu vai pētījumu galvenajiem secinājumiem, ieteiktajiem risinājumiem un turpmāko rīcību;</w:t>
            </w:r>
          </w:p>
          <w:p w14:paraId="07586B5D" w14:textId="77777777" w:rsidR="004517FF" w:rsidRPr="00996787" w:rsidRDefault="004517FF" w:rsidP="004517FF">
            <w:pPr>
              <w:tabs>
                <w:tab w:val="left" w:pos="851"/>
              </w:tabs>
              <w:suppressAutoHyphens/>
              <w:ind w:firstLine="567"/>
              <w:contextualSpacing/>
              <w:jc w:val="both"/>
              <w:outlineLvl w:val="0"/>
              <w:rPr>
                <w:rFonts w:eastAsia="Calibri"/>
                <w:iCs/>
                <w:lang w:eastAsia="en-US"/>
              </w:rPr>
            </w:pPr>
            <w:r w:rsidRPr="00996787">
              <w:rPr>
                <w:rFonts w:eastAsia="Calibri"/>
                <w:iCs/>
                <w:lang w:eastAsia="en-US"/>
              </w:rPr>
              <w:t xml:space="preserve">2) norāda pastāvošo tiesisko regulējumu un skaidro tā būtību, kā arī raksturo pastāvošā tiesiskā regulējuma nepilnības. Ja attiecībā uz norādīto problēmu nepastāv tiesiskais regulējums, tad skaidro, kādas sekas rada tiesiskā regulējuma </w:t>
            </w:r>
            <w:proofErr w:type="spellStart"/>
            <w:r w:rsidRPr="00996787">
              <w:rPr>
                <w:rFonts w:eastAsia="Calibri"/>
                <w:iCs/>
                <w:lang w:eastAsia="en-US"/>
              </w:rPr>
              <w:t>neesība</w:t>
            </w:r>
            <w:proofErr w:type="spellEnd"/>
            <w:r w:rsidRPr="00996787">
              <w:rPr>
                <w:rFonts w:eastAsia="Calibri"/>
                <w:iCs/>
                <w:lang w:eastAsia="en-US"/>
              </w:rPr>
              <w:t>;</w:t>
            </w:r>
          </w:p>
          <w:p w14:paraId="1E05F564" w14:textId="255C8829" w:rsidR="004517FF" w:rsidRPr="004517FF" w:rsidRDefault="004517FF" w:rsidP="004517FF">
            <w:pPr>
              <w:jc w:val="both"/>
              <w:rPr>
                <w:iCs/>
              </w:rPr>
            </w:pPr>
            <w:r w:rsidRPr="004517FF">
              <w:rPr>
                <w:iCs/>
              </w:rPr>
              <w:t>3) norāda informāciju par projekta izdošanas mērķi (sasaistot to ar informāciju par esošo situāciju) un aprakstošu informāciju par projekta būtību (necitējot projektā ietvertās normas), raksturo pastāvošā tiesiskā regulējuma nepilnības un skaidro, kā tiesiskā regulējuma izmaiņas risinās norādīto problēmu vai atrisinās to pilnībā.</w:t>
            </w:r>
          </w:p>
          <w:p w14:paraId="65A3B9DE" w14:textId="77777777" w:rsidR="004517FF" w:rsidRPr="004517FF" w:rsidRDefault="004517FF" w:rsidP="004517FF">
            <w:pPr>
              <w:jc w:val="both"/>
              <w:rPr>
                <w:iCs/>
              </w:rPr>
            </w:pPr>
            <w:r w:rsidRPr="004517FF">
              <w:rPr>
                <w:iCs/>
              </w:rPr>
              <w:t>Pretējā gadījumā šobrīd nav iespējams pēc būtības pārliecināties par projektā minētā regulējuma (ierobežojumu, prasību utt.) nepieciešamību.</w:t>
            </w:r>
          </w:p>
          <w:p w14:paraId="5D24B7F5" w14:textId="77777777" w:rsidR="004517FF" w:rsidRPr="00B20FCA" w:rsidRDefault="004517FF" w:rsidP="00B20FCA">
            <w:pPr>
              <w:jc w:val="both"/>
            </w:pPr>
          </w:p>
        </w:tc>
        <w:tc>
          <w:tcPr>
            <w:tcW w:w="2693" w:type="dxa"/>
            <w:tcBorders>
              <w:left w:val="single" w:sz="6" w:space="0" w:color="000000"/>
              <w:bottom w:val="single" w:sz="4" w:space="0" w:color="auto"/>
              <w:right w:val="single" w:sz="6" w:space="0" w:color="000000"/>
            </w:tcBorders>
          </w:tcPr>
          <w:p w14:paraId="64B21FB2" w14:textId="7D88C944" w:rsidR="004517FF" w:rsidRPr="00B20FCA" w:rsidRDefault="00D32A7B" w:rsidP="00B20FCA">
            <w:pPr>
              <w:pStyle w:val="naisc"/>
              <w:spacing w:before="0" w:after="0"/>
              <w:jc w:val="both"/>
            </w:pPr>
            <w:r w:rsidRPr="00D32A7B">
              <w:rPr>
                <w:b/>
              </w:rPr>
              <w:lastRenderedPageBreak/>
              <w:t>Ņemts vērā</w:t>
            </w:r>
          </w:p>
        </w:tc>
        <w:tc>
          <w:tcPr>
            <w:tcW w:w="1701" w:type="dxa"/>
            <w:tcBorders>
              <w:top w:val="single" w:sz="4" w:space="0" w:color="auto"/>
              <w:left w:val="single" w:sz="4" w:space="0" w:color="auto"/>
              <w:bottom w:val="single" w:sz="4" w:space="0" w:color="auto"/>
            </w:tcBorders>
          </w:tcPr>
          <w:p w14:paraId="2076ECDF" w14:textId="29AFFDC4" w:rsidR="004517FF" w:rsidRPr="00B20FCA" w:rsidRDefault="00276D29" w:rsidP="00B20FCA">
            <w:pPr>
              <w:jc w:val="both"/>
            </w:pPr>
            <w:r w:rsidRPr="00276D29">
              <w:t>Precizēta anotācija</w:t>
            </w:r>
          </w:p>
        </w:tc>
      </w:tr>
      <w:tr w:rsidR="004517FF" w:rsidRPr="00226440" w14:paraId="4DEEAFD2" w14:textId="77777777" w:rsidTr="00B368A0">
        <w:trPr>
          <w:trHeight w:val="1253"/>
        </w:trPr>
        <w:tc>
          <w:tcPr>
            <w:tcW w:w="708" w:type="dxa"/>
            <w:tcBorders>
              <w:left w:val="single" w:sz="6" w:space="0" w:color="000000"/>
              <w:bottom w:val="single" w:sz="4" w:space="0" w:color="auto"/>
              <w:right w:val="single" w:sz="6" w:space="0" w:color="000000"/>
            </w:tcBorders>
          </w:tcPr>
          <w:p w14:paraId="6ABDAF43" w14:textId="67BC00A2" w:rsidR="004517FF" w:rsidRDefault="00502701" w:rsidP="00E90C14">
            <w:pPr>
              <w:pStyle w:val="naisc"/>
              <w:spacing w:before="0" w:after="0"/>
            </w:pPr>
            <w:r>
              <w:t>7</w:t>
            </w:r>
            <w:r w:rsidR="004517FF">
              <w:t>.</w:t>
            </w:r>
          </w:p>
        </w:tc>
        <w:tc>
          <w:tcPr>
            <w:tcW w:w="1552" w:type="dxa"/>
            <w:tcBorders>
              <w:left w:val="single" w:sz="6" w:space="0" w:color="000000"/>
              <w:bottom w:val="single" w:sz="4" w:space="0" w:color="auto"/>
              <w:right w:val="single" w:sz="6" w:space="0" w:color="000000"/>
            </w:tcBorders>
          </w:tcPr>
          <w:p w14:paraId="73E4566A" w14:textId="77777777" w:rsidR="00F92009" w:rsidRPr="00F92009" w:rsidRDefault="00F92009" w:rsidP="00F92009">
            <w:pPr>
              <w:spacing w:before="120"/>
              <w:jc w:val="both"/>
              <w:rPr>
                <w:lang w:bidi="en-US"/>
              </w:rPr>
            </w:pPr>
            <w:r w:rsidRPr="00F92009">
              <w:rPr>
                <w:lang w:bidi="en-US"/>
              </w:rPr>
              <w:t xml:space="preserve">13. Baseina un pirts </w:t>
            </w:r>
            <w:r w:rsidRPr="00F92009">
              <w:rPr>
                <w:bCs/>
                <w:lang w:bidi="en-US"/>
              </w:rPr>
              <w:t xml:space="preserve">telpas, kā arī tajās </w:t>
            </w:r>
            <w:r w:rsidRPr="00F92009">
              <w:rPr>
                <w:bCs/>
                <w:lang w:bidi="en-US"/>
              </w:rPr>
              <w:lastRenderedPageBreak/>
              <w:t>izvietotās i</w:t>
            </w:r>
            <w:r w:rsidRPr="00F92009">
              <w:rPr>
                <w:lang w:bidi="en-US"/>
              </w:rPr>
              <w:t xml:space="preserve">ekārtas ir aprīkotas un uzturētas tā, lai novērstu negadījumu risku. Sienu un grīdu apdarē izmanto viegli tīrāmus materiālus, kas paredzēti mitrai uzkopšanai un dezinfekcijai. Grīdas segumam telpās izmanto materiāla pārklājumu, kas nav slidens. </w:t>
            </w:r>
          </w:p>
          <w:p w14:paraId="19D426C8" w14:textId="77777777" w:rsidR="00F92009" w:rsidRPr="00F92009" w:rsidRDefault="00F92009" w:rsidP="00F92009">
            <w:pPr>
              <w:spacing w:before="120"/>
              <w:jc w:val="both"/>
              <w:rPr>
                <w:lang w:bidi="en-US"/>
              </w:rPr>
            </w:pPr>
          </w:p>
          <w:p w14:paraId="455FE4B3" w14:textId="09A136D8" w:rsidR="00F92009" w:rsidRPr="00F92009" w:rsidRDefault="00F92009" w:rsidP="00F92009">
            <w:pPr>
              <w:spacing w:before="120"/>
              <w:jc w:val="both"/>
              <w:rPr>
                <w:lang w:bidi="en-US"/>
              </w:rPr>
            </w:pPr>
            <w:r>
              <w:rPr>
                <w:lang w:bidi="en-US"/>
              </w:rPr>
              <w:t>1</w:t>
            </w:r>
            <w:r w:rsidRPr="00F92009">
              <w:rPr>
                <w:lang w:bidi="en-US"/>
              </w:rPr>
              <w:t xml:space="preserve">6. Ģērbtuvē iekārto soliņus, skapīšus un āķus mantu </w:t>
            </w:r>
            <w:r w:rsidRPr="00F92009">
              <w:rPr>
                <w:lang w:bidi="en-US"/>
              </w:rPr>
              <w:lastRenderedPageBreak/>
              <w:t xml:space="preserve">novietošanai, kā </w:t>
            </w:r>
            <w:bookmarkStart w:id="6" w:name="p5"/>
            <w:bookmarkStart w:id="7" w:name="p-264674"/>
            <w:bookmarkEnd w:id="6"/>
            <w:bookmarkEnd w:id="7"/>
            <w:r w:rsidRPr="00F92009">
              <w:rPr>
                <w:lang w:bidi="en-US"/>
              </w:rPr>
              <w:t>arī aprīkotu vietu matu žāvēšanai vai drošības prasībām atbilstošu vietu individuālo matu žāvējamo ierīču lietošanai.</w:t>
            </w:r>
          </w:p>
          <w:p w14:paraId="09F97C94" w14:textId="77777777" w:rsidR="004517FF" w:rsidRPr="00B20FCA" w:rsidRDefault="004517FF" w:rsidP="00B20FCA">
            <w:pPr>
              <w:spacing w:before="120"/>
              <w:jc w:val="both"/>
              <w:rPr>
                <w:lang w:bidi="en-US"/>
              </w:rPr>
            </w:pPr>
          </w:p>
        </w:tc>
        <w:tc>
          <w:tcPr>
            <w:tcW w:w="7230" w:type="dxa"/>
            <w:gridSpan w:val="2"/>
            <w:tcBorders>
              <w:left w:val="single" w:sz="6" w:space="0" w:color="000000"/>
              <w:bottom w:val="single" w:sz="4" w:space="0" w:color="auto"/>
              <w:right w:val="single" w:sz="6" w:space="0" w:color="000000"/>
            </w:tcBorders>
          </w:tcPr>
          <w:p w14:paraId="16CBD5B0" w14:textId="773FA246" w:rsidR="004517FF" w:rsidRDefault="004517FF" w:rsidP="004517FF">
            <w:pPr>
              <w:widowControl w:val="0"/>
              <w:tabs>
                <w:tab w:val="left" w:pos="851"/>
              </w:tabs>
              <w:suppressAutoHyphens/>
              <w:contextualSpacing/>
              <w:jc w:val="both"/>
              <w:outlineLvl w:val="0"/>
              <w:rPr>
                <w:rFonts w:eastAsia="Calibri"/>
                <w:szCs w:val="22"/>
                <w:lang w:eastAsia="en-US"/>
              </w:rPr>
            </w:pPr>
            <w:r>
              <w:rPr>
                <w:rFonts w:eastAsia="Calibri"/>
                <w:iCs/>
                <w:szCs w:val="22"/>
                <w:lang w:eastAsia="en-US"/>
              </w:rPr>
              <w:lastRenderedPageBreak/>
              <w:t xml:space="preserve">5. </w:t>
            </w:r>
            <w:r w:rsidRPr="00996787">
              <w:rPr>
                <w:rFonts w:eastAsia="Calibri"/>
                <w:iCs/>
                <w:szCs w:val="22"/>
                <w:lang w:eastAsia="en-US"/>
              </w:rPr>
              <w:t>Saskaņā ar pilnvarojumu EDL 38.</w:t>
            </w:r>
            <w:r w:rsidRPr="00996787">
              <w:rPr>
                <w:rFonts w:eastAsia="Calibri"/>
                <w:iCs/>
                <w:szCs w:val="22"/>
                <w:vertAlign w:val="superscript"/>
                <w:lang w:eastAsia="en-US"/>
              </w:rPr>
              <w:t>1 </w:t>
            </w:r>
            <w:r w:rsidRPr="00996787">
              <w:rPr>
                <w:rFonts w:eastAsia="Calibri"/>
                <w:iCs/>
                <w:szCs w:val="22"/>
                <w:lang w:eastAsia="en-US"/>
              </w:rPr>
              <w:t xml:space="preserve">panta pirmo daļu Ministru kabinets ir tiesīgs noteikt </w:t>
            </w:r>
            <w:r w:rsidRPr="00996787">
              <w:rPr>
                <w:rFonts w:eastAsia="Calibri"/>
                <w:iCs/>
                <w:szCs w:val="22"/>
                <w:u w:val="single"/>
                <w:lang w:eastAsia="en-US"/>
              </w:rPr>
              <w:t>higiēnas</w:t>
            </w:r>
            <w:r w:rsidRPr="00996787">
              <w:rPr>
                <w:rFonts w:eastAsia="Calibri"/>
                <w:iCs/>
                <w:szCs w:val="22"/>
                <w:lang w:eastAsia="en-US"/>
              </w:rPr>
              <w:t xml:space="preserve"> prasības. Saskaņā ar EDL 1. panta 37. punktu "</w:t>
            </w:r>
            <w:r w:rsidRPr="00996787">
              <w:rPr>
                <w:rFonts w:eastAsia="Calibri"/>
                <w:szCs w:val="22"/>
                <w:lang w:eastAsia="en-US"/>
              </w:rPr>
              <w:t xml:space="preserve">higiēna" ir nosacījumu un </w:t>
            </w:r>
            <w:r w:rsidRPr="00996787">
              <w:rPr>
                <w:rFonts w:eastAsia="Calibri"/>
                <w:iCs/>
                <w:szCs w:val="22"/>
                <w:lang w:eastAsia="en-US"/>
              </w:rPr>
              <w:t>praktisku</w:t>
            </w:r>
            <w:r w:rsidRPr="00996787">
              <w:rPr>
                <w:rFonts w:eastAsia="Calibri"/>
                <w:szCs w:val="22"/>
                <w:lang w:eastAsia="en-US"/>
              </w:rPr>
              <w:t xml:space="preserve"> pasākumu kopums, kas nepieciešams, lai samazinātu vai likvidētu vides faktoru (fizikālo, ķīmisko, bioloģisko) iespējami kaitīgo iedarbību, garantējot drošu un </w:t>
            </w:r>
            <w:r w:rsidRPr="00996787">
              <w:rPr>
                <w:rFonts w:eastAsia="Calibri"/>
                <w:szCs w:val="22"/>
                <w:lang w:eastAsia="en-US"/>
              </w:rPr>
              <w:lastRenderedPageBreak/>
              <w:t>cilvēka veselībai nekaitīgu vidi un pakalpojumu sniegšanu. Savukārt vairākas projektā paredzētās prasības šķietami nav saistītas ar higiēnu (piemēram, projekta 9., 15. punktā noteiktās prasības). Tādēļ projektā paredzētās prasības nepieciešams pārskatīt, sniedzot anotācijā skaidrojumu, kā konkrētās prasības ir saistītas ar higiēnu, vai arī</w:t>
            </w:r>
          </w:p>
          <w:p w14:paraId="6EF31AEA" w14:textId="4F4B4CBD" w:rsidR="004517FF" w:rsidRPr="00996787" w:rsidRDefault="004517FF" w:rsidP="004517FF">
            <w:pPr>
              <w:widowControl w:val="0"/>
              <w:tabs>
                <w:tab w:val="left" w:pos="851"/>
              </w:tabs>
              <w:suppressAutoHyphens/>
              <w:contextualSpacing/>
              <w:jc w:val="both"/>
              <w:outlineLvl w:val="0"/>
              <w:rPr>
                <w:rFonts w:eastAsia="Calibri"/>
                <w:iCs/>
                <w:lang w:eastAsia="en-US"/>
              </w:rPr>
            </w:pPr>
            <w:r w:rsidRPr="00996787">
              <w:rPr>
                <w:rFonts w:eastAsia="Calibri"/>
                <w:szCs w:val="22"/>
                <w:lang w:eastAsia="en-US"/>
              </w:rPr>
              <w:t>svītrojot tās prasības, kuras nav saistītas ar higiēnu.</w:t>
            </w:r>
          </w:p>
          <w:p w14:paraId="7F5C8082" w14:textId="77777777" w:rsidR="004517FF" w:rsidRPr="00996787" w:rsidRDefault="004517FF" w:rsidP="004517FF">
            <w:pPr>
              <w:tabs>
                <w:tab w:val="left" w:pos="851"/>
                <w:tab w:val="left" w:pos="993"/>
              </w:tabs>
              <w:suppressAutoHyphens/>
              <w:ind w:firstLine="567"/>
              <w:jc w:val="both"/>
              <w:outlineLvl w:val="0"/>
              <w:rPr>
                <w:rFonts w:eastAsia="Calibri"/>
                <w:bCs/>
                <w:iCs/>
                <w:lang w:eastAsia="en-US"/>
              </w:rPr>
            </w:pPr>
            <w:r w:rsidRPr="00996787">
              <w:rPr>
                <w:rFonts w:eastAsia="Calibri"/>
                <w:bCs/>
                <w:iCs/>
                <w:lang w:eastAsia="en-US"/>
              </w:rPr>
              <w:t xml:space="preserve">Vienlaikus jāņem vērā, ka </w:t>
            </w:r>
            <w:r w:rsidRPr="00996787">
              <w:rPr>
                <w:rFonts w:eastAsia="Calibri"/>
                <w:lang w:eastAsia="en-US"/>
              </w:rPr>
              <w:t>regulējumam, kuru Ministru kabinets izstrādā, pamatojoties uz likumu, ir jāsasniedz tāds pats mērķis, kādu likumdevējs vēlējies sasniegt, pieņemot minēto likumu.</w:t>
            </w:r>
            <w:r w:rsidRPr="00996787">
              <w:rPr>
                <w:rFonts w:eastAsia="Calibri"/>
                <w:vertAlign w:val="superscript"/>
                <w:lang w:eastAsia="en-US"/>
              </w:rPr>
              <w:footnoteReference w:id="2"/>
            </w:r>
            <w:r w:rsidRPr="00996787">
              <w:rPr>
                <w:rFonts w:eastAsia="Calibri"/>
                <w:lang w:eastAsia="en-US"/>
              </w:rPr>
              <w:t xml:space="preserve"> Līdz ar to projektā paredzētais regulējums vērtējams kontekstā ar </w:t>
            </w:r>
            <w:r w:rsidRPr="00996787">
              <w:rPr>
                <w:rFonts w:eastAsia="Calibri"/>
                <w:iCs/>
                <w:lang w:eastAsia="en-US"/>
              </w:rPr>
              <w:t xml:space="preserve">EDL mērķi – reglamentēt </w:t>
            </w:r>
            <w:r w:rsidRPr="00996787">
              <w:rPr>
                <w:rFonts w:eastAsia="Calibri"/>
                <w:iCs/>
                <w:u w:val="single"/>
                <w:lang w:eastAsia="en-US"/>
              </w:rPr>
              <w:t>epidemioloģisko drošību</w:t>
            </w:r>
            <w:r w:rsidRPr="00996787">
              <w:rPr>
                <w:rFonts w:eastAsia="Calibri"/>
                <w:iCs/>
                <w:lang w:eastAsia="en-US"/>
              </w:rPr>
              <w:t xml:space="preserve"> (nevis jebkādu drošību) un noteikt valsts institūciju, pašvaldību, fizisko un juridisko personu tiesības un pienākumus </w:t>
            </w:r>
            <w:r w:rsidRPr="00996787">
              <w:rPr>
                <w:rFonts w:eastAsia="Calibri"/>
                <w:iCs/>
                <w:u w:val="single"/>
                <w:lang w:eastAsia="en-US"/>
              </w:rPr>
              <w:t>epidemioloģiskās drošības</w:t>
            </w:r>
            <w:r w:rsidRPr="00996787">
              <w:rPr>
                <w:rFonts w:eastAsia="Calibri"/>
                <w:iCs/>
                <w:lang w:eastAsia="en-US"/>
              </w:rPr>
              <w:t xml:space="preserve"> jomā.</w:t>
            </w:r>
          </w:p>
          <w:p w14:paraId="1ABB0506" w14:textId="77777777" w:rsidR="004517FF" w:rsidRPr="00996787" w:rsidRDefault="004517FF" w:rsidP="004517FF">
            <w:pPr>
              <w:tabs>
                <w:tab w:val="left" w:pos="851"/>
              </w:tabs>
              <w:suppressAutoHyphens/>
              <w:ind w:firstLine="567"/>
              <w:contextualSpacing/>
              <w:jc w:val="both"/>
              <w:outlineLvl w:val="0"/>
              <w:rPr>
                <w:rFonts w:eastAsia="Calibri"/>
                <w:bCs/>
                <w:iCs/>
                <w:lang w:eastAsia="en-US"/>
              </w:rPr>
            </w:pPr>
            <w:r w:rsidRPr="00996787">
              <w:rPr>
                <w:rFonts w:eastAsia="Calibri"/>
                <w:bCs/>
                <w:iCs/>
                <w:lang w:eastAsia="en-US"/>
              </w:rPr>
              <w:t xml:space="preserve">Papildus jāņem vērā, ka saskaņā ar EDL infekcijas slimības avots ir cilvēka vai dzīvnieka organisms vai vides objekts, kurā infekcijas slimības izraisītāji saglabājas, vairojas un izdalās vai var izdalīties, radot cilvēkiem inficēšanās draudus. Savukārt infekcijas slimību izraisītāji ir baktērijas, vīrusi, </w:t>
            </w:r>
            <w:proofErr w:type="spellStart"/>
            <w:r w:rsidRPr="00996787">
              <w:rPr>
                <w:rFonts w:eastAsia="Calibri"/>
                <w:bCs/>
                <w:iCs/>
                <w:lang w:eastAsia="en-US"/>
              </w:rPr>
              <w:t>riketsijas</w:t>
            </w:r>
            <w:proofErr w:type="spellEnd"/>
            <w:r w:rsidRPr="00996787">
              <w:rPr>
                <w:rFonts w:eastAsia="Calibri"/>
                <w:bCs/>
                <w:iCs/>
                <w:lang w:eastAsia="en-US"/>
              </w:rPr>
              <w:t xml:space="preserve">, </w:t>
            </w:r>
            <w:proofErr w:type="spellStart"/>
            <w:r w:rsidRPr="00996787">
              <w:rPr>
                <w:rFonts w:eastAsia="Calibri"/>
                <w:bCs/>
                <w:iCs/>
                <w:lang w:eastAsia="en-US"/>
              </w:rPr>
              <w:t>spirohetas</w:t>
            </w:r>
            <w:proofErr w:type="spellEnd"/>
            <w:r w:rsidRPr="00996787">
              <w:rPr>
                <w:rFonts w:eastAsia="Calibri"/>
                <w:bCs/>
                <w:iCs/>
                <w:lang w:eastAsia="en-US"/>
              </w:rPr>
              <w:t xml:space="preserve">, hlamīdijas, </w:t>
            </w:r>
            <w:proofErr w:type="spellStart"/>
            <w:r w:rsidRPr="00996787">
              <w:rPr>
                <w:rFonts w:eastAsia="Calibri"/>
                <w:bCs/>
                <w:iCs/>
                <w:lang w:eastAsia="en-US"/>
              </w:rPr>
              <w:t>mikoplazmas</w:t>
            </w:r>
            <w:proofErr w:type="spellEnd"/>
            <w:r w:rsidRPr="00996787">
              <w:rPr>
                <w:rFonts w:eastAsia="Calibri"/>
                <w:bCs/>
                <w:iCs/>
                <w:lang w:eastAsia="en-US"/>
              </w:rPr>
              <w:t xml:space="preserve">, sēnītes, vienšūņi, </w:t>
            </w:r>
            <w:proofErr w:type="spellStart"/>
            <w:r w:rsidRPr="00996787">
              <w:rPr>
                <w:rFonts w:eastAsia="Calibri"/>
                <w:bCs/>
                <w:iCs/>
                <w:lang w:eastAsia="en-US"/>
              </w:rPr>
              <w:t>helminti</w:t>
            </w:r>
            <w:proofErr w:type="spellEnd"/>
            <w:r w:rsidRPr="00996787">
              <w:rPr>
                <w:rFonts w:eastAsia="Calibri"/>
                <w:bCs/>
                <w:iCs/>
                <w:lang w:eastAsia="en-US"/>
              </w:rPr>
              <w:t>, mikroorganismu daļas, toksīni un citi bioloģiskie aģenti, kas, iekļūstot cilvēka organismā, var ierosināt slimību vai slimības izraisītāju nēsāšanu.</w:t>
            </w:r>
          </w:p>
          <w:p w14:paraId="000C5E30" w14:textId="2DDD1899" w:rsidR="004517FF" w:rsidRDefault="004517FF" w:rsidP="004517FF">
            <w:pPr>
              <w:jc w:val="both"/>
              <w:rPr>
                <w:bCs/>
                <w:iCs/>
              </w:rPr>
            </w:pPr>
            <w:r w:rsidRPr="004517FF">
              <w:rPr>
                <w:bCs/>
                <w:iCs/>
              </w:rPr>
              <w:t>Līdz ar to lūdzam vienlaikus anotācijā sniegt skaidrojumu, vai, skrupulozi izpildot projektā paredzētās higiēnas prasības, baseinu un pirts pakalpojumu sniedzēji pasargās savus klientus no visiem infekcijas slimību izraisītājiem vai tikai no anotācijā pieminētajiem.</w:t>
            </w:r>
          </w:p>
          <w:p w14:paraId="623B24CE" w14:textId="77777777" w:rsidR="00502701" w:rsidRDefault="00502701" w:rsidP="004517FF">
            <w:pPr>
              <w:jc w:val="both"/>
              <w:rPr>
                <w:bCs/>
                <w:iCs/>
              </w:rPr>
            </w:pPr>
          </w:p>
          <w:p w14:paraId="1605814C" w14:textId="3ADA42A2" w:rsidR="00691A12" w:rsidRDefault="00691A12" w:rsidP="004517FF">
            <w:pPr>
              <w:jc w:val="both"/>
              <w:rPr>
                <w:bCs/>
                <w:iCs/>
              </w:rPr>
            </w:pPr>
            <w:r>
              <w:rPr>
                <w:bCs/>
                <w:iCs/>
              </w:rPr>
              <w:t>Par precizēto projektu izteiktais iebildums 23.03.2020</w:t>
            </w:r>
          </w:p>
          <w:p w14:paraId="1F220617" w14:textId="77777777" w:rsidR="00502701" w:rsidRDefault="00502701" w:rsidP="00691A12">
            <w:pPr>
              <w:jc w:val="both"/>
              <w:rPr>
                <w:bCs/>
                <w:iCs/>
              </w:rPr>
            </w:pPr>
          </w:p>
          <w:p w14:paraId="028840B3" w14:textId="11FFD884" w:rsidR="00691A12" w:rsidRPr="00691A12" w:rsidRDefault="00691A12" w:rsidP="00691A12">
            <w:pPr>
              <w:jc w:val="both"/>
              <w:rPr>
                <w:bCs/>
                <w:iCs/>
              </w:rPr>
            </w:pPr>
            <w:r>
              <w:rPr>
                <w:bCs/>
                <w:iCs/>
              </w:rPr>
              <w:t>P</w:t>
            </w:r>
            <w:r w:rsidRPr="00691A12">
              <w:rPr>
                <w:bCs/>
                <w:iCs/>
              </w:rPr>
              <w:t>rojektā vēl joprojām ir prasības, kas nav saistītas ar higiēnas nodrošināšanu un vairāk ir darba aizsardzības un pakalpojuma pieprasījuma gaumes jautājumi, piem., anotācijā skaidrots, ka:</w:t>
            </w:r>
          </w:p>
          <w:p w14:paraId="4026CDFF" w14:textId="77777777" w:rsidR="00691A12" w:rsidRPr="00691A12" w:rsidRDefault="00691A12" w:rsidP="00691A12">
            <w:pPr>
              <w:jc w:val="both"/>
              <w:rPr>
                <w:bCs/>
                <w:iCs/>
              </w:rPr>
            </w:pPr>
            <w:r w:rsidRPr="00691A12">
              <w:rPr>
                <w:bCs/>
                <w:iCs/>
              </w:rPr>
              <w:lastRenderedPageBreak/>
              <w:t>1) pirts un baseina telpām jābūt iekārtotām un aprīkotām tā, lai novērstu </w:t>
            </w:r>
            <w:r w:rsidRPr="00691A12">
              <w:rPr>
                <w:bCs/>
                <w:iCs/>
                <w:u w:val="single"/>
              </w:rPr>
              <w:t>negadījumu</w:t>
            </w:r>
            <w:r w:rsidRPr="00691A12">
              <w:rPr>
                <w:bCs/>
                <w:iCs/>
              </w:rPr>
              <w:t> (projekta 8.punkts) un infekciju risku. Grīdas segumam jābūt tādam, kas neapdraud veselību (nav slidens) arī tad, ja tas ir mitrs. Savukārt pirts lāvām un soliem jābūt izgatavotiem no </w:t>
            </w:r>
            <w:r w:rsidRPr="00691A12">
              <w:rPr>
                <w:bCs/>
                <w:iCs/>
                <w:u w:val="single"/>
              </w:rPr>
              <w:t>veselībai nekaitīga</w:t>
            </w:r>
            <w:r w:rsidRPr="00691A12">
              <w:rPr>
                <w:bCs/>
                <w:iCs/>
              </w:rPr>
              <w:t> un droša materiāla, vislabāk - no koka.</w:t>
            </w:r>
          </w:p>
          <w:p w14:paraId="2BB9879B" w14:textId="77777777" w:rsidR="00691A12" w:rsidRPr="00691A12" w:rsidRDefault="00691A12" w:rsidP="00691A12">
            <w:pPr>
              <w:jc w:val="both"/>
              <w:rPr>
                <w:bCs/>
                <w:iCs/>
              </w:rPr>
            </w:pPr>
            <w:r w:rsidRPr="00691A12">
              <w:rPr>
                <w:bCs/>
                <w:iCs/>
              </w:rPr>
              <w:t>Vēršam uzmanību, iepriekš minēto risku – negadījumi un materiālu nekaitīgums nav šī projekta mērķis (epidemioloģiskā drošība). Mūsuprāt, svarīgāk būtu vispārīgi pateikt, ka telpām, aprīkojumam un materiāliem būtu jābūt tādiem, lai varētu ievērot noteiktu sociālo distanci, viegli kopt, pakļaut dažādai dezinfekcijai, deratizācijai, dezinsekcijai (ar vielām, temperatūru utt. atbilstoši infekcijas vai kaitēkļu veidam), un vēdināšanai, utt. un aprīkojumu nomainīt, apmeklētāja imunitātes līmeņa saglabāšanai.</w:t>
            </w:r>
          </w:p>
          <w:p w14:paraId="0794193B" w14:textId="77777777" w:rsidR="00691A12" w:rsidRPr="00691A12" w:rsidRDefault="00691A12" w:rsidP="00691A12">
            <w:pPr>
              <w:jc w:val="both"/>
              <w:rPr>
                <w:bCs/>
                <w:iCs/>
              </w:rPr>
            </w:pPr>
            <w:r w:rsidRPr="00691A12">
              <w:rPr>
                <w:bCs/>
                <w:iCs/>
              </w:rPr>
              <w:t>2) lai personīgās mantas un apģērbs nebūtu jānovieto uz grīdas,  ģērbtuvē iekārto soliņus, skapīšus, āķus mantu novietošanai. Lai apmeklētāji nebūtu spiesti aukstā laikā doties laukā ar slapjiem matiem, jāierīko vieta matu žāvēšanai vai arī drošības prasībām atbilstoša vieta individuālo fēnu lietošanai.</w:t>
            </w:r>
          </w:p>
          <w:p w14:paraId="5798B0B1" w14:textId="77777777" w:rsidR="00691A12" w:rsidRPr="00691A12" w:rsidRDefault="00691A12" w:rsidP="00691A12">
            <w:pPr>
              <w:jc w:val="both"/>
              <w:rPr>
                <w:bCs/>
                <w:iCs/>
              </w:rPr>
            </w:pPr>
            <w:r w:rsidRPr="00691A12">
              <w:rPr>
                <w:bCs/>
                <w:iCs/>
              </w:rPr>
              <w:t>Vēršam uzmanību, ka šāds regulējums ir pārāk detalizēts (pakalpojuma sniedzējs varbūt piedāvās dīvānu vai krēslu nevis soliņu, vai skapi ar drēbju pakaramajiem utt.) un tās nav epidemioloģiskās drošības prasības. Drīzāk būtu jānosaka higiēnas vajadzībām nodrošināmā funkcionalitāte – piem., ģērbtuve ir aprīkota tā, lai apmeklētājs/ pakalpojuma saņēmējs varētu savas manta uzglabāt tīrā vietā un atsevišķi no citu mantām, lai apmeklētājs var pilnībā nožāvēties izmantojot individuālas ierīces, lai apmeklētājs pārģērbjoties var apsēsties uz tīras sēdēšanai paredzētas virsmas utt.</w:t>
            </w:r>
          </w:p>
          <w:p w14:paraId="432CE812" w14:textId="77777777" w:rsidR="004517FF" w:rsidRPr="00B20FCA" w:rsidRDefault="004517FF" w:rsidP="00B20FCA">
            <w:pPr>
              <w:jc w:val="both"/>
            </w:pPr>
          </w:p>
        </w:tc>
        <w:tc>
          <w:tcPr>
            <w:tcW w:w="2693" w:type="dxa"/>
            <w:tcBorders>
              <w:left w:val="single" w:sz="6" w:space="0" w:color="000000"/>
              <w:bottom w:val="single" w:sz="4" w:space="0" w:color="auto"/>
              <w:right w:val="single" w:sz="6" w:space="0" w:color="000000"/>
            </w:tcBorders>
          </w:tcPr>
          <w:p w14:paraId="2CCFDE1F" w14:textId="45F31284" w:rsidR="004517FF" w:rsidRPr="00B20FCA" w:rsidRDefault="00D32A7B" w:rsidP="00B20FCA">
            <w:pPr>
              <w:pStyle w:val="naisc"/>
              <w:spacing w:before="0" w:after="0"/>
              <w:jc w:val="both"/>
            </w:pPr>
            <w:r w:rsidRPr="00D32A7B">
              <w:rPr>
                <w:b/>
              </w:rPr>
              <w:lastRenderedPageBreak/>
              <w:t>Ņemts vērā</w:t>
            </w:r>
          </w:p>
        </w:tc>
        <w:tc>
          <w:tcPr>
            <w:tcW w:w="1701" w:type="dxa"/>
            <w:tcBorders>
              <w:top w:val="single" w:sz="4" w:space="0" w:color="auto"/>
              <w:left w:val="single" w:sz="4" w:space="0" w:color="auto"/>
              <w:bottom w:val="single" w:sz="4" w:space="0" w:color="auto"/>
            </w:tcBorders>
          </w:tcPr>
          <w:p w14:paraId="36899BD8" w14:textId="23759E82" w:rsidR="004517FF" w:rsidRDefault="00276D29" w:rsidP="00B20FCA">
            <w:pPr>
              <w:jc w:val="both"/>
            </w:pPr>
            <w:r w:rsidRPr="00276D29">
              <w:t>Precizēta anotācija</w:t>
            </w:r>
            <w:r w:rsidR="00502701">
              <w:t>,</w:t>
            </w:r>
          </w:p>
          <w:p w14:paraId="7663B8C5" w14:textId="77777777" w:rsidR="00F92009" w:rsidRPr="00F92009" w:rsidRDefault="00F92009" w:rsidP="00F92009">
            <w:pPr>
              <w:jc w:val="both"/>
            </w:pPr>
            <w:r w:rsidRPr="00F92009">
              <w:t xml:space="preserve">8. Baseina un pirts </w:t>
            </w:r>
            <w:r w:rsidRPr="00F92009">
              <w:rPr>
                <w:bCs/>
              </w:rPr>
              <w:t xml:space="preserve">telpas, kā arī tajās </w:t>
            </w:r>
            <w:r w:rsidRPr="00F92009">
              <w:rPr>
                <w:bCs/>
              </w:rPr>
              <w:lastRenderedPageBreak/>
              <w:t>izvietotās i</w:t>
            </w:r>
            <w:r w:rsidRPr="00F92009">
              <w:t xml:space="preserve">ekārtas ir aprīkotas un uzturētas tā, lai novērstu veselības risku un to apdarē izmanto viegli </w:t>
            </w:r>
            <w:bookmarkStart w:id="8" w:name="p3"/>
            <w:bookmarkStart w:id="9" w:name="p-264672"/>
            <w:bookmarkEnd w:id="8"/>
            <w:bookmarkEnd w:id="9"/>
            <w:r w:rsidRPr="00F92009">
              <w:t xml:space="preserve">tīrāmus, dezinficējamus un telpu funkcijai atbilstošus materiālus. Grīdas segumam izmanto materiāla pārklājumu, kas nav slidens arī gadījumā, ja tas ir mitrs. </w:t>
            </w:r>
          </w:p>
          <w:p w14:paraId="6AB466FC" w14:textId="77777777" w:rsidR="00F92009" w:rsidRPr="00F92009" w:rsidRDefault="00F92009" w:rsidP="00F92009">
            <w:pPr>
              <w:jc w:val="both"/>
            </w:pPr>
          </w:p>
          <w:p w14:paraId="11823DD8" w14:textId="77777777" w:rsidR="00F92009" w:rsidRPr="00F92009" w:rsidRDefault="00F92009" w:rsidP="00F92009">
            <w:pPr>
              <w:jc w:val="both"/>
            </w:pPr>
            <w:bookmarkStart w:id="10" w:name="p-74707"/>
            <w:bookmarkStart w:id="11" w:name="n3"/>
            <w:bookmarkStart w:id="12" w:name="n-74708"/>
            <w:bookmarkStart w:id="13" w:name="p-74709"/>
            <w:bookmarkStart w:id="14" w:name="n4"/>
            <w:bookmarkStart w:id="15" w:name="n-78655"/>
            <w:bookmarkStart w:id="16" w:name="n5"/>
            <w:bookmarkStart w:id="17" w:name="n-74717"/>
            <w:bookmarkStart w:id="18" w:name="p25"/>
            <w:bookmarkStart w:id="19" w:name="p-74718"/>
            <w:bookmarkStart w:id="20" w:name="p29"/>
            <w:bookmarkStart w:id="21" w:name="p-74722"/>
            <w:bookmarkStart w:id="22" w:name="n6"/>
            <w:bookmarkStart w:id="23" w:name="n-74726"/>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C8B552B" w14:textId="77777777" w:rsidR="00F92009" w:rsidRPr="00F92009" w:rsidRDefault="00F92009" w:rsidP="00F92009">
            <w:pPr>
              <w:jc w:val="both"/>
            </w:pPr>
            <w:bookmarkStart w:id="24" w:name="p4"/>
            <w:bookmarkStart w:id="25" w:name="p-264673"/>
            <w:bookmarkEnd w:id="24"/>
            <w:bookmarkEnd w:id="25"/>
            <w:r w:rsidRPr="00F92009">
              <w:t xml:space="preserve">10. Ģērbtuvi iekārto tā, lai apmeklētāji varētu savas mantas novietot un uzglabāt atsevišķi no </w:t>
            </w:r>
            <w:r w:rsidRPr="00F92009">
              <w:lastRenderedPageBreak/>
              <w:t xml:space="preserve">citām mantām tīrā vietā, pārģērbjoties  apsēsties uz tīras sēdēšanai paredzētas virsmas, kā arī varētu izžāvēt matus speciāli aprīkotā vietā vai ar individuālo matu žāvējamo ierīci. </w:t>
            </w:r>
          </w:p>
          <w:p w14:paraId="3D890E19" w14:textId="33A9064E" w:rsidR="00E02056" w:rsidRPr="00B20FCA" w:rsidRDefault="00E02056" w:rsidP="00502701">
            <w:pPr>
              <w:jc w:val="both"/>
            </w:pPr>
          </w:p>
        </w:tc>
      </w:tr>
      <w:tr w:rsidR="004517FF" w:rsidRPr="00226440" w14:paraId="058CC8D7" w14:textId="77777777" w:rsidTr="00B368A0">
        <w:trPr>
          <w:trHeight w:val="1253"/>
        </w:trPr>
        <w:tc>
          <w:tcPr>
            <w:tcW w:w="708" w:type="dxa"/>
            <w:tcBorders>
              <w:left w:val="single" w:sz="6" w:space="0" w:color="000000"/>
              <w:bottom w:val="single" w:sz="4" w:space="0" w:color="auto"/>
              <w:right w:val="single" w:sz="6" w:space="0" w:color="000000"/>
            </w:tcBorders>
          </w:tcPr>
          <w:p w14:paraId="77B12C1A" w14:textId="50B35520" w:rsidR="004517FF" w:rsidRDefault="00502701" w:rsidP="00E90C14">
            <w:pPr>
              <w:pStyle w:val="naisc"/>
              <w:spacing w:before="0" w:after="0"/>
            </w:pPr>
            <w:r>
              <w:lastRenderedPageBreak/>
              <w:t>8</w:t>
            </w:r>
            <w:r w:rsidR="004517FF">
              <w:t>.</w:t>
            </w:r>
          </w:p>
        </w:tc>
        <w:tc>
          <w:tcPr>
            <w:tcW w:w="1552" w:type="dxa"/>
            <w:tcBorders>
              <w:left w:val="single" w:sz="6" w:space="0" w:color="000000"/>
              <w:bottom w:val="single" w:sz="4" w:space="0" w:color="auto"/>
              <w:right w:val="single" w:sz="6" w:space="0" w:color="000000"/>
            </w:tcBorders>
          </w:tcPr>
          <w:p w14:paraId="62F5E6EE" w14:textId="22EC6DCD" w:rsidR="004517FF" w:rsidRPr="00B20FCA" w:rsidRDefault="00E11662" w:rsidP="00B20FCA">
            <w:pPr>
              <w:spacing w:before="120"/>
              <w:jc w:val="both"/>
              <w:rPr>
                <w:lang w:bidi="en-US"/>
              </w:rPr>
            </w:pPr>
            <w:r w:rsidRPr="00E11662">
              <w:rPr>
                <w:lang w:bidi="en-US"/>
              </w:rPr>
              <w:t xml:space="preserve">2. Noteikumi neattiecas uz baseiniem un pirtīm, kas tiek lietoti </w:t>
            </w:r>
            <w:r w:rsidRPr="00E11662">
              <w:rPr>
                <w:lang w:bidi="en-US"/>
              </w:rPr>
              <w:lastRenderedPageBreak/>
              <w:t>personīgām vajadzībām.</w:t>
            </w:r>
          </w:p>
        </w:tc>
        <w:tc>
          <w:tcPr>
            <w:tcW w:w="7230" w:type="dxa"/>
            <w:gridSpan w:val="2"/>
            <w:tcBorders>
              <w:left w:val="single" w:sz="6" w:space="0" w:color="000000"/>
              <w:bottom w:val="single" w:sz="4" w:space="0" w:color="auto"/>
              <w:right w:val="single" w:sz="6" w:space="0" w:color="000000"/>
            </w:tcBorders>
          </w:tcPr>
          <w:p w14:paraId="62AB2169" w14:textId="7EA42060" w:rsidR="004517FF" w:rsidRPr="00996787" w:rsidRDefault="004517FF" w:rsidP="004517FF">
            <w:pPr>
              <w:widowControl w:val="0"/>
              <w:tabs>
                <w:tab w:val="left" w:pos="851"/>
              </w:tabs>
              <w:suppressAutoHyphens/>
              <w:contextualSpacing/>
              <w:jc w:val="both"/>
              <w:outlineLvl w:val="0"/>
              <w:rPr>
                <w:rFonts w:eastAsia="Calibri"/>
                <w:iCs/>
                <w:lang w:eastAsia="en-US"/>
              </w:rPr>
            </w:pPr>
            <w:r>
              <w:rPr>
                <w:rFonts w:eastAsia="Calibri"/>
                <w:iCs/>
                <w:lang w:eastAsia="en-US"/>
              </w:rPr>
              <w:lastRenderedPageBreak/>
              <w:t>6.</w:t>
            </w:r>
            <w:r w:rsidRPr="00996787">
              <w:rPr>
                <w:rFonts w:eastAsia="Calibri"/>
                <w:iCs/>
                <w:lang w:eastAsia="en-US"/>
              </w:rPr>
              <w:t xml:space="preserve">Ņemot vērā EDL 1. panta 32. punktā sniegto paaugstināta riska subjekta definīciju (proti, ka tas ir tiesību </w:t>
            </w:r>
            <w:r w:rsidRPr="00996787">
              <w:rPr>
                <w:rFonts w:eastAsia="Calibri"/>
                <w:szCs w:val="22"/>
                <w:lang w:eastAsia="en-US"/>
              </w:rPr>
              <w:t>subjekts</w:t>
            </w:r>
            <w:r w:rsidRPr="00996787">
              <w:rPr>
                <w:rFonts w:eastAsia="Calibri"/>
                <w:iCs/>
                <w:lang w:eastAsia="en-US"/>
              </w:rPr>
              <w:t xml:space="preserve">, kura darbības veids ir </w:t>
            </w:r>
            <w:r w:rsidRPr="00996787">
              <w:rPr>
                <w:rFonts w:eastAsia="Calibri"/>
                <w:iCs/>
                <w:u w:val="single"/>
                <w:lang w:eastAsia="en-US"/>
              </w:rPr>
              <w:t>pakalpojumu sniegšana patērētājiem</w:t>
            </w:r>
            <w:r w:rsidRPr="00996787">
              <w:rPr>
                <w:rFonts w:eastAsia="Calibri"/>
                <w:iCs/>
                <w:lang w:eastAsia="en-US"/>
              </w:rPr>
              <w:t>), projekta 2. punkts ir svītrojams, jo ir lieks.</w:t>
            </w:r>
          </w:p>
          <w:p w14:paraId="0EA915E6" w14:textId="77777777" w:rsidR="004517FF" w:rsidRPr="00B20FCA" w:rsidRDefault="004517FF" w:rsidP="00B20FCA">
            <w:pPr>
              <w:jc w:val="both"/>
            </w:pPr>
          </w:p>
        </w:tc>
        <w:tc>
          <w:tcPr>
            <w:tcW w:w="2693" w:type="dxa"/>
            <w:tcBorders>
              <w:left w:val="single" w:sz="6" w:space="0" w:color="000000"/>
              <w:bottom w:val="single" w:sz="4" w:space="0" w:color="auto"/>
              <w:right w:val="single" w:sz="6" w:space="0" w:color="000000"/>
            </w:tcBorders>
          </w:tcPr>
          <w:p w14:paraId="07B9DF71" w14:textId="301EC39E" w:rsidR="004517FF" w:rsidRPr="00B20FCA" w:rsidRDefault="00D32A7B" w:rsidP="00B20FCA">
            <w:pPr>
              <w:pStyle w:val="naisc"/>
              <w:spacing w:before="0" w:after="0"/>
              <w:jc w:val="both"/>
            </w:pPr>
            <w:r w:rsidRPr="00D32A7B">
              <w:rPr>
                <w:b/>
              </w:rPr>
              <w:t>Ņemts vērā</w:t>
            </w:r>
          </w:p>
        </w:tc>
        <w:tc>
          <w:tcPr>
            <w:tcW w:w="1701" w:type="dxa"/>
            <w:tcBorders>
              <w:top w:val="single" w:sz="4" w:space="0" w:color="auto"/>
              <w:left w:val="single" w:sz="4" w:space="0" w:color="auto"/>
              <w:bottom w:val="single" w:sz="4" w:space="0" w:color="auto"/>
            </w:tcBorders>
          </w:tcPr>
          <w:p w14:paraId="00BD9F16" w14:textId="77777777" w:rsidR="004517FF" w:rsidRPr="00B20FCA" w:rsidRDefault="004517FF" w:rsidP="00B20FCA">
            <w:pPr>
              <w:jc w:val="both"/>
            </w:pPr>
          </w:p>
        </w:tc>
      </w:tr>
      <w:tr w:rsidR="004517FF" w:rsidRPr="00226440" w14:paraId="358D64BF" w14:textId="77777777" w:rsidTr="00B368A0">
        <w:trPr>
          <w:trHeight w:val="1253"/>
        </w:trPr>
        <w:tc>
          <w:tcPr>
            <w:tcW w:w="708" w:type="dxa"/>
            <w:tcBorders>
              <w:left w:val="single" w:sz="6" w:space="0" w:color="000000"/>
              <w:bottom w:val="single" w:sz="4" w:space="0" w:color="auto"/>
              <w:right w:val="single" w:sz="6" w:space="0" w:color="000000"/>
            </w:tcBorders>
          </w:tcPr>
          <w:p w14:paraId="1652CA31" w14:textId="3BD0DDB2" w:rsidR="004517FF" w:rsidRDefault="00502701" w:rsidP="00E90C14">
            <w:pPr>
              <w:pStyle w:val="naisc"/>
              <w:spacing w:before="0" w:after="0"/>
            </w:pPr>
            <w:r>
              <w:t>9</w:t>
            </w:r>
            <w:r w:rsidR="004517FF">
              <w:t>.</w:t>
            </w:r>
          </w:p>
        </w:tc>
        <w:tc>
          <w:tcPr>
            <w:tcW w:w="1552" w:type="dxa"/>
            <w:tcBorders>
              <w:left w:val="single" w:sz="6" w:space="0" w:color="000000"/>
              <w:bottom w:val="single" w:sz="4" w:space="0" w:color="auto"/>
              <w:right w:val="single" w:sz="6" w:space="0" w:color="000000"/>
            </w:tcBorders>
          </w:tcPr>
          <w:p w14:paraId="01236A35" w14:textId="6CE4DC83" w:rsidR="004517FF" w:rsidRPr="00B20FCA" w:rsidRDefault="00206FFD" w:rsidP="00B20FCA">
            <w:pPr>
              <w:spacing w:before="120"/>
              <w:jc w:val="both"/>
              <w:rPr>
                <w:lang w:bidi="en-US"/>
              </w:rPr>
            </w:pPr>
            <w:r w:rsidRPr="00206FFD">
              <w:rPr>
                <w:lang w:bidi="en-US"/>
              </w:rPr>
              <w:t>3. Par šo noteikumu prasību ievērošanu ir atbildīgs saimnieciskās darbības veicējs, kas piedāvā baseina vai pirts pakalpojumus (turpmāk – pakalpojuma sniedzējs).</w:t>
            </w:r>
          </w:p>
        </w:tc>
        <w:tc>
          <w:tcPr>
            <w:tcW w:w="7230" w:type="dxa"/>
            <w:gridSpan w:val="2"/>
            <w:tcBorders>
              <w:left w:val="single" w:sz="6" w:space="0" w:color="000000"/>
              <w:bottom w:val="single" w:sz="4" w:space="0" w:color="auto"/>
              <w:right w:val="single" w:sz="6" w:space="0" w:color="000000"/>
            </w:tcBorders>
          </w:tcPr>
          <w:p w14:paraId="00F4F85C" w14:textId="37007CCE" w:rsidR="004517FF" w:rsidRPr="00996787" w:rsidRDefault="004517FF" w:rsidP="004517FF">
            <w:pPr>
              <w:widowControl w:val="0"/>
              <w:tabs>
                <w:tab w:val="left" w:pos="851"/>
              </w:tabs>
              <w:suppressAutoHyphens/>
              <w:contextualSpacing/>
              <w:jc w:val="both"/>
              <w:outlineLvl w:val="0"/>
              <w:rPr>
                <w:rFonts w:eastAsia="Calibri"/>
                <w:iCs/>
                <w:lang w:eastAsia="en-US"/>
              </w:rPr>
            </w:pPr>
            <w:r>
              <w:rPr>
                <w:rFonts w:eastAsia="Calibri"/>
                <w:iCs/>
                <w:lang w:eastAsia="en-US"/>
              </w:rPr>
              <w:t xml:space="preserve">7. </w:t>
            </w:r>
            <w:r w:rsidRPr="00996787">
              <w:rPr>
                <w:rFonts w:eastAsia="Calibri"/>
                <w:iCs/>
                <w:lang w:eastAsia="en-US"/>
              </w:rPr>
              <w:t xml:space="preserve">Projekta 3. punkts paredz, ka par šo noteikumu prasību ievērošanu ir atbildīgs </w:t>
            </w:r>
            <w:r w:rsidRPr="00996787">
              <w:rPr>
                <w:rFonts w:eastAsia="Calibri"/>
                <w:szCs w:val="22"/>
                <w:lang w:eastAsia="en-US"/>
              </w:rPr>
              <w:t>saimnieciskās</w:t>
            </w:r>
            <w:r w:rsidRPr="00996787">
              <w:rPr>
                <w:rFonts w:eastAsia="Calibri"/>
                <w:iCs/>
                <w:lang w:eastAsia="en-US"/>
              </w:rPr>
              <w:t xml:space="preserve"> darbības veicējs, kas piedāvā baseina vai pirts pakalpojumus (turpmāk – pakalpojuma sniedzējs). </w:t>
            </w:r>
            <w:r w:rsidRPr="00996787">
              <w:rPr>
                <w:rFonts w:eastAsia="Calibri"/>
                <w:bCs/>
                <w:iCs/>
                <w:lang w:eastAsia="en-US"/>
              </w:rPr>
              <w:t xml:space="preserve">Lūdzam svītrot projekta 3. punktu, jo tas pārsniedz pilnvarojumu EDL </w:t>
            </w:r>
            <w:r w:rsidRPr="00996787">
              <w:rPr>
                <w:rFonts w:eastAsia="Calibri"/>
                <w:iCs/>
                <w:lang w:eastAsia="en-US"/>
              </w:rPr>
              <w:t>38.</w:t>
            </w:r>
            <w:r w:rsidRPr="00996787">
              <w:rPr>
                <w:rFonts w:eastAsia="Calibri"/>
                <w:iCs/>
                <w:vertAlign w:val="superscript"/>
                <w:lang w:eastAsia="en-US"/>
              </w:rPr>
              <w:t>1 </w:t>
            </w:r>
            <w:r w:rsidRPr="00996787">
              <w:rPr>
                <w:rFonts w:eastAsia="Calibri"/>
                <w:iCs/>
                <w:lang w:eastAsia="en-US"/>
              </w:rPr>
              <w:t>panta pirmajā daļā. Vienlaikus vēršam uzmanību, ka atbildības jautājumus regulē EDL.</w:t>
            </w:r>
          </w:p>
          <w:p w14:paraId="46AE33C4" w14:textId="77777777" w:rsidR="004517FF" w:rsidRPr="00B20FCA" w:rsidRDefault="004517FF" w:rsidP="00B20FCA">
            <w:pPr>
              <w:jc w:val="both"/>
            </w:pPr>
          </w:p>
        </w:tc>
        <w:tc>
          <w:tcPr>
            <w:tcW w:w="2693" w:type="dxa"/>
            <w:tcBorders>
              <w:left w:val="single" w:sz="6" w:space="0" w:color="000000"/>
              <w:bottom w:val="single" w:sz="4" w:space="0" w:color="auto"/>
              <w:right w:val="single" w:sz="6" w:space="0" w:color="000000"/>
            </w:tcBorders>
          </w:tcPr>
          <w:p w14:paraId="2404CF1B" w14:textId="5687DCDD" w:rsidR="004517FF" w:rsidRPr="00B20FCA" w:rsidRDefault="00D32A7B" w:rsidP="00B20FCA">
            <w:pPr>
              <w:pStyle w:val="naisc"/>
              <w:spacing w:before="0" w:after="0"/>
              <w:jc w:val="both"/>
            </w:pPr>
            <w:r w:rsidRPr="00D32A7B">
              <w:rPr>
                <w:b/>
              </w:rPr>
              <w:t>Ņemts vērā</w:t>
            </w:r>
          </w:p>
        </w:tc>
        <w:tc>
          <w:tcPr>
            <w:tcW w:w="1701" w:type="dxa"/>
            <w:tcBorders>
              <w:top w:val="single" w:sz="4" w:space="0" w:color="auto"/>
              <w:left w:val="single" w:sz="4" w:space="0" w:color="auto"/>
              <w:bottom w:val="single" w:sz="4" w:space="0" w:color="auto"/>
            </w:tcBorders>
          </w:tcPr>
          <w:p w14:paraId="678A0923" w14:textId="77777777" w:rsidR="004517FF" w:rsidRPr="00B20FCA" w:rsidRDefault="004517FF" w:rsidP="00B20FCA">
            <w:pPr>
              <w:jc w:val="both"/>
            </w:pPr>
          </w:p>
        </w:tc>
      </w:tr>
      <w:tr w:rsidR="00810BB2" w:rsidRPr="00226440" w14:paraId="39D29EED" w14:textId="77777777" w:rsidTr="00B368A0">
        <w:trPr>
          <w:trHeight w:val="1253"/>
        </w:trPr>
        <w:tc>
          <w:tcPr>
            <w:tcW w:w="708" w:type="dxa"/>
            <w:tcBorders>
              <w:left w:val="single" w:sz="6" w:space="0" w:color="000000"/>
              <w:bottom w:val="single" w:sz="4" w:space="0" w:color="auto"/>
              <w:right w:val="single" w:sz="6" w:space="0" w:color="000000"/>
            </w:tcBorders>
          </w:tcPr>
          <w:p w14:paraId="347C76C2" w14:textId="5167C1C2" w:rsidR="00810BB2" w:rsidRDefault="00502701" w:rsidP="00810BB2">
            <w:pPr>
              <w:pStyle w:val="naisc"/>
              <w:spacing w:before="0" w:after="0"/>
            </w:pPr>
            <w:r>
              <w:t>10</w:t>
            </w:r>
            <w:r w:rsidR="00810BB2">
              <w:t>.</w:t>
            </w:r>
          </w:p>
        </w:tc>
        <w:tc>
          <w:tcPr>
            <w:tcW w:w="1552" w:type="dxa"/>
            <w:tcBorders>
              <w:left w:val="single" w:sz="6" w:space="0" w:color="000000"/>
              <w:bottom w:val="single" w:sz="4" w:space="0" w:color="auto"/>
              <w:right w:val="single" w:sz="6" w:space="0" w:color="000000"/>
            </w:tcBorders>
          </w:tcPr>
          <w:p w14:paraId="3ED6AC55" w14:textId="77777777" w:rsidR="00810BB2" w:rsidRPr="00160FC7" w:rsidRDefault="00810BB2" w:rsidP="00810BB2">
            <w:pPr>
              <w:spacing w:before="120"/>
              <w:jc w:val="both"/>
              <w:rPr>
                <w:lang w:bidi="en-US"/>
              </w:rPr>
            </w:pPr>
            <w:bookmarkStart w:id="26" w:name="_Hlk517267950"/>
            <w:r w:rsidRPr="00160FC7">
              <w:rPr>
                <w:lang w:bidi="en-US"/>
              </w:rPr>
              <w:t xml:space="preserve">4. Pakalpojuma sniedzēja </w:t>
            </w:r>
            <w:bookmarkEnd w:id="26"/>
            <w:r w:rsidRPr="00160FC7">
              <w:rPr>
                <w:lang w:bidi="en-US"/>
              </w:rPr>
              <w:t>pienākums ir sniegt cilvēka dzīvībai un  veselībai drošus pakalpojumus.</w:t>
            </w:r>
          </w:p>
          <w:p w14:paraId="25E4B4D0" w14:textId="77777777" w:rsidR="00810BB2" w:rsidRPr="00B20FCA" w:rsidRDefault="00810BB2" w:rsidP="00810BB2">
            <w:pPr>
              <w:spacing w:before="120"/>
              <w:jc w:val="both"/>
              <w:rPr>
                <w:lang w:bidi="en-US"/>
              </w:rPr>
            </w:pPr>
          </w:p>
        </w:tc>
        <w:tc>
          <w:tcPr>
            <w:tcW w:w="7230" w:type="dxa"/>
            <w:gridSpan w:val="2"/>
            <w:tcBorders>
              <w:left w:val="single" w:sz="6" w:space="0" w:color="000000"/>
              <w:bottom w:val="single" w:sz="4" w:space="0" w:color="auto"/>
              <w:right w:val="single" w:sz="6" w:space="0" w:color="000000"/>
            </w:tcBorders>
          </w:tcPr>
          <w:p w14:paraId="633BFB8E" w14:textId="2FD46038" w:rsidR="00810BB2" w:rsidRDefault="00810BB2" w:rsidP="00810BB2">
            <w:pPr>
              <w:widowControl w:val="0"/>
              <w:tabs>
                <w:tab w:val="left" w:pos="851"/>
              </w:tabs>
              <w:suppressAutoHyphens/>
              <w:contextualSpacing/>
              <w:jc w:val="both"/>
              <w:outlineLvl w:val="0"/>
              <w:rPr>
                <w:rFonts w:eastAsia="Calibri"/>
                <w:iCs/>
                <w:lang w:eastAsia="en-US"/>
              </w:rPr>
            </w:pPr>
            <w:r>
              <w:rPr>
                <w:rFonts w:eastAsia="Calibri"/>
                <w:iCs/>
                <w:lang w:eastAsia="en-US"/>
              </w:rPr>
              <w:t xml:space="preserve">8. </w:t>
            </w:r>
            <w:r w:rsidRPr="00996787">
              <w:rPr>
                <w:rFonts w:eastAsia="Calibri"/>
                <w:iCs/>
                <w:lang w:eastAsia="en-US"/>
              </w:rPr>
              <w:t>Projekta 4. punkts paredz noteikt, ka pakalpojuma sniedzēja pienākums ir sniegt cilvēka dzīvībai un veselībai drošus pakalpojumus. Vēršam uzmanību, ka šāda tiesību norma ir pārāk vispārīga. Atbilstoši pilnvarojumam EDL 38.</w:t>
            </w:r>
            <w:r w:rsidRPr="00996787">
              <w:rPr>
                <w:rFonts w:eastAsia="Calibri"/>
                <w:iCs/>
                <w:vertAlign w:val="superscript"/>
                <w:lang w:eastAsia="en-US"/>
              </w:rPr>
              <w:t>1 </w:t>
            </w:r>
            <w:r w:rsidRPr="00996787">
              <w:rPr>
                <w:rFonts w:eastAsia="Calibri"/>
                <w:iCs/>
                <w:lang w:eastAsia="en-US"/>
              </w:rPr>
              <w:t>panta pirmajā daļā, skatot to kopsakarā ar EDL 1. panta 37. punktu, Ministru kabinets</w:t>
            </w:r>
          </w:p>
          <w:p w14:paraId="3BFBE0EF" w14:textId="50D70086" w:rsidR="00810BB2" w:rsidRPr="00996787" w:rsidRDefault="00810BB2" w:rsidP="00810BB2">
            <w:pPr>
              <w:widowControl w:val="0"/>
              <w:tabs>
                <w:tab w:val="left" w:pos="851"/>
              </w:tabs>
              <w:suppressAutoHyphens/>
              <w:contextualSpacing/>
              <w:jc w:val="both"/>
              <w:outlineLvl w:val="0"/>
              <w:rPr>
                <w:rFonts w:eastAsia="Calibri"/>
                <w:iCs/>
                <w:lang w:eastAsia="en-US"/>
              </w:rPr>
            </w:pPr>
            <w:r w:rsidRPr="00996787">
              <w:rPr>
                <w:rFonts w:eastAsia="Calibri"/>
                <w:iCs/>
                <w:lang w:eastAsia="en-US"/>
              </w:rPr>
              <w:t xml:space="preserve">ir pilnvarots noteikt </w:t>
            </w:r>
            <w:r w:rsidRPr="00996787">
              <w:rPr>
                <w:rFonts w:eastAsia="Calibri"/>
                <w:iCs/>
                <w:u w:val="single"/>
                <w:lang w:eastAsia="en-US"/>
              </w:rPr>
              <w:t>higiēnas prasības</w:t>
            </w:r>
            <w:r w:rsidRPr="00996787">
              <w:rPr>
                <w:rFonts w:eastAsia="Calibri"/>
                <w:iCs/>
                <w:lang w:eastAsia="en-US"/>
              </w:rPr>
              <w:t xml:space="preserve">, proti, </w:t>
            </w:r>
            <w:r w:rsidRPr="00996787">
              <w:rPr>
                <w:rFonts w:eastAsia="Calibri"/>
                <w:u w:val="single"/>
                <w:lang w:eastAsia="en-US"/>
              </w:rPr>
              <w:t>nosacījumu un praktisku pasākumu kopumu</w:t>
            </w:r>
            <w:r w:rsidRPr="00996787">
              <w:rPr>
                <w:rFonts w:eastAsia="Calibri"/>
                <w:lang w:eastAsia="en-US"/>
              </w:rPr>
              <w:t>, kas nepieciešams, lai samazinātu vai likvidētu vides faktoru (fizikālo, ķīmisko, bioloģisko) iespējami kaitīgo iedarbību. Savukārt no projekta 4. punkta nav saprotams, kādi nosacījumi ir jāizpilda vai kādi praktiski pasākumi ir jāveic, lai pirts vai baseina pakalpojums atbilstu higiēnas prasībām.</w:t>
            </w:r>
          </w:p>
          <w:p w14:paraId="48F0F9E1" w14:textId="77777777" w:rsidR="00810BB2" w:rsidRPr="00996787" w:rsidRDefault="00810BB2" w:rsidP="00810BB2">
            <w:pPr>
              <w:tabs>
                <w:tab w:val="left" w:pos="851"/>
              </w:tabs>
              <w:suppressAutoHyphens/>
              <w:ind w:firstLine="567"/>
              <w:jc w:val="both"/>
              <w:outlineLvl w:val="0"/>
              <w:rPr>
                <w:rFonts w:eastAsia="Calibri"/>
                <w:lang w:eastAsia="en-US"/>
              </w:rPr>
            </w:pPr>
            <w:r w:rsidRPr="00996787">
              <w:rPr>
                <w:rFonts w:eastAsia="Calibri"/>
                <w:lang w:eastAsia="en-US"/>
              </w:rPr>
              <w:lastRenderedPageBreak/>
              <w:t>Kā vairākkārt norādījusi Satversmes tiesa, tiesību normām ir jābūt formulētām tā, lai indivīds, nepieciešamības gadījumā atbilstoši konsultējoties, varētu regulēt savu rīcību.</w:t>
            </w:r>
            <w:r w:rsidRPr="00996787">
              <w:rPr>
                <w:rFonts w:eastAsia="Calibri"/>
                <w:vertAlign w:val="superscript"/>
                <w:lang w:eastAsia="en-US"/>
              </w:rPr>
              <w:footnoteReference w:id="3"/>
            </w:r>
          </w:p>
          <w:p w14:paraId="5FAF0A66" w14:textId="77777777" w:rsidR="00810BB2" w:rsidRPr="00996787" w:rsidRDefault="00810BB2" w:rsidP="00810BB2">
            <w:pPr>
              <w:tabs>
                <w:tab w:val="left" w:pos="851"/>
              </w:tabs>
              <w:suppressAutoHyphens/>
              <w:ind w:firstLine="567"/>
              <w:jc w:val="both"/>
              <w:outlineLvl w:val="0"/>
              <w:rPr>
                <w:rFonts w:eastAsia="Calibri"/>
                <w:iCs/>
                <w:lang w:eastAsia="en-US"/>
              </w:rPr>
            </w:pPr>
            <w:r w:rsidRPr="00996787">
              <w:rPr>
                <w:rFonts w:eastAsia="Calibri"/>
                <w:lang w:eastAsia="en-US"/>
              </w:rPr>
              <w:t>Ievērojot minēto, lūdzam projekta 4. punktu precizēt vai svītrot.</w:t>
            </w:r>
          </w:p>
          <w:p w14:paraId="51F95C37" w14:textId="77777777" w:rsidR="00810BB2" w:rsidRPr="00B20FCA" w:rsidRDefault="00810BB2" w:rsidP="00810BB2">
            <w:pPr>
              <w:jc w:val="both"/>
            </w:pPr>
          </w:p>
        </w:tc>
        <w:tc>
          <w:tcPr>
            <w:tcW w:w="2693" w:type="dxa"/>
            <w:tcBorders>
              <w:left w:val="single" w:sz="6" w:space="0" w:color="000000"/>
              <w:bottom w:val="single" w:sz="4" w:space="0" w:color="auto"/>
              <w:right w:val="single" w:sz="6" w:space="0" w:color="000000"/>
            </w:tcBorders>
          </w:tcPr>
          <w:p w14:paraId="66537CD9" w14:textId="5A5878D6" w:rsidR="00810BB2" w:rsidRPr="00B20FCA" w:rsidRDefault="00810BB2" w:rsidP="00810BB2">
            <w:pPr>
              <w:pStyle w:val="naisc"/>
              <w:spacing w:before="0" w:after="0"/>
              <w:jc w:val="both"/>
            </w:pPr>
            <w:r w:rsidRPr="00D32A7B">
              <w:rPr>
                <w:b/>
              </w:rPr>
              <w:lastRenderedPageBreak/>
              <w:t>Ņemts vērā</w:t>
            </w:r>
          </w:p>
        </w:tc>
        <w:tc>
          <w:tcPr>
            <w:tcW w:w="1701" w:type="dxa"/>
            <w:tcBorders>
              <w:top w:val="single" w:sz="4" w:space="0" w:color="auto"/>
              <w:left w:val="single" w:sz="4" w:space="0" w:color="auto"/>
              <w:bottom w:val="single" w:sz="4" w:space="0" w:color="auto"/>
            </w:tcBorders>
          </w:tcPr>
          <w:p w14:paraId="2BE98CFD" w14:textId="77777777" w:rsidR="00810BB2" w:rsidRPr="00B20FCA" w:rsidRDefault="00810BB2" w:rsidP="00810BB2">
            <w:pPr>
              <w:jc w:val="both"/>
            </w:pPr>
          </w:p>
        </w:tc>
      </w:tr>
      <w:tr w:rsidR="00810BB2" w:rsidRPr="00226440" w14:paraId="317FEBDA" w14:textId="77777777" w:rsidTr="00B368A0">
        <w:trPr>
          <w:trHeight w:val="1253"/>
        </w:trPr>
        <w:tc>
          <w:tcPr>
            <w:tcW w:w="708" w:type="dxa"/>
            <w:tcBorders>
              <w:left w:val="single" w:sz="6" w:space="0" w:color="000000"/>
              <w:bottom w:val="single" w:sz="4" w:space="0" w:color="auto"/>
              <w:right w:val="single" w:sz="6" w:space="0" w:color="000000"/>
            </w:tcBorders>
          </w:tcPr>
          <w:p w14:paraId="269FDFFE" w14:textId="363DCF5D" w:rsidR="00810BB2" w:rsidRDefault="00810BB2" w:rsidP="00810BB2">
            <w:pPr>
              <w:pStyle w:val="naisc"/>
              <w:spacing w:before="0" w:after="0"/>
            </w:pPr>
            <w:r>
              <w:t>1</w:t>
            </w:r>
            <w:r w:rsidR="00502701">
              <w:t>1</w:t>
            </w:r>
            <w:r>
              <w:t>.</w:t>
            </w:r>
          </w:p>
        </w:tc>
        <w:tc>
          <w:tcPr>
            <w:tcW w:w="1552" w:type="dxa"/>
            <w:tcBorders>
              <w:left w:val="single" w:sz="6" w:space="0" w:color="000000"/>
              <w:bottom w:val="single" w:sz="4" w:space="0" w:color="auto"/>
              <w:right w:val="single" w:sz="6" w:space="0" w:color="000000"/>
            </w:tcBorders>
          </w:tcPr>
          <w:p w14:paraId="5E60ED69" w14:textId="2FCE526E" w:rsidR="00810BB2" w:rsidRPr="00B20FCA" w:rsidRDefault="00810BB2" w:rsidP="00810BB2">
            <w:pPr>
              <w:spacing w:before="120"/>
              <w:jc w:val="both"/>
              <w:rPr>
                <w:lang w:bidi="en-US"/>
              </w:rPr>
            </w:pPr>
            <w:r w:rsidRPr="00160FC7">
              <w:rPr>
                <w:lang w:bidi="en-US"/>
              </w:rPr>
              <w:t xml:space="preserve">5.  Šo noteikumu prasību izpildi kontrolē Veselības inspekcija. </w:t>
            </w:r>
          </w:p>
        </w:tc>
        <w:tc>
          <w:tcPr>
            <w:tcW w:w="7230" w:type="dxa"/>
            <w:gridSpan w:val="2"/>
            <w:tcBorders>
              <w:left w:val="single" w:sz="6" w:space="0" w:color="000000"/>
              <w:bottom w:val="single" w:sz="4" w:space="0" w:color="auto"/>
              <w:right w:val="single" w:sz="6" w:space="0" w:color="000000"/>
            </w:tcBorders>
          </w:tcPr>
          <w:p w14:paraId="6C15C0DE" w14:textId="26ECD14A" w:rsidR="00810BB2" w:rsidRPr="00996787" w:rsidRDefault="00810BB2" w:rsidP="00810BB2">
            <w:pPr>
              <w:widowControl w:val="0"/>
              <w:tabs>
                <w:tab w:val="left" w:pos="851"/>
              </w:tabs>
              <w:suppressAutoHyphens/>
              <w:contextualSpacing/>
              <w:jc w:val="both"/>
              <w:outlineLvl w:val="0"/>
              <w:rPr>
                <w:rFonts w:eastAsia="Calibri"/>
                <w:iCs/>
                <w:lang w:eastAsia="en-US"/>
              </w:rPr>
            </w:pPr>
            <w:r>
              <w:rPr>
                <w:rFonts w:eastAsia="Calibri"/>
                <w:iCs/>
                <w:lang w:eastAsia="en-US"/>
              </w:rPr>
              <w:t xml:space="preserve">9. </w:t>
            </w:r>
            <w:r w:rsidRPr="00996787">
              <w:rPr>
                <w:rFonts w:eastAsia="Calibri"/>
                <w:iCs/>
                <w:lang w:eastAsia="en-US"/>
              </w:rPr>
              <w:t>Lūdzam svītrot projekta 5. punktu, kas paredz, ka šo noteikumu prasību izpildi kontrolē Veselības inspekcija, jo tas dublē EDL 6. panta otrajā daļā jau noteikto. Turklāt tas pārsniedz EDL 38.</w:t>
            </w:r>
            <w:r w:rsidRPr="00996787">
              <w:rPr>
                <w:rFonts w:eastAsia="Calibri"/>
                <w:iCs/>
                <w:vertAlign w:val="superscript"/>
                <w:lang w:eastAsia="en-US"/>
              </w:rPr>
              <w:t>1 </w:t>
            </w:r>
            <w:r w:rsidRPr="00996787">
              <w:rPr>
                <w:rFonts w:eastAsia="Calibri"/>
                <w:iCs/>
                <w:lang w:eastAsia="en-US"/>
              </w:rPr>
              <w:t>panta pirmajā daļā ietverto pilnvarojumu.</w:t>
            </w:r>
          </w:p>
          <w:p w14:paraId="4780C2B1" w14:textId="77777777" w:rsidR="00810BB2" w:rsidRPr="00B20FCA" w:rsidRDefault="00810BB2" w:rsidP="00810BB2">
            <w:pPr>
              <w:jc w:val="both"/>
            </w:pPr>
          </w:p>
        </w:tc>
        <w:tc>
          <w:tcPr>
            <w:tcW w:w="2693" w:type="dxa"/>
            <w:tcBorders>
              <w:left w:val="single" w:sz="6" w:space="0" w:color="000000"/>
              <w:bottom w:val="single" w:sz="4" w:space="0" w:color="auto"/>
              <w:right w:val="single" w:sz="6" w:space="0" w:color="000000"/>
            </w:tcBorders>
          </w:tcPr>
          <w:p w14:paraId="31B9C935" w14:textId="77777777" w:rsidR="00810BB2" w:rsidRPr="00B20FCA" w:rsidRDefault="00810BB2" w:rsidP="00810BB2">
            <w:pPr>
              <w:pStyle w:val="naisc"/>
              <w:spacing w:before="0" w:after="0"/>
              <w:jc w:val="both"/>
            </w:pPr>
          </w:p>
        </w:tc>
        <w:tc>
          <w:tcPr>
            <w:tcW w:w="1701" w:type="dxa"/>
            <w:tcBorders>
              <w:top w:val="single" w:sz="4" w:space="0" w:color="auto"/>
              <w:left w:val="single" w:sz="4" w:space="0" w:color="auto"/>
              <w:bottom w:val="single" w:sz="4" w:space="0" w:color="auto"/>
            </w:tcBorders>
          </w:tcPr>
          <w:p w14:paraId="3F68C5FA" w14:textId="77777777" w:rsidR="00810BB2" w:rsidRPr="00B20FCA" w:rsidRDefault="00810BB2" w:rsidP="00810BB2">
            <w:pPr>
              <w:jc w:val="both"/>
            </w:pPr>
          </w:p>
        </w:tc>
      </w:tr>
      <w:tr w:rsidR="00810BB2" w:rsidRPr="00226440" w14:paraId="78FE4F38" w14:textId="77777777" w:rsidTr="00B368A0">
        <w:trPr>
          <w:trHeight w:val="1253"/>
        </w:trPr>
        <w:tc>
          <w:tcPr>
            <w:tcW w:w="708" w:type="dxa"/>
            <w:tcBorders>
              <w:left w:val="single" w:sz="6" w:space="0" w:color="000000"/>
              <w:bottom w:val="single" w:sz="4" w:space="0" w:color="auto"/>
              <w:right w:val="single" w:sz="6" w:space="0" w:color="000000"/>
            </w:tcBorders>
          </w:tcPr>
          <w:p w14:paraId="7631EBD9" w14:textId="177AB304" w:rsidR="00810BB2" w:rsidRPr="00226440" w:rsidRDefault="00810BB2" w:rsidP="00810BB2">
            <w:pPr>
              <w:pStyle w:val="naisc"/>
              <w:spacing w:before="0" w:after="0"/>
            </w:pPr>
            <w:r>
              <w:t>1</w:t>
            </w:r>
            <w:r w:rsidR="00502701">
              <w:t>2</w:t>
            </w:r>
            <w:r>
              <w:t>.</w:t>
            </w:r>
          </w:p>
        </w:tc>
        <w:tc>
          <w:tcPr>
            <w:tcW w:w="1552" w:type="dxa"/>
            <w:tcBorders>
              <w:left w:val="single" w:sz="6" w:space="0" w:color="000000"/>
              <w:bottom w:val="single" w:sz="4" w:space="0" w:color="auto"/>
              <w:right w:val="single" w:sz="6" w:space="0" w:color="000000"/>
            </w:tcBorders>
          </w:tcPr>
          <w:p w14:paraId="7431D45F" w14:textId="10FD9FB7" w:rsidR="00810BB2" w:rsidRPr="00B20FCA" w:rsidRDefault="00810BB2" w:rsidP="00F475D7">
            <w:pPr>
              <w:spacing w:before="120"/>
              <w:jc w:val="both"/>
              <w:rPr>
                <w:lang w:bidi="en-US"/>
              </w:rPr>
            </w:pPr>
            <w:r w:rsidRPr="00617D28">
              <w:rPr>
                <w:lang w:bidi="en-US"/>
              </w:rPr>
              <w:t xml:space="preserve">9. Pakalpojuma sniedzējs nodrošina, ka personas, kas uzrauga drošību baseinos un pirtīs, ir ieguvušas apliecību par  </w:t>
            </w:r>
            <w:proofErr w:type="spellStart"/>
            <w:r w:rsidRPr="00617D28">
              <w:rPr>
                <w:lang w:bidi="en-US"/>
              </w:rPr>
              <w:t>pamatzināšanu</w:t>
            </w:r>
            <w:proofErr w:type="spellEnd"/>
            <w:r w:rsidRPr="00617D28">
              <w:rPr>
                <w:lang w:bidi="en-US"/>
              </w:rPr>
              <w:t xml:space="preserve"> apguvi pirmās palīdzības sniegšanā. </w:t>
            </w:r>
          </w:p>
        </w:tc>
        <w:tc>
          <w:tcPr>
            <w:tcW w:w="7230" w:type="dxa"/>
            <w:gridSpan w:val="2"/>
            <w:tcBorders>
              <w:left w:val="single" w:sz="6" w:space="0" w:color="000000"/>
              <w:bottom w:val="single" w:sz="4" w:space="0" w:color="auto"/>
              <w:right w:val="single" w:sz="6" w:space="0" w:color="000000"/>
            </w:tcBorders>
          </w:tcPr>
          <w:p w14:paraId="66A83922" w14:textId="2F48C4DB" w:rsidR="00810BB2" w:rsidRDefault="00810BB2" w:rsidP="00810BB2">
            <w:pPr>
              <w:widowControl w:val="0"/>
              <w:tabs>
                <w:tab w:val="left" w:pos="993"/>
              </w:tabs>
              <w:suppressAutoHyphens/>
              <w:contextualSpacing/>
              <w:jc w:val="both"/>
              <w:outlineLvl w:val="0"/>
              <w:rPr>
                <w:rFonts w:eastAsia="Calibri"/>
                <w:iCs/>
                <w:lang w:eastAsia="en-US"/>
              </w:rPr>
            </w:pPr>
            <w:r>
              <w:rPr>
                <w:rFonts w:eastAsia="Calibri"/>
                <w:iCs/>
                <w:lang w:eastAsia="en-US"/>
              </w:rPr>
              <w:t xml:space="preserve">10. </w:t>
            </w:r>
            <w:r w:rsidRPr="00996787">
              <w:rPr>
                <w:rFonts w:eastAsia="Calibri"/>
                <w:iCs/>
                <w:lang w:eastAsia="en-US"/>
              </w:rPr>
              <w:t>EDL 38.</w:t>
            </w:r>
            <w:r w:rsidRPr="00996787">
              <w:rPr>
                <w:rFonts w:eastAsia="Calibri"/>
                <w:iCs/>
                <w:vertAlign w:val="superscript"/>
                <w:lang w:eastAsia="en-US"/>
              </w:rPr>
              <w:t>1 </w:t>
            </w:r>
            <w:r w:rsidRPr="00996787">
              <w:rPr>
                <w:rFonts w:eastAsia="Calibri"/>
                <w:iCs/>
                <w:lang w:eastAsia="en-US"/>
              </w:rPr>
              <w:t>panta trešā daļa paredz, ka Ministru kabinets nosaka prasības paaugstināta riska subjektu nodarbināto personu kompetencei higiēnas jomā. Projekts netiek izdots uz šī pilnvarojuma pamata, tāpēc lūdzam</w:t>
            </w:r>
          </w:p>
          <w:p w14:paraId="25747E80" w14:textId="28FF568D" w:rsidR="00810BB2" w:rsidRPr="00996787" w:rsidRDefault="00810BB2" w:rsidP="00810BB2">
            <w:pPr>
              <w:widowControl w:val="0"/>
              <w:tabs>
                <w:tab w:val="left" w:pos="993"/>
              </w:tabs>
              <w:suppressAutoHyphens/>
              <w:contextualSpacing/>
              <w:jc w:val="both"/>
              <w:outlineLvl w:val="0"/>
              <w:rPr>
                <w:rFonts w:eastAsia="Calibri"/>
                <w:iCs/>
                <w:lang w:eastAsia="en-US"/>
              </w:rPr>
            </w:pPr>
            <w:r w:rsidRPr="00996787">
              <w:rPr>
                <w:rFonts w:eastAsia="Calibri"/>
                <w:iCs/>
                <w:lang w:eastAsia="en-US"/>
              </w:rPr>
              <w:t xml:space="preserve">svītrot projekta 9. punktā noteikto par pakalpojuma sniedzēja pienākumu nodrošināt, ka personas, kas uzrauga drošību baseinos un pirtīs, ir ieguvušas apliecību par </w:t>
            </w:r>
            <w:proofErr w:type="spellStart"/>
            <w:r w:rsidRPr="00996787">
              <w:rPr>
                <w:rFonts w:eastAsia="Calibri"/>
                <w:iCs/>
                <w:lang w:eastAsia="en-US"/>
              </w:rPr>
              <w:t>pamatzināšanu</w:t>
            </w:r>
            <w:proofErr w:type="spellEnd"/>
            <w:r w:rsidRPr="00996787">
              <w:rPr>
                <w:rFonts w:eastAsia="Calibri"/>
                <w:iCs/>
                <w:lang w:eastAsia="en-US"/>
              </w:rPr>
              <w:t xml:space="preserve"> apguvi pirmās palīdzības sniegšanā. Vienlaikus šis punkts šķietami neattiecas uz higiēnas prasībām un tātad neatbilst pilnvarojumam EDL 38.</w:t>
            </w:r>
            <w:r w:rsidRPr="00996787">
              <w:rPr>
                <w:rFonts w:eastAsia="Calibri"/>
                <w:iCs/>
                <w:vertAlign w:val="superscript"/>
                <w:lang w:eastAsia="en-US"/>
              </w:rPr>
              <w:t>1 </w:t>
            </w:r>
            <w:r w:rsidRPr="00996787">
              <w:rPr>
                <w:rFonts w:eastAsia="Calibri"/>
                <w:iCs/>
                <w:lang w:eastAsia="en-US"/>
              </w:rPr>
              <w:t>panta pirmajā daļā.</w:t>
            </w:r>
          </w:p>
          <w:p w14:paraId="36AD3A1F" w14:textId="77777777" w:rsidR="00810BB2" w:rsidRPr="00B20FCA" w:rsidRDefault="00810BB2" w:rsidP="00810BB2">
            <w:pPr>
              <w:jc w:val="both"/>
            </w:pPr>
          </w:p>
        </w:tc>
        <w:tc>
          <w:tcPr>
            <w:tcW w:w="2693" w:type="dxa"/>
            <w:tcBorders>
              <w:left w:val="single" w:sz="6" w:space="0" w:color="000000"/>
              <w:bottom w:val="single" w:sz="4" w:space="0" w:color="auto"/>
              <w:right w:val="single" w:sz="6" w:space="0" w:color="000000"/>
            </w:tcBorders>
          </w:tcPr>
          <w:p w14:paraId="2E9B899C" w14:textId="566DFAD8" w:rsidR="00810BB2" w:rsidRPr="00B20FCA" w:rsidRDefault="00810BB2" w:rsidP="00810BB2">
            <w:pPr>
              <w:pStyle w:val="naisc"/>
              <w:spacing w:before="0" w:after="0"/>
              <w:jc w:val="both"/>
            </w:pPr>
            <w:r w:rsidRPr="00D32A7B">
              <w:rPr>
                <w:b/>
              </w:rPr>
              <w:t>Ņemts vērā</w:t>
            </w:r>
          </w:p>
        </w:tc>
        <w:tc>
          <w:tcPr>
            <w:tcW w:w="1701" w:type="dxa"/>
            <w:tcBorders>
              <w:top w:val="single" w:sz="4" w:space="0" w:color="auto"/>
              <w:left w:val="single" w:sz="4" w:space="0" w:color="auto"/>
              <w:bottom w:val="single" w:sz="4" w:space="0" w:color="auto"/>
            </w:tcBorders>
          </w:tcPr>
          <w:p w14:paraId="1FFAF10D" w14:textId="77777777" w:rsidR="00810BB2" w:rsidRPr="00B20FCA" w:rsidRDefault="00810BB2" w:rsidP="00810BB2">
            <w:pPr>
              <w:jc w:val="both"/>
            </w:pPr>
          </w:p>
        </w:tc>
      </w:tr>
      <w:tr w:rsidR="00810BB2" w:rsidRPr="00226440" w14:paraId="6CD72D1C" w14:textId="77777777" w:rsidTr="00B368A0">
        <w:trPr>
          <w:trHeight w:val="1253"/>
        </w:trPr>
        <w:tc>
          <w:tcPr>
            <w:tcW w:w="708" w:type="dxa"/>
            <w:tcBorders>
              <w:left w:val="single" w:sz="6" w:space="0" w:color="000000"/>
              <w:bottom w:val="single" w:sz="4" w:space="0" w:color="auto"/>
              <w:right w:val="single" w:sz="6" w:space="0" w:color="000000"/>
            </w:tcBorders>
          </w:tcPr>
          <w:p w14:paraId="13C8AAAA" w14:textId="7AE1A218" w:rsidR="00810BB2" w:rsidRPr="00226440" w:rsidRDefault="00810BB2" w:rsidP="00810BB2">
            <w:pPr>
              <w:pStyle w:val="naisc"/>
              <w:spacing w:before="0" w:after="0"/>
            </w:pPr>
            <w:r>
              <w:lastRenderedPageBreak/>
              <w:t>1</w:t>
            </w:r>
            <w:r w:rsidR="00502701">
              <w:t>3</w:t>
            </w:r>
            <w:r>
              <w:t>.</w:t>
            </w:r>
          </w:p>
        </w:tc>
        <w:tc>
          <w:tcPr>
            <w:tcW w:w="1552" w:type="dxa"/>
            <w:tcBorders>
              <w:left w:val="single" w:sz="6" w:space="0" w:color="000000"/>
              <w:bottom w:val="single" w:sz="4" w:space="0" w:color="auto"/>
              <w:right w:val="single" w:sz="6" w:space="0" w:color="000000"/>
            </w:tcBorders>
          </w:tcPr>
          <w:p w14:paraId="1447FE26" w14:textId="52DECA2A" w:rsidR="00810BB2" w:rsidRPr="00B20FCA" w:rsidRDefault="00810BB2" w:rsidP="00B368A0">
            <w:pPr>
              <w:spacing w:before="120"/>
              <w:jc w:val="both"/>
              <w:rPr>
                <w:lang w:bidi="en-US"/>
              </w:rPr>
            </w:pPr>
            <w:r w:rsidRPr="00F561F0">
              <w:rPr>
                <w:lang w:bidi="en-US"/>
              </w:rPr>
              <w:t>11.3. tualetes (vīriešu, sieviešu un darbinieku);</w:t>
            </w:r>
          </w:p>
        </w:tc>
        <w:tc>
          <w:tcPr>
            <w:tcW w:w="7230" w:type="dxa"/>
            <w:gridSpan w:val="2"/>
            <w:tcBorders>
              <w:left w:val="single" w:sz="6" w:space="0" w:color="000000"/>
              <w:bottom w:val="single" w:sz="4" w:space="0" w:color="auto"/>
              <w:right w:val="single" w:sz="6" w:space="0" w:color="000000"/>
            </w:tcBorders>
          </w:tcPr>
          <w:p w14:paraId="3EFBE908" w14:textId="07B089DA" w:rsidR="00810BB2" w:rsidRPr="00996787" w:rsidRDefault="00810BB2" w:rsidP="00810BB2">
            <w:pPr>
              <w:widowControl w:val="0"/>
              <w:tabs>
                <w:tab w:val="left" w:pos="993"/>
              </w:tabs>
              <w:suppressAutoHyphens/>
              <w:contextualSpacing/>
              <w:jc w:val="both"/>
              <w:outlineLvl w:val="0"/>
              <w:rPr>
                <w:rFonts w:eastAsia="Calibri"/>
                <w:iCs/>
                <w:lang w:eastAsia="en-US"/>
              </w:rPr>
            </w:pPr>
            <w:r>
              <w:rPr>
                <w:rFonts w:eastAsia="Calibri"/>
                <w:iCs/>
                <w:lang w:eastAsia="en-US"/>
              </w:rPr>
              <w:t xml:space="preserve">11. </w:t>
            </w:r>
            <w:r w:rsidRPr="00996787">
              <w:rPr>
                <w:rFonts w:eastAsia="Calibri"/>
                <w:iCs/>
                <w:lang w:eastAsia="en-US"/>
              </w:rPr>
              <w:t>Aicinām izvērtēt samērīgumu projekta 11.3. apakšpunktā ietvertai prasībai, no kuras varētu izdarīt secinājumu, ka jebkurā pirtī vai baseinā ir jānodrošina atsevišķa tualete vīriešiem, atsevišķa tualete sievietēm un atsevišķa tualete darbiniekiem.</w:t>
            </w:r>
          </w:p>
          <w:p w14:paraId="28EDA8BC" w14:textId="77777777" w:rsidR="00810BB2" w:rsidRPr="00B20FCA" w:rsidRDefault="00810BB2" w:rsidP="00810BB2">
            <w:pPr>
              <w:jc w:val="both"/>
            </w:pPr>
          </w:p>
        </w:tc>
        <w:tc>
          <w:tcPr>
            <w:tcW w:w="2693" w:type="dxa"/>
            <w:tcBorders>
              <w:left w:val="single" w:sz="6" w:space="0" w:color="000000"/>
              <w:bottom w:val="single" w:sz="4" w:space="0" w:color="auto"/>
              <w:right w:val="single" w:sz="6" w:space="0" w:color="000000"/>
            </w:tcBorders>
          </w:tcPr>
          <w:p w14:paraId="406EFF3A" w14:textId="3FC6A741" w:rsidR="00810BB2" w:rsidRPr="00B20FCA" w:rsidRDefault="00810BB2" w:rsidP="00810BB2">
            <w:pPr>
              <w:pStyle w:val="naisc"/>
              <w:spacing w:before="0" w:after="0"/>
              <w:jc w:val="both"/>
            </w:pPr>
            <w:r w:rsidRPr="00D32A7B">
              <w:rPr>
                <w:b/>
              </w:rPr>
              <w:t>Ņemts vērā</w:t>
            </w:r>
          </w:p>
        </w:tc>
        <w:tc>
          <w:tcPr>
            <w:tcW w:w="1701" w:type="dxa"/>
            <w:tcBorders>
              <w:top w:val="single" w:sz="4" w:space="0" w:color="auto"/>
              <w:left w:val="single" w:sz="4" w:space="0" w:color="auto"/>
              <w:bottom w:val="single" w:sz="4" w:space="0" w:color="auto"/>
            </w:tcBorders>
          </w:tcPr>
          <w:p w14:paraId="0B3D96B0" w14:textId="77777777" w:rsidR="00810BB2" w:rsidRPr="00810BB2" w:rsidRDefault="00810BB2" w:rsidP="00810BB2">
            <w:pPr>
              <w:jc w:val="both"/>
            </w:pPr>
            <w:r w:rsidRPr="00810BB2">
              <w:t>6.3. tualetes (apmeklētāju un darbinieku);</w:t>
            </w:r>
          </w:p>
          <w:p w14:paraId="7D42201E" w14:textId="77777777" w:rsidR="00810BB2" w:rsidRPr="00B20FCA" w:rsidRDefault="00810BB2" w:rsidP="00810BB2">
            <w:pPr>
              <w:jc w:val="both"/>
            </w:pPr>
          </w:p>
        </w:tc>
      </w:tr>
      <w:tr w:rsidR="00810BB2" w:rsidRPr="00226440" w14:paraId="2D5F00E4" w14:textId="77777777" w:rsidTr="00B368A0">
        <w:trPr>
          <w:trHeight w:val="1253"/>
        </w:trPr>
        <w:tc>
          <w:tcPr>
            <w:tcW w:w="708" w:type="dxa"/>
            <w:tcBorders>
              <w:left w:val="single" w:sz="6" w:space="0" w:color="000000"/>
              <w:bottom w:val="single" w:sz="4" w:space="0" w:color="auto"/>
              <w:right w:val="single" w:sz="6" w:space="0" w:color="000000"/>
            </w:tcBorders>
          </w:tcPr>
          <w:p w14:paraId="32D4B8DE" w14:textId="554750F2" w:rsidR="00810BB2" w:rsidRPr="00226440" w:rsidRDefault="00810BB2" w:rsidP="00810BB2">
            <w:pPr>
              <w:pStyle w:val="naisc"/>
              <w:spacing w:before="0" w:after="0"/>
            </w:pPr>
            <w:r>
              <w:t>1</w:t>
            </w:r>
            <w:r w:rsidR="00502701">
              <w:t>4</w:t>
            </w:r>
            <w:r>
              <w:t>.</w:t>
            </w:r>
          </w:p>
        </w:tc>
        <w:tc>
          <w:tcPr>
            <w:tcW w:w="1552" w:type="dxa"/>
            <w:tcBorders>
              <w:left w:val="single" w:sz="6" w:space="0" w:color="000000"/>
              <w:bottom w:val="single" w:sz="4" w:space="0" w:color="auto"/>
              <w:right w:val="single" w:sz="6" w:space="0" w:color="000000"/>
            </w:tcBorders>
          </w:tcPr>
          <w:p w14:paraId="25C4D8AB" w14:textId="77777777" w:rsidR="00810BB2" w:rsidRPr="00B20FCA" w:rsidRDefault="00810BB2" w:rsidP="00810BB2">
            <w:pPr>
              <w:spacing w:before="120"/>
              <w:jc w:val="both"/>
              <w:rPr>
                <w:lang w:bidi="en-US"/>
              </w:rPr>
            </w:pPr>
          </w:p>
        </w:tc>
        <w:tc>
          <w:tcPr>
            <w:tcW w:w="7230" w:type="dxa"/>
            <w:gridSpan w:val="2"/>
            <w:tcBorders>
              <w:left w:val="single" w:sz="6" w:space="0" w:color="000000"/>
              <w:bottom w:val="single" w:sz="4" w:space="0" w:color="auto"/>
              <w:right w:val="single" w:sz="6" w:space="0" w:color="000000"/>
            </w:tcBorders>
          </w:tcPr>
          <w:p w14:paraId="0BB8DE8F" w14:textId="1E03AC2F" w:rsidR="00810BB2" w:rsidRPr="00B20FCA" w:rsidRDefault="00810BB2" w:rsidP="00810BB2">
            <w:pPr>
              <w:widowControl w:val="0"/>
              <w:tabs>
                <w:tab w:val="left" w:pos="993"/>
              </w:tabs>
              <w:suppressAutoHyphens/>
              <w:contextualSpacing/>
              <w:jc w:val="both"/>
              <w:outlineLvl w:val="0"/>
            </w:pPr>
            <w:r>
              <w:rPr>
                <w:rFonts w:eastAsia="Calibri"/>
                <w:iCs/>
                <w:lang w:eastAsia="en-US"/>
              </w:rPr>
              <w:t>12.</w:t>
            </w:r>
            <w:r w:rsidRPr="00996787">
              <w:rPr>
                <w:rFonts w:eastAsia="Calibri"/>
                <w:iCs/>
                <w:lang w:eastAsia="en-US"/>
              </w:rPr>
              <w:t>Vēršam uzmanību, ka projekta 21. punkts, salīdzinot ar spēkā esošo regulējumu, par 1 grādu paaugstina minimālo temperatūru baseiniem. Lūdzam sniegt anotācijā pamatojumu šīm izmaiņām prasībās, kā arī vērtēt iespējamo ietekmi uz baseina pakalpojumu sniedzējiem.</w:t>
            </w:r>
          </w:p>
        </w:tc>
        <w:tc>
          <w:tcPr>
            <w:tcW w:w="2693" w:type="dxa"/>
            <w:tcBorders>
              <w:left w:val="single" w:sz="6" w:space="0" w:color="000000"/>
              <w:bottom w:val="single" w:sz="4" w:space="0" w:color="auto"/>
              <w:right w:val="single" w:sz="6" w:space="0" w:color="000000"/>
            </w:tcBorders>
          </w:tcPr>
          <w:p w14:paraId="4E3EBD89" w14:textId="2551A3C3" w:rsidR="00810BB2" w:rsidRPr="00B20FCA" w:rsidRDefault="00810BB2" w:rsidP="00810BB2">
            <w:pPr>
              <w:pStyle w:val="naisc"/>
              <w:spacing w:before="0" w:after="0"/>
              <w:jc w:val="both"/>
            </w:pPr>
            <w:r w:rsidRPr="00D32A7B">
              <w:rPr>
                <w:b/>
              </w:rPr>
              <w:t>Ņemts vērā</w:t>
            </w:r>
          </w:p>
        </w:tc>
        <w:tc>
          <w:tcPr>
            <w:tcW w:w="1701" w:type="dxa"/>
            <w:tcBorders>
              <w:top w:val="single" w:sz="4" w:space="0" w:color="auto"/>
              <w:left w:val="single" w:sz="4" w:space="0" w:color="auto"/>
              <w:bottom w:val="single" w:sz="4" w:space="0" w:color="auto"/>
            </w:tcBorders>
          </w:tcPr>
          <w:p w14:paraId="57FA0357" w14:textId="77777777" w:rsidR="00810BB2" w:rsidRPr="00B20FCA" w:rsidRDefault="00810BB2" w:rsidP="00810BB2">
            <w:pPr>
              <w:jc w:val="both"/>
            </w:pPr>
          </w:p>
        </w:tc>
      </w:tr>
      <w:tr w:rsidR="00810BB2" w:rsidRPr="00226440" w14:paraId="79BF75C7" w14:textId="77777777" w:rsidTr="00B368A0">
        <w:trPr>
          <w:trHeight w:val="1253"/>
        </w:trPr>
        <w:tc>
          <w:tcPr>
            <w:tcW w:w="708" w:type="dxa"/>
            <w:tcBorders>
              <w:left w:val="single" w:sz="6" w:space="0" w:color="000000"/>
              <w:bottom w:val="single" w:sz="4" w:space="0" w:color="auto"/>
              <w:right w:val="single" w:sz="6" w:space="0" w:color="000000"/>
            </w:tcBorders>
          </w:tcPr>
          <w:p w14:paraId="0E3ECD46" w14:textId="11D2F17C" w:rsidR="00810BB2" w:rsidRPr="00226440" w:rsidRDefault="00810BB2" w:rsidP="00810BB2">
            <w:pPr>
              <w:pStyle w:val="naisc"/>
              <w:spacing w:before="0" w:after="0"/>
            </w:pPr>
            <w:r>
              <w:t>1</w:t>
            </w:r>
            <w:r w:rsidR="00502701">
              <w:t>5</w:t>
            </w:r>
            <w:r>
              <w:t>.</w:t>
            </w:r>
          </w:p>
        </w:tc>
        <w:tc>
          <w:tcPr>
            <w:tcW w:w="1552" w:type="dxa"/>
            <w:tcBorders>
              <w:left w:val="single" w:sz="6" w:space="0" w:color="000000"/>
              <w:bottom w:val="single" w:sz="4" w:space="0" w:color="auto"/>
              <w:right w:val="single" w:sz="6" w:space="0" w:color="000000"/>
            </w:tcBorders>
          </w:tcPr>
          <w:p w14:paraId="1A55AF87" w14:textId="6C4E8859" w:rsidR="00810BB2" w:rsidRPr="00B20FCA" w:rsidRDefault="00810BB2" w:rsidP="00810BB2">
            <w:pPr>
              <w:spacing w:before="120"/>
              <w:jc w:val="both"/>
              <w:rPr>
                <w:lang w:bidi="en-US"/>
              </w:rPr>
            </w:pPr>
          </w:p>
        </w:tc>
        <w:tc>
          <w:tcPr>
            <w:tcW w:w="7230" w:type="dxa"/>
            <w:gridSpan w:val="2"/>
            <w:tcBorders>
              <w:left w:val="single" w:sz="6" w:space="0" w:color="000000"/>
              <w:bottom w:val="single" w:sz="4" w:space="0" w:color="auto"/>
              <w:right w:val="single" w:sz="6" w:space="0" w:color="000000"/>
            </w:tcBorders>
          </w:tcPr>
          <w:p w14:paraId="4C784E77" w14:textId="2556BF86" w:rsidR="00810BB2" w:rsidRDefault="00810BB2" w:rsidP="00810BB2">
            <w:pPr>
              <w:widowControl w:val="0"/>
              <w:tabs>
                <w:tab w:val="left" w:pos="993"/>
              </w:tabs>
              <w:suppressAutoHyphens/>
              <w:contextualSpacing/>
              <w:jc w:val="both"/>
              <w:outlineLvl w:val="0"/>
              <w:rPr>
                <w:rFonts w:eastAsia="Calibri"/>
                <w:iCs/>
                <w:lang w:eastAsia="en-US"/>
              </w:rPr>
            </w:pPr>
            <w:r>
              <w:rPr>
                <w:rFonts w:eastAsia="Calibri"/>
                <w:iCs/>
                <w:lang w:eastAsia="en-US"/>
              </w:rPr>
              <w:t xml:space="preserve">13. </w:t>
            </w:r>
            <w:r w:rsidRPr="00996787">
              <w:rPr>
                <w:rFonts w:eastAsia="Calibri"/>
                <w:iCs/>
                <w:lang w:eastAsia="en-US"/>
              </w:rPr>
              <w:t>Anotācijā skaidrots, ka projektā apvienoti Ministru kabineta 2009. gada 13. janvāra noteikumi Nr. 37 "Higiēnas prasības publiskas lietošanas peldbaseiniem" un Ministru kabineta 2000. gada 19. decembra noteikumi Nr. 439 "Higiēnas prasības publiskas lietošanas pirtīm", taču</w:t>
            </w:r>
          </w:p>
          <w:p w14:paraId="285A40D6" w14:textId="33653393" w:rsidR="00810BB2" w:rsidRPr="00996787" w:rsidRDefault="00810BB2" w:rsidP="00810BB2">
            <w:pPr>
              <w:widowControl w:val="0"/>
              <w:tabs>
                <w:tab w:val="left" w:pos="993"/>
              </w:tabs>
              <w:suppressAutoHyphens/>
              <w:contextualSpacing/>
              <w:jc w:val="both"/>
              <w:outlineLvl w:val="0"/>
              <w:rPr>
                <w:rFonts w:eastAsia="Calibri"/>
                <w:iCs/>
                <w:lang w:eastAsia="en-US"/>
              </w:rPr>
            </w:pPr>
            <w:r w:rsidRPr="00996787">
              <w:rPr>
                <w:rFonts w:eastAsia="Calibri"/>
                <w:iCs/>
                <w:lang w:eastAsia="en-US"/>
              </w:rPr>
              <w:t>projekts neparedz šos noteikumus atzīt par spēku zaudējušiem. Ievērojot minēto, lūdzam papildināt projektu ar noslēguma jautājumu, lai atzītu minētos noteikumus par spēku zaudējušiem.</w:t>
            </w:r>
          </w:p>
          <w:p w14:paraId="643B9140" w14:textId="24D20396" w:rsidR="00810BB2" w:rsidRPr="00B20FCA" w:rsidRDefault="00810BB2" w:rsidP="00810BB2">
            <w:pPr>
              <w:jc w:val="both"/>
            </w:pPr>
          </w:p>
        </w:tc>
        <w:tc>
          <w:tcPr>
            <w:tcW w:w="2693" w:type="dxa"/>
            <w:tcBorders>
              <w:left w:val="single" w:sz="6" w:space="0" w:color="000000"/>
              <w:bottom w:val="single" w:sz="4" w:space="0" w:color="auto"/>
              <w:right w:val="single" w:sz="6" w:space="0" w:color="000000"/>
            </w:tcBorders>
          </w:tcPr>
          <w:p w14:paraId="5C4041D4" w14:textId="2C6F911F" w:rsidR="00810BB2" w:rsidRPr="00B20FCA" w:rsidRDefault="00810BB2" w:rsidP="00810BB2">
            <w:pPr>
              <w:pStyle w:val="naisc"/>
              <w:spacing w:before="0" w:after="0"/>
              <w:jc w:val="both"/>
            </w:pPr>
            <w:r w:rsidRPr="00D32A7B">
              <w:rPr>
                <w:b/>
              </w:rPr>
              <w:t>Ņemts vērā</w:t>
            </w:r>
          </w:p>
        </w:tc>
        <w:tc>
          <w:tcPr>
            <w:tcW w:w="1701" w:type="dxa"/>
            <w:tcBorders>
              <w:top w:val="single" w:sz="4" w:space="0" w:color="auto"/>
              <w:left w:val="single" w:sz="4" w:space="0" w:color="auto"/>
              <w:bottom w:val="single" w:sz="4" w:space="0" w:color="auto"/>
            </w:tcBorders>
          </w:tcPr>
          <w:p w14:paraId="02B32CEA" w14:textId="2715C0AF" w:rsidR="00810BB2" w:rsidRPr="00810BB2" w:rsidRDefault="00810BB2" w:rsidP="00810BB2">
            <w:pPr>
              <w:jc w:val="both"/>
              <w:rPr>
                <w:bCs/>
              </w:rPr>
            </w:pPr>
            <w:r w:rsidRPr="00810BB2">
              <w:rPr>
                <w:bCs/>
              </w:rPr>
              <w:t>3</w:t>
            </w:r>
            <w:r w:rsidR="00502701">
              <w:rPr>
                <w:bCs/>
              </w:rPr>
              <w:t>1</w:t>
            </w:r>
            <w:r w:rsidRPr="00810BB2">
              <w:rPr>
                <w:bCs/>
              </w:rPr>
              <w:t xml:space="preserve">. Atzīt par spēku zaudējušiem: </w:t>
            </w:r>
          </w:p>
          <w:p w14:paraId="2ECED0AB" w14:textId="4333C3D8" w:rsidR="00810BB2" w:rsidRPr="00810BB2" w:rsidRDefault="00810BB2" w:rsidP="00810BB2">
            <w:pPr>
              <w:jc w:val="both"/>
              <w:rPr>
                <w:bCs/>
              </w:rPr>
            </w:pPr>
            <w:r w:rsidRPr="00810BB2">
              <w:rPr>
                <w:bCs/>
              </w:rPr>
              <w:t>3</w:t>
            </w:r>
            <w:r w:rsidR="00502701">
              <w:rPr>
                <w:bCs/>
              </w:rPr>
              <w:t>1</w:t>
            </w:r>
            <w:r w:rsidRPr="00810BB2">
              <w:rPr>
                <w:bCs/>
              </w:rPr>
              <w:t>.1. Ministru kabineta 2009.gada 13.janvāra noteikumus Nr. 37 “</w:t>
            </w:r>
            <w:hyperlink r:id="rId10" w:tgtFrame="_blank" w:history="1">
              <w:r w:rsidRPr="00810BB2">
                <w:rPr>
                  <w:rStyle w:val="Hyperlink"/>
                  <w:bCs/>
                </w:rPr>
                <w:t>Higiēnas prasības publiskas lietošanas peldbaseiniem</w:t>
              </w:r>
            </w:hyperlink>
            <w:r w:rsidRPr="00810BB2">
              <w:rPr>
                <w:bCs/>
              </w:rPr>
              <w:t xml:space="preserve">“  (Latvijas Vēstnesis, 2009, 10. nr.); </w:t>
            </w:r>
          </w:p>
          <w:p w14:paraId="282A4C57" w14:textId="29822F16" w:rsidR="00810BB2" w:rsidRPr="00B20FCA" w:rsidRDefault="00810BB2" w:rsidP="00FC56F5">
            <w:pPr>
              <w:jc w:val="both"/>
            </w:pPr>
            <w:r w:rsidRPr="00810BB2">
              <w:rPr>
                <w:bCs/>
              </w:rPr>
              <w:t>3</w:t>
            </w:r>
            <w:r w:rsidR="00502701">
              <w:rPr>
                <w:bCs/>
              </w:rPr>
              <w:t>1</w:t>
            </w:r>
            <w:r w:rsidRPr="00810BB2">
              <w:rPr>
                <w:bCs/>
              </w:rPr>
              <w:t xml:space="preserve">.2. Ministru kabineta 2000.gada 19.decembra noteikumus Nr. 439 </w:t>
            </w:r>
            <w:r w:rsidRPr="00810BB2">
              <w:rPr>
                <w:bCs/>
              </w:rPr>
              <w:br/>
              <w:t>“</w:t>
            </w:r>
            <w:hyperlink r:id="rId11" w:tgtFrame="_blank" w:history="1">
              <w:r w:rsidRPr="00810BB2">
                <w:rPr>
                  <w:rStyle w:val="Hyperlink"/>
                  <w:bCs/>
                </w:rPr>
                <w:t xml:space="preserve">Higiēnas prasības </w:t>
              </w:r>
              <w:r w:rsidRPr="00810BB2">
                <w:rPr>
                  <w:rStyle w:val="Hyperlink"/>
                  <w:bCs/>
                </w:rPr>
                <w:lastRenderedPageBreak/>
                <w:t>publiskas lietošanas pirtīm</w:t>
              </w:r>
            </w:hyperlink>
            <w:r w:rsidRPr="00810BB2">
              <w:rPr>
                <w:bCs/>
              </w:rPr>
              <w:t> “ (Latvijas Vēstnesis, 2000, 466/469.nr., 2005, 135.nr., 2006, 176 nr., 2008, 45.nr.)</w:t>
            </w:r>
          </w:p>
        </w:tc>
      </w:tr>
      <w:tr w:rsidR="00810BB2" w:rsidRPr="00226440" w14:paraId="2E40DED5" w14:textId="77777777" w:rsidTr="00B368A0">
        <w:tc>
          <w:tcPr>
            <w:tcW w:w="708" w:type="dxa"/>
            <w:tcBorders>
              <w:left w:val="single" w:sz="6" w:space="0" w:color="000000"/>
              <w:bottom w:val="single" w:sz="4" w:space="0" w:color="auto"/>
              <w:right w:val="single" w:sz="6" w:space="0" w:color="000000"/>
            </w:tcBorders>
          </w:tcPr>
          <w:p w14:paraId="36791DD3" w14:textId="19330369" w:rsidR="00810BB2" w:rsidRPr="00226440" w:rsidRDefault="00810BB2" w:rsidP="00810BB2">
            <w:pPr>
              <w:pStyle w:val="naisc"/>
              <w:spacing w:before="0" w:after="0"/>
            </w:pPr>
            <w:r>
              <w:lastRenderedPageBreak/>
              <w:t>1</w:t>
            </w:r>
            <w:r w:rsidR="00502701">
              <w:t>6</w:t>
            </w:r>
            <w:r>
              <w:t>.</w:t>
            </w:r>
          </w:p>
        </w:tc>
        <w:tc>
          <w:tcPr>
            <w:tcW w:w="1552" w:type="dxa"/>
            <w:tcBorders>
              <w:left w:val="single" w:sz="6" w:space="0" w:color="000000"/>
              <w:bottom w:val="single" w:sz="4" w:space="0" w:color="auto"/>
              <w:right w:val="single" w:sz="6" w:space="0" w:color="000000"/>
            </w:tcBorders>
          </w:tcPr>
          <w:p w14:paraId="5F79FB0C" w14:textId="50E1BCAA" w:rsidR="00810BB2" w:rsidRPr="00B20FCA" w:rsidRDefault="00810BB2" w:rsidP="00810BB2">
            <w:pPr>
              <w:pStyle w:val="naisc"/>
              <w:spacing w:before="0" w:after="0"/>
              <w:jc w:val="both"/>
            </w:pPr>
          </w:p>
        </w:tc>
        <w:tc>
          <w:tcPr>
            <w:tcW w:w="7230" w:type="dxa"/>
            <w:gridSpan w:val="2"/>
            <w:tcBorders>
              <w:left w:val="single" w:sz="6" w:space="0" w:color="000000"/>
              <w:bottom w:val="single" w:sz="4" w:space="0" w:color="auto"/>
              <w:right w:val="single" w:sz="6" w:space="0" w:color="000000"/>
            </w:tcBorders>
          </w:tcPr>
          <w:p w14:paraId="42A08073" w14:textId="0967F87D" w:rsidR="00810BB2" w:rsidRPr="00996787" w:rsidRDefault="00810BB2" w:rsidP="00810BB2">
            <w:pPr>
              <w:widowControl w:val="0"/>
              <w:tabs>
                <w:tab w:val="left" w:pos="993"/>
              </w:tabs>
              <w:suppressAutoHyphens/>
              <w:contextualSpacing/>
              <w:jc w:val="both"/>
              <w:outlineLvl w:val="0"/>
              <w:rPr>
                <w:rFonts w:eastAsia="Calibri"/>
                <w:iCs/>
                <w:lang w:eastAsia="en-US"/>
              </w:rPr>
            </w:pPr>
            <w:r>
              <w:rPr>
                <w:rFonts w:eastAsia="Calibri"/>
                <w:iCs/>
                <w:lang w:eastAsia="en-US"/>
              </w:rPr>
              <w:t xml:space="preserve">14. </w:t>
            </w:r>
            <w:r w:rsidRPr="00996787">
              <w:rPr>
                <w:rFonts w:eastAsia="Calibri"/>
                <w:iCs/>
                <w:lang w:eastAsia="en-US"/>
              </w:rPr>
              <w:t>Ņemot vērā, ka projekts paredz virkni jaunu prasību, salīdzinot ar spēkā esošo regulējumu, lūdzam paredzēt projektam samērīgu spēkā stāšanās termiņu, lai tiesību subjekti, kuriem būs jānodrošina šo prasību izpilde, varētu pienācīgi sagatavoties.</w:t>
            </w:r>
          </w:p>
          <w:p w14:paraId="65A0DB91" w14:textId="3BB337C5" w:rsidR="00810BB2" w:rsidRPr="00B20FCA" w:rsidRDefault="00810BB2" w:rsidP="00810BB2">
            <w:pPr>
              <w:jc w:val="both"/>
            </w:pPr>
          </w:p>
        </w:tc>
        <w:tc>
          <w:tcPr>
            <w:tcW w:w="2693" w:type="dxa"/>
            <w:tcBorders>
              <w:left w:val="single" w:sz="6" w:space="0" w:color="000000"/>
              <w:bottom w:val="single" w:sz="4" w:space="0" w:color="auto"/>
              <w:right w:val="single" w:sz="6" w:space="0" w:color="000000"/>
            </w:tcBorders>
          </w:tcPr>
          <w:p w14:paraId="67142C34" w14:textId="769319A7" w:rsidR="00810BB2" w:rsidRPr="00B20FCA" w:rsidRDefault="00810BB2" w:rsidP="00810BB2">
            <w:pPr>
              <w:pStyle w:val="naisc"/>
              <w:spacing w:before="0" w:after="0"/>
              <w:jc w:val="both"/>
            </w:pPr>
            <w:r w:rsidRPr="00D32A7B">
              <w:rPr>
                <w:b/>
              </w:rPr>
              <w:t>Ņemts vērā</w:t>
            </w:r>
          </w:p>
        </w:tc>
        <w:tc>
          <w:tcPr>
            <w:tcW w:w="1701" w:type="dxa"/>
            <w:tcBorders>
              <w:top w:val="single" w:sz="4" w:space="0" w:color="auto"/>
              <w:left w:val="single" w:sz="4" w:space="0" w:color="auto"/>
              <w:bottom w:val="single" w:sz="4" w:space="0" w:color="auto"/>
            </w:tcBorders>
          </w:tcPr>
          <w:p w14:paraId="31EBF64B" w14:textId="2E511EDB" w:rsidR="00810BB2" w:rsidRPr="00810BB2" w:rsidRDefault="00810BB2" w:rsidP="00810BB2">
            <w:pPr>
              <w:jc w:val="both"/>
              <w:rPr>
                <w:bCs/>
              </w:rPr>
            </w:pPr>
            <w:r w:rsidRPr="00810BB2">
              <w:rPr>
                <w:bCs/>
              </w:rPr>
              <w:t>33. Noteikumi stājas spēkā 2021. gada 1.</w:t>
            </w:r>
            <w:r w:rsidR="00F92009">
              <w:rPr>
                <w:bCs/>
              </w:rPr>
              <w:t>jūlijā</w:t>
            </w:r>
            <w:r w:rsidRPr="00810BB2">
              <w:rPr>
                <w:bCs/>
              </w:rPr>
              <w:t>.</w:t>
            </w:r>
          </w:p>
          <w:p w14:paraId="0BF0C1A0" w14:textId="27E0512F" w:rsidR="00810BB2" w:rsidRPr="00B20FCA" w:rsidRDefault="00810BB2" w:rsidP="00810BB2">
            <w:pPr>
              <w:jc w:val="both"/>
            </w:pPr>
          </w:p>
        </w:tc>
      </w:tr>
      <w:tr w:rsidR="00810BB2" w:rsidRPr="00226440" w14:paraId="04751C49" w14:textId="77777777" w:rsidTr="00B368A0">
        <w:tc>
          <w:tcPr>
            <w:tcW w:w="708" w:type="dxa"/>
            <w:tcBorders>
              <w:left w:val="single" w:sz="6" w:space="0" w:color="000000"/>
              <w:bottom w:val="single" w:sz="4" w:space="0" w:color="auto"/>
              <w:right w:val="single" w:sz="6" w:space="0" w:color="000000"/>
            </w:tcBorders>
          </w:tcPr>
          <w:p w14:paraId="7A3F23B9" w14:textId="5BB61041" w:rsidR="00810BB2" w:rsidRPr="00226440" w:rsidRDefault="00810BB2" w:rsidP="00810BB2">
            <w:pPr>
              <w:pStyle w:val="naisc"/>
              <w:spacing w:before="0" w:after="0"/>
            </w:pPr>
            <w:r>
              <w:t>1</w:t>
            </w:r>
            <w:r w:rsidR="00502701">
              <w:t>7</w:t>
            </w:r>
            <w:r>
              <w:t>.</w:t>
            </w:r>
          </w:p>
        </w:tc>
        <w:tc>
          <w:tcPr>
            <w:tcW w:w="1552" w:type="dxa"/>
            <w:tcBorders>
              <w:left w:val="single" w:sz="6" w:space="0" w:color="000000"/>
              <w:bottom w:val="single" w:sz="4" w:space="0" w:color="auto"/>
              <w:right w:val="single" w:sz="6" w:space="0" w:color="000000"/>
            </w:tcBorders>
          </w:tcPr>
          <w:p w14:paraId="634A5895" w14:textId="77777777" w:rsidR="00810BB2" w:rsidRPr="00B20FCA" w:rsidRDefault="00810BB2" w:rsidP="00810BB2">
            <w:pPr>
              <w:pStyle w:val="naisc"/>
              <w:spacing w:before="0" w:after="0"/>
              <w:jc w:val="both"/>
            </w:pPr>
          </w:p>
        </w:tc>
        <w:tc>
          <w:tcPr>
            <w:tcW w:w="7230" w:type="dxa"/>
            <w:gridSpan w:val="2"/>
            <w:tcBorders>
              <w:left w:val="single" w:sz="6" w:space="0" w:color="000000"/>
              <w:bottom w:val="single" w:sz="4" w:space="0" w:color="auto"/>
              <w:right w:val="single" w:sz="6" w:space="0" w:color="000000"/>
            </w:tcBorders>
          </w:tcPr>
          <w:p w14:paraId="651D371C" w14:textId="473E1EB0" w:rsidR="00810BB2" w:rsidRPr="00996787" w:rsidRDefault="00810BB2" w:rsidP="00810BB2">
            <w:pPr>
              <w:widowControl w:val="0"/>
              <w:tabs>
                <w:tab w:val="left" w:pos="993"/>
              </w:tabs>
              <w:suppressAutoHyphens/>
              <w:contextualSpacing/>
              <w:jc w:val="both"/>
              <w:outlineLvl w:val="0"/>
              <w:rPr>
                <w:rFonts w:eastAsia="Calibri"/>
                <w:iCs/>
                <w:lang w:eastAsia="en-US"/>
              </w:rPr>
            </w:pPr>
            <w:r>
              <w:rPr>
                <w:rFonts w:eastAsia="Calibri"/>
                <w:iCs/>
                <w:lang w:eastAsia="en-US"/>
              </w:rPr>
              <w:t xml:space="preserve">15. </w:t>
            </w:r>
            <w:r w:rsidRPr="00996787">
              <w:rPr>
                <w:rFonts w:eastAsia="Calibri"/>
                <w:iCs/>
                <w:lang w:eastAsia="en-US"/>
              </w:rPr>
              <w:t>Lai varētu pārliecināties par regulējuma savstarpējo atbilstību, lūdzam anotācijā norādīt tos normatīvos aktus (t.sk. punktus vai pantus tajos), uz kuriem projektā ir dota vispārīga atsauce (piemēram, projekta 20., 31. un 35. punktā).</w:t>
            </w:r>
          </w:p>
          <w:p w14:paraId="36352705" w14:textId="77777777" w:rsidR="00810BB2" w:rsidRPr="00B20FCA" w:rsidRDefault="00810BB2" w:rsidP="00810BB2">
            <w:pPr>
              <w:ind w:firstLine="709"/>
              <w:jc w:val="both"/>
            </w:pPr>
          </w:p>
        </w:tc>
        <w:tc>
          <w:tcPr>
            <w:tcW w:w="2693" w:type="dxa"/>
            <w:tcBorders>
              <w:left w:val="single" w:sz="6" w:space="0" w:color="000000"/>
              <w:bottom w:val="single" w:sz="4" w:space="0" w:color="auto"/>
              <w:right w:val="single" w:sz="6" w:space="0" w:color="000000"/>
            </w:tcBorders>
          </w:tcPr>
          <w:p w14:paraId="3026AAF5" w14:textId="0C8DF1D6" w:rsidR="00810BB2" w:rsidRPr="00B20FCA" w:rsidRDefault="00810BB2" w:rsidP="00810BB2">
            <w:pPr>
              <w:pStyle w:val="naisc"/>
              <w:spacing w:before="0" w:after="0"/>
              <w:jc w:val="both"/>
            </w:pPr>
            <w:r w:rsidRPr="00D32A7B">
              <w:rPr>
                <w:b/>
              </w:rPr>
              <w:t>Ņemts vērā</w:t>
            </w:r>
          </w:p>
        </w:tc>
        <w:tc>
          <w:tcPr>
            <w:tcW w:w="1701" w:type="dxa"/>
            <w:tcBorders>
              <w:top w:val="single" w:sz="4" w:space="0" w:color="auto"/>
              <w:left w:val="single" w:sz="4" w:space="0" w:color="auto"/>
              <w:bottom w:val="single" w:sz="4" w:space="0" w:color="auto"/>
            </w:tcBorders>
          </w:tcPr>
          <w:p w14:paraId="56793F10" w14:textId="7858BFE7" w:rsidR="00810BB2" w:rsidRPr="00B20FCA" w:rsidRDefault="00810BB2" w:rsidP="00810BB2">
            <w:pPr>
              <w:jc w:val="both"/>
            </w:pPr>
            <w:r w:rsidRPr="00276D29">
              <w:t>Precizēta anotācija</w:t>
            </w:r>
          </w:p>
        </w:tc>
      </w:tr>
      <w:tr w:rsidR="00810BB2" w:rsidRPr="00226440" w14:paraId="25E8EB9E" w14:textId="77777777" w:rsidTr="00B368A0">
        <w:tc>
          <w:tcPr>
            <w:tcW w:w="708" w:type="dxa"/>
            <w:tcBorders>
              <w:left w:val="single" w:sz="6" w:space="0" w:color="000000"/>
              <w:bottom w:val="single" w:sz="4" w:space="0" w:color="auto"/>
              <w:right w:val="single" w:sz="6" w:space="0" w:color="000000"/>
            </w:tcBorders>
          </w:tcPr>
          <w:p w14:paraId="651424B4" w14:textId="2BDDF804" w:rsidR="00810BB2" w:rsidRPr="00226440" w:rsidRDefault="00810BB2" w:rsidP="00810BB2">
            <w:pPr>
              <w:pStyle w:val="naisc"/>
              <w:spacing w:before="0" w:after="0"/>
            </w:pPr>
            <w:r>
              <w:t>1</w:t>
            </w:r>
            <w:r w:rsidR="00502701">
              <w:t>8</w:t>
            </w:r>
            <w:r>
              <w:t>.</w:t>
            </w:r>
          </w:p>
        </w:tc>
        <w:tc>
          <w:tcPr>
            <w:tcW w:w="1552" w:type="dxa"/>
            <w:tcBorders>
              <w:left w:val="single" w:sz="6" w:space="0" w:color="000000"/>
              <w:bottom w:val="single" w:sz="4" w:space="0" w:color="auto"/>
              <w:right w:val="single" w:sz="6" w:space="0" w:color="000000"/>
            </w:tcBorders>
          </w:tcPr>
          <w:p w14:paraId="50D0ECD9" w14:textId="77777777" w:rsidR="00810BB2" w:rsidRPr="00B20FCA" w:rsidRDefault="00810BB2" w:rsidP="00810BB2">
            <w:pPr>
              <w:pStyle w:val="naisc"/>
              <w:spacing w:before="0" w:after="0"/>
              <w:jc w:val="both"/>
            </w:pPr>
          </w:p>
        </w:tc>
        <w:tc>
          <w:tcPr>
            <w:tcW w:w="7230" w:type="dxa"/>
            <w:gridSpan w:val="2"/>
            <w:tcBorders>
              <w:left w:val="single" w:sz="6" w:space="0" w:color="000000"/>
              <w:bottom w:val="single" w:sz="4" w:space="0" w:color="auto"/>
              <w:right w:val="single" w:sz="6" w:space="0" w:color="000000"/>
            </w:tcBorders>
          </w:tcPr>
          <w:p w14:paraId="03DEB566" w14:textId="5B28CC9A" w:rsidR="00810BB2" w:rsidRPr="00996787" w:rsidRDefault="00810BB2" w:rsidP="00810BB2">
            <w:pPr>
              <w:widowControl w:val="0"/>
              <w:tabs>
                <w:tab w:val="left" w:pos="993"/>
              </w:tabs>
              <w:suppressAutoHyphens/>
              <w:contextualSpacing/>
              <w:jc w:val="both"/>
              <w:outlineLvl w:val="0"/>
              <w:rPr>
                <w:rFonts w:eastAsia="Calibri"/>
                <w:iCs/>
                <w:lang w:eastAsia="en-US"/>
              </w:rPr>
            </w:pPr>
            <w:r>
              <w:rPr>
                <w:rFonts w:eastAsia="Calibri"/>
                <w:iCs/>
                <w:lang w:eastAsia="en-US"/>
              </w:rPr>
              <w:t xml:space="preserve">16. </w:t>
            </w:r>
            <w:r w:rsidRPr="00996787">
              <w:rPr>
                <w:rFonts w:eastAsia="Calibri"/>
                <w:iCs/>
                <w:lang w:eastAsia="en-US"/>
              </w:rPr>
              <w:t>Ņemot vērā, ka anotācijā, lai pamatotu atsevišķas projektā paredzētās prasības, ir pieminētas Lielbritānijas vadlīnijas un Lietuvas higiēnas prasības, lūdzam pievienot atsauci, kur ar šiem dokumentiem var iepazīties.</w:t>
            </w:r>
          </w:p>
          <w:p w14:paraId="7A1B2A67" w14:textId="77777777" w:rsidR="00810BB2" w:rsidRPr="00B20FCA" w:rsidRDefault="00810BB2" w:rsidP="00810BB2">
            <w:pPr>
              <w:ind w:firstLine="709"/>
              <w:jc w:val="both"/>
            </w:pPr>
          </w:p>
        </w:tc>
        <w:tc>
          <w:tcPr>
            <w:tcW w:w="2693" w:type="dxa"/>
            <w:tcBorders>
              <w:left w:val="single" w:sz="6" w:space="0" w:color="000000"/>
              <w:bottom w:val="single" w:sz="4" w:space="0" w:color="auto"/>
              <w:right w:val="single" w:sz="6" w:space="0" w:color="000000"/>
            </w:tcBorders>
          </w:tcPr>
          <w:p w14:paraId="7F36AEFF" w14:textId="3009319B" w:rsidR="00810BB2" w:rsidRPr="00B20FCA" w:rsidRDefault="00810BB2" w:rsidP="00810BB2">
            <w:pPr>
              <w:pStyle w:val="naisc"/>
              <w:spacing w:before="0" w:after="0"/>
              <w:jc w:val="both"/>
            </w:pPr>
            <w:r w:rsidRPr="00D32A7B">
              <w:rPr>
                <w:b/>
              </w:rPr>
              <w:t>Ņemts vērā</w:t>
            </w:r>
          </w:p>
        </w:tc>
        <w:tc>
          <w:tcPr>
            <w:tcW w:w="1701" w:type="dxa"/>
            <w:tcBorders>
              <w:top w:val="single" w:sz="4" w:space="0" w:color="auto"/>
              <w:left w:val="single" w:sz="4" w:space="0" w:color="auto"/>
              <w:bottom w:val="single" w:sz="4" w:space="0" w:color="auto"/>
            </w:tcBorders>
          </w:tcPr>
          <w:p w14:paraId="6FE456F5" w14:textId="6FD702C6" w:rsidR="00810BB2" w:rsidRPr="00B20FCA" w:rsidRDefault="00810BB2" w:rsidP="00810BB2">
            <w:pPr>
              <w:jc w:val="both"/>
            </w:pPr>
            <w:r w:rsidRPr="00276D29">
              <w:t>Precizēta anotācija</w:t>
            </w:r>
          </w:p>
        </w:tc>
      </w:tr>
      <w:tr w:rsidR="00810BB2" w:rsidRPr="00226440" w14:paraId="0A6536B5" w14:textId="77777777" w:rsidTr="00B368A0">
        <w:tc>
          <w:tcPr>
            <w:tcW w:w="708" w:type="dxa"/>
            <w:tcBorders>
              <w:left w:val="single" w:sz="6" w:space="0" w:color="000000"/>
              <w:bottom w:val="single" w:sz="4" w:space="0" w:color="auto"/>
              <w:right w:val="single" w:sz="6" w:space="0" w:color="000000"/>
            </w:tcBorders>
          </w:tcPr>
          <w:p w14:paraId="76D2496B" w14:textId="46139D70" w:rsidR="00810BB2" w:rsidRPr="00226440" w:rsidRDefault="00810BB2" w:rsidP="00810BB2">
            <w:pPr>
              <w:pStyle w:val="naisc"/>
              <w:spacing w:before="0" w:after="0"/>
            </w:pPr>
            <w:r>
              <w:t>1</w:t>
            </w:r>
            <w:r w:rsidR="00502701">
              <w:t>9</w:t>
            </w:r>
            <w:r>
              <w:t>.</w:t>
            </w:r>
          </w:p>
        </w:tc>
        <w:tc>
          <w:tcPr>
            <w:tcW w:w="1552" w:type="dxa"/>
            <w:tcBorders>
              <w:left w:val="single" w:sz="6" w:space="0" w:color="000000"/>
              <w:bottom w:val="single" w:sz="4" w:space="0" w:color="auto"/>
              <w:right w:val="single" w:sz="6" w:space="0" w:color="000000"/>
            </w:tcBorders>
          </w:tcPr>
          <w:p w14:paraId="7C579171" w14:textId="77777777" w:rsidR="00810BB2" w:rsidRPr="00B20FCA" w:rsidRDefault="00810BB2" w:rsidP="00810BB2">
            <w:pPr>
              <w:pStyle w:val="naisc"/>
              <w:spacing w:before="0" w:after="0"/>
              <w:jc w:val="both"/>
            </w:pPr>
          </w:p>
        </w:tc>
        <w:tc>
          <w:tcPr>
            <w:tcW w:w="7230" w:type="dxa"/>
            <w:gridSpan w:val="2"/>
            <w:tcBorders>
              <w:left w:val="single" w:sz="6" w:space="0" w:color="000000"/>
              <w:bottom w:val="single" w:sz="4" w:space="0" w:color="auto"/>
              <w:right w:val="single" w:sz="6" w:space="0" w:color="000000"/>
            </w:tcBorders>
          </w:tcPr>
          <w:p w14:paraId="60D5E917" w14:textId="5D45D5D2" w:rsidR="00810BB2" w:rsidRPr="00996787" w:rsidRDefault="00810BB2" w:rsidP="00810BB2">
            <w:pPr>
              <w:widowControl w:val="0"/>
              <w:tabs>
                <w:tab w:val="left" w:pos="993"/>
              </w:tabs>
              <w:suppressAutoHyphens/>
              <w:contextualSpacing/>
              <w:jc w:val="both"/>
              <w:outlineLvl w:val="0"/>
              <w:rPr>
                <w:rFonts w:eastAsia="Calibri"/>
                <w:iCs/>
                <w:lang w:eastAsia="en-US"/>
              </w:rPr>
            </w:pPr>
            <w:r>
              <w:rPr>
                <w:rFonts w:eastAsia="Calibri"/>
                <w:bCs/>
                <w:iCs/>
                <w:lang w:eastAsia="en-US"/>
              </w:rPr>
              <w:t xml:space="preserve">17. </w:t>
            </w:r>
            <w:r w:rsidRPr="00996787">
              <w:rPr>
                <w:rFonts w:eastAsia="Calibri"/>
                <w:bCs/>
                <w:iCs/>
                <w:lang w:eastAsia="en-US"/>
              </w:rPr>
              <w:t>Projekta 17. un 37. punktā paredzēts, ka viena dušas iekārta ir aprīkota ar necaurspīdīgu starpsienu. Anotācijās skaidrots, ka tas nepieciešams, lai baseina vai pirts lietotāji nemazgātos peldkostīmos. Taču vēršam uzmanību, ka nekur nav</w:t>
            </w:r>
            <w:r>
              <w:rPr>
                <w:rFonts w:eastAsia="Calibri"/>
                <w:bCs/>
                <w:iCs/>
                <w:lang w:eastAsia="en-US"/>
              </w:rPr>
              <w:t xml:space="preserve"> </w:t>
            </w:r>
            <w:r w:rsidRPr="00996787">
              <w:rPr>
                <w:rFonts w:eastAsia="Calibri"/>
                <w:bCs/>
                <w:iCs/>
                <w:lang w:eastAsia="en-US"/>
              </w:rPr>
              <w:t xml:space="preserve">paredzēts, ka baseina vai pirts lietotājiem būtu jāmazgājas kailiem, turklāt šāda prasība projektā būtu pretrunā ar </w:t>
            </w:r>
            <w:r w:rsidRPr="00996787">
              <w:rPr>
                <w:rFonts w:eastAsia="Calibri"/>
                <w:iCs/>
                <w:lang w:eastAsia="en-US"/>
              </w:rPr>
              <w:t>EDL 38.</w:t>
            </w:r>
            <w:r w:rsidRPr="00996787">
              <w:rPr>
                <w:rFonts w:eastAsia="Calibri"/>
                <w:iCs/>
                <w:vertAlign w:val="superscript"/>
                <w:lang w:eastAsia="en-US"/>
              </w:rPr>
              <w:t>1 </w:t>
            </w:r>
            <w:r w:rsidRPr="00996787">
              <w:rPr>
                <w:rFonts w:eastAsia="Calibri"/>
                <w:iCs/>
                <w:lang w:eastAsia="en-US"/>
              </w:rPr>
              <w:t>panta pirmajā daļā ietverto pilnvarojumu</w:t>
            </w:r>
            <w:r w:rsidRPr="00996787">
              <w:rPr>
                <w:rFonts w:eastAsia="Calibri"/>
                <w:bCs/>
                <w:iCs/>
                <w:lang w:eastAsia="en-US"/>
              </w:rPr>
              <w:t>. Ievērojot minēto, ierosinām pārskatīt projekta 17. un 37. punktā ietverto regulējumu, vai šī prasība ir samērīga ar sasniedzamo mērķi (proti, vai mērķi ar šādu prasību vispār ir iespējams sasniegt).</w:t>
            </w:r>
          </w:p>
          <w:p w14:paraId="46739AC1" w14:textId="77777777" w:rsidR="00810BB2" w:rsidRPr="00B20FCA" w:rsidRDefault="00810BB2" w:rsidP="00810BB2">
            <w:pPr>
              <w:ind w:firstLine="709"/>
              <w:jc w:val="both"/>
            </w:pPr>
          </w:p>
        </w:tc>
        <w:tc>
          <w:tcPr>
            <w:tcW w:w="2693" w:type="dxa"/>
            <w:tcBorders>
              <w:left w:val="single" w:sz="6" w:space="0" w:color="000000"/>
              <w:bottom w:val="single" w:sz="4" w:space="0" w:color="auto"/>
              <w:right w:val="single" w:sz="6" w:space="0" w:color="000000"/>
            </w:tcBorders>
          </w:tcPr>
          <w:p w14:paraId="5C04BDF2" w14:textId="791A61E9" w:rsidR="00810BB2" w:rsidRPr="00B20FCA" w:rsidRDefault="00810BB2" w:rsidP="00810BB2">
            <w:pPr>
              <w:pStyle w:val="naisc"/>
              <w:spacing w:before="0" w:after="0"/>
              <w:jc w:val="both"/>
            </w:pPr>
            <w:r w:rsidRPr="00D32A7B">
              <w:rPr>
                <w:b/>
              </w:rPr>
              <w:lastRenderedPageBreak/>
              <w:t>Ņemts vērā</w:t>
            </w:r>
          </w:p>
        </w:tc>
        <w:tc>
          <w:tcPr>
            <w:tcW w:w="1701" w:type="dxa"/>
            <w:tcBorders>
              <w:top w:val="single" w:sz="4" w:space="0" w:color="auto"/>
              <w:left w:val="single" w:sz="4" w:space="0" w:color="auto"/>
              <w:bottom w:val="single" w:sz="4" w:space="0" w:color="auto"/>
            </w:tcBorders>
          </w:tcPr>
          <w:p w14:paraId="3CF7D2F8" w14:textId="2F34DE9F" w:rsidR="00810BB2" w:rsidRPr="00B20FCA" w:rsidRDefault="00810BB2" w:rsidP="00810BB2">
            <w:pPr>
              <w:jc w:val="both"/>
            </w:pPr>
            <w:r w:rsidRPr="00276D29">
              <w:t>Precizēta anotācija</w:t>
            </w:r>
          </w:p>
        </w:tc>
      </w:tr>
      <w:tr w:rsidR="00810BB2" w:rsidRPr="00226440" w14:paraId="65C8B313" w14:textId="77777777" w:rsidTr="00B368A0">
        <w:tc>
          <w:tcPr>
            <w:tcW w:w="708" w:type="dxa"/>
            <w:tcBorders>
              <w:left w:val="single" w:sz="6" w:space="0" w:color="000000"/>
              <w:bottom w:val="single" w:sz="4" w:space="0" w:color="auto"/>
              <w:right w:val="single" w:sz="6" w:space="0" w:color="000000"/>
            </w:tcBorders>
          </w:tcPr>
          <w:p w14:paraId="1CB7B20B" w14:textId="425100E3" w:rsidR="00810BB2" w:rsidRPr="00226440" w:rsidRDefault="00502701" w:rsidP="00810BB2">
            <w:pPr>
              <w:pStyle w:val="naisc"/>
              <w:spacing w:before="0" w:after="0"/>
            </w:pPr>
            <w:r>
              <w:t>20</w:t>
            </w:r>
            <w:r w:rsidR="00810BB2">
              <w:t>.</w:t>
            </w:r>
          </w:p>
        </w:tc>
        <w:tc>
          <w:tcPr>
            <w:tcW w:w="1552" w:type="dxa"/>
            <w:tcBorders>
              <w:left w:val="single" w:sz="6" w:space="0" w:color="000000"/>
              <w:bottom w:val="single" w:sz="4" w:space="0" w:color="auto"/>
              <w:right w:val="single" w:sz="6" w:space="0" w:color="000000"/>
            </w:tcBorders>
          </w:tcPr>
          <w:p w14:paraId="4E36056B" w14:textId="77777777" w:rsidR="00810BB2" w:rsidRPr="00B20FCA" w:rsidRDefault="00810BB2" w:rsidP="00810BB2">
            <w:pPr>
              <w:pStyle w:val="naisc"/>
              <w:spacing w:before="0" w:after="0"/>
              <w:jc w:val="both"/>
            </w:pPr>
          </w:p>
        </w:tc>
        <w:tc>
          <w:tcPr>
            <w:tcW w:w="7230" w:type="dxa"/>
            <w:gridSpan w:val="2"/>
            <w:tcBorders>
              <w:left w:val="single" w:sz="6" w:space="0" w:color="000000"/>
              <w:bottom w:val="single" w:sz="4" w:space="0" w:color="auto"/>
              <w:right w:val="single" w:sz="6" w:space="0" w:color="000000"/>
            </w:tcBorders>
          </w:tcPr>
          <w:p w14:paraId="44DA5AFA" w14:textId="0BE71134" w:rsidR="00810BB2" w:rsidRPr="00996787" w:rsidRDefault="00810BB2" w:rsidP="00810BB2">
            <w:pPr>
              <w:widowControl w:val="0"/>
              <w:tabs>
                <w:tab w:val="left" w:pos="993"/>
              </w:tabs>
              <w:suppressAutoHyphens/>
              <w:contextualSpacing/>
              <w:jc w:val="both"/>
              <w:outlineLvl w:val="0"/>
              <w:rPr>
                <w:rFonts w:eastAsia="Calibri"/>
                <w:iCs/>
                <w:lang w:eastAsia="en-US"/>
              </w:rPr>
            </w:pPr>
            <w:r>
              <w:rPr>
                <w:rFonts w:eastAsia="Calibri"/>
                <w:iCs/>
                <w:lang w:eastAsia="en-US"/>
              </w:rPr>
              <w:t xml:space="preserve">18. </w:t>
            </w:r>
            <w:r w:rsidRPr="00996787">
              <w:rPr>
                <w:rFonts w:eastAsia="Calibri"/>
                <w:iCs/>
                <w:lang w:eastAsia="en-US"/>
              </w:rPr>
              <w:t xml:space="preserve">Tiesiskās noteiktības nodrošināšanai lūdzam sniegt anotācijā skaidrojumu, vai </w:t>
            </w:r>
            <w:r w:rsidRPr="00996787">
              <w:rPr>
                <w:rFonts w:eastAsia="Calibri"/>
                <w:bCs/>
                <w:iCs/>
                <w:lang w:eastAsia="en-US"/>
              </w:rPr>
              <w:t>projekta</w:t>
            </w:r>
            <w:r w:rsidRPr="00996787">
              <w:rPr>
                <w:rFonts w:eastAsia="Calibri"/>
                <w:iCs/>
                <w:lang w:eastAsia="en-US"/>
              </w:rPr>
              <w:t xml:space="preserve"> 27. punktā un 33.3. apakšpunktā paredzētās prasības ir attiecināmas arī uz </w:t>
            </w:r>
            <w:proofErr w:type="spellStart"/>
            <w:r w:rsidRPr="00996787">
              <w:rPr>
                <w:rFonts w:eastAsia="Calibri"/>
                <w:iCs/>
                <w:lang w:eastAsia="en-US"/>
              </w:rPr>
              <w:t>džakuzi</w:t>
            </w:r>
            <w:proofErr w:type="spellEnd"/>
            <w:r w:rsidRPr="00996787">
              <w:rPr>
                <w:rFonts w:eastAsia="Calibri"/>
                <w:iCs/>
                <w:lang w:eastAsia="en-US"/>
              </w:rPr>
              <w:t xml:space="preserve"> vannām un āra baļļām.</w:t>
            </w:r>
          </w:p>
          <w:p w14:paraId="097AC745" w14:textId="77777777" w:rsidR="00810BB2" w:rsidRPr="00B20FCA" w:rsidRDefault="00810BB2" w:rsidP="00810BB2">
            <w:pPr>
              <w:ind w:firstLine="709"/>
              <w:jc w:val="both"/>
            </w:pPr>
          </w:p>
        </w:tc>
        <w:tc>
          <w:tcPr>
            <w:tcW w:w="2693" w:type="dxa"/>
            <w:tcBorders>
              <w:left w:val="single" w:sz="6" w:space="0" w:color="000000"/>
              <w:bottom w:val="single" w:sz="4" w:space="0" w:color="auto"/>
              <w:right w:val="single" w:sz="6" w:space="0" w:color="000000"/>
            </w:tcBorders>
          </w:tcPr>
          <w:p w14:paraId="463B5D09" w14:textId="3216F345" w:rsidR="00810BB2" w:rsidRPr="00B20FCA" w:rsidRDefault="00810BB2" w:rsidP="00810BB2">
            <w:pPr>
              <w:pStyle w:val="naisc"/>
              <w:spacing w:before="0" w:after="0"/>
              <w:jc w:val="both"/>
            </w:pPr>
            <w:r w:rsidRPr="00D32A7B">
              <w:rPr>
                <w:b/>
              </w:rPr>
              <w:t>Ņemts vērā</w:t>
            </w:r>
          </w:p>
        </w:tc>
        <w:tc>
          <w:tcPr>
            <w:tcW w:w="1701" w:type="dxa"/>
            <w:tcBorders>
              <w:top w:val="single" w:sz="4" w:space="0" w:color="auto"/>
              <w:left w:val="single" w:sz="4" w:space="0" w:color="auto"/>
              <w:bottom w:val="single" w:sz="4" w:space="0" w:color="auto"/>
            </w:tcBorders>
          </w:tcPr>
          <w:p w14:paraId="6E6CFA3C" w14:textId="719E102D" w:rsidR="00810BB2" w:rsidRPr="00B20FCA" w:rsidRDefault="00810BB2" w:rsidP="00810BB2">
            <w:pPr>
              <w:jc w:val="both"/>
            </w:pPr>
            <w:r w:rsidRPr="00276D29">
              <w:t>Precizēta anotācija</w:t>
            </w:r>
          </w:p>
        </w:tc>
      </w:tr>
      <w:tr w:rsidR="00810BB2" w:rsidRPr="00226440" w14:paraId="2B2A1F86" w14:textId="77777777" w:rsidTr="00B368A0">
        <w:tc>
          <w:tcPr>
            <w:tcW w:w="708" w:type="dxa"/>
            <w:tcBorders>
              <w:left w:val="single" w:sz="6" w:space="0" w:color="000000"/>
              <w:bottom w:val="single" w:sz="4" w:space="0" w:color="auto"/>
              <w:right w:val="single" w:sz="6" w:space="0" w:color="000000"/>
            </w:tcBorders>
          </w:tcPr>
          <w:p w14:paraId="5655BDE9" w14:textId="4F4A40E5" w:rsidR="00810BB2" w:rsidRPr="00226440" w:rsidRDefault="00810BB2" w:rsidP="00810BB2">
            <w:pPr>
              <w:pStyle w:val="naisc"/>
              <w:spacing w:before="0" w:after="0"/>
            </w:pPr>
            <w:r>
              <w:t>2</w:t>
            </w:r>
            <w:r w:rsidR="00502701">
              <w:t>1</w:t>
            </w:r>
            <w:r>
              <w:t>.</w:t>
            </w:r>
          </w:p>
        </w:tc>
        <w:tc>
          <w:tcPr>
            <w:tcW w:w="1552" w:type="dxa"/>
            <w:tcBorders>
              <w:left w:val="single" w:sz="6" w:space="0" w:color="000000"/>
              <w:bottom w:val="single" w:sz="4" w:space="0" w:color="auto"/>
              <w:right w:val="single" w:sz="6" w:space="0" w:color="000000"/>
            </w:tcBorders>
          </w:tcPr>
          <w:p w14:paraId="326375BA" w14:textId="77777777" w:rsidR="00810BB2" w:rsidRPr="00B20FCA" w:rsidRDefault="00810BB2" w:rsidP="00810BB2">
            <w:pPr>
              <w:pStyle w:val="naisc"/>
              <w:spacing w:before="0" w:after="0"/>
              <w:jc w:val="both"/>
            </w:pPr>
          </w:p>
        </w:tc>
        <w:tc>
          <w:tcPr>
            <w:tcW w:w="7230" w:type="dxa"/>
            <w:gridSpan w:val="2"/>
            <w:tcBorders>
              <w:left w:val="single" w:sz="6" w:space="0" w:color="000000"/>
              <w:bottom w:val="single" w:sz="4" w:space="0" w:color="auto"/>
              <w:right w:val="single" w:sz="6" w:space="0" w:color="000000"/>
            </w:tcBorders>
          </w:tcPr>
          <w:p w14:paraId="3F7F8AD8" w14:textId="28EDA820" w:rsidR="00810BB2" w:rsidRPr="00996787" w:rsidRDefault="00810BB2" w:rsidP="00810BB2">
            <w:pPr>
              <w:widowControl w:val="0"/>
              <w:tabs>
                <w:tab w:val="left" w:pos="993"/>
              </w:tabs>
              <w:suppressAutoHyphens/>
              <w:contextualSpacing/>
              <w:jc w:val="both"/>
              <w:outlineLvl w:val="0"/>
              <w:rPr>
                <w:rFonts w:eastAsia="Calibri"/>
                <w:iCs/>
                <w:lang w:eastAsia="en-US"/>
              </w:rPr>
            </w:pPr>
            <w:r>
              <w:rPr>
                <w:rFonts w:eastAsia="Calibri"/>
                <w:iCs/>
                <w:lang w:eastAsia="en-US"/>
              </w:rPr>
              <w:t xml:space="preserve">19. </w:t>
            </w:r>
            <w:r w:rsidRPr="00996787">
              <w:rPr>
                <w:rFonts w:eastAsia="Calibri"/>
                <w:iCs/>
                <w:lang w:eastAsia="en-US"/>
              </w:rPr>
              <w:t xml:space="preserve">Tiesiskās noteiktības nodrošināšanai lūdzam anotācijā skaidrot, vai projektā paredzētais regulējums attiecas arī, piemēram, uz </w:t>
            </w:r>
            <w:proofErr w:type="spellStart"/>
            <w:r w:rsidRPr="00996787">
              <w:rPr>
                <w:rFonts w:eastAsia="Calibri"/>
                <w:iCs/>
                <w:lang w:eastAsia="en-US"/>
              </w:rPr>
              <w:t>akvaparkiem</w:t>
            </w:r>
            <w:proofErr w:type="spellEnd"/>
            <w:r w:rsidRPr="00996787">
              <w:rPr>
                <w:rFonts w:eastAsia="Calibri"/>
                <w:iCs/>
                <w:lang w:eastAsia="en-US"/>
              </w:rPr>
              <w:t xml:space="preserve">, sporta centriem, kuri cita starpā aprīkoti arī ar pirti un baseinu, SPA saloniem, āra baļļām un </w:t>
            </w:r>
            <w:proofErr w:type="spellStart"/>
            <w:r w:rsidRPr="00996787">
              <w:rPr>
                <w:rFonts w:eastAsia="Calibri"/>
                <w:iCs/>
                <w:lang w:eastAsia="en-US"/>
              </w:rPr>
              <w:t>džakuzi</w:t>
            </w:r>
            <w:proofErr w:type="spellEnd"/>
            <w:r w:rsidRPr="00996787">
              <w:rPr>
                <w:rFonts w:eastAsia="Calibri"/>
                <w:iCs/>
                <w:lang w:eastAsia="en-US"/>
              </w:rPr>
              <w:t xml:space="preserve"> vannām publiskos objektos.</w:t>
            </w:r>
          </w:p>
          <w:p w14:paraId="2CA8317F" w14:textId="77777777" w:rsidR="00810BB2" w:rsidRPr="00B20FCA" w:rsidRDefault="00810BB2" w:rsidP="00810BB2">
            <w:pPr>
              <w:ind w:firstLine="709"/>
              <w:jc w:val="both"/>
            </w:pPr>
          </w:p>
        </w:tc>
        <w:tc>
          <w:tcPr>
            <w:tcW w:w="2693" w:type="dxa"/>
            <w:tcBorders>
              <w:left w:val="single" w:sz="6" w:space="0" w:color="000000"/>
              <w:bottom w:val="single" w:sz="4" w:space="0" w:color="auto"/>
              <w:right w:val="single" w:sz="6" w:space="0" w:color="000000"/>
            </w:tcBorders>
          </w:tcPr>
          <w:p w14:paraId="4B7F8F35" w14:textId="41F6E505" w:rsidR="00810BB2" w:rsidRPr="00B20FCA" w:rsidRDefault="00810BB2" w:rsidP="00810BB2">
            <w:pPr>
              <w:pStyle w:val="naisc"/>
              <w:spacing w:before="0" w:after="0"/>
              <w:jc w:val="both"/>
            </w:pPr>
            <w:r w:rsidRPr="00D32A7B">
              <w:rPr>
                <w:b/>
              </w:rPr>
              <w:t>Ņemts vērā</w:t>
            </w:r>
          </w:p>
        </w:tc>
        <w:tc>
          <w:tcPr>
            <w:tcW w:w="1701" w:type="dxa"/>
            <w:tcBorders>
              <w:top w:val="single" w:sz="4" w:space="0" w:color="auto"/>
              <w:left w:val="single" w:sz="4" w:space="0" w:color="auto"/>
              <w:bottom w:val="single" w:sz="4" w:space="0" w:color="auto"/>
            </w:tcBorders>
          </w:tcPr>
          <w:p w14:paraId="77A5B553" w14:textId="3C4CF45F" w:rsidR="00810BB2" w:rsidRPr="00B20FCA" w:rsidRDefault="00810BB2" w:rsidP="00810BB2">
            <w:pPr>
              <w:jc w:val="both"/>
            </w:pPr>
            <w:r w:rsidRPr="00276D29">
              <w:t>Precizēta anotācija</w:t>
            </w:r>
          </w:p>
        </w:tc>
      </w:tr>
      <w:tr w:rsidR="00810BB2" w:rsidRPr="00226440" w14:paraId="05291BC7" w14:textId="77777777" w:rsidTr="00B368A0">
        <w:tc>
          <w:tcPr>
            <w:tcW w:w="708" w:type="dxa"/>
            <w:tcBorders>
              <w:left w:val="single" w:sz="6" w:space="0" w:color="000000"/>
              <w:bottom w:val="single" w:sz="4" w:space="0" w:color="auto"/>
              <w:right w:val="single" w:sz="6" w:space="0" w:color="000000"/>
            </w:tcBorders>
          </w:tcPr>
          <w:p w14:paraId="105ED0D0" w14:textId="4E94BE46" w:rsidR="00810BB2" w:rsidRPr="00226440" w:rsidRDefault="00810BB2" w:rsidP="00810BB2">
            <w:pPr>
              <w:pStyle w:val="naisc"/>
              <w:spacing w:before="0" w:after="0"/>
            </w:pPr>
            <w:r>
              <w:t>2</w:t>
            </w:r>
            <w:r w:rsidR="00502701">
              <w:t>2</w:t>
            </w:r>
            <w:r>
              <w:t>.</w:t>
            </w:r>
          </w:p>
        </w:tc>
        <w:tc>
          <w:tcPr>
            <w:tcW w:w="1552" w:type="dxa"/>
            <w:tcBorders>
              <w:left w:val="single" w:sz="6" w:space="0" w:color="000000"/>
              <w:bottom w:val="single" w:sz="4" w:space="0" w:color="auto"/>
              <w:right w:val="single" w:sz="6" w:space="0" w:color="000000"/>
            </w:tcBorders>
          </w:tcPr>
          <w:p w14:paraId="207D63A7" w14:textId="77777777" w:rsidR="00810BB2" w:rsidRPr="00B20FCA" w:rsidRDefault="00810BB2" w:rsidP="00810BB2">
            <w:pPr>
              <w:pStyle w:val="naisc"/>
              <w:spacing w:before="0" w:after="0"/>
              <w:jc w:val="both"/>
            </w:pPr>
          </w:p>
        </w:tc>
        <w:tc>
          <w:tcPr>
            <w:tcW w:w="7230" w:type="dxa"/>
            <w:gridSpan w:val="2"/>
            <w:tcBorders>
              <w:left w:val="single" w:sz="6" w:space="0" w:color="000000"/>
              <w:bottom w:val="single" w:sz="4" w:space="0" w:color="auto"/>
              <w:right w:val="single" w:sz="6" w:space="0" w:color="000000"/>
            </w:tcBorders>
          </w:tcPr>
          <w:p w14:paraId="140CBB52" w14:textId="0B96DFBA" w:rsidR="00810BB2" w:rsidRDefault="00810BB2" w:rsidP="00810BB2">
            <w:pPr>
              <w:widowControl w:val="0"/>
              <w:tabs>
                <w:tab w:val="left" w:pos="993"/>
              </w:tabs>
              <w:suppressAutoHyphens/>
              <w:contextualSpacing/>
              <w:jc w:val="both"/>
              <w:outlineLvl w:val="0"/>
              <w:rPr>
                <w:rFonts w:eastAsia="Calibri"/>
                <w:iCs/>
                <w:lang w:eastAsia="en-US"/>
              </w:rPr>
            </w:pPr>
            <w:r>
              <w:rPr>
                <w:rFonts w:eastAsia="Calibri"/>
                <w:iCs/>
                <w:lang w:eastAsia="en-US"/>
              </w:rPr>
              <w:t xml:space="preserve">20. </w:t>
            </w:r>
            <w:r w:rsidRPr="00996787">
              <w:rPr>
                <w:rFonts w:eastAsia="Calibri"/>
                <w:iCs/>
                <w:lang w:eastAsia="en-US"/>
              </w:rPr>
              <w:t xml:space="preserve">Lūdzam precizēt projekta anotācijas II sadaļas 1. punktu atbilstoši Instrukcijas Nr. 19 20. punkta prasībām, norādot visas sabiedrības </w:t>
            </w:r>
            <w:proofErr w:type="spellStart"/>
            <w:r w:rsidRPr="00996787">
              <w:rPr>
                <w:rFonts w:eastAsia="Calibri"/>
                <w:iCs/>
                <w:lang w:eastAsia="en-US"/>
              </w:rPr>
              <w:t>mērķgrupas</w:t>
            </w:r>
            <w:proofErr w:type="spellEnd"/>
            <w:r w:rsidRPr="00996787">
              <w:rPr>
                <w:rFonts w:eastAsia="Calibri"/>
                <w:iCs/>
                <w:lang w:eastAsia="en-US"/>
              </w:rPr>
              <w:t>, uz kurām attiecināms projekta tiesiskais regulējums tiešā un netiešā veidā, t.i., kuru tiesības, pienākumus, finanses vai iespējas projekts ietekmē vai varētu ietekmēt.</w:t>
            </w:r>
          </w:p>
          <w:p w14:paraId="4D1346FA" w14:textId="3E350BA6" w:rsidR="00810BB2" w:rsidRPr="00996787" w:rsidRDefault="00810BB2" w:rsidP="00810BB2">
            <w:pPr>
              <w:widowControl w:val="0"/>
              <w:tabs>
                <w:tab w:val="left" w:pos="993"/>
              </w:tabs>
              <w:suppressAutoHyphens/>
              <w:contextualSpacing/>
              <w:jc w:val="both"/>
              <w:outlineLvl w:val="0"/>
              <w:rPr>
                <w:rFonts w:eastAsia="Calibri"/>
                <w:iCs/>
                <w:lang w:eastAsia="en-US"/>
              </w:rPr>
            </w:pPr>
            <w:r w:rsidRPr="00996787">
              <w:rPr>
                <w:rFonts w:eastAsia="Calibri"/>
                <w:iCs/>
                <w:lang w:eastAsia="en-US"/>
              </w:rPr>
              <w:t xml:space="preserve">Ar sabiedrības </w:t>
            </w:r>
            <w:proofErr w:type="spellStart"/>
            <w:r w:rsidRPr="00996787">
              <w:rPr>
                <w:rFonts w:eastAsia="Calibri"/>
                <w:iCs/>
                <w:lang w:eastAsia="en-US"/>
              </w:rPr>
              <w:t>mērķgrupu</w:t>
            </w:r>
            <w:proofErr w:type="spellEnd"/>
            <w:r w:rsidRPr="00996787">
              <w:rPr>
                <w:rFonts w:eastAsia="Calibri"/>
                <w:iCs/>
                <w:lang w:eastAsia="en-US"/>
              </w:rPr>
              <w:t xml:space="preserve"> saprot jebkuru fizisku vai juridisku personu grupu (tai skaitā valsts un pašvaldību iestādēs nodarbinātos), kuru skar projektā paredzētais regulējums. Projekts attiecas arī uz baseina un pirts pakalpojuma sniedzējiem, kā arī uz baseina un pirts pakalpojuma lietotājiem.</w:t>
            </w:r>
          </w:p>
          <w:p w14:paraId="0564B7F7" w14:textId="77777777" w:rsidR="00810BB2" w:rsidRPr="00B20FCA" w:rsidRDefault="00810BB2" w:rsidP="00810BB2">
            <w:pPr>
              <w:ind w:firstLine="709"/>
              <w:jc w:val="both"/>
            </w:pPr>
          </w:p>
        </w:tc>
        <w:tc>
          <w:tcPr>
            <w:tcW w:w="2693" w:type="dxa"/>
            <w:tcBorders>
              <w:left w:val="single" w:sz="6" w:space="0" w:color="000000"/>
              <w:bottom w:val="single" w:sz="4" w:space="0" w:color="auto"/>
              <w:right w:val="single" w:sz="6" w:space="0" w:color="000000"/>
            </w:tcBorders>
          </w:tcPr>
          <w:p w14:paraId="03F23E59" w14:textId="6631E248" w:rsidR="00810BB2" w:rsidRPr="00B20FCA" w:rsidRDefault="00810BB2" w:rsidP="00810BB2">
            <w:pPr>
              <w:pStyle w:val="naisc"/>
              <w:spacing w:before="0" w:after="0"/>
              <w:jc w:val="both"/>
            </w:pPr>
            <w:r w:rsidRPr="00D32A7B">
              <w:rPr>
                <w:b/>
              </w:rPr>
              <w:t>Ņemts vērā</w:t>
            </w:r>
          </w:p>
        </w:tc>
        <w:tc>
          <w:tcPr>
            <w:tcW w:w="1701" w:type="dxa"/>
            <w:tcBorders>
              <w:top w:val="single" w:sz="4" w:space="0" w:color="auto"/>
              <w:left w:val="single" w:sz="4" w:space="0" w:color="auto"/>
              <w:bottom w:val="single" w:sz="4" w:space="0" w:color="auto"/>
            </w:tcBorders>
          </w:tcPr>
          <w:p w14:paraId="7F4E97F9" w14:textId="2F09B1C1" w:rsidR="00810BB2" w:rsidRPr="00B20FCA" w:rsidRDefault="00810BB2" w:rsidP="00810BB2">
            <w:pPr>
              <w:jc w:val="both"/>
            </w:pPr>
            <w:r w:rsidRPr="00276D29">
              <w:t>Precizēta anotācija</w:t>
            </w:r>
          </w:p>
        </w:tc>
      </w:tr>
      <w:tr w:rsidR="00810BB2" w:rsidRPr="00226440" w14:paraId="0F16E96E" w14:textId="77777777" w:rsidTr="00B368A0">
        <w:tc>
          <w:tcPr>
            <w:tcW w:w="708" w:type="dxa"/>
            <w:tcBorders>
              <w:left w:val="single" w:sz="6" w:space="0" w:color="000000"/>
              <w:bottom w:val="single" w:sz="4" w:space="0" w:color="auto"/>
              <w:right w:val="single" w:sz="6" w:space="0" w:color="000000"/>
            </w:tcBorders>
          </w:tcPr>
          <w:p w14:paraId="3B2C8401" w14:textId="60FDF2C7" w:rsidR="00810BB2" w:rsidRPr="00226440" w:rsidRDefault="00810BB2" w:rsidP="00810BB2">
            <w:pPr>
              <w:pStyle w:val="naisc"/>
              <w:spacing w:before="0" w:after="0"/>
            </w:pPr>
            <w:r>
              <w:t>2</w:t>
            </w:r>
            <w:r w:rsidR="00502701">
              <w:t>3</w:t>
            </w:r>
            <w:r>
              <w:t>.</w:t>
            </w:r>
          </w:p>
        </w:tc>
        <w:tc>
          <w:tcPr>
            <w:tcW w:w="1552" w:type="dxa"/>
            <w:tcBorders>
              <w:left w:val="single" w:sz="6" w:space="0" w:color="000000"/>
              <w:bottom w:val="single" w:sz="4" w:space="0" w:color="auto"/>
              <w:right w:val="single" w:sz="6" w:space="0" w:color="000000"/>
            </w:tcBorders>
          </w:tcPr>
          <w:p w14:paraId="35D0E12C" w14:textId="77777777" w:rsidR="00810BB2" w:rsidRPr="00B20FCA" w:rsidRDefault="00810BB2" w:rsidP="00810BB2">
            <w:pPr>
              <w:pStyle w:val="naisc"/>
              <w:spacing w:before="0" w:after="0"/>
              <w:jc w:val="both"/>
            </w:pPr>
          </w:p>
        </w:tc>
        <w:tc>
          <w:tcPr>
            <w:tcW w:w="7230" w:type="dxa"/>
            <w:gridSpan w:val="2"/>
            <w:tcBorders>
              <w:left w:val="single" w:sz="6" w:space="0" w:color="000000"/>
              <w:bottom w:val="single" w:sz="4" w:space="0" w:color="auto"/>
              <w:right w:val="single" w:sz="6" w:space="0" w:color="000000"/>
            </w:tcBorders>
          </w:tcPr>
          <w:p w14:paraId="295B216A" w14:textId="0AD99881" w:rsidR="00810BB2" w:rsidRPr="00B20FCA" w:rsidRDefault="00810BB2" w:rsidP="00810BB2">
            <w:pPr>
              <w:jc w:val="both"/>
            </w:pPr>
            <w:r>
              <w:t xml:space="preserve">21. </w:t>
            </w:r>
            <w:r w:rsidRPr="00481B7A">
              <w:t>Tāpat lūdzam precizēt projekta anotācijas II sadaļas 2. punktu atbilstoši Instrukcijas Nr. 19 22. punkta prasībām, jo šobrīd šis anotācijas punkts ir aizpildīts nepilnīgi.</w:t>
            </w:r>
          </w:p>
        </w:tc>
        <w:tc>
          <w:tcPr>
            <w:tcW w:w="2693" w:type="dxa"/>
            <w:tcBorders>
              <w:left w:val="single" w:sz="6" w:space="0" w:color="000000"/>
              <w:bottom w:val="single" w:sz="4" w:space="0" w:color="auto"/>
              <w:right w:val="single" w:sz="6" w:space="0" w:color="000000"/>
            </w:tcBorders>
          </w:tcPr>
          <w:p w14:paraId="281D9D7A" w14:textId="0307867B" w:rsidR="00810BB2" w:rsidRPr="00B20FCA" w:rsidRDefault="00810BB2" w:rsidP="00810BB2">
            <w:pPr>
              <w:pStyle w:val="naisc"/>
              <w:spacing w:before="0" w:after="0"/>
              <w:jc w:val="both"/>
            </w:pPr>
            <w:r w:rsidRPr="00D32A7B">
              <w:rPr>
                <w:b/>
              </w:rPr>
              <w:t>Ņemts vērā</w:t>
            </w:r>
          </w:p>
        </w:tc>
        <w:tc>
          <w:tcPr>
            <w:tcW w:w="1701" w:type="dxa"/>
            <w:tcBorders>
              <w:top w:val="single" w:sz="4" w:space="0" w:color="auto"/>
              <w:left w:val="single" w:sz="4" w:space="0" w:color="auto"/>
              <w:bottom w:val="single" w:sz="4" w:space="0" w:color="auto"/>
            </w:tcBorders>
          </w:tcPr>
          <w:p w14:paraId="132F0D1E" w14:textId="196322C4" w:rsidR="00810BB2" w:rsidRPr="00B20FCA" w:rsidRDefault="00810BB2" w:rsidP="00810BB2">
            <w:pPr>
              <w:jc w:val="both"/>
            </w:pPr>
            <w:r w:rsidRPr="00276D29">
              <w:t>Precizēta anotācija</w:t>
            </w:r>
          </w:p>
        </w:tc>
      </w:tr>
      <w:tr w:rsidR="00810BB2" w:rsidRPr="00226440" w14:paraId="770DE931" w14:textId="77777777" w:rsidTr="00B368A0">
        <w:tc>
          <w:tcPr>
            <w:tcW w:w="708" w:type="dxa"/>
            <w:tcBorders>
              <w:left w:val="single" w:sz="6" w:space="0" w:color="000000"/>
              <w:bottom w:val="single" w:sz="4" w:space="0" w:color="auto"/>
              <w:right w:val="single" w:sz="6" w:space="0" w:color="000000"/>
            </w:tcBorders>
          </w:tcPr>
          <w:p w14:paraId="6839C2E7" w14:textId="00B161D2" w:rsidR="00810BB2" w:rsidRPr="00226440" w:rsidRDefault="00810BB2" w:rsidP="00810BB2">
            <w:pPr>
              <w:pStyle w:val="naisc"/>
              <w:spacing w:before="0" w:after="0"/>
            </w:pPr>
            <w:r>
              <w:t>2</w:t>
            </w:r>
            <w:r w:rsidR="00502701">
              <w:t>4</w:t>
            </w:r>
            <w:r>
              <w:t>.</w:t>
            </w:r>
          </w:p>
        </w:tc>
        <w:tc>
          <w:tcPr>
            <w:tcW w:w="1552" w:type="dxa"/>
            <w:tcBorders>
              <w:left w:val="single" w:sz="6" w:space="0" w:color="000000"/>
              <w:bottom w:val="single" w:sz="4" w:space="0" w:color="auto"/>
              <w:right w:val="single" w:sz="6" w:space="0" w:color="000000"/>
            </w:tcBorders>
          </w:tcPr>
          <w:p w14:paraId="0AF6F9B4" w14:textId="77777777" w:rsidR="00810BB2" w:rsidRPr="00B20FCA" w:rsidRDefault="00810BB2" w:rsidP="00810BB2">
            <w:pPr>
              <w:pStyle w:val="naisc"/>
              <w:spacing w:before="0" w:after="0"/>
              <w:jc w:val="both"/>
            </w:pPr>
          </w:p>
        </w:tc>
        <w:tc>
          <w:tcPr>
            <w:tcW w:w="7230" w:type="dxa"/>
            <w:gridSpan w:val="2"/>
            <w:tcBorders>
              <w:left w:val="single" w:sz="6" w:space="0" w:color="000000"/>
              <w:bottom w:val="single" w:sz="4" w:space="0" w:color="auto"/>
              <w:right w:val="single" w:sz="6" w:space="0" w:color="000000"/>
            </w:tcBorders>
          </w:tcPr>
          <w:p w14:paraId="67BAF552" w14:textId="57496CD8" w:rsidR="00810BB2" w:rsidRPr="00481B7A" w:rsidRDefault="00810BB2" w:rsidP="00810BB2">
            <w:pPr>
              <w:jc w:val="both"/>
              <w:rPr>
                <w:iCs/>
              </w:rPr>
            </w:pPr>
            <w:r>
              <w:rPr>
                <w:iCs/>
              </w:rPr>
              <w:t xml:space="preserve">22. </w:t>
            </w:r>
            <w:r w:rsidRPr="00481B7A">
              <w:rPr>
                <w:iCs/>
              </w:rPr>
              <w:t>Projekts paredz apjomīgu administratīvo slogu, tai skaitā arī virkni jaunu prasību, kas nav spēkā esošajā regulējumā (piemēram, projekta 24. punktā paredzētā prasība uz pirtīm līdz šim nebija attiecināma). Tāpēc lūdzam precizēt projekta anotācijas II sadaļas 3. un 4. punktu atbilstoši Instrukcijas Nr. 19 24., 25., 25.1, 26. punkta prasībām.</w:t>
            </w:r>
          </w:p>
          <w:p w14:paraId="028BF9DA" w14:textId="0A62387D" w:rsidR="00810BB2" w:rsidRPr="00481B7A" w:rsidRDefault="00810BB2" w:rsidP="00810BB2">
            <w:pPr>
              <w:ind w:firstLine="709"/>
              <w:jc w:val="both"/>
              <w:rPr>
                <w:iCs/>
              </w:rPr>
            </w:pPr>
            <w:r w:rsidRPr="00481B7A">
              <w:rPr>
                <w:iCs/>
              </w:rPr>
              <w:t xml:space="preserve">Vienlaikus vēršam uzmanību, ka anotācijas II sadaļas 4. punktā kļūdaini iekļautais (jāiekļauj anotācijas II sadaļas 3. punktā) administratīvo izmaksu monetārais novērtējums ir veikts tikai nelielai daļai no visiem administratīvās izmaksas veidojošiem informācijas sniegšanas pienākumiem. Piemēram, nav vērtētas administratīvās </w:t>
            </w:r>
            <w:r w:rsidRPr="00481B7A">
              <w:rPr>
                <w:iCs/>
              </w:rPr>
              <w:lastRenderedPageBreak/>
              <w:t>izmaksas, kas rodas no projekta 6., 10., 21., 22., 23., 25., 26., 34. un 36. punktā noteiktā pienākuma.</w:t>
            </w:r>
          </w:p>
          <w:p w14:paraId="4EFCCB21" w14:textId="77777777" w:rsidR="00810BB2" w:rsidRPr="00481B7A" w:rsidRDefault="00810BB2" w:rsidP="00810BB2">
            <w:pPr>
              <w:ind w:firstLine="709"/>
              <w:jc w:val="both"/>
              <w:rPr>
                <w:iCs/>
              </w:rPr>
            </w:pPr>
            <w:r w:rsidRPr="00481B7A">
              <w:rPr>
                <w:iCs/>
              </w:rPr>
              <w:t xml:space="preserve">Turklāt, spriežot pēc anotācijas II sadaļas 4. punktā ietvertā aprēķina, tiek </w:t>
            </w:r>
            <w:proofErr w:type="spellStart"/>
            <w:r w:rsidRPr="00481B7A">
              <w:rPr>
                <w:iCs/>
              </w:rPr>
              <w:t>prezumēts</w:t>
            </w:r>
            <w:proofErr w:type="spellEnd"/>
            <w:r w:rsidRPr="00481B7A">
              <w:rPr>
                <w:iCs/>
              </w:rPr>
              <w:t>, ka Latvijā ir tikai 130 publiski baseini vai pirtis, kas šķietami varētu neatbilst reālajai situācijai. Tādēļ lūdzam pārbaudīt anotācijā ietvertos aprēķinus, vienlaikus norādot izmantoto datu avotus.</w:t>
            </w:r>
          </w:p>
          <w:p w14:paraId="3FD62371" w14:textId="77777777" w:rsidR="00810BB2" w:rsidRPr="00B20FCA" w:rsidRDefault="00810BB2" w:rsidP="00810BB2">
            <w:pPr>
              <w:ind w:firstLine="709"/>
              <w:jc w:val="both"/>
            </w:pPr>
          </w:p>
        </w:tc>
        <w:tc>
          <w:tcPr>
            <w:tcW w:w="2693" w:type="dxa"/>
            <w:tcBorders>
              <w:left w:val="single" w:sz="6" w:space="0" w:color="000000"/>
              <w:bottom w:val="single" w:sz="4" w:space="0" w:color="auto"/>
              <w:right w:val="single" w:sz="6" w:space="0" w:color="000000"/>
            </w:tcBorders>
          </w:tcPr>
          <w:p w14:paraId="151A709B" w14:textId="1A230596" w:rsidR="00810BB2" w:rsidRPr="00B20FCA" w:rsidRDefault="00810BB2" w:rsidP="00810BB2">
            <w:pPr>
              <w:pStyle w:val="naisc"/>
              <w:spacing w:before="0" w:after="0"/>
              <w:jc w:val="both"/>
            </w:pPr>
            <w:r w:rsidRPr="00D32A7B">
              <w:rPr>
                <w:b/>
              </w:rPr>
              <w:lastRenderedPageBreak/>
              <w:t>Ņemts vērā</w:t>
            </w:r>
          </w:p>
        </w:tc>
        <w:tc>
          <w:tcPr>
            <w:tcW w:w="1701" w:type="dxa"/>
            <w:tcBorders>
              <w:top w:val="single" w:sz="4" w:space="0" w:color="auto"/>
              <w:left w:val="single" w:sz="4" w:space="0" w:color="auto"/>
              <w:bottom w:val="single" w:sz="4" w:space="0" w:color="auto"/>
            </w:tcBorders>
          </w:tcPr>
          <w:p w14:paraId="325EB9E2" w14:textId="1EA5D402" w:rsidR="00810BB2" w:rsidRPr="00B20FCA" w:rsidRDefault="00810BB2" w:rsidP="00810BB2">
            <w:pPr>
              <w:jc w:val="both"/>
            </w:pPr>
            <w:r w:rsidRPr="00276D29">
              <w:t>Precizēta anotācija</w:t>
            </w:r>
          </w:p>
        </w:tc>
      </w:tr>
      <w:tr w:rsidR="00810BB2" w:rsidRPr="00226440" w14:paraId="2A491D9A" w14:textId="77777777" w:rsidTr="00B368A0">
        <w:tc>
          <w:tcPr>
            <w:tcW w:w="708" w:type="dxa"/>
            <w:tcBorders>
              <w:left w:val="single" w:sz="6" w:space="0" w:color="000000"/>
              <w:bottom w:val="single" w:sz="4" w:space="0" w:color="auto"/>
              <w:right w:val="single" w:sz="6" w:space="0" w:color="000000"/>
            </w:tcBorders>
          </w:tcPr>
          <w:p w14:paraId="7B356EC5" w14:textId="6682C3FF" w:rsidR="00810BB2" w:rsidRPr="00226440" w:rsidRDefault="00810BB2" w:rsidP="00810BB2">
            <w:pPr>
              <w:pStyle w:val="naisc"/>
              <w:spacing w:before="0" w:after="0"/>
            </w:pPr>
            <w:r>
              <w:t>2</w:t>
            </w:r>
            <w:r w:rsidR="00502701">
              <w:t>5</w:t>
            </w:r>
            <w:r>
              <w:t>.</w:t>
            </w:r>
          </w:p>
        </w:tc>
        <w:tc>
          <w:tcPr>
            <w:tcW w:w="1552" w:type="dxa"/>
            <w:tcBorders>
              <w:left w:val="single" w:sz="6" w:space="0" w:color="000000"/>
              <w:bottom w:val="single" w:sz="4" w:space="0" w:color="auto"/>
              <w:right w:val="single" w:sz="6" w:space="0" w:color="000000"/>
            </w:tcBorders>
          </w:tcPr>
          <w:p w14:paraId="4BE76AAF" w14:textId="7CB2C962" w:rsidR="00810BB2" w:rsidRPr="00B20FCA" w:rsidRDefault="00810BB2" w:rsidP="00810BB2">
            <w:pPr>
              <w:pStyle w:val="naisc"/>
              <w:spacing w:before="0" w:after="0"/>
              <w:jc w:val="both"/>
            </w:pPr>
          </w:p>
        </w:tc>
        <w:tc>
          <w:tcPr>
            <w:tcW w:w="7230" w:type="dxa"/>
            <w:gridSpan w:val="2"/>
            <w:tcBorders>
              <w:left w:val="single" w:sz="6" w:space="0" w:color="000000"/>
              <w:bottom w:val="single" w:sz="4" w:space="0" w:color="auto"/>
              <w:right w:val="single" w:sz="6" w:space="0" w:color="000000"/>
            </w:tcBorders>
          </w:tcPr>
          <w:p w14:paraId="20B48383" w14:textId="2FD12CC4" w:rsidR="00810BB2" w:rsidRPr="00996787" w:rsidRDefault="00810BB2" w:rsidP="00810BB2">
            <w:pPr>
              <w:widowControl w:val="0"/>
              <w:tabs>
                <w:tab w:val="left" w:pos="993"/>
              </w:tabs>
              <w:suppressAutoHyphens/>
              <w:contextualSpacing/>
              <w:jc w:val="both"/>
              <w:outlineLvl w:val="0"/>
              <w:rPr>
                <w:rFonts w:eastAsia="Calibri"/>
                <w:lang w:eastAsia="en-US"/>
              </w:rPr>
            </w:pPr>
            <w:r>
              <w:rPr>
                <w:rFonts w:eastAsia="Calibri"/>
                <w:lang w:eastAsia="en-US"/>
              </w:rPr>
              <w:t xml:space="preserve">23. </w:t>
            </w:r>
            <w:r w:rsidRPr="00996787">
              <w:rPr>
                <w:rFonts w:eastAsia="Calibri"/>
                <w:lang w:eastAsia="en-US"/>
              </w:rPr>
              <w:t>Saskaņā ar Valsts pārvaldes iekārtas likuma 10. panta septīto daļu v</w:t>
            </w:r>
            <w:r w:rsidRPr="00996787">
              <w:rPr>
                <w:rFonts w:eastAsia="Calibri"/>
                <w:szCs w:val="22"/>
                <w:lang w:eastAsia="en-US"/>
              </w:rPr>
              <w:t>alsts pārvaldei ir pienākums informēt sabiedrību par savu darbību, it īpaši to sabiedrības daļu un tām privātpersonām, kuru tiesības vai tiesiskās intereses īstenotā vai plānotā darbība skar vai var skart.</w:t>
            </w:r>
          </w:p>
          <w:p w14:paraId="3AE7355C" w14:textId="4825EE03" w:rsidR="00810BB2" w:rsidRPr="00481B7A" w:rsidRDefault="00810BB2" w:rsidP="00810BB2">
            <w:pPr>
              <w:ind w:firstLine="709"/>
              <w:jc w:val="both"/>
            </w:pPr>
            <w:r w:rsidRPr="00996787">
              <w:rPr>
                <w:rFonts w:eastAsia="Calibri"/>
                <w:lang w:eastAsia="en-US"/>
              </w:rPr>
              <w:t xml:space="preserve">Projekta anotācijas VI sadaļā norādīts, ka atbilstoši Ministru kabineta 2009. gada 25. augusta noteikumiem Nr. 970 "Sabiedrības līdzdalības kārtība attīstības plānošanas procesā" (turpmāk – MK noteikumi Nr. 970) sabiedrībai tika dota iespēja piedalīties publiskajā apspriešanā no 2019. gada 8. maija līdz 5. jūnijam, kā arī rakstiski sniegt viedokli par noteikumu projektu saskaņošanas stadijā. 2019. gada 8. maijā projekts publiskajai apspriešanai publicēts Veselības ministrijas mājaslapas sadaļā "Sabiedrības līdzdalība". Publiskajā </w:t>
            </w:r>
            <w:r w:rsidRPr="00481B7A">
              <w:t>apspriešanā saņemti priekšlikumi no SIA "</w:t>
            </w:r>
            <w:proofErr w:type="spellStart"/>
            <w:r w:rsidRPr="00481B7A">
              <w:t>Latinwest</w:t>
            </w:r>
            <w:proofErr w:type="spellEnd"/>
            <w:r w:rsidRPr="00481B7A">
              <w:t>", Jūrmalas sporta skolas, SIA "Olimpiskā sporta centra", Fonda "Mācies peldēt Latvijā", VSIA "Nacionālais rehabilitācijas centrs "Vaivari"", kas izvērtēti un lielā mērā ņemti vērā.</w:t>
            </w:r>
          </w:p>
          <w:p w14:paraId="52F6DA38" w14:textId="77777777" w:rsidR="00810BB2" w:rsidRPr="00481B7A" w:rsidRDefault="00810BB2" w:rsidP="00810BB2">
            <w:pPr>
              <w:ind w:firstLine="709"/>
              <w:jc w:val="both"/>
              <w:rPr>
                <w:bCs/>
                <w:iCs/>
              </w:rPr>
            </w:pPr>
            <w:r w:rsidRPr="00481B7A">
              <w:rPr>
                <w:bCs/>
                <w:iCs/>
              </w:rPr>
              <w:t>No minētā var spriest, ka mērķtiecīgas konsultācijas ar projekta skartajām sabiedrības grupām nav notikušas. Nav arī norādes, ka informācija par projektu ir bijusi pieejama arī Valsts kancelejas tīmekļvietnē</w:t>
            </w:r>
            <w:r w:rsidRPr="00481B7A">
              <w:rPr>
                <w:bCs/>
                <w:iCs/>
                <w:vertAlign w:val="superscript"/>
              </w:rPr>
              <w:footnoteReference w:id="4"/>
            </w:r>
            <w:r w:rsidRPr="00481B7A">
              <w:rPr>
                <w:bCs/>
                <w:iCs/>
              </w:rPr>
              <w:t>, nav pievienota arī saite uz paziņojumu</w:t>
            </w:r>
            <w:r w:rsidRPr="00481B7A">
              <w:rPr>
                <w:bCs/>
                <w:iCs/>
                <w:vertAlign w:val="superscript"/>
              </w:rPr>
              <w:footnoteReference w:id="5"/>
            </w:r>
            <w:r w:rsidRPr="00481B7A">
              <w:rPr>
                <w:bCs/>
                <w:iCs/>
              </w:rPr>
              <w:t>, kā arī norādīta nepilnīga informācija par līdzdalības rezultātiem</w:t>
            </w:r>
            <w:r w:rsidRPr="00481B7A">
              <w:rPr>
                <w:bCs/>
                <w:iCs/>
                <w:vertAlign w:val="superscript"/>
              </w:rPr>
              <w:footnoteReference w:id="6"/>
            </w:r>
            <w:r w:rsidRPr="00481B7A">
              <w:rPr>
                <w:bCs/>
                <w:iCs/>
              </w:rPr>
              <w:t>.</w:t>
            </w:r>
          </w:p>
          <w:p w14:paraId="631E8157" w14:textId="77777777" w:rsidR="00810BB2" w:rsidRPr="00481B7A" w:rsidRDefault="00810BB2" w:rsidP="00810BB2">
            <w:pPr>
              <w:ind w:firstLine="709"/>
              <w:jc w:val="both"/>
              <w:rPr>
                <w:bCs/>
                <w:iCs/>
              </w:rPr>
            </w:pPr>
            <w:r w:rsidRPr="00481B7A">
              <w:rPr>
                <w:bCs/>
                <w:iCs/>
              </w:rPr>
              <w:t>Ņemot vērā norādīto, lūdzam precizēt projekta anotācijas VI sadaļu.</w:t>
            </w:r>
          </w:p>
          <w:p w14:paraId="07F4A3CE" w14:textId="7D95864F" w:rsidR="00810BB2" w:rsidRPr="00B20FCA" w:rsidRDefault="00810BB2" w:rsidP="00810BB2">
            <w:pPr>
              <w:ind w:firstLine="709"/>
              <w:jc w:val="both"/>
            </w:pPr>
          </w:p>
        </w:tc>
        <w:tc>
          <w:tcPr>
            <w:tcW w:w="2693" w:type="dxa"/>
            <w:tcBorders>
              <w:left w:val="single" w:sz="6" w:space="0" w:color="000000"/>
              <w:bottom w:val="single" w:sz="4" w:space="0" w:color="auto"/>
              <w:right w:val="single" w:sz="6" w:space="0" w:color="000000"/>
            </w:tcBorders>
          </w:tcPr>
          <w:p w14:paraId="4F3CBC59" w14:textId="231AA266" w:rsidR="00810BB2" w:rsidRPr="00B20FCA" w:rsidRDefault="00810BB2" w:rsidP="00810BB2">
            <w:pPr>
              <w:pStyle w:val="naisc"/>
              <w:spacing w:before="0" w:after="0"/>
              <w:jc w:val="both"/>
            </w:pPr>
            <w:r w:rsidRPr="00D32A7B">
              <w:rPr>
                <w:b/>
              </w:rPr>
              <w:lastRenderedPageBreak/>
              <w:t>Ņemts vērā</w:t>
            </w:r>
          </w:p>
        </w:tc>
        <w:tc>
          <w:tcPr>
            <w:tcW w:w="1701" w:type="dxa"/>
            <w:tcBorders>
              <w:top w:val="single" w:sz="4" w:space="0" w:color="auto"/>
              <w:left w:val="single" w:sz="4" w:space="0" w:color="auto"/>
              <w:bottom w:val="single" w:sz="4" w:space="0" w:color="auto"/>
            </w:tcBorders>
          </w:tcPr>
          <w:p w14:paraId="68128A1B" w14:textId="517A0A6E" w:rsidR="00810BB2" w:rsidRPr="00B20FCA" w:rsidRDefault="00810BB2" w:rsidP="00810BB2">
            <w:pPr>
              <w:jc w:val="both"/>
            </w:pPr>
            <w:r w:rsidRPr="00276D29">
              <w:t>Precizēta anotācija</w:t>
            </w:r>
          </w:p>
        </w:tc>
      </w:tr>
      <w:tr w:rsidR="00873FDA" w:rsidRPr="00226440" w14:paraId="04B47FA5" w14:textId="77777777" w:rsidTr="00B368A0">
        <w:tc>
          <w:tcPr>
            <w:tcW w:w="708" w:type="dxa"/>
            <w:tcBorders>
              <w:left w:val="single" w:sz="6" w:space="0" w:color="000000"/>
              <w:bottom w:val="single" w:sz="4" w:space="0" w:color="auto"/>
              <w:right w:val="single" w:sz="6" w:space="0" w:color="000000"/>
            </w:tcBorders>
          </w:tcPr>
          <w:p w14:paraId="2EAC3342" w14:textId="0A244723" w:rsidR="00873FDA" w:rsidRDefault="00502701" w:rsidP="00810BB2">
            <w:pPr>
              <w:pStyle w:val="naisc"/>
              <w:spacing w:before="0" w:after="0"/>
            </w:pPr>
            <w:r>
              <w:t>26.</w:t>
            </w:r>
          </w:p>
        </w:tc>
        <w:tc>
          <w:tcPr>
            <w:tcW w:w="1552" w:type="dxa"/>
            <w:tcBorders>
              <w:left w:val="single" w:sz="6" w:space="0" w:color="000000"/>
              <w:bottom w:val="single" w:sz="4" w:space="0" w:color="auto"/>
              <w:right w:val="single" w:sz="6" w:space="0" w:color="000000"/>
            </w:tcBorders>
          </w:tcPr>
          <w:p w14:paraId="1F373DC6" w14:textId="77777777" w:rsidR="00873FDA" w:rsidRPr="00B20FCA" w:rsidRDefault="00873FDA" w:rsidP="00810BB2">
            <w:pPr>
              <w:pStyle w:val="naisc"/>
              <w:spacing w:before="0" w:after="0"/>
              <w:jc w:val="both"/>
            </w:pPr>
          </w:p>
        </w:tc>
        <w:tc>
          <w:tcPr>
            <w:tcW w:w="7230" w:type="dxa"/>
            <w:gridSpan w:val="2"/>
            <w:tcBorders>
              <w:left w:val="single" w:sz="6" w:space="0" w:color="000000"/>
              <w:bottom w:val="single" w:sz="4" w:space="0" w:color="auto"/>
              <w:right w:val="single" w:sz="6" w:space="0" w:color="000000"/>
            </w:tcBorders>
          </w:tcPr>
          <w:p w14:paraId="39E31B91" w14:textId="77777777" w:rsidR="00873FDA" w:rsidRPr="00873FDA" w:rsidRDefault="00873FDA" w:rsidP="00873FDA">
            <w:pPr>
              <w:widowControl w:val="0"/>
              <w:tabs>
                <w:tab w:val="left" w:pos="993"/>
              </w:tabs>
              <w:suppressAutoHyphens/>
              <w:contextualSpacing/>
              <w:jc w:val="both"/>
              <w:outlineLvl w:val="0"/>
              <w:rPr>
                <w:rFonts w:eastAsia="Calibri"/>
                <w:bCs/>
                <w:iCs/>
                <w:lang w:eastAsia="en-US"/>
              </w:rPr>
            </w:pPr>
            <w:r w:rsidRPr="00873FDA">
              <w:rPr>
                <w:rFonts w:eastAsia="Calibri"/>
                <w:bCs/>
                <w:iCs/>
                <w:lang w:eastAsia="en-US"/>
              </w:rPr>
              <w:t>Par precizēto projektu izteiktais iebildums 23.03.2020</w:t>
            </w:r>
          </w:p>
          <w:p w14:paraId="12782544" w14:textId="77777777" w:rsidR="00873FDA" w:rsidRDefault="00873FDA" w:rsidP="00873FDA">
            <w:pPr>
              <w:widowControl w:val="0"/>
              <w:tabs>
                <w:tab w:val="left" w:pos="993"/>
              </w:tabs>
              <w:suppressAutoHyphens/>
              <w:contextualSpacing/>
              <w:jc w:val="both"/>
              <w:outlineLvl w:val="0"/>
              <w:rPr>
                <w:rFonts w:eastAsia="Calibri"/>
                <w:iCs/>
                <w:lang w:eastAsia="en-US"/>
              </w:rPr>
            </w:pPr>
          </w:p>
          <w:p w14:paraId="1DA4577E" w14:textId="25463BFD" w:rsidR="00873FDA" w:rsidRPr="00873FDA" w:rsidRDefault="00873FDA" w:rsidP="00873FDA">
            <w:pPr>
              <w:widowControl w:val="0"/>
              <w:tabs>
                <w:tab w:val="left" w:pos="993"/>
              </w:tabs>
              <w:suppressAutoHyphens/>
              <w:contextualSpacing/>
              <w:jc w:val="both"/>
              <w:outlineLvl w:val="0"/>
              <w:rPr>
                <w:rFonts w:eastAsia="Calibri"/>
                <w:iCs/>
                <w:lang w:eastAsia="en-US"/>
              </w:rPr>
            </w:pPr>
            <w:r w:rsidRPr="00873FDA">
              <w:rPr>
                <w:rFonts w:eastAsia="Calibri"/>
                <w:iCs/>
                <w:lang w:eastAsia="en-US"/>
              </w:rPr>
              <w:t>Papildus lūdzam precizēt anotācijas kopsavilkumā minēto, ka projekta mērķis ir aktualizēt higiēnas prasības baseinu un pirts pakalpojuma sniegšanai, mazinot infekciju slimību risku un nodrošinot </w:t>
            </w:r>
            <w:r w:rsidRPr="00873FDA">
              <w:rPr>
                <w:rFonts w:eastAsia="Calibri"/>
                <w:iCs/>
                <w:u w:val="single"/>
                <w:lang w:eastAsia="en-US"/>
              </w:rPr>
              <w:t>drošākus</w:t>
            </w:r>
            <w:r w:rsidRPr="00873FDA">
              <w:rPr>
                <w:rFonts w:eastAsia="Calibri"/>
                <w:iCs/>
                <w:lang w:eastAsia="en-US"/>
              </w:rPr>
              <w:t> baseina un pirts pakalpojumus patērētājiem, norādot, ka higiēnas prasības nodrošina </w:t>
            </w:r>
            <w:r w:rsidRPr="00873FDA">
              <w:rPr>
                <w:rFonts w:eastAsia="Calibri"/>
                <w:iCs/>
                <w:u w:val="single"/>
                <w:lang w:eastAsia="en-US"/>
              </w:rPr>
              <w:t>epidemioloģiski drošākus</w:t>
            </w:r>
            <w:r w:rsidRPr="00873FDA">
              <w:rPr>
                <w:rFonts w:eastAsia="Calibri"/>
                <w:iCs/>
                <w:lang w:eastAsia="en-US"/>
              </w:rPr>
              <w:t> pakalpojumus.</w:t>
            </w:r>
          </w:p>
          <w:p w14:paraId="4A14ECBE" w14:textId="2769EA17" w:rsidR="00873FDA" w:rsidRPr="00873FDA" w:rsidRDefault="00873FDA" w:rsidP="00873FDA">
            <w:pPr>
              <w:widowControl w:val="0"/>
              <w:tabs>
                <w:tab w:val="left" w:pos="993"/>
              </w:tabs>
              <w:suppressAutoHyphens/>
              <w:contextualSpacing/>
              <w:jc w:val="both"/>
              <w:outlineLvl w:val="0"/>
              <w:rPr>
                <w:rFonts w:eastAsia="Calibri"/>
                <w:iCs/>
                <w:lang w:eastAsia="en-US"/>
              </w:rPr>
            </w:pPr>
            <w:r w:rsidRPr="00873FDA">
              <w:rPr>
                <w:rFonts w:eastAsia="Calibri"/>
                <w:iCs/>
                <w:lang w:eastAsia="en-US"/>
              </w:rPr>
              <w:t> </w:t>
            </w:r>
          </w:p>
          <w:p w14:paraId="2549A3C2" w14:textId="77777777" w:rsidR="00873FDA" w:rsidRDefault="00873FDA" w:rsidP="00810BB2">
            <w:pPr>
              <w:widowControl w:val="0"/>
              <w:tabs>
                <w:tab w:val="left" w:pos="993"/>
              </w:tabs>
              <w:suppressAutoHyphens/>
              <w:contextualSpacing/>
              <w:jc w:val="both"/>
              <w:outlineLvl w:val="0"/>
              <w:rPr>
                <w:rFonts w:eastAsia="Calibri"/>
                <w:lang w:eastAsia="en-US"/>
              </w:rPr>
            </w:pPr>
          </w:p>
        </w:tc>
        <w:tc>
          <w:tcPr>
            <w:tcW w:w="2693" w:type="dxa"/>
            <w:tcBorders>
              <w:left w:val="single" w:sz="6" w:space="0" w:color="000000"/>
              <w:bottom w:val="single" w:sz="4" w:space="0" w:color="auto"/>
              <w:right w:val="single" w:sz="6" w:space="0" w:color="000000"/>
            </w:tcBorders>
          </w:tcPr>
          <w:p w14:paraId="151C0041" w14:textId="049FD237" w:rsidR="00873FDA" w:rsidRPr="00D32A7B" w:rsidRDefault="00502701" w:rsidP="00810BB2">
            <w:pPr>
              <w:pStyle w:val="naisc"/>
              <w:spacing w:before="0" w:after="0"/>
              <w:jc w:val="both"/>
              <w:rPr>
                <w:b/>
              </w:rPr>
            </w:pPr>
            <w:r>
              <w:rPr>
                <w:b/>
              </w:rPr>
              <w:t>Ņemts vērā</w:t>
            </w:r>
          </w:p>
        </w:tc>
        <w:tc>
          <w:tcPr>
            <w:tcW w:w="1701" w:type="dxa"/>
            <w:tcBorders>
              <w:top w:val="single" w:sz="4" w:space="0" w:color="auto"/>
              <w:left w:val="single" w:sz="4" w:space="0" w:color="auto"/>
              <w:bottom w:val="single" w:sz="4" w:space="0" w:color="auto"/>
            </w:tcBorders>
          </w:tcPr>
          <w:p w14:paraId="6E42689F" w14:textId="77A63EF4" w:rsidR="00873FDA" w:rsidRPr="00276D29" w:rsidRDefault="00502701" w:rsidP="00810BB2">
            <w:pPr>
              <w:jc w:val="both"/>
            </w:pPr>
            <w:r w:rsidRPr="00502701">
              <w:t xml:space="preserve">Precizēta anotācija </w:t>
            </w:r>
          </w:p>
        </w:tc>
      </w:tr>
      <w:tr w:rsidR="00873FDA" w:rsidRPr="00226440" w14:paraId="77984D08" w14:textId="77777777" w:rsidTr="00B368A0">
        <w:tc>
          <w:tcPr>
            <w:tcW w:w="708" w:type="dxa"/>
            <w:tcBorders>
              <w:left w:val="single" w:sz="6" w:space="0" w:color="000000"/>
              <w:bottom w:val="single" w:sz="4" w:space="0" w:color="auto"/>
              <w:right w:val="single" w:sz="6" w:space="0" w:color="000000"/>
            </w:tcBorders>
          </w:tcPr>
          <w:p w14:paraId="47447BF7" w14:textId="701847BD" w:rsidR="00873FDA" w:rsidRDefault="00502701" w:rsidP="00810BB2">
            <w:pPr>
              <w:pStyle w:val="naisc"/>
              <w:spacing w:before="0" w:after="0"/>
            </w:pPr>
            <w:r>
              <w:t>27.</w:t>
            </w:r>
          </w:p>
        </w:tc>
        <w:tc>
          <w:tcPr>
            <w:tcW w:w="1552" w:type="dxa"/>
            <w:tcBorders>
              <w:left w:val="single" w:sz="6" w:space="0" w:color="000000"/>
              <w:bottom w:val="single" w:sz="4" w:space="0" w:color="auto"/>
              <w:right w:val="single" w:sz="6" w:space="0" w:color="000000"/>
            </w:tcBorders>
          </w:tcPr>
          <w:p w14:paraId="29547CC3" w14:textId="77777777" w:rsidR="00873FDA" w:rsidRPr="00B20FCA" w:rsidRDefault="00873FDA" w:rsidP="00810BB2">
            <w:pPr>
              <w:pStyle w:val="naisc"/>
              <w:spacing w:before="0" w:after="0"/>
              <w:jc w:val="both"/>
            </w:pPr>
          </w:p>
        </w:tc>
        <w:tc>
          <w:tcPr>
            <w:tcW w:w="7230" w:type="dxa"/>
            <w:gridSpan w:val="2"/>
            <w:tcBorders>
              <w:left w:val="single" w:sz="6" w:space="0" w:color="000000"/>
              <w:bottom w:val="single" w:sz="4" w:space="0" w:color="auto"/>
              <w:right w:val="single" w:sz="6" w:space="0" w:color="000000"/>
            </w:tcBorders>
          </w:tcPr>
          <w:p w14:paraId="5A01C67B" w14:textId="77777777" w:rsidR="00873FDA" w:rsidRPr="00873FDA" w:rsidRDefault="00873FDA" w:rsidP="00873FDA">
            <w:pPr>
              <w:widowControl w:val="0"/>
              <w:tabs>
                <w:tab w:val="left" w:pos="993"/>
              </w:tabs>
              <w:suppressAutoHyphens/>
              <w:contextualSpacing/>
              <w:jc w:val="both"/>
              <w:outlineLvl w:val="0"/>
              <w:rPr>
                <w:rFonts w:eastAsia="Calibri"/>
                <w:bCs/>
                <w:iCs/>
                <w:lang w:eastAsia="en-US"/>
              </w:rPr>
            </w:pPr>
            <w:r w:rsidRPr="00873FDA">
              <w:rPr>
                <w:rFonts w:eastAsia="Calibri"/>
                <w:bCs/>
                <w:iCs/>
                <w:lang w:eastAsia="en-US"/>
              </w:rPr>
              <w:t>Par precizēto projektu izteiktais iebildums 23.03.2020</w:t>
            </w:r>
          </w:p>
          <w:p w14:paraId="2769B14E" w14:textId="77777777" w:rsidR="00873FDA" w:rsidRDefault="00873FDA" w:rsidP="00873FDA">
            <w:pPr>
              <w:widowControl w:val="0"/>
              <w:tabs>
                <w:tab w:val="left" w:pos="993"/>
              </w:tabs>
              <w:suppressAutoHyphens/>
              <w:contextualSpacing/>
              <w:jc w:val="both"/>
              <w:outlineLvl w:val="0"/>
              <w:rPr>
                <w:rFonts w:eastAsia="Calibri"/>
                <w:iCs/>
                <w:lang w:eastAsia="en-US"/>
              </w:rPr>
            </w:pPr>
          </w:p>
          <w:p w14:paraId="2EC35D75" w14:textId="263A58B4" w:rsidR="00873FDA" w:rsidRPr="00873FDA" w:rsidRDefault="00873FDA" w:rsidP="00873FDA">
            <w:pPr>
              <w:widowControl w:val="0"/>
              <w:tabs>
                <w:tab w:val="left" w:pos="993"/>
              </w:tabs>
              <w:suppressAutoHyphens/>
              <w:contextualSpacing/>
              <w:jc w:val="both"/>
              <w:outlineLvl w:val="0"/>
              <w:rPr>
                <w:rFonts w:eastAsia="Calibri"/>
                <w:iCs/>
                <w:lang w:eastAsia="en-US"/>
              </w:rPr>
            </w:pPr>
            <w:r w:rsidRPr="00873FDA">
              <w:rPr>
                <w:rFonts w:eastAsia="Calibri"/>
                <w:iCs/>
                <w:lang w:eastAsia="en-US"/>
              </w:rPr>
              <w:t>Aicinām vēlreiz pārskatīt projektu un saskaņot tajā lietoto terminoloģiju gan projekta ietvaros, gan EDL lietotajai terminoloģijai. Tā piemēram ar vienu nozīmi tiek lietoti termini – baseina un pirts apmeklētāji, lietotāji, baseinu un pirti lieto, izmanto, apmeklē.</w:t>
            </w:r>
          </w:p>
          <w:p w14:paraId="29430A00" w14:textId="77777777" w:rsidR="00873FDA" w:rsidRDefault="00873FDA" w:rsidP="00810BB2">
            <w:pPr>
              <w:widowControl w:val="0"/>
              <w:tabs>
                <w:tab w:val="left" w:pos="993"/>
              </w:tabs>
              <w:suppressAutoHyphens/>
              <w:contextualSpacing/>
              <w:jc w:val="both"/>
              <w:outlineLvl w:val="0"/>
              <w:rPr>
                <w:rFonts w:eastAsia="Calibri"/>
                <w:lang w:eastAsia="en-US"/>
              </w:rPr>
            </w:pPr>
          </w:p>
        </w:tc>
        <w:tc>
          <w:tcPr>
            <w:tcW w:w="2693" w:type="dxa"/>
            <w:tcBorders>
              <w:left w:val="single" w:sz="6" w:space="0" w:color="000000"/>
              <w:bottom w:val="single" w:sz="4" w:space="0" w:color="auto"/>
              <w:right w:val="single" w:sz="6" w:space="0" w:color="000000"/>
            </w:tcBorders>
          </w:tcPr>
          <w:p w14:paraId="0BE36E95" w14:textId="02F89D64" w:rsidR="00873FDA" w:rsidRPr="00D32A7B" w:rsidRDefault="00502701" w:rsidP="00810BB2">
            <w:pPr>
              <w:pStyle w:val="naisc"/>
              <w:spacing w:before="0" w:after="0"/>
              <w:jc w:val="both"/>
              <w:rPr>
                <w:b/>
              </w:rPr>
            </w:pPr>
            <w:r w:rsidRPr="00502701">
              <w:rPr>
                <w:b/>
              </w:rPr>
              <w:t>Ņemts vērā</w:t>
            </w:r>
          </w:p>
        </w:tc>
        <w:tc>
          <w:tcPr>
            <w:tcW w:w="1701" w:type="dxa"/>
            <w:tcBorders>
              <w:top w:val="single" w:sz="4" w:space="0" w:color="auto"/>
              <w:left w:val="single" w:sz="4" w:space="0" w:color="auto"/>
              <w:bottom w:val="single" w:sz="4" w:space="0" w:color="auto"/>
            </w:tcBorders>
          </w:tcPr>
          <w:p w14:paraId="2F15EFAB" w14:textId="77777777" w:rsidR="00873FDA" w:rsidRPr="00276D29" w:rsidRDefault="00873FDA" w:rsidP="00810BB2">
            <w:pPr>
              <w:jc w:val="both"/>
            </w:pPr>
          </w:p>
        </w:tc>
      </w:tr>
      <w:tr w:rsidR="00810BB2" w:rsidRPr="00226440" w14:paraId="39AE7FF0" w14:textId="77777777" w:rsidTr="00B368A0">
        <w:tc>
          <w:tcPr>
            <w:tcW w:w="708" w:type="dxa"/>
            <w:tcBorders>
              <w:left w:val="single" w:sz="6" w:space="0" w:color="000000"/>
              <w:bottom w:val="single" w:sz="4" w:space="0" w:color="auto"/>
              <w:right w:val="single" w:sz="6" w:space="0" w:color="000000"/>
            </w:tcBorders>
          </w:tcPr>
          <w:p w14:paraId="7F081195" w14:textId="0DE55E15" w:rsidR="00810BB2" w:rsidRDefault="00502701" w:rsidP="00810BB2">
            <w:pPr>
              <w:pStyle w:val="naisc"/>
              <w:spacing w:before="0" w:after="0"/>
            </w:pPr>
            <w:r>
              <w:t>28.</w:t>
            </w:r>
          </w:p>
        </w:tc>
        <w:tc>
          <w:tcPr>
            <w:tcW w:w="1552" w:type="dxa"/>
            <w:tcBorders>
              <w:left w:val="single" w:sz="6" w:space="0" w:color="000000"/>
              <w:bottom w:val="single" w:sz="4" w:space="0" w:color="auto"/>
              <w:right w:val="single" w:sz="6" w:space="0" w:color="000000"/>
            </w:tcBorders>
          </w:tcPr>
          <w:p w14:paraId="73976E99" w14:textId="77777777" w:rsidR="00810BB2" w:rsidRPr="00B20FCA" w:rsidRDefault="00810BB2" w:rsidP="00810BB2">
            <w:pPr>
              <w:pStyle w:val="naisc"/>
              <w:spacing w:before="0" w:after="0"/>
              <w:jc w:val="both"/>
            </w:pPr>
          </w:p>
        </w:tc>
        <w:tc>
          <w:tcPr>
            <w:tcW w:w="7230" w:type="dxa"/>
            <w:gridSpan w:val="2"/>
            <w:tcBorders>
              <w:left w:val="single" w:sz="6" w:space="0" w:color="000000"/>
              <w:bottom w:val="single" w:sz="4" w:space="0" w:color="auto"/>
              <w:right w:val="single" w:sz="6" w:space="0" w:color="000000"/>
            </w:tcBorders>
          </w:tcPr>
          <w:p w14:paraId="6B0A99ED" w14:textId="3DF08FAB" w:rsidR="00810BB2" w:rsidRPr="00136242" w:rsidRDefault="00810BB2" w:rsidP="00810BB2">
            <w:pPr>
              <w:widowControl w:val="0"/>
              <w:tabs>
                <w:tab w:val="left" w:pos="993"/>
              </w:tabs>
              <w:suppressAutoHyphens/>
              <w:contextualSpacing/>
              <w:jc w:val="both"/>
              <w:outlineLvl w:val="0"/>
              <w:rPr>
                <w:rFonts w:eastAsia="Calibri"/>
                <w:b/>
                <w:bCs/>
                <w:lang w:eastAsia="en-US"/>
              </w:rPr>
            </w:pPr>
            <w:r w:rsidRPr="00136242">
              <w:rPr>
                <w:rFonts w:eastAsia="Calibri"/>
                <w:b/>
                <w:bCs/>
                <w:lang w:eastAsia="en-US"/>
              </w:rPr>
              <w:t>Valsts kancelejas Valsts pārvaldes politikas departaments</w:t>
            </w:r>
          </w:p>
          <w:p w14:paraId="13997172" w14:textId="77777777" w:rsidR="00412BC2" w:rsidRPr="00412BC2" w:rsidRDefault="00412BC2" w:rsidP="00412BC2">
            <w:pPr>
              <w:widowControl w:val="0"/>
              <w:tabs>
                <w:tab w:val="left" w:pos="993"/>
              </w:tabs>
              <w:suppressAutoHyphens/>
              <w:contextualSpacing/>
              <w:jc w:val="both"/>
              <w:outlineLvl w:val="0"/>
              <w:rPr>
                <w:rFonts w:eastAsia="Calibri"/>
                <w:lang w:eastAsia="en-US"/>
              </w:rPr>
            </w:pPr>
            <w:r w:rsidRPr="00412BC2">
              <w:rPr>
                <w:rFonts w:eastAsia="Calibri"/>
                <w:lang w:eastAsia="en-US"/>
              </w:rPr>
              <w:t>1.Izpildot 2009. gada 25. augusta Ministru kabineta noteikumu Nr.970 “Sabiedrības līdzdalības kārtība attīstības plānošanas procesā” 14. punktu, aicinām iesniegt noteikumu projektu Valsts kancelejai ievietošanai MK mājaslapā sabiedrības līdzdalības nodrošināšanai;</w:t>
            </w:r>
          </w:p>
          <w:p w14:paraId="00A1E6E7" w14:textId="77777777" w:rsidR="00412BC2" w:rsidRPr="00412BC2" w:rsidRDefault="00412BC2" w:rsidP="00412BC2">
            <w:pPr>
              <w:widowControl w:val="0"/>
              <w:tabs>
                <w:tab w:val="left" w:pos="993"/>
              </w:tabs>
              <w:suppressAutoHyphens/>
              <w:contextualSpacing/>
              <w:jc w:val="both"/>
              <w:outlineLvl w:val="0"/>
              <w:rPr>
                <w:rFonts w:eastAsia="Calibri"/>
                <w:lang w:eastAsia="en-US"/>
              </w:rPr>
            </w:pPr>
            <w:r w:rsidRPr="00412BC2">
              <w:rPr>
                <w:rFonts w:eastAsia="Calibri"/>
                <w:lang w:eastAsia="en-US"/>
              </w:rPr>
              <w:br/>
              <w:t xml:space="preserve">Atkārtotajā elektroniskajā saskaņošanā 12.06.2020. izteiktais iebildums </w:t>
            </w:r>
          </w:p>
          <w:p w14:paraId="5E23E024" w14:textId="77777777" w:rsidR="00412BC2" w:rsidRPr="00412BC2" w:rsidRDefault="00412BC2" w:rsidP="00412BC2">
            <w:pPr>
              <w:widowControl w:val="0"/>
              <w:tabs>
                <w:tab w:val="left" w:pos="993"/>
              </w:tabs>
              <w:suppressAutoHyphens/>
              <w:contextualSpacing/>
              <w:jc w:val="both"/>
              <w:outlineLvl w:val="0"/>
              <w:rPr>
                <w:rFonts w:eastAsia="Calibri"/>
                <w:lang w:eastAsia="en-US"/>
              </w:rPr>
            </w:pPr>
          </w:p>
          <w:p w14:paraId="215AB613" w14:textId="77777777" w:rsidR="00412BC2" w:rsidRPr="00412BC2" w:rsidRDefault="00412BC2" w:rsidP="00412BC2">
            <w:pPr>
              <w:widowControl w:val="0"/>
              <w:tabs>
                <w:tab w:val="left" w:pos="993"/>
              </w:tabs>
              <w:suppressAutoHyphens/>
              <w:contextualSpacing/>
              <w:jc w:val="both"/>
              <w:outlineLvl w:val="0"/>
              <w:rPr>
                <w:rFonts w:eastAsia="Calibri"/>
                <w:lang w:eastAsia="en-US"/>
              </w:rPr>
            </w:pPr>
          </w:p>
          <w:p w14:paraId="3007B28C" w14:textId="77777777" w:rsidR="00412BC2" w:rsidRPr="00412BC2" w:rsidRDefault="00412BC2" w:rsidP="00412BC2">
            <w:pPr>
              <w:widowControl w:val="0"/>
              <w:tabs>
                <w:tab w:val="left" w:pos="993"/>
              </w:tabs>
              <w:suppressAutoHyphens/>
              <w:contextualSpacing/>
              <w:jc w:val="both"/>
              <w:outlineLvl w:val="0"/>
              <w:rPr>
                <w:rFonts w:eastAsia="Calibri"/>
                <w:lang w:eastAsia="en-US"/>
              </w:rPr>
            </w:pPr>
            <w:r w:rsidRPr="00412BC2">
              <w:rPr>
                <w:rFonts w:eastAsia="Calibri"/>
                <w:lang w:eastAsia="en-US"/>
              </w:rPr>
              <w:t xml:space="preserve">1. Uzskatām, ka Valsts kancelejas iebildums Nr. 28 (izziņā), kā arī Tieslietu ministrijas iebildums Nr.25 izziņā nav tikuši ņemti vērā ne formāli, ne pēc būtības. Projekts tā arī netika ievietots Valsts kancelejas tīmekļvietnē sabiedrības līdzdalības nodrošināšanai, savukārt anotācijas VI sadaļā sniegtā informācija neliecina par to, ka ir notikušas mērķtiecīgas konsultācijas ar projekta skartajām sabiedrības grupām. Aicinām precizēt izziņu un papildināt anotāciju, sniedzot vispusīgu informāciju par notikušajām konsultācijām (no dokumenta izstrādes līdz </w:t>
            </w:r>
            <w:r w:rsidRPr="00412BC2">
              <w:rPr>
                <w:rFonts w:eastAsia="Calibri"/>
                <w:lang w:eastAsia="en-US"/>
              </w:rPr>
              <w:lastRenderedPageBreak/>
              <w:t>šim brīdim) un līdzdalības rezultātiem, ņemot vērā, ka regulējums skar aptuveni 130 objektus;</w:t>
            </w:r>
          </w:p>
          <w:p w14:paraId="137ACBF6" w14:textId="77777777" w:rsidR="00810BB2" w:rsidRDefault="00810BB2" w:rsidP="00E07DFD">
            <w:pPr>
              <w:widowControl w:val="0"/>
              <w:tabs>
                <w:tab w:val="left" w:pos="993"/>
              </w:tabs>
              <w:suppressAutoHyphens/>
              <w:contextualSpacing/>
              <w:jc w:val="both"/>
              <w:outlineLvl w:val="0"/>
              <w:rPr>
                <w:rFonts w:eastAsia="Calibri"/>
                <w:lang w:eastAsia="en-US"/>
              </w:rPr>
            </w:pPr>
          </w:p>
        </w:tc>
        <w:tc>
          <w:tcPr>
            <w:tcW w:w="2693" w:type="dxa"/>
            <w:tcBorders>
              <w:left w:val="single" w:sz="6" w:space="0" w:color="000000"/>
              <w:bottom w:val="single" w:sz="4" w:space="0" w:color="auto"/>
              <w:right w:val="single" w:sz="6" w:space="0" w:color="000000"/>
            </w:tcBorders>
          </w:tcPr>
          <w:p w14:paraId="1E4D462D" w14:textId="77777777" w:rsidR="00810BB2" w:rsidRPr="00B368A0" w:rsidRDefault="00810BB2" w:rsidP="00B368A0">
            <w:pPr>
              <w:pStyle w:val="naisc"/>
              <w:spacing w:before="0" w:after="0"/>
              <w:jc w:val="both"/>
              <w:rPr>
                <w:b/>
              </w:rPr>
            </w:pPr>
            <w:r w:rsidRPr="00B368A0">
              <w:rPr>
                <w:b/>
              </w:rPr>
              <w:lastRenderedPageBreak/>
              <w:t>Ņemts vērā</w:t>
            </w:r>
          </w:p>
          <w:p w14:paraId="1589ECDD" w14:textId="77777777" w:rsidR="00412BC2" w:rsidRPr="00412BC2" w:rsidRDefault="00412BC2" w:rsidP="00B368A0">
            <w:pPr>
              <w:pStyle w:val="naisc"/>
              <w:spacing w:before="0" w:after="0"/>
              <w:jc w:val="both"/>
              <w:rPr>
                <w:bCs/>
              </w:rPr>
            </w:pPr>
            <w:r w:rsidRPr="00412BC2">
              <w:rPr>
                <w:bCs/>
              </w:rPr>
              <w:t>2019. gada 8.maijā projekts publiskajai apspriešanai publicēts Veselības ministrijas mājaslapas sadaļā „Sabiedrības līdzdalība”.</w:t>
            </w:r>
          </w:p>
          <w:p w14:paraId="047FD04B" w14:textId="77777777" w:rsidR="00B368A0" w:rsidRPr="00B368A0" w:rsidRDefault="00412BC2" w:rsidP="00B368A0">
            <w:pPr>
              <w:pStyle w:val="naisc"/>
              <w:spacing w:before="0" w:after="0"/>
              <w:jc w:val="both"/>
              <w:rPr>
                <w:bCs/>
                <w:iCs/>
              </w:rPr>
            </w:pPr>
            <w:r w:rsidRPr="00412BC2">
              <w:rPr>
                <w:bCs/>
                <w:iCs/>
              </w:rPr>
              <w:t xml:space="preserve">Publiskajā apspriešanā saņemti priekšlikumi no </w:t>
            </w:r>
            <w:proofErr w:type="spellStart"/>
            <w:r w:rsidRPr="00412BC2">
              <w:rPr>
                <w:bCs/>
                <w:iCs/>
              </w:rPr>
              <w:t>Latinwest</w:t>
            </w:r>
            <w:proofErr w:type="spellEnd"/>
            <w:r w:rsidRPr="00412BC2">
              <w:rPr>
                <w:bCs/>
                <w:iCs/>
              </w:rPr>
              <w:t xml:space="preserve">, SIA, Jūrmalas sporta skolas, Olimpiskā sporta centra, SIA, </w:t>
            </w:r>
            <w:proofErr w:type="spellStart"/>
            <w:r w:rsidRPr="00412BC2">
              <w:rPr>
                <w:bCs/>
                <w:iCs/>
              </w:rPr>
              <w:t>Fonda”Mācies</w:t>
            </w:r>
            <w:proofErr w:type="spellEnd"/>
            <w:r w:rsidRPr="00412BC2">
              <w:rPr>
                <w:bCs/>
                <w:iCs/>
              </w:rPr>
              <w:t xml:space="preserve"> peldēt Latvijā”, VSIA "NRC "Vaivari", </w:t>
            </w:r>
            <w:r w:rsidR="00B368A0" w:rsidRPr="00B368A0">
              <w:rPr>
                <w:bCs/>
                <w:iCs/>
              </w:rPr>
              <w:t xml:space="preserve">kas </w:t>
            </w:r>
            <w:r w:rsidRPr="00412BC2">
              <w:rPr>
                <w:bCs/>
                <w:iCs/>
              </w:rPr>
              <w:t xml:space="preserve">pārstāv plašu un dažādu ieinteresēto loku, tādēļ </w:t>
            </w:r>
            <w:r w:rsidR="00B368A0" w:rsidRPr="00B368A0">
              <w:rPr>
                <w:bCs/>
                <w:iCs/>
              </w:rPr>
              <w:lastRenderedPageBreak/>
              <w:t>nav</w:t>
            </w:r>
            <w:r w:rsidRPr="00412BC2">
              <w:rPr>
                <w:bCs/>
                <w:iCs/>
              </w:rPr>
              <w:t xml:space="preserve"> pamatot</w:t>
            </w:r>
            <w:r w:rsidR="00B368A0" w:rsidRPr="00B368A0">
              <w:rPr>
                <w:bCs/>
                <w:iCs/>
              </w:rPr>
              <w:t>s</w:t>
            </w:r>
            <w:r w:rsidRPr="00412BC2">
              <w:rPr>
                <w:bCs/>
                <w:iCs/>
              </w:rPr>
              <w:t xml:space="preserve">  VK pārmetum</w:t>
            </w:r>
            <w:r w:rsidR="00B368A0" w:rsidRPr="00B368A0">
              <w:rPr>
                <w:bCs/>
                <w:iCs/>
              </w:rPr>
              <w:t>s</w:t>
            </w:r>
            <w:r w:rsidRPr="00412BC2">
              <w:rPr>
                <w:bCs/>
                <w:iCs/>
              </w:rPr>
              <w:t xml:space="preserve">, ka nav notikušas mērķtiecīgas konsultācijas ar projekta skartajām sabiedrības grupām. Visa informācija par publisko apspriešanu, tai skaitā par sabiedrības iesniegtajiem iebildumiem un priekšlikumiem, pieejama Veselības ministrijas mājas lapā. Ministru kabineta kārtības rullis neparedz atkārtotu publisko apspriešanu pēc izsludināšanas Valsts sekretāru sanāksmē, jo pēc izsludināšanas Valsts sekretāru sanāksmē sabiedrība ar projekta aktuālo redakciju iepazīstas attiecīgajā MK mājas lapas sadaļā. </w:t>
            </w:r>
          </w:p>
          <w:p w14:paraId="67509CD2" w14:textId="16F778C7" w:rsidR="00412BC2" w:rsidRPr="00412BC2" w:rsidRDefault="00B368A0" w:rsidP="00B368A0">
            <w:pPr>
              <w:pStyle w:val="naisc"/>
              <w:spacing w:before="0" w:after="0"/>
              <w:jc w:val="both"/>
              <w:rPr>
                <w:bCs/>
                <w:iCs/>
              </w:rPr>
            </w:pPr>
            <w:r w:rsidRPr="00B368A0">
              <w:rPr>
                <w:bCs/>
                <w:iCs/>
              </w:rPr>
              <w:t>P</w:t>
            </w:r>
            <w:r w:rsidR="00412BC2" w:rsidRPr="00412BC2">
              <w:rPr>
                <w:bCs/>
                <w:iCs/>
              </w:rPr>
              <w:t xml:space="preserve">rojekta virzība pēc tā izstrādes kavējās nevis būtisku sabiedrības iebildumu dēļ, bet gan ārkārtējās situācijas radītās kapacitātes pārdales dēļ, respektīvi, nekādas papildus konsultācijas ar </w:t>
            </w:r>
            <w:r w:rsidR="00412BC2" w:rsidRPr="00412BC2">
              <w:rPr>
                <w:bCs/>
                <w:iCs/>
              </w:rPr>
              <w:lastRenderedPageBreak/>
              <w:t xml:space="preserve">sabiedrību, ko aprakstīt anotācijā, netika organizētas. Taču par to, ka ieinteresētajai sabiedrības daļai bija pietiekošas iespējas iesaistīties, liecina, ka pēc izsludināšanas Valsts sekretāru sanāksmē ieinteresētie sabiedrības pārstāvji (SIA </w:t>
            </w:r>
            <w:proofErr w:type="spellStart"/>
            <w:r w:rsidR="00412BC2" w:rsidRPr="00412BC2">
              <w:rPr>
                <w:bCs/>
                <w:iCs/>
              </w:rPr>
              <w:t>Menerga</w:t>
            </w:r>
            <w:proofErr w:type="spellEnd"/>
            <w:r w:rsidR="00412BC2" w:rsidRPr="00412BC2">
              <w:rPr>
                <w:bCs/>
                <w:iCs/>
              </w:rPr>
              <w:t xml:space="preserve"> </w:t>
            </w:r>
            <w:proofErr w:type="spellStart"/>
            <w:r w:rsidR="00412BC2" w:rsidRPr="00412BC2">
              <w:rPr>
                <w:bCs/>
                <w:iCs/>
              </w:rPr>
              <w:t>Baltic</w:t>
            </w:r>
            <w:proofErr w:type="spellEnd"/>
            <w:r w:rsidR="00412BC2" w:rsidRPr="00412BC2">
              <w:rPr>
                <w:bCs/>
                <w:iCs/>
              </w:rPr>
              <w:t>) sniedza komentārus un priekšlikumus par prasībām peldbaseinu mikroklimatam, kas tika izskatīti un kā rezultātā papildināts skaidrojums anotācijā.</w:t>
            </w:r>
          </w:p>
          <w:p w14:paraId="68EF50E4" w14:textId="5F3F6688" w:rsidR="00412BC2" w:rsidRPr="00B368A0" w:rsidRDefault="00412BC2" w:rsidP="00B368A0">
            <w:pPr>
              <w:pStyle w:val="naisc"/>
              <w:spacing w:before="0" w:after="0"/>
              <w:jc w:val="both"/>
              <w:rPr>
                <w:bCs/>
              </w:rPr>
            </w:pPr>
          </w:p>
        </w:tc>
        <w:tc>
          <w:tcPr>
            <w:tcW w:w="1701" w:type="dxa"/>
            <w:tcBorders>
              <w:top w:val="single" w:sz="4" w:space="0" w:color="auto"/>
              <w:left w:val="single" w:sz="4" w:space="0" w:color="auto"/>
              <w:bottom w:val="single" w:sz="4" w:space="0" w:color="auto"/>
            </w:tcBorders>
          </w:tcPr>
          <w:p w14:paraId="498A71DF" w14:textId="77777777" w:rsidR="00810BB2" w:rsidRDefault="00412BC2" w:rsidP="00810BB2">
            <w:pPr>
              <w:jc w:val="both"/>
            </w:pPr>
            <w:r w:rsidRPr="00412BC2">
              <w:lastRenderedPageBreak/>
              <w:t>Precizēta anotācija</w:t>
            </w:r>
          </w:p>
          <w:p w14:paraId="3FFF2155" w14:textId="038CBF10" w:rsidR="00412BC2" w:rsidRPr="00B20FCA" w:rsidRDefault="00412BC2" w:rsidP="00810BB2">
            <w:pPr>
              <w:jc w:val="both"/>
            </w:pPr>
          </w:p>
        </w:tc>
      </w:tr>
      <w:tr w:rsidR="00810BB2" w:rsidRPr="00226440" w14:paraId="3D1737F4" w14:textId="77777777" w:rsidTr="00B368A0">
        <w:tc>
          <w:tcPr>
            <w:tcW w:w="708" w:type="dxa"/>
            <w:tcBorders>
              <w:left w:val="single" w:sz="6" w:space="0" w:color="000000"/>
              <w:bottom w:val="single" w:sz="4" w:space="0" w:color="auto"/>
              <w:right w:val="single" w:sz="6" w:space="0" w:color="000000"/>
            </w:tcBorders>
          </w:tcPr>
          <w:p w14:paraId="41B170C7" w14:textId="286845ED" w:rsidR="00810BB2" w:rsidRDefault="00502701" w:rsidP="00810BB2">
            <w:pPr>
              <w:pStyle w:val="naisc"/>
              <w:spacing w:before="0" w:after="0"/>
            </w:pPr>
            <w:r>
              <w:lastRenderedPageBreak/>
              <w:t>2</w:t>
            </w:r>
            <w:r w:rsidR="00B368A0">
              <w:t>9</w:t>
            </w:r>
            <w:r>
              <w:t>.</w:t>
            </w:r>
          </w:p>
        </w:tc>
        <w:tc>
          <w:tcPr>
            <w:tcW w:w="1552" w:type="dxa"/>
            <w:tcBorders>
              <w:left w:val="single" w:sz="6" w:space="0" w:color="000000"/>
              <w:bottom w:val="single" w:sz="4" w:space="0" w:color="auto"/>
              <w:right w:val="single" w:sz="6" w:space="0" w:color="000000"/>
            </w:tcBorders>
          </w:tcPr>
          <w:p w14:paraId="4F405144" w14:textId="77777777" w:rsidR="00810BB2" w:rsidRPr="00B20FCA" w:rsidRDefault="00810BB2" w:rsidP="00810BB2">
            <w:pPr>
              <w:pStyle w:val="naisc"/>
              <w:spacing w:before="0" w:after="0"/>
              <w:jc w:val="both"/>
            </w:pPr>
          </w:p>
        </w:tc>
        <w:tc>
          <w:tcPr>
            <w:tcW w:w="7230" w:type="dxa"/>
            <w:gridSpan w:val="2"/>
            <w:tcBorders>
              <w:left w:val="single" w:sz="6" w:space="0" w:color="000000"/>
              <w:bottom w:val="single" w:sz="4" w:space="0" w:color="auto"/>
              <w:right w:val="single" w:sz="6" w:space="0" w:color="000000"/>
            </w:tcBorders>
          </w:tcPr>
          <w:p w14:paraId="717A88C6" w14:textId="1CE2C429" w:rsidR="00810BB2" w:rsidRPr="00D32A7B" w:rsidRDefault="00810BB2" w:rsidP="00810BB2">
            <w:pPr>
              <w:widowControl w:val="0"/>
              <w:tabs>
                <w:tab w:val="left" w:pos="993"/>
              </w:tabs>
              <w:suppressAutoHyphens/>
              <w:contextualSpacing/>
              <w:jc w:val="both"/>
              <w:outlineLvl w:val="0"/>
              <w:rPr>
                <w:rFonts w:eastAsia="Calibri"/>
                <w:lang w:eastAsia="en-US"/>
              </w:rPr>
            </w:pPr>
            <w:r>
              <w:rPr>
                <w:rFonts w:eastAsia="Calibri"/>
                <w:lang w:eastAsia="en-US"/>
              </w:rPr>
              <w:t>2.</w:t>
            </w:r>
            <w:r w:rsidRPr="00D32A7B">
              <w:rPr>
                <w:rFonts w:eastAsia="Calibri"/>
                <w:lang w:eastAsia="en-US"/>
              </w:rPr>
              <w:t xml:space="preserve">Ņemot vērā, ka radītā regulējuma ietekmi aprēķina, salīdzinot to ar līdzšinējo regulējumu, lūdzam papildināt anotācijas II. sadaļas 2. punktu ar precīzu prasību uzskaitījumu, kas fiziskām un juridiskām personām, kuras sniedz baseinu un pirts pakalpojumus, rodas līdz ar šī projekta stāšanos spēkā, resp. tās prasības, kas nebija ietvertas Ministru kabineta 2009. gada 13. janvāra noteikumos Nr. 37 “Higiēnas prasības publiskas lietošanas peldbaseiniem“  un Ministru kabineta 2000.gada 19.decembra noteikumos Nr. 439 “Higiēnas prasības publiskas lietošanas pirtīm“ (piemēram, obligātie </w:t>
            </w:r>
            <w:proofErr w:type="spellStart"/>
            <w:r w:rsidRPr="00D32A7B">
              <w:rPr>
                <w:rFonts w:eastAsia="Calibri"/>
                <w:lang w:eastAsia="en-US"/>
              </w:rPr>
              <w:t>legionelozes</w:t>
            </w:r>
            <w:proofErr w:type="spellEnd"/>
            <w:r w:rsidRPr="00D32A7B">
              <w:rPr>
                <w:rFonts w:eastAsia="Calibri"/>
                <w:lang w:eastAsia="en-US"/>
              </w:rPr>
              <w:t xml:space="preserve"> profilakses darbi). Tāpat, būtu nepieciešams minēt arī tās prasības, kuras līdz ar jauno regulējumu tiks atceltas.</w:t>
            </w:r>
          </w:p>
        </w:tc>
        <w:tc>
          <w:tcPr>
            <w:tcW w:w="2693" w:type="dxa"/>
            <w:tcBorders>
              <w:left w:val="single" w:sz="6" w:space="0" w:color="000000"/>
              <w:bottom w:val="single" w:sz="4" w:space="0" w:color="auto"/>
              <w:right w:val="single" w:sz="6" w:space="0" w:color="000000"/>
            </w:tcBorders>
          </w:tcPr>
          <w:p w14:paraId="04DE036D" w14:textId="33A5754E" w:rsidR="00810BB2" w:rsidRPr="00D32A7B" w:rsidRDefault="00810BB2" w:rsidP="00810BB2">
            <w:pPr>
              <w:pStyle w:val="naisc"/>
              <w:spacing w:before="0" w:after="0"/>
              <w:jc w:val="both"/>
              <w:rPr>
                <w:b/>
              </w:rPr>
            </w:pPr>
            <w:r w:rsidRPr="00276D29">
              <w:rPr>
                <w:b/>
              </w:rPr>
              <w:t>Ņemts vērā</w:t>
            </w:r>
          </w:p>
        </w:tc>
        <w:tc>
          <w:tcPr>
            <w:tcW w:w="1701" w:type="dxa"/>
            <w:tcBorders>
              <w:top w:val="single" w:sz="4" w:space="0" w:color="auto"/>
              <w:left w:val="single" w:sz="4" w:space="0" w:color="auto"/>
              <w:bottom w:val="single" w:sz="4" w:space="0" w:color="auto"/>
            </w:tcBorders>
          </w:tcPr>
          <w:p w14:paraId="54362ADD" w14:textId="01BCC1FE" w:rsidR="00810BB2" w:rsidRPr="00B20FCA" w:rsidRDefault="00810BB2" w:rsidP="00810BB2">
            <w:pPr>
              <w:jc w:val="both"/>
            </w:pPr>
            <w:r w:rsidRPr="00276D29">
              <w:t>Precizēta anotācija</w:t>
            </w:r>
          </w:p>
        </w:tc>
      </w:tr>
      <w:tr w:rsidR="00810BB2" w:rsidRPr="00226440" w14:paraId="1A875683" w14:textId="77777777" w:rsidTr="00B368A0">
        <w:tc>
          <w:tcPr>
            <w:tcW w:w="708" w:type="dxa"/>
            <w:tcBorders>
              <w:left w:val="single" w:sz="6" w:space="0" w:color="000000"/>
              <w:bottom w:val="single" w:sz="4" w:space="0" w:color="auto"/>
              <w:right w:val="single" w:sz="6" w:space="0" w:color="000000"/>
            </w:tcBorders>
          </w:tcPr>
          <w:p w14:paraId="31DE5AEF" w14:textId="5056CDEB" w:rsidR="00810BB2" w:rsidRDefault="00B368A0" w:rsidP="00810BB2">
            <w:pPr>
              <w:pStyle w:val="naisc"/>
              <w:spacing w:before="0" w:after="0"/>
            </w:pPr>
            <w:r>
              <w:t>30</w:t>
            </w:r>
            <w:r w:rsidR="00DA0B9C">
              <w:t>.</w:t>
            </w:r>
          </w:p>
        </w:tc>
        <w:tc>
          <w:tcPr>
            <w:tcW w:w="1552" w:type="dxa"/>
            <w:tcBorders>
              <w:left w:val="single" w:sz="6" w:space="0" w:color="000000"/>
              <w:bottom w:val="single" w:sz="4" w:space="0" w:color="auto"/>
              <w:right w:val="single" w:sz="6" w:space="0" w:color="000000"/>
            </w:tcBorders>
          </w:tcPr>
          <w:p w14:paraId="3A534B35" w14:textId="77777777" w:rsidR="00810BB2" w:rsidRPr="00B20FCA" w:rsidRDefault="00810BB2" w:rsidP="00810BB2">
            <w:pPr>
              <w:pStyle w:val="naisc"/>
              <w:spacing w:before="0" w:after="0"/>
              <w:jc w:val="both"/>
            </w:pPr>
          </w:p>
        </w:tc>
        <w:tc>
          <w:tcPr>
            <w:tcW w:w="7230" w:type="dxa"/>
            <w:gridSpan w:val="2"/>
            <w:tcBorders>
              <w:left w:val="single" w:sz="6" w:space="0" w:color="000000"/>
              <w:bottom w:val="single" w:sz="4" w:space="0" w:color="auto"/>
              <w:right w:val="single" w:sz="6" w:space="0" w:color="000000"/>
            </w:tcBorders>
          </w:tcPr>
          <w:p w14:paraId="5BE80309" w14:textId="153E9FF2" w:rsidR="00810BB2" w:rsidRPr="00D32A7B" w:rsidRDefault="00810BB2" w:rsidP="00810BB2">
            <w:pPr>
              <w:widowControl w:val="0"/>
              <w:tabs>
                <w:tab w:val="left" w:pos="993"/>
              </w:tabs>
              <w:suppressAutoHyphens/>
              <w:contextualSpacing/>
              <w:jc w:val="both"/>
              <w:outlineLvl w:val="0"/>
              <w:rPr>
                <w:rFonts w:eastAsia="Calibri"/>
                <w:lang w:eastAsia="en-US"/>
              </w:rPr>
            </w:pPr>
            <w:r>
              <w:rPr>
                <w:rFonts w:eastAsia="Calibri"/>
                <w:lang w:eastAsia="en-US"/>
              </w:rPr>
              <w:t>3.</w:t>
            </w:r>
            <w:r w:rsidRPr="00D32A7B">
              <w:rPr>
                <w:rFonts w:eastAsia="Calibri"/>
                <w:lang w:eastAsia="en-US"/>
              </w:rPr>
              <w:t xml:space="preserve">Ierosinām izvērtēt anotācijas II. sadaļas 4. punktā sniegto atbilstības izmaksu aprēķinu, ņemot vērā, ka paškontroles prasības bija paredzētas arī līdzšinējā regulējumā. </w:t>
            </w:r>
          </w:p>
          <w:p w14:paraId="2878F590" w14:textId="74469569" w:rsidR="00810BB2" w:rsidRPr="00D32A7B" w:rsidRDefault="00810BB2" w:rsidP="00810BB2">
            <w:pPr>
              <w:widowControl w:val="0"/>
              <w:tabs>
                <w:tab w:val="left" w:pos="993"/>
              </w:tabs>
              <w:suppressAutoHyphens/>
              <w:ind w:left="720"/>
              <w:contextualSpacing/>
              <w:jc w:val="both"/>
              <w:outlineLvl w:val="0"/>
              <w:rPr>
                <w:rFonts w:eastAsia="Calibri"/>
                <w:lang w:eastAsia="en-US"/>
              </w:rPr>
            </w:pPr>
          </w:p>
        </w:tc>
        <w:tc>
          <w:tcPr>
            <w:tcW w:w="2693" w:type="dxa"/>
            <w:tcBorders>
              <w:left w:val="single" w:sz="6" w:space="0" w:color="000000"/>
              <w:bottom w:val="single" w:sz="4" w:space="0" w:color="auto"/>
              <w:right w:val="single" w:sz="6" w:space="0" w:color="000000"/>
            </w:tcBorders>
          </w:tcPr>
          <w:p w14:paraId="43716FD3" w14:textId="5D72C0A4" w:rsidR="00810BB2" w:rsidRPr="00D32A7B" w:rsidRDefault="00810BB2" w:rsidP="00810BB2">
            <w:pPr>
              <w:pStyle w:val="naisc"/>
              <w:spacing w:before="0" w:after="0"/>
              <w:jc w:val="both"/>
              <w:rPr>
                <w:b/>
              </w:rPr>
            </w:pPr>
            <w:r w:rsidRPr="00276D29">
              <w:rPr>
                <w:b/>
              </w:rPr>
              <w:lastRenderedPageBreak/>
              <w:t>Ņemts vērā</w:t>
            </w:r>
          </w:p>
        </w:tc>
        <w:tc>
          <w:tcPr>
            <w:tcW w:w="1701" w:type="dxa"/>
            <w:tcBorders>
              <w:top w:val="single" w:sz="4" w:space="0" w:color="auto"/>
              <w:left w:val="single" w:sz="4" w:space="0" w:color="auto"/>
              <w:bottom w:val="single" w:sz="4" w:space="0" w:color="auto"/>
            </w:tcBorders>
          </w:tcPr>
          <w:p w14:paraId="71DBDBAC" w14:textId="28FBA3D5" w:rsidR="00810BB2" w:rsidRPr="00B20FCA" w:rsidRDefault="00810BB2" w:rsidP="00810BB2">
            <w:pPr>
              <w:jc w:val="both"/>
            </w:pPr>
            <w:r w:rsidRPr="00276D29">
              <w:t>Precizēta anotācija</w:t>
            </w:r>
          </w:p>
        </w:tc>
      </w:tr>
      <w:tr w:rsidR="00FC2777" w:rsidRPr="00226440" w14:paraId="60656DAE" w14:textId="77777777" w:rsidTr="00B368A0">
        <w:tc>
          <w:tcPr>
            <w:tcW w:w="708" w:type="dxa"/>
            <w:tcBorders>
              <w:left w:val="single" w:sz="6" w:space="0" w:color="000000"/>
              <w:bottom w:val="single" w:sz="4" w:space="0" w:color="auto"/>
              <w:right w:val="single" w:sz="6" w:space="0" w:color="000000"/>
            </w:tcBorders>
          </w:tcPr>
          <w:p w14:paraId="5B8DD7CE" w14:textId="3B714134" w:rsidR="00FC2777" w:rsidRDefault="00DA0B9C" w:rsidP="00810BB2">
            <w:pPr>
              <w:pStyle w:val="naisc"/>
              <w:spacing w:before="0" w:after="0"/>
            </w:pPr>
            <w:r>
              <w:t>3</w:t>
            </w:r>
            <w:r w:rsidR="00B368A0">
              <w:t>1</w:t>
            </w:r>
            <w:r>
              <w:t>.</w:t>
            </w:r>
          </w:p>
        </w:tc>
        <w:tc>
          <w:tcPr>
            <w:tcW w:w="1552" w:type="dxa"/>
            <w:tcBorders>
              <w:left w:val="single" w:sz="6" w:space="0" w:color="000000"/>
              <w:bottom w:val="single" w:sz="4" w:space="0" w:color="auto"/>
              <w:right w:val="single" w:sz="6" w:space="0" w:color="000000"/>
            </w:tcBorders>
          </w:tcPr>
          <w:p w14:paraId="6B9CDE9D" w14:textId="77777777" w:rsidR="00FC2777" w:rsidRPr="00B20FCA" w:rsidRDefault="00FC2777" w:rsidP="00810BB2">
            <w:pPr>
              <w:pStyle w:val="naisc"/>
              <w:spacing w:before="0" w:after="0"/>
              <w:jc w:val="both"/>
            </w:pPr>
          </w:p>
        </w:tc>
        <w:tc>
          <w:tcPr>
            <w:tcW w:w="7230" w:type="dxa"/>
            <w:gridSpan w:val="2"/>
            <w:tcBorders>
              <w:left w:val="single" w:sz="6" w:space="0" w:color="000000"/>
              <w:bottom w:val="single" w:sz="4" w:space="0" w:color="auto"/>
              <w:right w:val="single" w:sz="6" w:space="0" w:color="000000"/>
            </w:tcBorders>
          </w:tcPr>
          <w:p w14:paraId="7A6A2151" w14:textId="64E77B55" w:rsidR="00DA0B9C" w:rsidRDefault="00DA0B9C" w:rsidP="00810BB2">
            <w:pPr>
              <w:widowControl w:val="0"/>
              <w:tabs>
                <w:tab w:val="left" w:pos="993"/>
              </w:tabs>
              <w:suppressAutoHyphens/>
              <w:contextualSpacing/>
              <w:jc w:val="both"/>
              <w:outlineLvl w:val="0"/>
              <w:rPr>
                <w:rFonts w:eastAsia="Calibri"/>
                <w:lang w:eastAsia="en-US"/>
              </w:rPr>
            </w:pPr>
            <w:r w:rsidRPr="00DA0B9C">
              <w:rPr>
                <w:rFonts w:eastAsia="Calibri"/>
                <w:lang w:eastAsia="en-US"/>
              </w:rPr>
              <w:t xml:space="preserve">Atkārtotajā elektroniskajā saskaņošanā 12.06.2020. izteiktais iebildums </w:t>
            </w:r>
          </w:p>
          <w:p w14:paraId="0ECA2E17" w14:textId="4B042E1E" w:rsidR="00DA0B9C" w:rsidRDefault="00DA0B9C" w:rsidP="00810BB2">
            <w:pPr>
              <w:widowControl w:val="0"/>
              <w:tabs>
                <w:tab w:val="left" w:pos="993"/>
              </w:tabs>
              <w:suppressAutoHyphens/>
              <w:contextualSpacing/>
              <w:jc w:val="both"/>
              <w:outlineLvl w:val="0"/>
              <w:rPr>
                <w:rFonts w:eastAsia="Calibri"/>
                <w:lang w:eastAsia="en-US"/>
              </w:rPr>
            </w:pPr>
            <w:r w:rsidRPr="00DA0B9C">
              <w:rPr>
                <w:rFonts w:eastAsia="Calibri"/>
                <w:lang w:eastAsia="en-US"/>
              </w:rPr>
              <w:t>2. Aicinām precizēt anotācijas II sadaļas 4.punktā aprakstu mainīgajiem rādītājiem pie izmaksu aprēķinu formulām, lai nodrošinātu skaidru katra rādītāja nozīmi;</w:t>
            </w:r>
          </w:p>
          <w:p w14:paraId="7C1512A2" w14:textId="10A46BD9" w:rsidR="00DA0B9C" w:rsidRDefault="00DA0B9C" w:rsidP="00810BB2">
            <w:pPr>
              <w:widowControl w:val="0"/>
              <w:tabs>
                <w:tab w:val="left" w:pos="993"/>
              </w:tabs>
              <w:suppressAutoHyphens/>
              <w:contextualSpacing/>
              <w:jc w:val="both"/>
              <w:outlineLvl w:val="0"/>
              <w:rPr>
                <w:rFonts w:eastAsia="Calibri"/>
                <w:lang w:eastAsia="en-US"/>
              </w:rPr>
            </w:pPr>
          </w:p>
        </w:tc>
        <w:tc>
          <w:tcPr>
            <w:tcW w:w="2693" w:type="dxa"/>
            <w:tcBorders>
              <w:left w:val="single" w:sz="6" w:space="0" w:color="000000"/>
              <w:bottom w:val="single" w:sz="4" w:space="0" w:color="auto"/>
              <w:right w:val="single" w:sz="6" w:space="0" w:color="000000"/>
            </w:tcBorders>
          </w:tcPr>
          <w:p w14:paraId="4F78DCBE" w14:textId="0E5A3CDE" w:rsidR="00FC2777" w:rsidRPr="00276D29" w:rsidRDefault="00DA0B9C" w:rsidP="00810BB2">
            <w:pPr>
              <w:pStyle w:val="naisc"/>
              <w:spacing w:before="0" w:after="0"/>
              <w:jc w:val="both"/>
              <w:rPr>
                <w:b/>
              </w:rPr>
            </w:pPr>
            <w:r w:rsidRPr="00DA0B9C">
              <w:rPr>
                <w:b/>
              </w:rPr>
              <w:t>Ņemts vērā</w:t>
            </w:r>
          </w:p>
        </w:tc>
        <w:tc>
          <w:tcPr>
            <w:tcW w:w="1701" w:type="dxa"/>
            <w:tcBorders>
              <w:top w:val="single" w:sz="4" w:space="0" w:color="auto"/>
              <w:left w:val="single" w:sz="4" w:space="0" w:color="auto"/>
              <w:bottom w:val="single" w:sz="4" w:space="0" w:color="auto"/>
            </w:tcBorders>
          </w:tcPr>
          <w:p w14:paraId="6AB943A8" w14:textId="666C993A" w:rsidR="00FC2777" w:rsidRPr="00276D29" w:rsidRDefault="00DA0B9C" w:rsidP="00810BB2">
            <w:pPr>
              <w:jc w:val="both"/>
            </w:pPr>
            <w:r w:rsidRPr="00DA0B9C">
              <w:t>Precizēta anotācija</w:t>
            </w:r>
          </w:p>
        </w:tc>
      </w:tr>
      <w:tr w:rsidR="00DA0B9C" w:rsidRPr="00226440" w14:paraId="0F5D9505" w14:textId="77777777" w:rsidTr="00B368A0">
        <w:tc>
          <w:tcPr>
            <w:tcW w:w="708" w:type="dxa"/>
            <w:tcBorders>
              <w:left w:val="single" w:sz="6" w:space="0" w:color="000000"/>
              <w:bottom w:val="single" w:sz="4" w:space="0" w:color="auto"/>
              <w:right w:val="single" w:sz="6" w:space="0" w:color="000000"/>
            </w:tcBorders>
          </w:tcPr>
          <w:p w14:paraId="0C7AFE1F" w14:textId="47AA8E78" w:rsidR="00DA0B9C" w:rsidRDefault="00DA0B9C" w:rsidP="00810BB2">
            <w:pPr>
              <w:pStyle w:val="naisc"/>
              <w:spacing w:before="0" w:after="0"/>
            </w:pPr>
            <w:r>
              <w:t>3</w:t>
            </w:r>
            <w:r w:rsidR="00B368A0">
              <w:t>2</w:t>
            </w:r>
            <w:r>
              <w:t>.</w:t>
            </w:r>
          </w:p>
        </w:tc>
        <w:tc>
          <w:tcPr>
            <w:tcW w:w="1552" w:type="dxa"/>
            <w:tcBorders>
              <w:left w:val="single" w:sz="6" w:space="0" w:color="000000"/>
              <w:bottom w:val="single" w:sz="4" w:space="0" w:color="auto"/>
              <w:right w:val="single" w:sz="6" w:space="0" w:color="000000"/>
            </w:tcBorders>
          </w:tcPr>
          <w:p w14:paraId="6573A7E0" w14:textId="77777777" w:rsidR="00DA0B9C" w:rsidRPr="00B20FCA" w:rsidRDefault="00DA0B9C" w:rsidP="00810BB2">
            <w:pPr>
              <w:pStyle w:val="naisc"/>
              <w:spacing w:before="0" w:after="0"/>
              <w:jc w:val="both"/>
            </w:pPr>
          </w:p>
        </w:tc>
        <w:tc>
          <w:tcPr>
            <w:tcW w:w="7230" w:type="dxa"/>
            <w:gridSpan w:val="2"/>
            <w:tcBorders>
              <w:left w:val="single" w:sz="6" w:space="0" w:color="000000"/>
              <w:bottom w:val="single" w:sz="4" w:space="0" w:color="auto"/>
              <w:right w:val="single" w:sz="6" w:space="0" w:color="000000"/>
            </w:tcBorders>
          </w:tcPr>
          <w:p w14:paraId="72974D56" w14:textId="1D52AD6C" w:rsidR="00DA0B9C" w:rsidRDefault="00DA0B9C" w:rsidP="00810BB2">
            <w:pPr>
              <w:widowControl w:val="0"/>
              <w:tabs>
                <w:tab w:val="left" w:pos="993"/>
              </w:tabs>
              <w:suppressAutoHyphens/>
              <w:contextualSpacing/>
              <w:jc w:val="both"/>
              <w:outlineLvl w:val="0"/>
              <w:rPr>
                <w:rFonts w:eastAsia="Calibri"/>
                <w:lang w:eastAsia="en-US"/>
              </w:rPr>
            </w:pPr>
            <w:r w:rsidRPr="00DA0B9C">
              <w:rPr>
                <w:rFonts w:eastAsia="Calibri"/>
                <w:lang w:eastAsia="en-US"/>
              </w:rPr>
              <w:t>Atkārtotajā elektroniskajā saskaņošanā 12.06.2020. izteiktais iebildums</w:t>
            </w:r>
          </w:p>
          <w:p w14:paraId="6A3ADA67" w14:textId="77777777" w:rsidR="00DA0B9C" w:rsidRDefault="00DA0B9C" w:rsidP="00810BB2">
            <w:pPr>
              <w:widowControl w:val="0"/>
              <w:tabs>
                <w:tab w:val="left" w:pos="993"/>
              </w:tabs>
              <w:suppressAutoHyphens/>
              <w:contextualSpacing/>
              <w:jc w:val="both"/>
              <w:outlineLvl w:val="0"/>
              <w:rPr>
                <w:rFonts w:eastAsia="Calibri"/>
                <w:lang w:eastAsia="en-US"/>
              </w:rPr>
            </w:pPr>
          </w:p>
          <w:p w14:paraId="20FC3A8E" w14:textId="317ED840" w:rsidR="00DA0B9C" w:rsidRDefault="00DA0B9C" w:rsidP="00810BB2">
            <w:pPr>
              <w:widowControl w:val="0"/>
              <w:tabs>
                <w:tab w:val="left" w:pos="993"/>
              </w:tabs>
              <w:suppressAutoHyphens/>
              <w:contextualSpacing/>
              <w:jc w:val="both"/>
              <w:outlineLvl w:val="0"/>
              <w:rPr>
                <w:rFonts w:eastAsia="Calibri"/>
                <w:lang w:eastAsia="en-US"/>
              </w:rPr>
            </w:pPr>
            <w:r w:rsidRPr="00DA0B9C">
              <w:rPr>
                <w:rFonts w:eastAsia="Calibri"/>
                <w:lang w:eastAsia="en-US"/>
              </w:rPr>
              <w:t xml:space="preserve">3. anotācijas II sadaļas 4.punktā tiek minēts, ka "Saskaņā ar Valsts ieņēmumu dienesta informāciju par vidējām stundas tarifa likmēm uz 17.04.2018, vidējā stundas tarifa likme valstī </w:t>
            </w:r>
            <w:proofErr w:type="spellStart"/>
            <w:r w:rsidRPr="00DA0B9C">
              <w:rPr>
                <w:rFonts w:eastAsia="Calibri"/>
                <w:lang w:eastAsia="en-US"/>
              </w:rPr>
              <w:t>skaistumkopšanas</w:t>
            </w:r>
            <w:proofErr w:type="spellEnd"/>
            <w:r w:rsidRPr="00DA0B9C">
              <w:rPr>
                <w:rFonts w:eastAsia="Calibri"/>
                <w:lang w:eastAsia="en-US"/>
              </w:rPr>
              <w:t xml:space="preserve"> jomas tai radniecīgu profesiju darbiniekiem ir 4,15 EUR". Ņemot vērā, ka pašlaik ir 2020.g. vidus, līdz ar to, aicinām rast iespēju izmatot aktuālākos datus aprēķiniem. Vienlaikus lūdzam paskaidrot, kas ir domāts ar "Papildu izmaksām" tajā pašā anotācijas punktā.</w:t>
            </w:r>
          </w:p>
        </w:tc>
        <w:tc>
          <w:tcPr>
            <w:tcW w:w="2693" w:type="dxa"/>
            <w:tcBorders>
              <w:left w:val="single" w:sz="6" w:space="0" w:color="000000"/>
              <w:bottom w:val="single" w:sz="4" w:space="0" w:color="auto"/>
              <w:right w:val="single" w:sz="6" w:space="0" w:color="000000"/>
            </w:tcBorders>
          </w:tcPr>
          <w:p w14:paraId="075F2EEF" w14:textId="77C4CE3F" w:rsidR="00DA0B9C" w:rsidRPr="00276D29" w:rsidRDefault="00DA0B9C" w:rsidP="00810BB2">
            <w:pPr>
              <w:pStyle w:val="naisc"/>
              <w:spacing w:before="0" w:after="0"/>
              <w:jc w:val="both"/>
              <w:rPr>
                <w:b/>
              </w:rPr>
            </w:pPr>
            <w:r w:rsidRPr="00DA0B9C">
              <w:rPr>
                <w:b/>
              </w:rPr>
              <w:t>Ņemts vērā</w:t>
            </w:r>
          </w:p>
        </w:tc>
        <w:tc>
          <w:tcPr>
            <w:tcW w:w="1701" w:type="dxa"/>
            <w:tcBorders>
              <w:top w:val="single" w:sz="4" w:space="0" w:color="auto"/>
              <w:left w:val="single" w:sz="4" w:space="0" w:color="auto"/>
              <w:bottom w:val="single" w:sz="4" w:space="0" w:color="auto"/>
            </w:tcBorders>
          </w:tcPr>
          <w:p w14:paraId="69983607" w14:textId="70004A6C" w:rsidR="00DA0B9C" w:rsidRPr="00276D29" w:rsidRDefault="00DA0B9C" w:rsidP="00810BB2">
            <w:pPr>
              <w:jc w:val="both"/>
            </w:pPr>
            <w:r w:rsidRPr="00DA0B9C">
              <w:t>Precizēta anotācija</w:t>
            </w:r>
          </w:p>
        </w:tc>
      </w:tr>
      <w:tr w:rsidR="00810BB2" w:rsidRPr="00226440" w14:paraId="32316994" w14:textId="77777777" w:rsidTr="00B368A0">
        <w:tblPrEx>
          <w:tblBorders>
            <w:top w:val="none" w:sz="0" w:space="0" w:color="auto"/>
            <w:left w:val="none" w:sz="0" w:space="0" w:color="auto"/>
            <w:bottom w:val="none" w:sz="0" w:space="0" w:color="auto"/>
            <w:right w:val="none" w:sz="0" w:space="0" w:color="auto"/>
          </w:tblBorders>
        </w:tblPrEx>
        <w:trPr>
          <w:gridAfter w:val="3"/>
          <w:wAfter w:w="4596" w:type="dxa"/>
        </w:trPr>
        <w:tc>
          <w:tcPr>
            <w:tcW w:w="2260" w:type="dxa"/>
            <w:gridSpan w:val="2"/>
          </w:tcPr>
          <w:p w14:paraId="4C79164A" w14:textId="77777777" w:rsidR="00810BB2" w:rsidRPr="00226440" w:rsidRDefault="00810BB2" w:rsidP="00810BB2">
            <w:pPr>
              <w:pStyle w:val="naiskr"/>
              <w:spacing w:before="0" w:after="0"/>
            </w:pPr>
          </w:p>
          <w:p w14:paraId="2B77C1C1" w14:textId="61B088B3" w:rsidR="00810BB2" w:rsidRPr="00226440" w:rsidRDefault="00810BB2" w:rsidP="00810BB2">
            <w:pPr>
              <w:pStyle w:val="naiskr"/>
              <w:spacing w:before="0" w:after="0"/>
            </w:pPr>
            <w:r w:rsidRPr="00226440">
              <w:t>Atbildīgā amatpersona</w:t>
            </w:r>
          </w:p>
        </w:tc>
        <w:tc>
          <w:tcPr>
            <w:tcW w:w="7028" w:type="dxa"/>
          </w:tcPr>
          <w:p w14:paraId="05FB7FE7" w14:textId="77777777" w:rsidR="00810BB2" w:rsidRPr="00226440" w:rsidRDefault="00810BB2" w:rsidP="00810BB2">
            <w:pPr>
              <w:pStyle w:val="naiskr"/>
              <w:spacing w:before="0" w:after="0"/>
              <w:ind w:firstLine="720"/>
              <w:jc w:val="center"/>
            </w:pPr>
          </w:p>
          <w:p w14:paraId="2C50C8BB" w14:textId="365F1DEF" w:rsidR="00810BB2" w:rsidRPr="00226440" w:rsidRDefault="00810BB2" w:rsidP="00810BB2">
            <w:pPr>
              <w:pStyle w:val="naiskr"/>
              <w:spacing w:before="0" w:after="0"/>
              <w:ind w:firstLine="720"/>
              <w:jc w:val="center"/>
            </w:pPr>
            <w:r w:rsidRPr="00226440">
              <w:t>Anita Segliņa</w:t>
            </w:r>
          </w:p>
        </w:tc>
      </w:tr>
      <w:tr w:rsidR="00810BB2" w:rsidRPr="00226440" w14:paraId="024750C2" w14:textId="77777777" w:rsidTr="00B368A0">
        <w:tblPrEx>
          <w:tblBorders>
            <w:top w:val="none" w:sz="0" w:space="0" w:color="auto"/>
            <w:left w:val="none" w:sz="0" w:space="0" w:color="auto"/>
            <w:bottom w:val="none" w:sz="0" w:space="0" w:color="auto"/>
            <w:right w:val="none" w:sz="0" w:space="0" w:color="auto"/>
          </w:tblBorders>
        </w:tblPrEx>
        <w:trPr>
          <w:gridAfter w:val="3"/>
          <w:wAfter w:w="4596" w:type="dxa"/>
        </w:trPr>
        <w:tc>
          <w:tcPr>
            <w:tcW w:w="2260" w:type="dxa"/>
            <w:gridSpan w:val="2"/>
          </w:tcPr>
          <w:p w14:paraId="2CAC1CB9" w14:textId="3384DF4A" w:rsidR="00810BB2" w:rsidRPr="00226440" w:rsidRDefault="00810BB2" w:rsidP="00810BB2">
            <w:pPr>
              <w:pStyle w:val="naiskr"/>
              <w:spacing w:before="0" w:after="0"/>
              <w:ind w:firstLine="720"/>
            </w:pPr>
          </w:p>
        </w:tc>
        <w:tc>
          <w:tcPr>
            <w:tcW w:w="7028" w:type="dxa"/>
            <w:tcBorders>
              <w:top w:val="single" w:sz="6" w:space="0" w:color="000000"/>
            </w:tcBorders>
          </w:tcPr>
          <w:p w14:paraId="61D6A365" w14:textId="77777777" w:rsidR="00810BB2" w:rsidRPr="00226440" w:rsidRDefault="00810BB2" w:rsidP="00810BB2">
            <w:pPr>
              <w:pStyle w:val="naisc"/>
              <w:spacing w:before="0" w:after="0"/>
              <w:ind w:firstLine="720"/>
            </w:pPr>
            <w:r w:rsidRPr="00226440">
              <w:t>(paraksts*)</w:t>
            </w:r>
          </w:p>
        </w:tc>
      </w:tr>
    </w:tbl>
    <w:p w14:paraId="4A84BC04" w14:textId="1F933605" w:rsidR="003B71E0" w:rsidRPr="00226440" w:rsidRDefault="003B71E0" w:rsidP="001B4A86">
      <w:pPr>
        <w:pStyle w:val="naisf"/>
        <w:spacing w:before="0" w:after="0"/>
        <w:ind w:firstLine="0"/>
      </w:pPr>
    </w:p>
    <w:p w14:paraId="4DFF92AB" w14:textId="09EBF9E2" w:rsidR="00C75083" w:rsidRPr="00226440" w:rsidRDefault="009206FA" w:rsidP="00C0397B">
      <w:pPr>
        <w:pStyle w:val="naisf"/>
        <w:spacing w:before="0" w:after="0"/>
        <w:ind w:firstLine="720"/>
      </w:pPr>
      <w:r w:rsidRPr="00226440">
        <w:t>Piezīme.</w:t>
      </w:r>
      <w:r w:rsidR="00767BF3" w:rsidRPr="00226440">
        <w:t> </w:t>
      </w:r>
      <w:r w:rsidR="00FB6C91" w:rsidRPr="00226440">
        <w:t>*</w:t>
      </w:r>
      <w:r w:rsidR="00767BF3" w:rsidRPr="00226440">
        <w:t> </w:t>
      </w:r>
      <w:r w:rsidR="00317DC7" w:rsidRPr="00226440">
        <w:t xml:space="preserve">Dokumenta rekvizītu </w:t>
      </w:r>
      <w:r w:rsidR="00364BB6" w:rsidRPr="00226440">
        <w:t>"</w:t>
      </w:r>
      <w:r w:rsidR="0018210A" w:rsidRPr="00226440">
        <w:t>p</w:t>
      </w:r>
      <w:r w:rsidR="00317DC7" w:rsidRPr="00226440">
        <w:t>araksts</w:t>
      </w:r>
      <w:r w:rsidR="00364BB6" w:rsidRPr="00226440">
        <w:t>"</w:t>
      </w:r>
      <w:r w:rsidR="00317DC7" w:rsidRPr="00226440">
        <w:t xml:space="preserve"> neaizpilda, ja elektroniskais dokuments ir </w:t>
      </w:r>
      <w:r w:rsidRPr="00226440">
        <w:t>sagatavots</w:t>
      </w:r>
      <w:r w:rsidR="00317DC7" w:rsidRPr="00226440">
        <w:t xml:space="preserve"> atbilstoši </w:t>
      </w:r>
      <w:r w:rsidRPr="00226440">
        <w:t xml:space="preserve">normatīvajiem aktiem par </w:t>
      </w:r>
      <w:r w:rsidR="00317DC7" w:rsidRPr="00226440">
        <w:t>elektronisko dokumentu noformēšan</w:t>
      </w:r>
      <w:r w:rsidRPr="00226440">
        <w:t>u.</w:t>
      </w:r>
    </w:p>
    <w:tbl>
      <w:tblPr>
        <w:tblW w:w="0" w:type="auto"/>
        <w:tblLook w:val="00A0" w:firstRow="1" w:lastRow="0" w:firstColumn="1" w:lastColumn="0" w:noHBand="0" w:noVBand="0"/>
      </w:tblPr>
      <w:tblGrid>
        <w:gridCol w:w="8268"/>
      </w:tblGrid>
      <w:tr w:rsidR="005E280D" w:rsidRPr="00226440" w14:paraId="09615CDC" w14:textId="77777777">
        <w:tc>
          <w:tcPr>
            <w:tcW w:w="8268" w:type="dxa"/>
            <w:tcBorders>
              <w:top w:val="single" w:sz="4" w:space="0" w:color="000000"/>
            </w:tcBorders>
          </w:tcPr>
          <w:p w14:paraId="60AA8947" w14:textId="77777777" w:rsidR="008655A2" w:rsidRPr="00226440" w:rsidRDefault="009206FA" w:rsidP="00184479">
            <w:pPr>
              <w:jc w:val="center"/>
            </w:pPr>
            <w:r w:rsidRPr="00226440">
              <w:t xml:space="preserve"> </w:t>
            </w:r>
            <w:r w:rsidR="00184479" w:rsidRPr="00226440">
              <w:t>(</w:t>
            </w:r>
            <w:r w:rsidRPr="00226440">
              <w:t xml:space="preserve">par projektu atbildīgās amatpersonas </w:t>
            </w:r>
            <w:r w:rsidR="00184479" w:rsidRPr="00226440">
              <w:t xml:space="preserve">vārds un </w:t>
            </w:r>
            <w:r w:rsidRPr="00226440">
              <w:t>uzvārds</w:t>
            </w:r>
            <w:r w:rsidR="00184479" w:rsidRPr="00226440">
              <w:t>)</w:t>
            </w:r>
          </w:p>
        </w:tc>
      </w:tr>
      <w:tr w:rsidR="005E280D" w:rsidRPr="00226440" w14:paraId="26863DCE" w14:textId="77777777">
        <w:tc>
          <w:tcPr>
            <w:tcW w:w="8268" w:type="dxa"/>
            <w:tcBorders>
              <w:bottom w:val="single" w:sz="4" w:space="0" w:color="000000"/>
            </w:tcBorders>
          </w:tcPr>
          <w:p w14:paraId="77342542" w14:textId="40FF381C" w:rsidR="008655A2" w:rsidRPr="00226440" w:rsidRDefault="00D44751" w:rsidP="00E43375">
            <w:pPr>
              <w:jc w:val="center"/>
            </w:pPr>
            <w:r w:rsidRPr="00226440">
              <w:t>Anita Segliņa</w:t>
            </w:r>
          </w:p>
        </w:tc>
      </w:tr>
      <w:tr w:rsidR="005E280D" w:rsidRPr="00226440" w14:paraId="4FB435F9" w14:textId="77777777">
        <w:tc>
          <w:tcPr>
            <w:tcW w:w="8268" w:type="dxa"/>
            <w:tcBorders>
              <w:top w:val="single" w:sz="4" w:space="0" w:color="000000"/>
            </w:tcBorders>
          </w:tcPr>
          <w:p w14:paraId="06FDBFD0" w14:textId="77777777" w:rsidR="008655A2" w:rsidRPr="00226440" w:rsidRDefault="009206FA" w:rsidP="00184479">
            <w:pPr>
              <w:jc w:val="center"/>
            </w:pPr>
            <w:r w:rsidRPr="00226440">
              <w:t>(amats)</w:t>
            </w:r>
          </w:p>
        </w:tc>
      </w:tr>
      <w:tr w:rsidR="005E280D" w:rsidRPr="00226440" w14:paraId="1C4B3055" w14:textId="77777777">
        <w:tc>
          <w:tcPr>
            <w:tcW w:w="8268" w:type="dxa"/>
            <w:tcBorders>
              <w:bottom w:val="single" w:sz="4" w:space="0" w:color="000000"/>
            </w:tcBorders>
          </w:tcPr>
          <w:p w14:paraId="4F878020" w14:textId="2CB19DE1" w:rsidR="008655A2" w:rsidRPr="00226440" w:rsidRDefault="009206FA" w:rsidP="00E43375">
            <w:pPr>
              <w:jc w:val="center"/>
            </w:pPr>
            <w:r w:rsidRPr="00226440">
              <w:t xml:space="preserve">Sabiedrības veselības departamenta Vides veselības nodaļas vecākā </w:t>
            </w:r>
            <w:r w:rsidR="004B36B7" w:rsidRPr="00226440">
              <w:t xml:space="preserve">eksperte </w:t>
            </w:r>
          </w:p>
        </w:tc>
      </w:tr>
      <w:tr w:rsidR="005E280D" w:rsidRPr="00226440" w14:paraId="4428CC74" w14:textId="77777777">
        <w:tc>
          <w:tcPr>
            <w:tcW w:w="8268" w:type="dxa"/>
            <w:tcBorders>
              <w:top w:val="single" w:sz="4" w:space="0" w:color="000000"/>
            </w:tcBorders>
          </w:tcPr>
          <w:p w14:paraId="0B89E527" w14:textId="77777777" w:rsidR="008655A2" w:rsidRPr="00226440" w:rsidRDefault="009206FA" w:rsidP="00184479">
            <w:pPr>
              <w:jc w:val="center"/>
            </w:pPr>
            <w:r w:rsidRPr="00226440">
              <w:t>(tālruņa un faksa numurs)</w:t>
            </w:r>
          </w:p>
        </w:tc>
      </w:tr>
      <w:tr w:rsidR="005E280D" w:rsidRPr="00226440" w14:paraId="493AC25B" w14:textId="77777777" w:rsidTr="00E43375">
        <w:tc>
          <w:tcPr>
            <w:tcW w:w="8268" w:type="dxa"/>
            <w:tcBorders>
              <w:bottom w:val="single" w:sz="4" w:space="0" w:color="000000"/>
            </w:tcBorders>
          </w:tcPr>
          <w:p w14:paraId="6C385C53" w14:textId="0DC393CC" w:rsidR="008655A2" w:rsidRPr="00226440" w:rsidRDefault="009206FA" w:rsidP="00E43375">
            <w:pPr>
              <w:jc w:val="center"/>
            </w:pPr>
            <w:r w:rsidRPr="00226440">
              <w:t>tālr. nr.: 67876</w:t>
            </w:r>
            <w:r w:rsidR="00FC5ED8" w:rsidRPr="00226440">
              <w:t>102</w:t>
            </w:r>
            <w:r w:rsidRPr="00226440">
              <w:t xml:space="preserve"> </w:t>
            </w:r>
          </w:p>
        </w:tc>
      </w:tr>
      <w:tr w:rsidR="005E280D" w:rsidRPr="00226440" w14:paraId="7F2E3742" w14:textId="77777777" w:rsidTr="00E43375">
        <w:tc>
          <w:tcPr>
            <w:tcW w:w="8268" w:type="dxa"/>
            <w:tcBorders>
              <w:top w:val="single" w:sz="4" w:space="0" w:color="000000"/>
            </w:tcBorders>
          </w:tcPr>
          <w:p w14:paraId="6E3EED9B" w14:textId="77777777" w:rsidR="008655A2" w:rsidRPr="00226440" w:rsidRDefault="009206FA" w:rsidP="00184479">
            <w:pPr>
              <w:jc w:val="center"/>
            </w:pPr>
            <w:r w:rsidRPr="00226440">
              <w:t>(e-pasta adrese)</w:t>
            </w:r>
          </w:p>
        </w:tc>
        <w:bookmarkStart w:id="27" w:name="_GoBack"/>
        <w:bookmarkEnd w:id="27"/>
      </w:tr>
      <w:tr w:rsidR="005E280D" w:rsidRPr="00226440" w14:paraId="2095084C" w14:textId="77777777" w:rsidTr="00E43375">
        <w:tc>
          <w:tcPr>
            <w:tcW w:w="8268" w:type="dxa"/>
            <w:tcBorders>
              <w:bottom w:val="single" w:sz="4" w:space="0" w:color="auto"/>
            </w:tcBorders>
          </w:tcPr>
          <w:p w14:paraId="68946935" w14:textId="2C15DDA3" w:rsidR="00E43375" w:rsidRPr="00226440" w:rsidRDefault="00390F34" w:rsidP="00184479">
            <w:pPr>
              <w:jc w:val="center"/>
            </w:pPr>
            <w:r w:rsidRPr="00226440">
              <w:t>anita.seglina</w:t>
            </w:r>
            <w:r w:rsidR="009206FA" w:rsidRPr="00226440">
              <w:t>@vm.gov.lv</w:t>
            </w:r>
          </w:p>
        </w:tc>
      </w:tr>
    </w:tbl>
    <w:p w14:paraId="2B0AEB2B" w14:textId="77777777" w:rsidR="007116C7" w:rsidRPr="00226440" w:rsidRDefault="007116C7" w:rsidP="00F475D7">
      <w:pPr>
        <w:pStyle w:val="naisf"/>
        <w:spacing w:before="0" w:after="0"/>
        <w:ind w:firstLine="0"/>
        <w:jc w:val="left"/>
      </w:pPr>
    </w:p>
    <w:sectPr w:rsidR="007116C7" w:rsidRPr="00226440" w:rsidSect="00BA514F">
      <w:headerReference w:type="even" r:id="rId12"/>
      <w:headerReference w:type="default" r:id="rId13"/>
      <w:footerReference w:type="default" r:id="rId14"/>
      <w:footerReference w:type="first" r:id="rId15"/>
      <w:pgSz w:w="16838" w:h="11906" w:orient="landscape" w:code="9"/>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317CD" w14:textId="77777777" w:rsidR="00806AB9" w:rsidRDefault="00806AB9">
      <w:r>
        <w:separator/>
      </w:r>
    </w:p>
  </w:endnote>
  <w:endnote w:type="continuationSeparator" w:id="0">
    <w:p w14:paraId="7E6ED702" w14:textId="77777777" w:rsidR="00806AB9" w:rsidRDefault="008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9AA3" w14:textId="6EE18448" w:rsidR="0005373B" w:rsidRPr="00810BB2" w:rsidRDefault="00810BB2" w:rsidP="00810BB2">
    <w:pPr>
      <w:pStyle w:val="Footer"/>
    </w:pPr>
    <w:r w:rsidRPr="00810BB2">
      <w:rPr>
        <w:sz w:val="20"/>
        <w:szCs w:val="20"/>
      </w:rPr>
      <w:t>VMizz_</w:t>
    </w:r>
    <w:r w:rsidR="00102A6B">
      <w:rPr>
        <w:sz w:val="20"/>
        <w:szCs w:val="20"/>
      </w:rPr>
      <w:t>18</w:t>
    </w:r>
    <w:r w:rsidR="00502701">
      <w:rPr>
        <w:sz w:val="20"/>
        <w:szCs w:val="20"/>
      </w:rPr>
      <w:t>06</w:t>
    </w:r>
    <w:r w:rsidRPr="00810BB2">
      <w:rPr>
        <w:sz w:val="20"/>
        <w:szCs w:val="20"/>
      </w:rPr>
      <w:t>20_peld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B19B8" w14:textId="56FFE63B" w:rsidR="00B20FCA" w:rsidRPr="00B20FCA" w:rsidRDefault="00B20FCA" w:rsidP="00B20FCA">
    <w:pPr>
      <w:pStyle w:val="Footer"/>
      <w:rPr>
        <w:sz w:val="20"/>
        <w:szCs w:val="20"/>
      </w:rPr>
    </w:pPr>
    <w:bookmarkStart w:id="28" w:name="_Hlk34059142"/>
    <w:r w:rsidRPr="00B20FCA">
      <w:rPr>
        <w:sz w:val="20"/>
        <w:szCs w:val="20"/>
      </w:rPr>
      <w:t>VMizz_</w:t>
    </w:r>
    <w:r w:rsidR="00102A6B">
      <w:rPr>
        <w:sz w:val="20"/>
        <w:szCs w:val="20"/>
      </w:rPr>
      <w:t>18</w:t>
    </w:r>
    <w:r w:rsidR="00502701">
      <w:rPr>
        <w:sz w:val="20"/>
        <w:szCs w:val="20"/>
      </w:rPr>
      <w:t>06</w:t>
    </w:r>
    <w:r w:rsidR="00810BB2">
      <w:rPr>
        <w:sz w:val="20"/>
        <w:szCs w:val="20"/>
      </w:rPr>
      <w:t>20</w:t>
    </w:r>
    <w:r w:rsidRPr="00B20FCA">
      <w:rPr>
        <w:sz w:val="20"/>
        <w:szCs w:val="20"/>
      </w:rPr>
      <w:t>_</w:t>
    </w:r>
    <w:r w:rsidR="00810BB2">
      <w:rPr>
        <w:sz w:val="20"/>
        <w:szCs w:val="20"/>
      </w:rPr>
      <w:t>peld</w:t>
    </w:r>
    <w:bookmarkEnd w:id="28"/>
  </w:p>
  <w:p w14:paraId="2F5F4288" w14:textId="1B45B69B" w:rsidR="0005373B" w:rsidRPr="00B20FCA" w:rsidRDefault="0005373B" w:rsidP="00B20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AF21C" w14:textId="77777777" w:rsidR="00806AB9" w:rsidRDefault="00806AB9">
      <w:r>
        <w:separator/>
      </w:r>
    </w:p>
  </w:footnote>
  <w:footnote w:type="continuationSeparator" w:id="0">
    <w:p w14:paraId="0C59107D" w14:textId="77777777" w:rsidR="00806AB9" w:rsidRDefault="00806AB9">
      <w:r>
        <w:continuationSeparator/>
      </w:r>
    </w:p>
  </w:footnote>
  <w:footnote w:id="1">
    <w:p w14:paraId="1D186B98" w14:textId="77777777" w:rsidR="00996787" w:rsidRPr="00091B12" w:rsidRDefault="00996787" w:rsidP="00996787">
      <w:pPr>
        <w:pStyle w:val="FootnoteText"/>
      </w:pPr>
      <w:r w:rsidRPr="00091B12">
        <w:rPr>
          <w:rStyle w:val="FootnoteReference"/>
        </w:rPr>
        <w:footnoteRef/>
      </w:r>
      <w:r w:rsidRPr="00091B12">
        <w:t xml:space="preserve"> Juridiski terminoloģiskā skaidrojošā vārdnīca, sastādījis V. Jakubaņecs. Rīga: P&amp;K, 2005, 338. lpp.</w:t>
      </w:r>
    </w:p>
  </w:footnote>
  <w:footnote w:id="2">
    <w:p w14:paraId="13BC6C28" w14:textId="77777777" w:rsidR="004517FF" w:rsidRPr="00091B12" w:rsidRDefault="004517FF" w:rsidP="004517FF">
      <w:pPr>
        <w:pStyle w:val="FootnoteText"/>
      </w:pPr>
      <w:r w:rsidRPr="00091B12">
        <w:rPr>
          <w:rStyle w:val="FootnoteReference"/>
        </w:rPr>
        <w:footnoteRef/>
      </w:r>
      <w:r w:rsidRPr="00091B12">
        <w:t xml:space="preserve"> </w:t>
      </w:r>
      <w:r w:rsidRPr="00996787">
        <w:rPr>
          <w:color w:val="000000"/>
        </w:rPr>
        <w:t>Satversmes tiesas 2011. gada 11. janvāra sprieduma lietā Nr. </w:t>
      </w:r>
      <w:r w:rsidRPr="00091B12">
        <w:t>2010-40-03</w:t>
      </w:r>
      <w:r>
        <w:t xml:space="preserve"> </w:t>
      </w:r>
      <w:r w:rsidRPr="00996787">
        <w:rPr>
          <w:color w:val="000000"/>
        </w:rPr>
        <w:t>9.1. apakš</w:t>
      </w:r>
      <w:r w:rsidRPr="00091B12">
        <w:t>punkts.</w:t>
      </w:r>
    </w:p>
  </w:footnote>
  <w:footnote w:id="3">
    <w:p w14:paraId="592EC6D7" w14:textId="77777777" w:rsidR="00810BB2" w:rsidRDefault="00810BB2" w:rsidP="004517FF">
      <w:pPr>
        <w:pStyle w:val="FootnoteText"/>
      </w:pPr>
      <w:r>
        <w:rPr>
          <w:rStyle w:val="FootnoteReference"/>
        </w:rPr>
        <w:footnoteRef/>
      </w:r>
      <w:r>
        <w:t xml:space="preserve"> </w:t>
      </w:r>
      <w:r w:rsidRPr="00996787">
        <w:rPr>
          <w:rFonts w:eastAsia="Calibri"/>
          <w:szCs w:val="24"/>
        </w:rPr>
        <w:t>Satversmes tiesas 2012. gada 1. novembra sprieduma lietā Nr. 2012-06-01 secinājumu daļas 7.2. apakšpunkts.</w:t>
      </w:r>
    </w:p>
  </w:footnote>
  <w:footnote w:id="4">
    <w:p w14:paraId="2454CF22" w14:textId="77777777" w:rsidR="00810BB2" w:rsidRDefault="00810BB2" w:rsidP="00481B7A">
      <w:pPr>
        <w:pStyle w:val="FootnoteText"/>
      </w:pPr>
      <w:r>
        <w:rPr>
          <w:rStyle w:val="FootnoteReference"/>
        </w:rPr>
        <w:footnoteRef/>
      </w:r>
      <w:r>
        <w:t xml:space="preserve"> skat. prasību </w:t>
      </w:r>
      <w:r>
        <w:rPr>
          <w:szCs w:val="24"/>
        </w:rPr>
        <w:t>MK noteikumu Nr. 970 14. punktā.</w:t>
      </w:r>
    </w:p>
  </w:footnote>
  <w:footnote w:id="5">
    <w:p w14:paraId="649B0DBC" w14:textId="77777777" w:rsidR="00810BB2" w:rsidRDefault="00810BB2" w:rsidP="00481B7A">
      <w:pPr>
        <w:pStyle w:val="FootnoteText"/>
      </w:pPr>
      <w:r>
        <w:rPr>
          <w:rStyle w:val="FootnoteReference"/>
        </w:rPr>
        <w:footnoteRef/>
      </w:r>
      <w:r>
        <w:t xml:space="preserve"> skat. prasību MK instrukcijas Nr. 19 61.3. apakšpunktā</w:t>
      </w:r>
      <w:r>
        <w:rPr>
          <w:szCs w:val="24"/>
        </w:rPr>
        <w:t>.</w:t>
      </w:r>
    </w:p>
  </w:footnote>
  <w:footnote w:id="6">
    <w:p w14:paraId="2B6AE2F4" w14:textId="77777777" w:rsidR="00810BB2" w:rsidRDefault="00810BB2" w:rsidP="00481B7A">
      <w:pPr>
        <w:pStyle w:val="FootnoteText"/>
      </w:pPr>
      <w:r>
        <w:rPr>
          <w:rStyle w:val="FootnoteReference"/>
        </w:rPr>
        <w:footnoteRef/>
      </w:r>
      <w:r>
        <w:t xml:space="preserve"> skat. prasības MK instrukcijas Nr. 19 62.2. un 62.3. apakšpunktā</w:t>
      </w:r>
      <w:r>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551" w14:textId="77777777" w:rsidR="0005373B" w:rsidRDefault="009206F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B1425" w14:textId="77777777" w:rsidR="0005373B" w:rsidRDefault="00053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2C56" w14:textId="0235D589" w:rsidR="0005373B" w:rsidRDefault="009206F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7A2B">
      <w:rPr>
        <w:rStyle w:val="PageNumber"/>
        <w:noProof/>
      </w:rPr>
      <w:t>6</w:t>
    </w:r>
    <w:r>
      <w:rPr>
        <w:rStyle w:val="PageNumber"/>
      </w:rPr>
      <w:fldChar w:fldCharType="end"/>
    </w:r>
  </w:p>
  <w:p w14:paraId="3750CE23" w14:textId="77777777" w:rsidR="0005373B" w:rsidRDefault="00053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72263"/>
    <w:multiLevelType w:val="hybridMultilevel"/>
    <w:tmpl w:val="E31C37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EC83C71"/>
    <w:multiLevelType w:val="hybridMultilevel"/>
    <w:tmpl w:val="36EA0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8F8"/>
    <w:rsid w:val="00001298"/>
    <w:rsid w:val="00001F89"/>
    <w:rsid w:val="000027D0"/>
    <w:rsid w:val="00003C53"/>
    <w:rsid w:val="0000456E"/>
    <w:rsid w:val="000055EA"/>
    <w:rsid w:val="000058C1"/>
    <w:rsid w:val="00006BF1"/>
    <w:rsid w:val="000071FC"/>
    <w:rsid w:val="0001118D"/>
    <w:rsid w:val="000111C3"/>
    <w:rsid w:val="0001131F"/>
    <w:rsid w:val="00011663"/>
    <w:rsid w:val="00012472"/>
    <w:rsid w:val="0001249F"/>
    <w:rsid w:val="000125C0"/>
    <w:rsid w:val="0001270C"/>
    <w:rsid w:val="000136AA"/>
    <w:rsid w:val="00013B4C"/>
    <w:rsid w:val="00013BF6"/>
    <w:rsid w:val="00014872"/>
    <w:rsid w:val="0001554C"/>
    <w:rsid w:val="00015B94"/>
    <w:rsid w:val="00015C84"/>
    <w:rsid w:val="00015DE5"/>
    <w:rsid w:val="000172E2"/>
    <w:rsid w:val="00017449"/>
    <w:rsid w:val="00020249"/>
    <w:rsid w:val="00021B6B"/>
    <w:rsid w:val="00022338"/>
    <w:rsid w:val="0002296A"/>
    <w:rsid w:val="00022B0F"/>
    <w:rsid w:val="00022B9A"/>
    <w:rsid w:val="00022F0E"/>
    <w:rsid w:val="00023FD6"/>
    <w:rsid w:val="0002416A"/>
    <w:rsid w:val="000247DD"/>
    <w:rsid w:val="00024CCD"/>
    <w:rsid w:val="00024D20"/>
    <w:rsid w:val="000253DB"/>
    <w:rsid w:val="000261CC"/>
    <w:rsid w:val="00026587"/>
    <w:rsid w:val="000278E7"/>
    <w:rsid w:val="00027A63"/>
    <w:rsid w:val="00027F9D"/>
    <w:rsid w:val="000307B5"/>
    <w:rsid w:val="00032457"/>
    <w:rsid w:val="0003413A"/>
    <w:rsid w:val="000349CA"/>
    <w:rsid w:val="0003557A"/>
    <w:rsid w:val="00035670"/>
    <w:rsid w:val="00035C06"/>
    <w:rsid w:val="000366DF"/>
    <w:rsid w:val="000376CD"/>
    <w:rsid w:val="0004095F"/>
    <w:rsid w:val="00040A5C"/>
    <w:rsid w:val="00041F6C"/>
    <w:rsid w:val="00042822"/>
    <w:rsid w:val="00043005"/>
    <w:rsid w:val="0004345F"/>
    <w:rsid w:val="000435DA"/>
    <w:rsid w:val="00044026"/>
    <w:rsid w:val="0004506B"/>
    <w:rsid w:val="00045BE5"/>
    <w:rsid w:val="00046075"/>
    <w:rsid w:val="00046CAD"/>
    <w:rsid w:val="00046F5C"/>
    <w:rsid w:val="00047385"/>
    <w:rsid w:val="00050554"/>
    <w:rsid w:val="00050934"/>
    <w:rsid w:val="00051475"/>
    <w:rsid w:val="000518A5"/>
    <w:rsid w:val="00053706"/>
    <w:rsid w:val="0005373B"/>
    <w:rsid w:val="00053745"/>
    <w:rsid w:val="00053E04"/>
    <w:rsid w:val="00054D52"/>
    <w:rsid w:val="000566B5"/>
    <w:rsid w:val="000579E6"/>
    <w:rsid w:val="00060E03"/>
    <w:rsid w:val="0006175F"/>
    <w:rsid w:val="00061FAB"/>
    <w:rsid w:val="000641CE"/>
    <w:rsid w:val="00065271"/>
    <w:rsid w:val="000652E4"/>
    <w:rsid w:val="000653AC"/>
    <w:rsid w:val="0006570A"/>
    <w:rsid w:val="00065B34"/>
    <w:rsid w:val="00066176"/>
    <w:rsid w:val="0006618D"/>
    <w:rsid w:val="00066885"/>
    <w:rsid w:val="0006694E"/>
    <w:rsid w:val="00066A37"/>
    <w:rsid w:val="00066F05"/>
    <w:rsid w:val="00067BA9"/>
    <w:rsid w:val="000700C5"/>
    <w:rsid w:val="00072301"/>
    <w:rsid w:val="00072628"/>
    <w:rsid w:val="000728ED"/>
    <w:rsid w:val="000733F5"/>
    <w:rsid w:val="000733FF"/>
    <w:rsid w:val="00074945"/>
    <w:rsid w:val="000755DE"/>
    <w:rsid w:val="0007577A"/>
    <w:rsid w:val="000775D0"/>
    <w:rsid w:val="00081B0F"/>
    <w:rsid w:val="0008283D"/>
    <w:rsid w:val="00083090"/>
    <w:rsid w:val="00083214"/>
    <w:rsid w:val="00083B8F"/>
    <w:rsid w:val="00084026"/>
    <w:rsid w:val="00084240"/>
    <w:rsid w:val="00084272"/>
    <w:rsid w:val="00084B11"/>
    <w:rsid w:val="00085322"/>
    <w:rsid w:val="00085E75"/>
    <w:rsid w:val="0008656F"/>
    <w:rsid w:val="00086AB9"/>
    <w:rsid w:val="00086BCE"/>
    <w:rsid w:val="00086F36"/>
    <w:rsid w:val="00090168"/>
    <w:rsid w:val="00090936"/>
    <w:rsid w:val="00090C76"/>
    <w:rsid w:val="00091033"/>
    <w:rsid w:val="000910C7"/>
    <w:rsid w:val="000912B1"/>
    <w:rsid w:val="00091F10"/>
    <w:rsid w:val="0009302B"/>
    <w:rsid w:val="00093EC2"/>
    <w:rsid w:val="00094BC9"/>
    <w:rsid w:val="000958A2"/>
    <w:rsid w:val="000958D4"/>
    <w:rsid w:val="00095EF2"/>
    <w:rsid w:val="000965E7"/>
    <w:rsid w:val="00097065"/>
    <w:rsid w:val="00097315"/>
    <w:rsid w:val="000A0041"/>
    <w:rsid w:val="000A05C8"/>
    <w:rsid w:val="000A06FC"/>
    <w:rsid w:val="000A14FA"/>
    <w:rsid w:val="000A1A02"/>
    <w:rsid w:val="000A3BF8"/>
    <w:rsid w:val="000A4035"/>
    <w:rsid w:val="000A483A"/>
    <w:rsid w:val="000A5239"/>
    <w:rsid w:val="000A55D2"/>
    <w:rsid w:val="000A64D3"/>
    <w:rsid w:val="000A705C"/>
    <w:rsid w:val="000A77B9"/>
    <w:rsid w:val="000A7EA7"/>
    <w:rsid w:val="000B0403"/>
    <w:rsid w:val="000B057B"/>
    <w:rsid w:val="000B06E7"/>
    <w:rsid w:val="000B0C94"/>
    <w:rsid w:val="000B15E5"/>
    <w:rsid w:val="000B1AFA"/>
    <w:rsid w:val="000B2382"/>
    <w:rsid w:val="000B23B3"/>
    <w:rsid w:val="000B2E06"/>
    <w:rsid w:val="000B3171"/>
    <w:rsid w:val="000B33C5"/>
    <w:rsid w:val="000B34A5"/>
    <w:rsid w:val="000B427A"/>
    <w:rsid w:val="000B4746"/>
    <w:rsid w:val="000B5C0E"/>
    <w:rsid w:val="000B5CB3"/>
    <w:rsid w:val="000B6B38"/>
    <w:rsid w:val="000B6C8F"/>
    <w:rsid w:val="000B6DCF"/>
    <w:rsid w:val="000B7966"/>
    <w:rsid w:val="000B7CB1"/>
    <w:rsid w:val="000C07B1"/>
    <w:rsid w:val="000C0AE6"/>
    <w:rsid w:val="000C0D0D"/>
    <w:rsid w:val="000C2555"/>
    <w:rsid w:val="000C3545"/>
    <w:rsid w:val="000C3E32"/>
    <w:rsid w:val="000C498A"/>
    <w:rsid w:val="000C4C16"/>
    <w:rsid w:val="000C52D8"/>
    <w:rsid w:val="000C56FC"/>
    <w:rsid w:val="000C7907"/>
    <w:rsid w:val="000C7A11"/>
    <w:rsid w:val="000C7F5E"/>
    <w:rsid w:val="000D00AC"/>
    <w:rsid w:val="000D0AED"/>
    <w:rsid w:val="000D0BD6"/>
    <w:rsid w:val="000D1DF7"/>
    <w:rsid w:val="000D3602"/>
    <w:rsid w:val="000D4539"/>
    <w:rsid w:val="000D4D89"/>
    <w:rsid w:val="000D5AC9"/>
    <w:rsid w:val="000D5B9C"/>
    <w:rsid w:val="000D669A"/>
    <w:rsid w:val="000D6BBD"/>
    <w:rsid w:val="000D7751"/>
    <w:rsid w:val="000D799D"/>
    <w:rsid w:val="000D7C23"/>
    <w:rsid w:val="000E0A16"/>
    <w:rsid w:val="000E0B2D"/>
    <w:rsid w:val="000E0B87"/>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B00"/>
    <w:rsid w:val="000F5C37"/>
    <w:rsid w:val="000F5DF0"/>
    <w:rsid w:val="000F6A0B"/>
    <w:rsid w:val="000F741D"/>
    <w:rsid w:val="000F7695"/>
    <w:rsid w:val="000F7BD3"/>
    <w:rsid w:val="00101171"/>
    <w:rsid w:val="001012E3"/>
    <w:rsid w:val="00101EEB"/>
    <w:rsid w:val="00102A6B"/>
    <w:rsid w:val="0010375A"/>
    <w:rsid w:val="001038ED"/>
    <w:rsid w:val="001042B0"/>
    <w:rsid w:val="00104530"/>
    <w:rsid w:val="001049D7"/>
    <w:rsid w:val="00105F27"/>
    <w:rsid w:val="00106F4F"/>
    <w:rsid w:val="001071D3"/>
    <w:rsid w:val="001075A8"/>
    <w:rsid w:val="001100AB"/>
    <w:rsid w:val="00110259"/>
    <w:rsid w:val="001109A3"/>
    <w:rsid w:val="00110AA9"/>
    <w:rsid w:val="001122A2"/>
    <w:rsid w:val="0011254D"/>
    <w:rsid w:val="0011326C"/>
    <w:rsid w:val="001139C2"/>
    <w:rsid w:val="00114559"/>
    <w:rsid w:val="0011493F"/>
    <w:rsid w:val="00114EA9"/>
    <w:rsid w:val="00115864"/>
    <w:rsid w:val="00115943"/>
    <w:rsid w:val="00115ED0"/>
    <w:rsid w:val="0011683C"/>
    <w:rsid w:val="00116B0F"/>
    <w:rsid w:val="001179E8"/>
    <w:rsid w:val="0012021B"/>
    <w:rsid w:val="00120A0C"/>
    <w:rsid w:val="00121C02"/>
    <w:rsid w:val="0012222D"/>
    <w:rsid w:val="0012416F"/>
    <w:rsid w:val="001255E6"/>
    <w:rsid w:val="00127789"/>
    <w:rsid w:val="001303BF"/>
    <w:rsid w:val="0013053A"/>
    <w:rsid w:val="0013066A"/>
    <w:rsid w:val="001309C6"/>
    <w:rsid w:val="001315EF"/>
    <w:rsid w:val="00131D66"/>
    <w:rsid w:val="00131F39"/>
    <w:rsid w:val="00132375"/>
    <w:rsid w:val="0013283E"/>
    <w:rsid w:val="00132CB1"/>
    <w:rsid w:val="00132E73"/>
    <w:rsid w:val="001330A3"/>
    <w:rsid w:val="00133505"/>
    <w:rsid w:val="001337F7"/>
    <w:rsid w:val="00134188"/>
    <w:rsid w:val="001346F3"/>
    <w:rsid w:val="001349CA"/>
    <w:rsid w:val="00135A88"/>
    <w:rsid w:val="00136242"/>
    <w:rsid w:val="00137403"/>
    <w:rsid w:val="00140706"/>
    <w:rsid w:val="0014122A"/>
    <w:rsid w:val="001412B3"/>
    <w:rsid w:val="00141AD2"/>
    <w:rsid w:val="00141E85"/>
    <w:rsid w:val="001429F1"/>
    <w:rsid w:val="0014319C"/>
    <w:rsid w:val="00143456"/>
    <w:rsid w:val="001436B3"/>
    <w:rsid w:val="00143976"/>
    <w:rsid w:val="00143DAC"/>
    <w:rsid w:val="00144622"/>
    <w:rsid w:val="00144781"/>
    <w:rsid w:val="00144917"/>
    <w:rsid w:val="0014702D"/>
    <w:rsid w:val="00147596"/>
    <w:rsid w:val="00150230"/>
    <w:rsid w:val="0015126E"/>
    <w:rsid w:val="001517EF"/>
    <w:rsid w:val="00152718"/>
    <w:rsid w:val="001530A1"/>
    <w:rsid w:val="001530CF"/>
    <w:rsid w:val="001534CC"/>
    <w:rsid w:val="00153F12"/>
    <w:rsid w:val="00154375"/>
    <w:rsid w:val="001543DB"/>
    <w:rsid w:val="001547CD"/>
    <w:rsid w:val="00154B89"/>
    <w:rsid w:val="00155473"/>
    <w:rsid w:val="00155DC2"/>
    <w:rsid w:val="00155E2F"/>
    <w:rsid w:val="00156D90"/>
    <w:rsid w:val="00156E9F"/>
    <w:rsid w:val="00157A57"/>
    <w:rsid w:val="00157DB6"/>
    <w:rsid w:val="00157EC2"/>
    <w:rsid w:val="00160FC7"/>
    <w:rsid w:val="00161802"/>
    <w:rsid w:val="00162A68"/>
    <w:rsid w:val="00162E08"/>
    <w:rsid w:val="001633F1"/>
    <w:rsid w:val="00163ADA"/>
    <w:rsid w:val="00163D32"/>
    <w:rsid w:val="0016531E"/>
    <w:rsid w:val="0016565C"/>
    <w:rsid w:val="00166314"/>
    <w:rsid w:val="00166746"/>
    <w:rsid w:val="00167590"/>
    <w:rsid w:val="00167918"/>
    <w:rsid w:val="00167C1E"/>
    <w:rsid w:val="0017043B"/>
    <w:rsid w:val="001706A1"/>
    <w:rsid w:val="00170914"/>
    <w:rsid w:val="001709C1"/>
    <w:rsid w:val="00170DF2"/>
    <w:rsid w:val="00173195"/>
    <w:rsid w:val="00174841"/>
    <w:rsid w:val="001761FD"/>
    <w:rsid w:val="00176DFE"/>
    <w:rsid w:val="00177D61"/>
    <w:rsid w:val="00180125"/>
    <w:rsid w:val="001808CA"/>
    <w:rsid w:val="00180901"/>
    <w:rsid w:val="00180923"/>
    <w:rsid w:val="00180CE5"/>
    <w:rsid w:val="00181BAA"/>
    <w:rsid w:val="00181D2D"/>
    <w:rsid w:val="0018210A"/>
    <w:rsid w:val="00182DE0"/>
    <w:rsid w:val="001834F9"/>
    <w:rsid w:val="0018386C"/>
    <w:rsid w:val="00184138"/>
    <w:rsid w:val="00184479"/>
    <w:rsid w:val="0018472C"/>
    <w:rsid w:val="00184838"/>
    <w:rsid w:val="00185755"/>
    <w:rsid w:val="00187398"/>
    <w:rsid w:val="00187F73"/>
    <w:rsid w:val="00187FB0"/>
    <w:rsid w:val="001902E9"/>
    <w:rsid w:val="00190327"/>
    <w:rsid w:val="0019076A"/>
    <w:rsid w:val="00190A0A"/>
    <w:rsid w:val="001916C8"/>
    <w:rsid w:val="001926F2"/>
    <w:rsid w:val="00193BCE"/>
    <w:rsid w:val="00194B87"/>
    <w:rsid w:val="0019569A"/>
    <w:rsid w:val="00195962"/>
    <w:rsid w:val="00195A86"/>
    <w:rsid w:val="00195FAC"/>
    <w:rsid w:val="00197533"/>
    <w:rsid w:val="001977E7"/>
    <w:rsid w:val="00197CCA"/>
    <w:rsid w:val="001A0D8A"/>
    <w:rsid w:val="001A10DF"/>
    <w:rsid w:val="001A192D"/>
    <w:rsid w:val="001A1E3F"/>
    <w:rsid w:val="001A45A1"/>
    <w:rsid w:val="001A67C1"/>
    <w:rsid w:val="001A7C72"/>
    <w:rsid w:val="001B084B"/>
    <w:rsid w:val="001B0CEC"/>
    <w:rsid w:val="001B0FFC"/>
    <w:rsid w:val="001B1CF2"/>
    <w:rsid w:val="001B1DE1"/>
    <w:rsid w:val="001B3C4E"/>
    <w:rsid w:val="001B4388"/>
    <w:rsid w:val="001B463E"/>
    <w:rsid w:val="001B49E0"/>
    <w:rsid w:val="001B4A86"/>
    <w:rsid w:val="001B4ABD"/>
    <w:rsid w:val="001B4F8D"/>
    <w:rsid w:val="001B5377"/>
    <w:rsid w:val="001B6553"/>
    <w:rsid w:val="001B6647"/>
    <w:rsid w:val="001B6A47"/>
    <w:rsid w:val="001B6B0A"/>
    <w:rsid w:val="001B6B9A"/>
    <w:rsid w:val="001B6C3C"/>
    <w:rsid w:val="001B7255"/>
    <w:rsid w:val="001B7550"/>
    <w:rsid w:val="001B7CC4"/>
    <w:rsid w:val="001C0824"/>
    <w:rsid w:val="001C0B83"/>
    <w:rsid w:val="001C0FB3"/>
    <w:rsid w:val="001C1510"/>
    <w:rsid w:val="001C1989"/>
    <w:rsid w:val="001C28FD"/>
    <w:rsid w:val="001C2D3C"/>
    <w:rsid w:val="001C3349"/>
    <w:rsid w:val="001C4ABA"/>
    <w:rsid w:val="001C546B"/>
    <w:rsid w:val="001C5EA2"/>
    <w:rsid w:val="001C6608"/>
    <w:rsid w:val="001C6C7D"/>
    <w:rsid w:val="001D1371"/>
    <w:rsid w:val="001D1CB1"/>
    <w:rsid w:val="001D2AC0"/>
    <w:rsid w:val="001D2DBA"/>
    <w:rsid w:val="001D2FD0"/>
    <w:rsid w:val="001D3830"/>
    <w:rsid w:val="001D3BA6"/>
    <w:rsid w:val="001D5564"/>
    <w:rsid w:val="001D6452"/>
    <w:rsid w:val="001D6820"/>
    <w:rsid w:val="001D6FAA"/>
    <w:rsid w:val="001D70FA"/>
    <w:rsid w:val="001D7BA9"/>
    <w:rsid w:val="001D7D31"/>
    <w:rsid w:val="001D7D82"/>
    <w:rsid w:val="001D7FCB"/>
    <w:rsid w:val="001E039D"/>
    <w:rsid w:val="001E1537"/>
    <w:rsid w:val="001E176D"/>
    <w:rsid w:val="001E22E7"/>
    <w:rsid w:val="001E2714"/>
    <w:rsid w:val="001E398C"/>
    <w:rsid w:val="001E4456"/>
    <w:rsid w:val="001E4DDC"/>
    <w:rsid w:val="001E774F"/>
    <w:rsid w:val="001E7C1D"/>
    <w:rsid w:val="001F073F"/>
    <w:rsid w:val="001F0B89"/>
    <w:rsid w:val="001F0CFE"/>
    <w:rsid w:val="001F1A15"/>
    <w:rsid w:val="001F1CBE"/>
    <w:rsid w:val="001F2014"/>
    <w:rsid w:val="001F3009"/>
    <w:rsid w:val="001F3358"/>
    <w:rsid w:val="001F35CB"/>
    <w:rsid w:val="001F390F"/>
    <w:rsid w:val="001F4564"/>
    <w:rsid w:val="001F5CD1"/>
    <w:rsid w:val="001F7257"/>
    <w:rsid w:val="001F755A"/>
    <w:rsid w:val="001F7739"/>
    <w:rsid w:val="0020011B"/>
    <w:rsid w:val="00200165"/>
    <w:rsid w:val="002005D2"/>
    <w:rsid w:val="0020187E"/>
    <w:rsid w:val="002019DC"/>
    <w:rsid w:val="00201DC6"/>
    <w:rsid w:val="00202375"/>
    <w:rsid w:val="002025EA"/>
    <w:rsid w:val="00202884"/>
    <w:rsid w:val="00202E44"/>
    <w:rsid w:val="002032A8"/>
    <w:rsid w:val="00203556"/>
    <w:rsid w:val="00203A34"/>
    <w:rsid w:val="00204D0F"/>
    <w:rsid w:val="00204DB6"/>
    <w:rsid w:val="002056ED"/>
    <w:rsid w:val="00205C3A"/>
    <w:rsid w:val="00206FFD"/>
    <w:rsid w:val="00207BD7"/>
    <w:rsid w:val="002114FE"/>
    <w:rsid w:val="002115BA"/>
    <w:rsid w:val="00211793"/>
    <w:rsid w:val="00211C11"/>
    <w:rsid w:val="00212345"/>
    <w:rsid w:val="00212AA7"/>
    <w:rsid w:val="00213C00"/>
    <w:rsid w:val="00214809"/>
    <w:rsid w:val="002149A1"/>
    <w:rsid w:val="002149B3"/>
    <w:rsid w:val="00214E7A"/>
    <w:rsid w:val="00215BFE"/>
    <w:rsid w:val="00215C44"/>
    <w:rsid w:val="00216A48"/>
    <w:rsid w:val="00216E73"/>
    <w:rsid w:val="0021774C"/>
    <w:rsid w:val="00217FF6"/>
    <w:rsid w:val="00221AEB"/>
    <w:rsid w:val="00222386"/>
    <w:rsid w:val="00222F51"/>
    <w:rsid w:val="00222FFE"/>
    <w:rsid w:val="002230E1"/>
    <w:rsid w:val="00223361"/>
    <w:rsid w:val="002244BA"/>
    <w:rsid w:val="002247AA"/>
    <w:rsid w:val="00224DA7"/>
    <w:rsid w:val="002261CB"/>
    <w:rsid w:val="00226440"/>
    <w:rsid w:val="002268BF"/>
    <w:rsid w:val="00227BDE"/>
    <w:rsid w:val="00230045"/>
    <w:rsid w:val="0023014E"/>
    <w:rsid w:val="002308FA"/>
    <w:rsid w:val="0023132F"/>
    <w:rsid w:val="00231AA5"/>
    <w:rsid w:val="0023260B"/>
    <w:rsid w:val="00232F90"/>
    <w:rsid w:val="0023339B"/>
    <w:rsid w:val="0023469C"/>
    <w:rsid w:val="00234C71"/>
    <w:rsid w:val="00235087"/>
    <w:rsid w:val="00235511"/>
    <w:rsid w:val="002366E0"/>
    <w:rsid w:val="00236DE1"/>
    <w:rsid w:val="002372EE"/>
    <w:rsid w:val="002372FD"/>
    <w:rsid w:val="0023764D"/>
    <w:rsid w:val="002415BC"/>
    <w:rsid w:val="00241873"/>
    <w:rsid w:val="00242B9C"/>
    <w:rsid w:val="002434B2"/>
    <w:rsid w:val="0024393A"/>
    <w:rsid w:val="002442F4"/>
    <w:rsid w:val="002445EA"/>
    <w:rsid w:val="00244ECE"/>
    <w:rsid w:val="00244FC5"/>
    <w:rsid w:val="00245D1D"/>
    <w:rsid w:val="00246FEC"/>
    <w:rsid w:val="00250EDA"/>
    <w:rsid w:val="00251502"/>
    <w:rsid w:val="002518E8"/>
    <w:rsid w:val="00251C10"/>
    <w:rsid w:val="00252A45"/>
    <w:rsid w:val="00252E1E"/>
    <w:rsid w:val="002538BA"/>
    <w:rsid w:val="0025469D"/>
    <w:rsid w:val="002550D5"/>
    <w:rsid w:val="002552B1"/>
    <w:rsid w:val="00255D01"/>
    <w:rsid w:val="0025611E"/>
    <w:rsid w:val="00256E55"/>
    <w:rsid w:val="00257E0E"/>
    <w:rsid w:val="00257FF4"/>
    <w:rsid w:val="00260FCB"/>
    <w:rsid w:val="002615F5"/>
    <w:rsid w:val="002616B9"/>
    <w:rsid w:val="0026217B"/>
    <w:rsid w:val="002629E4"/>
    <w:rsid w:val="00263FD6"/>
    <w:rsid w:val="00263FE3"/>
    <w:rsid w:val="0026405A"/>
    <w:rsid w:val="00264A91"/>
    <w:rsid w:val="00265593"/>
    <w:rsid w:val="002668CF"/>
    <w:rsid w:val="002675EA"/>
    <w:rsid w:val="00267BC5"/>
    <w:rsid w:val="00267CBE"/>
    <w:rsid w:val="00267DDE"/>
    <w:rsid w:val="00267E0B"/>
    <w:rsid w:val="00270680"/>
    <w:rsid w:val="00271103"/>
    <w:rsid w:val="002721FA"/>
    <w:rsid w:val="0027230C"/>
    <w:rsid w:val="0027253D"/>
    <w:rsid w:val="00272597"/>
    <w:rsid w:val="00272B99"/>
    <w:rsid w:val="0027380D"/>
    <w:rsid w:val="00274377"/>
    <w:rsid w:val="0027468E"/>
    <w:rsid w:val="00274826"/>
    <w:rsid w:val="00275005"/>
    <w:rsid w:val="0027526D"/>
    <w:rsid w:val="002752AB"/>
    <w:rsid w:val="002756D6"/>
    <w:rsid w:val="0027573C"/>
    <w:rsid w:val="002769B3"/>
    <w:rsid w:val="00276D29"/>
    <w:rsid w:val="00277437"/>
    <w:rsid w:val="002815D0"/>
    <w:rsid w:val="002820A7"/>
    <w:rsid w:val="00283B82"/>
    <w:rsid w:val="00283E13"/>
    <w:rsid w:val="00284E8E"/>
    <w:rsid w:val="00286478"/>
    <w:rsid w:val="0028719C"/>
    <w:rsid w:val="002879C9"/>
    <w:rsid w:val="00287EDD"/>
    <w:rsid w:val="0029141B"/>
    <w:rsid w:val="002927D3"/>
    <w:rsid w:val="00293056"/>
    <w:rsid w:val="00293F1D"/>
    <w:rsid w:val="00294BDE"/>
    <w:rsid w:val="00295DB6"/>
    <w:rsid w:val="00296A60"/>
    <w:rsid w:val="0029788B"/>
    <w:rsid w:val="00297D1B"/>
    <w:rsid w:val="00297F4D"/>
    <w:rsid w:val="002A0226"/>
    <w:rsid w:val="002A0661"/>
    <w:rsid w:val="002A0940"/>
    <w:rsid w:val="002A1CD3"/>
    <w:rsid w:val="002A1CF2"/>
    <w:rsid w:val="002A2ED0"/>
    <w:rsid w:val="002A3470"/>
    <w:rsid w:val="002A3A84"/>
    <w:rsid w:val="002A4C3E"/>
    <w:rsid w:val="002A56BC"/>
    <w:rsid w:val="002A5C53"/>
    <w:rsid w:val="002A63B0"/>
    <w:rsid w:val="002A6758"/>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788"/>
    <w:rsid w:val="002B3EA7"/>
    <w:rsid w:val="002B4BAE"/>
    <w:rsid w:val="002B538B"/>
    <w:rsid w:val="002B581B"/>
    <w:rsid w:val="002C2892"/>
    <w:rsid w:val="002C2912"/>
    <w:rsid w:val="002C58AB"/>
    <w:rsid w:val="002C6360"/>
    <w:rsid w:val="002C663D"/>
    <w:rsid w:val="002C66EF"/>
    <w:rsid w:val="002C6D84"/>
    <w:rsid w:val="002C7728"/>
    <w:rsid w:val="002C7D21"/>
    <w:rsid w:val="002D04F8"/>
    <w:rsid w:val="002D1564"/>
    <w:rsid w:val="002D1CA4"/>
    <w:rsid w:val="002D2C09"/>
    <w:rsid w:val="002D2C45"/>
    <w:rsid w:val="002D4969"/>
    <w:rsid w:val="002D4EE1"/>
    <w:rsid w:val="002D4F49"/>
    <w:rsid w:val="002D778E"/>
    <w:rsid w:val="002D7F19"/>
    <w:rsid w:val="002E04D7"/>
    <w:rsid w:val="002E06DD"/>
    <w:rsid w:val="002E09D9"/>
    <w:rsid w:val="002E171A"/>
    <w:rsid w:val="002E2A24"/>
    <w:rsid w:val="002E3D66"/>
    <w:rsid w:val="002E3F11"/>
    <w:rsid w:val="002E4B11"/>
    <w:rsid w:val="002E4F70"/>
    <w:rsid w:val="002E5886"/>
    <w:rsid w:val="002E5AD3"/>
    <w:rsid w:val="002E635D"/>
    <w:rsid w:val="002E7562"/>
    <w:rsid w:val="002E786F"/>
    <w:rsid w:val="002F071F"/>
    <w:rsid w:val="002F1310"/>
    <w:rsid w:val="002F16D5"/>
    <w:rsid w:val="002F1914"/>
    <w:rsid w:val="002F1A90"/>
    <w:rsid w:val="002F1C2F"/>
    <w:rsid w:val="002F2AAF"/>
    <w:rsid w:val="002F3D1C"/>
    <w:rsid w:val="002F4D70"/>
    <w:rsid w:val="002F4E4C"/>
    <w:rsid w:val="002F4EA1"/>
    <w:rsid w:val="002F52DE"/>
    <w:rsid w:val="002F55C1"/>
    <w:rsid w:val="002F797A"/>
    <w:rsid w:val="00300483"/>
    <w:rsid w:val="00301C91"/>
    <w:rsid w:val="00303F2B"/>
    <w:rsid w:val="003045A7"/>
    <w:rsid w:val="00304607"/>
    <w:rsid w:val="0030467A"/>
    <w:rsid w:val="00304C1F"/>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2D7"/>
    <w:rsid w:val="00312CD0"/>
    <w:rsid w:val="0031449F"/>
    <w:rsid w:val="003145A5"/>
    <w:rsid w:val="003148B9"/>
    <w:rsid w:val="00314A2E"/>
    <w:rsid w:val="00315266"/>
    <w:rsid w:val="003154A7"/>
    <w:rsid w:val="00316231"/>
    <w:rsid w:val="0031693B"/>
    <w:rsid w:val="003169CE"/>
    <w:rsid w:val="00316F0A"/>
    <w:rsid w:val="00317DC7"/>
    <w:rsid w:val="003200F9"/>
    <w:rsid w:val="00320F38"/>
    <w:rsid w:val="00321183"/>
    <w:rsid w:val="00321694"/>
    <w:rsid w:val="00321F0A"/>
    <w:rsid w:val="00322024"/>
    <w:rsid w:val="003223CE"/>
    <w:rsid w:val="00322A2D"/>
    <w:rsid w:val="00322E80"/>
    <w:rsid w:val="0032313A"/>
    <w:rsid w:val="00324D5B"/>
    <w:rsid w:val="00325045"/>
    <w:rsid w:val="00325D91"/>
    <w:rsid w:val="003267B4"/>
    <w:rsid w:val="0033032E"/>
    <w:rsid w:val="00331193"/>
    <w:rsid w:val="0033130E"/>
    <w:rsid w:val="00331DC4"/>
    <w:rsid w:val="003333D4"/>
    <w:rsid w:val="00334951"/>
    <w:rsid w:val="00336411"/>
    <w:rsid w:val="0033678D"/>
    <w:rsid w:val="0033720D"/>
    <w:rsid w:val="003373E8"/>
    <w:rsid w:val="00337B56"/>
    <w:rsid w:val="003403BA"/>
    <w:rsid w:val="003443DD"/>
    <w:rsid w:val="00344D5A"/>
    <w:rsid w:val="00346EB6"/>
    <w:rsid w:val="003475C1"/>
    <w:rsid w:val="00347EDB"/>
    <w:rsid w:val="00350797"/>
    <w:rsid w:val="0035144C"/>
    <w:rsid w:val="00351899"/>
    <w:rsid w:val="00351A85"/>
    <w:rsid w:val="003522E8"/>
    <w:rsid w:val="003528D2"/>
    <w:rsid w:val="003531AA"/>
    <w:rsid w:val="00353989"/>
    <w:rsid w:val="00354858"/>
    <w:rsid w:val="0035597E"/>
    <w:rsid w:val="00355B7A"/>
    <w:rsid w:val="00356070"/>
    <w:rsid w:val="0035617C"/>
    <w:rsid w:val="00356E7E"/>
    <w:rsid w:val="00356EB8"/>
    <w:rsid w:val="00357B83"/>
    <w:rsid w:val="00360165"/>
    <w:rsid w:val="00360AF0"/>
    <w:rsid w:val="0036101D"/>
    <w:rsid w:val="003610D0"/>
    <w:rsid w:val="003614A8"/>
    <w:rsid w:val="0036160E"/>
    <w:rsid w:val="00361B08"/>
    <w:rsid w:val="00362610"/>
    <w:rsid w:val="00363830"/>
    <w:rsid w:val="00363D2D"/>
    <w:rsid w:val="00364BB6"/>
    <w:rsid w:val="00364D6B"/>
    <w:rsid w:val="00365408"/>
    <w:rsid w:val="00365CC0"/>
    <w:rsid w:val="003668DF"/>
    <w:rsid w:val="00367688"/>
    <w:rsid w:val="003706E9"/>
    <w:rsid w:val="00371BA5"/>
    <w:rsid w:val="00372221"/>
    <w:rsid w:val="00372CF2"/>
    <w:rsid w:val="00374C7E"/>
    <w:rsid w:val="0037711D"/>
    <w:rsid w:val="00377353"/>
    <w:rsid w:val="0037736B"/>
    <w:rsid w:val="003800E5"/>
    <w:rsid w:val="0038079B"/>
    <w:rsid w:val="00381F57"/>
    <w:rsid w:val="0038216E"/>
    <w:rsid w:val="003822E5"/>
    <w:rsid w:val="00382DD2"/>
    <w:rsid w:val="0038302C"/>
    <w:rsid w:val="003830B8"/>
    <w:rsid w:val="00383262"/>
    <w:rsid w:val="00385657"/>
    <w:rsid w:val="00387CCE"/>
    <w:rsid w:val="003905E6"/>
    <w:rsid w:val="00390DCF"/>
    <w:rsid w:val="00390F34"/>
    <w:rsid w:val="0039413F"/>
    <w:rsid w:val="0039462C"/>
    <w:rsid w:val="00395F22"/>
    <w:rsid w:val="0039665D"/>
    <w:rsid w:val="003A099D"/>
    <w:rsid w:val="003A119E"/>
    <w:rsid w:val="003A157A"/>
    <w:rsid w:val="003A23AD"/>
    <w:rsid w:val="003A283F"/>
    <w:rsid w:val="003A2A16"/>
    <w:rsid w:val="003A2FDD"/>
    <w:rsid w:val="003A3C43"/>
    <w:rsid w:val="003A5CCC"/>
    <w:rsid w:val="003A6E79"/>
    <w:rsid w:val="003A70FF"/>
    <w:rsid w:val="003A74D2"/>
    <w:rsid w:val="003A756B"/>
    <w:rsid w:val="003A7902"/>
    <w:rsid w:val="003B03C3"/>
    <w:rsid w:val="003B23D7"/>
    <w:rsid w:val="003B34CB"/>
    <w:rsid w:val="003B3AB4"/>
    <w:rsid w:val="003B3CA8"/>
    <w:rsid w:val="003B45D5"/>
    <w:rsid w:val="003B52FE"/>
    <w:rsid w:val="003B53A5"/>
    <w:rsid w:val="003B572A"/>
    <w:rsid w:val="003B6325"/>
    <w:rsid w:val="003B636D"/>
    <w:rsid w:val="003B6A6E"/>
    <w:rsid w:val="003B71E0"/>
    <w:rsid w:val="003B78A4"/>
    <w:rsid w:val="003C144E"/>
    <w:rsid w:val="003C1A07"/>
    <w:rsid w:val="003C1E74"/>
    <w:rsid w:val="003C20A2"/>
    <w:rsid w:val="003C2673"/>
    <w:rsid w:val="003C27A2"/>
    <w:rsid w:val="003C34D2"/>
    <w:rsid w:val="003C567C"/>
    <w:rsid w:val="003C59B8"/>
    <w:rsid w:val="003C6809"/>
    <w:rsid w:val="003C7897"/>
    <w:rsid w:val="003D0937"/>
    <w:rsid w:val="003D17E6"/>
    <w:rsid w:val="003D1A20"/>
    <w:rsid w:val="003D1AC9"/>
    <w:rsid w:val="003D2AC9"/>
    <w:rsid w:val="003D2CD8"/>
    <w:rsid w:val="003D3724"/>
    <w:rsid w:val="003D3BEE"/>
    <w:rsid w:val="003D41C5"/>
    <w:rsid w:val="003D46A7"/>
    <w:rsid w:val="003D6376"/>
    <w:rsid w:val="003D63DE"/>
    <w:rsid w:val="003E0A56"/>
    <w:rsid w:val="003E1086"/>
    <w:rsid w:val="003E1235"/>
    <w:rsid w:val="003E2A35"/>
    <w:rsid w:val="003E2B56"/>
    <w:rsid w:val="003E2CE1"/>
    <w:rsid w:val="003E2DCB"/>
    <w:rsid w:val="003E3AF7"/>
    <w:rsid w:val="003E3C55"/>
    <w:rsid w:val="003E4C3F"/>
    <w:rsid w:val="003E4D7C"/>
    <w:rsid w:val="003E5FA8"/>
    <w:rsid w:val="003E6252"/>
    <w:rsid w:val="003F1200"/>
    <w:rsid w:val="003F1421"/>
    <w:rsid w:val="003F1844"/>
    <w:rsid w:val="003F1953"/>
    <w:rsid w:val="003F241E"/>
    <w:rsid w:val="003F28C0"/>
    <w:rsid w:val="003F2F9F"/>
    <w:rsid w:val="003F4095"/>
    <w:rsid w:val="003F4983"/>
    <w:rsid w:val="003F520A"/>
    <w:rsid w:val="003F52B2"/>
    <w:rsid w:val="003F5C3A"/>
    <w:rsid w:val="003F6728"/>
    <w:rsid w:val="003F6F07"/>
    <w:rsid w:val="003F716E"/>
    <w:rsid w:val="003F7E25"/>
    <w:rsid w:val="00400061"/>
    <w:rsid w:val="00400138"/>
    <w:rsid w:val="0040068A"/>
    <w:rsid w:val="00400813"/>
    <w:rsid w:val="004013AD"/>
    <w:rsid w:val="00401A35"/>
    <w:rsid w:val="00402215"/>
    <w:rsid w:val="00402C35"/>
    <w:rsid w:val="0040405B"/>
    <w:rsid w:val="00404195"/>
    <w:rsid w:val="00404211"/>
    <w:rsid w:val="004042A4"/>
    <w:rsid w:val="00404346"/>
    <w:rsid w:val="004043F3"/>
    <w:rsid w:val="00404DAA"/>
    <w:rsid w:val="00404DDD"/>
    <w:rsid w:val="0040578B"/>
    <w:rsid w:val="004065D6"/>
    <w:rsid w:val="0040687D"/>
    <w:rsid w:val="00406992"/>
    <w:rsid w:val="0040709D"/>
    <w:rsid w:val="0040713F"/>
    <w:rsid w:val="004075A3"/>
    <w:rsid w:val="00407B87"/>
    <w:rsid w:val="00407E42"/>
    <w:rsid w:val="00410C48"/>
    <w:rsid w:val="00412BC2"/>
    <w:rsid w:val="0041526D"/>
    <w:rsid w:val="00416277"/>
    <w:rsid w:val="004169B2"/>
    <w:rsid w:val="00416C39"/>
    <w:rsid w:val="00416E24"/>
    <w:rsid w:val="0042063D"/>
    <w:rsid w:val="00420C7D"/>
    <w:rsid w:val="00421516"/>
    <w:rsid w:val="00422B23"/>
    <w:rsid w:val="00423A60"/>
    <w:rsid w:val="00423AEB"/>
    <w:rsid w:val="00423B13"/>
    <w:rsid w:val="004252B5"/>
    <w:rsid w:val="0042651C"/>
    <w:rsid w:val="00426E9B"/>
    <w:rsid w:val="00427D55"/>
    <w:rsid w:val="0043086B"/>
    <w:rsid w:val="00431DB6"/>
    <w:rsid w:val="0043233C"/>
    <w:rsid w:val="004323BD"/>
    <w:rsid w:val="00432C0E"/>
    <w:rsid w:val="0043408E"/>
    <w:rsid w:val="004345A6"/>
    <w:rsid w:val="00434D3F"/>
    <w:rsid w:val="00435B2F"/>
    <w:rsid w:val="00435E03"/>
    <w:rsid w:val="00436492"/>
    <w:rsid w:val="004373E1"/>
    <w:rsid w:val="004374A3"/>
    <w:rsid w:val="0043760C"/>
    <w:rsid w:val="00437A7E"/>
    <w:rsid w:val="00437B6C"/>
    <w:rsid w:val="00440144"/>
    <w:rsid w:val="004405C5"/>
    <w:rsid w:val="0044064E"/>
    <w:rsid w:val="00440805"/>
    <w:rsid w:val="004412E1"/>
    <w:rsid w:val="00441554"/>
    <w:rsid w:val="00442E48"/>
    <w:rsid w:val="00443DCD"/>
    <w:rsid w:val="00443E7E"/>
    <w:rsid w:val="00444C06"/>
    <w:rsid w:val="004454DF"/>
    <w:rsid w:val="00446804"/>
    <w:rsid w:val="00446B75"/>
    <w:rsid w:val="004478D4"/>
    <w:rsid w:val="0045033A"/>
    <w:rsid w:val="00450380"/>
    <w:rsid w:val="004505C6"/>
    <w:rsid w:val="004514C8"/>
    <w:rsid w:val="004517FF"/>
    <w:rsid w:val="004520CD"/>
    <w:rsid w:val="00452412"/>
    <w:rsid w:val="00452DF3"/>
    <w:rsid w:val="0045335D"/>
    <w:rsid w:val="004534F5"/>
    <w:rsid w:val="00453765"/>
    <w:rsid w:val="00454C58"/>
    <w:rsid w:val="00454D0B"/>
    <w:rsid w:val="00454EC3"/>
    <w:rsid w:val="0045530A"/>
    <w:rsid w:val="004554AE"/>
    <w:rsid w:val="004554C3"/>
    <w:rsid w:val="00455FB6"/>
    <w:rsid w:val="00457197"/>
    <w:rsid w:val="00457555"/>
    <w:rsid w:val="00457971"/>
    <w:rsid w:val="00457DD8"/>
    <w:rsid w:val="004603D0"/>
    <w:rsid w:val="0046057E"/>
    <w:rsid w:val="004608FC"/>
    <w:rsid w:val="00461D24"/>
    <w:rsid w:val="004624AE"/>
    <w:rsid w:val="0046250E"/>
    <w:rsid w:val="00462E9C"/>
    <w:rsid w:val="00464B48"/>
    <w:rsid w:val="00465231"/>
    <w:rsid w:val="00465C56"/>
    <w:rsid w:val="0046600D"/>
    <w:rsid w:val="004662AD"/>
    <w:rsid w:val="00466516"/>
    <w:rsid w:val="00467B65"/>
    <w:rsid w:val="00470A05"/>
    <w:rsid w:val="00470A84"/>
    <w:rsid w:val="00471DFD"/>
    <w:rsid w:val="00471EA5"/>
    <w:rsid w:val="004720C9"/>
    <w:rsid w:val="00472257"/>
    <w:rsid w:val="00472C49"/>
    <w:rsid w:val="00472E49"/>
    <w:rsid w:val="004732BB"/>
    <w:rsid w:val="00474C60"/>
    <w:rsid w:val="00475944"/>
    <w:rsid w:val="00475DF0"/>
    <w:rsid w:val="00476525"/>
    <w:rsid w:val="004765B9"/>
    <w:rsid w:val="004772E2"/>
    <w:rsid w:val="0047739F"/>
    <w:rsid w:val="00477F97"/>
    <w:rsid w:val="00480A2D"/>
    <w:rsid w:val="00480AFB"/>
    <w:rsid w:val="00481247"/>
    <w:rsid w:val="00481B7A"/>
    <w:rsid w:val="004828DC"/>
    <w:rsid w:val="00482FF7"/>
    <w:rsid w:val="00483098"/>
    <w:rsid w:val="004833AF"/>
    <w:rsid w:val="0048397D"/>
    <w:rsid w:val="00483AFB"/>
    <w:rsid w:val="00483E05"/>
    <w:rsid w:val="0048402B"/>
    <w:rsid w:val="0048414A"/>
    <w:rsid w:val="00485C56"/>
    <w:rsid w:val="00486B79"/>
    <w:rsid w:val="00486CA2"/>
    <w:rsid w:val="00486F2F"/>
    <w:rsid w:val="00490053"/>
    <w:rsid w:val="00490B25"/>
    <w:rsid w:val="00490FD6"/>
    <w:rsid w:val="004911C4"/>
    <w:rsid w:val="004934CA"/>
    <w:rsid w:val="00494CC8"/>
    <w:rsid w:val="004955E7"/>
    <w:rsid w:val="0049589C"/>
    <w:rsid w:val="00495EF1"/>
    <w:rsid w:val="00496ED4"/>
    <w:rsid w:val="00497192"/>
    <w:rsid w:val="00497A2B"/>
    <w:rsid w:val="00497D4A"/>
    <w:rsid w:val="004A0441"/>
    <w:rsid w:val="004A084C"/>
    <w:rsid w:val="004A15B3"/>
    <w:rsid w:val="004A1D01"/>
    <w:rsid w:val="004A2A54"/>
    <w:rsid w:val="004A2B7D"/>
    <w:rsid w:val="004A2EF3"/>
    <w:rsid w:val="004A3B0D"/>
    <w:rsid w:val="004A52F5"/>
    <w:rsid w:val="004A5C99"/>
    <w:rsid w:val="004A5D3A"/>
    <w:rsid w:val="004A6897"/>
    <w:rsid w:val="004A692B"/>
    <w:rsid w:val="004A6EB6"/>
    <w:rsid w:val="004A72D1"/>
    <w:rsid w:val="004A794C"/>
    <w:rsid w:val="004B36B7"/>
    <w:rsid w:val="004B3EC7"/>
    <w:rsid w:val="004B5664"/>
    <w:rsid w:val="004B61DB"/>
    <w:rsid w:val="004C157A"/>
    <w:rsid w:val="004C2107"/>
    <w:rsid w:val="004C5FC6"/>
    <w:rsid w:val="004C62E2"/>
    <w:rsid w:val="004C6435"/>
    <w:rsid w:val="004C649B"/>
    <w:rsid w:val="004C6578"/>
    <w:rsid w:val="004C7B9C"/>
    <w:rsid w:val="004C7D55"/>
    <w:rsid w:val="004D089A"/>
    <w:rsid w:val="004D0AE5"/>
    <w:rsid w:val="004D12FA"/>
    <w:rsid w:val="004D13EC"/>
    <w:rsid w:val="004D23D9"/>
    <w:rsid w:val="004D282B"/>
    <w:rsid w:val="004D3184"/>
    <w:rsid w:val="004D469B"/>
    <w:rsid w:val="004D5030"/>
    <w:rsid w:val="004D5374"/>
    <w:rsid w:val="004D6045"/>
    <w:rsid w:val="004D63E9"/>
    <w:rsid w:val="004D7546"/>
    <w:rsid w:val="004D7EC5"/>
    <w:rsid w:val="004E02B0"/>
    <w:rsid w:val="004E0B29"/>
    <w:rsid w:val="004E0E11"/>
    <w:rsid w:val="004E0F08"/>
    <w:rsid w:val="004E1546"/>
    <w:rsid w:val="004E19DC"/>
    <w:rsid w:val="004E35E8"/>
    <w:rsid w:val="004E50F0"/>
    <w:rsid w:val="004E5BAB"/>
    <w:rsid w:val="004E5E04"/>
    <w:rsid w:val="004E6A03"/>
    <w:rsid w:val="004E6CC9"/>
    <w:rsid w:val="004F0070"/>
    <w:rsid w:val="004F0468"/>
    <w:rsid w:val="004F0C51"/>
    <w:rsid w:val="004F263C"/>
    <w:rsid w:val="004F2BB1"/>
    <w:rsid w:val="004F2EC7"/>
    <w:rsid w:val="004F3CE8"/>
    <w:rsid w:val="004F4DD6"/>
    <w:rsid w:val="004F52A1"/>
    <w:rsid w:val="004F6BFB"/>
    <w:rsid w:val="004F77BF"/>
    <w:rsid w:val="004F7E4A"/>
    <w:rsid w:val="00500746"/>
    <w:rsid w:val="0050113E"/>
    <w:rsid w:val="0050147C"/>
    <w:rsid w:val="0050182B"/>
    <w:rsid w:val="00501A1C"/>
    <w:rsid w:val="00501E31"/>
    <w:rsid w:val="00502579"/>
    <w:rsid w:val="00502701"/>
    <w:rsid w:val="005029F7"/>
    <w:rsid w:val="00502CDE"/>
    <w:rsid w:val="005031C4"/>
    <w:rsid w:val="00503684"/>
    <w:rsid w:val="00503D4C"/>
    <w:rsid w:val="00504C0C"/>
    <w:rsid w:val="00504E48"/>
    <w:rsid w:val="0050523B"/>
    <w:rsid w:val="005070FF"/>
    <w:rsid w:val="00507106"/>
    <w:rsid w:val="005079D2"/>
    <w:rsid w:val="00510798"/>
    <w:rsid w:val="005107A6"/>
    <w:rsid w:val="00510EFE"/>
    <w:rsid w:val="0051282A"/>
    <w:rsid w:val="00512BBC"/>
    <w:rsid w:val="005134FB"/>
    <w:rsid w:val="005135FD"/>
    <w:rsid w:val="0051366C"/>
    <w:rsid w:val="00513ABB"/>
    <w:rsid w:val="00514C7C"/>
    <w:rsid w:val="0051631E"/>
    <w:rsid w:val="0051684F"/>
    <w:rsid w:val="00516A92"/>
    <w:rsid w:val="00516B9F"/>
    <w:rsid w:val="00517693"/>
    <w:rsid w:val="005205AB"/>
    <w:rsid w:val="005220AA"/>
    <w:rsid w:val="00523378"/>
    <w:rsid w:val="0052550F"/>
    <w:rsid w:val="005259BD"/>
    <w:rsid w:val="00526C0F"/>
    <w:rsid w:val="0052702A"/>
    <w:rsid w:val="0052723A"/>
    <w:rsid w:val="00527E4D"/>
    <w:rsid w:val="00530274"/>
    <w:rsid w:val="00530397"/>
    <w:rsid w:val="00530F73"/>
    <w:rsid w:val="00533B8E"/>
    <w:rsid w:val="00535417"/>
    <w:rsid w:val="00535833"/>
    <w:rsid w:val="00536D28"/>
    <w:rsid w:val="005372C5"/>
    <w:rsid w:val="00537A26"/>
    <w:rsid w:val="00540E47"/>
    <w:rsid w:val="005431E2"/>
    <w:rsid w:val="00543283"/>
    <w:rsid w:val="0054364C"/>
    <w:rsid w:val="00546747"/>
    <w:rsid w:val="00547510"/>
    <w:rsid w:val="00547ECC"/>
    <w:rsid w:val="0055115B"/>
    <w:rsid w:val="00551D5A"/>
    <w:rsid w:val="00551EC3"/>
    <w:rsid w:val="005524F0"/>
    <w:rsid w:val="00553FA9"/>
    <w:rsid w:val="00554A44"/>
    <w:rsid w:val="00554C53"/>
    <w:rsid w:val="00554F18"/>
    <w:rsid w:val="00555220"/>
    <w:rsid w:val="005555F0"/>
    <w:rsid w:val="00555739"/>
    <w:rsid w:val="00556E75"/>
    <w:rsid w:val="00556F2D"/>
    <w:rsid w:val="0056069A"/>
    <w:rsid w:val="00560C3B"/>
    <w:rsid w:val="00561D3C"/>
    <w:rsid w:val="00561EA1"/>
    <w:rsid w:val="005625A1"/>
    <w:rsid w:val="00562799"/>
    <w:rsid w:val="00562F03"/>
    <w:rsid w:val="00562FBD"/>
    <w:rsid w:val="0056474C"/>
    <w:rsid w:val="00564804"/>
    <w:rsid w:val="00565598"/>
    <w:rsid w:val="00565B5A"/>
    <w:rsid w:val="00566446"/>
    <w:rsid w:val="005671F2"/>
    <w:rsid w:val="00567E8F"/>
    <w:rsid w:val="005702D6"/>
    <w:rsid w:val="00572588"/>
    <w:rsid w:val="00573A50"/>
    <w:rsid w:val="00574450"/>
    <w:rsid w:val="005746D2"/>
    <w:rsid w:val="00574E8A"/>
    <w:rsid w:val="00575383"/>
    <w:rsid w:val="0057557A"/>
    <w:rsid w:val="00576456"/>
    <w:rsid w:val="00577775"/>
    <w:rsid w:val="00580693"/>
    <w:rsid w:val="0058121A"/>
    <w:rsid w:val="00581863"/>
    <w:rsid w:val="00581EA3"/>
    <w:rsid w:val="0058205A"/>
    <w:rsid w:val="0058260B"/>
    <w:rsid w:val="00584D1E"/>
    <w:rsid w:val="00586795"/>
    <w:rsid w:val="00586B82"/>
    <w:rsid w:val="00587E13"/>
    <w:rsid w:val="00590468"/>
    <w:rsid w:val="005909CD"/>
    <w:rsid w:val="00592042"/>
    <w:rsid w:val="005933AA"/>
    <w:rsid w:val="00593DAC"/>
    <w:rsid w:val="005940AA"/>
    <w:rsid w:val="0059447C"/>
    <w:rsid w:val="00594614"/>
    <w:rsid w:val="00594E10"/>
    <w:rsid w:val="00595B50"/>
    <w:rsid w:val="00596306"/>
    <w:rsid w:val="00596487"/>
    <w:rsid w:val="005A03DC"/>
    <w:rsid w:val="005A0809"/>
    <w:rsid w:val="005A0B91"/>
    <w:rsid w:val="005A1494"/>
    <w:rsid w:val="005A3590"/>
    <w:rsid w:val="005A363F"/>
    <w:rsid w:val="005A4A1C"/>
    <w:rsid w:val="005A55D0"/>
    <w:rsid w:val="005A5BD8"/>
    <w:rsid w:val="005A692A"/>
    <w:rsid w:val="005A6AB8"/>
    <w:rsid w:val="005B11C2"/>
    <w:rsid w:val="005B180A"/>
    <w:rsid w:val="005B382C"/>
    <w:rsid w:val="005B3C11"/>
    <w:rsid w:val="005B40DA"/>
    <w:rsid w:val="005B4226"/>
    <w:rsid w:val="005B5AA4"/>
    <w:rsid w:val="005B61C6"/>
    <w:rsid w:val="005B656B"/>
    <w:rsid w:val="005B6BAA"/>
    <w:rsid w:val="005B71B3"/>
    <w:rsid w:val="005B76A4"/>
    <w:rsid w:val="005B78D4"/>
    <w:rsid w:val="005C04A7"/>
    <w:rsid w:val="005C17A4"/>
    <w:rsid w:val="005C1E20"/>
    <w:rsid w:val="005C27CC"/>
    <w:rsid w:val="005C280C"/>
    <w:rsid w:val="005C370D"/>
    <w:rsid w:val="005C504E"/>
    <w:rsid w:val="005C5796"/>
    <w:rsid w:val="005C59C9"/>
    <w:rsid w:val="005C6153"/>
    <w:rsid w:val="005C6A4A"/>
    <w:rsid w:val="005C78B0"/>
    <w:rsid w:val="005C7B95"/>
    <w:rsid w:val="005C7DEA"/>
    <w:rsid w:val="005D01EB"/>
    <w:rsid w:val="005D0DFB"/>
    <w:rsid w:val="005D1112"/>
    <w:rsid w:val="005D1361"/>
    <w:rsid w:val="005D237C"/>
    <w:rsid w:val="005D25E2"/>
    <w:rsid w:val="005D25FF"/>
    <w:rsid w:val="005D2632"/>
    <w:rsid w:val="005D38E0"/>
    <w:rsid w:val="005D3F32"/>
    <w:rsid w:val="005D4E3E"/>
    <w:rsid w:val="005D5562"/>
    <w:rsid w:val="005D60E5"/>
    <w:rsid w:val="005D664D"/>
    <w:rsid w:val="005D67DA"/>
    <w:rsid w:val="005D67F7"/>
    <w:rsid w:val="005D70FB"/>
    <w:rsid w:val="005D7D7E"/>
    <w:rsid w:val="005E0297"/>
    <w:rsid w:val="005E02D6"/>
    <w:rsid w:val="005E0B59"/>
    <w:rsid w:val="005E1105"/>
    <w:rsid w:val="005E162F"/>
    <w:rsid w:val="005E231C"/>
    <w:rsid w:val="005E280D"/>
    <w:rsid w:val="005E2B34"/>
    <w:rsid w:val="005E2BBE"/>
    <w:rsid w:val="005E2C60"/>
    <w:rsid w:val="005E31F6"/>
    <w:rsid w:val="005E3622"/>
    <w:rsid w:val="005E5CF8"/>
    <w:rsid w:val="005E60B3"/>
    <w:rsid w:val="005E65C9"/>
    <w:rsid w:val="005E676C"/>
    <w:rsid w:val="005E6CB9"/>
    <w:rsid w:val="005E7DAE"/>
    <w:rsid w:val="005E7F14"/>
    <w:rsid w:val="005F0154"/>
    <w:rsid w:val="005F0176"/>
    <w:rsid w:val="005F021D"/>
    <w:rsid w:val="005F02F2"/>
    <w:rsid w:val="005F1EAC"/>
    <w:rsid w:val="005F308F"/>
    <w:rsid w:val="005F3AA7"/>
    <w:rsid w:val="005F4869"/>
    <w:rsid w:val="005F4BFD"/>
    <w:rsid w:val="005F51E8"/>
    <w:rsid w:val="005F5629"/>
    <w:rsid w:val="005F5748"/>
    <w:rsid w:val="005F5834"/>
    <w:rsid w:val="005F5E11"/>
    <w:rsid w:val="005F6079"/>
    <w:rsid w:val="006003E5"/>
    <w:rsid w:val="006009EA"/>
    <w:rsid w:val="00600E63"/>
    <w:rsid w:val="00600FBD"/>
    <w:rsid w:val="00601561"/>
    <w:rsid w:val="00601E55"/>
    <w:rsid w:val="00602037"/>
    <w:rsid w:val="006029DD"/>
    <w:rsid w:val="00602C6A"/>
    <w:rsid w:val="00603AF5"/>
    <w:rsid w:val="00603E27"/>
    <w:rsid w:val="00606C66"/>
    <w:rsid w:val="00606FFE"/>
    <w:rsid w:val="00610145"/>
    <w:rsid w:val="00610D1F"/>
    <w:rsid w:val="00610FA9"/>
    <w:rsid w:val="006112F1"/>
    <w:rsid w:val="00611E5E"/>
    <w:rsid w:val="006123C6"/>
    <w:rsid w:val="00612C02"/>
    <w:rsid w:val="00612CDD"/>
    <w:rsid w:val="00613B56"/>
    <w:rsid w:val="00614429"/>
    <w:rsid w:val="0061562E"/>
    <w:rsid w:val="00616D41"/>
    <w:rsid w:val="00617292"/>
    <w:rsid w:val="00617D28"/>
    <w:rsid w:val="006200A9"/>
    <w:rsid w:val="00620249"/>
    <w:rsid w:val="00621C59"/>
    <w:rsid w:val="00622225"/>
    <w:rsid w:val="00622D03"/>
    <w:rsid w:val="00622DCD"/>
    <w:rsid w:val="00622F57"/>
    <w:rsid w:val="00623DD5"/>
    <w:rsid w:val="00624269"/>
    <w:rsid w:val="00624A34"/>
    <w:rsid w:val="0062568D"/>
    <w:rsid w:val="006256D3"/>
    <w:rsid w:val="0062619D"/>
    <w:rsid w:val="00626502"/>
    <w:rsid w:val="006267F5"/>
    <w:rsid w:val="00627337"/>
    <w:rsid w:val="00627FA6"/>
    <w:rsid w:val="00630069"/>
    <w:rsid w:val="00630583"/>
    <w:rsid w:val="00630A8E"/>
    <w:rsid w:val="00630D2E"/>
    <w:rsid w:val="00630D39"/>
    <w:rsid w:val="00631E19"/>
    <w:rsid w:val="0063286E"/>
    <w:rsid w:val="0063397E"/>
    <w:rsid w:val="00633E76"/>
    <w:rsid w:val="00633EC9"/>
    <w:rsid w:val="006340F5"/>
    <w:rsid w:val="00634542"/>
    <w:rsid w:val="00635E4D"/>
    <w:rsid w:val="0063620C"/>
    <w:rsid w:val="00637E18"/>
    <w:rsid w:val="0064032E"/>
    <w:rsid w:val="0064038D"/>
    <w:rsid w:val="00640BBD"/>
    <w:rsid w:val="00641A0B"/>
    <w:rsid w:val="00641D5A"/>
    <w:rsid w:val="00641E06"/>
    <w:rsid w:val="006427F8"/>
    <w:rsid w:val="0064285D"/>
    <w:rsid w:val="00642A41"/>
    <w:rsid w:val="00643007"/>
    <w:rsid w:val="006431D0"/>
    <w:rsid w:val="006432C5"/>
    <w:rsid w:val="0064363B"/>
    <w:rsid w:val="006436FA"/>
    <w:rsid w:val="00643852"/>
    <w:rsid w:val="00643C27"/>
    <w:rsid w:val="006445DE"/>
    <w:rsid w:val="006455E7"/>
    <w:rsid w:val="00645758"/>
    <w:rsid w:val="006461A1"/>
    <w:rsid w:val="006464F3"/>
    <w:rsid w:val="00646740"/>
    <w:rsid w:val="00647422"/>
    <w:rsid w:val="00647E6B"/>
    <w:rsid w:val="00650E84"/>
    <w:rsid w:val="0065198B"/>
    <w:rsid w:val="00651CA1"/>
    <w:rsid w:val="006525AF"/>
    <w:rsid w:val="0065266A"/>
    <w:rsid w:val="00653F9C"/>
    <w:rsid w:val="00655470"/>
    <w:rsid w:val="00656A37"/>
    <w:rsid w:val="00656FEE"/>
    <w:rsid w:val="0065758F"/>
    <w:rsid w:val="0066058E"/>
    <w:rsid w:val="00660897"/>
    <w:rsid w:val="00661028"/>
    <w:rsid w:val="006617BD"/>
    <w:rsid w:val="0066194D"/>
    <w:rsid w:val="00662661"/>
    <w:rsid w:val="00664695"/>
    <w:rsid w:val="00664840"/>
    <w:rsid w:val="00664B44"/>
    <w:rsid w:val="006652BF"/>
    <w:rsid w:val="00666007"/>
    <w:rsid w:val="0066630C"/>
    <w:rsid w:val="00667785"/>
    <w:rsid w:val="006677A8"/>
    <w:rsid w:val="00667BBD"/>
    <w:rsid w:val="006701E7"/>
    <w:rsid w:val="00671149"/>
    <w:rsid w:val="00671615"/>
    <w:rsid w:val="00671741"/>
    <w:rsid w:val="00671766"/>
    <w:rsid w:val="00672914"/>
    <w:rsid w:val="006744C3"/>
    <w:rsid w:val="00674E08"/>
    <w:rsid w:val="0067537F"/>
    <w:rsid w:val="00675CFC"/>
    <w:rsid w:val="00676410"/>
    <w:rsid w:val="0067771B"/>
    <w:rsid w:val="00680509"/>
    <w:rsid w:val="006805CB"/>
    <w:rsid w:val="00681CC1"/>
    <w:rsid w:val="00681F25"/>
    <w:rsid w:val="0068201B"/>
    <w:rsid w:val="006822BA"/>
    <w:rsid w:val="0068233B"/>
    <w:rsid w:val="00682E11"/>
    <w:rsid w:val="00682FBD"/>
    <w:rsid w:val="00683081"/>
    <w:rsid w:val="0068342E"/>
    <w:rsid w:val="00683844"/>
    <w:rsid w:val="00683CF6"/>
    <w:rsid w:val="00684C95"/>
    <w:rsid w:val="006850D3"/>
    <w:rsid w:val="00685249"/>
    <w:rsid w:val="006856B9"/>
    <w:rsid w:val="00685BDE"/>
    <w:rsid w:val="00685DA2"/>
    <w:rsid w:val="00686085"/>
    <w:rsid w:val="00687C0D"/>
    <w:rsid w:val="00691237"/>
    <w:rsid w:val="00691A12"/>
    <w:rsid w:val="006920E6"/>
    <w:rsid w:val="00692555"/>
    <w:rsid w:val="00694288"/>
    <w:rsid w:val="006960C8"/>
    <w:rsid w:val="00696566"/>
    <w:rsid w:val="006966BA"/>
    <w:rsid w:val="00696E00"/>
    <w:rsid w:val="0069722D"/>
    <w:rsid w:val="006A0052"/>
    <w:rsid w:val="006A0A9E"/>
    <w:rsid w:val="006A1757"/>
    <w:rsid w:val="006A1BD9"/>
    <w:rsid w:val="006A1F1C"/>
    <w:rsid w:val="006A3697"/>
    <w:rsid w:val="006A3836"/>
    <w:rsid w:val="006A3DD3"/>
    <w:rsid w:val="006A4625"/>
    <w:rsid w:val="006A47AE"/>
    <w:rsid w:val="006A5B5E"/>
    <w:rsid w:val="006A67CB"/>
    <w:rsid w:val="006A6E0F"/>
    <w:rsid w:val="006B0368"/>
    <w:rsid w:val="006B0E78"/>
    <w:rsid w:val="006B0F6E"/>
    <w:rsid w:val="006B1D7B"/>
    <w:rsid w:val="006B27D4"/>
    <w:rsid w:val="006B2C9C"/>
    <w:rsid w:val="006B48EB"/>
    <w:rsid w:val="006B4C00"/>
    <w:rsid w:val="006B4C34"/>
    <w:rsid w:val="006B56FC"/>
    <w:rsid w:val="006B6DDA"/>
    <w:rsid w:val="006B70AC"/>
    <w:rsid w:val="006B73D9"/>
    <w:rsid w:val="006B7DF0"/>
    <w:rsid w:val="006B7E74"/>
    <w:rsid w:val="006B7E86"/>
    <w:rsid w:val="006C0D75"/>
    <w:rsid w:val="006C1C48"/>
    <w:rsid w:val="006C3C1D"/>
    <w:rsid w:val="006C41FF"/>
    <w:rsid w:val="006C5145"/>
    <w:rsid w:val="006C65A8"/>
    <w:rsid w:val="006D05AD"/>
    <w:rsid w:val="006D08BE"/>
    <w:rsid w:val="006D0EC1"/>
    <w:rsid w:val="006D1266"/>
    <w:rsid w:val="006D16F8"/>
    <w:rsid w:val="006D1813"/>
    <w:rsid w:val="006D24A9"/>
    <w:rsid w:val="006D2AF3"/>
    <w:rsid w:val="006D3988"/>
    <w:rsid w:val="006D448F"/>
    <w:rsid w:val="006D4D79"/>
    <w:rsid w:val="006D4FBD"/>
    <w:rsid w:val="006D5879"/>
    <w:rsid w:val="006D63FD"/>
    <w:rsid w:val="006D65B4"/>
    <w:rsid w:val="006D754A"/>
    <w:rsid w:val="006D7B9C"/>
    <w:rsid w:val="006E04C6"/>
    <w:rsid w:val="006E0A65"/>
    <w:rsid w:val="006E1B01"/>
    <w:rsid w:val="006E2C8F"/>
    <w:rsid w:val="006E31F4"/>
    <w:rsid w:val="006E3E3D"/>
    <w:rsid w:val="006E46F4"/>
    <w:rsid w:val="006E4836"/>
    <w:rsid w:val="006E59E7"/>
    <w:rsid w:val="006E5DDD"/>
    <w:rsid w:val="006E7391"/>
    <w:rsid w:val="006E744E"/>
    <w:rsid w:val="006E7811"/>
    <w:rsid w:val="006F04DA"/>
    <w:rsid w:val="006F0557"/>
    <w:rsid w:val="006F0685"/>
    <w:rsid w:val="006F0EA3"/>
    <w:rsid w:val="006F1B5D"/>
    <w:rsid w:val="006F212B"/>
    <w:rsid w:val="006F34D5"/>
    <w:rsid w:val="006F37F7"/>
    <w:rsid w:val="006F424D"/>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6F07"/>
    <w:rsid w:val="007071FC"/>
    <w:rsid w:val="00707C84"/>
    <w:rsid w:val="00710A59"/>
    <w:rsid w:val="00710FDE"/>
    <w:rsid w:val="007116C7"/>
    <w:rsid w:val="00711C5A"/>
    <w:rsid w:val="00712B66"/>
    <w:rsid w:val="007133DB"/>
    <w:rsid w:val="0071358C"/>
    <w:rsid w:val="0071369B"/>
    <w:rsid w:val="00713C31"/>
    <w:rsid w:val="0071428D"/>
    <w:rsid w:val="007144C9"/>
    <w:rsid w:val="00715191"/>
    <w:rsid w:val="00715A2A"/>
    <w:rsid w:val="007160BD"/>
    <w:rsid w:val="00716482"/>
    <w:rsid w:val="007167A4"/>
    <w:rsid w:val="00716B3C"/>
    <w:rsid w:val="007170C2"/>
    <w:rsid w:val="00717EE4"/>
    <w:rsid w:val="00717F2D"/>
    <w:rsid w:val="00720143"/>
    <w:rsid w:val="00720453"/>
    <w:rsid w:val="00720853"/>
    <w:rsid w:val="00722129"/>
    <w:rsid w:val="00723746"/>
    <w:rsid w:val="00724173"/>
    <w:rsid w:val="00726730"/>
    <w:rsid w:val="00730598"/>
    <w:rsid w:val="00730B43"/>
    <w:rsid w:val="00730B9A"/>
    <w:rsid w:val="00731C24"/>
    <w:rsid w:val="0073257E"/>
    <w:rsid w:val="00732A32"/>
    <w:rsid w:val="00732F0D"/>
    <w:rsid w:val="00733066"/>
    <w:rsid w:val="00733469"/>
    <w:rsid w:val="00733539"/>
    <w:rsid w:val="00733A76"/>
    <w:rsid w:val="007351E1"/>
    <w:rsid w:val="00735557"/>
    <w:rsid w:val="00737108"/>
    <w:rsid w:val="007379CE"/>
    <w:rsid w:val="007400EF"/>
    <w:rsid w:val="0074185C"/>
    <w:rsid w:val="007419A7"/>
    <w:rsid w:val="00741B21"/>
    <w:rsid w:val="00741DD8"/>
    <w:rsid w:val="00741E49"/>
    <w:rsid w:val="0074250D"/>
    <w:rsid w:val="007428C7"/>
    <w:rsid w:val="00743140"/>
    <w:rsid w:val="007445E2"/>
    <w:rsid w:val="00744664"/>
    <w:rsid w:val="00745496"/>
    <w:rsid w:val="00745A68"/>
    <w:rsid w:val="007460DA"/>
    <w:rsid w:val="0074705B"/>
    <w:rsid w:val="007470EC"/>
    <w:rsid w:val="0075020B"/>
    <w:rsid w:val="00751017"/>
    <w:rsid w:val="00751960"/>
    <w:rsid w:val="007535C7"/>
    <w:rsid w:val="00755BD4"/>
    <w:rsid w:val="00755D8B"/>
    <w:rsid w:val="00756551"/>
    <w:rsid w:val="00757769"/>
    <w:rsid w:val="0076067E"/>
    <w:rsid w:val="00760927"/>
    <w:rsid w:val="00760EB8"/>
    <w:rsid w:val="00761BFD"/>
    <w:rsid w:val="00761D5C"/>
    <w:rsid w:val="00761FE5"/>
    <w:rsid w:val="007620C2"/>
    <w:rsid w:val="00762476"/>
    <w:rsid w:val="00762A18"/>
    <w:rsid w:val="007633C0"/>
    <w:rsid w:val="00763AE2"/>
    <w:rsid w:val="0076467D"/>
    <w:rsid w:val="007656A1"/>
    <w:rsid w:val="00766D90"/>
    <w:rsid w:val="007671E1"/>
    <w:rsid w:val="00767BF3"/>
    <w:rsid w:val="00767C19"/>
    <w:rsid w:val="00767D4E"/>
    <w:rsid w:val="00770002"/>
    <w:rsid w:val="0077024F"/>
    <w:rsid w:val="00770967"/>
    <w:rsid w:val="00771038"/>
    <w:rsid w:val="00771067"/>
    <w:rsid w:val="00771A4B"/>
    <w:rsid w:val="00772089"/>
    <w:rsid w:val="007722ED"/>
    <w:rsid w:val="0077408B"/>
    <w:rsid w:val="00774AF6"/>
    <w:rsid w:val="00774EC8"/>
    <w:rsid w:val="00776781"/>
    <w:rsid w:val="00777545"/>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4AB2"/>
    <w:rsid w:val="00795512"/>
    <w:rsid w:val="00795AB7"/>
    <w:rsid w:val="00795E37"/>
    <w:rsid w:val="0079694C"/>
    <w:rsid w:val="00796D89"/>
    <w:rsid w:val="00796DA2"/>
    <w:rsid w:val="007A0415"/>
    <w:rsid w:val="007A06BA"/>
    <w:rsid w:val="007A07F2"/>
    <w:rsid w:val="007A207E"/>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1D2"/>
    <w:rsid w:val="007B24D8"/>
    <w:rsid w:val="007B26E1"/>
    <w:rsid w:val="007B3045"/>
    <w:rsid w:val="007B3629"/>
    <w:rsid w:val="007B3C7F"/>
    <w:rsid w:val="007B423F"/>
    <w:rsid w:val="007B4C0F"/>
    <w:rsid w:val="007B5E25"/>
    <w:rsid w:val="007B6E0E"/>
    <w:rsid w:val="007B7AB7"/>
    <w:rsid w:val="007B7EAF"/>
    <w:rsid w:val="007C1A1D"/>
    <w:rsid w:val="007C1FDD"/>
    <w:rsid w:val="007C27FB"/>
    <w:rsid w:val="007C2CBB"/>
    <w:rsid w:val="007C309C"/>
    <w:rsid w:val="007C33DA"/>
    <w:rsid w:val="007C3E35"/>
    <w:rsid w:val="007C4209"/>
    <w:rsid w:val="007C5EB9"/>
    <w:rsid w:val="007C6813"/>
    <w:rsid w:val="007C6861"/>
    <w:rsid w:val="007C7449"/>
    <w:rsid w:val="007C7EA5"/>
    <w:rsid w:val="007D1A95"/>
    <w:rsid w:val="007D245E"/>
    <w:rsid w:val="007D31A5"/>
    <w:rsid w:val="007D35A9"/>
    <w:rsid w:val="007D3764"/>
    <w:rsid w:val="007D39BD"/>
    <w:rsid w:val="007D485A"/>
    <w:rsid w:val="007D54FF"/>
    <w:rsid w:val="007D57D4"/>
    <w:rsid w:val="007D6315"/>
    <w:rsid w:val="007D724A"/>
    <w:rsid w:val="007D7354"/>
    <w:rsid w:val="007D75A3"/>
    <w:rsid w:val="007D7EA0"/>
    <w:rsid w:val="007E16E2"/>
    <w:rsid w:val="007E19FE"/>
    <w:rsid w:val="007E1AAC"/>
    <w:rsid w:val="007E2F07"/>
    <w:rsid w:val="007E3B9C"/>
    <w:rsid w:val="007E4A2F"/>
    <w:rsid w:val="007E5C4A"/>
    <w:rsid w:val="007E6542"/>
    <w:rsid w:val="007E6915"/>
    <w:rsid w:val="007E74CA"/>
    <w:rsid w:val="007E7AD3"/>
    <w:rsid w:val="007F0070"/>
    <w:rsid w:val="007F0441"/>
    <w:rsid w:val="007F0E99"/>
    <w:rsid w:val="007F20F1"/>
    <w:rsid w:val="007F3E69"/>
    <w:rsid w:val="007F4224"/>
    <w:rsid w:val="007F4DD2"/>
    <w:rsid w:val="007F4FB9"/>
    <w:rsid w:val="007F6480"/>
    <w:rsid w:val="007F7022"/>
    <w:rsid w:val="007F7690"/>
    <w:rsid w:val="007F7E64"/>
    <w:rsid w:val="008011CC"/>
    <w:rsid w:val="00801404"/>
    <w:rsid w:val="008017AA"/>
    <w:rsid w:val="00801C10"/>
    <w:rsid w:val="00801CBA"/>
    <w:rsid w:val="00801D92"/>
    <w:rsid w:val="00804755"/>
    <w:rsid w:val="00804BCF"/>
    <w:rsid w:val="00804FA4"/>
    <w:rsid w:val="00805275"/>
    <w:rsid w:val="00806A62"/>
    <w:rsid w:val="00806AB9"/>
    <w:rsid w:val="00806E55"/>
    <w:rsid w:val="008075CE"/>
    <w:rsid w:val="008076E9"/>
    <w:rsid w:val="00810378"/>
    <w:rsid w:val="00810BB2"/>
    <w:rsid w:val="0081141F"/>
    <w:rsid w:val="0081160A"/>
    <w:rsid w:val="00812179"/>
    <w:rsid w:val="008124E2"/>
    <w:rsid w:val="00813928"/>
    <w:rsid w:val="00815321"/>
    <w:rsid w:val="008166DB"/>
    <w:rsid w:val="008173E0"/>
    <w:rsid w:val="008175C1"/>
    <w:rsid w:val="00817A74"/>
    <w:rsid w:val="00817BCE"/>
    <w:rsid w:val="008200D4"/>
    <w:rsid w:val="00820370"/>
    <w:rsid w:val="00820CC6"/>
    <w:rsid w:val="00822B82"/>
    <w:rsid w:val="00822C41"/>
    <w:rsid w:val="00823101"/>
    <w:rsid w:val="00823368"/>
    <w:rsid w:val="00825043"/>
    <w:rsid w:val="00825267"/>
    <w:rsid w:val="008264EC"/>
    <w:rsid w:val="00827C0D"/>
    <w:rsid w:val="00830642"/>
    <w:rsid w:val="00830A60"/>
    <w:rsid w:val="00831250"/>
    <w:rsid w:val="00831A53"/>
    <w:rsid w:val="00831D8D"/>
    <w:rsid w:val="00832290"/>
    <w:rsid w:val="0083322A"/>
    <w:rsid w:val="008333B7"/>
    <w:rsid w:val="00833418"/>
    <w:rsid w:val="008336EC"/>
    <w:rsid w:val="008337B9"/>
    <w:rsid w:val="00834FD2"/>
    <w:rsid w:val="00835084"/>
    <w:rsid w:val="00835184"/>
    <w:rsid w:val="00835569"/>
    <w:rsid w:val="008357A6"/>
    <w:rsid w:val="00835802"/>
    <w:rsid w:val="00835B45"/>
    <w:rsid w:val="00836295"/>
    <w:rsid w:val="008370EE"/>
    <w:rsid w:val="0084011F"/>
    <w:rsid w:val="0084093F"/>
    <w:rsid w:val="0084098A"/>
    <w:rsid w:val="00840DB0"/>
    <w:rsid w:val="00840EDE"/>
    <w:rsid w:val="008418A5"/>
    <w:rsid w:val="00843548"/>
    <w:rsid w:val="0084383C"/>
    <w:rsid w:val="00843CC0"/>
    <w:rsid w:val="00844875"/>
    <w:rsid w:val="00844ADD"/>
    <w:rsid w:val="0084534E"/>
    <w:rsid w:val="008457B9"/>
    <w:rsid w:val="00846062"/>
    <w:rsid w:val="008471DB"/>
    <w:rsid w:val="00847482"/>
    <w:rsid w:val="008474C1"/>
    <w:rsid w:val="00847C1C"/>
    <w:rsid w:val="00850237"/>
    <w:rsid w:val="0085055E"/>
    <w:rsid w:val="00850572"/>
    <w:rsid w:val="00850C3B"/>
    <w:rsid w:val="00850E79"/>
    <w:rsid w:val="00851605"/>
    <w:rsid w:val="00852CA0"/>
    <w:rsid w:val="00852D85"/>
    <w:rsid w:val="00852F6C"/>
    <w:rsid w:val="0085465C"/>
    <w:rsid w:val="00854967"/>
    <w:rsid w:val="0085540B"/>
    <w:rsid w:val="00855511"/>
    <w:rsid w:val="0085582C"/>
    <w:rsid w:val="00855FAE"/>
    <w:rsid w:val="00855FD3"/>
    <w:rsid w:val="00856E84"/>
    <w:rsid w:val="00857086"/>
    <w:rsid w:val="00857572"/>
    <w:rsid w:val="00857B07"/>
    <w:rsid w:val="00860F4D"/>
    <w:rsid w:val="008611DE"/>
    <w:rsid w:val="00861375"/>
    <w:rsid w:val="00861C56"/>
    <w:rsid w:val="00861F29"/>
    <w:rsid w:val="008620A2"/>
    <w:rsid w:val="00862741"/>
    <w:rsid w:val="00862BBD"/>
    <w:rsid w:val="00863C9F"/>
    <w:rsid w:val="008645D6"/>
    <w:rsid w:val="00864981"/>
    <w:rsid w:val="0086552B"/>
    <w:rsid w:val="008655A2"/>
    <w:rsid w:val="0086584F"/>
    <w:rsid w:val="008671C7"/>
    <w:rsid w:val="00867EB8"/>
    <w:rsid w:val="00870335"/>
    <w:rsid w:val="00870AA2"/>
    <w:rsid w:val="00873D88"/>
    <w:rsid w:val="00873FDA"/>
    <w:rsid w:val="0087433B"/>
    <w:rsid w:val="0087621E"/>
    <w:rsid w:val="008767B2"/>
    <w:rsid w:val="00877328"/>
    <w:rsid w:val="00877535"/>
    <w:rsid w:val="0087787A"/>
    <w:rsid w:val="008802F0"/>
    <w:rsid w:val="0088063C"/>
    <w:rsid w:val="00880992"/>
    <w:rsid w:val="00881369"/>
    <w:rsid w:val="00881692"/>
    <w:rsid w:val="00883143"/>
    <w:rsid w:val="00884EC8"/>
    <w:rsid w:val="00886154"/>
    <w:rsid w:val="00886359"/>
    <w:rsid w:val="008865B8"/>
    <w:rsid w:val="00890277"/>
    <w:rsid w:val="0089061A"/>
    <w:rsid w:val="00891018"/>
    <w:rsid w:val="008915C6"/>
    <w:rsid w:val="00891677"/>
    <w:rsid w:val="008927A1"/>
    <w:rsid w:val="00892DB5"/>
    <w:rsid w:val="00894B61"/>
    <w:rsid w:val="00895255"/>
    <w:rsid w:val="00895DF1"/>
    <w:rsid w:val="00896158"/>
    <w:rsid w:val="00896645"/>
    <w:rsid w:val="00896681"/>
    <w:rsid w:val="008975D2"/>
    <w:rsid w:val="008A035B"/>
    <w:rsid w:val="008A0459"/>
    <w:rsid w:val="008A0897"/>
    <w:rsid w:val="008A1218"/>
    <w:rsid w:val="008A15B6"/>
    <w:rsid w:val="008A1A6E"/>
    <w:rsid w:val="008A202A"/>
    <w:rsid w:val="008A317E"/>
    <w:rsid w:val="008A3244"/>
    <w:rsid w:val="008A36C9"/>
    <w:rsid w:val="008A4E8D"/>
    <w:rsid w:val="008A5AF9"/>
    <w:rsid w:val="008B16DE"/>
    <w:rsid w:val="008B251F"/>
    <w:rsid w:val="008B2602"/>
    <w:rsid w:val="008B2727"/>
    <w:rsid w:val="008B316B"/>
    <w:rsid w:val="008B3B0A"/>
    <w:rsid w:val="008B5059"/>
    <w:rsid w:val="008B5BF2"/>
    <w:rsid w:val="008B659F"/>
    <w:rsid w:val="008B6934"/>
    <w:rsid w:val="008B6BA2"/>
    <w:rsid w:val="008B6CF8"/>
    <w:rsid w:val="008B72F6"/>
    <w:rsid w:val="008C119E"/>
    <w:rsid w:val="008C1E24"/>
    <w:rsid w:val="008C296B"/>
    <w:rsid w:val="008C2A46"/>
    <w:rsid w:val="008C4278"/>
    <w:rsid w:val="008C520E"/>
    <w:rsid w:val="008C544B"/>
    <w:rsid w:val="008C55D3"/>
    <w:rsid w:val="008C563B"/>
    <w:rsid w:val="008C567E"/>
    <w:rsid w:val="008C5DEE"/>
    <w:rsid w:val="008C6285"/>
    <w:rsid w:val="008C7182"/>
    <w:rsid w:val="008C7268"/>
    <w:rsid w:val="008C75C2"/>
    <w:rsid w:val="008C7CA5"/>
    <w:rsid w:val="008C7D9D"/>
    <w:rsid w:val="008D0416"/>
    <w:rsid w:val="008D13C6"/>
    <w:rsid w:val="008D152C"/>
    <w:rsid w:val="008D189A"/>
    <w:rsid w:val="008D1B04"/>
    <w:rsid w:val="008D31A5"/>
    <w:rsid w:val="008D3235"/>
    <w:rsid w:val="008D33C8"/>
    <w:rsid w:val="008D3893"/>
    <w:rsid w:val="008D45CD"/>
    <w:rsid w:val="008D5517"/>
    <w:rsid w:val="008D552D"/>
    <w:rsid w:val="008D55F1"/>
    <w:rsid w:val="008D5CD7"/>
    <w:rsid w:val="008D718E"/>
    <w:rsid w:val="008D73D5"/>
    <w:rsid w:val="008D7E53"/>
    <w:rsid w:val="008E09C5"/>
    <w:rsid w:val="008E0AA7"/>
    <w:rsid w:val="008E2355"/>
    <w:rsid w:val="008E3151"/>
    <w:rsid w:val="008E3386"/>
    <w:rsid w:val="008E5410"/>
    <w:rsid w:val="008E5A22"/>
    <w:rsid w:val="008E5A3F"/>
    <w:rsid w:val="008E6976"/>
    <w:rsid w:val="008E7209"/>
    <w:rsid w:val="008E7448"/>
    <w:rsid w:val="008F11BB"/>
    <w:rsid w:val="008F16FF"/>
    <w:rsid w:val="008F182F"/>
    <w:rsid w:val="008F1E95"/>
    <w:rsid w:val="008F2304"/>
    <w:rsid w:val="008F30C8"/>
    <w:rsid w:val="008F3124"/>
    <w:rsid w:val="008F4216"/>
    <w:rsid w:val="008F4647"/>
    <w:rsid w:val="008F56D1"/>
    <w:rsid w:val="008F57DD"/>
    <w:rsid w:val="008F5AEE"/>
    <w:rsid w:val="008F6EAA"/>
    <w:rsid w:val="008F7451"/>
    <w:rsid w:val="008F7800"/>
    <w:rsid w:val="008F7BCA"/>
    <w:rsid w:val="00900273"/>
    <w:rsid w:val="009004BA"/>
    <w:rsid w:val="00900F4D"/>
    <w:rsid w:val="0090167B"/>
    <w:rsid w:val="00902DEC"/>
    <w:rsid w:val="0090342E"/>
    <w:rsid w:val="00903D3A"/>
    <w:rsid w:val="00904435"/>
    <w:rsid w:val="009044B9"/>
    <w:rsid w:val="009047B1"/>
    <w:rsid w:val="00904C86"/>
    <w:rsid w:val="00904DD6"/>
    <w:rsid w:val="0090680D"/>
    <w:rsid w:val="0091045D"/>
    <w:rsid w:val="009107E8"/>
    <w:rsid w:val="009116E5"/>
    <w:rsid w:val="00911CEB"/>
    <w:rsid w:val="009126EE"/>
    <w:rsid w:val="0091281A"/>
    <w:rsid w:val="00912B24"/>
    <w:rsid w:val="009139B5"/>
    <w:rsid w:val="0091414C"/>
    <w:rsid w:val="00914514"/>
    <w:rsid w:val="00914549"/>
    <w:rsid w:val="00914B22"/>
    <w:rsid w:val="00914C08"/>
    <w:rsid w:val="00914F2F"/>
    <w:rsid w:val="00916056"/>
    <w:rsid w:val="00916057"/>
    <w:rsid w:val="00916AD1"/>
    <w:rsid w:val="00917637"/>
    <w:rsid w:val="00917FEE"/>
    <w:rsid w:val="0092023D"/>
    <w:rsid w:val="00920472"/>
    <w:rsid w:val="009206FA"/>
    <w:rsid w:val="00921251"/>
    <w:rsid w:val="00921861"/>
    <w:rsid w:val="0092189E"/>
    <w:rsid w:val="009219FD"/>
    <w:rsid w:val="00921D45"/>
    <w:rsid w:val="00921D9D"/>
    <w:rsid w:val="00921DF7"/>
    <w:rsid w:val="009222EA"/>
    <w:rsid w:val="009224CE"/>
    <w:rsid w:val="00922CF7"/>
    <w:rsid w:val="00923C5E"/>
    <w:rsid w:val="00924AC5"/>
    <w:rsid w:val="009257B0"/>
    <w:rsid w:val="009258BD"/>
    <w:rsid w:val="00925DEB"/>
    <w:rsid w:val="009263C0"/>
    <w:rsid w:val="0092674C"/>
    <w:rsid w:val="009302D4"/>
    <w:rsid w:val="00930476"/>
    <w:rsid w:val="0093049E"/>
    <w:rsid w:val="009307F2"/>
    <w:rsid w:val="00930C75"/>
    <w:rsid w:val="00930CEC"/>
    <w:rsid w:val="00930F4A"/>
    <w:rsid w:val="0093111F"/>
    <w:rsid w:val="009324D0"/>
    <w:rsid w:val="0093375E"/>
    <w:rsid w:val="00933BEF"/>
    <w:rsid w:val="00934106"/>
    <w:rsid w:val="0093787E"/>
    <w:rsid w:val="009412CC"/>
    <w:rsid w:val="0094388B"/>
    <w:rsid w:val="00943D09"/>
    <w:rsid w:val="00944826"/>
    <w:rsid w:val="00945035"/>
    <w:rsid w:val="009457A1"/>
    <w:rsid w:val="00947C5D"/>
    <w:rsid w:val="00947CA9"/>
    <w:rsid w:val="00947F9A"/>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17B"/>
    <w:rsid w:val="009623BC"/>
    <w:rsid w:val="009628BE"/>
    <w:rsid w:val="009631C8"/>
    <w:rsid w:val="00963AE4"/>
    <w:rsid w:val="00963C14"/>
    <w:rsid w:val="009645CD"/>
    <w:rsid w:val="00965940"/>
    <w:rsid w:val="00965A4E"/>
    <w:rsid w:val="00966BE5"/>
    <w:rsid w:val="00966EB0"/>
    <w:rsid w:val="00967BCA"/>
    <w:rsid w:val="00967CBF"/>
    <w:rsid w:val="0097017A"/>
    <w:rsid w:val="00971116"/>
    <w:rsid w:val="00972E28"/>
    <w:rsid w:val="00973030"/>
    <w:rsid w:val="009733F3"/>
    <w:rsid w:val="009737C5"/>
    <w:rsid w:val="009748E4"/>
    <w:rsid w:val="00975CCD"/>
    <w:rsid w:val="00975EC7"/>
    <w:rsid w:val="00976D65"/>
    <w:rsid w:val="009777A4"/>
    <w:rsid w:val="00977CE6"/>
    <w:rsid w:val="00980447"/>
    <w:rsid w:val="009807AC"/>
    <w:rsid w:val="00980C18"/>
    <w:rsid w:val="009810E9"/>
    <w:rsid w:val="0098141C"/>
    <w:rsid w:val="00981AA9"/>
    <w:rsid w:val="00981C91"/>
    <w:rsid w:val="00983132"/>
    <w:rsid w:val="00983314"/>
    <w:rsid w:val="00983DF2"/>
    <w:rsid w:val="0098433A"/>
    <w:rsid w:val="0098553B"/>
    <w:rsid w:val="00985675"/>
    <w:rsid w:val="009858DE"/>
    <w:rsid w:val="00985939"/>
    <w:rsid w:val="0098637F"/>
    <w:rsid w:val="00986A9B"/>
    <w:rsid w:val="00986B9C"/>
    <w:rsid w:val="00987601"/>
    <w:rsid w:val="00987BAB"/>
    <w:rsid w:val="009906BF"/>
    <w:rsid w:val="009913F3"/>
    <w:rsid w:val="00991424"/>
    <w:rsid w:val="00991DA1"/>
    <w:rsid w:val="00991F5F"/>
    <w:rsid w:val="009927F1"/>
    <w:rsid w:val="009936C4"/>
    <w:rsid w:val="0099426C"/>
    <w:rsid w:val="009948ED"/>
    <w:rsid w:val="00994C94"/>
    <w:rsid w:val="0099587A"/>
    <w:rsid w:val="00995ADA"/>
    <w:rsid w:val="00995CE8"/>
    <w:rsid w:val="00996406"/>
    <w:rsid w:val="0099643A"/>
    <w:rsid w:val="00996787"/>
    <w:rsid w:val="00997959"/>
    <w:rsid w:val="009A0BAF"/>
    <w:rsid w:val="009A1431"/>
    <w:rsid w:val="009A153D"/>
    <w:rsid w:val="009A1634"/>
    <w:rsid w:val="009A2D19"/>
    <w:rsid w:val="009A3A34"/>
    <w:rsid w:val="009A3FE2"/>
    <w:rsid w:val="009A400C"/>
    <w:rsid w:val="009A4B2C"/>
    <w:rsid w:val="009A4BE3"/>
    <w:rsid w:val="009A5592"/>
    <w:rsid w:val="009A59BA"/>
    <w:rsid w:val="009A6417"/>
    <w:rsid w:val="009B0131"/>
    <w:rsid w:val="009B01DF"/>
    <w:rsid w:val="009B020D"/>
    <w:rsid w:val="009B072F"/>
    <w:rsid w:val="009B07A1"/>
    <w:rsid w:val="009B09CC"/>
    <w:rsid w:val="009B173B"/>
    <w:rsid w:val="009B1A1A"/>
    <w:rsid w:val="009B246E"/>
    <w:rsid w:val="009B2608"/>
    <w:rsid w:val="009B2A71"/>
    <w:rsid w:val="009B3A48"/>
    <w:rsid w:val="009B4027"/>
    <w:rsid w:val="009B4975"/>
    <w:rsid w:val="009B561F"/>
    <w:rsid w:val="009B5773"/>
    <w:rsid w:val="009B5D2D"/>
    <w:rsid w:val="009B6728"/>
    <w:rsid w:val="009B6CEE"/>
    <w:rsid w:val="009C058F"/>
    <w:rsid w:val="009C0D72"/>
    <w:rsid w:val="009C1CAF"/>
    <w:rsid w:val="009C2B3E"/>
    <w:rsid w:val="009C2EA2"/>
    <w:rsid w:val="009C3721"/>
    <w:rsid w:val="009C4141"/>
    <w:rsid w:val="009C4B55"/>
    <w:rsid w:val="009C5FCC"/>
    <w:rsid w:val="009C61A2"/>
    <w:rsid w:val="009C6DF6"/>
    <w:rsid w:val="009C6E92"/>
    <w:rsid w:val="009D04F7"/>
    <w:rsid w:val="009D1589"/>
    <w:rsid w:val="009D2003"/>
    <w:rsid w:val="009D2E83"/>
    <w:rsid w:val="009D3155"/>
    <w:rsid w:val="009D38C2"/>
    <w:rsid w:val="009D4043"/>
    <w:rsid w:val="009D417F"/>
    <w:rsid w:val="009D45E5"/>
    <w:rsid w:val="009D4B85"/>
    <w:rsid w:val="009D5328"/>
    <w:rsid w:val="009D535B"/>
    <w:rsid w:val="009D630B"/>
    <w:rsid w:val="009D6A64"/>
    <w:rsid w:val="009D6C6C"/>
    <w:rsid w:val="009D6CAA"/>
    <w:rsid w:val="009D6CF6"/>
    <w:rsid w:val="009D6E69"/>
    <w:rsid w:val="009D7054"/>
    <w:rsid w:val="009D74AE"/>
    <w:rsid w:val="009E02DC"/>
    <w:rsid w:val="009E08E8"/>
    <w:rsid w:val="009E2040"/>
    <w:rsid w:val="009E49AE"/>
    <w:rsid w:val="009E4DC7"/>
    <w:rsid w:val="009E57B3"/>
    <w:rsid w:val="009E660A"/>
    <w:rsid w:val="009E6B64"/>
    <w:rsid w:val="009E72E5"/>
    <w:rsid w:val="009F0F9D"/>
    <w:rsid w:val="009F2682"/>
    <w:rsid w:val="009F2A40"/>
    <w:rsid w:val="009F2DAF"/>
    <w:rsid w:val="009F46C8"/>
    <w:rsid w:val="009F4F2A"/>
    <w:rsid w:val="009F660B"/>
    <w:rsid w:val="009F671E"/>
    <w:rsid w:val="009F6A19"/>
    <w:rsid w:val="009F6ECC"/>
    <w:rsid w:val="009F72EA"/>
    <w:rsid w:val="009F7ED1"/>
    <w:rsid w:val="009F7FE1"/>
    <w:rsid w:val="00A00861"/>
    <w:rsid w:val="00A0149B"/>
    <w:rsid w:val="00A01607"/>
    <w:rsid w:val="00A018D4"/>
    <w:rsid w:val="00A022D3"/>
    <w:rsid w:val="00A0242E"/>
    <w:rsid w:val="00A02F9D"/>
    <w:rsid w:val="00A03767"/>
    <w:rsid w:val="00A04834"/>
    <w:rsid w:val="00A05628"/>
    <w:rsid w:val="00A07DCF"/>
    <w:rsid w:val="00A12979"/>
    <w:rsid w:val="00A1314C"/>
    <w:rsid w:val="00A131A9"/>
    <w:rsid w:val="00A1496E"/>
    <w:rsid w:val="00A14F84"/>
    <w:rsid w:val="00A15049"/>
    <w:rsid w:val="00A15E8E"/>
    <w:rsid w:val="00A166B9"/>
    <w:rsid w:val="00A16D6D"/>
    <w:rsid w:val="00A17C75"/>
    <w:rsid w:val="00A20345"/>
    <w:rsid w:val="00A2045B"/>
    <w:rsid w:val="00A206D5"/>
    <w:rsid w:val="00A2071A"/>
    <w:rsid w:val="00A211C8"/>
    <w:rsid w:val="00A2121E"/>
    <w:rsid w:val="00A21532"/>
    <w:rsid w:val="00A21EAC"/>
    <w:rsid w:val="00A221DE"/>
    <w:rsid w:val="00A22CB2"/>
    <w:rsid w:val="00A23138"/>
    <w:rsid w:val="00A23940"/>
    <w:rsid w:val="00A23ECC"/>
    <w:rsid w:val="00A24CD3"/>
    <w:rsid w:val="00A25461"/>
    <w:rsid w:val="00A26367"/>
    <w:rsid w:val="00A2678A"/>
    <w:rsid w:val="00A269E1"/>
    <w:rsid w:val="00A27C1C"/>
    <w:rsid w:val="00A308B4"/>
    <w:rsid w:val="00A30F6A"/>
    <w:rsid w:val="00A32936"/>
    <w:rsid w:val="00A32AEA"/>
    <w:rsid w:val="00A32F32"/>
    <w:rsid w:val="00A33306"/>
    <w:rsid w:val="00A33E80"/>
    <w:rsid w:val="00A33EFE"/>
    <w:rsid w:val="00A3514A"/>
    <w:rsid w:val="00A373CF"/>
    <w:rsid w:val="00A40D90"/>
    <w:rsid w:val="00A4148D"/>
    <w:rsid w:val="00A44BE8"/>
    <w:rsid w:val="00A44D0E"/>
    <w:rsid w:val="00A44F74"/>
    <w:rsid w:val="00A4621D"/>
    <w:rsid w:val="00A509FB"/>
    <w:rsid w:val="00A50A48"/>
    <w:rsid w:val="00A51C19"/>
    <w:rsid w:val="00A51E04"/>
    <w:rsid w:val="00A522B5"/>
    <w:rsid w:val="00A525A5"/>
    <w:rsid w:val="00A52C31"/>
    <w:rsid w:val="00A52F37"/>
    <w:rsid w:val="00A533C5"/>
    <w:rsid w:val="00A5388C"/>
    <w:rsid w:val="00A5397B"/>
    <w:rsid w:val="00A53BE1"/>
    <w:rsid w:val="00A54644"/>
    <w:rsid w:val="00A55421"/>
    <w:rsid w:val="00A55921"/>
    <w:rsid w:val="00A560E3"/>
    <w:rsid w:val="00A5628F"/>
    <w:rsid w:val="00A564AF"/>
    <w:rsid w:val="00A566A8"/>
    <w:rsid w:val="00A56D0B"/>
    <w:rsid w:val="00A57442"/>
    <w:rsid w:val="00A5775C"/>
    <w:rsid w:val="00A60E72"/>
    <w:rsid w:val="00A60F49"/>
    <w:rsid w:val="00A61F0C"/>
    <w:rsid w:val="00A61FF0"/>
    <w:rsid w:val="00A62580"/>
    <w:rsid w:val="00A63AC9"/>
    <w:rsid w:val="00A63CE8"/>
    <w:rsid w:val="00A64502"/>
    <w:rsid w:val="00A64B5F"/>
    <w:rsid w:val="00A65EA0"/>
    <w:rsid w:val="00A66517"/>
    <w:rsid w:val="00A67021"/>
    <w:rsid w:val="00A67556"/>
    <w:rsid w:val="00A678F1"/>
    <w:rsid w:val="00A67B0E"/>
    <w:rsid w:val="00A718EF"/>
    <w:rsid w:val="00A71F5E"/>
    <w:rsid w:val="00A720D9"/>
    <w:rsid w:val="00A72134"/>
    <w:rsid w:val="00A72307"/>
    <w:rsid w:val="00A726A8"/>
    <w:rsid w:val="00A72951"/>
    <w:rsid w:val="00A73505"/>
    <w:rsid w:val="00A73E4E"/>
    <w:rsid w:val="00A75D56"/>
    <w:rsid w:val="00A75E02"/>
    <w:rsid w:val="00A7671D"/>
    <w:rsid w:val="00A76A84"/>
    <w:rsid w:val="00A76C07"/>
    <w:rsid w:val="00A76E79"/>
    <w:rsid w:val="00A7771B"/>
    <w:rsid w:val="00A77B53"/>
    <w:rsid w:val="00A811F1"/>
    <w:rsid w:val="00A81E31"/>
    <w:rsid w:val="00A82887"/>
    <w:rsid w:val="00A83010"/>
    <w:rsid w:val="00A83BF5"/>
    <w:rsid w:val="00A843A3"/>
    <w:rsid w:val="00A84CD1"/>
    <w:rsid w:val="00A84F19"/>
    <w:rsid w:val="00A85E2E"/>
    <w:rsid w:val="00A861F3"/>
    <w:rsid w:val="00A869FD"/>
    <w:rsid w:val="00A8728F"/>
    <w:rsid w:val="00A87417"/>
    <w:rsid w:val="00A8756A"/>
    <w:rsid w:val="00A87F7D"/>
    <w:rsid w:val="00A906B7"/>
    <w:rsid w:val="00A9070E"/>
    <w:rsid w:val="00A90C52"/>
    <w:rsid w:val="00A90CAA"/>
    <w:rsid w:val="00A91F9A"/>
    <w:rsid w:val="00A92794"/>
    <w:rsid w:val="00A92DD4"/>
    <w:rsid w:val="00A935CE"/>
    <w:rsid w:val="00A93C84"/>
    <w:rsid w:val="00A93F57"/>
    <w:rsid w:val="00A94D0F"/>
    <w:rsid w:val="00A94F13"/>
    <w:rsid w:val="00A9568C"/>
    <w:rsid w:val="00A95BED"/>
    <w:rsid w:val="00A95EA2"/>
    <w:rsid w:val="00A9787E"/>
    <w:rsid w:val="00A97AF9"/>
    <w:rsid w:val="00A97C34"/>
    <w:rsid w:val="00AA08E8"/>
    <w:rsid w:val="00AA0DB4"/>
    <w:rsid w:val="00AA11C5"/>
    <w:rsid w:val="00AA17E2"/>
    <w:rsid w:val="00AA21B7"/>
    <w:rsid w:val="00AA31B5"/>
    <w:rsid w:val="00AA3827"/>
    <w:rsid w:val="00AA382D"/>
    <w:rsid w:val="00AA4612"/>
    <w:rsid w:val="00AA4A2C"/>
    <w:rsid w:val="00AA4C95"/>
    <w:rsid w:val="00AA59A6"/>
    <w:rsid w:val="00AA6299"/>
    <w:rsid w:val="00AA6E05"/>
    <w:rsid w:val="00AA7D7D"/>
    <w:rsid w:val="00AB0262"/>
    <w:rsid w:val="00AB14A1"/>
    <w:rsid w:val="00AB1954"/>
    <w:rsid w:val="00AB202A"/>
    <w:rsid w:val="00AB2C5F"/>
    <w:rsid w:val="00AB35AF"/>
    <w:rsid w:val="00AB5555"/>
    <w:rsid w:val="00AB55AD"/>
    <w:rsid w:val="00AB5D1B"/>
    <w:rsid w:val="00AB6918"/>
    <w:rsid w:val="00AB6B40"/>
    <w:rsid w:val="00AB740A"/>
    <w:rsid w:val="00AC1DA5"/>
    <w:rsid w:val="00AC216B"/>
    <w:rsid w:val="00AC26B1"/>
    <w:rsid w:val="00AC3AE0"/>
    <w:rsid w:val="00AC42B8"/>
    <w:rsid w:val="00AC45C5"/>
    <w:rsid w:val="00AC4791"/>
    <w:rsid w:val="00AC4F43"/>
    <w:rsid w:val="00AC4FB6"/>
    <w:rsid w:val="00AC4FD1"/>
    <w:rsid w:val="00AC5FEF"/>
    <w:rsid w:val="00AC6036"/>
    <w:rsid w:val="00AD0328"/>
    <w:rsid w:val="00AD04A1"/>
    <w:rsid w:val="00AD0779"/>
    <w:rsid w:val="00AD0AB8"/>
    <w:rsid w:val="00AD11DC"/>
    <w:rsid w:val="00AD1966"/>
    <w:rsid w:val="00AD19E8"/>
    <w:rsid w:val="00AD2B03"/>
    <w:rsid w:val="00AD2E07"/>
    <w:rsid w:val="00AD38A9"/>
    <w:rsid w:val="00AD3ECA"/>
    <w:rsid w:val="00AD4071"/>
    <w:rsid w:val="00AD44EA"/>
    <w:rsid w:val="00AD4782"/>
    <w:rsid w:val="00AD5236"/>
    <w:rsid w:val="00AD527D"/>
    <w:rsid w:val="00AD54E0"/>
    <w:rsid w:val="00AD67D4"/>
    <w:rsid w:val="00AD758E"/>
    <w:rsid w:val="00AD7AB5"/>
    <w:rsid w:val="00AD7E55"/>
    <w:rsid w:val="00AE08B7"/>
    <w:rsid w:val="00AE0DBA"/>
    <w:rsid w:val="00AE160F"/>
    <w:rsid w:val="00AE21DC"/>
    <w:rsid w:val="00AE239B"/>
    <w:rsid w:val="00AE25D2"/>
    <w:rsid w:val="00AE2B47"/>
    <w:rsid w:val="00AE2CAD"/>
    <w:rsid w:val="00AE3090"/>
    <w:rsid w:val="00AE30F2"/>
    <w:rsid w:val="00AE380E"/>
    <w:rsid w:val="00AE3AAD"/>
    <w:rsid w:val="00AE40D1"/>
    <w:rsid w:val="00AE4189"/>
    <w:rsid w:val="00AE503A"/>
    <w:rsid w:val="00AE5BB5"/>
    <w:rsid w:val="00AE68E2"/>
    <w:rsid w:val="00AE6DC2"/>
    <w:rsid w:val="00AE70F0"/>
    <w:rsid w:val="00AF0157"/>
    <w:rsid w:val="00AF13C3"/>
    <w:rsid w:val="00AF19BA"/>
    <w:rsid w:val="00AF1B2E"/>
    <w:rsid w:val="00AF2A07"/>
    <w:rsid w:val="00AF2EC7"/>
    <w:rsid w:val="00AF3AC0"/>
    <w:rsid w:val="00AF4F4A"/>
    <w:rsid w:val="00AF56AA"/>
    <w:rsid w:val="00AF5E4E"/>
    <w:rsid w:val="00AF6080"/>
    <w:rsid w:val="00AF6DD1"/>
    <w:rsid w:val="00B0039B"/>
    <w:rsid w:val="00B00C24"/>
    <w:rsid w:val="00B00F93"/>
    <w:rsid w:val="00B01BBE"/>
    <w:rsid w:val="00B020A0"/>
    <w:rsid w:val="00B03F92"/>
    <w:rsid w:val="00B04DFE"/>
    <w:rsid w:val="00B05159"/>
    <w:rsid w:val="00B055D8"/>
    <w:rsid w:val="00B05C49"/>
    <w:rsid w:val="00B06CD6"/>
    <w:rsid w:val="00B06EBC"/>
    <w:rsid w:val="00B100B2"/>
    <w:rsid w:val="00B107B8"/>
    <w:rsid w:val="00B11D2D"/>
    <w:rsid w:val="00B123F0"/>
    <w:rsid w:val="00B1247C"/>
    <w:rsid w:val="00B12891"/>
    <w:rsid w:val="00B13126"/>
    <w:rsid w:val="00B146C1"/>
    <w:rsid w:val="00B146E7"/>
    <w:rsid w:val="00B156DF"/>
    <w:rsid w:val="00B15ABB"/>
    <w:rsid w:val="00B15F11"/>
    <w:rsid w:val="00B16973"/>
    <w:rsid w:val="00B177FD"/>
    <w:rsid w:val="00B2036A"/>
    <w:rsid w:val="00B20464"/>
    <w:rsid w:val="00B20FCA"/>
    <w:rsid w:val="00B21057"/>
    <w:rsid w:val="00B212B2"/>
    <w:rsid w:val="00B21837"/>
    <w:rsid w:val="00B2202B"/>
    <w:rsid w:val="00B22050"/>
    <w:rsid w:val="00B22913"/>
    <w:rsid w:val="00B231CF"/>
    <w:rsid w:val="00B23422"/>
    <w:rsid w:val="00B24948"/>
    <w:rsid w:val="00B24CBD"/>
    <w:rsid w:val="00B25CA3"/>
    <w:rsid w:val="00B26713"/>
    <w:rsid w:val="00B27D4B"/>
    <w:rsid w:val="00B30028"/>
    <w:rsid w:val="00B31E8D"/>
    <w:rsid w:val="00B3313B"/>
    <w:rsid w:val="00B331E8"/>
    <w:rsid w:val="00B331EA"/>
    <w:rsid w:val="00B33A5E"/>
    <w:rsid w:val="00B34732"/>
    <w:rsid w:val="00B353B8"/>
    <w:rsid w:val="00B35C56"/>
    <w:rsid w:val="00B368A0"/>
    <w:rsid w:val="00B36F17"/>
    <w:rsid w:val="00B372ED"/>
    <w:rsid w:val="00B40603"/>
    <w:rsid w:val="00B40AF6"/>
    <w:rsid w:val="00B41071"/>
    <w:rsid w:val="00B425C0"/>
    <w:rsid w:val="00B42C5F"/>
    <w:rsid w:val="00B42DB6"/>
    <w:rsid w:val="00B46957"/>
    <w:rsid w:val="00B475B0"/>
    <w:rsid w:val="00B475ED"/>
    <w:rsid w:val="00B47B54"/>
    <w:rsid w:val="00B50E99"/>
    <w:rsid w:val="00B51323"/>
    <w:rsid w:val="00B51926"/>
    <w:rsid w:val="00B51F9A"/>
    <w:rsid w:val="00B52865"/>
    <w:rsid w:val="00B54DA7"/>
    <w:rsid w:val="00B54E9F"/>
    <w:rsid w:val="00B55CB0"/>
    <w:rsid w:val="00B55F1B"/>
    <w:rsid w:val="00B600C6"/>
    <w:rsid w:val="00B60167"/>
    <w:rsid w:val="00B60FC0"/>
    <w:rsid w:val="00B61665"/>
    <w:rsid w:val="00B63528"/>
    <w:rsid w:val="00B63569"/>
    <w:rsid w:val="00B63DAF"/>
    <w:rsid w:val="00B63E98"/>
    <w:rsid w:val="00B64196"/>
    <w:rsid w:val="00B644A7"/>
    <w:rsid w:val="00B6573B"/>
    <w:rsid w:val="00B65754"/>
    <w:rsid w:val="00B661AA"/>
    <w:rsid w:val="00B66242"/>
    <w:rsid w:val="00B670D3"/>
    <w:rsid w:val="00B67958"/>
    <w:rsid w:val="00B701D1"/>
    <w:rsid w:val="00B70999"/>
    <w:rsid w:val="00B716BB"/>
    <w:rsid w:val="00B716FD"/>
    <w:rsid w:val="00B718EA"/>
    <w:rsid w:val="00B734C2"/>
    <w:rsid w:val="00B73BDA"/>
    <w:rsid w:val="00B74053"/>
    <w:rsid w:val="00B765A0"/>
    <w:rsid w:val="00B76C02"/>
    <w:rsid w:val="00B77BD2"/>
    <w:rsid w:val="00B814CB"/>
    <w:rsid w:val="00B81B6A"/>
    <w:rsid w:val="00B820F4"/>
    <w:rsid w:val="00B835E0"/>
    <w:rsid w:val="00B8396D"/>
    <w:rsid w:val="00B86F48"/>
    <w:rsid w:val="00B8710C"/>
    <w:rsid w:val="00B90331"/>
    <w:rsid w:val="00B903ED"/>
    <w:rsid w:val="00B90B2D"/>
    <w:rsid w:val="00B93368"/>
    <w:rsid w:val="00B935A1"/>
    <w:rsid w:val="00B95DAD"/>
    <w:rsid w:val="00B96C0C"/>
    <w:rsid w:val="00B96FD5"/>
    <w:rsid w:val="00B96FE0"/>
    <w:rsid w:val="00B97347"/>
    <w:rsid w:val="00B9734D"/>
    <w:rsid w:val="00B97732"/>
    <w:rsid w:val="00BA05DD"/>
    <w:rsid w:val="00BA10FA"/>
    <w:rsid w:val="00BA27F4"/>
    <w:rsid w:val="00BA2E40"/>
    <w:rsid w:val="00BA3CB7"/>
    <w:rsid w:val="00BA41DE"/>
    <w:rsid w:val="00BA514F"/>
    <w:rsid w:val="00BA556C"/>
    <w:rsid w:val="00BA68E9"/>
    <w:rsid w:val="00BA7116"/>
    <w:rsid w:val="00BB089C"/>
    <w:rsid w:val="00BB0F31"/>
    <w:rsid w:val="00BB15AB"/>
    <w:rsid w:val="00BB189B"/>
    <w:rsid w:val="00BB1D21"/>
    <w:rsid w:val="00BB2E51"/>
    <w:rsid w:val="00BB35F2"/>
    <w:rsid w:val="00BB4BEA"/>
    <w:rsid w:val="00BB4C1A"/>
    <w:rsid w:val="00BB50AB"/>
    <w:rsid w:val="00BB6664"/>
    <w:rsid w:val="00BC01FC"/>
    <w:rsid w:val="00BC1F79"/>
    <w:rsid w:val="00BC2201"/>
    <w:rsid w:val="00BC2942"/>
    <w:rsid w:val="00BC3C7A"/>
    <w:rsid w:val="00BC626D"/>
    <w:rsid w:val="00BC7DC6"/>
    <w:rsid w:val="00BD04AD"/>
    <w:rsid w:val="00BD1039"/>
    <w:rsid w:val="00BD13B5"/>
    <w:rsid w:val="00BD2EFC"/>
    <w:rsid w:val="00BD322A"/>
    <w:rsid w:val="00BD340E"/>
    <w:rsid w:val="00BD60AD"/>
    <w:rsid w:val="00BD6C02"/>
    <w:rsid w:val="00BD750A"/>
    <w:rsid w:val="00BE1244"/>
    <w:rsid w:val="00BE165D"/>
    <w:rsid w:val="00BE2394"/>
    <w:rsid w:val="00BE2702"/>
    <w:rsid w:val="00BE3E29"/>
    <w:rsid w:val="00BE4326"/>
    <w:rsid w:val="00BE4A7F"/>
    <w:rsid w:val="00BE56A9"/>
    <w:rsid w:val="00BE5F4F"/>
    <w:rsid w:val="00BE60DB"/>
    <w:rsid w:val="00BE7D37"/>
    <w:rsid w:val="00BF0191"/>
    <w:rsid w:val="00BF13EC"/>
    <w:rsid w:val="00BF1C07"/>
    <w:rsid w:val="00BF3DEE"/>
    <w:rsid w:val="00BF408C"/>
    <w:rsid w:val="00BF4881"/>
    <w:rsid w:val="00BF4B9A"/>
    <w:rsid w:val="00BF54AC"/>
    <w:rsid w:val="00BF54BD"/>
    <w:rsid w:val="00BF57C5"/>
    <w:rsid w:val="00BF6B8E"/>
    <w:rsid w:val="00C025A5"/>
    <w:rsid w:val="00C03407"/>
    <w:rsid w:val="00C0397B"/>
    <w:rsid w:val="00C03C78"/>
    <w:rsid w:val="00C04955"/>
    <w:rsid w:val="00C04D2C"/>
    <w:rsid w:val="00C04FD3"/>
    <w:rsid w:val="00C060FD"/>
    <w:rsid w:val="00C065A2"/>
    <w:rsid w:val="00C07919"/>
    <w:rsid w:val="00C103F9"/>
    <w:rsid w:val="00C104AC"/>
    <w:rsid w:val="00C110E1"/>
    <w:rsid w:val="00C1198F"/>
    <w:rsid w:val="00C11FA1"/>
    <w:rsid w:val="00C12E21"/>
    <w:rsid w:val="00C12E65"/>
    <w:rsid w:val="00C13C20"/>
    <w:rsid w:val="00C13D44"/>
    <w:rsid w:val="00C13F74"/>
    <w:rsid w:val="00C146D3"/>
    <w:rsid w:val="00C15310"/>
    <w:rsid w:val="00C16BE0"/>
    <w:rsid w:val="00C20360"/>
    <w:rsid w:val="00C219BD"/>
    <w:rsid w:val="00C21C39"/>
    <w:rsid w:val="00C2325C"/>
    <w:rsid w:val="00C2344B"/>
    <w:rsid w:val="00C239ED"/>
    <w:rsid w:val="00C24D9D"/>
    <w:rsid w:val="00C25CF3"/>
    <w:rsid w:val="00C263E9"/>
    <w:rsid w:val="00C2740A"/>
    <w:rsid w:val="00C2775A"/>
    <w:rsid w:val="00C27E3D"/>
    <w:rsid w:val="00C3063A"/>
    <w:rsid w:val="00C308E0"/>
    <w:rsid w:val="00C30BAD"/>
    <w:rsid w:val="00C31E8F"/>
    <w:rsid w:val="00C32CEB"/>
    <w:rsid w:val="00C335DA"/>
    <w:rsid w:val="00C33D3E"/>
    <w:rsid w:val="00C3462E"/>
    <w:rsid w:val="00C357B5"/>
    <w:rsid w:val="00C3595D"/>
    <w:rsid w:val="00C362E0"/>
    <w:rsid w:val="00C36AEE"/>
    <w:rsid w:val="00C36ED4"/>
    <w:rsid w:val="00C3701A"/>
    <w:rsid w:val="00C376CC"/>
    <w:rsid w:val="00C400F7"/>
    <w:rsid w:val="00C40205"/>
    <w:rsid w:val="00C40494"/>
    <w:rsid w:val="00C40EC6"/>
    <w:rsid w:val="00C419AD"/>
    <w:rsid w:val="00C41B5F"/>
    <w:rsid w:val="00C437BA"/>
    <w:rsid w:val="00C44395"/>
    <w:rsid w:val="00C443B3"/>
    <w:rsid w:val="00C444F0"/>
    <w:rsid w:val="00C45B58"/>
    <w:rsid w:val="00C45CE8"/>
    <w:rsid w:val="00C46F06"/>
    <w:rsid w:val="00C47659"/>
    <w:rsid w:val="00C47DA6"/>
    <w:rsid w:val="00C50986"/>
    <w:rsid w:val="00C50ABF"/>
    <w:rsid w:val="00C50AE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D63"/>
    <w:rsid w:val="00C5503B"/>
    <w:rsid w:val="00C55A32"/>
    <w:rsid w:val="00C564F2"/>
    <w:rsid w:val="00C56B28"/>
    <w:rsid w:val="00C56F11"/>
    <w:rsid w:val="00C60405"/>
    <w:rsid w:val="00C61F3A"/>
    <w:rsid w:val="00C620E8"/>
    <w:rsid w:val="00C629CB"/>
    <w:rsid w:val="00C62B75"/>
    <w:rsid w:val="00C644A0"/>
    <w:rsid w:val="00C657B5"/>
    <w:rsid w:val="00C661E1"/>
    <w:rsid w:val="00C66686"/>
    <w:rsid w:val="00C67022"/>
    <w:rsid w:val="00C678C4"/>
    <w:rsid w:val="00C708DC"/>
    <w:rsid w:val="00C71215"/>
    <w:rsid w:val="00C71B25"/>
    <w:rsid w:val="00C7216B"/>
    <w:rsid w:val="00C727BE"/>
    <w:rsid w:val="00C732A9"/>
    <w:rsid w:val="00C73448"/>
    <w:rsid w:val="00C73E2E"/>
    <w:rsid w:val="00C74139"/>
    <w:rsid w:val="00C74546"/>
    <w:rsid w:val="00C748E2"/>
    <w:rsid w:val="00C75083"/>
    <w:rsid w:val="00C764BF"/>
    <w:rsid w:val="00C767E7"/>
    <w:rsid w:val="00C7776C"/>
    <w:rsid w:val="00C80D2E"/>
    <w:rsid w:val="00C82C8D"/>
    <w:rsid w:val="00C8398D"/>
    <w:rsid w:val="00C84BC2"/>
    <w:rsid w:val="00C85139"/>
    <w:rsid w:val="00C85657"/>
    <w:rsid w:val="00C85A5C"/>
    <w:rsid w:val="00C91C88"/>
    <w:rsid w:val="00C939C3"/>
    <w:rsid w:val="00C94228"/>
    <w:rsid w:val="00C96D56"/>
    <w:rsid w:val="00C977E6"/>
    <w:rsid w:val="00CA0020"/>
    <w:rsid w:val="00CA0356"/>
    <w:rsid w:val="00CA0B2E"/>
    <w:rsid w:val="00CA18CA"/>
    <w:rsid w:val="00CA2557"/>
    <w:rsid w:val="00CA3716"/>
    <w:rsid w:val="00CA5413"/>
    <w:rsid w:val="00CA5674"/>
    <w:rsid w:val="00CA5BDA"/>
    <w:rsid w:val="00CA5C1A"/>
    <w:rsid w:val="00CA633F"/>
    <w:rsid w:val="00CA641E"/>
    <w:rsid w:val="00CA7558"/>
    <w:rsid w:val="00CA785F"/>
    <w:rsid w:val="00CA792A"/>
    <w:rsid w:val="00CA7949"/>
    <w:rsid w:val="00CB0400"/>
    <w:rsid w:val="00CB0C6E"/>
    <w:rsid w:val="00CB0C89"/>
    <w:rsid w:val="00CB127A"/>
    <w:rsid w:val="00CB14A1"/>
    <w:rsid w:val="00CB226B"/>
    <w:rsid w:val="00CB229B"/>
    <w:rsid w:val="00CB33B4"/>
    <w:rsid w:val="00CB39A3"/>
    <w:rsid w:val="00CB3D93"/>
    <w:rsid w:val="00CB3F09"/>
    <w:rsid w:val="00CB4160"/>
    <w:rsid w:val="00CB4441"/>
    <w:rsid w:val="00CB4B1A"/>
    <w:rsid w:val="00CB4E1F"/>
    <w:rsid w:val="00CC0617"/>
    <w:rsid w:val="00CC152E"/>
    <w:rsid w:val="00CC2493"/>
    <w:rsid w:val="00CC3222"/>
    <w:rsid w:val="00CC35F1"/>
    <w:rsid w:val="00CC35FF"/>
    <w:rsid w:val="00CC61CC"/>
    <w:rsid w:val="00CC6D72"/>
    <w:rsid w:val="00CC783B"/>
    <w:rsid w:val="00CD0CC4"/>
    <w:rsid w:val="00CD0E6E"/>
    <w:rsid w:val="00CD23AE"/>
    <w:rsid w:val="00CD24AF"/>
    <w:rsid w:val="00CD27DF"/>
    <w:rsid w:val="00CD2D8A"/>
    <w:rsid w:val="00CD3BAC"/>
    <w:rsid w:val="00CD3FF2"/>
    <w:rsid w:val="00CD4A65"/>
    <w:rsid w:val="00CD531F"/>
    <w:rsid w:val="00CD6BD6"/>
    <w:rsid w:val="00CD6FA3"/>
    <w:rsid w:val="00CE12CC"/>
    <w:rsid w:val="00CE171A"/>
    <w:rsid w:val="00CE2184"/>
    <w:rsid w:val="00CE21E0"/>
    <w:rsid w:val="00CE3196"/>
    <w:rsid w:val="00CE3B7F"/>
    <w:rsid w:val="00CE3E66"/>
    <w:rsid w:val="00CE3FA2"/>
    <w:rsid w:val="00CE41A0"/>
    <w:rsid w:val="00CE4788"/>
    <w:rsid w:val="00CE4958"/>
    <w:rsid w:val="00CE4DC1"/>
    <w:rsid w:val="00CE4FC3"/>
    <w:rsid w:val="00CE68E2"/>
    <w:rsid w:val="00CE706E"/>
    <w:rsid w:val="00CE70B1"/>
    <w:rsid w:val="00CE7AE4"/>
    <w:rsid w:val="00CF0A1B"/>
    <w:rsid w:val="00CF0A4C"/>
    <w:rsid w:val="00CF150A"/>
    <w:rsid w:val="00CF2225"/>
    <w:rsid w:val="00CF25E7"/>
    <w:rsid w:val="00CF3C77"/>
    <w:rsid w:val="00CF45A2"/>
    <w:rsid w:val="00CF4954"/>
    <w:rsid w:val="00CF4E4B"/>
    <w:rsid w:val="00CF52E7"/>
    <w:rsid w:val="00CF57D0"/>
    <w:rsid w:val="00CF64B5"/>
    <w:rsid w:val="00CF7853"/>
    <w:rsid w:val="00CF7894"/>
    <w:rsid w:val="00D004ED"/>
    <w:rsid w:val="00D0260F"/>
    <w:rsid w:val="00D03708"/>
    <w:rsid w:val="00D039EC"/>
    <w:rsid w:val="00D06776"/>
    <w:rsid w:val="00D06E46"/>
    <w:rsid w:val="00D06F95"/>
    <w:rsid w:val="00D07277"/>
    <w:rsid w:val="00D1042F"/>
    <w:rsid w:val="00D1158C"/>
    <w:rsid w:val="00D11600"/>
    <w:rsid w:val="00D119A2"/>
    <w:rsid w:val="00D11EBA"/>
    <w:rsid w:val="00D12E31"/>
    <w:rsid w:val="00D137F9"/>
    <w:rsid w:val="00D1458C"/>
    <w:rsid w:val="00D1620E"/>
    <w:rsid w:val="00D16867"/>
    <w:rsid w:val="00D16EEC"/>
    <w:rsid w:val="00D17780"/>
    <w:rsid w:val="00D20428"/>
    <w:rsid w:val="00D2047A"/>
    <w:rsid w:val="00D20631"/>
    <w:rsid w:val="00D207FC"/>
    <w:rsid w:val="00D2260B"/>
    <w:rsid w:val="00D22D49"/>
    <w:rsid w:val="00D23930"/>
    <w:rsid w:val="00D23A23"/>
    <w:rsid w:val="00D24D8A"/>
    <w:rsid w:val="00D24DA4"/>
    <w:rsid w:val="00D250AE"/>
    <w:rsid w:val="00D25235"/>
    <w:rsid w:val="00D25383"/>
    <w:rsid w:val="00D25670"/>
    <w:rsid w:val="00D275C1"/>
    <w:rsid w:val="00D301FF"/>
    <w:rsid w:val="00D3257F"/>
    <w:rsid w:val="00D32A7B"/>
    <w:rsid w:val="00D340E2"/>
    <w:rsid w:val="00D35578"/>
    <w:rsid w:val="00D36887"/>
    <w:rsid w:val="00D37563"/>
    <w:rsid w:val="00D379EB"/>
    <w:rsid w:val="00D400B8"/>
    <w:rsid w:val="00D4022C"/>
    <w:rsid w:val="00D41023"/>
    <w:rsid w:val="00D41C6C"/>
    <w:rsid w:val="00D41CD4"/>
    <w:rsid w:val="00D42465"/>
    <w:rsid w:val="00D428EB"/>
    <w:rsid w:val="00D42E5B"/>
    <w:rsid w:val="00D439D1"/>
    <w:rsid w:val="00D43C68"/>
    <w:rsid w:val="00D444B2"/>
    <w:rsid w:val="00D44751"/>
    <w:rsid w:val="00D44C20"/>
    <w:rsid w:val="00D4529B"/>
    <w:rsid w:val="00D453E4"/>
    <w:rsid w:val="00D45ADE"/>
    <w:rsid w:val="00D461FE"/>
    <w:rsid w:val="00D47226"/>
    <w:rsid w:val="00D47992"/>
    <w:rsid w:val="00D47BD8"/>
    <w:rsid w:val="00D50B21"/>
    <w:rsid w:val="00D51349"/>
    <w:rsid w:val="00D527AF"/>
    <w:rsid w:val="00D529E1"/>
    <w:rsid w:val="00D534C2"/>
    <w:rsid w:val="00D5410F"/>
    <w:rsid w:val="00D56123"/>
    <w:rsid w:val="00D564DF"/>
    <w:rsid w:val="00D576DD"/>
    <w:rsid w:val="00D57CB4"/>
    <w:rsid w:val="00D61477"/>
    <w:rsid w:val="00D617E9"/>
    <w:rsid w:val="00D619E2"/>
    <w:rsid w:val="00D62036"/>
    <w:rsid w:val="00D620CC"/>
    <w:rsid w:val="00D6271E"/>
    <w:rsid w:val="00D634B8"/>
    <w:rsid w:val="00D63EF3"/>
    <w:rsid w:val="00D64441"/>
    <w:rsid w:val="00D64FB0"/>
    <w:rsid w:val="00D65497"/>
    <w:rsid w:val="00D654D5"/>
    <w:rsid w:val="00D654DA"/>
    <w:rsid w:val="00D6609E"/>
    <w:rsid w:val="00D67A9F"/>
    <w:rsid w:val="00D67C20"/>
    <w:rsid w:val="00D70C1B"/>
    <w:rsid w:val="00D70E5C"/>
    <w:rsid w:val="00D7146C"/>
    <w:rsid w:val="00D718CD"/>
    <w:rsid w:val="00D7416F"/>
    <w:rsid w:val="00D755F2"/>
    <w:rsid w:val="00D762AC"/>
    <w:rsid w:val="00D774A8"/>
    <w:rsid w:val="00D775E7"/>
    <w:rsid w:val="00D77B9E"/>
    <w:rsid w:val="00D8127D"/>
    <w:rsid w:val="00D81CA9"/>
    <w:rsid w:val="00D8394C"/>
    <w:rsid w:val="00D839D8"/>
    <w:rsid w:val="00D83F9E"/>
    <w:rsid w:val="00D840C2"/>
    <w:rsid w:val="00D84562"/>
    <w:rsid w:val="00D85C16"/>
    <w:rsid w:val="00D86169"/>
    <w:rsid w:val="00D86EC2"/>
    <w:rsid w:val="00D8732E"/>
    <w:rsid w:val="00D911A8"/>
    <w:rsid w:val="00D91294"/>
    <w:rsid w:val="00D9186A"/>
    <w:rsid w:val="00D92D47"/>
    <w:rsid w:val="00D93C99"/>
    <w:rsid w:val="00D94213"/>
    <w:rsid w:val="00D9454E"/>
    <w:rsid w:val="00D94BEB"/>
    <w:rsid w:val="00D94E60"/>
    <w:rsid w:val="00D94EA5"/>
    <w:rsid w:val="00D95F32"/>
    <w:rsid w:val="00DA024A"/>
    <w:rsid w:val="00DA0784"/>
    <w:rsid w:val="00DA07EE"/>
    <w:rsid w:val="00DA0A58"/>
    <w:rsid w:val="00DA0B9C"/>
    <w:rsid w:val="00DA1C85"/>
    <w:rsid w:val="00DA1CC9"/>
    <w:rsid w:val="00DA2E58"/>
    <w:rsid w:val="00DA328E"/>
    <w:rsid w:val="00DA3AA6"/>
    <w:rsid w:val="00DA46C1"/>
    <w:rsid w:val="00DA70DD"/>
    <w:rsid w:val="00DB088F"/>
    <w:rsid w:val="00DB0B4A"/>
    <w:rsid w:val="00DB1487"/>
    <w:rsid w:val="00DB19B4"/>
    <w:rsid w:val="00DB19F1"/>
    <w:rsid w:val="00DB26AE"/>
    <w:rsid w:val="00DB2C89"/>
    <w:rsid w:val="00DB4411"/>
    <w:rsid w:val="00DB466D"/>
    <w:rsid w:val="00DB5FD0"/>
    <w:rsid w:val="00DB6D4C"/>
    <w:rsid w:val="00DB7395"/>
    <w:rsid w:val="00DB75C2"/>
    <w:rsid w:val="00DB7A98"/>
    <w:rsid w:val="00DB7E2C"/>
    <w:rsid w:val="00DC013A"/>
    <w:rsid w:val="00DC027B"/>
    <w:rsid w:val="00DC0A64"/>
    <w:rsid w:val="00DC0FC4"/>
    <w:rsid w:val="00DC1B9A"/>
    <w:rsid w:val="00DC1D63"/>
    <w:rsid w:val="00DC2344"/>
    <w:rsid w:val="00DC2E4F"/>
    <w:rsid w:val="00DC384C"/>
    <w:rsid w:val="00DC40C4"/>
    <w:rsid w:val="00DC4AFD"/>
    <w:rsid w:val="00DC4D87"/>
    <w:rsid w:val="00DC4D8A"/>
    <w:rsid w:val="00DC5745"/>
    <w:rsid w:val="00DC6DF6"/>
    <w:rsid w:val="00DC7BFE"/>
    <w:rsid w:val="00DD08C7"/>
    <w:rsid w:val="00DD1A10"/>
    <w:rsid w:val="00DD200D"/>
    <w:rsid w:val="00DD2990"/>
    <w:rsid w:val="00DD2FE9"/>
    <w:rsid w:val="00DD3A7E"/>
    <w:rsid w:val="00DD434E"/>
    <w:rsid w:val="00DD4402"/>
    <w:rsid w:val="00DD60D0"/>
    <w:rsid w:val="00DD6200"/>
    <w:rsid w:val="00DD686C"/>
    <w:rsid w:val="00DD6E54"/>
    <w:rsid w:val="00DD6E86"/>
    <w:rsid w:val="00DE0E5D"/>
    <w:rsid w:val="00DE447F"/>
    <w:rsid w:val="00DE48F0"/>
    <w:rsid w:val="00DE4A77"/>
    <w:rsid w:val="00DE68EE"/>
    <w:rsid w:val="00DE6D24"/>
    <w:rsid w:val="00DE7285"/>
    <w:rsid w:val="00DE7C40"/>
    <w:rsid w:val="00DF0EA5"/>
    <w:rsid w:val="00DF1A83"/>
    <w:rsid w:val="00DF1F1D"/>
    <w:rsid w:val="00DF23A5"/>
    <w:rsid w:val="00DF28D0"/>
    <w:rsid w:val="00DF3CD5"/>
    <w:rsid w:val="00DF4B27"/>
    <w:rsid w:val="00DF4C6E"/>
    <w:rsid w:val="00DF4DC3"/>
    <w:rsid w:val="00DF52C8"/>
    <w:rsid w:val="00DF64A1"/>
    <w:rsid w:val="00DF6666"/>
    <w:rsid w:val="00DF745E"/>
    <w:rsid w:val="00DF762E"/>
    <w:rsid w:val="00E0044E"/>
    <w:rsid w:val="00E00816"/>
    <w:rsid w:val="00E02056"/>
    <w:rsid w:val="00E0239F"/>
    <w:rsid w:val="00E0267B"/>
    <w:rsid w:val="00E04441"/>
    <w:rsid w:val="00E0452A"/>
    <w:rsid w:val="00E05F03"/>
    <w:rsid w:val="00E06370"/>
    <w:rsid w:val="00E065A7"/>
    <w:rsid w:val="00E06B7B"/>
    <w:rsid w:val="00E06E20"/>
    <w:rsid w:val="00E07DD9"/>
    <w:rsid w:val="00E07DFD"/>
    <w:rsid w:val="00E102F8"/>
    <w:rsid w:val="00E11662"/>
    <w:rsid w:val="00E11D3D"/>
    <w:rsid w:val="00E123B0"/>
    <w:rsid w:val="00E12FCF"/>
    <w:rsid w:val="00E13273"/>
    <w:rsid w:val="00E13379"/>
    <w:rsid w:val="00E139EE"/>
    <w:rsid w:val="00E14D83"/>
    <w:rsid w:val="00E14FA6"/>
    <w:rsid w:val="00E15A0D"/>
    <w:rsid w:val="00E15B32"/>
    <w:rsid w:val="00E16014"/>
    <w:rsid w:val="00E16640"/>
    <w:rsid w:val="00E1740F"/>
    <w:rsid w:val="00E17527"/>
    <w:rsid w:val="00E200CF"/>
    <w:rsid w:val="00E20FA4"/>
    <w:rsid w:val="00E234C5"/>
    <w:rsid w:val="00E24287"/>
    <w:rsid w:val="00E24468"/>
    <w:rsid w:val="00E26817"/>
    <w:rsid w:val="00E26B3C"/>
    <w:rsid w:val="00E31367"/>
    <w:rsid w:val="00E3181C"/>
    <w:rsid w:val="00E31B10"/>
    <w:rsid w:val="00E322C5"/>
    <w:rsid w:val="00E32EF3"/>
    <w:rsid w:val="00E33E21"/>
    <w:rsid w:val="00E34BC4"/>
    <w:rsid w:val="00E34D81"/>
    <w:rsid w:val="00E34F9C"/>
    <w:rsid w:val="00E3540C"/>
    <w:rsid w:val="00E358FD"/>
    <w:rsid w:val="00E36187"/>
    <w:rsid w:val="00E36332"/>
    <w:rsid w:val="00E36815"/>
    <w:rsid w:val="00E36856"/>
    <w:rsid w:val="00E36C9B"/>
    <w:rsid w:val="00E37638"/>
    <w:rsid w:val="00E37E9D"/>
    <w:rsid w:val="00E413A9"/>
    <w:rsid w:val="00E41B5B"/>
    <w:rsid w:val="00E41B71"/>
    <w:rsid w:val="00E4214F"/>
    <w:rsid w:val="00E42569"/>
    <w:rsid w:val="00E43375"/>
    <w:rsid w:val="00E434A0"/>
    <w:rsid w:val="00E43A15"/>
    <w:rsid w:val="00E43DEE"/>
    <w:rsid w:val="00E44D30"/>
    <w:rsid w:val="00E4597F"/>
    <w:rsid w:val="00E46CB7"/>
    <w:rsid w:val="00E4723D"/>
    <w:rsid w:val="00E5077C"/>
    <w:rsid w:val="00E50EC8"/>
    <w:rsid w:val="00E50F54"/>
    <w:rsid w:val="00E5159B"/>
    <w:rsid w:val="00E515C6"/>
    <w:rsid w:val="00E51D51"/>
    <w:rsid w:val="00E51DF1"/>
    <w:rsid w:val="00E52856"/>
    <w:rsid w:val="00E52E0D"/>
    <w:rsid w:val="00E52FE2"/>
    <w:rsid w:val="00E54629"/>
    <w:rsid w:val="00E54715"/>
    <w:rsid w:val="00E54D6B"/>
    <w:rsid w:val="00E54E6F"/>
    <w:rsid w:val="00E55338"/>
    <w:rsid w:val="00E562E3"/>
    <w:rsid w:val="00E5698E"/>
    <w:rsid w:val="00E569AF"/>
    <w:rsid w:val="00E5774E"/>
    <w:rsid w:val="00E57A28"/>
    <w:rsid w:val="00E57EEB"/>
    <w:rsid w:val="00E60318"/>
    <w:rsid w:val="00E60BA8"/>
    <w:rsid w:val="00E61E25"/>
    <w:rsid w:val="00E61E28"/>
    <w:rsid w:val="00E62472"/>
    <w:rsid w:val="00E628E4"/>
    <w:rsid w:val="00E6299F"/>
    <w:rsid w:val="00E64055"/>
    <w:rsid w:val="00E647F7"/>
    <w:rsid w:val="00E65FF5"/>
    <w:rsid w:val="00E66828"/>
    <w:rsid w:val="00E66857"/>
    <w:rsid w:val="00E67556"/>
    <w:rsid w:val="00E7252F"/>
    <w:rsid w:val="00E735A7"/>
    <w:rsid w:val="00E73FC2"/>
    <w:rsid w:val="00E74481"/>
    <w:rsid w:val="00E74517"/>
    <w:rsid w:val="00E74ED0"/>
    <w:rsid w:val="00E755D7"/>
    <w:rsid w:val="00E7566D"/>
    <w:rsid w:val="00E76E91"/>
    <w:rsid w:val="00E774B4"/>
    <w:rsid w:val="00E778F5"/>
    <w:rsid w:val="00E80681"/>
    <w:rsid w:val="00E80E7C"/>
    <w:rsid w:val="00E81779"/>
    <w:rsid w:val="00E8205B"/>
    <w:rsid w:val="00E82444"/>
    <w:rsid w:val="00E82DD1"/>
    <w:rsid w:val="00E8341C"/>
    <w:rsid w:val="00E85232"/>
    <w:rsid w:val="00E85798"/>
    <w:rsid w:val="00E8602B"/>
    <w:rsid w:val="00E86B5F"/>
    <w:rsid w:val="00E86BB8"/>
    <w:rsid w:val="00E87D05"/>
    <w:rsid w:val="00E9003C"/>
    <w:rsid w:val="00E90C14"/>
    <w:rsid w:val="00E90E70"/>
    <w:rsid w:val="00E90E93"/>
    <w:rsid w:val="00E9163E"/>
    <w:rsid w:val="00E91F96"/>
    <w:rsid w:val="00E92E99"/>
    <w:rsid w:val="00E95312"/>
    <w:rsid w:val="00E968FD"/>
    <w:rsid w:val="00E96D55"/>
    <w:rsid w:val="00E97216"/>
    <w:rsid w:val="00E97993"/>
    <w:rsid w:val="00EA0D5D"/>
    <w:rsid w:val="00EA1192"/>
    <w:rsid w:val="00EA153F"/>
    <w:rsid w:val="00EA2788"/>
    <w:rsid w:val="00EA2C6E"/>
    <w:rsid w:val="00EA2F6D"/>
    <w:rsid w:val="00EA3879"/>
    <w:rsid w:val="00EA4964"/>
    <w:rsid w:val="00EA4F1A"/>
    <w:rsid w:val="00EB02DE"/>
    <w:rsid w:val="00EB0A07"/>
    <w:rsid w:val="00EB1B69"/>
    <w:rsid w:val="00EB1C78"/>
    <w:rsid w:val="00EB3B46"/>
    <w:rsid w:val="00EB4F08"/>
    <w:rsid w:val="00EB5FD2"/>
    <w:rsid w:val="00EB6197"/>
    <w:rsid w:val="00EC0BC1"/>
    <w:rsid w:val="00EC2453"/>
    <w:rsid w:val="00EC2E07"/>
    <w:rsid w:val="00EC3FE1"/>
    <w:rsid w:val="00EC43C7"/>
    <w:rsid w:val="00EC465D"/>
    <w:rsid w:val="00EC5660"/>
    <w:rsid w:val="00EC57F1"/>
    <w:rsid w:val="00EC5C89"/>
    <w:rsid w:val="00EC5D2D"/>
    <w:rsid w:val="00EC66D2"/>
    <w:rsid w:val="00EC67E7"/>
    <w:rsid w:val="00EC6BFC"/>
    <w:rsid w:val="00EC715A"/>
    <w:rsid w:val="00EC7BFA"/>
    <w:rsid w:val="00ED0A1B"/>
    <w:rsid w:val="00ED21BC"/>
    <w:rsid w:val="00ED2FEC"/>
    <w:rsid w:val="00ED329B"/>
    <w:rsid w:val="00ED3321"/>
    <w:rsid w:val="00ED3F67"/>
    <w:rsid w:val="00ED440A"/>
    <w:rsid w:val="00ED4A5A"/>
    <w:rsid w:val="00ED7971"/>
    <w:rsid w:val="00EE0683"/>
    <w:rsid w:val="00EE0748"/>
    <w:rsid w:val="00EE1988"/>
    <w:rsid w:val="00EE29A0"/>
    <w:rsid w:val="00EE2CEA"/>
    <w:rsid w:val="00EE3365"/>
    <w:rsid w:val="00EE48DF"/>
    <w:rsid w:val="00EE4AB3"/>
    <w:rsid w:val="00EE5A30"/>
    <w:rsid w:val="00EE7405"/>
    <w:rsid w:val="00EE7C41"/>
    <w:rsid w:val="00EF033E"/>
    <w:rsid w:val="00EF06EC"/>
    <w:rsid w:val="00EF14FF"/>
    <w:rsid w:val="00EF2BFE"/>
    <w:rsid w:val="00EF2D85"/>
    <w:rsid w:val="00EF402C"/>
    <w:rsid w:val="00EF4367"/>
    <w:rsid w:val="00EF45E0"/>
    <w:rsid w:val="00EF4E6F"/>
    <w:rsid w:val="00EF5C82"/>
    <w:rsid w:val="00EF7A15"/>
    <w:rsid w:val="00F01A2B"/>
    <w:rsid w:val="00F01F8C"/>
    <w:rsid w:val="00F022C5"/>
    <w:rsid w:val="00F02D7A"/>
    <w:rsid w:val="00F035A6"/>
    <w:rsid w:val="00F036AB"/>
    <w:rsid w:val="00F03E68"/>
    <w:rsid w:val="00F04073"/>
    <w:rsid w:val="00F04AD0"/>
    <w:rsid w:val="00F06718"/>
    <w:rsid w:val="00F10033"/>
    <w:rsid w:val="00F10848"/>
    <w:rsid w:val="00F1093B"/>
    <w:rsid w:val="00F10B68"/>
    <w:rsid w:val="00F11F55"/>
    <w:rsid w:val="00F12DEC"/>
    <w:rsid w:val="00F13151"/>
    <w:rsid w:val="00F15523"/>
    <w:rsid w:val="00F16391"/>
    <w:rsid w:val="00F16DA0"/>
    <w:rsid w:val="00F17691"/>
    <w:rsid w:val="00F2062B"/>
    <w:rsid w:val="00F21A18"/>
    <w:rsid w:val="00F21E61"/>
    <w:rsid w:val="00F220EA"/>
    <w:rsid w:val="00F222CD"/>
    <w:rsid w:val="00F24EA4"/>
    <w:rsid w:val="00F2542A"/>
    <w:rsid w:val="00F2625A"/>
    <w:rsid w:val="00F27415"/>
    <w:rsid w:val="00F31A03"/>
    <w:rsid w:val="00F3283C"/>
    <w:rsid w:val="00F32D0F"/>
    <w:rsid w:val="00F343F0"/>
    <w:rsid w:val="00F345A7"/>
    <w:rsid w:val="00F34620"/>
    <w:rsid w:val="00F34AAB"/>
    <w:rsid w:val="00F34C4D"/>
    <w:rsid w:val="00F350CF"/>
    <w:rsid w:val="00F35582"/>
    <w:rsid w:val="00F36C6F"/>
    <w:rsid w:val="00F36DA2"/>
    <w:rsid w:val="00F37004"/>
    <w:rsid w:val="00F376A1"/>
    <w:rsid w:val="00F37B8E"/>
    <w:rsid w:val="00F4095E"/>
    <w:rsid w:val="00F41746"/>
    <w:rsid w:val="00F41E79"/>
    <w:rsid w:val="00F4315F"/>
    <w:rsid w:val="00F445F6"/>
    <w:rsid w:val="00F4512F"/>
    <w:rsid w:val="00F45763"/>
    <w:rsid w:val="00F45BCF"/>
    <w:rsid w:val="00F45BEA"/>
    <w:rsid w:val="00F45C45"/>
    <w:rsid w:val="00F45CFE"/>
    <w:rsid w:val="00F46877"/>
    <w:rsid w:val="00F46C4B"/>
    <w:rsid w:val="00F475D7"/>
    <w:rsid w:val="00F47B77"/>
    <w:rsid w:val="00F47F3E"/>
    <w:rsid w:val="00F50161"/>
    <w:rsid w:val="00F514DA"/>
    <w:rsid w:val="00F523D7"/>
    <w:rsid w:val="00F530E6"/>
    <w:rsid w:val="00F532C7"/>
    <w:rsid w:val="00F54C89"/>
    <w:rsid w:val="00F54EE5"/>
    <w:rsid w:val="00F55358"/>
    <w:rsid w:val="00F55978"/>
    <w:rsid w:val="00F5603C"/>
    <w:rsid w:val="00F5605C"/>
    <w:rsid w:val="00F561F0"/>
    <w:rsid w:val="00F56228"/>
    <w:rsid w:val="00F564B9"/>
    <w:rsid w:val="00F56AE2"/>
    <w:rsid w:val="00F57909"/>
    <w:rsid w:val="00F60597"/>
    <w:rsid w:val="00F612D6"/>
    <w:rsid w:val="00F63400"/>
    <w:rsid w:val="00F63634"/>
    <w:rsid w:val="00F636C6"/>
    <w:rsid w:val="00F6433D"/>
    <w:rsid w:val="00F6573E"/>
    <w:rsid w:val="00F659F9"/>
    <w:rsid w:val="00F662EB"/>
    <w:rsid w:val="00F67606"/>
    <w:rsid w:val="00F70327"/>
    <w:rsid w:val="00F70759"/>
    <w:rsid w:val="00F70FEF"/>
    <w:rsid w:val="00F7293D"/>
    <w:rsid w:val="00F72FA8"/>
    <w:rsid w:val="00F732C9"/>
    <w:rsid w:val="00F73600"/>
    <w:rsid w:val="00F73D41"/>
    <w:rsid w:val="00F74B1F"/>
    <w:rsid w:val="00F75415"/>
    <w:rsid w:val="00F773F9"/>
    <w:rsid w:val="00F80461"/>
    <w:rsid w:val="00F8101C"/>
    <w:rsid w:val="00F817B9"/>
    <w:rsid w:val="00F81CB7"/>
    <w:rsid w:val="00F82280"/>
    <w:rsid w:val="00F8235F"/>
    <w:rsid w:val="00F83A22"/>
    <w:rsid w:val="00F83A97"/>
    <w:rsid w:val="00F844F0"/>
    <w:rsid w:val="00F84895"/>
    <w:rsid w:val="00F84E9D"/>
    <w:rsid w:val="00F85306"/>
    <w:rsid w:val="00F8642A"/>
    <w:rsid w:val="00F8659E"/>
    <w:rsid w:val="00F86CE4"/>
    <w:rsid w:val="00F86F42"/>
    <w:rsid w:val="00F91941"/>
    <w:rsid w:val="00F91C05"/>
    <w:rsid w:val="00F92009"/>
    <w:rsid w:val="00F92E3F"/>
    <w:rsid w:val="00F938D2"/>
    <w:rsid w:val="00F94723"/>
    <w:rsid w:val="00F94DAC"/>
    <w:rsid w:val="00F95E27"/>
    <w:rsid w:val="00F96389"/>
    <w:rsid w:val="00F9650E"/>
    <w:rsid w:val="00F96B73"/>
    <w:rsid w:val="00F977C7"/>
    <w:rsid w:val="00F97AC0"/>
    <w:rsid w:val="00FA0890"/>
    <w:rsid w:val="00FA0FE7"/>
    <w:rsid w:val="00FA164A"/>
    <w:rsid w:val="00FA3F3E"/>
    <w:rsid w:val="00FA3F88"/>
    <w:rsid w:val="00FA4272"/>
    <w:rsid w:val="00FA4855"/>
    <w:rsid w:val="00FA4ACD"/>
    <w:rsid w:val="00FA6428"/>
    <w:rsid w:val="00FA69ED"/>
    <w:rsid w:val="00FA7144"/>
    <w:rsid w:val="00FA7184"/>
    <w:rsid w:val="00FB069C"/>
    <w:rsid w:val="00FB0EEE"/>
    <w:rsid w:val="00FB1244"/>
    <w:rsid w:val="00FB1D9D"/>
    <w:rsid w:val="00FB3304"/>
    <w:rsid w:val="00FB46B8"/>
    <w:rsid w:val="00FB4A3B"/>
    <w:rsid w:val="00FB4B38"/>
    <w:rsid w:val="00FB54BB"/>
    <w:rsid w:val="00FB5AC0"/>
    <w:rsid w:val="00FB6C91"/>
    <w:rsid w:val="00FB74E8"/>
    <w:rsid w:val="00FC0263"/>
    <w:rsid w:val="00FC0348"/>
    <w:rsid w:val="00FC03AA"/>
    <w:rsid w:val="00FC0FB5"/>
    <w:rsid w:val="00FC102A"/>
    <w:rsid w:val="00FC154C"/>
    <w:rsid w:val="00FC1DBC"/>
    <w:rsid w:val="00FC2637"/>
    <w:rsid w:val="00FC2777"/>
    <w:rsid w:val="00FC393B"/>
    <w:rsid w:val="00FC4052"/>
    <w:rsid w:val="00FC4B13"/>
    <w:rsid w:val="00FC5252"/>
    <w:rsid w:val="00FC56F5"/>
    <w:rsid w:val="00FC5ED8"/>
    <w:rsid w:val="00FC6356"/>
    <w:rsid w:val="00FC7D01"/>
    <w:rsid w:val="00FD0034"/>
    <w:rsid w:val="00FD0130"/>
    <w:rsid w:val="00FD0373"/>
    <w:rsid w:val="00FD0582"/>
    <w:rsid w:val="00FD0C93"/>
    <w:rsid w:val="00FD1062"/>
    <w:rsid w:val="00FD1246"/>
    <w:rsid w:val="00FD16DC"/>
    <w:rsid w:val="00FD180C"/>
    <w:rsid w:val="00FD2589"/>
    <w:rsid w:val="00FD43D4"/>
    <w:rsid w:val="00FD4876"/>
    <w:rsid w:val="00FD52A3"/>
    <w:rsid w:val="00FD68D4"/>
    <w:rsid w:val="00FE00D9"/>
    <w:rsid w:val="00FE09FE"/>
    <w:rsid w:val="00FE1186"/>
    <w:rsid w:val="00FE177A"/>
    <w:rsid w:val="00FE240A"/>
    <w:rsid w:val="00FE2604"/>
    <w:rsid w:val="00FE330A"/>
    <w:rsid w:val="00FE3E3C"/>
    <w:rsid w:val="00FE43E7"/>
    <w:rsid w:val="00FE4B66"/>
    <w:rsid w:val="00FE4F6E"/>
    <w:rsid w:val="00FE583F"/>
    <w:rsid w:val="00FE59B1"/>
    <w:rsid w:val="00FE5CC4"/>
    <w:rsid w:val="00FE605A"/>
    <w:rsid w:val="00FE6AFF"/>
    <w:rsid w:val="00FE6B13"/>
    <w:rsid w:val="00FE7575"/>
    <w:rsid w:val="00FF1070"/>
    <w:rsid w:val="00FF13E2"/>
    <w:rsid w:val="00FF2237"/>
    <w:rsid w:val="00FF4953"/>
    <w:rsid w:val="00FF4BFD"/>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8D9FD"/>
  <w15:docId w15:val="{4697A8D6-C27D-4740-A865-C4C2022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63397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link w:val="NoSpacingChar"/>
    <w:uiPriority w:val="1"/>
    <w:qFormat/>
    <w:rsid w:val="0004095F"/>
    <w:rPr>
      <w:sz w:val="24"/>
      <w:szCs w:val="24"/>
    </w:rPr>
  </w:style>
  <w:style w:type="character" w:customStyle="1" w:styleId="NoSpacingChar">
    <w:name w:val="No Spacing Char"/>
    <w:link w:val="NoSpacing"/>
    <w:uiPriority w:val="1"/>
    <w:rsid w:val="00316231"/>
    <w:rPr>
      <w:sz w:val="24"/>
      <w:szCs w:val="24"/>
    </w:rPr>
  </w:style>
  <w:style w:type="paragraph" w:customStyle="1" w:styleId="Default">
    <w:name w:val="Default"/>
    <w:rsid w:val="004D0AE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semiHidden/>
    <w:rsid w:val="0063397E"/>
    <w:rPr>
      <w:rFonts w:asciiTheme="majorHAnsi" w:eastAsiaTheme="majorEastAsia" w:hAnsiTheme="majorHAnsi" w:cstheme="majorBidi"/>
      <w:color w:val="243F60" w:themeColor="accent1" w:themeShade="7F"/>
      <w:sz w:val="24"/>
      <w:szCs w:val="24"/>
    </w:rPr>
  </w:style>
  <w:style w:type="paragraph" w:customStyle="1" w:styleId="tv2132">
    <w:name w:val="tv2132"/>
    <w:basedOn w:val="Normal"/>
    <w:rsid w:val="00C80D2E"/>
    <w:pPr>
      <w:spacing w:line="360" w:lineRule="auto"/>
      <w:ind w:firstLine="300"/>
    </w:pPr>
    <w:rPr>
      <w:color w:val="414142"/>
      <w:sz w:val="20"/>
      <w:szCs w:val="20"/>
    </w:rPr>
  </w:style>
  <w:style w:type="paragraph" w:styleId="FootnoteText">
    <w:name w:val="footnote text"/>
    <w:aliases w:val="Schriftart: 9 pt,Schriftart: 10 pt,Schriftart: 8 pt,WB-Fußnotentext,fn,Footnotes,Footnote ak,footnote text,Footnote Text Char1 Char,Footnote Text Char Char Char,Footnote Text Char1 Char Char Char,Footnote Text Char Char Char Char Cha,f,ft"/>
    <w:basedOn w:val="Normal"/>
    <w:link w:val="FootnoteTextChar"/>
    <w:uiPriority w:val="99"/>
    <w:unhideWhenUsed/>
    <w:qFormat/>
    <w:rsid w:val="007D7EA0"/>
    <w:rPr>
      <w:sz w:val="20"/>
      <w:szCs w:val="20"/>
    </w:rPr>
  </w:style>
  <w:style w:type="character" w:customStyle="1" w:styleId="FootnoteTextChar">
    <w:name w:val="Footnote Text Char"/>
    <w:aliases w:val="Schriftart: 9 pt Char,Schriftart: 10 pt Char,Schriftart: 8 pt Char,WB-Fußnotentext Char,fn Char,Footnotes Char,Footnote ak Char,footnote text Char,Footnote Text Char1 Char Char,Footnote Text Char Char Char Char,f Char,ft Char"/>
    <w:basedOn w:val="DefaultParagraphFont"/>
    <w:link w:val="FootnoteText"/>
    <w:uiPriority w:val="99"/>
    <w:rsid w:val="007D7EA0"/>
  </w:style>
  <w:style w:type="character" w:styleId="FootnoteReference">
    <w:name w:val="footnote reference"/>
    <w:aliases w:val="BVI fnr,EN Footnote Reference,Exposant 3 Point,Footnote Reference Number,Footnote Reference Superscript,Footnote reference number,Footnote symbol,Ref,SUPERS,Times 10 Point,de nota al pie,fr,ftref,note TESI,number"/>
    <w:basedOn w:val="DefaultParagraphFont"/>
    <w:link w:val="FootnotesymbolCarZchn"/>
    <w:unhideWhenUsed/>
    <w:qFormat/>
    <w:rsid w:val="007D7EA0"/>
    <w:rPr>
      <w:vertAlign w:val="superscript"/>
    </w:rPr>
  </w:style>
  <w:style w:type="character" w:styleId="SubtleEmphasis">
    <w:name w:val="Subtle Emphasis"/>
    <w:basedOn w:val="DefaultParagraphFont"/>
    <w:uiPriority w:val="19"/>
    <w:qFormat/>
    <w:rsid w:val="00642A41"/>
    <w:rPr>
      <w:i/>
      <w:iCs/>
      <w:color w:val="404040" w:themeColor="text1" w:themeTint="BF"/>
    </w:rPr>
  </w:style>
  <w:style w:type="paragraph" w:styleId="Title">
    <w:name w:val="Title"/>
    <w:basedOn w:val="Normal"/>
    <w:next w:val="Normal"/>
    <w:link w:val="TitleChar"/>
    <w:qFormat/>
    <w:locked/>
    <w:rsid w:val="00B27D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27D4B"/>
    <w:rPr>
      <w:rFonts w:asciiTheme="majorHAnsi" w:eastAsiaTheme="majorEastAsia" w:hAnsiTheme="majorHAnsi" w:cstheme="majorBidi"/>
      <w:spacing w:val="-10"/>
      <w:kern w:val="28"/>
      <w:sz w:val="56"/>
      <w:szCs w:val="56"/>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CD6BD6"/>
    <w:pPr>
      <w:spacing w:after="160" w:line="240" w:lineRule="exact"/>
      <w:jc w:val="both"/>
    </w:pPr>
    <w:rPr>
      <w:sz w:val="20"/>
      <w:szCs w:val="20"/>
      <w:vertAlign w:val="superscript"/>
    </w:rPr>
  </w:style>
  <w:style w:type="character" w:styleId="UnresolvedMention">
    <w:name w:val="Unresolved Mention"/>
    <w:basedOn w:val="DefaultParagraphFont"/>
    <w:uiPriority w:val="99"/>
    <w:rsid w:val="00D32A7B"/>
    <w:rPr>
      <w:color w:val="605E5C"/>
      <w:shd w:val="clear" w:color="auto" w:fill="E1DFDD"/>
    </w:rPr>
  </w:style>
  <w:style w:type="paragraph" w:styleId="HTMLPreformatted">
    <w:name w:val="HTML Preformatted"/>
    <w:basedOn w:val="Normal"/>
    <w:link w:val="HTMLPreformattedChar"/>
    <w:uiPriority w:val="99"/>
    <w:semiHidden/>
    <w:unhideWhenUsed/>
    <w:rsid w:val="00E07DFD"/>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semiHidden/>
    <w:rsid w:val="00E07DFD"/>
    <w:rPr>
      <w:rFonts w:ascii="Consolas" w:eastAsiaTheme="minorHAnsi" w:hAnsi="Consola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32787">
      <w:bodyDiv w:val="1"/>
      <w:marLeft w:val="0"/>
      <w:marRight w:val="0"/>
      <w:marTop w:val="0"/>
      <w:marBottom w:val="0"/>
      <w:divBdr>
        <w:top w:val="none" w:sz="0" w:space="0" w:color="auto"/>
        <w:left w:val="none" w:sz="0" w:space="0" w:color="auto"/>
        <w:bottom w:val="none" w:sz="0" w:space="0" w:color="auto"/>
        <w:right w:val="none" w:sz="0" w:space="0" w:color="auto"/>
      </w:divBdr>
    </w:div>
    <w:div w:id="353382702">
      <w:bodyDiv w:val="1"/>
      <w:marLeft w:val="0"/>
      <w:marRight w:val="0"/>
      <w:marTop w:val="0"/>
      <w:marBottom w:val="0"/>
      <w:divBdr>
        <w:top w:val="none" w:sz="0" w:space="0" w:color="auto"/>
        <w:left w:val="none" w:sz="0" w:space="0" w:color="auto"/>
        <w:bottom w:val="none" w:sz="0" w:space="0" w:color="auto"/>
        <w:right w:val="none" w:sz="0" w:space="0" w:color="auto"/>
      </w:divBdr>
    </w:div>
    <w:div w:id="419106080">
      <w:bodyDiv w:val="1"/>
      <w:marLeft w:val="0"/>
      <w:marRight w:val="0"/>
      <w:marTop w:val="0"/>
      <w:marBottom w:val="0"/>
      <w:divBdr>
        <w:top w:val="none" w:sz="0" w:space="0" w:color="auto"/>
        <w:left w:val="none" w:sz="0" w:space="0" w:color="auto"/>
        <w:bottom w:val="none" w:sz="0" w:space="0" w:color="auto"/>
        <w:right w:val="none" w:sz="0" w:space="0" w:color="auto"/>
      </w:divBdr>
    </w:div>
    <w:div w:id="776222153">
      <w:bodyDiv w:val="1"/>
      <w:marLeft w:val="0"/>
      <w:marRight w:val="0"/>
      <w:marTop w:val="0"/>
      <w:marBottom w:val="0"/>
      <w:divBdr>
        <w:top w:val="none" w:sz="0" w:space="0" w:color="auto"/>
        <w:left w:val="none" w:sz="0" w:space="0" w:color="auto"/>
        <w:bottom w:val="none" w:sz="0" w:space="0" w:color="auto"/>
        <w:right w:val="none" w:sz="0" w:space="0" w:color="auto"/>
      </w:divBdr>
    </w:div>
    <w:div w:id="817192597">
      <w:bodyDiv w:val="1"/>
      <w:marLeft w:val="0"/>
      <w:marRight w:val="0"/>
      <w:marTop w:val="0"/>
      <w:marBottom w:val="0"/>
      <w:divBdr>
        <w:top w:val="none" w:sz="0" w:space="0" w:color="auto"/>
        <w:left w:val="none" w:sz="0" w:space="0" w:color="auto"/>
        <w:bottom w:val="none" w:sz="0" w:space="0" w:color="auto"/>
        <w:right w:val="none" w:sz="0" w:space="0" w:color="auto"/>
      </w:divBdr>
    </w:div>
    <w:div w:id="1003774748">
      <w:bodyDiv w:val="1"/>
      <w:marLeft w:val="0"/>
      <w:marRight w:val="0"/>
      <w:marTop w:val="0"/>
      <w:marBottom w:val="0"/>
      <w:divBdr>
        <w:top w:val="none" w:sz="0" w:space="0" w:color="auto"/>
        <w:left w:val="none" w:sz="0" w:space="0" w:color="auto"/>
        <w:bottom w:val="none" w:sz="0" w:space="0" w:color="auto"/>
        <w:right w:val="none" w:sz="0" w:space="0" w:color="auto"/>
      </w:divBdr>
    </w:div>
    <w:div w:id="1019965022">
      <w:bodyDiv w:val="1"/>
      <w:marLeft w:val="0"/>
      <w:marRight w:val="0"/>
      <w:marTop w:val="0"/>
      <w:marBottom w:val="0"/>
      <w:divBdr>
        <w:top w:val="none" w:sz="0" w:space="0" w:color="auto"/>
        <w:left w:val="none" w:sz="0" w:space="0" w:color="auto"/>
        <w:bottom w:val="none" w:sz="0" w:space="0" w:color="auto"/>
        <w:right w:val="none" w:sz="0" w:space="0" w:color="auto"/>
      </w:divBdr>
    </w:div>
    <w:div w:id="1071194204">
      <w:bodyDiv w:val="1"/>
      <w:marLeft w:val="0"/>
      <w:marRight w:val="0"/>
      <w:marTop w:val="0"/>
      <w:marBottom w:val="0"/>
      <w:divBdr>
        <w:top w:val="none" w:sz="0" w:space="0" w:color="auto"/>
        <w:left w:val="none" w:sz="0" w:space="0" w:color="auto"/>
        <w:bottom w:val="none" w:sz="0" w:space="0" w:color="auto"/>
        <w:right w:val="none" w:sz="0" w:space="0" w:color="auto"/>
      </w:divBdr>
    </w:div>
    <w:div w:id="159089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86601-higienas-prasibas-publiskas-lietosanas-peldbaseinie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3858-higienas-prasibas-publiskas-lietosanas-pirti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186601-higienas-prasibas-publiskas-lietosanas-peldbaseiniem" TargetMode="External"/><Relationship Id="rId4" Type="http://schemas.openxmlformats.org/officeDocument/2006/relationships/settings" Target="settings.xml"/><Relationship Id="rId9" Type="http://schemas.openxmlformats.org/officeDocument/2006/relationships/hyperlink" Target="https://likumi.lv/ta/id/13858-higienas-prasibas-publiskas-lietosanas-pirti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F6745-1B15-4263-8417-FF940D12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19</Pages>
  <Words>4332</Words>
  <Characters>29988</Characters>
  <Application>Microsoft Office Word</Application>
  <DocSecurity>0</DocSecurity>
  <Lines>249</Lines>
  <Paragraphs>68</Paragraphs>
  <ScaleCrop>false</ScaleCrop>
  <HeadingPairs>
    <vt:vector size="2" baseType="variant">
      <vt:variant>
        <vt:lpstr>Title</vt:lpstr>
      </vt:variant>
      <vt:variant>
        <vt:i4>1</vt:i4>
      </vt:variant>
    </vt:vector>
  </HeadingPairs>
  <TitlesOfParts>
    <vt:vector size="1" baseType="lpstr">
      <vt:lpstr>Grozījumi Ministru kabineta 2000. gada 26. septembra noteikumos Nr. 330 "Vakcinācijas noteikumi"</vt:lpstr>
    </vt:vector>
  </TitlesOfParts>
  <Company>Veselības ministrija</Company>
  <LinksUpToDate>false</LinksUpToDate>
  <CharactersWithSpaces>34252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2000. gada 26. septembra noteikumos Nr. 330 "Vakcinācijas noteikumi"</dc:title>
  <dc:subject>Izziņa</dc:subject>
  <dc:creator>Inga Liepiņa</dc:creator>
  <dc:description>67876080, Inga.Liepina@vm.gov.lv</dc:description>
  <cp:lastModifiedBy>Anita Segliņa</cp:lastModifiedBy>
  <cp:revision>7</cp:revision>
  <cp:lastPrinted>2017-07-11T11:22:00Z</cp:lastPrinted>
  <dcterms:created xsi:type="dcterms:W3CDTF">2020-06-01T10:59:00Z</dcterms:created>
  <dcterms:modified xsi:type="dcterms:W3CDTF">2020-06-18T11:37:00Z</dcterms:modified>
</cp:coreProperties>
</file>