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C769" w14:textId="24D498BA" w:rsidR="00535438" w:rsidRPr="00E55BA1" w:rsidRDefault="00535438" w:rsidP="00535438">
      <w:pPr>
        <w:pStyle w:val="Subtitle"/>
        <w:widowControl/>
        <w:spacing w:before="0" w:after="0" w:line="276" w:lineRule="auto"/>
        <w:ind w:right="0"/>
        <w:jc w:val="center"/>
        <w:rPr>
          <w:i/>
          <w:color w:val="000000"/>
          <w:szCs w:val="26"/>
        </w:rPr>
      </w:pPr>
      <w:bookmarkStart w:id="0" w:name="_Hlk45097099"/>
      <w:r w:rsidRPr="00E55BA1">
        <w:rPr>
          <w:szCs w:val="26"/>
        </w:rPr>
        <w:t xml:space="preserve">Informatīvais ziņojums </w:t>
      </w:r>
      <w:r w:rsidR="005B22CC" w:rsidRPr="0097141F">
        <w:rPr>
          <w:bCs/>
          <w:sz w:val="24"/>
          <w:szCs w:val="24"/>
        </w:rPr>
        <w:t>"</w:t>
      </w:r>
      <w:r w:rsidRPr="00E55BA1">
        <w:rPr>
          <w:szCs w:val="26"/>
        </w:rPr>
        <w:t>P</w:t>
      </w:r>
      <w:r w:rsidRPr="00E55BA1">
        <w:rPr>
          <w:color w:val="000000"/>
          <w:szCs w:val="26"/>
        </w:rPr>
        <w:t xml:space="preserve">ar darbības programmas </w:t>
      </w:r>
      <w:r w:rsidR="005B22CC" w:rsidRPr="0097141F">
        <w:rPr>
          <w:bCs/>
          <w:sz w:val="24"/>
          <w:szCs w:val="24"/>
        </w:rPr>
        <w:t>"</w:t>
      </w:r>
      <w:r w:rsidRPr="00E55BA1">
        <w:rPr>
          <w:color w:val="000000"/>
          <w:szCs w:val="26"/>
        </w:rPr>
        <w:t>Izaugsme un nodarbinātība</w:t>
      </w:r>
      <w:r w:rsidR="005B22CC" w:rsidRPr="0097141F">
        <w:rPr>
          <w:bCs/>
          <w:sz w:val="24"/>
          <w:szCs w:val="24"/>
        </w:rPr>
        <w:t>"</w:t>
      </w:r>
      <w:r w:rsidRPr="00E55BA1">
        <w:rPr>
          <w:color w:val="000000"/>
          <w:szCs w:val="26"/>
        </w:rPr>
        <w:t xml:space="preserve"> </w:t>
      </w:r>
      <w:r w:rsidRPr="00E55BA1">
        <w:rPr>
          <w:szCs w:val="26"/>
        </w:rPr>
        <w:t xml:space="preserve">4.2.1.2. pasākuma </w:t>
      </w:r>
      <w:r w:rsidR="005B22CC" w:rsidRPr="0097141F">
        <w:rPr>
          <w:bCs/>
          <w:sz w:val="24"/>
          <w:szCs w:val="24"/>
        </w:rPr>
        <w:t>"</w:t>
      </w:r>
      <w:r w:rsidRPr="00E55BA1">
        <w:rPr>
          <w:szCs w:val="26"/>
        </w:rPr>
        <w:t>Veicināt energoefektivitātes paaugstināšanu valsts ēkās</w:t>
      </w:r>
      <w:r w:rsidR="005B22CC" w:rsidRPr="0097141F">
        <w:rPr>
          <w:bCs/>
          <w:sz w:val="24"/>
          <w:szCs w:val="24"/>
        </w:rPr>
        <w:t>"</w:t>
      </w:r>
      <w:r w:rsidRPr="00E55BA1">
        <w:rPr>
          <w:szCs w:val="26"/>
        </w:rPr>
        <w:t xml:space="preserve"> pirmās un otrās projektu iesniegumu atlases kārtas īstenošanas progresu</w:t>
      </w:r>
      <w:r w:rsidR="005B22CC" w:rsidRPr="0097141F">
        <w:rPr>
          <w:bCs/>
          <w:sz w:val="24"/>
          <w:szCs w:val="24"/>
        </w:rPr>
        <w:t>"</w:t>
      </w:r>
    </w:p>
    <w:bookmarkEnd w:id="0"/>
    <w:p w14:paraId="1CDAF25F" w14:textId="77777777" w:rsidR="007F6C33" w:rsidRPr="006F0479" w:rsidRDefault="007F6C33"/>
    <w:p w14:paraId="1690D738" w14:textId="28671346" w:rsidR="00535438" w:rsidRPr="006F0479" w:rsidRDefault="00535438" w:rsidP="00762579">
      <w:pPr>
        <w:spacing w:line="276" w:lineRule="auto"/>
        <w:ind w:firstLine="720"/>
        <w:jc w:val="both"/>
        <w:rPr>
          <w:bCs/>
          <w:i/>
          <w:iCs/>
          <w:sz w:val="24"/>
          <w:szCs w:val="20"/>
        </w:rPr>
      </w:pPr>
      <w:r w:rsidRPr="006F0479">
        <w:rPr>
          <w:sz w:val="24"/>
          <w:szCs w:val="24"/>
        </w:rPr>
        <w:t xml:space="preserve">Informatīvais ziņojums </w:t>
      </w:r>
      <w:r w:rsidR="005B22CC" w:rsidRPr="0097141F">
        <w:rPr>
          <w:bCs/>
          <w:sz w:val="24"/>
          <w:szCs w:val="24"/>
        </w:rPr>
        <w:t>"</w:t>
      </w:r>
      <w:r w:rsidRPr="006F0479">
        <w:rPr>
          <w:sz w:val="24"/>
          <w:szCs w:val="24"/>
        </w:rPr>
        <w:t xml:space="preserve">Par darbības programmas </w:t>
      </w:r>
      <w:r w:rsidR="005B22CC" w:rsidRPr="0097141F">
        <w:rPr>
          <w:bCs/>
          <w:sz w:val="24"/>
          <w:szCs w:val="24"/>
        </w:rPr>
        <w:t>"</w:t>
      </w:r>
      <w:r w:rsidRPr="006F0479">
        <w:rPr>
          <w:sz w:val="24"/>
          <w:szCs w:val="24"/>
        </w:rPr>
        <w:t>Izaugsme un nodarbinātība</w:t>
      </w:r>
      <w:r w:rsidR="005B22CC" w:rsidRPr="0097141F">
        <w:rPr>
          <w:bCs/>
          <w:sz w:val="24"/>
          <w:szCs w:val="24"/>
        </w:rPr>
        <w:t>"</w:t>
      </w:r>
      <w:r w:rsidRPr="006F0479">
        <w:rPr>
          <w:sz w:val="24"/>
          <w:szCs w:val="24"/>
        </w:rPr>
        <w:t xml:space="preserve"> 4.2.1.2.</w:t>
      </w:r>
      <w:r w:rsidRPr="006F0479">
        <w:rPr>
          <w:sz w:val="24"/>
          <w:szCs w:val="20"/>
        </w:rPr>
        <w:t> </w:t>
      </w:r>
      <w:r w:rsidRPr="006F0479">
        <w:rPr>
          <w:sz w:val="24"/>
          <w:szCs w:val="24"/>
        </w:rPr>
        <w:t xml:space="preserve">pasākuma </w:t>
      </w:r>
      <w:r w:rsidR="005B22CC" w:rsidRPr="0097141F">
        <w:rPr>
          <w:bCs/>
          <w:sz w:val="24"/>
          <w:szCs w:val="24"/>
        </w:rPr>
        <w:t>"</w:t>
      </w:r>
      <w:r w:rsidRPr="006F0479">
        <w:rPr>
          <w:sz w:val="24"/>
          <w:szCs w:val="24"/>
        </w:rPr>
        <w:t>Veicināt energoefektivitātes paaugstināšanu valsts ēkās</w:t>
      </w:r>
      <w:r w:rsidR="005B22CC" w:rsidRPr="0097141F">
        <w:rPr>
          <w:bCs/>
          <w:sz w:val="24"/>
          <w:szCs w:val="24"/>
        </w:rPr>
        <w:t>"</w:t>
      </w:r>
      <w:r w:rsidRPr="006F0479">
        <w:rPr>
          <w:sz w:val="24"/>
          <w:szCs w:val="20"/>
        </w:rPr>
        <w:t xml:space="preserve"> </w:t>
      </w:r>
      <w:r w:rsidRPr="006F0479">
        <w:rPr>
          <w:sz w:val="24"/>
          <w:szCs w:val="24"/>
        </w:rPr>
        <w:t>pirmās un otrās projektu iesniegumu atlases kārtas īstenošanas progresu</w:t>
      </w:r>
      <w:r w:rsidR="005B22CC" w:rsidRPr="0097141F">
        <w:rPr>
          <w:bCs/>
          <w:sz w:val="24"/>
          <w:szCs w:val="24"/>
        </w:rPr>
        <w:t>"</w:t>
      </w:r>
      <w:r w:rsidRPr="006F0479">
        <w:rPr>
          <w:sz w:val="24"/>
          <w:szCs w:val="24"/>
        </w:rPr>
        <w:t xml:space="preserve"> (turpmāk – Informatīvais ziņojums)</w:t>
      </w:r>
      <w:r w:rsidRPr="006F0479">
        <w:rPr>
          <w:szCs w:val="26"/>
        </w:rPr>
        <w:t xml:space="preserve"> </w:t>
      </w:r>
      <w:r w:rsidRPr="006F0479">
        <w:rPr>
          <w:sz w:val="24"/>
          <w:szCs w:val="24"/>
        </w:rPr>
        <w:t xml:space="preserve">sagatavots, lai informētu par Eiropas Savienības struktūrfondu un Kohēzijas fonda 2014. - 2020. gada plānošanas periodā Ekonomikas ministrijas (turpmāk - EM) pārziņā esošās darbības programmas </w:t>
      </w:r>
      <w:r w:rsidR="005B22CC" w:rsidRPr="0097141F">
        <w:rPr>
          <w:bCs/>
          <w:sz w:val="24"/>
          <w:szCs w:val="24"/>
        </w:rPr>
        <w:t>"</w:t>
      </w:r>
      <w:r w:rsidRPr="006F0479">
        <w:rPr>
          <w:sz w:val="24"/>
          <w:szCs w:val="24"/>
        </w:rPr>
        <w:t>Izaugsme un nodarbinātība</w:t>
      </w:r>
      <w:r w:rsidR="005B22CC" w:rsidRPr="0097141F">
        <w:rPr>
          <w:bCs/>
          <w:sz w:val="24"/>
          <w:szCs w:val="24"/>
        </w:rPr>
        <w:t>"</w:t>
      </w:r>
      <w:r w:rsidRPr="006F0479">
        <w:rPr>
          <w:sz w:val="24"/>
          <w:szCs w:val="24"/>
        </w:rPr>
        <w:t xml:space="preserve"> 4.2.1.2. pasākuma </w:t>
      </w:r>
      <w:r w:rsidR="005B22CC" w:rsidRPr="0097141F">
        <w:rPr>
          <w:bCs/>
          <w:sz w:val="24"/>
          <w:szCs w:val="24"/>
        </w:rPr>
        <w:t>"</w:t>
      </w:r>
      <w:r w:rsidRPr="006F0479">
        <w:rPr>
          <w:sz w:val="24"/>
          <w:szCs w:val="24"/>
        </w:rPr>
        <w:t>Veicināt energoefektivitātes paaugstināšanu valsts ēkās</w:t>
      </w:r>
      <w:r w:rsidR="005B22CC" w:rsidRPr="0097141F">
        <w:rPr>
          <w:bCs/>
          <w:sz w:val="24"/>
          <w:szCs w:val="24"/>
        </w:rPr>
        <w:t>"</w:t>
      </w:r>
      <w:r w:rsidRPr="006F0479">
        <w:rPr>
          <w:sz w:val="24"/>
          <w:szCs w:val="24"/>
        </w:rPr>
        <w:t xml:space="preserve"> (turpmāk - 4.2.1.2. pasākums) pirmās un otrās projektu iesniegumu atlases kārtas ietvaros ministriju pārziņā esošo ēku atjaunošanas progresu. </w:t>
      </w:r>
      <w:r w:rsidR="006F0479" w:rsidRPr="006F0479">
        <w:rPr>
          <w:sz w:val="24"/>
          <w:szCs w:val="24"/>
        </w:rPr>
        <w:t xml:space="preserve">4.2.1.2. pasākumam </w:t>
      </w:r>
      <w:r w:rsidR="00F7344B">
        <w:rPr>
          <w:sz w:val="24"/>
          <w:szCs w:val="24"/>
        </w:rPr>
        <w:t xml:space="preserve">plānotais </w:t>
      </w:r>
      <w:r w:rsidR="006F0479" w:rsidRPr="006F0479">
        <w:rPr>
          <w:sz w:val="24"/>
          <w:szCs w:val="24"/>
        </w:rPr>
        <w:t>k</w:t>
      </w:r>
      <w:r w:rsidR="00AD5286" w:rsidRPr="006F0479">
        <w:rPr>
          <w:bCs/>
          <w:sz w:val="24"/>
          <w:szCs w:val="20"/>
        </w:rPr>
        <w:t xml:space="preserve">opējais publiskais finansējums </w:t>
      </w:r>
      <w:r w:rsidR="0066333B">
        <w:rPr>
          <w:bCs/>
          <w:sz w:val="24"/>
          <w:szCs w:val="20"/>
        </w:rPr>
        <w:t xml:space="preserve">pēc </w:t>
      </w:r>
      <w:r w:rsidR="0066333B" w:rsidRPr="0066333B">
        <w:rPr>
          <w:bCs/>
          <w:sz w:val="24"/>
          <w:szCs w:val="20"/>
        </w:rPr>
        <w:t>2020.</w:t>
      </w:r>
      <w:r w:rsidR="0066333B">
        <w:rPr>
          <w:bCs/>
          <w:sz w:val="24"/>
          <w:szCs w:val="20"/>
        </w:rPr>
        <w:t> </w:t>
      </w:r>
      <w:r w:rsidR="0066333B" w:rsidRPr="0066333B">
        <w:rPr>
          <w:bCs/>
          <w:sz w:val="24"/>
          <w:szCs w:val="20"/>
        </w:rPr>
        <w:t>gada 19.</w:t>
      </w:r>
      <w:r w:rsidR="0066333B">
        <w:rPr>
          <w:bCs/>
          <w:sz w:val="24"/>
          <w:szCs w:val="20"/>
        </w:rPr>
        <w:t> </w:t>
      </w:r>
      <w:r w:rsidR="0066333B" w:rsidRPr="0066333B">
        <w:rPr>
          <w:bCs/>
          <w:sz w:val="24"/>
          <w:szCs w:val="20"/>
        </w:rPr>
        <w:t>maija Ministru kabineta protokola Nr.</w:t>
      </w:r>
      <w:r w:rsidR="0066333B">
        <w:rPr>
          <w:bCs/>
          <w:sz w:val="24"/>
          <w:szCs w:val="20"/>
        </w:rPr>
        <w:t> </w:t>
      </w:r>
      <w:r w:rsidR="0066333B" w:rsidRPr="0066333B">
        <w:rPr>
          <w:bCs/>
          <w:sz w:val="24"/>
          <w:szCs w:val="20"/>
        </w:rPr>
        <w:t xml:space="preserve">34 33§ (TA-882) </w:t>
      </w:r>
      <w:r w:rsidR="005D1D82">
        <w:rPr>
          <w:bCs/>
          <w:sz w:val="24"/>
          <w:szCs w:val="20"/>
        </w:rPr>
        <w:t xml:space="preserve">(turpmāk – MK protokols Nr. 34) </w:t>
      </w:r>
      <w:r w:rsidR="0066333B" w:rsidRPr="0066333B">
        <w:rPr>
          <w:bCs/>
          <w:sz w:val="24"/>
          <w:szCs w:val="20"/>
        </w:rPr>
        <w:t>3.</w:t>
      </w:r>
      <w:r w:rsidR="0066333B">
        <w:rPr>
          <w:bCs/>
          <w:sz w:val="24"/>
          <w:szCs w:val="20"/>
        </w:rPr>
        <w:t> </w:t>
      </w:r>
      <w:r w:rsidR="0066333B" w:rsidRPr="0066333B">
        <w:rPr>
          <w:bCs/>
          <w:sz w:val="24"/>
          <w:szCs w:val="20"/>
        </w:rPr>
        <w:t>punktā noteikt</w:t>
      </w:r>
      <w:r w:rsidR="0066333B">
        <w:rPr>
          <w:bCs/>
          <w:sz w:val="24"/>
          <w:szCs w:val="20"/>
        </w:rPr>
        <w:t xml:space="preserve">ā samazināts no </w:t>
      </w:r>
      <w:r w:rsidR="00AD5286" w:rsidRPr="006F0479">
        <w:rPr>
          <w:bCs/>
          <w:sz w:val="24"/>
          <w:szCs w:val="20"/>
        </w:rPr>
        <w:t xml:space="preserve">115 127 027 </w:t>
      </w:r>
      <w:proofErr w:type="spellStart"/>
      <w:r w:rsidR="00AD5286" w:rsidRPr="006F0479">
        <w:rPr>
          <w:bCs/>
          <w:i/>
          <w:iCs/>
          <w:sz w:val="24"/>
          <w:szCs w:val="20"/>
        </w:rPr>
        <w:t>euro</w:t>
      </w:r>
      <w:proofErr w:type="spellEnd"/>
      <w:r w:rsidR="0066333B">
        <w:rPr>
          <w:bCs/>
          <w:sz w:val="24"/>
          <w:szCs w:val="20"/>
        </w:rPr>
        <w:t xml:space="preserve"> uz </w:t>
      </w:r>
      <w:r w:rsidR="0066333B" w:rsidRPr="0066333B">
        <w:rPr>
          <w:bCs/>
          <w:sz w:val="24"/>
          <w:szCs w:val="20"/>
        </w:rPr>
        <w:t>109</w:t>
      </w:r>
      <w:r w:rsidR="0066333B">
        <w:rPr>
          <w:bCs/>
          <w:sz w:val="24"/>
          <w:szCs w:val="20"/>
        </w:rPr>
        <w:t> </w:t>
      </w:r>
      <w:r w:rsidR="0066333B" w:rsidRPr="0066333B">
        <w:rPr>
          <w:bCs/>
          <w:sz w:val="24"/>
          <w:szCs w:val="20"/>
        </w:rPr>
        <w:t>832</w:t>
      </w:r>
      <w:r w:rsidR="0066333B">
        <w:rPr>
          <w:bCs/>
          <w:sz w:val="24"/>
          <w:szCs w:val="20"/>
        </w:rPr>
        <w:t> </w:t>
      </w:r>
      <w:r w:rsidR="0066333B" w:rsidRPr="0066333B">
        <w:rPr>
          <w:bCs/>
          <w:sz w:val="24"/>
          <w:szCs w:val="20"/>
        </w:rPr>
        <w:t>909</w:t>
      </w:r>
      <w:r w:rsidR="0066333B">
        <w:rPr>
          <w:bCs/>
          <w:sz w:val="24"/>
          <w:szCs w:val="20"/>
        </w:rPr>
        <w:t xml:space="preserve"> </w:t>
      </w:r>
      <w:proofErr w:type="spellStart"/>
      <w:r w:rsidR="0066333B" w:rsidRPr="0066333B">
        <w:rPr>
          <w:bCs/>
          <w:i/>
          <w:iCs/>
          <w:sz w:val="24"/>
          <w:szCs w:val="20"/>
        </w:rPr>
        <w:t>euro</w:t>
      </w:r>
      <w:proofErr w:type="spellEnd"/>
      <w:r w:rsidR="0066333B">
        <w:rPr>
          <w:bCs/>
          <w:sz w:val="24"/>
          <w:szCs w:val="20"/>
        </w:rPr>
        <w:t>. Atbilstoši</w:t>
      </w:r>
      <w:r w:rsidR="006F0479" w:rsidRPr="006F0479">
        <w:rPr>
          <w:bCs/>
          <w:sz w:val="24"/>
          <w:szCs w:val="20"/>
        </w:rPr>
        <w:t xml:space="preserve"> </w:t>
      </w:r>
      <w:r w:rsidR="006F0479">
        <w:rPr>
          <w:bCs/>
          <w:sz w:val="24"/>
          <w:szCs w:val="20"/>
        </w:rPr>
        <w:t>p</w:t>
      </w:r>
      <w:r w:rsidR="00AD5286" w:rsidRPr="006F0479">
        <w:rPr>
          <w:bCs/>
          <w:sz w:val="24"/>
          <w:szCs w:val="20"/>
        </w:rPr>
        <w:t xml:space="preserve">ieejamais kopējais publiskais finansējums </w:t>
      </w:r>
      <w:r w:rsidRPr="006F0479">
        <w:rPr>
          <w:sz w:val="24"/>
          <w:szCs w:val="24"/>
        </w:rPr>
        <w:t xml:space="preserve">4.2.1.2. pasākuma ietvaros </w:t>
      </w:r>
      <w:r w:rsidRPr="006F0479">
        <w:rPr>
          <w:sz w:val="24"/>
          <w:szCs w:val="20"/>
        </w:rPr>
        <w:t>pirmās kārtas ēk</w:t>
      </w:r>
      <w:r w:rsidR="00F7344B">
        <w:rPr>
          <w:sz w:val="24"/>
          <w:szCs w:val="20"/>
        </w:rPr>
        <w:t>u atjaunošanai</w:t>
      </w:r>
      <w:r w:rsidRPr="006F0479">
        <w:rPr>
          <w:sz w:val="24"/>
          <w:szCs w:val="20"/>
        </w:rPr>
        <w:t xml:space="preserve"> </w:t>
      </w:r>
      <w:r w:rsidR="0066333B" w:rsidRPr="0066333B">
        <w:rPr>
          <w:sz w:val="24"/>
          <w:szCs w:val="20"/>
        </w:rPr>
        <w:t>75</w:t>
      </w:r>
      <w:r w:rsidR="0066333B">
        <w:rPr>
          <w:sz w:val="24"/>
          <w:szCs w:val="20"/>
        </w:rPr>
        <w:t> </w:t>
      </w:r>
      <w:r w:rsidR="0066333B" w:rsidRPr="0066333B">
        <w:rPr>
          <w:sz w:val="24"/>
          <w:szCs w:val="20"/>
        </w:rPr>
        <w:t>154</w:t>
      </w:r>
      <w:r w:rsidR="0066333B">
        <w:rPr>
          <w:sz w:val="24"/>
          <w:szCs w:val="20"/>
        </w:rPr>
        <w:t> </w:t>
      </w:r>
      <w:r w:rsidR="0066333B" w:rsidRPr="0066333B">
        <w:rPr>
          <w:sz w:val="24"/>
          <w:szCs w:val="20"/>
        </w:rPr>
        <w:t>881</w:t>
      </w:r>
      <w:r w:rsidRPr="006F0479">
        <w:rPr>
          <w:sz w:val="24"/>
          <w:szCs w:val="20"/>
        </w:rPr>
        <w:t xml:space="preserve"> </w:t>
      </w:r>
      <w:proofErr w:type="spellStart"/>
      <w:r w:rsidRPr="006F0479">
        <w:rPr>
          <w:i/>
          <w:sz w:val="24"/>
          <w:szCs w:val="20"/>
        </w:rPr>
        <w:t>euro</w:t>
      </w:r>
      <w:proofErr w:type="spellEnd"/>
      <w:r w:rsidRPr="006F0479">
        <w:rPr>
          <w:i/>
          <w:sz w:val="24"/>
          <w:szCs w:val="20"/>
        </w:rPr>
        <w:t xml:space="preserve">, </w:t>
      </w:r>
      <w:r w:rsidR="00E55BA1" w:rsidRPr="00E55BA1">
        <w:rPr>
          <w:iCs/>
          <w:sz w:val="24"/>
          <w:szCs w:val="20"/>
        </w:rPr>
        <w:t xml:space="preserve">savukārt </w:t>
      </w:r>
      <w:r w:rsidRPr="006F0479">
        <w:rPr>
          <w:bCs/>
          <w:sz w:val="24"/>
          <w:szCs w:val="20"/>
        </w:rPr>
        <w:t xml:space="preserve">otrās atlases kārtas īstenošanai pieejamais kopējais publiskais finansējums </w:t>
      </w:r>
      <w:r w:rsidR="00A0051C" w:rsidRPr="00A0051C">
        <w:rPr>
          <w:bCs/>
          <w:sz w:val="24"/>
          <w:szCs w:val="20"/>
        </w:rPr>
        <w:t>34 678</w:t>
      </w:r>
      <w:r w:rsidR="00A0051C">
        <w:rPr>
          <w:bCs/>
          <w:sz w:val="24"/>
          <w:szCs w:val="20"/>
        </w:rPr>
        <w:t> </w:t>
      </w:r>
      <w:r w:rsidR="00A0051C" w:rsidRPr="00A0051C">
        <w:rPr>
          <w:bCs/>
          <w:sz w:val="24"/>
          <w:szCs w:val="20"/>
        </w:rPr>
        <w:t>028</w:t>
      </w:r>
      <w:r w:rsidR="00A0051C">
        <w:rPr>
          <w:bCs/>
          <w:sz w:val="24"/>
          <w:szCs w:val="20"/>
        </w:rPr>
        <w:t> </w:t>
      </w:r>
      <w:proofErr w:type="spellStart"/>
      <w:r w:rsidRPr="006F0479">
        <w:rPr>
          <w:bCs/>
          <w:i/>
          <w:iCs/>
          <w:sz w:val="24"/>
          <w:szCs w:val="20"/>
        </w:rPr>
        <w:t>euro</w:t>
      </w:r>
      <w:proofErr w:type="spellEnd"/>
      <w:r w:rsidRPr="006F0479">
        <w:rPr>
          <w:bCs/>
          <w:i/>
          <w:iCs/>
          <w:sz w:val="24"/>
          <w:szCs w:val="20"/>
        </w:rPr>
        <w:t xml:space="preserve">. </w:t>
      </w:r>
    </w:p>
    <w:p w14:paraId="4D9D355E" w14:textId="77777777" w:rsidR="00535438" w:rsidRPr="006F0479" w:rsidRDefault="00535438" w:rsidP="00762579">
      <w:pPr>
        <w:spacing w:line="276" w:lineRule="auto"/>
        <w:jc w:val="center"/>
        <w:rPr>
          <w:b/>
          <w:szCs w:val="26"/>
        </w:rPr>
      </w:pPr>
    </w:p>
    <w:p w14:paraId="23152F91" w14:textId="77777777" w:rsidR="00535438" w:rsidRPr="00C50086" w:rsidRDefault="00535438" w:rsidP="00762579">
      <w:pPr>
        <w:spacing w:line="276" w:lineRule="auto"/>
        <w:jc w:val="center"/>
        <w:rPr>
          <w:b/>
          <w:sz w:val="26"/>
          <w:szCs w:val="26"/>
        </w:rPr>
      </w:pPr>
      <w:r w:rsidRPr="00C50086">
        <w:rPr>
          <w:b/>
          <w:sz w:val="26"/>
          <w:szCs w:val="26"/>
        </w:rPr>
        <w:t>Situācijas raksturojums</w:t>
      </w:r>
    </w:p>
    <w:p w14:paraId="7ECE8E09" w14:textId="0BDCA75C" w:rsidR="00535438" w:rsidRPr="00F9060C" w:rsidRDefault="00535438" w:rsidP="00F9060C">
      <w:pPr>
        <w:spacing w:before="120" w:after="120" w:line="276" w:lineRule="auto"/>
        <w:jc w:val="both"/>
        <w:rPr>
          <w:b/>
          <w:sz w:val="26"/>
          <w:szCs w:val="26"/>
        </w:rPr>
      </w:pPr>
      <w:r w:rsidRPr="00F9060C">
        <w:rPr>
          <w:b/>
          <w:sz w:val="26"/>
          <w:szCs w:val="26"/>
        </w:rPr>
        <w:t xml:space="preserve">4.2.1.2. pasākuma pirmās un otrās atlases kārtas </w:t>
      </w:r>
      <w:r w:rsidR="00AD5286" w:rsidRPr="00F9060C">
        <w:rPr>
          <w:b/>
          <w:sz w:val="26"/>
          <w:szCs w:val="26"/>
        </w:rPr>
        <w:t>publiskā finansējuma apguve</w:t>
      </w:r>
    </w:p>
    <w:p w14:paraId="5321822A" w14:textId="22139042" w:rsidR="00B761DD" w:rsidRDefault="00B761DD" w:rsidP="00B761DD">
      <w:pPr>
        <w:spacing w:line="276" w:lineRule="auto"/>
        <w:ind w:firstLine="567"/>
        <w:jc w:val="both"/>
        <w:rPr>
          <w:bCs/>
          <w:sz w:val="24"/>
          <w:szCs w:val="24"/>
        </w:rPr>
      </w:pPr>
      <w:r w:rsidRPr="006F0479">
        <w:rPr>
          <w:bCs/>
          <w:sz w:val="24"/>
          <w:szCs w:val="24"/>
        </w:rPr>
        <w:t xml:space="preserve">Pēc Finanšu ministrijas apkopotās informācijas par finanšu rādītāju izpildi, līdz 02.04.2019. starpposma finanšu mērķis, par ko ziņots </w:t>
      </w:r>
      <w:r w:rsidR="006722AC">
        <w:rPr>
          <w:bCs/>
          <w:sz w:val="24"/>
          <w:szCs w:val="24"/>
        </w:rPr>
        <w:t>Eiropas Komisijai</w:t>
      </w:r>
      <w:r w:rsidRPr="006F0479">
        <w:rPr>
          <w:bCs/>
          <w:sz w:val="24"/>
          <w:szCs w:val="24"/>
        </w:rPr>
        <w:t xml:space="preserve">, ir sasniegts 31% apmērā. Pēc šobrīd pieejamās informācijas </w:t>
      </w:r>
      <w:r>
        <w:rPr>
          <w:bCs/>
          <w:sz w:val="24"/>
          <w:szCs w:val="24"/>
        </w:rPr>
        <w:t>K</w:t>
      </w:r>
      <w:r w:rsidRPr="00762579">
        <w:rPr>
          <w:bCs/>
          <w:sz w:val="24"/>
          <w:szCs w:val="24"/>
        </w:rPr>
        <w:t>ohēzijas politikas fondu vadības informācijas sistēm</w:t>
      </w:r>
      <w:r>
        <w:rPr>
          <w:bCs/>
          <w:sz w:val="24"/>
          <w:szCs w:val="24"/>
        </w:rPr>
        <w:t>ā</w:t>
      </w:r>
      <w:r w:rsidR="00B4602A">
        <w:rPr>
          <w:bCs/>
          <w:sz w:val="24"/>
          <w:szCs w:val="24"/>
        </w:rPr>
        <w:t xml:space="preserve"> 2014. -2020. gadam</w:t>
      </w:r>
      <w:r w:rsidRPr="006F0479">
        <w:rPr>
          <w:bCs/>
          <w:sz w:val="24"/>
          <w:szCs w:val="24"/>
        </w:rPr>
        <w:t>, 2018.</w:t>
      </w:r>
      <w:r>
        <w:rPr>
          <w:bCs/>
          <w:sz w:val="24"/>
          <w:szCs w:val="24"/>
        </w:rPr>
        <w:t> </w:t>
      </w:r>
      <w:r w:rsidRPr="006F0479">
        <w:rPr>
          <w:bCs/>
          <w:sz w:val="24"/>
          <w:szCs w:val="24"/>
        </w:rPr>
        <w:t>gada noteiktā finanšu mērķa izpilde</w:t>
      </w:r>
      <w:r w:rsidR="001C6A32">
        <w:rPr>
          <w:bCs/>
          <w:sz w:val="24"/>
          <w:szCs w:val="24"/>
        </w:rPr>
        <w:t xml:space="preserve"> (starpposma vērtība 2018. gadam</w:t>
      </w:r>
      <w:r w:rsidR="001C6A32">
        <w:rPr>
          <w:rStyle w:val="FootnoteReference"/>
          <w:bCs/>
          <w:sz w:val="24"/>
          <w:szCs w:val="24"/>
        </w:rPr>
        <w:footnoteReference w:id="1"/>
      </w:r>
      <w:r w:rsidR="001C6A32">
        <w:rPr>
          <w:bCs/>
          <w:sz w:val="24"/>
          <w:szCs w:val="24"/>
        </w:rPr>
        <w:t xml:space="preserve">: 55 911 439 </w:t>
      </w:r>
      <w:proofErr w:type="spellStart"/>
      <w:r w:rsidR="001C6A32" w:rsidRPr="001C6A32">
        <w:rPr>
          <w:bCs/>
          <w:i/>
          <w:iCs/>
          <w:sz w:val="24"/>
          <w:szCs w:val="24"/>
        </w:rPr>
        <w:t>euro</w:t>
      </w:r>
      <w:proofErr w:type="spellEnd"/>
      <w:r w:rsidR="001C6A32">
        <w:rPr>
          <w:bCs/>
          <w:sz w:val="24"/>
          <w:szCs w:val="24"/>
        </w:rPr>
        <w:t>)</w:t>
      </w:r>
      <w:r w:rsidRPr="006F0479">
        <w:rPr>
          <w:bCs/>
          <w:sz w:val="24"/>
          <w:szCs w:val="24"/>
        </w:rPr>
        <w:t xml:space="preserve"> tiek </w:t>
      </w:r>
      <w:r w:rsidRPr="00B65281">
        <w:rPr>
          <w:bCs/>
          <w:sz w:val="24"/>
          <w:szCs w:val="24"/>
        </w:rPr>
        <w:t>nodrošināta 102% apmērā</w:t>
      </w:r>
      <w:r w:rsidRPr="006F0479">
        <w:rPr>
          <w:bCs/>
          <w:sz w:val="24"/>
          <w:szCs w:val="24"/>
        </w:rPr>
        <w:t xml:space="preserve"> (skatīt </w:t>
      </w:r>
      <w:r>
        <w:rPr>
          <w:bCs/>
          <w:sz w:val="24"/>
          <w:szCs w:val="24"/>
        </w:rPr>
        <w:t>1</w:t>
      </w:r>
      <w:r w:rsidRPr="006F0479">
        <w:rPr>
          <w:bCs/>
          <w:sz w:val="24"/>
          <w:szCs w:val="24"/>
        </w:rPr>
        <w:t>.</w:t>
      </w:r>
      <w:r>
        <w:rPr>
          <w:bCs/>
          <w:sz w:val="24"/>
          <w:szCs w:val="24"/>
        </w:rPr>
        <w:t> </w:t>
      </w:r>
      <w:r w:rsidRPr="006F0479">
        <w:rPr>
          <w:bCs/>
          <w:sz w:val="24"/>
          <w:szCs w:val="24"/>
        </w:rPr>
        <w:t>tabulu).</w:t>
      </w:r>
    </w:p>
    <w:p w14:paraId="4BB395BE" w14:textId="03980148" w:rsidR="00254031" w:rsidRDefault="00254031" w:rsidP="00B761DD">
      <w:pPr>
        <w:spacing w:line="276" w:lineRule="auto"/>
        <w:ind w:firstLine="567"/>
        <w:jc w:val="both"/>
        <w:rPr>
          <w:bCs/>
          <w:sz w:val="24"/>
          <w:szCs w:val="24"/>
        </w:rPr>
      </w:pPr>
      <w:r>
        <w:rPr>
          <w:bCs/>
          <w:sz w:val="24"/>
          <w:szCs w:val="24"/>
        </w:rPr>
        <w:t>4.2.1.2. pasākuma ietvaros noteikti sekojoši sasniedzamie iznākuma rādītāji:</w:t>
      </w:r>
    </w:p>
    <w:p w14:paraId="703F7A0A" w14:textId="464714E5" w:rsidR="00254031" w:rsidRDefault="00254031" w:rsidP="00254031">
      <w:pPr>
        <w:pStyle w:val="ListParagraph"/>
        <w:numPr>
          <w:ilvl w:val="0"/>
          <w:numId w:val="20"/>
        </w:numPr>
        <w:spacing w:line="276" w:lineRule="auto"/>
        <w:jc w:val="both"/>
        <w:rPr>
          <w:bCs/>
        </w:rPr>
      </w:pPr>
      <w:r w:rsidRPr="00254031">
        <w:rPr>
          <w:bCs/>
        </w:rPr>
        <w:t>Primārās enerģijas gada patēriņa samazinājums sabiedriskajās ēkās  - 1.</w:t>
      </w:r>
      <w:r>
        <w:rPr>
          <w:bCs/>
        </w:rPr>
        <w:t> </w:t>
      </w:r>
      <w:r w:rsidRPr="00254031">
        <w:rPr>
          <w:bCs/>
        </w:rPr>
        <w:t xml:space="preserve">iesniegumu atlases kārtas ietvaros 23 579,68 </w:t>
      </w:r>
      <w:proofErr w:type="spellStart"/>
      <w:r w:rsidRPr="00254031">
        <w:rPr>
          <w:bCs/>
        </w:rPr>
        <w:t>MWh</w:t>
      </w:r>
      <w:proofErr w:type="spellEnd"/>
      <w:r w:rsidRPr="00254031">
        <w:rPr>
          <w:bCs/>
        </w:rPr>
        <w:t>/gadā, 2. iesniegumu atlases kārtas ietvaros – 11</w:t>
      </w:r>
      <w:r w:rsidR="00CC01A1">
        <w:rPr>
          <w:bCs/>
        </w:rPr>
        <w:t> </w:t>
      </w:r>
      <w:r w:rsidRPr="00254031">
        <w:rPr>
          <w:bCs/>
        </w:rPr>
        <w:t>096</w:t>
      </w:r>
      <w:r w:rsidR="00CC01A1">
        <w:rPr>
          <w:bCs/>
        </w:rPr>
        <w:t>,32</w:t>
      </w:r>
      <w:r w:rsidRPr="00254031">
        <w:rPr>
          <w:bCs/>
        </w:rPr>
        <w:t> </w:t>
      </w:r>
      <w:proofErr w:type="spellStart"/>
      <w:r w:rsidRPr="00254031">
        <w:rPr>
          <w:bCs/>
        </w:rPr>
        <w:t>MWh</w:t>
      </w:r>
      <w:proofErr w:type="spellEnd"/>
      <w:r w:rsidRPr="00254031">
        <w:rPr>
          <w:bCs/>
        </w:rPr>
        <w:t>/gadā</w:t>
      </w:r>
      <w:r w:rsidR="00296AE1">
        <w:rPr>
          <w:bCs/>
        </w:rPr>
        <w:t xml:space="preserve"> (kopā </w:t>
      </w:r>
      <w:r w:rsidR="00CC01A1">
        <w:rPr>
          <w:bCs/>
        </w:rPr>
        <w:t>–</w:t>
      </w:r>
      <w:r w:rsidR="00296AE1">
        <w:rPr>
          <w:bCs/>
        </w:rPr>
        <w:t xml:space="preserve"> </w:t>
      </w:r>
      <w:r w:rsidR="00CC01A1">
        <w:rPr>
          <w:bCs/>
        </w:rPr>
        <w:t xml:space="preserve">34 676 </w:t>
      </w:r>
      <w:proofErr w:type="spellStart"/>
      <w:r w:rsidR="00CC01A1">
        <w:rPr>
          <w:bCs/>
        </w:rPr>
        <w:t>MWh</w:t>
      </w:r>
      <w:proofErr w:type="spellEnd"/>
      <w:r w:rsidR="00CC01A1">
        <w:rPr>
          <w:bCs/>
        </w:rPr>
        <w:t>/gadā)</w:t>
      </w:r>
      <w:r w:rsidRPr="00254031">
        <w:rPr>
          <w:bCs/>
        </w:rPr>
        <w:t>;</w:t>
      </w:r>
    </w:p>
    <w:p w14:paraId="3A87D09A" w14:textId="0C58D1DF" w:rsidR="00254031" w:rsidRDefault="00254031" w:rsidP="00254031">
      <w:pPr>
        <w:pStyle w:val="ListParagraph"/>
        <w:numPr>
          <w:ilvl w:val="0"/>
          <w:numId w:val="20"/>
        </w:numPr>
        <w:spacing w:line="276" w:lineRule="auto"/>
        <w:jc w:val="both"/>
        <w:rPr>
          <w:bCs/>
        </w:rPr>
      </w:pPr>
      <w:r w:rsidRPr="00254031">
        <w:rPr>
          <w:bCs/>
        </w:rPr>
        <w:t xml:space="preserve">No atjaunojamiem energoresursiem ražotā </w:t>
      </w:r>
      <w:proofErr w:type="spellStart"/>
      <w:r w:rsidRPr="00254031">
        <w:rPr>
          <w:bCs/>
        </w:rPr>
        <w:t>papildjauda</w:t>
      </w:r>
      <w:proofErr w:type="spellEnd"/>
      <w:r>
        <w:rPr>
          <w:bCs/>
        </w:rPr>
        <w:t xml:space="preserve"> - </w:t>
      </w:r>
      <w:r w:rsidRPr="00254031">
        <w:rPr>
          <w:bCs/>
        </w:rPr>
        <w:t>1.</w:t>
      </w:r>
      <w:r>
        <w:rPr>
          <w:bCs/>
        </w:rPr>
        <w:t> </w:t>
      </w:r>
      <w:r w:rsidRPr="00254031">
        <w:rPr>
          <w:bCs/>
        </w:rPr>
        <w:t xml:space="preserve">iesniegumu atlases kārtas ietvaros </w:t>
      </w:r>
      <w:r>
        <w:rPr>
          <w:bCs/>
        </w:rPr>
        <w:t>0,272</w:t>
      </w:r>
      <w:r w:rsidRPr="00254031">
        <w:rPr>
          <w:bCs/>
        </w:rPr>
        <w:t xml:space="preserve"> MW, 2. iesniegumu atlases kārtas ietvaros – </w:t>
      </w:r>
      <w:r>
        <w:rPr>
          <w:bCs/>
        </w:rPr>
        <w:t>0,128</w:t>
      </w:r>
      <w:r w:rsidRPr="00254031">
        <w:rPr>
          <w:bCs/>
        </w:rPr>
        <w:t> MW</w:t>
      </w:r>
      <w:r w:rsidR="00CC01A1">
        <w:rPr>
          <w:bCs/>
        </w:rPr>
        <w:t xml:space="preserve"> (kopā – 0,4 MW)</w:t>
      </w:r>
      <w:r>
        <w:rPr>
          <w:bCs/>
        </w:rPr>
        <w:t>;</w:t>
      </w:r>
    </w:p>
    <w:p w14:paraId="601A0EB9" w14:textId="238A9534" w:rsidR="00254031" w:rsidRDefault="00254031" w:rsidP="00254031">
      <w:pPr>
        <w:pStyle w:val="ListParagraph"/>
        <w:numPr>
          <w:ilvl w:val="0"/>
          <w:numId w:val="20"/>
        </w:numPr>
        <w:spacing w:line="276" w:lineRule="auto"/>
        <w:jc w:val="both"/>
        <w:rPr>
          <w:bCs/>
        </w:rPr>
      </w:pPr>
      <w:r w:rsidRPr="00254031">
        <w:rPr>
          <w:bCs/>
        </w:rPr>
        <w:t>Aprēķinātais siltumnīcefekta gāzu samazinājums gadā</w:t>
      </w:r>
      <w:r>
        <w:rPr>
          <w:bCs/>
        </w:rPr>
        <w:t xml:space="preserve"> - </w:t>
      </w:r>
      <w:r w:rsidRPr="00254031">
        <w:rPr>
          <w:bCs/>
        </w:rPr>
        <w:t>1.</w:t>
      </w:r>
      <w:r>
        <w:rPr>
          <w:bCs/>
        </w:rPr>
        <w:t> </w:t>
      </w:r>
      <w:r w:rsidRPr="00254031">
        <w:rPr>
          <w:bCs/>
        </w:rPr>
        <w:t xml:space="preserve">iesniegumu atlases kārtas ietvaros </w:t>
      </w:r>
      <w:r>
        <w:rPr>
          <w:bCs/>
        </w:rPr>
        <w:t>3</w:t>
      </w:r>
      <w:r w:rsidR="00CC01A1">
        <w:rPr>
          <w:bCs/>
        </w:rPr>
        <w:t> </w:t>
      </w:r>
      <w:r>
        <w:rPr>
          <w:bCs/>
        </w:rPr>
        <w:t>931</w:t>
      </w:r>
      <w:r w:rsidR="00CC01A1">
        <w:rPr>
          <w:bCs/>
        </w:rPr>
        <w:t>,76</w:t>
      </w:r>
      <w:r w:rsidRPr="00254031">
        <w:rPr>
          <w:bCs/>
        </w:rPr>
        <w:t xml:space="preserve"> ekvivalenta tonnas, 2. iesniegumu atlases kārtas ietvaros – </w:t>
      </w:r>
      <w:r w:rsidR="00CC01A1">
        <w:rPr>
          <w:bCs/>
        </w:rPr>
        <w:t>1 850,24</w:t>
      </w:r>
      <w:r w:rsidRPr="00254031">
        <w:rPr>
          <w:bCs/>
        </w:rPr>
        <w:t> ekvivalenta tonnas</w:t>
      </w:r>
      <w:r w:rsidR="00CC01A1">
        <w:rPr>
          <w:bCs/>
        </w:rPr>
        <w:t xml:space="preserve"> (kopā – 5 782 ekvivalenta tonnas).</w:t>
      </w:r>
    </w:p>
    <w:p w14:paraId="3177667E" w14:textId="2921FC73" w:rsidR="00296AE1" w:rsidRDefault="00296AE1" w:rsidP="00CC01A1">
      <w:pPr>
        <w:spacing w:line="276" w:lineRule="auto"/>
        <w:ind w:left="720"/>
        <w:jc w:val="both"/>
        <w:rPr>
          <w:bCs/>
          <w:sz w:val="24"/>
          <w:szCs w:val="20"/>
        </w:rPr>
      </w:pPr>
      <w:r>
        <w:rPr>
          <w:bCs/>
          <w:sz w:val="24"/>
          <w:szCs w:val="20"/>
        </w:rPr>
        <w:lastRenderedPageBreak/>
        <w:t xml:space="preserve">Līdz 2020. gada </w:t>
      </w:r>
      <w:r w:rsidR="00CC01A1">
        <w:rPr>
          <w:bCs/>
          <w:sz w:val="24"/>
          <w:szCs w:val="20"/>
        </w:rPr>
        <w:t>6. jūlijam</w:t>
      </w:r>
      <w:r w:rsidRPr="00296AE1">
        <w:rPr>
          <w:bCs/>
          <w:sz w:val="24"/>
          <w:szCs w:val="20"/>
        </w:rPr>
        <w:t xml:space="preserve"> 4.2.1.2. pasākuma</w:t>
      </w:r>
      <w:r w:rsidR="00886986">
        <w:rPr>
          <w:bCs/>
          <w:sz w:val="24"/>
          <w:szCs w:val="20"/>
        </w:rPr>
        <w:t xml:space="preserve"> 29</w:t>
      </w:r>
      <w:r w:rsidRPr="00296AE1">
        <w:rPr>
          <w:bCs/>
          <w:sz w:val="24"/>
          <w:szCs w:val="20"/>
        </w:rPr>
        <w:t xml:space="preserve"> </w:t>
      </w:r>
      <w:r>
        <w:rPr>
          <w:bCs/>
          <w:sz w:val="24"/>
          <w:szCs w:val="20"/>
        </w:rPr>
        <w:t>pabeigto projektu ietvaros sasniegti sekojoši rādītāji</w:t>
      </w:r>
      <w:r w:rsidRPr="00296AE1">
        <w:rPr>
          <w:bCs/>
          <w:sz w:val="24"/>
          <w:szCs w:val="20"/>
        </w:rPr>
        <w:t>:</w:t>
      </w:r>
    </w:p>
    <w:p w14:paraId="4BBE4FD6" w14:textId="2433F9B0" w:rsidR="00CC01A1" w:rsidRPr="00CC01A1" w:rsidRDefault="00CC01A1" w:rsidP="00CC01A1">
      <w:pPr>
        <w:pStyle w:val="ListParagraph"/>
        <w:numPr>
          <w:ilvl w:val="0"/>
          <w:numId w:val="21"/>
        </w:numPr>
        <w:spacing w:line="276" w:lineRule="auto"/>
        <w:jc w:val="both"/>
        <w:rPr>
          <w:bCs/>
          <w:szCs w:val="20"/>
        </w:rPr>
      </w:pPr>
      <w:r w:rsidRPr="00254031">
        <w:rPr>
          <w:bCs/>
        </w:rPr>
        <w:t>Primārās enerģijas gada patēriņa samazinājums sabiedriskajās ēkās  -</w:t>
      </w:r>
      <w:r>
        <w:rPr>
          <w:bCs/>
        </w:rPr>
        <w:t xml:space="preserve"> </w:t>
      </w:r>
      <w:r w:rsidRPr="00CC01A1">
        <w:rPr>
          <w:bCs/>
        </w:rPr>
        <w:t>8</w:t>
      </w:r>
      <w:r w:rsidR="00886986">
        <w:rPr>
          <w:bCs/>
        </w:rPr>
        <w:t> </w:t>
      </w:r>
      <w:r w:rsidRPr="00CC01A1">
        <w:rPr>
          <w:bCs/>
        </w:rPr>
        <w:t>444</w:t>
      </w:r>
      <w:r w:rsidR="00886986">
        <w:rPr>
          <w:bCs/>
        </w:rPr>
        <w:t>,</w:t>
      </w:r>
      <w:r w:rsidRPr="00CC01A1">
        <w:rPr>
          <w:bCs/>
        </w:rPr>
        <w:t>5</w:t>
      </w:r>
      <w:r w:rsidR="00886986">
        <w:rPr>
          <w:bCs/>
        </w:rPr>
        <w:t>6 </w:t>
      </w:r>
      <w:proofErr w:type="spellStart"/>
      <w:r w:rsidR="00886986">
        <w:rPr>
          <w:bCs/>
        </w:rPr>
        <w:t>MWh</w:t>
      </w:r>
      <w:proofErr w:type="spellEnd"/>
      <w:r w:rsidR="00886986">
        <w:rPr>
          <w:bCs/>
        </w:rPr>
        <w:t>/gadā;</w:t>
      </w:r>
    </w:p>
    <w:p w14:paraId="352EBCF2" w14:textId="582FA169" w:rsidR="00CC01A1" w:rsidRPr="00CC01A1" w:rsidRDefault="00CC01A1" w:rsidP="00CC01A1">
      <w:pPr>
        <w:pStyle w:val="ListParagraph"/>
        <w:numPr>
          <w:ilvl w:val="0"/>
          <w:numId w:val="21"/>
        </w:numPr>
        <w:spacing w:line="276" w:lineRule="auto"/>
        <w:jc w:val="both"/>
        <w:rPr>
          <w:bCs/>
          <w:szCs w:val="20"/>
        </w:rPr>
      </w:pPr>
      <w:r w:rsidRPr="00254031">
        <w:rPr>
          <w:bCs/>
        </w:rPr>
        <w:t xml:space="preserve">No atjaunojamiem energoresursiem ražotā </w:t>
      </w:r>
      <w:proofErr w:type="spellStart"/>
      <w:r w:rsidRPr="00254031">
        <w:rPr>
          <w:bCs/>
        </w:rPr>
        <w:t>papildjauda</w:t>
      </w:r>
      <w:proofErr w:type="spellEnd"/>
      <w:r>
        <w:rPr>
          <w:bCs/>
        </w:rPr>
        <w:t xml:space="preserve"> – </w:t>
      </w:r>
      <w:r w:rsidR="00886986">
        <w:rPr>
          <w:bCs/>
        </w:rPr>
        <w:t>0 MW;</w:t>
      </w:r>
    </w:p>
    <w:p w14:paraId="4E18B8C7" w14:textId="506D94B9" w:rsidR="00CC01A1" w:rsidRPr="00886986" w:rsidRDefault="00CC01A1" w:rsidP="00CC01A1">
      <w:pPr>
        <w:pStyle w:val="ListParagraph"/>
        <w:numPr>
          <w:ilvl w:val="0"/>
          <w:numId w:val="21"/>
        </w:numPr>
        <w:spacing w:line="276" w:lineRule="auto"/>
        <w:jc w:val="both"/>
        <w:rPr>
          <w:bCs/>
          <w:szCs w:val="20"/>
        </w:rPr>
      </w:pPr>
      <w:r w:rsidRPr="00254031">
        <w:rPr>
          <w:bCs/>
        </w:rPr>
        <w:t>Aprēķinātais siltumnīcefekta gāzu samazinājums gadā</w:t>
      </w:r>
      <w:r>
        <w:rPr>
          <w:bCs/>
        </w:rPr>
        <w:t xml:space="preserve"> </w:t>
      </w:r>
      <w:r w:rsidR="00886986">
        <w:rPr>
          <w:bCs/>
        </w:rPr>
        <w:t>–</w:t>
      </w:r>
      <w:r>
        <w:rPr>
          <w:bCs/>
        </w:rPr>
        <w:t xml:space="preserve"> </w:t>
      </w:r>
      <w:r w:rsidR="00886986" w:rsidRPr="00886986">
        <w:rPr>
          <w:bCs/>
        </w:rPr>
        <w:t>1</w:t>
      </w:r>
      <w:r w:rsidR="00202EA1">
        <w:rPr>
          <w:bCs/>
        </w:rPr>
        <w:t> </w:t>
      </w:r>
      <w:r w:rsidR="00886986" w:rsidRPr="00886986">
        <w:rPr>
          <w:bCs/>
        </w:rPr>
        <w:t>897</w:t>
      </w:r>
      <w:r w:rsidR="00886986">
        <w:rPr>
          <w:bCs/>
        </w:rPr>
        <w:t>,</w:t>
      </w:r>
      <w:r w:rsidR="00886986" w:rsidRPr="00886986">
        <w:rPr>
          <w:bCs/>
        </w:rPr>
        <w:t>95</w:t>
      </w:r>
      <w:r w:rsidR="00886986">
        <w:rPr>
          <w:bCs/>
        </w:rPr>
        <w:t> ekvivalenta tonnas;</w:t>
      </w:r>
    </w:p>
    <w:p w14:paraId="522D449B" w14:textId="3620C28B" w:rsidR="00886986" w:rsidRDefault="00886986" w:rsidP="00886986">
      <w:pPr>
        <w:spacing w:line="276" w:lineRule="auto"/>
        <w:ind w:left="720"/>
        <w:jc w:val="both"/>
        <w:rPr>
          <w:bCs/>
          <w:sz w:val="24"/>
          <w:szCs w:val="18"/>
        </w:rPr>
      </w:pPr>
      <w:r>
        <w:rPr>
          <w:bCs/>
          <w:sz w:val="24"/>
          <w:szCs w:val="18"/>
        </w:rPr>
        <w:t>Līguma (ar Centrālo finanšu un līgumu aģentūru) stadijā esošo 55 projektu ietvaros plānots sasniegt sekojošas iznākuma rādītāju vērtības:</w:t>
      </w:r>
    </w:p>
    <w:p w14:paraId="1E3FECE5" w14:textId="4567CE16" w:rsidR="00886986" w:rsidRPr="00CC01A1" w:rsidRDefault="00886986" w:rsidP="00886986">
      <w:pPr>
        <w:pStyle w:val="ListParagraph"/>
        <w:numPr>
          <w:ilvl w:val="0"/>
          <w:numId w:val="21"/>
        </w:numPr>
        <w:spacing w:line="276" w:lineRule="auto"/>
        <w:jc w:val="both"/>
        <w:rPr>
          <w:bCs/>
          <w:szCs w:val="20"/>
        </w:rPr>
      </w:pPr>
      <w:r w:rsidRPr="00254031">
        <w:rPr>
          <w:bCs/>
        </w:rPr>
        <w:t>Primārās enerģijas gada patēriņa samazinājums sabiedriskajās ēkās  -</w:t>
      </w:r>
      <w:r>
        <w:rPr>
          <w:bCs/>
        </w:rPr>
        <w:t xml:space="preserve"> </w:t>
      </w:r>
      <w:r w:rsidRPr="00886986">
        <w:rPr>
          <w:bCs/>
        </w:rPr>
        <w:t>18</w:t>
      </w:r>
      <w:r>
        <w:rPr>
          <w:bCs/>
        </w:rPr>
        <w:t> </w:t>
      </w:r>
      <w:r w:rsidRPr="00886986">
        <w:rPr>
          <w:bCs/>
        </w:rPr>
        <w:t>311</w:t>
      </w:r>
      <w:r>
        <w:rPr>
          <w:bCs/>
        </w:rPr>
        <w:t>,</w:t>
      </w:r>
      <w:r w:rsidRPr="00886986">
        <w:rPr>
          <w:bCs/>
        </w:rPr>
        <w:t>3</w:t>
      </w:r>
      <w:r>
        <w:rPr>
          <w:bCs/>
        </w:rPr>
        <w:t>4 </w:t>
      </w:r>
      <w:proofErr w:type="spellStart"/>
      <w:r>
        <w:rPr>
          <w:bCs/>
        </w:rPr>
        <w:t>MWh</w:t>
      </w:r>
      <w:proofErr w:type="spellEnd"/>
      <w:r>
        <w:rPr>
          <w:bCs/>
        </w:rPr>
        <w:t>/gadā;</w:t>
      </w:r>
    </w:p>
    <w:p w14:paraId="156FDE6B" w14:textId="59207F03" w:rsidR="00886986" w:rsidRPr="00CC01A1" w:rsidRDefault="00886986" w:rsidP="00886986">
      <w:pPr>
        <w:pStyle w:val="ListParagraph"/>
        <w:numPr>
          <w:ilvl w:val="0"/>
          <w:numId w:val="21"/>
        </w:numPr>
        <w:spacing w:line="276" w:lineRule="auto"/>
        <w:jc w:val="both"/>
        <w:rPr>
          <w:bCs/>
          <w:szCs w:val="20"/>
        </w:rPr>
      </w:pPr>
      <w:r w:rsidRPr="00254031">
        <w:rPr>
          <w:bCs/>
        </w:rPr>
        <w:t xml:space="preserve">No atjaunojamiem energoresursiem ražotā </w:t>
      </w:r>
      <w:proofErr w:type="spellStart"/>
      <w:r w:rsidRPr="00254031">
        <w:rPr>
          <w:bCs/>
        </w:rPr>
        <w:t>papildjauda</w:t>
      </w:r>
      <w:proofErr w:type="spellEnd"/>
      <w:r>
        <w:rPr>
          <w:bCs/>
        </w:rPr>
        <w:t xml:space="preserve"> – 0,33 MW;</w:t>
      </w:r>
    </w:p>
    <w:p w14:paraId="21D40C17" w14:textId="24887284" w:rsidR="00886986" w:rsidRPr="00202EA1" w:rsidRDefault="00886986" w:rsidP="00886986">
      <w:pPr>
        <w:pStyle w:val="ListParagraph"/>
        <w:numPr>
          <w:ilvl w:val="0"/>
          <w:numId w:val="21"/>
        </w:numPr>
        <w:spacing w:line="276" w:lineRule="auto"/>
        <w:jc w:val="both"/>
        <w:rPr>
          <w:bCs/>
          <w:szCs w:val="20"/>
        </w:rPr>
      </w:pPr>
      <w:r w:rsidRPr="00254031">
        <w:rPr>
          <w:bCs/>
        </w:rPr>
        <w:t>Aprēķinātais siltumnīcefekta gāzu samazinājums gadā</w:t>
      </w:r>
      <w:r>
        <w:rPr>
          <w:bCs/>
        </w:rPr>
        <w:t xml:space="preserve"> – </w:t>
      </w:r>
      <w:r w:rsidRPr="00886986">
        <w:rPr>
          <w:bCs/>
        </w:rPr>
        <w:t>4</w:t>
      </w:r>
      <w:r>
        <w:rPr>
          <w:bCs/>
        </w:rPr>
        <w:t> </w:t>
      </w:r>
      <w:r w:rsidRPr="00886986">
        <w:rPr>
          <w:bCs/>
        </w:rPr>
        <w:t>060</w:t>
      </w:r>
      <w:r>
        <w:rPr>
          <w:bCs/>
        </w:rPr>
        <w:t>,</w:t>
      </w:r>
      <w:r w:rsidRPr="00886986">
        <w:rPr>
          <w:bCs/>
        </w:rPr>
        <w:t>0</w:t>
      </w:r>
      <w:r>
        <w:rPr>
          <w:bCs/>
        </w:rPr>
        <w:t>2 ekvivalenta tonnas</w:t>
      </w:r>
      <w:r w:rsidR="00202EA1">
        <w:rPr>
          <w:bCs/>
        </w:rPr>
        <w:t>.</w:t>
      </w:r>
    </w:p>
    <w:p w14:paraId="219DF175" w14:textId="7FB9CA21" w:rsidR="00202EA1" w:rsidRPr="00202EA1" w:rsidRDefault="00202EA1" w:rsidP="00BA48AC">
      <w:pPr>
        <w:spacing w:line="276" w:lineRule="auto"/>
        <w:ind w:firstLine="567"/>
        <w:jc w:val="both"/>
        <w:rPr>
          <w:bCs/>
          <w:sz w:val="24"/>
          <w:szCs w:val="18"/>
        </w:rPr>
      </w:pPr>
      <w:r>
        <w:rPr>
          <w:bCs/>
          <w:sz w:val="24"/>
          <w:szCs w:val="18"/>
        </w:rPr>
        <w:t xml:space="preserve">Uz šo brīdi 84 projektu ietvaros tiek izpildīti 77% no primārās enerģijas ietaupījuma sasniedzamās rādītāja vērtības, </w:t>
      </w:r>
      <w:r w:rsidR="00BA48AC">
        <w:rPr>
          <w:bCs/>
          <w:sz w:val="24"/>
          <w:szCs w:val="18"/>
        </w:rPr>
        <w:t xml:space="preserve">83% no </w:t>
      </w:r>
      <w:r w:rsidR="00BA48AC" w:rsidRPr="00BA48AC">
        <w:rPr>
          <w:bCs/>
          <w:sz w:val="24"/>
          <w:szCs w:val="18"/>
        </w:rPr>
        <w:t>atjaunojamiem energoresursiem ražotā</w:t>
      </w:r>
      <w:r w:rsidR="00BA48AC">
        <w:rPr>
          <w:bCs/>
          <w:sz w:val="24"/>
          <w:szCs w:val="18"/>
        </w:rPr>
        <w:t>s</w:t>
      </w:r>
      <w:r w:rsidR="00BA48AC" w:rsidRPr="00BA48AC">
        <w:rPr>
          <w:bCs/>
          <w:sz w:val="24"/>
          <w:szCs w:val="18"/>
        </w:rPr>
        <w:t xml:space="preserve"> </w:t>
      </w:r>
      <w:proofErr w:type="spellStart"/>
      <w:r w:rsidR="00BA48AC" w:rsidRPr="00BA48AC">
        <w:rPr>
          <w:bCs/>
          <w:sz w:val="24"/>
          <w:szCs w:val="18"/>
        </w:rPr>
        <w:t>papildjauda</w:t>
      </w:r>
      <w:r w:rsidR="00BA48AC">
        <w:rPr>
          <w:bCs/>
          <w:sz w:val="24"/>
          <w:szCs w:val="18"/>
        </w:rPr>
        <w:t>s</w:t>
      </w:r>
      <w:proofErr w:type="spellEnd"/>
      <w:r w:rsidR="00BA48AC">
        <w:rPr>
          <w:bCs/>
          <w:sz w:val="24"/>
          <w:szCs w:val="18"/>
        </w:rPr>
        <w:t xml:space="preserve"> sasniedzamās vērtības, kā arī jau 103% no </w:t>
      </w:r>
      <w:r w:rsidR="00BA48AC" w:rsidRPr="00BA48AC">
        <w:rPr>
          <w:bCs/>
          <w:sz w:val="24"/>
          <w:szCs w:val="18"/>
        </w:rPr>
        <w:t>siltumnīcefekta gāzu samazinājum</w:t>
      </w:r>
      <w:r w:rsidR="00BA48AC">
        <w:rPr>
          <w:bCs/>
          <w:sz w:val="24"/>
          <w:szCs w:val="18"/>
        </w:rPr>
        <w:t>a</w:t>
      </w:r>
      <w:r w:rsidR="00BA48AC" w:rsidRPr="00BA48AC">
        <w:rPr>
          <w:bCs/>
          <w:sz w:val="24"/>
          <w:szCs w:val="18"/>
        </w:rPr>
        <w:t xml:space="preserve"> gadā</w:t>
      </w:r>
      <w:r w:rsidR="00BA48AC">
        <w:rPr>
          <w:bCs/>
          <w:sz w:val="24"/>
          <w:szCs w:val="18"/>
        </w:rPr>
        <w:t xml:space="preserve"> sasniedzamās vērtības. Balstoties uz minētajiem datiem un ņemot vērā faktu, ka vērtēšanas procesā joprojām atrodas 21 projekts un tiek plānots iesniegt vēl 7 projektu iesniegumus, prognozējam, ka iznākuma rādītāji 4.2.1.2. pasākuma ietvaros tiks sasniegti.</w:t>
      </w:r>
    </w:p>
    <w:p w14:paraId="24B148D5" w14:textId="544B2911" w:rsidR="00254031" w:rsidRPr="00254031" w:rsidRDefault="00254031" w:rsidP="00202EA1">
      <w:pPr>
        <w:spacing w:line="276" w:lineRule="auto"/>
        <w:ind w:firstLine="567"/>
        <w:jc w:val="both"/>
        <w:rPr>
          <w:bCs/>
          <w:sz w:val="24"/>
          <w:szCs w:val="20"/>
        </w:rPr>
      </w:pPr>
      <w:r>
        <w:rPr>
          <w:bCs/>
          <w:sz w:val="24"/>
          <w:szCs w:val="20"/>
        </w:rPr>
        <w:t xml:space="preserve">Ņemot vērā izmaiņas 4.2.1.2. pasākumam paredzētajā finansējuma apjomā, tiek veiktas izmaiņas sasniedzamajos iznākuma rādītājos, kuras tiek iestrādātas 4.2.1.2. pasākumu regulējošajos Ministru kabineta noteikumos. Vienlaikus, ņemot vērā, ka viena </w:t>
      </w:r>
      <w:r w:rsidR="00CE757C" w:rsidRPr="00CE757C">
        <w:rPr>
          <w:bCs/>
          <w:sz w:val="24"/>
          <w:szCs w:val="20"/>
        </w:rPr>
        <w:t>4.2.1.</w:t>
      </w:r>
      <w:r w:rsidR="00CE757C">
        <w:rPr>
          <w:bCs/>
          <w:sz w:val="24"/>
          <w:szCs w:val="20"/>
        </w:rPr>
        <w:t> </w:t>
      </w:r>
      <w:r w:rsidR="00CE757C" w:rsidRPr="00CE757C">
        <w:rPr>
          <w:bCs/>
          <w:sz w:val="24"/>
          <w:szCs w:val="20"/>
        </w:rPr>
        <w:t>specifiskā atbalsta mērķa</w:t>
      </w:r>
      <w:r w:rsidR="00CE757C">
        <w:rPr>
          <w:bCs/>
          <w:sz w:val="24"/>
          <w:szCs w:val="20"/>
        </w:rPr>
        <w:t xml:space="preserve"> </w:t>
      </w:r>
      <w:r w:rsidR="005B22CC" w:rsidRPr="0097141F">
        <w:rPr>
          <w:bCs/>
          <w:sz w:val="24"/>
          <w:szCs w:val="24"/>
        </w:rPr>
        <w:t>"</w:t>
      </w:r>
      <w:r w:rsidR="00CE757C" w:rsidRPr="00CE757C">
        <w:rPr>
          <w:bCs/>
          <w:sz w:val="24"/>
          <w:szCs w:val="20"/>
        </w:rPr>
        <w:t>Veicināt energoefektivitātes paaugstināšanu valsts un dzīvojamās ēkās</w:t>
      </w:r>
      <w:r w:rsidR="005B22CC" w:rsidRPr="0097141F">
        <w:rPr>
          <w:bCs/>
          <w:sz w:val="24"/>
          <w:szCs w:val="24"/>
        </w:rPr>
        <w:t>"</w:t>
      </w:r>
      <w:r w:rsidR="00CE757C" w:rsidRPr="00CE757C">
        <w:rPr>
          <w:bCs/>
          <w:sz w:val="24"/>
          <w:szCs w:val="20"/>
        </w:rPr>
        <w:t xml:space="preserve"> </w:t>
      </w:r>
      <w:r>
        <w:rPr>
          <w:bCs/>
          <w:sz w:val="24"/>
          <w:szCs w:val="20"/>
        </w:rPr>
        <w:t>ietvaros tiek īstenoti divi pasākumi (4.2.1.</w:t>
      </w:r>
      <w:r w:rsidR="00CE757C">
        <w:rPr>
          <w:bCs/>
          <w:sz w:val="24"/>
          <w:szCs w:val="20"/>
        </w:rPr>
        <w:t>1</w:t>
      </w:r>
      <w:r>
        <w:rPr>
          <w:bCs/>
          <w:sz w:val="24"/>
          <w:szCs w:val="20"/>
        </w:rPr>
        <w:t xml:space="preserve">. pasākums </w:t>
      </w:r>
      <w:r w:rsidR="005B22CC" w:rsidRPr="0097141F">
        <w:rPr>
          <w:bCs/>
          <w:sz w:val="24"/>
          <w:szCs w:val="24"/>
        </w:rPr>
        <w:t>"</w:t>
      </w:r>
      <w:r w:rsidR="00CE757C" w:rsidRPr="00CE757C">
        <w:rPr>
          <w:bCs/>
          <w:sz w:val="24"/>
          <w:szCs w:val="20"/>
        </w:rPr>
        <w:t>Veicināt energoefektivitātes paaugstināšanu dzīvojamās ēkās</w:t>
      </w:r>
      <w:r w:rsidR="005B22CC" w:rsidRPr="0097141F">
        <w:rPr>
          <w:bCs/>
          <w:sz w:val="24"/>
          <w:szCs w:val="24"/>
        </w:rPr>
        <w:t>"</w:t>
      </w:r>
      <w:r w:rsidR="00CE757C">
        <w:rPr>
          <w:bCs/>
          <w:sz w:val="24"/>
          <w:szCs w:val="20"/>
        </w:rPr>
        <w:t xml:space="preserve"> un 4.2.1.2. pasākums </w:t>
      </w:r>
      <w:r w:rsidR="005B22CC" w:rsidRPr="0097141F">
        <w:rPr>
          <w:bCs/>
          <w:sz w:val="24"/>
          <w:szCs w:val="24"/>
        </w:rPr>
        <w:t>"</w:t>
      </w:r>
      <w:r w:rsidR="00CE757C" w:rsidRPr="00CE757C">
        <w:rPr>
          <w:bCs/>
          <w:sz w:val="24"/>
          <w:szCs w:val="20"/>
        </w:rPr>
        <w:t>Veicināt energoefektivitātes paaugstināšanu valsts ēkās</w:t>
      </w:r>
      <w:r w:rsidR="005B22CC" w:rsidRPr="0097141F">
        <w:rPr>
          <w:bCs/>
          <w:sz w:val="24"/>
          <w:szCs w:val="24"/>
        </w:rPr>
        <w:t>"</w:t>
      </w:r>
      <w:r w:rsidR="00CE757C">
        <w:rPr>
          <w:bCs/>
          <w:sz w:val="24"/>
          <w:szCs w:val="20"/>
        </w:rPr>
        <w:t>) iznākuma rādītāji tiek rēķināti kopā un izdalīti proporcionāli katram pasākumam piešķirtajam finansējuma apjomam</w:t>
      </w:r>
      <w:r w:rsidR="002A6979">
        <w:rPr>
          <w:bCs/>
          <w:sz w:val="24"/>
          <w:szCs w:val="20"/>
        </w:rPr>
        <w:t>.</w:t>
      </w:r>
      <w:r w:rsidR="005D1D82">
        <w:rPr>
          <w:bCs/>
          <w:sz w:val="24"/>
          <w:szCs w:val="20"/>
        </w:rPr>
        <w:t xml:space="preserve"> Tā kā tiek veiktas i</w:t>
      </w:r>
      <w:r w:rsidR="00CE757C">
        <w:rPr>
          <w:bCs/>
          <w:sz w:val="24"/>
          <w:szCs w:val="20"/>
        </w:rPr>
        <w:t>zmaiņas abu minēto pasākumu īstenošanai piešķirtajā finansējuma apjomā, tiek veiktas izmaiņas rādītāju pasē</w:t>
      </w:r>
      <w:r w:rsidR="00296AE1">
        <w:rPr>
          <w:bCs/>
          <w:sz w:val="24"/>
          <w:szCs w:val="20"/>
        </w:rPr>
        <w:t xml:space="preserve">. </w:t>
      </w:r>
      <w:r w:rsidR="00CE757C">
        <w:rPr>
          <w:bCs/>
          <w:sz w:val="24"/>
          <w:szCs w:val="20"/>
        </w:rPr>
        <w:t xml:space="preserve"> </w:t>
      </w:r>
    </w:p>
    <w:p w14:paraId="7E4D6A4D" w14:textId="158C52B2" w:rsidR="00036D45" w:rsidRDefault="006D2082" w:rsidP="00B761DD">
      <w:pPr>
        <w:spacing w:line="276" w:lineRule="auto"/>
        <w:ind w:firstLine="567"/>
        <w:jc w:val="both"/>
        <w:rPr>
          <w:bCs/>
          <w:sz w:val="24"/>
          <w:szCs w:val="24"/>
        </w:rPr>
      </w:pPr>
      <w:r>
        <w:rPr>
          <w:bCs/>
          <w:sz w:val="24"/>
          <w:szCs w:val="24"/>
        </w:rPr>
        <w:t>Atsaucoties</w:t>
      </w:r>
      <w:r w:rsidRPr="006D2082">
        <w:rPr>
          <w:bCs/>
          <w:sz w:val="24"/>
          <w:szCs w:val="24"/>
        </w:rPr>
        <w:t xml:space="preserve"> uz </w:t>
      </w:r>
      <w:r w:rsidR="005D1D82">
        <w:rPr>
          <w:bCs/>
          <w:sz w:val="24"/>
          <w:szCs w:val="24"/>
        </w:rPr>
        <w:t>MK protokolā Nr. 34</w:t>
      </w:r>
      <w:r w:rsidR="00D216C6">
        <w:rPr>
          <w:bCs/>
          <w:sz w:val="24"/>
          <w:szCs w:val="24"/>
        </w:rPr>
        <w:t xml:space="preserve"> </w:t>
      </w:r>
      <w:r w:rsidRPr="006D2082">
        <w:rPr>
          <w:bCs/>
          <w:sz w:val="24"/>
          <w:szCs w:val="24"/>
        </w:rPr>
        <w:t>3.</w:t>
      </w:r>
      <w:r w:rsidR="00756B47">
        <w:rPr>
          <w:bCs/>
          <w:sz w:val="24"/>
          <w:szCs w:val="24"/>
        </w:rPr>
        <w:t> </w:t>
      </w:r>
      <w:r w:rsidRPr="006D2082">
        <w:rPr>
          <w:bCs/>
          <w:sz w:val="24"/>
          <w:szCs w:val="24"/>
        </w:rPr>
        <w:t>punktā noteikto</w:t>
      </w:r>
      <w:r>
        <w:rPr>
          <w:bCs/>
          <w:sz w:val="24"/>
          <w:szCs w:val="24"/>
        </w:rPr>
        <w:t xml:space="preserve"> </w:t>
      </w:r>
      <w:r w:rsidR="005B22CC" w:rsidRPr="0097141F">
        <w:rPr>
          <w:bCs/>
          <w:sz w:val="24"/>
          <w:szCs w:val="24"/>
        </w:rPr>
        <w:t>"</w:t>
      </w:r>
      <w:r w:rsidRPr="006D2082">
        <w:rPr>
          <w:bCs/>
          <w:i/>
          <w:iCs/>
          <w:sz w:val="24"/>
          <w:szCs w:val="24"/>
        </w:rPr>
        <w:t xml:space="preserve">Atbalstīt 4 500 000 EUR pārdali no Ekonomikas ministrijas pārziņā esošā 4.2.1.2.pasākuma </w:t>
      </w:r>
      <w:r w:rsidR="005B22CC" w:rsidRPr="0097141F">
        <w:rPr>
          <w:bCs/>
          <w:sz w:val="24"/>
          <w:szCs w:val="24"/>
        </w:rPr>
        <w:t>"</w:t>
      </w:r>
      <w:r w:rsidRPr="006D2082">
        <w:rPr>
          <w:bCs/>
          <w:i/>
          <w:iCs/>
          <w:sz w:val="24"/>
          <w:szCs w:val="24"/>
        </w:rPr>
        <w:t>Veicināt energoefektivitātes paaugstināšanu valsts ēkās</w:t>
      </w:r>
      <w:r w:rsidR="005B22CC" w:rsidRPr="0097141F">
        <w:rPr>
          <w:bCs/>
          <w:sz w:val="24"/>
          <w:szCs w:val="24"/>
        </w:rPr>
        <w:t>"</w:t>
      </w:r>
      <w:r w:rsidRPr="006D2082">
        <w:rPr>
          <w:bCs/>
          <w:i/>
          <w:iCs/>
          <w:sz w:val="24"/>
          <w:szCs w:val="24"/>
        </w:rPr>
        <w:t xml:space="preserve"> (turpmāk – 4.2.1.2.pasākums) uz </w:t>
      </w:r>
      <w:bookmarkStart w:id="1" w:name="_Hlk42586757"/>
      <w:r w:rsidRPr="006D2082">
        <w:rPr>
          <w:bCs/>
          <w:i/>
          <w:iCs/>
          <w:sz w:val="24"/>
          <w:szCs w:val="24"/>
        </w:rPr>
        <w:t xml:space="preserve">Vides aizsardzības un reģionālās attīstības ministrijas pārziņā esošo 4.2.2.specifisko atbalsta mērķi </w:t>
      </w:r>
      <w:r w:rsidR="005B22CC" w:rsidRPr="0097141F">
        <w:rPr>
          <w:bCs/>
          <w:sz w:val="24"/>
          <w:szCs w:val="24"/>
        </w:rPr>
        <w:t>"</w:t>
      </w:r>
      <w:r w:rsidRPr="006D2082">
        <w:rPr>
          <w:bCs/>
          <w:i/>
          <w:iCs/>
          <w:sz w:val="24"/>
          <w:szCs w:val="24"/>
        </w:rPr>
        <w:t>Atbilstoši pašvaldības integrētajām attīstības programmām sekmēt energoefektivitātes paaugstināšanu un atjaunojamo energoresursu izmantošanu pašvaldību ēkās</w:t>
      </w:r>
      <w:r w:rsidR="005B22CC" w:rsidRPr="0097141F">
        <w:rPr>
          <w:bCs/>
          <w:sz w:val="24"/>
          <w:szCs w:val="24"/>
        </w:rPr>
        <w:t>"</w:t>
      </w:r>
      <w:bookmarkEnd w:id="1"/>
      <w:r w:rsidR="005B22CC" w:rsidRPr="0097141F">
        <w:rPr>
          <w:bCs/>
          <w:sz w:val="24"/>
          <w:szCs w:val="24"/>
        </w:rPr>
        <w:t>"</w:t>
      </w:r>
      <w:r>
        <w:rPr>
          <w:bCs/>
          <w:sz w:val="24"/>
          <w:szCs w:val="24"/>
        </w:rPr>
        <w:t xml:space="preserve">, no 4.2.1.2. pasākuma pirmās atlases kārtas plānots pārdalīt 4,5 milj. </w:t>
      </w:r>
      <w:proofErr w:type="spellStart"/>
      <w:r w:rsidRPr="00614968">
        <w:rPr>
          <w:bCs/>
          <w:i/>
          <w:iCs/>
          <w:sz w:val="24"/>
          <w:szCs w:val="24"/>
        </w:rPr>
        <w:t>euro</w:t>
      </w:r>
      <w:proofErr w:type="spellEnd"/>
      <w:r w:rsidR="00614968">
        <w:rPr>
          <w:bCs/>
          <w:sz w:val="24"/>
          <w:szCs w:val="24"/>
        </w:rPr>
        <w:t xml:space="preserve"> (ERAF)</w:t>
      </w:r>
      <w:r w:rsidR="001668FD">
        <w:rPr>
          <w:bCs/>
          <w:sz w:val="24"/>
          <w:szCs w:val="24"/>
        </w:rPr>
        <w:t xml:space="preserve"> Covid-19 seku mazināšanai</w:t>
      </w:r>
      <w:r w:rsidR="00614968">
        <w:rPr>
          <w:bCs/>
          <w:sz w:val="24"/>
          <w:szCs w:val="24"/>
        </w:rPr>
        <w:t xml:space="preserve">. </w:t>
      </w:r>
      <w:r w:rsidR="006236D7">
        <w:rPr>
          <w:bCs/>
          <w:sz w:val="24"/>
          <w:szCs w:val="24"/>
        </w:rPr>
        <w:t xml:space="preserve">Kopējais publiskais finansējuma </w:t>
      </w:r>
      <w:r w:rsidR="00036D45">
        <w:rPr>
          <w:bCs/>
          <w:sz w:val="24"/>
          <w:szCs w:val="24"/>
        </w:rPr>
        <w:t xml:space="preserve">apjoms, par kādu plānots samazināt </w:t>
      </w:r>
      <w:r w:rsidR="006236D7">
        <w:rPr>
          <w:bCs/>
          <w:sz w:val="24"/>
          <w:szCs w:val="24"/>
        </w:rPr>
        <w:t>4.2.1.2. pasākuma pirmās iesniegumu atlases</w:t>
      </w:r>
      <w:r w:rsidR="00036D45">
        <w:rPr>
          <w:bCs/>
          <w:sz w:val="24"/>
          <w:szCs w:val="24"/>
        </w:rPr>
        <w:t xml:space="preserve"> kārtai piešķirto finansējumu, sastāda 5 294 118 </w:t>
      </w:r>
      <w:proofErr w:type="spellStart"/>
      <w:r w:rsidR="00036D45" w:rsidRPr="00036D45">
        <w:rPr>
          <w:bCs/>
          <w:i/>
          <w:iCs/>
          <w:sz w:val="24"/>
          <w:szCs w:val="24"/>
        </w:rPr>
        <w:t>euro</w:t>
      </w:r>
      <w:proofErr w:type="spellEnd"/>
      <w:r w:rsidR="00036D45">
        <w:rPr>
          <w:bCs/>
          <w:sz w:val="24"/>
          <w:szCs w:val="24"/>
        </w:rPr>
        <w:t>, attiecīgi 4 500 000 </w:t>
      </w:r>
      <w:proofErr w:type="spellStart"/>
      <w:r w:rsidR="00036D45" w:rsidRPr="003C62BF">
        <w:rPr>
          <w:bCs/>
          <w:i/>
          <w:iCs/>
          <w:sz w:val="24"/>
          <w:szCs w:val="24"/>
        </w:rPr>
        <w:t>euro</w:t>
      </w:r>
      <w:proofErr w:type="spellEnd"/>
      <w:r w:rsidR="00036D45">
        <w:rPr>
          <w:bCs/>
          <w:sz w:val="24"/>
          <w:szCs w:val="24"/>
        </w:rPr>
        <w:t xml:space="preserve"> ERAF finansējums, bet 794 118 </w:t>
      </w:r>
      <w:proofErr w:type="spellStart"/>
      <w:r w:rsidR="00036D45" w:rsidRPr="00106643">
        <w:rPr>
          <w:bCs/>
          <w:i/>
          <w:iCs/>
          <w:sz w:val="24"/>
          <w:szCs w:val="24"/>
        </w:rPr>
        <w:t>euro</w:t>
      </w:r>
      <w:proofErr w:type="spellEnd"/>
      <w:r w:rsidR="00036D45">
        <w:rPr>
          <w:bCs/>
          <w:sz w:val="24"/>
          <w:szCs w:val="24"/>
        </w:rPr>
        <w:t xml:space="preserve"> sastāda valsts budžets. </w:t>
      </w:r>
      <w:r w:rsidR="003C62BF">
        <w:rPr>
          <w:bCs/>
          <w:sz w:val="24"/>
          <w:szCs w:val="24"/>
        </w:rPr>
        <w:t>Pārdalāmais finansējums tiek novirzīts no nepagūtajiem 4.2.1.2. pasākuma līdzekļiem:</w:t>
      </w:r>
    </w:p>
    <w:p w14:paraId="12996603" w14:textId="434D3022" w:rsidR="003C62BF" w:rsidRDefault="003C62BF" w:rsidP="003C62BF">
      <w:pPr>
        <w:pStyle w:val="ListParagraph"/>
        <w:numPr>
          <w:ilvl w:val="0"/>
          <w:numId w:val="15"/>
        </w:numPr>
        <w:spacing w:line="276" w:lineRule="auto"/>
        <w:jc w:val="both"/>
        <w:rPr>
          <w:bCs/>
        </w:rPr>
      </w:pPr>
      <w:r>
        <w:rPr>
          <w:bCs/>
        </w:rPr>
        <w:t>4.2.1.2. pasākuma pirmās atlases kārtas neizlietotā snieguma rezerve 3 755 313 </w:t>
      </w:r>
      <w:proofErr w:type="spellStart"/>
      <w:r w:rsidRPr="003C62BF">
        <w:rPr>
          <w:bCs/>
          <w:i/>
          <w:iCs/>
        </w:rPr>
        <w:t>euro</w:t>
      </w:r>
      <w:proofErr w:type="spellEnd"/>
      <w:r>
        <w:rPr>
          <w:bCs/>
        </w:rPr>
        <w:t xml:space="preserve"> (3 192 016 </w:t>
      </w:r>
      <w:proofErr w:type="spellStart"/>
      <w:r w:rsidRPr="003C62BF">
        <w:rPr>
          <w:bCs/>
          <w:i/>
          <w:iCs/>
        </w:rPr>
        <w:t>euro</w:t>
      </w:r>
      <w:proofErr w:type="spellEnd"/>
      <w:r>
        <w:rPr>
          <w:bCs/>
        </w:rPr>
        <w:t xml:space="preserve"> ERAF, 563 297 </w:t>
      </w:r>
      <w:proofErr w:type="spellStart"/>
      <w:r w:rsidRPr="003C62BF">
        <w:rPr>
          <w:bCs/>
          <w:i/>
          <w:iCs/>
        </w:rPr>
        <w:t>euro</w:t>
      </w:r>
      <w:proofErr w:type="spellEnd"/>
      <w:r>
        <w:rPr>
          <w:bCs/>
        </w:rPr>
        <w:t xml:space="preserve"> </w:t>
      </w:r>
      <w:r w:rsidR="006722AC">
        <w:rPr>
          <w:bCs/>
        </w:rPr>
        <w:t>va</w:t>
      </w:r>
      <w:r w:rsidR="00106643">
        <w:rPr>
          <w:bCs/>
        </w:rPr>
        <w:t>l</w:t>
      </w:r>
      <w:r w:rsidR="006722AC">
        <w:rPr>
          <w:bCs/>
        </w:rPr>
        <w:t>sts budžets</w:t>
      </w:r>
      <w:r>
        <w:rPr>
          <w:bCs/>
        </w:rPr>
        <w:t>);</w:t>
      </w:r>
    </w:p>
    <w:p w14:paraId="257380A0" w14:textId="033C6E68" w:rsidR="003C62BF" w:rsidRDefault="003C62BF" w:rsidP="003C62BF">
      <w:pPr>
        <w:pStyle w:val="ListParagraph"/>
        <w:numPr>
          <w:ilvl w:val="0"/>
          <w:numId w:val="15"/>
        </w:numPr>
        <w:spacing w:line="276" w:lineRule="auto"/>
        <w:jc w:val="both"/>
        <w:rPr>
          <w:bCs/>
        </w:rPr>
      </w:pPr>
      <w:r>
        <w:rPr>
          <w:bCs/>
        </w:rPr>
        <w:lastRenderedPageBreak/>
        <w:t>Tiks samazināt</w:t>
      </w:r>
      <w:r w:rsidR="002A6979">
        <w:rPr>
          <w:bCs/>
        </w:rPr>
        <w:t>s</w:t>
      </w:r>
      <w:r w:rsidR="00D87815">
        <w:rPr>
          <w:bCs/>
        </w:rPr>
        <w:t xml:space="preserve"> 4.2.1.2. pasākuma pirmās iesniegumu atlases kārtas</w:t>
      </w:r>
      <w:r>
        <w:rPr>
          <w:bCs/>
        </w:rPr>
        <w:t xml:space="preserve"> Zemkopības ministrijas kvotas apmērs par 1 212 918 </w:t>
      </w:r>
      <w:proofErr w:type="spellStart"/>
      <w:r w:rsidRPr="003C62BF">
        <w:rPr>
          <w:bCs/>
          <w:i/>
          <w:iCs/>
        </w:rPr>
        <w:t>euro</w:t>
      </w:r>
      <w:proofErr w:type="spellEnd"/>
      <w:r>
        <w:rPr>
          <w:bCs/>
        </w:rPr>
        <w:t xml:space="preserve"> (1 030 980 </w:t>
      </w:r>
      <w:proofErr w:type="spellStart"/>
      <w:r w:rsidRPr="003C62BF">
        <w:rPr>
          <w:bCs/>
          <w:i/>
          <w:iCs/>
        </w:rPr>
        <w:t>euro</w:t>
      </w:r>
      <w:proofErr w:type="spellEnd"/>
      <w:r>
        <w:rPr>
          <w:bCs/>
        </w:rPr>
        <w:t xml:space="preserve"> ERAF, 181 938 </w:t>
      </w:r>
      <w:proofErr w:type="spellStart"/>
      <w:r w:rsidRPr="003C62BF">
        <w:rPr>
          <w:bCs/>
          <w:i/>
          <w:iCs/>
        </w:rPr>
        <w:t>euro</w:t>
      </w:r>
      <w:proofErr w:type="spellEnd"/>
      <w:r>
        <w:rPr>
          <w:bCs/>
        </w:rPr>
        <w:t xml:space="preserve"> </w:t>
      </w:r>
      <w:r w:rsidR="006722AC">
        <w:rPr>
          <w:bCs/>
        </w:rPr>
        <w:t>va</w:t>
      </w:r>
      <w:r w:rsidR="00106643">
        <w:rPr>
          <w:bCs/>
        </w:rPr>
        <w:t>l</w:t>
      </w:r>
      <w:r w:rsidR="006722AC">
        <w:rPr>
          <w:bCs/>
        </w:rPr>
        <w:t>sts budžets</w:t>
      </w:r>
      <w:r>
        <w:rPr>
          <w:bCs/>
        </w:rPr>
        <w:t>);</w:t>
      </w:r>
    </w:p>
    <w:p w14:paraId="25EBB6C0" w14:textId="40644E65" w:rsidR="003C62BF" w:rsidRPr="003C62BF" w:rsidRDefault="003C62BF" w:rsidP="003C62BF">
      <w:pPr>
        <w:pStyle w:val="ListParagraph"/>
        <w:numPr>
          <w:ilvl w:val="0"/>
          <w:numId w:val="15"/>
        </w:numPr>
        <w:spacing w:line="276" w:lineRule="auto"/>
        <w:jc w:val="both"/>
        <w:rPr>
          <w:bCs/>
        </w:rPr>
      </w:pPr>
      <w:r>
        <w:rPr>
          <w:bCs/>
        </w:rPr>
        <w:t>Tiks samazināt</w:t>
      </w:r>
      <w:r w:rsidR="002A6979">
        <w:rPr>
          <w:bCs/>
        </w:rPr>
        <w:t>s</w:t>
      </w:r>
      <w:r w:rsidR="00D87815">
        <w:rPr>
          <w:bCs/>
        </w:rPr>
        <w:t xml:space="preserve"> 4.2.1.2. pasākuma pirmās iesniegumu atlases kārtas</w:t>
      </w:r>
      <w:r>
        <w:rPr>
          <w:bCs/>
        </w:rPr>
        <w:t xml:space="preserve"> Izglītības un zinātnes ministrijas kvotas apmērs par 325 887 </w:t>
      </w:r>
      <w:proofErr w:type="spellStart"/>
      <w:r w:rsidRPr="003C62BF">
        <w:rPr>
          <w:bCs/>
          <w:i/>
          <w:iCs/>
        </w:rPr>
        <w:t>euro</w:t>
      </w:r>
      <w:proofErr w:type="spellEnd"/>
      <w:r>
        <w:rPr>
          <w:bCs/>
        </w:rPr>
        <w:t xml:space="preserve"> (277 004 </w:t>
      </w:r>
      <w:proofErr w:type="spellStart"/>
      <w:r w:rsidRPr="003C62BF">
        <w:rPr>
          <w:bCs/>
          <w:i/>
          <w:iCs/>
        </w:rPr>
        <w:t>euro</w:t>
      </w:r>
      <w:proofErr w:type="spellEnd"/>
      <w:r>
        <w:rPr>
          <w:bCs/>
        </w:rPr>
        <w:t xml:space="preserve"> ERAF, 48 883 </w:t>
      </w:r>
      <w:proofErr w:type="spellStart"/>
      <w:r w:rsidRPr="003C62BF">
        <w:rPr>
          <w:bCs/>
          <w:i/>
          <w:iCs/>
        </w:rPr>
        <w:t>euro</w:t>
      </w:r>
      <w:proofErr w:type="spellEnd"/>
      <w:r>
        <w:rPr>
          <w:bCs/>
        </w:rPr>
        <w:t xml:space="preserve"> </w:t>
      </w:r>
      <w:r w:rsidR="006722AC">
        <w:rPr>
          <w:bCs/>
        </w:rPr>
        <w:t>va</w:t>
      </w:r>
      <w:r w:rsidR="00106643">
        <w:rPr>
          <w:bCs/>
        </w:rPr>
        <w:t>l</w:t>
      </w:r>
      <w:r w:rsidR="006722AC">
        <w:rPr>
          <w:bCs/>
        </w:rPr>
        <w:t>sts budžets</w:t>
      </w:r>
      <w:r>
        <w:rPr>
          <w:bCs/>
        </w:rPr>
        <w:t>).</w:t>
      </w:r>
    </w:p>
    <w:p w14:paraId="6723BD29" w14:textId="57B5F034" w:rsidR="00B761DD" w:rsidRDefault="003C62BF" w:rsidP="00B761DD">
      <w:pPr>
        <w:spacing w:line="276" w:lineRule="auto"/>
        <w:ind w:firstLine="567"/>
        <w:jc w:val="both"/>
        <w:rPr>
          <w:bCs/>
          <w:sz w:val="24"/>
          <w:szCs w:val="24"/>
        </w:rPr>
      </w:pPr>
      <w:r>
        <w:rPr>
          <w:bCs/>
          <w:sz w:val="24"/>
          <w:szCs w:val="24"/>
        </w:rPr>
        <w:t>Zemkopības ministrijas un Izglītības un zinātnes ministrijas kvotas tiks samazinātas par neapgūtu un neiezīmētu finansējuma apjomu, proti, pārdalāmais finansējuma apjoms nav paredzēts ne jaunu projektu uzsākšanai, ne jau īstenošanā esošu projektu attiecināmo izmaksu palielināšanai.</w:t>
      </w:r>
      <w:r w:rsidR="009A4CAF">
        <w:rPr>
          <w:bCs/>
          <w:sz w:val="24"/>
          <w:szCs w:val="24"/>
        </w:rPr>
        <w:t xml:space="preserve"> </w:t>
      </w:r>
      <w:r w:rsidR="00D87815">
        <w:rPr>
          <w:bCs/>
          <w:sz w:val="24"/>
          <w:szCs w:val="24"/>
        </w:rPr>
        <w:t>Par finansējuma pārdali Zemkopības ministrijas un izglītības un zinātnes ministrija ir informētas</w:t>
      </w:r>
      <w:r w:rsidR="009A4CAF">
        <w:rPr>
          <w:bCs/>
          <w:sz w:val="24"/>
          <w:szCs w:val="24"/>
        </w:rPr>
        <w:t>.</w:t>
      </w:r>
    </w:p>
    <w:p w14:paraId="313B8F6B" w14:textId="3F46B813" w:rsidR="00117539" w:rsidRPr="006F0479" w:rsidRDefault="004A1539" w:rsidP="00117539">
      <w:pPr>
        <w:spacing w:line="276" w:lineRule="auto"/>
        <w:ind w:firstLine="567"/>
        <w:jc w:val="both"/>
        <w:rPr>
          <w:bCs/>
          <w:sz w:val="24"/>
          <w:szCs w:val="24"/>
        </w:rPr>
      </w:pPr>
      <w:r>
        <w:rPr>
          <w:bCs/>
          <w:sz w:val="24"/>
          <w:szCs w:val="24"/>
        </w:rPr>
        <w:t>Izglītības un zinātnes ministrija skaidro, ka kvotas pārpalikums izveidojies, jo p</w:t>
      </w:r>
      <w:r w:rsidRPr="004A1539">
        <w:rPr>
          <w:bCs/>
          <w:sz w:val="24"/>
          <w:szCs w:val="24"/>
        </w:rPr>
        <w:t xml:space="preserve">rojektu iesniedzēji, turpinot darbus pie projektu iesniegumu un to pielikumu sagatavošanas, kā arī izsludinot attiecīgus būvdarbu iepirkumus, vairākkārtīgi ir secinājuši, ka īstenot plānotos projektus pieejamo attiecināmo izmaksu ietvaros nav iespējams, tāpēc vairāku projektu īstenošana ir pārtraukta, radot kvotas atlikumu. </w:t>
      </w:r>
      <w:r>
        <w:rPr>
          <w:bCs/>
          <w:sz w:val="24"/>
          <w:szCs w:val="24"/>
        </w:rPr>
        <w:t>K</w:t>
      </w:r>
      <w:r w:rsidRPr="004A1539">
        <w:rPr>
          <w:bCs/>
          <w:sz w:val="24"/>
          <w:szCs w:val="24"/>
        </w:rPr>
        <w:t xml:space="preserve">votas atlikums daļēji tiek novirzīts citu </w:t>
      </w:r>
      <w:r>
        <w:rPr>
          <w:bCs/>
          <w:sz w:val="24"/>
          <w:szCs w:val="24"/>
        </w:rPr>
        <w:t>Izglītības un zinātnes ministrijas</w:t>
      </w:r>
      <w:r w:rsidRPr="004A1539">
        <w:rPr>
          <w:bCs/>
          <w:sz w:val="24"/>
          <w:szCs w:val="24"/>
        </w:rPr>
        <w:t xml:space="preserve"> padotībā esošo iestāžu projektu īstenošanai, ja attiecināmo izmaksu palielināšana ir savienojama ar kvalitātes kritēriju izpildi.</w:t>
      </w:r>
      <w:r>
        <w:rPr>
          <w:bCs/>
          <w:sz w:val="24"/>
          <w:szCs w:val="24"/>
        </w:rPr>
        <w:t xml:space="preserve"> </w:t>
      </w:r>
      <w:r w:rsidR="00117539">
        <w:rPr>
          <w:bCs/>
          <w:sz w:val="24"/>
          <w:szCs w:val="24"/>
        </w:rPr>
        <w:t>Savukārt Zemkopības ministrija vērš uzmanību, ka plānotajos projektos radušās problēmas ar kvalitātes kritēriju izpildi</w:t>
      </w:r>
      <w:r w:rsidR="00DE3C9A">
        <w:rPr>
          <w:bCs/>
          <w:sz w:val="24"/>
          <w:szCs w:val="24"/>
        </w:rPr>
        <w:t xml:space="preserve"> un</w:t>
      </w:r>
      <w:r w:rsidR="00117539">
        <w:rPr>
          <w:bCs/>
          <w:sz w:val="24"/>
          <w:szCs w:val="24"/>
        </w:rPr>
        <w:t xml:space="preserve"> identificētas lielas neattiecināmās izmaksas, kā arī uzsver, ka problēmas sagādājis finansējuma saņēmēju kapacitātes trūkums, proti, iestādēm nav bijusi iespēja nodrošināt pietiekošus cilvēku resursus vairāku projektu īstenošanai. </w:t>
      </w:r>
      <w:r w:rsidR="00DE3C9A">
        <w:rPr>
          <w:bCs/>
          <w:sz w:val="24"/>
          <w:szCs w:val="24"/>
        </w:rPr>
        <w:t>Vienlaikus gan Izglītības un zinātnes ministrija, gan Zemkopības ministrija uzsver, ka turpina jau iesākto projektu īstenošanu, kā arī plāno veikt energoefektivitātes uzlabošanas pasākumus arī nākošā plānošanas perioda ietvaros, norādot, ka gūta nozīmīga pieredze, kas turpmāk uzlabos projektu īstenošanas procesa kvalitāti.</w:t>
      </w:r>
    </w:p>
    <w:p w14:paraId="478B5967" w14:textId="77777777" w:rsidR="00B761DD" w:rsidRPr="006F0479" w:rsidRDefault="00B761DD" w:rsidP="00B761DD">
      <w:pPr>
        <w:ind w:firstLine="567"/>
        <w:jc w:val="right"/>
        <w:rPr>
          <w:i/>
          <w:sz w:val="22"/>
        </w:rPr>
      </w:pPr>
      <w:r>
        <w:rPr>
          <w:i/>
          <w:sz w:val="22"/>
        </w:rPr>
        <w:t>1</w:t>
      </w:r>
      <w:r w:rsidRPr="006F0479">
        <w:rPr>
          <w:i/>
          <w:sz w:val="22"/>
        </w:rPr>
        <w:t>. tabula</w:t>
      </w:r>
    </w:p>
    <w:p w14:paraId="47F19D95" w14:textId="58CE7DAE" w:rsidR="00B761DD" w:rsidRPr="006F0479" w:rsidRDefault="00B761DD" w:rsidP="00B761DD">
      <w:pPr>
        <w:spacing w:line="276" w:lineRule="auto"/>
        <w:jc w:val="both"/>
        <w:rPr>
          <w:sz w:val="22"/>
        </w:rPr>
      </w:pPr>
      <w:r w:rsidRPr="006F0479">
        <w:rPr>
          <w:b/>
          <w:sz w:val="22"/>
        </w:rPr>
        <w:t>4.2.1.2. pasākuma pirmās un otrās atlases kārtas ietvaros finanšu rādītāju izpilde</w:t>
      </w:r>
      <w:r w:rsidRPr="006F0479">
        <w:rPr>
          <w:sz w:val="22"/>
        </w:rPr>
        <w:t xml:space="preserve"> (</w:t>
      </w:r>
      <w:r w:rsidR="0022103C">
        <w:rPr>
          <w:sz w:val="22"/>
        </w:rPr>
        <w:t>2</w:t>
      </w:r>
      <w:r w:rsidRPr="006F0479">
        <w:rPr>
          <w:sz w:val="22"/>
        </w:rPr>
        <w:t>5.0</w:t>
      </w:r>
      <w:r w:rsidR="0022103C">
        <w:rPr>
          <w:sz w:val="22"/>
        </w:rPr>
        <w:t>5</w:t>
      </w:r>
      <w:r w:rsidRPr="006F0479">
        <w:rPr>
          <w:sz w:val="22"/>
        </w:rPr>
        <w:t>.20</w:t>
      </w:r>
      <w:r w:rsidR="0022103C">
        <w:rPr>
          <w:sz w:val="22"/>
        </w:rPr>
        <w:t>20</w:t>
      </w:r>
      <w:r w:rsidRPr="006F0479">
        <w:rPr>
          <w:sz w:val="22"/>
        </w:rPr>
        <w:t>. informācija)</w:t>
      </w:r>
    </w:p>
    <w:tbl>
      <w:tblPr>
        <w:tblStyle w:val="TableGrid"/>
        <w:tblW w:w="8359" w:type="dxa"/>
        <w:jc w:val="center"/>
        <w:tblLayout w:type="fixed"/>
        <w:tblLook w:val="04A0" w:firstRow="1" w:lastRow="0" w:firstColumn="1" w:lastColumn="0" w:noHBand="0" w:noVBand="1"/>
      </w:tblPr>
      <w:tblGrid>
        <w:gridCol w:w="1335"/>
        <w:gridCol w:w="1353"/>
        <w:gridCol w:w="1317"/>
        <w:gridCol w:w="1096"/>
        <w:gridCol w:w="1698"/>
        <w:gridCol w:w="1560"/>
      </w:tblGrid>
      <w:tr w:rsidR="00B761DD" w:rsidRPr="006F0479" w14:paraId="3C9B262A" w14:textId="77777777" w:rsidTr="00F7344B">
        <w:trPr>
          <w:jc w:val="center"/>
        </w:trPr>
        <w:tc>
          <w:tcPr>
            <w:tcW w:w="1335" w:type="dxa"/>
          </w:tcPr>
          <w:p w14:paraId="1B373CD1" w14:textId="77777777" w:rsidR="00B761DD" w:rsidRPr="006F0479" w:rsidRDefault="00B761DD" w:rsidP="00C80707">
            <w:pPr>
              <w:spacing w:line="276" w:lineRule="auto"/>
              <w:jc w:val="both"/>
              <w:rPr>
                <w:sz w:val="22"/>
                <w:szCs w:val="22"/>
              </w:rPr>
            </w:pPr>
            <w:r w:rsidRPr="006F0479">
              <w:rPr>
                <w:sz w:val="22"/>
                <w:szCs w:val="22"/>
              </w:rPr>
              <w:t>Kopējais publiskais finansējums, EUR</w:t>
            </w:r>
          </w:p>
        </w:tc>
        <w:tc>
          <w:tcPr>
            <w:tcW w:w="1353" w:type="dxa"/>
          </w:tcPr>
          <w:p w14:paraId="3124CFAE" w14:textId="77777777" w:rsidR="00B761DD" w:rsidRPr="006F0479" w:rsidRDefault="00B761DD" w:rsidP="00C80707">
            <w:pPr>
              <w:spacing w:line="276" w:lineRule="auto"/>
              <w:jc w:val="both"/>
              <w:rPr>
                <w:sz w:val="22"/>
                <w:szCs w:val="22"/>
              </w:rPr>
            </w:pPr>
            <w:r w:rsidRPr="006F0479">
              <w:rPr>
                <w:sz w:val="22"/>
                <w:szCs w:val="22"/>
              </w:rPr>
              <w:t>Pieejamais kopējais publiskais finansējums, EUR</w:t>
            </w:r>
          </w:p>
        </w:tc>
        <w:tc>
          <w:tcPr>
            <w:tcW w:w="1317" w:type="dxa"/>
          </w:tcPr>
          <w:p w14:paraId="6C401110" w14:textId="77777777" w:rsidR="00B761DD" w:rsidRPr="006F0479" w:rsidRDefault="00B761DD" w:rsidP="00C80707">
            <w:pPr>
              <w:spacing w:line="276" w:lineRule="auto"/>
              <w:jc w:val="both"/>
              <w:rPr>
                <w:sz w:val="22"/>
                <w:szCs w:val="22"/>
              </w:rPr>
            </w:pPr>
            <w:r w:rsidRPr="006F0479">
              <w:rPr>
                <w:b/>
                <w:sz w:val="22"/>
                <w:szCs w:val="22"/>
              </w:rPr>
              <w:t>2018. gada starpposma finanšu mērķis,</w:t>
            </w:r>
            <w:r w:rsidRPr="006F0479">
              <w:rPr>
                <w:sz w:val="22"/>
                <w:szCs w:val="22"/>
              </w:rPr>
              <w:t xml:space="preserve"> EUR</w:t>
            </w:r>
          </w:p>
        </w:tc>
        <w:tc>
          <w:tcPr>
            <w:tcW w:w="1096" w:type="dxa"/>
          </w:tcPr>
          <w:p w14:paraId="70DB7E42" w14:textId="77777777" w:rsidR="00B761DD" w:rsidRPr="006F0479" w:rsidRDefault="00B761DD" w:rsidP="00C80707">
            <w:pPr>
              <w:spacing w:line="276" w:lineRule="auto"/>
              <w:jc w:val="both"/>
              <w:rPr>
                <w:sz w:val="22"/>
                <w:szCs w:val="22"/>
              </w:rPr>
            </w:pPr>
            <w:r w:rsidRPr="006F0479">
              <w:rPr>
                <w:sz w:val="22"/>
                <w:szCs w:val="22"/>
              </w:rPr>
              <w:t>Snieguma rezerve, EUR</w:t>
            </w:r>
          </w:p>
        </w:tc>
        <w:tc>
          <w:tcPr>
            <w:tcW w:w="1698" w:type="dxa"/>
          </w:tcPr>
          <w:p w14:paraId="2F879619" w14:textId="36C520CB" w:rsidR="00B761DD" w:rsidRPr="006F0479" w:rsidRDefault="00B761DD" w:rsidP="00C80707">
            <w:pPr>
              <w:spacing w:line="276" w:lineRule="auto"/>
              <w:jc w:val="both"/>
              <w:rPr>
                <w:b/>
                <w:sz w:val="22"/>
                <w:szCs w:val="22"/>
              </w:rPr>
            </w:pPr>
            <w:r w:rsidRPr="006F0479">
              <w:rPr>
                <w:b/>
                <w:sz w:val="22"/>
                <w:szCs w:val="22"/>
              </w:rPr>
              <w:t>Pabeigti projekti</w:t>
            </w:r>
            <w:r w:rsidR="00DF1433">
              <w:rPr>
                <w:b/>
                <w:sz w:val="22"/>
                <w:szCs w:val="22"/>
              </w:rPr>
              <w:t>, summa</w:t>
            </w:r>
          </w:p>
        </w:tc>
        <w:tc>
          <w:tcPr>
            <w:tcW w:w="1560" w:type="dxa"/>
          </w:tcPr>
          <w:p w14:paraId="7F961B1D" w14:textId="2EDA2561" w:rsidR="00B761DD" w:rsidRPr="006F0479" w:rsidRDefault="00B761DD" w:rsidP="00C80707">
            <w:pPr>
              <w:spacing w:line="276" w:lineRule="auto"/>
              <w:jc w:val="both"/>
              <w:rPr>
                <w:sz w:val="22"/>
                <w:szCs w:val="22"/>
              </w:rPr>
            </w:pPr>
            <w:r w:rsidRPr="006F0479">
              <w:rPr>
                <w:sz w:val="22"/>
                <w:szCs w:val="22"/>
              </w:rPr>
              <w:t>CFLA apstiprinātie maksājumu pieprasījumi</w:t>
            </w:r>
            <w:r w:rsidR="00DF1433">
              <w:rPr>
                <w:sz w:val="22"/>
                <w:szCs w:val="22"/>
              </w:rPr>
              <w:t>, summa</w:t>
            </w:r>
          </w:p>
        </w:tc>
      </w:tr>
      <w:tr w:rsidR="00B761DD" w:rsidRPr="006F0479" w14:paraId="254E13D6" w14:textId="77777777" w:rsidTr="00F7344B">
        <w:trPr>
          <w:jc w:val="center"/>
        </w:trPr>
        <w:tc>
          <w:tcPr>
            <w:tcW w:w="1335" w:type="dxa"/>
          </w:tcPr>
          <w:p w14:paraId="2713F233" w14:textId="63C5C0E6" w:rsidR="00B761DD" w:rsidRPr="006F0479" w:rsidRDefault="00E6531A" w:rsidP="00C80707">
            <w:pPr>
              <w:spacing w:line="276" w:lineRule="auto"/>
              <w:jc w:val="both"/>
              <w:rPr>
                <w:sz w:val="22"/>
                <w:szCs w:val="22"/>
              </w:rPr>
            </w:pPr>
            <w:r w:rsidRPr="00E6531A">
              <w:rPr>
                <w:sz w:val="22"/>
                <w:szCs w:val="22"/>
              </w:rPr>
              <w:t>109 832 909</w:t>
            </w:r>
          </w:p>
        </w:tc>
        <w:tc>
          <w:tcPr>
            <w:tcW w:w="1353" w:type="dxa"/>
          </w:tcPr>
          <w:p w14:paraId="433F594E" w14:textId="4876D10C" w:rsidR="00B761DD" w:rsidRPr="006F0479" w:rsidRDefault="00E6531A" w:rsidP="00C80707">
            <w:pPr>
              <w:spacing w:line="276" w:lineRule="auto"/>
              <w:jc w:val="both"/>
              <w:rPr>
                <w:sz w:val="22"/>
                <w:szCs w:val="22"/>
              </w:rPr>
            </w:pPr>
            <w:r w:rsidRPr="00E6531A">
              <w:rPr>
                <w:sz w:val="22"/>
                <w:szCs w:val="22"/>
              </w:rPr>
              <w:t>109 832 909</w:t>
            </w:r>
          </w:p>
        </w:tc>
        <w:tc>
          <w:tcPr>
            <w:tcW w:w="1317" w:type="dxa"/>
          </w:tcPr>
          <w:p w14:paraId="7051E9D0" w14:textId="77777777" w:rsidR="00B761DD" w:rsidRPr="006F0479" w:rsidRDefault="00B761DD" w:rsidP="00C80707">
            <w:pPr>
              <w:spacing w:line="276" w:lineRule="auto"/>
              <w:jc w:val="both"/>
              <w:rPr>
                <w:sz w:val="22"/>
                <w:szCs w:val="22"/>
              </w:rPr>
            </w:pPr>
            <w:r w:rsidRPr="006F0479">
              <w:rPr>
                <w:sz w:val="22"/>
                <w:szCs w:val="22"/>
              </w:rPr>
              <w:t>19 412 881</w:t>
            </w:r>
          </w:p>
        </w:tc>
        <w:tc>
          <w:tcPr>
            <w:tcW w:w="1096" w:type="dxa"/>
          </w:tcPr>
          <w:p w14:paraId="1183C0A9" w14:textId="260CBAF2" w:rsidR="00B761DD" w:rsidRPr="006F0479" w:rsidRDefault="00E6531A" w:rsidP="00C80707">
            <w:pPr>
              <w:spacing w:line="276" w:lineRule="auto"/>
              <w:jc w:val="both"/>
              <w:rPr>
                <w:sz w:val="22"/>
                <w:szCs w:val="22"/>
              </w:rPr>
            </w:pPr>
            <w:r>
              <w:rPr>
                <w:sz w:val="22"/>
                <w:szCs w:val="22"/>
              </w:rPr>
              <w:t>-</w:t>
            </w:r>
          </w:p>
        </w:tc>
        <w:tc>
          <w:tcPr>
            <w:tcW w:w="1698" w:type="dxa"/>
          </w:tcPr>
          <w:p w14:paraId="0682BCAF" w14:textId="41A56A98" w:rsidR="00B761DD" w:rsidRPr="006F0479" w:rsidRDefault="00E6531A" w:rsidP="00C80707">
            <w:pPr>
              <w:spacing w:line="276" w:lineRule="auto"/>
              <w:jc w:val="both"/>
              <w:rPr>
                <w:sz w:val="22"/>
                <w:szCs w:val="22"/>
              </w:rPr>
            </w:pPr>
            <w:r>
              <w:rPr>
                <w:sz w:val="22"/>
                <w:szCs w:val="22"/>
              </w:rPr>
              <w:t>2</w:t>
            </w:r>
            <w:r w:rsidR="00B53447">
              <w:rPr>
                <w:sz w:val="22"/>
                <w:szCs w:val="22"/>
              </w:rPr>
              <w:t>7</w:t>
            </w:r>
            <w:r w:rsidR="00B761DD" w:rsidRPr="006F0479">
              <w:rPr>
                <w:sz w:val="22"/>
                <w:szCs w:val="22"/>
              </w:rPr>
              <w:t xml:space="preserve"> </w:t>
            </w:r>
            <w:r w:rsidR="00DF1433">
              <w:rPr>
                <w:sz w:val="22"/>
                <w:szCs w:val="22"/>
              </w:rPr>
              <w:t>projekti</w:t>
            </w:r>
            <w:r w:rsidR="00B761DD" w:rsidRPr="006F0479">
              <w:rPr>
                <w:sz w:val="22"/>
                <w:szCs w:val="22"/>
              </w:rPr>
              <w:t xml:space="preserve">, </w:t>
            </w:r>
            <w:r>
              <w:rPr>
                <w:sz w:val="22"/>
                <w:szCs w:val="22"/>
              </w:rPr>
              <w:t>2</w:t>
            </w:r>
            <w:r w:rsidR="00B53447">
              <w:rPr>
                <w:sz w:val="22"/>
                <w:szCs w:val="22"/>
              </w:rPr>
              <w:t>3</w:t>
            </w:r>
            <w:r>
              <w:rPr>
                <w:sz w:val="22"/>
                <w:szCs w:val="22"/>
              </w:rPr>
              <w:t>,</w:t>
            </w:r>
            <w:r w:rsidR="00B53447">
              <w:rPr>
                <w:sz w:val="22"/>
                <w:szCs w:val="22"/>
              </w:rPr>
              <w:t>24</w:t>
            </w:r>
            <w:r>
              <w:rPr>
                <w:sz w:val="22"/>
                <w:szCs w:val="22"/>
              </w:rPr>
              <w:t> </w:t>
            </w:r>
            <w:r w:rsidR="00F7344B">
              <w:rPr>
                <w:sz w:val="22"/>
                <w:szCs w:val="22"/>
              </w:rPr>
              <w:t>m</w:t>
            </w:r>
            <w:r w:rsidR="00B761DD" w:rsidRPr="006F0479">
              <w:rPr>
                <w:sz w:val="22"/>
                <w:szCs w:val="22"/>
              </w:rPr>
              <w:t xml:space="preserve">ilj. </w:t>
            </w:r>
            <w:proofErr w:type="spellStart"/>
            <w:r w:rsidR="00F7344B" w:rsidRPr="00F7344B">
              <w:rPr>
                <w:i/>
                <w:iCs/>
                <w:sz w:val="22"/>
                <w:szCs w:val="22"/>
              </w:rPr>
              <w:t>euro</w:t>
            </w:r>
            <w:proofErr w:type="spellEnd"/>
          </w:p>
        </w:tc>
        <w:tc>
          <w:tcPr>
            <w:tcW w:w="1560" w:type="dxa"/>
          </w:tcPr>
          <w:p w14:paraId="608D3C45" w14:textId="2AB74B32" w:rsidR="00B761DD" w:rsidRPr="006F0479" w:rsidRDefault="00B53447" w:rsidP="00C80707">
            <w:pPr>
              <w:spacing w:line="276" w:lineRule="auto"/>
              <w:jc w:val="both"/>
              <w:rPr>
                <w:sz w:val="22"/>
                <w:szCs w:val="22"/>
              </w:rPr>
            </w:pPr>
            <w:r>
              <w:rPr>
                <w:sz w:val="22"/>
                <w:szCs w:val="22"/>
              </w:rPr>
              <w:t xml:space="preserve">29, 19 milj. </w:t>
            </w:r>
            <w:proofErr w:type="spellStart"/>
            <w:r w:rsidRPr="00B53447">
              <w:rPr>
                <w:i/>
                <w:iCs/>
                <w:sz w:val="22"/>
                <w:szCs w:val="22"/>
              </w:rPr>
              <w:t>euro</w:t>
            </w:r>
            <w:proofErr w:type="spellEnd"/>
          </w:p>
        </w:tc>
      </w:tr>
    </w:tbl>
    <w:p w14:paraId="3F5BBA61" w14:textId="77777777" w:rsidR="00B761DD" w:rsidRDefault="00B761DD" w:rsidP="00B761DD">
      <w:pPr>
        <w:jc w:val="both"/>
        <w:rPr>
          <w:b/>
          <w:sz w:val="24"/>
          <w:szCs w:val="20"/>
        </w:rPr>
      </w:pPr>
    </w:p>
    <w:p w14:paraId="3D09F993" w14:textId="1CD9EEA9" w:rsidR="00B761DD" w:rsidRPr="006F0479" w:rsidRDefault="00B761DD" w:rsidP="00B761DD">
      <w:pPr>
        <w:spacing w:line="276" w:lineRule="auto"/>
        <w:ind w:firstLine="567"/>
        <w:jc w:val="both"/>
        <w:rPr>
          <w:bCs/>
          <w:sz w:val="24"/>
          <w:szCs w:val="24"/>
        </w:rPr>
      </w:pPr>
      <w:r w:rsidRPr="00C23AB8">
        <w:rPr>
          <w:bCs/>
          <w:sz w:val="24"/>
          <w:szCs w:val="24"/>
        </w:rPr>
        <w:t>Ņemot vērā līdz šim projektu iesniedzēju iesniegtos finansēšanas plānus</w:t>
      </w:r>
      <w:r w:rsidR="005D1D82">
        <w:rPr>
          <w:bCs/>
          <w:sz w:val="24"/>
          <w:szCs w:val="24"/>
        </w:rPr>
        <w:t xml:space="preserve"> sadarbības iestādē Centrālajā finanšu un līgumu aģentūrā (turpmāk –</w:t>
      </w:r>
      <w:r w:rsidRPr="00C23AB8">
        <w:rPr>
          <w:bCs/>
          <w:sz w:val="24"/>
          <w:szCs w:val="24"/>
        </w:rPr>
        <w:t xml:space="preserve"> CFLA</w:t>
      </w:r>
      <w:r w:rsidR="005D1D82">
        <w:rPr>
          <w:bCs/>
          <w:sz w:val="24"/>
          <w:szCs w:val="24"/>
        </w:rPr>
        <w:t>)</w:t>
      </w:r>
      <w:r w:rsidRPr="00C23AB8">
        <w:rPr>
          <w:bCs/>
          <w:sz w:val="24"/>
          <w:szCs w:val="24"/>
        </w:rPr>
        <w:t xml:space="preserve">, </w:t>
      </w:r>
      <w:r w:rsidR="00DF1433">
        <w:rPr>
          <w:bCs/>
          <w:sz w:val="24"/>
          <w:szCs w:val="24"/>
        </w:rPr>
        <w:t>secināms</w:t>
      </w:r>
      <w:r w:rsidRPr="00C23AB8">
        <w:rPr>
          <w:bCs/>
          <w:sz w:val="24"/>
          <w:szCs w:val="24"/>
        </w:rPr>
        <w:t>, ka 4.2.1.2. pasākuma pirmās un otrās atlases kārtas ietvaros projekta iesniedzēji finansiāli visapjomīgākos maksājuma pieprasījumus plāno iesniegt 20</w:t>
      </w:r>
      <w:r w:rsidR="00C23AB8" w:rsidRPr="00C23AB8">
        <w:rPr>
          <w:bCs/>
          <w:sz w:val="24"/>
          <w:szCs w:val="24"/>
        </w:rPr>
        <w:t>20</w:t>
      </w:r>
      <w:r w:rsidRPr="00C23AB8">
        <w:rPr>
          <w:bCs/>
          <w:sz w:val="24"/>
          <w:szCs w:val="24"/>
        </w:rPr>
        <w:t xml:space="preserve">. gada </w:t>
      </w:r>
      <w:r w:rsidR="00C23AB8" w:rsidRPr="00C23AB8">
        <w:rPr>
          <w:bCs/>
          <w:sz w:val="24"/>
          <w:szCs w:val="24"/>
        </w:rPr>
        <w:t>laikā</w:t>
      </w:r>
      <w:r w:rsidRPr="00C23AB8">
        <w:rPr>
          <w:bCs/>
          <w:sz w:val="24"/>
          <w:szCs w:val="24"/>
        </w:rPr>
        <w:t xml:space="preserve"> (skatīt 1. attēlu). </w:t>
      </w:r>
    </w:p>
    <w:p w14:paraId="42B84A2E" w14:textId="77777777" w:rsidR="00B761DD" w:rsidRPr="006F0479" w:rsidRDefault="00B761DD" w:rsidP="00B761DD">
      <w:pPr>
        <w:jc w:val="both"/>
        <w:rPr>
          <w:b/>
          <w:sz w:val="22"/>
        </w:rPr>
      </w:pPr>
    </w:p>
    <w:p w14:paraId="4E539611" w14:textId="77777777" w:rsidR="00C14B23" w:rsidRDefault="00C14B23" w:rsidP="00C14B23">
      <w:pPr>
        <w:pStyle w:val="CommentText"/>
      </w:pPr>
    </w:p>
    <w:p w14:paraId="3D94CAA4" w14:textId="598582AC" w:rsidR="00C23AB8" w:rsidRDefault="00C23AB8" w:rsidP="00C23AB8">
      <w:pPr>
        <w:spacing w:line="276" w:lineRule="auto"/>
        <w:ind w:firstLine="720"/>
        <w:jc w:val="both"/>
        <w:rPr>
          <w:bCs/>
          <w:sz w:val="24"/>
          <w:szCs w:val="24"/>
        </w:rPr>
      </w:pPr>
      <w:r>
        <w:rPr>
          <w:noProof/>
        </w:rPr>
        <w:drawing>
          <wp:inline distT="0" distB="0" distL="0" distR="0" wp14:anchorId="60314A53" wp14:editId="748BC4A9">
            <wp:extent cx="359092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733425"/>
                    </a:xfrm>
                    <a:prstGeom prst="rect">
                      <a:avLst/>
                    </a:prstGeom>
                    <a:noFill/>
                    <a:ln>
                      <a:noFill/>
                    </a:ln>
                  </pic:spPr>
                </pic:pic>
              </a:graphicData>
            </a:graphic>
          </wp:inline>
        </w:drawing>
      </w:r>
    </w:p>
    <w:p w14:paraId="102EBDE3" w14:textId="2F2CB4EF" w:rsidR="00C23AB8" w:rsidRDefault="00C23AB8" w:rsidP="00C23AB8">
      <w:pPr>
        <w:spacing w:line="276" w:lineRule="auto"/>
        <w:ind w:firstLine="720"/>
        <w:jc w:val="both"/>
        <w:rPr>
          <w:bCs/>
          <w:sz w:val="24"/>
          <w:szCs w:val="24"/>
        </w:rPr>
      </w:pPr>
      <w:r>
        <w:rPr>
          <w:noProof/>
        </w:rPr>
        <w:lastRenderedPageBreak/>
        <w:drawing>
          <wp:inline distT="0" distB="0" distL="0" distR="0" wp14:anchorId="5DFD3A27" wp14:editId="6295FD8B">
            <wp:extent cx="35909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733425"/>
                    </a:xfrm>
                    <a:prstGeom prst="rect">
                      <a:avLst/>
                    </a:prstGeom>
                    <a:noFill/>
                    <a:ln>
                      <a:noFill/>
                    </a:ln>
                  </pic:spPr>
                </pic:pic>
              </a:graphicData>
            </a:graphic>
          </wp:inline>
        </w:drawing>
      </w:r>
    </w:p>
    <w:p w14:paraId="5FE34491" w14:textId="4BF03747" w:rsidR="00C23AB8" w:rsidRDefault="00C23AB8" w:rsidP="00C23AB8">
      <w:pPr>
        <w:spacing w:line="276" w:lineRule="auto"/>
        <w:ind w:firstLine="720"/>
        <w:jc w:val="both"/>
        <w:rPr>
          <w:bCs/>
          <w:sz w:val="24"/>
          <w:szCs w:val="24"/>
        </w:rPr>
      </w:pPr>
      <w:r>
        <w:rPr>
          <w:noProof/>
        </w:rPr>
        <w:drawing>
          <wp:inline distT="0" distB="0" distL="0" distR="0" wp14:anchorId="4313C9F0" wp14:editId="3C033129">
            <wp:extent cx="3590925" cy="733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733425"/>
                    </a:xfrm>
                    <a:prstGeom prst="rect">
                      <a:avLst/>
                    </a:prstGeom>
                    <a:noFill/>
                    <a:ln>
                      <a:noFill/>
                    </a:ln>
                  </pic:spPr>
                </pic:pic>
              </a:graphicData>
            </a:graphic>
          </wp:inline>
        </w:drawing>
      </w:r>
    </w:p>
    <w:p w14:paraId="6C376BCE" w14:textId="71F2DF31" w:rsidR="00C23AB8" w:rsidRDefault="00C23AB8" w:rsidP="00C23AB8">
      <w:pPr>
        <w:spacing w:line="276" w:lineRule="auto"/>
        <w:ind w:firstLine="720"/>
        <w:jc w:val="both"/>
        <w:rPr>
          <w:bCs/>
          <w:sz w:val="24"/>
          <w:szCs w:val="24"/>
        </w:rPr>
      </w:pPr>
      <w:r>
        <w:rPr>
          <w:noProof/>
        </w:rPr>
        <w:drawing>
          <wp:inline distT="0" distB="0" distL="0" distR="0" wp14:anchorId="6936CB9C" wp14:editId="615A5831">
            <wp:extent cx="3752850"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733425"/>
                    </a:xfrm>
                    <a:prstGeom prst="rect">
                      <a:avLst/>
                    </a:prstGeom>
                    <a:noFill/>
                    <a:ln>
                      <a:noFill/>
                    </a:ln>
                  </pic:spPr>
                </pic:pic>
              </a:graphicData>
            </a:graphic>
          </wp:inline>
        </w:drawing>
      </w:r>
    </w:p>
    <w:p w14:paraId="33028F05" w14:textId="4527430F" w:rsidR="00B761DD" w:rsidRPr="006F0479" w:rsidRDefault="00B761DD" w:rsidP="00B761DD">
      <w:pPr>
        <w:jc w:val="both"/>
        <w:rPr>
          <w:bCs/>
          <w:sz w:val="24"/>
          <w:szCs w:val="24"/>
        </w:rPr>
      </w:pPr>
    </w:p>
    <w:p w14:paraId="04357129" w14:textId="0CFDBED6" w:rsidR="00B761DD" w:rsidRPr="006F0479" w:rsidRDefault="00B761DD" w:rsidP="00B761DD">
      <w:pPr>
        <w:jc w:val="both"/>
        <w:rPr>
          <w:bCs/>
          <w:sz w:val="24"/>
          <w:szCs w:val="24"/>
        </w:rPr>
      </w:pPr>
      <w:r>
        <w:rPr>
          <w:i/>
          <w:sz w:val="22"/>
        </w:rPr>
        <w:t>1</w:t>
      </w:r>
      <w:r w:rsidRPr="006F0479">
        <w:rPr>
          <w:i/>
          <w:sz w:val="22"/>
        </w:rPr>
        <w:t>.</w:t>
      </w:r>
      <w:r>
        <w:rPr>
          <w:i/>
          <w:sz w:val="22"/>
        </w:rPr>
        <w:t> </w:t>
      </w:r>
      <w:r w:rsidRPr="006F0479">
        <w:rPr>
          <w:i/>
          <w:sz w:val="22"/>
        </w:rPr>
        <w:t>attēls.</w:t>
      </w:r>
      <w:r w:rsidRPr="006F0479">
        <w:rPr>
          <w:sz w:val="22"/>
        </w:rPr>
        <w:t xml:space="preserve"> </w:t>
      </w:r>
      <w:bookmarkStart w:id="2" w:name="_Hlk42518405"/>
      <w:r w:rsidRPr="006F0479">
        <w:rPr>
          <w:b/>
          <w:sz w:val="22"/>
        </w:rPr>
        <w:t>4.2.1.2. pasākuma pirmās un otrās atlases kārtas ietvaros plānotā publiskā finansējuma plūsma</w:t>
      </w:r>
      <w:r>
        <w:rPr>
          <w:b/>
          <w:sz w:val="22"/>
        </w:rPr>
        <w:t xml:space="preserve"> </w:t>
      </w:r>
      <w:r w:rsidRPr="00E73182">
        <w:rPr>
          <w:b/>
          <w:i/>
          <w:iCs/>
          <w:sz w:val="22"/>
        </w:rPr>
        <w:t>(</w:t>
      </w:r>
      <w:proofErr w:type="spellStart"/>
      <w:r w:rsidRPr="00E73182">
        <w:rPr>
          <w:b/>
          <w:i/>
          <w:iCs/>
          <w:sz w:val="22"/>
        </w:rPr>
        <w:t>euro</w:t>
      </w:r>
      <w:proofErr w:type="spellEnd"/>
      <w:r w:rsidRPr="00E73182">
        <w:rPr>
          <w:b/>
          <w:i/>
          <w:iCs/>
          <w:sz w:val="22"/>
        </w:rPr>
        <w:t>)</w:t>
      </w:r>
      <w:r w:rsidR="00C23AB8">
        <w:rPr>
          <w:b/>
          <w:i/>
          <w:iCs/>
          <w:sz w:val="22"/>
        </w:rPr>
        <w:t xml:space="preserve"> (dati par projektiem, par kuru īstenošanu noslēgts līgums ar CFLA)</w:t>
      </w:r>
      <w:r w:rsidRPr="00E73182">
        <w:rPr>
          <w:b/>
          <w:i/>
          <w:iCs/>
          <w:sz w:val="22"/>
        </w:rPr>
        <w:t xml:space="preserve"> </w:t>
      </w:r>
      <w:bookmarkEnd w:id="2"/>
      <w:r w:rsidRPr="006F0479">
        <w:rPr>
          <w:sz w:val="22"/>
        </w:rPr>
        <w:t>(0</w:t>
      </w:r>
      <w:r w:rsidR="00C23AB8">
        <w:rPr>
          <w:sz w:val="22"/>
        </w:rPr>
        <w:t>9</w:t>
      </w:r>
      <w:r w:rsidRPr="006F0479">
        <w:rPr>
          <w:sz w:val="22"/>
        </w:rPr>
        <w:t>.0</w:t>
      </w:r>
      <w:r w:rsidR="00C23AB8">
        <w:rPr>
          <w:sz w:val="22"/>
        </w:rPr>
        <w:t>6</w:t>
      </w:r>
      <w:r w:rsidRPr="006F0479">
        <w:rPr>
          <w:sz w:val="22"/>
        </w:rPr>
        <w:t>.20</w:t>
      </w:r>
      <w:r w:rsidR="00C23AB8">
        <w:rPr>
          <w:sz w:val="22"/>
        </w:rPr>
        <w:t>20</w:t>
      </w:r>
      <w:r w:rsidRPr="006F0479">
        <w:rPr>
          <w:sz w:val="22"/>
        </w:rPr>
        <w:t>. informācija)</w:t>
      </w:r>
    </w:p>
    <w:p w14:paraId="047CF50E" w14:textId="77777777" w:rsidR="00F7344B" w:rsidRDefault="00F7344B" w:rsidP="00762579">
      <w:pPr>
        <w:spacing w:line="276" w:lineRule="auto"/>
        <w:ind w:firstLine="720"/>
        <w:jc w:val="both"/>
        <w:rPr>
          <w:bCs/>
          <w:sz w:val="24"/>
          <w:szCs w:val="24"/>
        </w:rPr>
      </w:pPr>
    </w:p>
    <w:p w14:paraId="4E8A39F6" w14:textId="185643FB" w:rsidR="00D87815" w:rsidRDefault="006B6747" w:rsidP="00762579">
      <w:pPr>
        <w:spacing w:line="276" w:lineRule="auto"/>
        <w:ind w:firstLine="720"/>
        <w:jc w:val="both"/>
        <w:rPr>
          <w:bCs/>
          <w:sz w:val="24"/>
          <w:szCs w:val="24"/>
        </w:rPr>
      </w:pPr>
      <w:r>
        <w:rPr>
          <w:bCs/>
          <w:sz w:val="24"/>
          <w:szCs w:val="24"/>
        </w:rPr>
        <w:t xml:space="preserve">Pēc finansējuma pārdales </w:t>
      </w:r>
      <w:r w:rsidR="00D87815">
        <w:rPr>
          <w:bCs/>
          <w:sz w:val="24"/>
          <w:szCs w:val="24"/>
        </w:rPr>
        <w:t>4.2.2. </w:t>
      </w:r>
      <w:r>
        <w:rPr>
          <w:bCs/>
          <w:sz w:val="24"/>
          <w:szCs w:val="24"/>
        </w:rPr>
        <w:t>pasākumam</w:t>
      </w:r>
      <w:r w:rsidR="00DF1433">
        <w:rPr>
          <w:bCs/>
          <w:sz w:val="24"/>
          <w:szCs w:val="24"/>
        </w:rPr>
        <w:t>,</w:t>
      </w:r>
      <w:r>
        <w:rPr>
          <w:bCs/>
          <w:sz w:val="24"/>
          <w:szCs w:val="24"/>
        </w:rPr>
        <w:t xml:space="preserve"> kopējais 4.2.1.2. pasākuma pirmās iesniegumu atlases kārtas publiskais finansējums sastāda </w:t>
      </w:r>
      <w:r w:rsidRPr="00CD2D67">
        <w:rPr>
          <w:bCs/>
          <w:sz w:val="24"/>
          <w:szCs w:val="24"/>
        </w:rPr>
        <w:t>75</w:t>
      </w:r>
      <w:r>
        <w:rPr>
          <w:bCs/>
          <w:sz w:val="24"/>
          <w:szCs w:val="24"/>
        </w:rPr>
        <w:t> </w:t>
      </w:r>
      <w:r w:rsidRPr="00CD2D67">
        <w:rPr>
          <w:bCs/>
          <w:sz w:val="24"/>
          <w:szCs w:val="24"/>
        </w:rPr>
        <w:t xml:space="preserve">154 881 </w:t>
      </w:r>
      <w:proofErr w:type="spellStart"/>
      <w:r w:rsidRPr="00CD2D67">
        <w:rPr>
          <w:bCs/>
          <w:i/>
          <w:iCs/>
          <w:sz w:val="24"/>
          <w:szCs w:val="24"/>
        </w:rPr>
        <w:t>euro</w:t>
      </w:r>
      <w:proofErr w:type="spellEnd"/>
      <w:r>
        <w:rPr>
          <w:bCs/>
          <w:sz w:val="24"/>
          <w:szCs w:val="24"/>
        </w:rPr>
        <w:t xml:space="preserve">. </w:t>
      </w:r>
      <w:r w:rsidR="00101F38" w:rsidRPr="006F0479">
        <w:rPr>
          <w:bCs/>
          <w:sz w:val="24"/>
          <w:szCs w:val="24"/>
        </w:rPr>
        <w:t>No 2016.</w:t>
      </w:r>
      <w:r w:rsidR="004A325A">
        <w:rPr>
          <w:bCs/>
          <w:sz w:val="24"/>
          <w:szCs w:val="24"/>
        </w:rPr>
        <w:t> </w:t>
      </w:r>
      <w:r w:rsidR="00101F38" w:rsidRPr="006F0479">
        <w:rPr>
          <w:bCs/>
          <w:sz w:val="24"/>
          <w:szCs w:val="24"/>
        </w:rPr>
        <w:t>gada 19.</w:t>
      </w:r>
      <w:r w:rsidR="00D87815">
        <w:rPr>
          <w:bCs/>
          <w:sz w:val="24"/>
          <w:szCs w:val="24"/>
        </w:rPr>
        <w:t> </w:t>
      </w:r>
      <w:r w:rsidR="00101F38" w:rsidRPr="006F0479">
        <w:rPr>
          <w:bCs/>
          <w:sz w:val="24"/>
          <w:szCs w:val="24"/>
        </w:rPr>
        <w:t>septembra 4.2.1.2.</w:t>
      </w:r>
      <w:r w:rsidR="004A325A">
        <w:rPr>
          <w:bCs/>
          <w:sz w:val="24"/>
          <w:szCs w:val="24"/>
        </w:rPr>
        <w:t> </w:t>
      </w:r>
      <w:r w:rsidR="00101F38" w:rsidRPr="006F0479">
        <w:rPr>
          <w:bCs/>
          <w:sz w:val="24"/>
          <w:szCs w:val="24"/>
        </w:rPr>
        <w:t xml:space="preserve">pasākuma pirmās kārtas projektu iesniegumu atlases sākuma līdz š.g. </w:t>
      </w:r>
      <w:r w:rsidR="00E83961">
        <w:rPr>
          <w:bCs/>
          <w:sz w:val="24"/>
          <w:szCs w:val="24"/>
        </w:rPr>
        <w:t>17. augustam</w:t>
      </w:r>
      <w:r w:rsidR="00C22D2C">
        <w:rPr>
          <w:bCs/>
          <w:sz w:val="24"/>
          <w:szCs w:val="24"/>
        </w:rPr>
        <w:t xml:space="preserve"> CFLA</w:t>
      </w:r>
      <w:r w:rsidR="00101F38" w:rsidRPr="006F0479">
        <w:rPr>
          <w:bCs/>
          <w:sz w:val="24"/>
          <w:szCs w:val="24"/>
        </w:rPr>
        <w:t xml:space="preserve"> iesniegt</w:t>
      </w:r>
      <w:r w:rsidR="000F27F8">
        <w:rPr>
          <w:bCs/>
          <w:sz w:val="24"/>
          <w:szCs w:val="24"/>
        </w:rPr>
        <w:t>i</w:t>
      </w:r>
      <w:r w:rsidR="00EE43F4" w:rsidRPr="006F0479">
        <w:rPr>
          <w:bCs/>
          <w:sz w:val="24"/>
          <w:szCs w:val="24"/>
        </w:rPr>
        <w:t xml:space="preserve"> </w:t>
      </w:r>
      <w:r w:rsidR="00E31A18" w:rsidRPr="00A0051C">
        <w:rPr>
          <w:bCs/>
          <w:sz w:val="24"/>
          <w:szCs w:val="24"/>
        </w:rPr>
        <w:t>1</w:t>
      </w:r>
      <w:r w:rsidR="00FC64F0" w:rsidRPr="00A0051C">
        <w:rPr>
          <w:bCs/>
          <w:sz w:val="24"/>
          <w:szCs w:val="24"/>
        </w:rPr>
        <w:t>0</w:t>
      </w:r>
      <w:r w:rsidR="00E83961">
        <w:rPr>
          <w:bCs/>
          <w:sz w:val="24"/>
          <w:szCs w:val="24"/>
        </w:rPr>
        <w:t>6</w:t>
      </w:r>
      <w:r w:rsidR="00101F38" w:rsidRPr="00A0051C">
        <w:rPr>
          <w:bCs/>
          <w:sz w:val="24"/>
          <w:szCs w:val="24"/>
        </w:rPr>
        <w:t xml:space="preserve"> projekta pieteikum</w:t>
      </w:r>
      <w:r w:rsidR="000F27F8" w:rsidRPr="00A0051C">
        <w:rPr>
          <w:bCs/>
          <w:sz w:val="24"/>
          <w:szCs w:val="24"/>
        </w:rPr>
        <w:t>i</w:t>
      </w:r>
      <w:r w:rsidR="00CB46C0" w:rsidRPr="00A0051C">
        <w:rPr>
          <w:bCs/>
          <w:sz w:val="24"/>
          <w:szCs w:val="24"/>
        </w:rPr>
        <w:t xml:space="preserve"> </w:t>
      </w:r>
      <w:r w:rsidR="00101F38" w:rsidRPr="006F0479">
        <w:rPr>
          <w:bCs/>
          <w:sz w:val="24"/>
          <w:szCs w:val="24"/>
        </w:rPr>
        <w:t xml:space="preserve">par </w:t>
      </w:r>
      <w:r w:rsidR="00EE43F4" w:rsidRPr="006F0479">
        <w:rPr>
          <w:bCs/>
          <w:sz w:val="24"/>
          <w:szCs w:val="24"/>
        </w:rPr>
        <w:t xml:space="preserve">kopējo </w:t>
      </w:r>
      <w:r w:rsidR="00CB46C0" w:rsidRPr="006F0479">
        <w:rPr>
          <w:bCs/>
          <w:sz w:val="24"/>
          <w:szCs w:val="24"/>
        </w:rPr>
        <w:t xml:space="preserve">publisko </w:t>
      </w:r>
      <w:r w:rsidR="00EB20DD" w:rsidRPr="006F0479">
        <w:rPr>
          <w:bCs/>
          <w:sz w:val="24"/>
          <w:szCs w:val="24"/>
        </w:rPr>
        <w:t>finansējumu</w:t>
      </w:r>
      <w:r w:rsidR="00EE43F4" w:rsidRPr="006F0479">
        <w:rPr>
          <w:bCs/>
          <w:sz w:val="24"/>
          <w:szCs w:val="24"/>
        </w:rPr>
        <w:t xml:space="preserve"> </w:t>
      </w:r>
      <w:r w:rsidR="003E7C3D">
        <w:rPr>
          <w:bCs/>
          <w:sz w:val="24"/>
          <w:szCs w:val="24"/>
        </w:rPr>
        <w:t>71 </w:t>
      </w:r>
      <w:r w:rsidR="00E83961">
        <w:rPr>
          <w:bCs/>
          <w:sz w:val="24"/>
          <w:szCs w:val="24"/>
        </w:rPr>
        <w:t>265</w:t>
      </w:r>
      <w:r w:rsidR="003E7C3D">
        <w:rPr>
          <w:bCs/>
          <w:sz w:val="24"/>
          <w:szCs w:val="24"/>
        </w:rPr>
        <w:t> </w:t>
      </w:r>
      <w:r w:rsidR="00E83961">
        <w:rPr>
          <w:bCs/>
          <w:sz w:val="24"/>
          <w:szCs w:val="24"/>
        </w:rPr>
        <w:t>930,4</w:t>
      </w:r>
      <w:r w:rsidR="003E7C3D">
        <w:rPr>
          <w:bCs/>
          <w:sz w:val="24"/>
          <w:szCs w:val="24"/>
        </w:rPr>
        <w:t>1</w:t>
      </w:r>
      <w:r w:rsidR="00FC64F0" w:rsidRPr="00FC64F0">
        <w:rPr>
          <w:bCs/>
          <w:sz w:val="24"/>
          <w:szCs w:val="24"/>
        </w:rPr>
        <w:t xml:space="preserve"> </w:t>
      </w:r>
      <w:proofErr w:type="spellStart"/>
      <w:r w:rsidR="00101F38" w:rsidRPr="006F0479">
        <w:rPr>
          <w:bCs/>
          <w:i/>
          <w:iCs/>
          <w:sz w:val="24"/>
          <w:szCs w:val="24"/>
        </w:rPr>
        <w:t>euro</w:t>
      </w:r>
      <w:proofErr w:type="spellEnd"/>
      <w:r w:rsidR="0036453E" w:rsidRPr="006F0479">
        <w:rPr>
          <w:bCs/>
          <w:i/>
          <w:iCs/>
          <w:sz w:val="24"/>
          <w:szCs w:val="24"/>
        </w:rPr>
        <w:t>.</w:t>
      </w:r>
      <w:r w:rsidR="00101F38" w:rsidRPr="006F0479">
        <w:rPr>
          <w:bCs/>
          <w:sz w:val="24"/>
          <w:szCs w:val="24"/>
        </w:rPr>
        <w:t xml:space="preserve"> </w:t>
      </w:r>
      <w:r w:rsidR="0036453E" w:rsidRPr="006F0479">
        <w:rPr>
          <w:bCs/>
          <w:sz w:val="24"/>
          <w:szCs w:val="24"/>
        </w:rPr>
        <w:t>N</w:t>
      </w:r>
      <w:r w:rsidR="00101F38" w:rsidRPr="006F0479">
        <w:rPr>
          <w:bCs/>
          <w:sz w:val="24"/>
          <w:szCs w:val="24"/>
        </w:rPr>
        <w:t xml:space="preserve">o </w:t>
      </w:r>
      <w:r w:rsidR="0036453E" w:rsidRPr="006F0479">
        <w:rPr>
          <w:bCs/>
          <w:sz w:val="24"/>
          <w:szCs w:val="24"/>
        </w:rPr>
        <w:t>iesniegtajiem projekta pieteikumiem</w:t>
      </w:r>
      <w:r w:rsidR="00EE43F4" w:rsidRPr="006F0479">
        <w:rPr>
          <w:bCs/>
          <w:sz w:val="24"/>
          <w:szCs w:val="24"/>
        </w:rPr>
        <w:t xml:space="preserve"> </w:t>
      </w:r>
      <w:r w:rsidR="00FC64F0">
        <w:rPr>
          <w:bCs/>
          <w:sz w:val="24"/>
          <w:szCs w:val="24"/>
        </w:rPr>
        <w:t>2</w:t>
      </w:r>
      <w:r w:rsidR="00E83961">
        <w:rPr>
          <w:bCs/>
          <w:sz w:val="24"/>
          <w:szCs w:val="24"/>
        </w:rPr>
        <w:t>8</w:t>
      </w:r>
      <w:r w:rsidR="00EE43F4" w:rsidRPr="006F0479">
        <w:rPr>
          <w:bCs/>
          <w:sz w:val="24"/>
          <w:szCs w:val="24"/>
        </w:rPr>
        <w:t xml:space="preserve"> par kopējo </w:t>
      </w:r>
      <w:r w:rsidR="00EB20DD" w:rsidRPr="006F0479">
        <w:rPr>
          <w:bCs/>
          <w:sz w:val="24"/>
          <w:szCs w:val="24"/>
        </w:rPr>
        <w:t>finansējumu</w:t>
      </w:r>
      <w:r w:rsidR="00EE43F4" w:rsidRPr="006F0479">
        <w:rPr>
          <w:bCs/>
          <w:sz w:val="24"/>
          <w:szCs w:val="24"/>
        </w:rPr>
        <w:t xml:space="preserve"> </w:t>
      </w:r>
      <w:r w:rsidR="00E83961">
        <w:rPr>
          <w:bCs/>
          <w:sz w:val="24"/>
          <w:szCs w:val="24"/>
        </w:rPr>
        <w:t>13 254 436,61</w:t>
      </w:r>
      <w:r w:rsidR="00FC64F0">
        <w:rPr>
          <w:bCs/>
          <w:sz w:val="24"/>
          <w:szCs w:val="24"/>
        </w:rPr>
        <w:t> </w:t>
      </w:r>
      <w:proofErr w:type="spellStart"/>
      <w:r w:rsidR="00EE43F4" w:rsidRPr="006F0479">
        <w:rPr>
          <w:bCs/>
          <w:i/>
          <w:iCs/>
          <w:sz w:val="24"/>
          <w:szCs w:val="24"/>
        </w:rPr>
        <w:t>euro</w:t>
      </w:r>
      <w:proofErr w:type="spellEnd"/>
      <w:r w:rsidR="00EE43F4" w:rsidRPr="006F0479">
        <w:rPr>
          <w:bCs/>
          <w:sz w:val="24"/>
          <w:szCs w:val="24"/>
        </w:rPr>
        <w:t xml:space="preserve"> ir pabeigta projekta īstenošana, </w:t>
      </w:r>
      <w:r w:rsidR="00E83961">
        <w:rPr>
          <w:bCs/>
          <w:sz w:val="24"/>
          <w:szCs w:val="24"/>
        </w:rPr>
        <w:t xml:space="preserve">14 </w:t>
      </w:r>
      <w:r w:rsidR="00EE43F4" w:rsidRPr="006F0479">
        <w:rPr>
          <w:bCs/>
          <w:sz w:val="24"/>
          <w:szCs w:val="24"/>
        </w:rPr>
        <w:t>projekta pieteikum</w:t>
      </w:r>
      <w:r w:rsidR="000F27F8">
        <w:rPr>
          <w:bCs/>
          <w:sz w:val="24"/>
          <w:szCs w:val="24"/>
        </w:rPr>
        <w:t>i</w:t>
      </w:r>
      <w:r w:rsidR="00EE43F4" w:rsidRPr="006F0479">
        <w:rPr>
          <w:bCs/>
          <w:sz w:val="24"/>
          <w:szCs w:val="24"/>
        </w:rPr>
        <w:t xml:space="preserve"> par kopējo </w:t>
      </w:r>
      <w:r w:rsidR="00707195" w:rsidRPr="006F0479">
        <w:rPr>
          <w:bCs/>
          <w:sz w:val="24"/>
          <w:szCs w:val="24"/>
        </w:rPr>
        <w:t xml:space="preserve">publisko </w:t>
      </w:r>
      <w:r w:rsidR="00EB20DD" w:rsidRPr="006F0479">
        <w:rPr>
          <w:bCs/>
          <w:sz w:val="24"/>
          <w:szCs w:val="24"/>
        </w:rPr>
        <w:t>finansējumu</w:t>
      </w:r>
      <w:r w:rsidR="00EE43F4" w:rsidRPr="006F0479">
        <w:rPr>
          <w:bCs/>
          <w:sz w:val="24"/>
          <w:szCs w:val="24"/>
        </w:rPr>
        <w:t xml:space="preserve"> </w:t>
      </w:r>
      <w:r w:rsidR="00E83961">
        <w:rPr>
          <w:bCs/>
          <w:sz w:val="24"/>
          <w:szCs w:val="24"/>
        </w:rPr>
        <w:t>11 011 621,04</w:t>
      </w:r>
      <w:r w:rsidR="000F27F8">
        <w:rPr>
          <w:bCs/>
          <w:sz w:val="24"/>
          <w:szCs w:val="24"/>
        </w:rPr>
        <w:t> </w:t>
      </w:r>
      <w:proofErr w:type="spellStart"/>
      <w:r w:rsidR="00EE43F4" w:rsidRPr="006F0479">
        <w:rPr>
          <w:bCs/>
          <w:i/>
          <w:iCs/>
          <w:sz w:val="24"/>
          <w:szCs w:val="24"/>
        </w:rPr>
        <w:t>euro</w:t>
      </w:r>
      <w:proofErr w:type="spellEnd"/>
      <w:r w:rsidR="00EE43F4" w:rsidRPr="006F0479">
        <w:rPr>
          <w:bCs/>
          <w:sz w:val="24"/>
          <w:szCs w:val="24"/>
        </w:rPr>
        <w:t xml:space="preserve"> ir vērtēšanas stadijā</w:t>
      </w:r>
      <w:r w:rsidR="00E55BA1">
        <w:rPr>
          <w:bCs/>
          <w:sz w:val="24"/>
          <w:szCs w:val="24"/>
        </w:rPr>
        <w:t>, savukārt</w:t>
      </w:r>
      <w:r w:rsidR="00EE43F4" w:rsidRPr="006F0479">
        <w:rPr>
          <w:rFonts w:eastAsia="Times New Roman" w:cs="Times New Roman"/>
          <w:color w:val="000000"/>
          <w:sz w:val="22"/>
          <w:lang w:eastAsia="lv-LV"/>
        </w:rPr>
        <w:t xml:space="preserve"> </w:t>
      </w:r>
      <w:r w:rsidR="00E83961">
        <w:rPr>
          <w:rFonts w:eastAsia="Times New Roman" w:cs="Times New Roman"/>
          <w:color w:val="000000"/>
          <w:sz w:val="22"/>
          <w:lang w:eastAsia="lv-LV"/>
        </w:rPr>
        <w:t>64</w:t>
      </w:r>
      <w:r w:rsidR="00EB20DD" w:rsidRPr="006F0479">
        <w:rPr>
          <w:rFonts w:eastAsia="Times New Roman" w:cs="Times New Roman"/>
          <w:color w:val="000000"/>
          <w:sz w:val="22"/>
          <w:lang w:eastAsia="lv-LV"/>
        </w:rPr>
        <w:t xml:space="preserve"> projekta pieteikumiem ir noslēgti līgumi</w:t>
      </w:r>
      <w:r w:rsidR="00C22D2C">
        <w:rPr>
          <w:rFonts w:eastAsia="Times New Roman" w:cs="Times New Roman"/>
          <w:color w:val="000000"/>
          <w:sz w:val="22"/>
          <w:lang w:eastAsia="lv-LV"/>
        </w:rPr>
        <w:t xml:space="preserve"> vai </w:t>
      </w:r>
      <w:r w:rsidR="00C11535" w:rsidRPr="006F0479">
        <w:rPr>
          <w:rFonts w:eastAsia="Times New Roman" w:cs="Times New Roman"/>
          <w:color w:val="000000"/>
          <w:sz w:val="22"/>
          <w:lang w:eastAsia="lv-LV"/>
        </w:rPr>
        <w:t xml:space="preserve">vienošanās </w:t>
      </w:r>
      <w:r w:rsidR="00D87815">
        <w:rPr>
          <w:rFonts w:eastAsia="Times New Roman" w:cs="Times New Roman"/>
          <w:color w:val="000000"/>
          <w:sz w:val="22"/>
          <w:lang w:eastAsia="lv-LV"/>
        </w:rPr>
        <w:t xml:space="preserve">ar CFLA </w:t>
      </w:r>
      <w:r w:rsidR="00E83961">
        <w:rPr>
          <w:bCs/>
          <w:sz w:val="24"/>
          <w:szCs w:val="24"/>
        </w:rPr>
        <w:t>46 999 872,76</w:t>
      </w:r>
      <w:r w:rsidR="000F27F8">
        <w:rPr>
          <w:bCs/>
          <w:sz w:val="24"/>
          <w:szCs w:val="24"/>
        </w:rPr>
        <w:t> </w:t>
      </w:r>
      <w:proofErr w:type="spellStart"/>
      <w:r w:rsidR="00EB20DD" w:rsidRPr="006F0479">
        <w:rPr>
          <w:bCs/>
          <w:i/>
          <w:iCs/>
          <w:sz w:val="24"/>
          <w:szCs w:val="24"/>
        </w:rPr>
        <w:t>euro</w:t>
      </w:r>
      <w:proofErr w:type="spellEnd"/>
      <w:r w:rsidR="00E55BA1">
        <w:rPr>
          <w:bCs/>
          <w:sz w:val="24"/>
          <w:szCs w:val="24"/>
        </w:rPr>
        <w:t xml:space="preserve"> apmērā</w:t>
      </w:r>
      <w:r w:rsidR="00C22D2C">
        <w:rPr>
          <w:bCs/>
          <w:sz w:val="24"/>
          <w:szCs w:val="24"/>
        </w:rPr>
        <w:t xml:space="preserve"> par projektu īstenošanu</w:t>
      </w:r>
      <w:r w:rsidR="00E55BA1">
        <w:rPr>
          <w:bCs/>
          <w:sz w:val="24"/>
          <w:szCs w:val="24"/>
        </w:rPr>
        <w:t>.</w:t>
      </w:r>
      <w:r w:rsidR="00EB20DD" w:rsidRPr="006F0479">
        <w:rPr>
          <w:bCs/>
          <w:sz w:val="24"/>
          <w:szCs w:val="24"/>
        </w:rPr>
        <w:t xml:space="preserve"> </w:t>
      </w:r>
      <w:r w:rsidR="00E55BA1">
        <w:rPr>
          <w:bCs/>
          <w:sz w:val="24"/>
          <w:szCs w:val="24"/>
        </w:rPr>
        <w:t xml:space="preserve">Līdz šim brīdim </w:t>
      </w:r>
      <w:r w:rsidR="000F27F8">
        <w:rPr>
          <w:bCs/>
          <w:sz w:val="24"/>
          <w:szCs w:val="24"/>
        </w:rPr>
        <w:t xml:space="preserve">publiskā finansējuma apmērs, par kuru projekta iesniegumi nav iesniegti, sastāda </w:t>
      </w:r>
      <w:r w:rsidR="0075253E">
        <w:rPr>
          <w:bCs/>
          <w:sz w:val="24"/>
          <w:szCs w:val="24"/>
        </w:rPr>
        <w:t>3</w:t>
      </w:r>
      <w:r w:rsidR="00E83961">
        <w:rPr>
          <w:bCs/>
          <w:sz w:val="24"/>
          <w:szCs w:val="24"/>
        </w:rPr>
        <w:t> 888 950,59</w:t>
      </w:r>
      <w:r w:rsidR="000F27F8">
        <w:rPr>
          <w:bCs/>
          <w:sz w:val="24"/>
          <w:szCs w:val="24"/>
        </w:rPr>
        <w:t> </w:t>
      </w:r>
      <w:proofErr w:type="spellStart"/>
      <w:r w:rsidR="00EB20DD" w:rsidRPr="006F0479">
        <w:rPr>
          <w:bCs/>
          <w:i/>
          <w:iCs/>
          <w:sz w:val="24"/>
          <w:szCs w:val="24"/>
        </w:rPr>
        <w:t>euro</w:t>
      </w:r>
      <w:proofErr w:type="spellEnd"/>
      <w:r w:rsidR="00E55BA1">
        <w:rPr>
          <w:bCs/>
          <w:i/>
          <w:iCs/>
          <w:sz w:val="24"/>
          <w:szCs w:val="24"/>
        </w:rPr>
        <w:t xml:space="preserve"> </w:t>
      </w:r>
      <w:r w:rsidR="00E55BA1" w:rsidRPr="00E55BA1">
        <w:rPr>
          <w:bCs/>
          <w:sz w:val="24"/>
          <w:szCs w:val="24"/>
        </w:rPr>
        <w:t xml:space="preserve">(skatīt </w:t>
      </w:r>
      <w:r w:rsidR="00C50086">
        <w:rPr>
          <w:bCs/>
          <w:sz w:val="24"/>
          <w:szCs w:val="24"/>
        </w:rPr>
        <w:t>2</w:t>
      </w:r>
      <w:r w:rsidR="00E55BA1" w:rsidRPr="00E55BA1">
        <w:rPr>
          <w:bCs/>
          <w:sz w:val="24"/>
          <w:szCs w:val="24"/>
        </w:rPr>
        <w:t>.</w:t>
      </w:r>
      <w:r w:rsidR="00870143">
        <w:rPr>
          <w:bCs/>
          <w:sz w:val="24"/>
          <w:szCs w:val="24"/>
        </w:rPr>
        <w:t>attēlu</w:t>
      </w:r>
      <w:r w:rsidR="00D87815">
        <w:rPr>
          <w:bCs/>
          <w:sz w:val="24"/>
          <w:szCs w:val="24"/>
        </w:rPr>
        <w:t>). Par</w:t>
      </w:r>
      <w:r w:rsidR="000F27F8">
        <w:rPr>
          <w:bCs/>
          <w:sz w:val="24"/>
          <w:szCs w:val="24"/>
        </w:rPr>
        <w:t xml:space="preserve"> minēto summu plānots</w:t>
      </w:r>
      <w:r w:rsidR="00D87815">
        <w:rPr>
          <w:bCs/>
          <w:sz w:val="24"/>
          <w:szCs w:val="24"/>
        </w:rPr>
        <w:t>:</w:t>
      </w:r>
    </w:p>
    <w:p w14:paraId="11B9E4D8" w14:textId="3C652CD6" w:rsidR="00535438" w:rsidRDefault="000F27F8" w:rsidP="00D87815">
      <w:pPr>
        <w:pStyle w:val="ListParagraph"/>
        <w:numPr>
          <w:ilvl w:val="0"/>
          <w:numId w:val="17"/>
        </w:numPr>
        <w:spacing w:line="276" w:lineRule="auto"/>
        <w:jc w:val="both"/>
        <w:rPr>
          <w:bCs/>
        </w:rPr>
      </w:pPr>
      <w:r w:rsidRPr="00D87815">
        <w:rPr>
          <w:bCs/>
        </w:rPr>
        <w:t>palielināt jau iesniegto projektu attiecināmās izmaksas</w:t>
      </w:r>
      <w:r w:rsidR="00D87815">
        <w:rPr>
          <w:bCs/>
        </w:rPr>
        <w:t xml:space="preserve"> - nozaru ministriju kvotu ietvaros veikt līgumu grozījumus, palielinot attiecināmo izmaksu apmēru jau iesniegtajiem projektiem (informācija par plānotajiem līguma grozījumiem pieprasīta no nozaru ministrijām, šobrīd tiek apkopota);</w:t>
      </w:r>
    </w:p>
    <w:p w14:paraId="665E260C" w14:textId="689F998A" w:rsidR="00D87815" w:rsidRPr="00D87815" w:rsidRDefault="008B72D5" w:rsidP="00D87815">
      <w:pPr>
        <w:pStyle w:val="ListParagraph"/>
        <w:numPr>
          <w:ilvl w:val="0"/>
          <w:numId w:val="17"/>
        </w:numPr>
        <w:spacing w:line="276" w:lineRule="auto"/>
        <w:jc w:val="both"/>
        <w:rPr>
          <w:bCs/>
        </w:rPr>
      </w:pPr>
      <w:r>
        <w:rPr>
          <w:bCs/>
        </w:rPr>
        <w:t>atlikušo</w:t>
      </w:r>
      <w:r w:rsidR="00D87815">
        <w:rPr>
          <w:bCs/>
        </w:rPr>
        <w:t xml:space="preserve"> summu plānots pārdalīt 4.2.1.2. pasākuma otrās iesniegumu atlases kārtas </w:t>
      </w:r>
      <w:r>
        <w:rPr>
          <w:bCs/>
        </w:rPr>
        <w:t xml:space="preserve">projektu </w:t>
      </w:r>
      <w:r w:rsidR="00D701B4">
        <w:rPr>
          <w:bCs/>
        </w:rPr>
        <w:t>attiecināmo izmaksu palielināšanai</w:t>
      </w:r>
      <w:r>
        <w:rPr>
          <w:bCs/>
        </w:rPr>
        <w:t xml:space="preserve">, priekšroku dodot </w:t>
      </w:r>
      <w:r w:rsidRPr="008B72D5">
        <w:rPr>
          <w:bCs/>
        </w:rPr>
        <w:t>augstas prioritātes kultūras un izglītības nozares ēku projektiem</w:t>
      </w:r>
      <w:r>
        <w:rPr>
          <w:bCs/>
        </w:rPr>
        <w:t xml:space="preserve"> (atbilstoši Ministru kabineta 2020. gada 19. maija protokola Nr. 34 </w:t>
      </w:r>
      <w:r w:rsidRPr="008B72D5">
        <w:rPr>
          <w:bCs/>
        </w:rPr>
        <w:t>33.§</w:t>
      </w:r>
      <w:r>
        <w:rPr>
          <w:bCs/>
        </w:rPr>
        <w:t xml:space="preserve"> “</w:t>
      </w:r>
      <w:r w:rsidRPr="008B72D5">
        <w:rPr>
          <w:bCs/>
        </w:rPr>
        <w:t xml:space="preserve">Informatīvais ziņojums </w:t>
      </w:r>
      <w:r>
        <w:rPr>
          <w:bCs/>
        </w:rPr>
        <w:t>“</w:t>
      </w:r>
      <w:r w:rsidRPr="008B72D5">
        <w:rPr>
          <w:bCs/>
        </w:rPr>
        <w:t>Par Eiropas Savienības struktūrfondu un Kohēzijas fonda finansējuma pārdalēm un risinājumiem COVID-19 seku mazināšanai</w:t>
      </w:r>
      <w:r>
        <w:rPr>
          <w:bCs/>
        </w:rPr>
        <w:t xml:space="preserve">”” 3. punktā noteiktajam: </w:t>
      </w:r>
      <w:r w:rsidR="005B22CC" w:rsidRPr="0097141F">
        <w:rPr>
          <w:bCs/>
        </w:rPr>
        <w:t>"</w:t>
      </w:r>
      <w:r w:rsidRPr="008B72D5">
        <w:rPr>
          <w:bCs/>
          <w:i/>
          <w:iCs/>
        </w:rPr>
        <w:t>..4.2.1.2.pasākumā atlikušā finansējuma novirzīšanu gatavākajiem un efektīvākajiem projektiem, tai skaitā augstas prioritātes kultūras un izglītības nozares ēku projektiem 4.2.1.2.pasākuma 2.projektu iesniegumu atlases kārtas ietvaros..</w:t>
      </w:r>
      <w:r w:rsidR="005B22CC" w:rsidRPr="005B22CC">
        <w:rPr>
          <w:bCs/>
        </w:rPr>
        <w:t xml:space="preserve"> </w:t>
      </w:r>
      <w:r w:rsidR="005B22CC" w:rsidRPr="0097141F">
        <w:rPr>
          <w:bCs/>
        </w:rPr>
        <w:t>"</w:t>
      </w:r>
      <w:r>
        <w:rPr>
          <w:bCs/>
        </w:rPr>
        <w:t>), piemēram, Valmieras drāmas teātrim.</w:t>
      </w:r>
    </w:p>
    <w:p w14:paraId="4391A5F0" w14:textId="77777777" w:rsidR="007D2E05" w:rsidRPr="006F0479" w:rsidRDefault="007D2E05" w:rsidP="00535438">
      <w:pPr>
        <w:ind w:firstLine="720"/>
        <w:jc w:val="both"/>
        <w:rPr>
          <w:bCs/>
          <w:sz w:val="24"/>
          <w:szCs w:val="24"/>
        </w:rPr>
      </w:pPr>
    </w:p>
    <w:p w14:paraId="4597D06A" w14:textId="10AE5D2E" w:rsidR="00886044" w:rsidRPr="006F0479" w:rsidRDefault="008938D0" w:rsidP="00870143">
      <w:pPr>
        <w:jc w:val="both"/>
        <w:rPr>
          <w:bCs/>
          <w:sz w:val="24"/>
          <w:szCs w:val="24"/>
        </w:rPr>
      </w:pPr>
      <w:r w:rsidRPr="006F0479">
        <w:rPr>
          <w:noProof/>
          <w:szCs w:val="26"/>
        </w:rPr>
        <w:lastRenderedPageBreak/>
        <mc:AlternateContent>
          <mc:Choice Requires="wps">
            <w:drawing>
              <wp:anchor distT="0" distB="0" distL="114300" distR="114300" simplePos="0" relativeHeight="251659264" behindDoc="1" locked="0" layoutInCell="1" allowOverlap="1" wp14:anchorId="0C397259" wp14:editId="6101DFA9">
                <wp:simplePos x="0" y="0"/>
                <wp:positionH relativeFrom="column">
                  <wp:posOffset>4557340</wp:posOffset>
                </wp:positionH>
                <wp:positionV relativeFrom="paragraph">
                  <wp:posOffset>284314</wp:posOffset>
                </wp:positionV>
                <wp:extent cx="397565" cy="691764"/>
                <wp:effectExtent l="0" t="0" r="21590" b="32385"/>
                <wp:wrapNone/>
                <wp:docPr id="3" name="Straight Connector 3"/>
                <wp:cNvGraphicFramePr/>
                <a:graphic xmlns:a="http://schemas.openxmlformats.org/drawingml/2006/main">
                  <a:graphicData uri="http://schemas.microsoft.com/office/word/2010/wordprocessingShape">
                    <wps:wsp>
                      <wps:cNvCnPr/>
                      <wps:spPr>
                        <a:xfrm>
                          <a:off x="0" y="0"/>
                          <a:ext cx="397565" cy="69176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489CB4D"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8.85pt,22.4pt" to="390.1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" strokecolor="#4472c4 [3204]" strokeweight="1.5pt">
                <v:stroke joinstyle="miter"/>
              </v:line>
            </w:pict>
          </mc:Fallback>
        </mc:AlternateContent>
      </w:r>
      <w:r w:rsidR="00886044" w:rsidRPr="006F0479">
        <w:rPr>
          <w:noProof/>
          <w:szCs w:val="26"/>
        </w:rPr>
        <w:drawing>
          <wp:inline distT="0" distB="0" distL="0" distR="0" wp14:anchorId="45D1CD0A" wp14:editId="1D20B016">
            <wp:extent cx="5886450" cy="236728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706AB0" w14:textId="495A7E57" w:rsidR="004A325A" w:rsidRPr="006F0479" w:rsidRDefault="00C50086" w:rsidP="004A325A">
      <w:pPr>
        <w:jc w:val="both"/>
        <w:rPr>
          <w:sz w:val="20"/>
          <w:szCs w:val="20"/>
        </w:rPr>
      </w:pPr>
      <w:r>
        <w:rPr>
          <w:i/>
          <w:sz w:val="22"/>
        </w:rPr>
        <w:t>2</w:t>
      </w:r>
      <w:r w:rsidR="00886044" w:rsidRPr="006F0479">
        <w:rPr>
          <w:i/>
          <w:sz w:val="22"/>
        </w:rPr>
        <w:t>.attēls.</w:t>
      </w:r>
      <w:r w:rsidR="00886044" w:rsidRPr="006F0479">
        <w:rPr>
          <w:sz w:val="22"/>
        </w:rPr>
        <w:t xml:space="preserve"> </w:t>
      </w:r>
      <w:r w:rsidR="00886044" w:rsidRPr="006F0479">
        <w:rPr>
          <w:b/>
          <w:sz w:val="22"/>
        </w:rPr>
        <w:t>4.2.1.2. pasākuma pirmās atlases kārtas ietvaros plānoto ēku atjaunošanas virzība CFLA</w:t>
      </w:r>
      <w:r w:rsidR="004A325A">
        <w:rPr>
          <w:b/>
          <w:sz w:val="22"/>
        </w:rPr>
        <w:t xml:space="preserve"> </w:t>
      </w:r>
      <w:r w:rsidR="004A325A" w:rsidRPr="006F0479">
        <w:rPr>
          <w:sz w:val="20"/>
          <w:szCs w:val="20"/>
        </w:rPr>
        <w:t>(</w:t>
      </w:r>
      <w:r w:rsidR="00E83961">
        <w:rPr>
          <w:rFonts w:eastAsia="Times New Roman" w:cs="Times New Roman"/>
          <w:color w:val="000000"/>
          <w:sz w:val="22"/>
          <w:lang w:eastAsia="lv-LV"/>
        </w:rPr>
        <w:t>17</w:t>
      </w:r>
      <w:r w:rsidR="004A325A" w:rsidRPr="006F0479">
        <w:rPr>
          <w:rFonts w:eastAsia="Times New Roman" w:cs="Times New Roman"/>
          <w:color w:val="000000"/>
          <w:sz w:val="22"/>
          <w:lang w:eastAsia="lv-LV"/>
        </w:rPr>
        <w:t>.0</w:t>
      </w:r>
      <w:r w:rsidR="00E83961">
        <w:rPr>
          <w:rFonts w:eastAsia="Times New Roman" w:cs="Times New Roman"/>
          <w:color w:val="000000"/>
          <w:sz w:val="22"/>
          <w:lang w:eastAsia="lv-LV"/>
        </w:rPr>
        <w:t>8</w:t>
      </w:r>
      <w:r w:rsidR="004A325A" w:rsidRPr="006F0479">
        <w:rPr>
          <w:rFonts w:eastAsia="Times New Roman" w:cs="Times New Roman"/>
          <w:color w:val="000000"/>
          <w:sz w:val="22"/>
          <w:lang w:eastAsia="lv-LV"/>
        </w:rPr>
        <w:t>.20</w:t>
      </w:r>
      <w:r w:rsidR="00B34639">
        <w:rPr>
          <w:rFonts w:eastAsia="Times New Roman" w:cs="Times New Roman"/>
          <w:color w:val="000000"/>
          <w:sz w:val="22"/>
          <w:lang w:eastAsia="lv-LV"/>
        </w:rPr>
        <w:t>20</w:t>
      </w:r>
      <w:r w:rsidR="004A325A" w:rsidRPr="006F0479">
        <w:rPr>
          <w:rFonts w:eastAsia="Times New Roman" w:cs="Times New Roman"/>
          <w:color w:val="000000"/>
          <w:sz w:val="22"/>
          <w:lang w:eastAsia="lv-LV"/>
        </w:rPr>
        <w:t>. informācija)</w:t>
      </w:r>
    </w:p>
    <w:p w14:paraId="789F5471" w14:textId="77777777" w:rsidR="00F7344B" w:rsidRDefault="00F7344B" w:rsidP="00762579">
      <w:pPr>
        <w:spacing w:line="276" w:lineRule="auto"/>
        <w:ind w:firstLine="720"/>
        <w:jc w:val="both"/>
        <w:rPr>
          <w:bCs/>
          <w:sz w:val="24"/>
          <w:szCs w:val="24"/>
        </w:rPr>
      </w:pPr>
    </w:p>
    <w:p w14:paraId="3747D25A" w14:textId="40D4117D" w:rsidR="00EE71A3" w:rsidRDefault="00F55C92" w:rsidP="00762579">
      <w:pPr>
        <w:spacing w:line="276" w:lineRule="auto"/>
        <w:ind w:firstLine="720"/>
        <w:jc w:val="both"/>
        <w:rPr>
          <w:bCs/>
          <w:sz w:val="24"/>
          <w:szCs w:val="24"/>
        </w:rPr>
      </w:pPr>
      <w:r w:rsidRPr="006F0479">
        <w:rPr>
          <w:bCs/>
          <w:sz w:val="24"/>
          <w:szCs w:val="24"/>
        </w:rPr>
        <w:t xml:space="preserve">No </w:t>
      </w:r>
      <w:r w:rsidR="007D2E05" w:rsidRPr="006F0479">
        <w:rPr>
          <w:bCs/>
          <w:sz w:val="24"/>
          <w:szCs w:val="24"/>
        </w:rPr>
        <w:t>2018.</w:t>
      </w:r>
      <w:r w:rsidR="004A325A">
        <w:rPr>
          <w:bCs/>
          <w:sz w:val="24"/>
          <w:szCs w:val="24"/>
        </w:rPr>
        <w:t> </w:t>
      </w:r>
      <w:r w:rsidR="007D2E05" w:rsidRPr="006F0479">
        <w:rPr>
          <w:bCs/>
          <w:sz w:val="24"/>
          <w:szCs w:val="24"/>
        </w:rPr>
        <w:t>gada 7.</w:t>
      </w:r>
      <w:r w:rsidR="004A325A">
        <w:rPr>
          <w:bCs/>
          <w:sz w:val="24"/>
          <w:szCs w:val="24"/>
        </w:rPr>
        <w:t> </w:t>
      </w:r>
      <w:r w:rsidR="007D2E05" w:rsidRPr="006F0479">
        <w:rPr>
          <w:bCs/>
          <w:sz w:val="24"/>
          <w:szCs w:val="24"/>
        </w:rPr>
        <w:t xml:space="preserve">marta līdz š.g. </w:t>
      </w:r>
      <w:r w:rsidR="00E83961">
        <w:rPr>
          <w:bCs/>
          <w:sz w:val="24"/>
          <w:szCs w:val="24"/>
        </w:rPr>
        <w:t>17</w:t>
      </w:r>
      <w:r w:rsidR="007D2E05" w:rsidRPr="006F0479">
        <w:rPr>
          <w:bCs/>
          <w:sz w:val="24"/>
          <w:szCs w:val="24"/>
        </w:rPr>
        <w:t>.</w:t>
      </w:r>
      <w:r w:rsidR="004A325A">
        <w:rPr>
          <w:bCs/>
          <w:sz w:val="24"/>
          <w:szCs w:val="24"/>
        </w:rPr>
        <w:t> </w:t>
      </w:r>
      <w:r w:rsidR="00E83961">
        <w:rPr>
          <w:bCs/>
          <w:sz w:val="24"/>
          <w:szCs w:val="24"/>
        </w:rPr>
        <w:t>augustam</w:t>
      </w:r>
      <w:r w:rsidR="007D2E05" w:rsidRPr="006F0479">
        <w:rPr>
          <w:bCs/>
          <w:sz w:val="24"/>
          <w:szCs w:val="24"/>
        </w:rPr>
        <w:t xml:space="preserve"> 4.2.1.2.</w:t>
      </w:r>
      <w:r w:rsidR="004A325A">
        <w:rPr>
          <w:bCs/>
          <w:sz w:val="24"/>
          <w:szCs w:val="24"/>
        </w:rPr>
        <w:t> </w:t>
      </w:r>
      <w:r w:rsidR="007D2E05" w:rsidRPr="006F0479">
        <w:rPr>
          <w:bCs/>
          <w:sz w:val="24"/>
          <w:szCs w:val="24"/>
        </w:rPr>
        <w:t xml:space="preserve">pasākuma </w:t>
      </w:r>
      <w:r w:rsidR="008274AC" w:rsidRPr="006F0479">
        <w:rPr>
          <w:bCs/>
          <w:sz w:val="24"/>
          <w:szCs w:val="24"/>
        </w:rPr>
        <w:t>otrās</w:t>
      </w:r>
      <w:r w:rsidR="007D2E05" w:rsidRPr="006F0479">
        <w:rPr>
          <w:bCs/>
          <w:sz w:val="24"/>
          <w:szCs w:val="24"/>
        </w:rPr>
        <w:t xml:space="preserve"> kārtas projektu iesniegumu atlases kārtā tika iesniegti 2</w:t>
      </w:r>
      <w:r w:rsidR="001E77FE">
        <w:rPr>
          <w:bCs/>
          <w:sz w:val="24"/>
          <w:szCs w:val="24"/>
        </w:rPr>
        <w:t>7</w:t>
      </w:r>
      <w:r w:rsidR="007D2E05" w:rsidRPr="006F0479">
        <w:rPr>
          <w:bCs/>
          <w:sz w:val="24"/>
          <w:szCs w:val="24"/>
        </w:rPr>
        <w:t xml:space="preserve"> projektu </w:t>
      </w:r>
      <w:r w:rsidR="00A00263">
        <w:rPr>
          <w:bCs/>
          <w:sz w:val="24"/>
          <w:szCs w:val="24"/>
        </w:rPr>
        <w:t>iesniegumi</w:t>
      </w:r>
      <w:r w:rsidR="007D2E05" w:rsidRPr="006F0479">
        <w:rPr>
          <w:bCs/>
          <w:sz w:val="24"/>
          <w:szCs w:val="24"/>
        </w:rPr>
        <w:t xml:space="preserve"> par kopējo finansējumu </w:t>
      </w:r>
      <w:r w:rsidR="0075253E">
        <w:rPr>
          <w:bCs/>
          <w:sz w:val="24"/>
          <w:szCs w:val="24"/>
        </w:rPr>
        <w:t>29 244 089,52</w:t>
      </w:r>
      <w:r w:rsidR="00BB0E32" w:rsidRPr="00BB0E32">
        <w:rPr>
          <w:bCs/>
          <w:sz w:val="24"/>
          <w:szCs w:val="24"/>
        </w:rPr>
        <w:t xml:space="preserve"> </w:t>
      </w:r>
      <w:proofErr w:type="spellStart"/>
      <w:r w:rsidR="007D2E05" w:rsidRPr="006F0479">
        <w:rPr>
          <w:bCs/>
          <w:i/>
          <w:iCs/>
          <w:sz w:val="24"/>
          <w:szCs w:val="24"/>
        </w:rPr>
        <w:t>euro</w:t>
      </w:r>
      <w:proofErr w:type="spellEnd"/>
      <w:r w:rsidR="00AD5286" w:rsidRPr="006F0479">
        <w:rPr>
          <w:bCs/>
          <w:sz w:val="24"/>
          <w:szCs w:val="24"/>
        </w:rPr>
        <w:t xml:space="preserve">, no kuriem </w:t>
      </w:r>
      <w:r w:rsidR="00B470AC">
        <w:rPr>
          <w:bCs/>
          <w:sz w:val="24"/>
          <w:szCs w:val="24"/>
        </w:rPr>
        <w:t>19</w:t>
      </w:r>
      <w:r w:rsidR="00CC4DE7">
        <w:rPr>
          <w:bCs/>
          <w:sz w:val="24"/>
          <w:szCs w:val="24"/>
        </w:rPr>
        <w:t xml:space="preserve"> </w:t>
      </w:r>
      <w:r w:rsidR="00AD5286" w:rsidRPr="006F0479">
        <w:rPr>
          <w:bCs/>
          <w:sz w:val="24"/>
          <w:szCs w:val="24"/>
        </w:rPr>
        <w:t xml:space="preserve">projekta pieteikumiem par kopējo finansējumu </w:t>
      </w:r>
      <w:r w:rsidR="00B470AC" w:rsidRPr="00B470AC">
        <w:rPr>
          <w:bCs/>
          <w:sz w:val="24"/>
          <w:szCs w:val="24"/>
        </w:rPr>
        <w:t>24</w:t>
      </w:r>
      <w:r w:rsidR="0075253E">
        <w:rPr>
          <w:bCs/>
          <w:sz w:val="24"/>
          <w:szCs w:val="24"/>
        </w:rPr>
        <w:t> 442 463,55</w:t>
      </w:r>
      <w:r w:rsidR="00B470AC" w:rsidRPr="00B470AC">
        <w:rPr>
          <w:bCs/>
          <w:sz w:val="24"/>
          <w:szCs w:val="24"/>
        </w:rPr>
        <w:t xml:space="preserve"> </w:t>
      </w:r>
      <w:r w:rsidR="00B470AC">
        <w:rPr>
          <w:bCs/>
          <w:sz w:val="24"/>
          <w:szCs w:val="24"/>
        </w:rPr>
        <w:t> </w:t>
      </w:r>
      <w:proofErr w:type="spellStart"/>
      <w:r w:rsidR="00AD5286" w:rsidRPr="00870143">
        <w:rPr>
          <w:bCs/>
          <w:i/>
          <w:iCs/>
          <w:sz w:val="24"/>
          <w:szCs w:val="24"/>
        </w:rPr>
        <w:t>euro</w:t>
      </w:r>
      <w:proofErr w:type="spellEnd"/>
      <w:r w:rsidR="00AD5286" w:rsidRPr="006F0479">
        <w:rPr>
          <w:bCs/>
          <w:sz w:val="24"/>
          <w:szCs w:val="24"/>
        </w:rPr>
        <w:t xml:space="preserve"> ir </w:t>
      </w:r>
      <w:r w:rsidR="00886044" w:rsidRPr="006F0479">
        <w:rPr>
          <w:bCs/>
          <w:sz w:val="24"/>
          <w:szCs w:val="24"/>
        </w:rPr>
        <w:t>noslēgti līgumi</w:t>
      </w:r>
      <w:r w:rsidR="00C22D2C">
        <w:rPr>
          <w:bCs/>
          <w:sz w:val="24"/>
          <w:szCs w:val="24"/>
        </w:rPr>
        <w:t xml:space="preserve"> par projektu īstenošanu</w:t>
      </w:r>
      <w:r w:rsidR="00CC4DE7">
        <w:rPr>
          <w:bCs/>
          <w:sz w:val="24"/>
          <w:szCs w:val="24"/>
        </w:rPr>
        <w:t xml:space="preserve">, </w:t>
      </w:r>
      <w:r w:rsidR="00B470AC">
        <w:rPr>
          <w:bCs/>
          <w:sz w:val="24"/>
          <w:szCs w:val="24"/>
        </w:rPr>
        <w:t>3</w:t>
      </w:r>
      <w:r w:rsidR="00CC4DE7">
        <w:rPr>
          <w:bCs/>
          <w:sz w:val="24"/>
          <w:szCs w:val="24"/>
        </w:rPr>
        <w:t xml:space="preserve"> projektu īstenošana ir pabeigta par kopējo finansējumu </w:t>
      </w:r>
      <w:r w:rsidR="00B470AC" w:rsidRPr="00B470AC">
        <w:rPr>
          <w:bCs/>
          <w:sz w:val="24"/>
          <w:szCs w:val="24"/>
        </w:rPr>
        <w:t>2</w:t>
      </w:r>
      <w:r w:rsidR="00B470AC">
        <w:rPr>
          <w:bCs/>
          <w:sz w:val="24"/>
          <w:szCs w:val="24"/>
        </w:rPr>
        <w:t> </w:t>
      </w:r>
      <w:r w:rsidR="00B470AC" w:rsidRPr="00B470AC">
        <w:rPr>
          <w:bCs/>
          <w:sz w:val="24"/>
          <w:szCs w:val="24"/>
        </w:rPr>
        <w:t>142</w:t>
      </w:r>
      <w:r w:rsidR="00B470AC">
        <w:rPr>
          <w:bCs/>
          <w:sz w:val="24"/>
          <w:szCs w:val="24"/>
        </w:rPr>
        <w:t> </w:t>
      </w:r>
      <w:r w:rsidR="00B470AC" w:rsidRPr="00B470AC">
        <w:rPr>
          <w:bCs/>
          <w:sz w:val="24"/>
          <w:szCs w:val="24"/>
        </w:rPr>
        <w:t>452,73</w:t>
      </w:r>
      <w:r w:rsidR="00CC4DE7">
        <w:rPr>
          <w:bCs/>
          <w:sz w:val="24"/>
          <w:szCs w:val="24"/>
        </w:rPr>
        <w:t> </w:t>
      </w:r>
      <w:proofErr w:type="spellStart"/>
      <w:r w:rsidR="00CC4DE7" w:rsidRPr="00CC4DE7">
        <w:rPr>
          <w:bCs/>
          <w:i/>
          <w:iCs/>
          <w:sz w:val="24"/>
          <w:szCs w:val="24"/>
        </w:rPr>
        <w:t>euro</w:t>
      </w:r>
      <w:proofErr w:type="spellEnd"/>
      <w:r w:rsidR="00CC4DE7">
        <w:rPr>
          <w:bCs/>
          <w:sz w:val="24"/>
          <w:szCs w:val="24"/>
        </w:rPr>
        <w:t xml:space="preserve"> </w:t>
      </w:r>
      <w:r w:rsidR="004A325A">
        <w:rPr>
          <w:bCs/>
          <w:sz w:val="24"/>
          <w:szCs w:val="24"/>
        </w:rPr>
        <w:t>savukārt</w:t>
      </w:r>
      <w:r w:rsidR="00886044" w:rsidRPr="006F0479">
        <w:rPr>
          <w:bCs/>
          <w:sz w:val="24"/>
          <w:szCs w:val="24"/>
        </w:rPr>
        <w:t xml:space="preserve"> </w:t>
      </w:r>
      <w:r w:rsidR="00CC4DE7">
        <w:rPr>
          <w:bCs/>
          <w:sz w:val="24"/>
          <w:szCs w:val="24"/>
        </w:rPr>
        <w:t>5</w:t>
      </w:r>
      <w:r w:rsidR="00886044" w:rsidRPr="006F0479">
        <w:rPr>
          <w:bCs/>
          <w:sz w:val="24"/>
          <w:szCs w:val="24"/>
        </w:rPr>
        <w:t xml:space="preserve"> </w:t>
      </w:r>
      <w:r w:rsidR="00AD5286" w:rsidRPr="006F0479">
        <w:rPr>
          <w:bCs/>
          <w:sz w:val="24"/>
          <w:szCs w:val="24"/>
        </w:rPr>
        <w:t>projekta pieteikumi</w:t>
      </w:r>
      <w:r w:rsidR="00CC4DE7">
        <w:rPr>
          <w:bCs/>
          <w:sz w:val="24"/>
          <w:szCs w:val="24"/>
        </w:rPr>
        <w:t xml:space="preserve"> par </w:t>
      </w:r>
      <w:r w:rsidR="00CC4DE7" w:rsidRPr="00CC4DE7">
        <w:rPr>
          <w:bCs/>
          <w:sz w:val="24"/>
          <w:szCs w:val="24"/>
        </w:rPr>
        <w:t>2</w:t>
      </w:r>
      <w:r w:rsidR="00CC4DE7">
        <w:rPr>
          <w:bCs/>
          <w:sz w:val="24"/>
          <w:szCs w:val="24"/>
        </w:rPr>
        <w:t> </w:t>
      </w:r>
      <w:r w:rsidR="00CC4DE7" w:rsidRPr="00CC4DE7">
        <w:rPr>
          <w:bCs/>
          <w:sz w:val="24"/>
          <w:szCs w:val="24"/>
        </w:rPr>
        <w:t>659</w:t>
      </w:r>
      <w:r w:rsidR="00CC4DE7">
        <w:rPr>
          <w:bCs/>
          <w:sz w:val="24"/>
          <w:szCs w:val="24"/>
        </w:rPr>
        <w:t> </w:t>
      </w:r>
      <w:r w:rsidR="00CC4DE7" w:rsidRPr="00CC4DE7">
        <w:rPr>
          <w:bCs/>
          <w:sz w:val="24"/>
          <w:szCs w:val="24"/>
        </w:rPr>
        <w:t>173</w:t>
      </w:r>
      <w:r w:rsidR="00CC4DE7">
        <w:rPr>
          <w:bCs/>
          <w:sz w:val="24"/>
          <w:szCs w:val="24"/>
        </w:rPr>
        <w:t>,</w:t>
      </w:r>
      <w:r w:rsidR="00CC4DE7" w:rsidRPr="00CC4DE7">
        <w:rPr>
          <w:bCs/>
          <w:sz w:val="24"/>
          <w:szCs w:val="24"/>
        </w:rPr>
        <w:t>24</w:t>
      </w:r>
      <w:r w:rsidR="00CC4DE7">
        <w:rPr>
          <w:bCs/>
          <w:sz w:val="24"/>
          <w:szCs w:val="24"/>
        </w:rPr>
        <w:t> </w:t>
      </w:r>
      <w:proofErr w:type="spellStart"/>
      <w:r w:rsidR="00CC4DE7" w:rsidRPr="00CC4DE7">
        <w:rPr>
          <w:bCs/>
          <w:i/>
          <w:iCs/>
          <w:sz w:val="24"/>
          <w:szCs w:val="24"/>
        </w:rPr>
        <w:t>euro</w:t>
      </w:r>
      <w:proofErr w:type="spellEnd"/>
      <w:r w:rsidR="00CC4DE7">
        <w:rPr>
          <w:bCs/>
          <w:sz w:val="24"/>
          <w:szCs w:val="24"/>
        </w:rPr>
        <w:t xml:space="preserve"> lielu finansējuma apmēru</w:t>
      </w:r>
      <w:r w:rsidR="00AD5286" w:rsidRPr="006F0479">
        <w:rPr>
          <w:bCs/>
          <w:sz w:val="24"/>
          <w:szCs w:val="24"/>
        </w:rPr>
        <w:t xml:space="preserve"> ir </w:t>
      </w:r>
      <w:r w:rsidR="00886044" w:rsidRPr="006F0479">
        <w:rPr>
          <w:bCs/>
          <w:sz w:val="24"/>
          <w:szCs w:val="24"/>
        </w:rPr>
        <w:t>vērtēšanas stadijā</w:t>
      </w:r>
      <w:r w:rsidR="00707195" w:rsidRPr="006F0479">
        <w:rPr>
          <w:bCs/>
          <w:sz w:val="24"/>
          <w:szCs w:val="24"/>
        </w:rPr>
        <w:t>.</w:t>
      </w:r>
      <w:r w:rsidR="00886044" w:rsidRPr="006F0479">
        <w:rPr>
          <w:bCs/>
          <w:sz w:val="24"/>
          <w:szCs w:val="24"/>
        </w:rPr>
        <w:t xml:space="preserve"> </w:t>
      </w:r>
      <w:r w:rsidR="004A325A">
        <w:rPr>
          <w:bCs/>
          <w:sz w:val="24"/>
          <w:szCs w:val="24"/>
        </w:rPr>
        <w:t xml:space="preserve">Līdz šim brīdim </w:t>
      </w:r>
      <w:r w:rsidR="00886044" w:rsidRPr="006F0479">
        <w:rPr>
          <w:bCs/>
          <w:sz w:val="24"/>
          <w:szCs w:val="24"/>
        </w:rPr>
        <w:t xml:space="preserve">vēl </w:t>
      </w:r>
      <w:r w:rsidR="00707195" w:rsidRPr="006F0479">
        <w:rPr>
          <w:bCs/>
          <w:sz w:val="24"/>
          <w:szCs w:val="24"/>
        </w:rPr>
        <w:t>nav iesniegti</w:t>
      </w:r>
      <w:r w:rsidR="00AD5286" w:rsidRPr="006F0479">
        <w:rPr>
          <w:bCs/>
          <w:sz w:val="24"/>
          <w:szCs w:val="24"/>
        </w:rPr>
        <w:t xml:space="preserve"> </w:t>
      </w:r>
      <w:r w:rsidR="00EE71A3">
        <w:rPr>
          <w:bCs/>
          <w:sz w:val="24"/>
          <w:szCs w:val="24"/>
        </w:rPr>
        <w:t>7</w:t>
      </w:r>
      <w:r w:rsidR="00886044" w:rsidRPr="006F0479">
        <w:rPr>
          <w:bCs/>
          <w:sz w:val="24"/>
          <w:szCs w:val="24"/>
        </w:rPr>
        <w:t xml:space="preserve"> </w:t>
      </w:r>
      <w:r w:rsidR="00AD5286" w:rsidRPr="006F0479">
        <w:rPr>
          <w:bCs/>
          <w:sz w:val="24"/>
          <w:szCs w:val="24"/>
        </w:rPr>
        <w:t>projekta pieteikum</w:t>
      </w:r>
      <w:r w:rsidR="00707195" w:rsidRPr="006F0479">
        <w:rPr>
          <w:bCs/>
          <w:sz w:val="24"/>
          <w:szCs w:val="24"/>
        </w:rPr>
        <w:t>i</w:t>
      </w:r>
      <w:r w:rsidR="00EE71A3">
        <w:rPr>
          <w:bCs/>
          <w:sz w:val="24"/>
          <w:szCs w:val="24"/>
        </w:rPr>
        <w:t>:</w:t>
      </w:r>
    </w:p>
    <w:p w14:paraId="3C7FF317" w14:textId="77777777" w:rsidR="00EE71A3" w:rsidRDefault="00EE71A3" w:rsidP="00762579">
      <w:pPr>
        <w:spacing w:line="276" w:lineRule="auto"/>
        <w:ind w:firstLine="720"/>
        <w:jc w:val="both"/>
        <w:rPr>
          <w:bCs/>
          <w:sz w:val="24"/>
          <w:szCs w:val="24"/>
        </w:rPr>
      </w:pPr>
    </w:p>
    <w:p w14:paraId="16E76F0E" w14:textId="77777777" w:rsidR="00EE71A3" w:rsidRPr="00DF1433" w:rsidRDefault="00EE71A3" w:rsidP="009A4CAF">
      <w:pPr>
        <w:pStyle w:val="ListParagraph"/>
        <w:numPr>
          <w:ilvl w:val="0"/>
          <w:numId w:val="16"/>
        </w:numPr>
        <w:spacing w:line="360" w:lineRule="auto"/>
        <w:ind w:left="357" w:firstLine="0"/>
        <w:contextualSpacing w:val="0"/>
        <w:rPr>
          <w:rFonts w:eastAsia="Times New Roman"/>
        </w:rPr>
      </w:pPr>
      <w:r w:rsidRPr="00DF1433">
        <w:rPr>
          <w:rFonts w:eastAsia="Times New Roman"/>
        </w:rPr>
        <w:t>Kuldīgas Tehnoloģiju un tūrisma tehnikums;</w:t>
      </w:r>
    </w:p>
    <w:p w14:paraId="479C367D" w14:textId="77777777" w:rsidR="00EE71A3" w:rsidRPr="00DF1433" w:rsidRDefault="00EE71A3" w:rsidP="009A4CAF">
      <w:pPr>
        <w:pStyle w:val="ListParagraph"/>
        <w:numPr>
          <w:ilvl w:val="0"/>
          <w:numId w:val="16"/>
        </w:numPr>
        <w:spacing w:line="360" w:lineRule="auto"/>
        <w:ind w:left="357" w:firstLine="0"/>
        <w:contextualSpacing w:val="0"/>
        <w:rPr>
          <w:rFonts w:eastAsia="Times New Roman"/>
        </w:rPr>
      </w:pPr>
      <w:r w:rsidRPr="009A4CAF">
        <w:rPr>
          <w:rFonts w:eastAsia="Times New Roman"/>
        </w:rPr>
        <w:t>VSAC „Zemgale”, ēku ar adresi „Ziedkalnes 3”, Vilces pagasts, Jelgavas novads;</w:t>
      </w:r>
    </w:p>
    <w:p w14:paraId="4EE34169" w14:textId="77777777" w:rsidR="00EE71A3" w:rsidRPr="00DF1433" w:rsidRDefault="00EE71A3" w:rsidP="009A4CAF">
      <w:pPr>
        <w:pStyle w:val="ListParagraph"/>
        <w:numPr>
          <w:ilvl w:val="0"/>
          <w:numId w:val="16"/>
        </w:numPr>
        <w:spacing w:line="360" w:lineRule="auto"/>
        <w:ind w:left="357" w:firstLine="0"/>
        <w:contextualSpacing w:val="0"/>
        <w:rPr>
          <w:rFonts w:eastAsia="Times New Roman"/>
        </w:rPr>
      </w:pPr>
      <w:r w:rsidRPr="00DF1433">
        <w:rPr>
          <w:rFonts w:eastAsia="Times New Roman"/>
        </w:rPr>
        <w:t>VSIA Šampētera nams, ēka Mārupes ielā 1, Rīgā;</w:t>
      </w:r>
    </w:p>
    <w:p w14:paraId="7F51377A" w14:textId="47518500" w:rsidR="00EE71A3" w:rsidRPr="00DF1433" w:rsidRDefault="00EE71A3" w:rsidP="009A4CAF">
      <w:pPr>
        <w:pStyle w:val="ListParagraph"/>
        <w:numPr>
          <w:ilvl w:val="0"/>
          <w:numId w:val="16"/>
        </w:numPr>
        <w:spacing w:line="360" w:lineRule="auto"/>
        <w:ind w:left="357" w:firstLine="0"/>
        <w:contextualSpacing w:val="0"/>
        <w:rPr>
          <w:rFonts w:eastAsia="Times New Roman"/>
        </w:rPr>
      </w:pPr>
      <w:r w:rsidRPr="00DF1433">
        <w:rPr>
          <w:rFonts w:eastAsia="Times New Roman"/>
        </w:rPr>
        <w:t>VSIA “Strenču psihoneiroloģiskā slimnīca” (2 ēkas, būs divi atsevišķi projekti);</w:t>
      </w:r>
    </w:p>
    <w:p w14:paraId="69CA3775" w14:textId="77777777" w:rsidR="00EE71A3" w:rsidRPr="00DF1433" w:rsidRDefault="00EE71A3" w:rsidP="009A4CAF">
      <w:pPr>
        <w:pStyle w:val="ListParagraph"/>
        <w:numPr>
          <w:ilvl w:val="0"/>
          <w:numId w:val="16"/>
        </w:numPr>
        <w:spacing w:line="360" w:lineRule="auto"/>
        <w:ind w:left="357" w:firstLine="0"/>
        <w:contextualSpacing w:val="0"/>
        <w:rPr>
          <w:rFonts w:eastAsia="Times New Roman"/>
        </w:rPr>
      </w:pPr>
      <w:r w:rsidRPr="00DF1433">
        <w:rPr>
          <w:rFonts w:eastAsia="Times New Roman"/>
        </w:rPr>
        <w:t>VISA “Rīgas psihiatrijas un narkoloģijas centrs”;</w:t>
      </w:r>
    </w:p>
    <w:p w14:paraId="459738BF" w14:textId="1D682273" w:rsidR="00EE71A3" w:rsidRPr="00F85963" w:rsidRDefault="00EE71A3" w:rsidP="009A4CAF">
      <w:pPr>
        <w:pStyle w:val="ListParagraph"/>
        <w:numPr>
          <w:ilvl w:val="0"/>
          <w:numId w:val="16"/>
        </w:numPr>
        <w:spacing w:line="360" w:lineRule="auto"/>
        <w:ind w:left="357" w:firstLine="0"/>
        <w:contextualSpacing w:val="0"/>
        <w:rPr>
          <w:rFonts w:eastAsia="Times New Roman"/>
        </w:rPr>
      </w:pPr>
      <w:r w:rsidRPr="00F85963">
        <w:rPr>
          <w:rFonts w:eastAsia="Times New Roman"/>
        </w:rPr>
        <w:t>VSIA “Daugavpils psihoneiroloģiskā slimnīca”.</w:t>
      </w:r>
    </w:p>
    <w:p w14:paraId="3EFE5A43" w14:textId="77777777" w:rsidR="00EE71A3" w:rsidRPr="00EE71A3" w:rsidRDefault="00EE71A3" w:rsidP="00EE71A3">
      <w:pPr>
        <w:pStyle w:val="ListParagraph"/>
        <w:contextualSpacing w:val="0"/>
        <w:rPr>
          <w:rFonts w:eastAsia="Times New Roman"/>
        </w:rPr>
      </w:pPr>
    </w:p>
    <w:p w14:paraId="7ABAA4BD" w14:textId="5430118B" w:rsidR="00F55C92" w:rsidRPr="006F0479" w:rsidRDefault="00EE71A3" w:rsidP="00762579">
      <w:pPr>
        <w:spacing w:line="276" w:lineRule="auto"/>
        <w:ind w:firstLine="720"/>
        <w:jc w:val="both"/>
        <w:rPr>
          <w:bCs/>
          <w:i/>
          <w:iCs/>
          <w:sz w:val="24"/>
          <w:szCs w:val="24"/>
        </w:rPr>
      </w:pPr>
      <w:r>
        <w:rPr>
          <w:bCs/>
          <w:sz w:val="24"/>
          <w:szCs w:val="24"/>
        </w:rPr>
        <w:t>K</w:t>
      </w:r>
      <w:r w:rsidR="006B6747">
        <w:rPr>
          <w:bCs/>
          <w:sz w:val="24"/>
          <w:szCs w:val="24"/>
        </w:rPr>
        <w:t xml:space="preserve">ā arī tiek plānots palielināt attiecināmo izmaksu </w:t>
      </w:r>
      <w:r w:rsidR="006B6747" w:rsidRPr="006B6747">
        <w:rPr>
          <w:bCs/>
          <w:sz w:val="24"/>
          <w:szCs w:val="24"/>
        </w:rPr>
        <w:t xml:space="preserve">apmēru </w:t>
      </w:r>
      <w:r w:rsidR="000A7B5A">
        <w:rPr>
          <w:bCs/>
          <w:sz w:val="24"/>
          <w:szCs w:val="24"/>
        </w:rPr>
        <w:t>tādiem jau iesniegtajiem projektiem kā Dailes teātrim</w:t>
      </w:r>
      <w:r w:rsidR="00D9745D">
        <w:rPr>
          <w:bCs/>
          <w:sz w:val="24"/>
          <w:szCs w:val="24"/>
        </w:rPr>
        <w:t xml:space="preserve"> un</w:t>
      </w:r>
      <w:r w:rsidR="000A7B5A">
        <w:rPr>
          <w:bCs/>
          <w:sz w:val="24"/>
          <w:szCs w:val="24"/>
        </w:rPr>
        <w:t xml:space="preserve"> Leļļu teātrim</w:t>
      </w:r>
      <w:r w:rsidR="006B6747" w:rsidRPr="006B6747">
        <w:rPr>
          <w:bCs/>
          <w:sz w:val="24"/>
          <w:szCs w:val="24"/>
        </w:rPr>
        <w:t>.</w:t>
      </w:r>
      <w:r w:rsidR="003803EB" w:rsidRPr="006B6747">
        <w:rPr>
          <w:bCs/>
          <w:sz w:val="24"/>
          <w:szCs w:val="24"/>
        </w:rPr>
        <w:t xml:space="preserve"> </w:t>
      </w:r>
      <w:r w:rsidR="00D9745D">
        <w:rPr>
          <w:bCs/>
          <w:sz w:val="24"/>
          <w:szCs w:val="24"/>
        </w:rPr>
        <w:t xml:space="preserve">Attiecināmo izmaksu palielinājums minētajiem projektiem </w:t>
      </w:r>
      <w:r w:rsidR="002A6979">
        <w:rPr>
          <w:bCs/>
          <w:sz w:val="24"/>
          <w:szCs w:val="24"/>
        </w:rPr>
        <w:t>paredzēts</w:t>
      </w:r>
      <w:r w:rsidR="00D9745D">
        <w:rPr>
          <w:bCs/>
          <w:sz w:val="24"/>
          <w:szCs w:val="24"/>
        </w:rPr>
        <w:t xml:space="preserve"> nozaru ministrijām</w:t>
      </w:r>
      <w:r w:rsidR="00C22D2C">
        <w:rPr>
          <w:bCs/>
          <w:sz w:val="24"/>
          <w:szCs w:val="24"/>
        </w:rPr>
        <w:t xml:space="preserve"> </w:t>
      </w:r>
      <w:r w:rsidR="002A6979">
        <w:rPr>
          <w:bCs/>
          <w:sz w:val="24"/>
          <w:szCs w:val="24"/>
        </w:rPr>
        <w:t>piešķirtā</w:t>
      </w:r>
      <w:r w:rsidR="00D9745D">
        <w:rPr>
          <w:bCs/>
          <w:sz w:val="24"/>
          <w:szCs w:val="24"/>
        </w:rPr>
        <w:t xml:space="preserve"> finansējuma ietvaros. </w:t>
      </w:r>
      <w:r w:rsidR="003803EB" w:rsidRPr="006B6747">
        <w:rPr>
          <w:bCs/>
          <w:sz w:val="24"/>
          <w:szCs w:val="24"/>
        </w:rPr>
        <w:t xml:space="preserve">Lai </w:t>
      </w:r>
      <w:r w:rsidR="006B6747" w:rsidRPr="006B6747">
        <w:rPr>
          <w:bCs/>
          <w:sz w:val="24"/>
          <w:szCs w:val="24"/>
        </w:rPr>
        <w:t>darbību īstenotu</w:t>
      </w:r>
      <w:r w:rsidR="003803EB" w:rsidRPr="006B6747">
        <w:rPr>
          <w:bCs/>
          <w:sz w:val="24"/>
          <w:szCs w:val="24"/>
        </w:rPr>
        <w:t xml:space="preserve">, </w:t>
      </w:r>
      <w:r w:rsidR="003C589E">
        <w:rPr>
          <w:bCs/>
          <w:sz w:val="24"/>
          <w:szCs w:val="24"/>
        </w:rPr>
        <w:t>Ministru kabineta 2020. gada 11. augustā apstiprināti grozījumi Ministru kabineta 2018. gada 4. janvāra noteikumos Nr. 13 “</w:t>
      </w:r>
      <w:r w:rsidR="003C589E" w:rsidRPr="003C589E">
        <w:rPr>
          <w:bCs/>
          <w:sz w:val="24"/>
          <w:szCs w:val="24"/>
        </w:rPr>
        <w:t xml:space="preserve">Darbības programmas </w:t>
      </w:r>
      <w:r w:rsidR="003C589E">
        <w:rPr>
          <w:bCs/>
          <w:sz w:val="24"/>
          <w:szCs w:val="24"/>
        </w:rPr>
        <w:t>“</w:t>
      </w:r>
      <w:r w:rsidR="003C589E" w:rsidRPr="003C589E">
        <w:rPr>
          <w:bCs/>
          <w:sz w:val="24"/>
          <w:szCs w:val="24"/>
        </w:rPr>
        <w:t>Izaugsme un nodarbinātība</w:t>
      </w:r>
      <w:r w:rsidR="003C589E">
        <w:rPr>
          <w:bCs/>
          <w:sz w:val="24"/>
          <w:szCs w:val="24"/>
        </w:rPr>
        <w:t>”</w:t>
      </w:r>
      <w:r w:rsidR="003C589E" w:rsidRPr="003C589E">
        <w:rPr>
          <w:bCs/>
          <w:sz w:val="24"/>
          <w:szCs w:val="24"/>
        </w:rPr>
        <w:t xml:space="preserve"> 4.2.1.specifiskā atbalsta mērķa </w:t>
      </w:r>
      <w:r w:rsidR="003C589E">
        <w:rPr>
          <w:bCs/>
          <w:sz w:val="24"/>
          <w:szCs w:val="24"/>
        </w:rPr>
        <w:t>“</w:t>
      </w:r>
      <w:r w:rsidR="003C589E" w:rsidRPr="003C589E">
        <w:rPr>
          <w:bCs/>
          <w:sz w:val="24"/>
          <w:szCs w:val="24"/>
        </w:rPr>
        <w:t>Veicināt energoefektivitātes paaugstināšanu valsts un dzīvojamās ēkās</w:t>
      </w:r>
      <w:r w:rsidR="003C589E">
        <w:rPr>
          <w:bCs/>
          <w:sz w:val="24"/>
          <w:szCs w:val="24"/>
        </w:rPr>
        <w:t>”</w:t>
      </w:r>
      <w:r w:rsidR="003C589E" w:rsidRPr="003C589E">
        <w:rPr>
          <w:bCs/>
          <w:sz w:val="24"/>
          <w:szCs w:val="24"/>
        </w:rPr>
        <w:t xml:space="preserve"> 4.2.1.2.pasākuma </w:t>
      </w:r>
      <w:r w:rsidR="003C589E">
        <w:rPr>
          <w:bCs/>
          <w:sz w:val="24"/>
          <w:szCs w:val="24"/>
        </w:rPr>
        <w:t>“</w:t>
      </w:r>
      <w:r w:rsidR="003C589E" w:rsidRPr="003C589E">
        <w:rPr>
          <w:bCs/>
          <w:sz w:val="24"/>
          <w:szCs w:val="24"/>
        </w:rPr>
        <w:t>Veicināt energoefektivitātes paaugstināšanu valsts ēkās</w:t>
      </w:r>
      <w:r w:rsidR="003C589E">
        <w:rPr>
          <w:bCs/>
          <w:sz w:val="24"/>
          <w:szCs w:val="24"/>
        </w:rPr>
        <w:t>”</w:t>
      </w:r>
      <w:r w:rsidR="003C589E" w:rsidRPr="003C589E">
        <w:rPr>
          <w:bCs/>
          <w:sz w:val="24"/>
          <w:szCs w:val="24"/>
        </w:rPr>
        <w:t xml:space="preserve"> otrās projektu iesniegumu atlases kārtas īstenošanas noteikumi</w:t>
      </w:r>
      <w:r w:rsidR="003C589E">
        <w:rPr>
          <w:bCs/>
          <w:sz w:val="24"/>
          <w:szCs w:val="24"/>
        </w:rPr>
        <w:t>””</w:t>
      </w:r>
      <w:r w:rsidR="00953CC8">
        <w:rPr>
          <w:bCs/>
          <w:sz w:val="24"/>
          <w:szCs w:val="24"/>
        </w:rPr>
        <w:t xml:space="preserve"> (turpmāk – MK noteikumi Nr. 13)</w:t>
      </w:r>
      <w:r w:rsidR="003C589E">
        <w:rPr>
          <w:bCs/>
          <w:sz w:val="24"/>
          <w:szCs w:val="24"/>
        </w:rPr>
        <w:t>, veicot nepieciešamo finansējuma p</w:t>
      </w:r>
      <w:r w:rsidR="00953CC8">
        <w:rPr>
          <w:bCs/>
          <w:sz w:val="24"/>
          <w:szCs w:val="24"/>
        </w:rPr>
        <w:t>ā</w:t>
      </w:r>
      <w:r w:rsidR="003C589E">
        <w:rPr>
          <w:bCs/>
          <w:sz w:val="24"/>
          <w:szCs w:val="24"/>
        </w:rPr>
        <w:t>rdali</w:t>
      </w:r>
      <w:r w:rsidR="000A7B5A">
        <w:rPr>
          <w:bCs/>
          <w:sz w:val="24"/>
          <w:szCs w:val="24"/>
        </w:rPr>
        <w:t>.</w:t>
      </w:r>
    </w:p>
    <w:p w14:paraId="654EEE21" w14:textId="77777777" w:rsidR="00AD5286" w:rsidRPr="006F0479" w:rsidRDefault="00AD5286" w:rsidP="00535438">
      <w:pPr>
        <w:ind w:firstLine="720"/>
        <w:jc w:val="both"/>
        <w:rPr>
          <w:bCs/>
          <w:sz w:val="24"/>
          <w:szCs w:val="24"/>
        </w:rPr>
      </w:pPr>
    </w:p>
    <w:p w14:paraId="177B93DB" w14:textId="77777777" w:rsidR="00543310" w:rsidRPr="006F0479" w:rsidRDefault="005F548D">
      <w:pPr>
        <w:rPr>
          <w:sz w:val="20"/>
          <w:szCs w:val="20"/>
        </w:rPr>
      </w:pPr>
      <w:r w:rsidRPr="006F0479">
        <w:rPr>
          <w:noProof/>
          <w:szCs w:val="26"/>
        </w:rPr>
        <w:lastRenderedPageBreak/>
        <w:drawing>
          <wp:inline distT="0" distB="0" distL="0" distR="0" wp14:anchorId="3C58BE34" wp14:editId="46030000">
            <wp:extent cx="5848350" cy="19431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59482F0" w14:textId="241063B8" w:rsidR="004A325A" w:rsidRPr="006F0479" w:rsidRDefault="00C50086" w:rsidP="004A325A">
      <w:pPr>
        <w:jc w:val="both"/>
        <w:rPr>
          <w:sz w:val="20"/>
          <w:szCs w:val="20"/>
        </w:rPr>
      </w:pPr>
      <w:r>
        <w:rPr>
          <w:i/>
          <w:sz w:val="22"/>
        </w:rPr>
        <w:t>3</w:t>
      </w:r>
      <w:r w:rsidR="00543310" w:rsidRPr="006F0479">
        <w:rPr>
          <w:i/>
          <w:sz w:val="22"/>
        </w:rPr>
        <w:t>.attēls.</w:t>
      </w:r>
      <w:r w:rsidR="00543310" w:rsidRPr="006F0479">
        <w:rPr>
          <w:sz w:val="22"/>
        </w:rPr>
        <w:t xml:space="preserve"> </w:t>
      </w:r>
      <w:r w:rsidR="00543310" w:rsidRPr="006F0479">
        <w:rPr>
          <w:b/>
          <w:sz w:val="22"/>
        </w:rPr>
        <w:t>4.2.1.2. pasākuma otrās atlases kārtas ietvaros plānoto ēku atjaunošanas virzība CFLA</w:t>
      </w:r>
      <w:r w:rsidR="004A325A">
        <w:rPr>
          <w:b/>
          <w:sz w:val="22"/>
        </w:rPr>
        <w:t xml:space="preserve"> </w:t>
      </w:r>
      <w:r w:rsidR="004A325A" w:rsidRPr="006F0479">
        <w:rPr>
          <w:sz w:val="20"/>
          <w:szCs w:val="20"/>
        </w:rPr>
        <w:t>(</w:t>
      </w:r>
      <w:r w:rsidR="001849C6">
        <w:rPr>
          <w:rFonts w:eastAsia="Times New Roman" w:cs="Times New Roman"/>
          <w:color w:val="000000"/>
          <w:sz w:val="22"/>
          <w:lang w:eastAsia="lv-LV"/>
        </w:rPr>
        <w:t>1</w:t>
      </w:r>
      <w:r w:rsidR="00EA161F">
        <w:rPr>
          <w:rFonts w:eastAsia="Times New Roman" w:cs="Times New Roman"/>
          <w:color w:val="000000"/>
          <w:sz w:val="22"/>
          <w:lang w:eastAsia="lv-LV"/>
        </w:rPr>
        <w:t>7</w:t>
      </w:r>
      <w:r w:rsidR="004A325A" w:rsidRPr="006F0479">
        <w:rPr>
          <w:rFonts w:eastAsia="Times New Roman" w:cs="Times New Roman"/>
          <w:color w:val="000000"/>
          <w:sz w:val="22"/>
          <w:lang w:eastAsia="lv-LV"/>
        </w:rPr>
        <w:t>.0</w:t>
      </w:r>
      <w:r w:rsidR="00EA161F">
        <w:rPr>
          <w:rFonts w:eastAsia="Times New Roman" w:cs="Times New Roman"/>
          <w:color w:val="000000"/>
          <w:sz w:val="22"/>
          <w:lang w:eastAsia="lv-LV"/>
        </w:rPr>
        <w:t>8</w:t>
      </w:r>
      <w:r w:rsidR="004A325A" w:rsidRPr="006F0479">
        <w:rPr>
          <w:rFonts w:eastAsia="Times New Roman" w:cs="Times New Roman"/>
          <w:color w:val="000000"/>
          <w:sz w:val="22"/>
          <w:lang w:eastAsia="lv-LV"/>
        </w:rPr>
        <w:t>.20</w:t>
      </w:r>
      <w:r w:rsidR="005B22CC">
        <w:rPr>
          <w:rFonts w:eastAsia="Times New Roman" w:cs="Times New Roman"/>
          <w:color w:val="000000"/>
          <w:sz w:val="22"/>
          <w:lang w:eastAsia="lv-LV"/>
        </w:rPr>
        <w:t>20</w:t>
      </w:r>
      <w:r w:rsidR="004A325A" w:rsidRPr="006F0479">
        <w:rPr>
          <w:rFonts w:eastAsia="Times New Roman" w:cs="Times New Roman"/>
          <w:color w:val="000000"/>
          <w:sz w:val="22"/>
          <w:lang w:eastAsia="lv-LV"/>
        </w:rPr>
        <w:t>. informācija)</w:t>
      </w:r>
    </w:p>
    <w:p w14:paraId="48D1BD74" w14:textId="3D016C1C" w:rsidR="00F7344B" w:rsidRDefault="00F7344B" w:rsidP="00F7344B">
      <w:pPr>
        <w:spacing w:before="120" w:after="120" w:line="276" w:lineRule="auto"/>
        <w:ind w:firstLine="720"/>
        <w:jc w:val="both"/>
        <w:rPr>
          <w:bCs/>
          <w:sz w:val="24"/>
          <w:szCs w:val="24"/>
        </w:rPr>
      </w:pPr>
      <w:r>
        <w:rPr>
          <w:sz w:val="22"/>
        </w:rPr>
        <w:t xml:space="preserve">Informējam, </w:t>
      </w:r>
      <w:r w:rsidR="00696AD6">
        <w:rPr>
          <w:sz w:val="22"/>
        </w:rPr>
        <w:t xml:space="preserve">ka, </w:t>
      </w:r>
      <w:r>
        <w:rPr>
          <w:sz w:val="22"/>
        </w:rPr>
        <w:t>lai veicinātu 4.2.1.2. pasākumam pieejamā finansējuma straujāku apguvi, l</w:t>
      </w:r>
      <w:r>
        <w:rPr>
          <w:bCs/>
          <w:sz w:val="24"/>
          <w:szCs w:val="24"/>
        </w:rPr>
        <w:t>īdz šim i</w:t>
      </w:r>
      <w:r w:rsidRPr="006F0479">
        <w:rPr>
          <w:bCs/>
          <w:sz w:val="24"/>
          <w:szCs w:val="24"/>
        </w:rPr>
        <w:t>r veikti virkne uzlabojumi 4.2.1.2. pasākuma regulējošos Ministr</w:t>
      </w:r>
      <w:r w:rsidR="00EC422A">
        <w:rPr>
          <w:bCs/>
          <w:sz w:val="24"/>
          <w:szCs w:val="24"/>
        </w:rPr>
        <w:t>u</w:t>
      </w:r>
      <w:r w:rsidRPr="006F0479">
        <w:rPr>
          <w:bCs/>
          <w:sz w:val="24"/>
          <w:szCs w:val="24"/>
        </w:rPr>
        <w:t xml:space="preserve"> kabineta noteikumos, dodot iespēju projektu iesniedzējiem vienkāršotā kārtībā palielināt projekta attiecināmo izmaksu apjomu arī pēc līguma noslēgšanas par projekta īstenošanu, kā arī atvieglojot un paātrinot uzaicinājuma nosūtīšanas procesu u.c.. Ir veikti vairākkārtēji grozījumi 4.2.1.2.</w:t>
      </w:r>
      <w:r>
        <w:rPr>
          <w:bCs/>
          <w:sz w:val="24"/>
          <w:szCs w:val="24"/>
        </w:rPr>
        <w:t> </w:t>
      </w:r>
      <w:r w:rsidRPr="006F0479">
        <w:rPr>
          <w:bCs/>
          <w:sz w:val="24"/>
          <w:szCs w:val="24"/>
        </w:rPr>
        <w:t>pasākuma regulējošos Ministr</w:t>
      </w:r>
      <w:r w:rsidR="00EC422A">
        <w:rPr>
          <w:bCs/>
          <w:sz w:val="24"/>
          <w:szCs w:val="24"/>
        </w:rPr>
        <w:t>u</w:t>
      </w:r>
      <w:r w:rsidRPr="006F0479">
        <w:rPr>
          <w:bCs/>
          <w:sz w:val="24"/>
          <w:szCs w:val="24"/>
        </w:rPr>
        <w:t xml:space="preserve"> kabineta noteikumos ar mērķi atvieglot projektu īstenošanu un maksimāli attiecināt nepieciešamos izdevumus projektu īstenošanai, piemēram, </w:t>
      </w:r>
      <w:r>
        <w:rPr>
          <w:bCs/>
          <w:sz w:val="24"/>
          <w:szCs w:val="24"/>
        </w:rPr>
        <w:t>palielinot</w:t>
      </w:r>
      <w:r w:rsidRPr="006F0479">
        <w:rPr>
          <w:bCs/>
          <w:sz w:val="24"/>
          <w:szCs w:val="24"/>
        </w:rPr>
        <w:t xml:space="preserve"> maksimāl</w:t>
      </w:r>
      <w:r>
        <w:rPr>
          <w:bCs/>
          <w:sz w:val="24"/>
          <w:szCs w:val="24"/>
        </w:rPr>
        <w:t>ā</w:t>
      </w:r>
      <w:r w:rsidRPr="006F0479">
        <w:rPr>
          <w:bCs/>
          <w:sz w:val="24"/>
          <w:szCs w:val="24"/>
        </w:rPr>
        <w:t xml:space="preserve"> finansējuma apmēr</w:t>
      </w:r>
      <w:r>
        <w:rPr>
          <w:bCs/>
          <w:sz w:val="24"/>
          <w:szCs w:val="24"/>
        </w:rPr>
        <w:t>u</w:t>
      </w:r>
      <w:r w:rsidRPr="006F0479">
        <w:rPr>
          <w:bCs/>
          <w:sz w:val="24"/>
          <w:szCs w:val="24"/>
        </w:rPr>
        <w:t xml:space="preserve"> uz m</w:t>
      </w:r>
      <w:r w:rsidRPr="00762579">
        <w:rPr>
          <w:bCs/>
          <w:sz w:val="24"/>
          <w:szCs w:val="24"/>
          <w:vertAlign w:val="superscript"/>
        </w:rPr>
        <w:t>2</w:t>
      </w:r>
      <w:r w:rsidRPr="006F0479">
        <w:rPr>
          <w:bCs/>
          <w:sz w:val="24"/>
          <w:szCs w:val="24"/>
        </w:rPr>
        <w:t xml:space="preserve"> (šobrīd noteikta maksimāli nosakāmā vērtība 300 </w:t>
      </w:r>
      <w:proofErr w:type="spellStart"/>
      <w:r w:rsidRPr="00106643">
        <w:rPr>
          <w:bCs/>
          <w:i/>
          <w:iCs/>
          <w:sz w:val="24"/>
          <w:szCs w:val="24"/>
        </w:rPr>
        <w:t>euro</w:t>
      </w:r>
      <w:proofErr w:type="spellEnd"/>
      <w:r w:rsidRPr="006F0479">
        <w:rPr>
          <w:bCs/>
          <w:sz w:val="24"/>
          <w:szCs w:val="24"/>
        </w:rPr>
        <w:t>/m</w:t>
      </w:r>
      <w:r w:rsidRPr="00762579">
        <w:rPr>
          <w:bCs/>
          <w:sz w:val="24"/>
          <w:szCs w:val="24"/>
          <w:vertAlign w:val="superscript"/>
        </w:rPr>
        <w:t>2</w:t>
      </w:r>
      <w:r w:rsidRPr="006F0479">
        <w:rPr>
          <w:bCs/>
          <w:sz w:val="24"/>
          <w:szCs w:val="24"/>
        </w:rPr>
        <w:t>).</w:t>
      </w:r>
    </w:p>
    <w:p w14:paraId="0B3CD779" w14:textId="5E7388E0" w:rsidR="0036453E" w:rsidRDefault="0036453E" w:rsidP="0036453E">
      <w:pPr>
        <w:jc w:val="both"/>
        <w:rPr>
          <w:b/>
          <w:sz w:val="24"/>
          <w:szCs w:val="20"/>
        </w:rPr>
      </w:pPr>
    </w:p>
    <w:p w14:paraId="576016B6" w14:textId="77767AE3" w:rsidR="003C42E3" w:rsidRPr="00F9060C" w:rsidRDefault="003C42E3" w:rsidP="00F9060C">
      <w:pPr>
        <w:jc w:val="both"/>
        <w:rPr>
          <w:b/>
          <w:sz w:val="26"/>
          <w:szCs w:val="26"/>
        </w:rPr>
      </w:pPr>
      <w:r w:rsidRPr="00F9060C">
        <w:rPr>
          <w:b/>
          <w:sz w:val="26"/>
          <w:szCs w:val="26"/>
        </w:rPr>
        <w:t>4.2.1.2. pasākuma pirmās atlases kārta</w:t>
      </w:r>
      <w:r w:rsidR="00F7344B" w:rsidRPr="00F9060C">
        <w:rPr>
          <w:b/>
          <w:sz w:val="26"/>
          <w:szCs w:val="26"/>
        </w:rPr>
        <w:t>s</w:t>
      </w:r>
      <w:r w:rsidRPr="00F9060C">
        <w:rPr>
          <w:b/>
          <w:sz w:val="26"/>
          <w:szCs w:val="26"/>
        </w:rPr>
        <w:t xml:space="preserve"> </w:t>
      </w:r>
      <w:r w:rsidR="00C50086" w:rsidRPr="00F9060C">
        <w:rPr>
          <w:b/>
          <w:sz w:val="26"/>
          <w:szCs w:val="26"/>
        </w:rPr>
        <w:t>situācijas raksturojums</w:t>
      </w:r>
    </w:p>
    <w:p w14:paraId="3DB60875" w14:textId="77777777" w:rsidR="00C50086" w:rsidRDefault="00C50086" w:rsidP="006C7631">
      <w:pPr>
        <w:spacing w:line="276" w:lineRule="auto"/>
        <w:ind w:firstLine="720"/>
        <w:jc w:val="both"/>
        <w:rPr>
          <w:sz w:val="22"/>
        </w:rPr>
      </w:pPr>
    </w:p>
    <w:p w14:paraId="15103999" w14:textId="083523EF" w:rsidR="006C7631" w:rsidRDefault="00905FA8" w:rsidP="005E548E">
      <w:pPr>
        <w:spacing w:line="276" w:lineRule="auto"/>
        <w:ind w:firstLine="720"/>
        <w:jc w:val="both"/>
        <w:rPr>
          <w:bCs/>
          <w:sz w:val="24"/>
          <w:szCs w:val="24"/>
        </w:rPr>
      </w:pPr>
      <w:r>
        <w:rPr>
          <w:sz w:val="22"/>
        </w:rPr>
        <w:t>4.2.1.2. pasākuma</w:t>
      </w:r>
      <w:r w:rsidR="006C7631">
        <w:rPr>
          <w:sz w:val="22"/>
        </w:rPr>
        <w:t xml:space="preserve"> pirmās </w:t>
      </w:r>
      <w:r w:rsidRPr="00905FA8">
        <w:rPr>
          <w:sz w:val="24"/>
          <w:szCs w:val="24"/>
        </w:rPr>
        <w:t>projektu iesniegumu atlases kārtas īstenošanai pieejamais publiskais finansējums ēkām</w:t>
      </w:r>
      <w:r w:rsidRPr="00905FA8">
        <w:rPr>
          <w:i/>
          <w:sz w:val="24"/>
          <w:szCs w:val="24"/>
        </w:rPr>
        <w:t xml:space="preserve"> </w:t>
      </w:r>
      <w:r>
        <w:rPr>
          <w:bCs/>
          <w:sz w:val="24"/>
          <w:szCs w:val="24"/>
        </w:rPr>
        <w:t>ir</w:t>
      </w:r>
      <w:r w:rsidRPr="00905FA8">
        <w:rPr>
          <w:bCs/>
          <w:sz w:val="24"/>
          <w:szCs w:val="24"/>
        </w:rPr>
        <w:t xml:space="preserve"> sadalīts </w:t>
      </w:r>
      <w:r w:rsidRPr="00905FA8">
        <w:rPr>
          <w:b/>
          <w:bCs/>
          <w:sz w:val="24"/>
          <w:szCs w:val="24"/>
        </w:rPr>
        <w:t>kvotās</w:t>
      </w:r>
      <w:r w:rsidRPr="00905FA8">
        <w:rPr>
          <w:bCs/>
          <w:sz w:val="24"/>
          <w:szCs w:val="24"/>
        </w:rPr>
        <w:t xml:space="preserve"> ministrijām (pēc lietotāja, nevis īpašnieka) </w:t>
      </w:r>
      <w:r w:rsidRPr="00905FA8">
        <w:rPr>
          <w:b/>
          <w:bCs/>
          <w:sz w:val="24"/>
          <w:szCs w:val="24"/>
        </w:rPr>
        <w:t xml:space="preserve">proporcionāli lietošanā esošo valsts ēku apkurināmo telpu platībai </w:t>
      </w:r>
      <w:r w:rsidRPr="00905FA8">
        <w:rPr>
          <w:bCs/>
          <w:sz w:val="24"/>
          <w:szCs w:val="24"/>
        </w:rPr>
        <w:t>(skatīt</w:t>
      </w:r>
      <w:r w:rsidR="0097141F">
        <w:rPr>
          <w:bCs/>
          <w:sz w:val="24"/>
          <w:szCs w:val="24"/>
        </w:rPr>
        <w:t xml:space="preserve"> M</w:t>
      </w:r>
      <w:r w:rsidR="0097141F" w:rsidRPr="0097141F">
        <w:rPr>
          <w:bCs/>
          <w:sz w:val="24"/>
          <w:szCs w:val="24"/>
        </w:rPr>
        <w:t>inistru kabineta 2016. gada 9. augusta noteikum</w:t>
      </w:r>
      <w:r w:rsidR="0097141F">
        <w:rPr>
          <w:bCs/>
          <w:sz w:val="24"/>
          <w:szCs w:val="24"/>
        </w:rPr>
        <w:t>u</w:t>
      </w:r>
      <w:r w:rsidR="0097141F" w:rsidRPr="0097141F">
        <w:rPr>
          <w:bCs/>
          <w:sz w:val="24"/>
          <w:szCs w:val="24"/>
        </w:rPr>
        <w:t xml:space="preserve">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sidR="0097141F">
        <w:rPr>
          <w:bCs/>
          <w:sz w:val="24"/>
          <w:szCs w:val="24"/>
        </w:rPr>
        <w:t xml:space="preserve"> (turpmāk – MK noteikumi Nr. 534) </w:t>
      </w:r>
      <w:r w:rsidR="0097141F" w:rsidRPr="0097141F">
        <w:rPr>
          <w:bCs/>
          <w:sz w:val="24"/>
          <w:szCs w:val="24"/>
        </w:rPr>
        <w:t xml:space="preserve">1. </w:t>
      </w:r>
      <w:bookmarkStart w:id="3" w:name="_GoBack"/>
      <w:r w:rsidR="0097141F" w:rsidRPr="0097141F">
        <w:rPr>
          <w:bCs/>
          <w:sz w:val="24"/>
          <w:szCs w:val="24"/>
        </w:rPr>
        <w:t>pielik</w:t>
      </w:r>
      <w:bookmarkEnd w:id="3"/>
      <w:r w:rsidR="0097141F" w:rsidRPr="0097141F">
        <w:rPr>
          <w:bCs/>
          <w:sz w:val="24"/>
          <w:szCs w:val="24"/>
        </w:rPr>
        <w:t>um</w:t>
      </w:r>
      <w:r w:rsidR="0097141F">
        <w:rPr>
          <w:bCs/>
          <w:sz w:val="24"/>
          <w:szCs w:val="24"/>
        </w:rPr>
        <w:t xml:space="preserve">u </w:t>
      </w:r>
      <w:r w:rsidR="005B22CC" w:rsidRPr="0097141F">
        <w:rPr>
          <w:bCs/>
          <w:sz w:val="24"/>
          <w:szCs w:val="24"/>
        </w:rPr>
        <w:t>"</w:t>
      </w:r>
      <w:r w:rsidR="0097141F" w:rsidRPr="0097141F">
        <w:rPr>
          <w:bCs/>
          <w:sz w:val="24"/>
          <w:szCs w:val="24"/>
        </w:rPr>
        <w:t>Eiropas Reģionālās attīstības fonda un valsts budžeta finansējuma sadalījums</w:t>
      </w:r>
      <w:r w:rsidR="005B22CC" w:rsidRPr="0097141F">
        <w:rPr>
          <w:bCs/>
          <w:sz w:val="24"/>
          <w:szCs w:val="24"/>
        </w:rPr>
        <w:t>"</w:t>
      </w:r>
      <w:r w:rsidR="0097141F">
        <w:rPr>
          <w:bCs/>
          <w:sz w:val="24"/>
          <w:szCs w:val="24"/>
        </w:rPr>
        <w:t>).</w:t>
      </w:r>
    </w:p>
    <w:p w14:paraId="5E16F502" w14:textId="429DC925" w:rsidR="00B91BDE" w:rsidRDefault="00905FA8" w:rsidP="005E548E">
      <w:pPr>
        <w:spacing w:line="276" w:lineRule="auto"/>
        <w:ind w:firstLine="720"/>
        <w:jc w:val="both"/>
        <w:rPr>
          <w:sz w:val="24"/>
          <w:szCs w:val="24"/>
        </w:rPr>
      </w:pPr>
      <w:r w:rsidRPr="00905FA8">
        <w:rPr>
          <w:bCs/>
          <w:sz w:val="24"/>
          <w:szCs w:val="24"/>
        </w:rPr>
        <w:t xml:space="preserve">Katra ministrija ir iesniegusi </w:t>
      </w:r>
      <w:r w:rsidR="0097141F" w:rsidRPr="00905FA8">
        <w:rPr>
          <w:bCs/>
          <w:sz w:val="24"/>
          <w:szCs w:val="24"/>
        </w:rPr>
        <w:t>E</w:t>
      </w:r>
      <w:r w:rsidR="0097141F">
        <w:rPr>
          <w:bCs/>
          <w:sz w:val="24"/>
          <w:szCs w:val="24"/>
        </w:rPr>
        <w:t xml:space="preserve">konomikas ministrijai </w:t>
      </w:r>
      <w:r w:rsidRPr="00905FA8">
        <w:rPr>
          <w:bCs/>
          <w:sz w:val="24"/>
          <w:szCs w:val="24"/>
        </w:rPr>
        <w:t xml:space="preserve">sarakstu ar </w:t>
      </w:r>
      <w:r w:rsidR="0097141F">
        <w:rPr>
          <w:bCs/>
          <w:sz w:val="24"/>
          <w:szCs w:val="24"/>
        </w:rPr>
        <w:t>ministriju</w:t>
      </w:r>
      <w:r w:rsidRPr="00905FA8">
        <w:rPr>
          <w:bCs/>
          <w:sz w:val="24"/>
          <w:szCs w:val="24"/>
        </w:rPr>
        <w:t xml:space="preserve"> un </w:t>
      </w:r>
      <w:r w:rsidR="0097141F">
        <w:rPr>
          <w:bCs/>
          <w:sz w:val="24"/>
          <w:szCs w:val="24"/>
        </w:rPr>
        <w:t xml:space="preserve">to </w:t>
      </w:r>
      <w:r w:rsidRPr="00905FA8">
        <w:rPr>
          <w:bCs/>
          <w:sz w:val="24"/>
          <w:szCs w:val="24"/>
        </w:rPr>
        <w:t>padotības iestāžu īpašumā un lietošanā esošajām valsts ēkām</w:t>
      </w:r>
      <w:r w:rsidR="0097141F">
        <w:rPr>
          <w:bCs/>
          <w:sz w:val="24"/>
          <w:szCs w:val="24"/>
        </w:rPr>
        <w:t>,</w:t>
      </w:r>
      <w:r w:rsidRPr="00905FA8">
        <w:rPr>
          <w:bCs/>
          <w:sz w:val="24"/>
          <w:szCs w:val="24"/>
        </w:rPr>
        <w:t xml:space="preserve"> </w:t>
      </w:r>
      <w:r w:rsidR="0097141F" w:rsidRPr="00905FA8">
        <w:rPr>
          <w:sz w:val="24"/>
          <w:szCs w:val="24"/>
        </w:rPr>
        <w:t>kurās 4.2.1.2. pasākuma ietvaros plānots īstenot energoefektivitātes paaugstināšanas pasākumus</w:t>
      </w:r>
      <w:r w:rsidR="0097141F">
        <w:rPr>
          <w:sz w:val="24"/>
          <w:szCs w:val="24"/>
        </w:rPr>
        <w:t xml:space="preserve"> (turpmāk - </w:t>
      </w:r>
      <w:r w:rsidR="0097141F">
        <w:rPr>
          <w:bCs/>
          <w:sz w:val="24"/>
          <w:szCs w:val="24"/>
        </w:rPr>
        <w:t>prioritārais</w:t>
      </w:r>
      <w:r w:rsidR="0097141F" w:rsidRPr="006F0479">
        <w:rPr>
          <w:bCs/>
          <w:sz w:val="24"/>
          <w:szCs w:val="24"/>
        </w:rPr>
        <w:t xml:space="preserve"> valsts ēku sarakst</w:t>
      </w:r>
      <w:r w:rsidR="0097141F">
        <w:rPr>
          <w:bCs/>
          <w:sz w:val="24"/>
          <w:szCs w:val="24"/>
        </w:rPr>
        <w:t>s (</w:t>
      </w:r>
      <w:r>
        <w:rPr>
          <w:bCs/>
          <w:sz w:val="24"/>
          <w:szCs w:val="24"/>
        </w:rPr>
        <w:t xml:space="preserve">skatīt </w:t>
      </w:r>
      <w:hyperlink r:id="rId22" w:history="1">
        <w:r w:rsidRPr="00457F91">
          <w:rPr>
            <w:rStyle w:val="Hyperlink"/>
            <w:bCs/>
            <w:sz w:val="24"/>
            <w:szCs w:val="24"/>
          </w:rPr>
          <w:t>https://www.em.gov.lv/files/es_fondi/EMAnot_Pielikums_Prioritarais_saraksts_4212SAMP_1karta_12082019.xlsx</w:t>
        </w:r>
      </w:hyperlink>
      <w:r>
        <w:rPr>
          <w:bCs/>
          <w:sz w:val="24"/>
          <w:szCs w:val="24"/>
        </w:rPr>
        <w:t xml:space="preserve"> </w:t>
      </w:r>
      <w:r w:rsidR="0097141F">
        <w:rPr>
          <w:bCs/>
          <w:sz w:val="24"/>
          <w:szCs w:val="24"/>
        </w:rPr>
        <w:t>)</w:t>
      </w:r>
      <w:r>
        <w:rPr>
          <w:bCs/>
          <w:sz w:val="24"/>
          <w:szCs w:val="24"/>
        </w:rPr>
        <w:t>)</w:t>
      </w:r>
      <w:r w:rsidR="006C7631">
        <w:rPr>
          <w:bCs/>
          <w:sz w:val="24"/>
          <w:szCs w:val="24"/>
        </w:rPr>
        <w:t>, kas regulāri tiek aktualizēts</w:t>
      </w:r>
      <w:r w:rsidR="00747E55">
        <w:rPr>
          <w:bCs/>
          <w:sz w:val="24"/>
          <w:szCs w:val="24"/>
        </w:rPr>
        <w:t xml:space="preserve"> (informācija tiks aktualizēta pēc </w:t>
      </w:r>
      <w:r w:rsidR="00696AD6">
        <w:rPr>
          <w:bCs/>
          <w:sz w:val="24"/>
          <w:szCs w:val="24"/>
        </w:rPr>
        <w:t xml:space="preserve">MK noteikumu Nr. 13 </w:t>
      </w:r>
      <w:r w:rsidR="00747E55">
        <w:rPr>
          <w:bCs/>
          <w:sz w:val="24"/>
          <w:szCs w:val="24"/>
        </w:rPr>
        <w:t xml:space="preserve">grozījumu projekta </w:t>
      </w:r>
      <w:r w:rsidR="00106643">
        <w:rPr>
          <w:bCs/>
          <w:sz w:val="24"/>
          <w:szCs w:val="24"/>
        </w:rPr>
        <w:t>apstiprināšanas</w:t>
      </w:r>
      <w:r w:rsidR="00747E55">
        <w:rPr>
          <w:bCs/>
          <w:sz w:val="24"/>
          <w:szCs w:val="24"/>
        </w:rPr>
        <w:t>)</w:t>
      </w:r>
      <w:r w:rsidR="006C7631">
        <w:rPr>
          <w:bCs/>
          <w:sz w:val="24"/>
          <w:szCs w:val="24"/>
        </w:rPr>
        <w:t>.</w:t>
      </w:r>
      <w:r>
        <w:rPr>
          <w:bCs/>
          <w:sz w:val="24"/>
          <w:szCs w:val="24"/>
        </w:rPr>
        <w:t xml:space="preserve"> Prioritārajā valsts ēku sarakstā katrai ēkai ir norādīts nepieciešamā publiskā finansējuma apmērs, kā arī </w:t>
      </w:r>
      <w:r w:rsidRPr="006F0479">
        <w:rPr>
          <w:bCs/>
          <w:sz w:val="24"/>
          <w:szCs w:val="24"/>
        </w:rPr>
        <w:t>noteikts termiņš</w:t>
      </w:r>
      <w:r w:rsidR="00C22D2C">
        <w:rPr>
          <w:bCs/>
          <w:sz w:val="24"/>
          <w:szCs w:val="24"/>
        </w:rPr>
        <w:t>,</w:t>
      </w:r>
      <w:r>
        <w:rPr>
          <w:bCs/>
          <w:sz w:val="24"/>
          <w:szCs w:val="24"/>
        </w:rPr>
        <w:t xml:space="preserve"> </w:t>
      </w:r>
      <w:r w:rsidRPr="006F0479">
        <w:rPr>
          <w:bCs/>
          <w:sz w:val="24"/>
          <w:szCs w:val="24"/>
        </w:rPr>
        <w:t>līdz kuram projekta pieteikums jāiesniedz CFLA.</w:t>
      </w:r>
      <w:r>
        <w:rPr>
          <w:bCs/>
          <w:sz w:val="24"/>
          <w:szCs w:val="24"/>
        </w:rPr>
        <w:t xml:space="preserve"> </w:t>
      </w:r>
      <w:r w:rsidR="003C42E3" w:rsidRPr="006F0479">
        <w:rPr>
          <w:bCs/>
          <w:sz w:val="24"/>
          <w:szCs w:val="20"/>
        </w:rPr>
        <w:t xml:space="preserve">Katra ministrija pati koordinē, kad </w:t>
      </w:r>
      <w:r w:rsidR="00C26787">
        <w:rPr>
          <w:bCs/>
          <w:sz w:val="24"/>
          <w:szCs w:val="20"/>
        </w:rPr>
        <w:t>iesniedz</w:t>
      </w:r>
      <w:r w:rsidR="00C26787" w:rsidRPr="006F0479">
        <w:rPr>
          <w:bCs/>
          <w:sz w:val="24"/>
          <w:szCs w:val="20"/>
        </w:rPr>
        <w:t xml:space="preserve"> </w:t>
      </w:r>
      <w:r w:rsidR="003C42E3" w:rsidRPr="006F0479">
        <w:rPr>
          <w:bCs/>
          <w:sz w:val="24"/>
          <w:szCs w:val="20"/>
        </w:rPr>
        <w:t>projektu iesniegumu</w:t>
      </w:r>
      <w:r w:rsidR="00C26787">
        <w:rPr>
          <w:bCs/>
          <w:sz w:val="24"/>
          <w:szCs w:val="20"/>
        </w:rPr>
        <w:t>s</w:t>
      </w:r>
      <w:r w:rsidR="003C42E3" w:rsidRPr="006F0479">
        <w:rPr>
          <w:bCs/>
          <w:sz w:val="24"/>
          <w:szCs w:val="20"/>
        </w:rPr>
        <w:t xml:space="preserve"> CFLA</w:t>
      </w:r>
      <w:r w:rsidR="00C26787">
        <w:rPr>
          <w:bCs/>
          <w:sz w:val="24"/>
          <w:szCs w:val="20"/>
        </w:rPr>
        <w:t>, kā arī uzrauga projektu īstenošanu.</w:t>
      </w:r>
    </w:p>
    <w:p w14:paraId="6FB0463A" w14:textId="6F5A7D2A" w:rsidR="00356369" w:rsidRDefault="00C26787" w:rsidP="005E548E">
      <w:pPr>
        <w:spacing w:line="276" w:lineRule="auto"/>
        <w:ind w:firstLine="720"/>
        <w:jc w:val="both"/>
        <w:rPr>
          <w:sz w:val="24"/>
          <w:szCs w:val="24"/>
        </w:rPr>
      </w:pPr>
      <w:r>
        <w:rPr>
          <w:sz w:val="24"/>
          <w:szCs w:val="24"/>
        </w:rPr>
        <w:t xml:space="preserve">Saskaņā ar Ekonomikas ministrijas ierosinātajiem grozījumiem nolikumā, </w:t>
      </w:r>
      <w:r w:rsidR="00356369">
        <w:rPr>
          <w:sz w:val="24"/>
          <w:szCs w:val="24"/>
        </w:rPr>
        <w:t>4.2.1.2.</w:t>
      </w:r>
      <w:r w:rsidR="00440514">
        <w:rPr>
          <w:sz w:val="24"/>
          <w:szCs w:val="24"/>
        </w:rPr>
        <w:t> </w:t>
      </w:r>
      <w:r w:rsidR="00356369">
        <w:rPr>
          <w:sz w:val="24"/>
          <w:szCs w:val="24"/>
        </w:rPr>
        <w:t xml:space="preserve">pasākuma pirmajā atlases kārtā projektu iesniegšana </w:t>
      </w:r>
      <w:r>
        <w:rPr>
          <w:sz w:val="24"/>
          <w:szCs w:val="24"/>
        </w:rPr>
        <w:t>noslēdzās 2020.</w:t>
      </w:r>
      <w:r w:rsidR="00EF4C08">
        <w:rPr>
          <w:sz w:val="24"/>
          <w:szCs w:val="24"/>
        </w:rPr>
        <w:t> </w:t>
      </w:r>
      <w:r>
        <w:rPr>
          <w:sz w:val="24"/>
          <w:szCs w:val="24"/>
        </w:rPr>
        <w:t>gada 28.</w:t>
      </w:r>
      <w:r w:rsidR="00EF4C08">
        <w:rPr>
          <w:sz w:val="24"/>
          <w:szCs w:val="24"/>
        </w:rPr>
        <w:t> </w:t>
      </w:r>
      <w:r>
        <w:rPr>
          <w:sz w:val="24"/>
          <w:szCs w:val="24"/>
        </w:rPr>
        <w:t>feb</w:t>
      </w:r>
      <w:r w:rsidR="00440514">
        <w:rPr>
          <w:sz w:val="24"/>
          <w:szCs w:val="24"/>
        </w:rPr>
        <w:t>r</w:t>
      </w:r>
      <w:r>
        <w:rPr>
          <w:sz w:val="24"/>
          <w:szCs w:val="24"/>
        </w:rPr>
        <w:t xml:space="preserve">uārī </w:t>
      </w:r>
      <w:r w:rsidR="00356369">
        <w:rPr>
          <w:sz w:val="24"/>
          <w:szCs w:val="24"/>
        </w:rPr>
        <w:lastRenderedPageBreak/>
        <w:t xml:space="preserve">un </w:t>
      </w:r>
      <w:r>
        <w:rPr>
          <w:sz w:val="24"/>
          <w:szCs w:val="24"/>
        </w:rPr>
        <w:t xml:space="preserve">šobrīd </w:t>
      </w:r>
      <w:r w:rsidR="00356369">
        <w:rPr>
          <w:sz w:val="24"/>
          <w:szCs w:val="24"/>
        </w:rPr>
        <w:t xml:space="preserve">turpinās iesniegto projektu </w:t>
      </w:r>
      <w:r w:rsidR="00A00263">
        <w:rPr>
          <w:sz w:val="24"/>
          <w:szCs w:val="24"/>
        </w:rPr>
        <w:t>iesniegumu</w:t>
      </w:r>
      <w:r w:rsidR="00356369">
        <w:rPr>
          <w:sz w:val="24"/>
          <w:szCs w:val="24"/>
        </w:rPr>
        <w:t xml:space="preserve"> vērtēšana, kā arī apstiprināto projektu īstenošana.</w:t>
      </w:r>
    </w:p>
    <w:p w14:paraId="64A29032" w14:textId="4D0A15F1" w:rsidR="00B91BDE" w:rsidRPr="00A55D77" w:rsidRDefault="00B91BDE" w:rsidP="005E548E">
      <w:pPr>
        <w:pStyle w:val="ListParagraph"/>
        <w:numPr>
          <w:ilvl w:val="0"/>
          <w:numId w:val="5"/>
        </w:numPr>
        <w:spacing w:line="276" w:lineRule="auto"/>
        <w:jc w:val="both"/>
        <w:rPr>
          <w:bCs/>
        </w:rPr>
      </w:pPr>
      <w:r w:rsidRPr="00A55D77">
        <w:rPr>
          <w:b/>
        </w:rPr>
        <w:t>Satiksmes ministrija</w:t>
      </w:r>
      <w:r w:rsidRPr="00A55D77">
        <w:rPr>
          <w:bCs/>
        </w:rPr>
        <w:t xml:space="preserve"> sākotnēji plāno</w:t>
      </w:r>
      <w:r>
        <w:rPr>
          <w:bCs/>
        </w:rPr>
        <w:t>ja atjaunot</w:t>
      </w:r>
      <w:r w:rsidRPr="00A55D77">
        <w:rPr>
          <w:bCs/>
        </w:rPr>
        <w:t xml:space="preserve"> ēk</w:t>
      </w:r>
      <w:r>
        <w:rPr>
          <w:bCs/>
        </w:rPr>
        <w:t>u</w:t>
      </w:r>
      <w:r w:rsidRPr="00A55D77">
        <w:rPr>
          <w:bCs/>
        </w:rPr>
        <w:t xml:space="preserve"> VAS “Latvijas dzelzceļš</w:t>
      </w:r>
      <w:r>
        <w:rPr>
          <w:bCs/>
        </w:rPr>
        <w:t xml:space="preserve">”, tomēr </w:t>
      </w:r>
      <w:r w:rsidRPr="00A55D77">
        <w:rPr>
          <w:bCs/>
        </w:rPr>
        <w:t>izvērtējot riskus un pieejamo finansējumu secināja, ka projekts nav realizējam</w:t>
      </w:r>
      <w:r w:rsidR="00CA649B">
        <w:rPr>
          <w:bCs/>
        </w:rPr>
        <w:t>s</w:t>
      </w:r>
      <w:r w:rsidRPr="00A55D77">
        <w:rPr>
          <w:bCs/>
        </w:rPr>
        <w:t xml:space="preserve"> un publiskais finansējums </w:t>
      </w:r>
      <w:r w:rsidR="000A68E2">
        <w:rPr>
          <w:bCs/>
        </w:rPr>
        <w:t>no</w:t>
      </w:r>
      <w:r w:rsidR="0022103C">
        <w:rPr>
          <w:bCs/>
        </w:rPr>
        <w:t>v</w:t>
      </w:r>
      <w:r w:rsidR="000A68E2">
        <w:rPr>
          <w:bCs/>
        </w:rPr>
        <w:t>irzīts</w:t>
      </w:r>
      <w:r w:rsidRPr="00A55D77">
        <w:rPr>
          <w:bCs/>
        </w:rPr>
        <w:t xml:space="preserve"> projekta iesniedzējam </w:t>
      </w:r>
      <w:r w:rsidR="005E548E" w:rsidRPr="005E548E">
        <w:rPr>
          <w:bCs/>
        </w:rPr>
        <w:t>Latvijas Jūras akadēmija</w:t>
      </w:r>
      <w:r w:rsidR="005E548E">
        <w:rPr>
          <w:bCs/>
        </w:rPr>
        <w:t>s</w:t>
      </w:r>
      <w:r w:rsidRPr="00A55D77">
        <w:rPr>
          <w:bCs/>
        </w:rPr>
        <w:t xml:space="preserve"> ēkai Flotes ielā 12k-5, kas ir Satiksmes ministrijas tiesiskajā valdījumā. Publiskā finansējuma atlikums nav.</w:t>
      </w:r>
    </w:p>
    <w:p w14:paraId="59CEE1B9" w14:textId="2BBF52EC" w:rsidR="00B91BDE" w:rsidRPr="00565DC7" w:rsidRDefault="00B91BDE" w:rsidP="00565DC7">
      <w:pPr>
        <w:pStyle w:val="ListParagraph"/>
        <w:numPr>
          <w:ilvl w:val="0"/>
          <w:numId w:val="5"/>
        </w:numPr>
        <w:spacing w:line="276" w:lineRule="auto"/>
        <w:jc w:val="both"/>
        <w:rPr>
          <w:bCs/>
        </w:rPr>
      </w:pPr>
      <w:r w:rsidRPr="00A55D77">
        <w:rPr>
          <w:b/>
        </w:rPr>
        <w:t>Ekonomikas ministrijas</w:t>
      </w:r>
      <w:r w:rsidRPr="00A55D77">
        <w:rPr>
          <w:bCs/>
        </w:rPr>
        <w:t xml:space="preserve"> </w:t>
      </w:r>
      <w:r w:rsidR="00565DC7">
        <w:rPr>
          <w:bCs/>
        </w:rPr>
        <w:t>kvota ir</w:t>
      </w:r>
      <w:r w:rsidRPr="00A55D77">
        <w:rPr>
          <w:bCs/>
        </w:rPr>
        <w:t xml:space="preserve"> pieejama pilnā apmērā atbilstoši MK noteikumu </w:t>
      </w:r>
      <w:r w:rsidR="005E548E">
        <w:rPr>
          <w:bCs/>
        </w:rPr>
        <w:t>Nr.</w:t>
      </w:r>
      <w:r w:rsidR="00565DC7">
        <w:rPr>
          <w:bCs/>
        </w:rPr>
        <w:t> </w:t>
      </w:r>
      <w:r w:rsidRPr="0097141F">
        <w:rPr>
          <w:bCs/>
        </w:rPr>
        <w:t>534</w:t>
      </w:r>
      <w:r w:rsidR="005E548E">
        <w:rPr>
          <w:bCs/>
        </w:rPr>
        <w:t xml:space="preserve"> </w:t>
      </w:r>
      <w:r w:rsidRPr="00A55D77">
        <w:rPr>
          <w:bCs/>
        </w:rPr>
        <w:t>1.</w:t>
      </w:r>
      <w:r w:rsidR="005E548E">
        <w:rPr>
          <w:bCs/>
        </w:rPr>
        <w:t> </w:t>
      </w:r>
      <w:r w:rsidRPr="00A55D77">
        <w:rPr>
          <w:bCs/>
        </w:rPr>
        <w:t xml:space="preserve">pielikumā noteiktam </w:t>
      </w:r>
      <w:r>
        <w:rPr>
          <w:bCs/>
        </w:rPr>
        <w:t>(</w:t>
      </w:r>
      <w:r w:rsidRPr="00A55D77">
        <w:rPr>
          <w:bCs/>
        </w:rPr>
        <w:t xml:space="preserve">2 843 514.00 </w:t>
      </w:r>
      <w:proofErr w:type="spellStart"/>
      <w:r w:rsidRPr="00A55D77">
        <w:rPr>
          <w:bCs/>
          <w:i/>
          <w:iCs/>
        </w:rPr>
        <w:t>euro</w:t>
      </w:r>
      <w:proofErr w:type="spellEnd"/>
      <w:r>
        <w:rPr>
          <w:bCs/>
          <w:i/>
          <w:iCs/>
        </w:rPr>
        <w:t>)</w:t>
      </w:r>
      <w:r>
        <w:rPr>
          <w:bCs/>
        </w:rPr>
        <w:t>. Informējam, ka</w:t>
      </w:r>
      <w:r w:rsidR="00565DC7">
        <w:rPr>
          <w:bCs/>
        </w:rPr>
        <w:t xml:space="preserve"> notikusi</w:t>
      </w:r>
      <w:r>
        <w:rPr>
          <w:bCs/>
        </w:rPr>
        <w:t xml:space="preserve"> </w:t>
      </w:r>
      <w:r w:rsidRPr="00A55D77">
        <w:rPr>
          <w:bCs/>
        </w:rPr>
        <w:t xml:space="preserve">noslēgtā līguma laušana ar CFLA par ēku Pērses iela 2, jo izvērtējot situāciju projekta iesniedzējs secināja, ka projekta ietvaros netiks </w:t>
      </w:r>
      <w:r>
        <w:rPr>
          <w:bCs/>
        </w:rPr>
        <w:t>nodrošināta rādītāju sasniegšana</w:t>
      </w:r>
      <w:r w:rsidRPr="00A55D77">
        <w:rPr>
          <w:bCs/>
        </w:rPr>
        <w:t xml:space="preserve">. </w:t>
      </w:r>
      <w:r w:rsidR="00565DC7">
        <w:rPr>
          <w:bCs/>
        </w:rPr>
        <w:t>Vienlaikus Ekonomikas ministrija veikusi kvotas pārdali, finansējumu sadalot attiecīgi</w:t>
      </w:r>
      <w:r w:rsidR="00565DC7" w:rsidRPr="00565DC7">
        <w:rPr>
          <w:bCs/>
        </w:rPr>
        <w:t xml:space="preserve"> </w:t>
      </w:r>
      <w:proofErr w:type="spellStart"/>
      <w:r w:rsidR="00565DC7" w:rsidRPr="00565DC7">
        <w:rPr>
          <w:bCs/>
        </w:rPr>
        <w:t>Iekšlietu</w:t>
      </w:r>
      <w:proofErr w:type="spellEnd"/>
      <w:r w:rsidR="00565DC7" w:rsidRPr="00565DC7">
        <w:rPr>
          <w:bCs/>
        </w:rPr>
        <w:t xml:space="preserve"> ministrijai </w:t>
      </w:r>
      <w:r w:rsidR="00565DC7">
        <w:rPr>
          <w:bCs/>
        </w:rPr>
        <w:t>(</w:t>
      </w:r>
      <w:r w:rsidR="00565DC7" w:rsidRPr="00565DC7">
        <w:rPr>
          <w:bCs/>
        </w:rPr>
        <w:t xml:space="preserve">1 348 000 </w:t>
      </w:r>
      <w:proofErr w:type="spellStart"/>
      <w:r w:rsidR="00565DC7" w:rsidRPr="00565DC7">
        <w:rPr>
          <w:bCs/>
          <w:i/>
          <w:iCs/>
        </w:rPr>
        <w:t>euro</w:t>
      </w:r>
      <w:proofErr w:type="spellEnd"/>
      <w:r w:rsidR="00565DC7">
        <w:rPr>
          <w:bCs/>
        </w:rPr>
        <w:t xml:space="preserve">), </w:t>
      </w:r>
      <w:r w:rsidR="00565DC7" w:rsidRPr="00565DC7">
        <w:rPr>
          <w:bCs/>
        </w:rPr>
        <w:t xml:space="preserve">Kultūras ministrijai </w:t>
      </w:r>
      <w:r w:rsidR="00565DC7">
        <w:rPr>
          <w:bCs/>
        </w:rPr>
        <w:t>(</w:t>
      </w:r>
      <w:r w:rsidR="00565DC7" w:rsidRPr="00565DC7">
        <w:rPr>
          <w:bCs/>
        </w:rPr>
        <w:t xml:space="preserve">135 000 </w:t>
      </w:r>
      <w:proofErr w:type="spellStart"/>
      <w:r w:rsidR="00565DC7" w:rsidRPr="00565DC7">
        <w:rPr>
          <w:bCs/>
          <w:i/>
          <w:iCs/>
        </w:rPr>
        <w:t>euro</w:t>
      </w:r>
      <w:proofErr w:type="spellEnd"/>
      <w:r w:rsidR="00565DC7">
        <w:rPr>
          <w:bCs/>
        </w:rPr>
        <w:t xml:space="preserve">) un </w:t>
      </w:r>
      <w:r w:rsidR="00565DC7" w:rsidRPr="00565DC7">
        <w:rPr>
          <w:bCs/>
        </w:rPr>
        <w:t xml:space="preserve">Labklājības ministrijai </w:t>
      </w:r>
      <w:r w:rsidR="00565DC7">
        <w:rPr>
          <w:bCs/>
        </w:rPr>
        <w:t>(</w:t>
      </w:r>
      <w:r w:rsidR="00565DC7" w:rsidRPr="00565DC7">
        <w:rPr>
          <w:bCs/>
        </w:rPr>
        <w:t xml:space="preserve">1 360 514 </w:t>
      </w:r>
      <w:proofErr w:type="spellStart"/>
      <w:r w:rsidR="00565DC7" w:rsidRPr="00565DC7">
        <w:rPr>
          <w:bCs/>
          <w:i/>
          <w:iCs/>
        </w:rPr>
        <w:t>euro</w:t>
      </w:r>
      <w:proofErr w:type="spellEnd"/>
      <w:r w:rsidR="00565DC7">
        <w:rPr>
          <w:bCs/>
        </w:rPr>
        <w:t>), kas iegūto papildus finansējumu plāno novirzīt iesniegto projektu attiecināmo izmaksu palielināšanai.</w:t>
      </w:r>
    </w:p>
    <w:p w14:paraId="74333F90" w14:textId="5C93D3F0" w:rsidR="00B91BDE" w:rsidRPr="00BB6FE0" w:rsidRDefault="00C0757E" w:rsidP="00BB6FE0">
      <w:pPr>
        <w:pStyle w:val="ListParagraph"/>
        <w:numPr>
          <w:ilvl w:val="0"/>
          <w:numId w:val="5"/>
        </w:numPr>
        <w:spacing w:line="276" w:lineRule="auto"/>
        <w:jc w:val="both"/>
        <w:rPr>
          <w:bCs/>
        </w:rPr>
      </w:pPr>
      <w:r>
        <w:rPr>
          <w:bCs/>
        </w:rPr>
        <w:t xml:space="preserve">No </w:t>
      </w:r>
      <w:proofErr w:type="spellStart"/>
      <w:r w:rsidR="00B91BDE" w:rsidRPr="000A495B">
        <w:rPr>
          <w:b/>
        </w:rPr>
        <w:t>Iekšlietu</w:t>
      </w:r>
      <w:proofErr w:type="spellEnd"/>
      <w:r w:rsidR="00B91BDE" w:rsidRPr="000A495B">
        <w:rPr>
          <w:b/>
        </w:rPr>
        <w:t xml:space="preserve"> ministrija</w:t>
      </w:r>
      <w:r>
        <w:rPr>
          <w:b/>
        </w:rPr>
        <w:t xml:space="preserve">s </w:t>
      </w:r>
      <w:r>
        <w:rPr>
          <w:bCs/>
        </w:rPr>
        <w:t>sektora</w:t>
      </w:r>
      <w:r w:rsidR="00B91BDE" w:rsidRPr="000A495B">
        <w:rPr>
          <w:bCs/>
        </w:rPr>
        <w:t xml:space="preserve"> </w:t>
      </w:r>
      <w:r w:rsidR="000A495B">
        <w:rPr>
          <w:bCs/>
        </w:rPr>
        <w:t xml:space="preserve">iesniegti 12 projektu </w:t>
      </w:r>
      <w:r w:rsidR="00A00263">
        <w:rPr>
          <w:bCs/>
        </w:rPr>
        <w:t>iesniegumi</w:t>
      </w:r>
      <w:r w:rsidR="000A495B">
        <w:rPr>
          <w:bCs/>
        </w:rPr>
        <w:t xml:space="preserve"> par kopējo publisko finansējumu</w:t>
      </w:r>
      <w:r w:rsidR="000A495B" w:rsidRPr="000A495B">
        <w:t xml:space="preserve"> </w:t>
      </w:r>
      <w:r w:rsidR="000A495B" w:rsidRPr="000A495B">
        <w:rPr>
          <w:bCs/>
        </w:rPr>
        <w:t>9 386</w:t>
      </w:r>
      <w:r w:rsidR="000A495B">
        <w:rPr>
          <w:bCs/>
        </w:rPr>
        <w:t> </w:t>
      </w:r>
      <w:r w:rsidR="000A495B" w:rsidRPr="000A495B">
        <w:rPr>
          <w:bCs/>
        </w:rPr>
        <w:t>364</w:t>
      </w:r>
      <w:r w:rsidR="000A495B">
        <w:rPr>
          <w:bCs/>
        </w:rPr>
        <w:t>,</w:t>
      </w:r>
      <w:r w:rsidR="000A495B" w:rsidRPr="000A495B">
        <w:rPr>
          <w:bCs/>
        </w:rPr>
        <w:t xml:space="preserve">82 </w:t>
      </w:r>
      <w:proofErr w:type="spellStart"/>
      <w:r w:rsidR="000A495B" w:rsidRPr="000A495B">
        <w:rPr>
          <w:bCs/>
          <w:i/>
          <w:iCs/>
        </w:rPr>
        <w:t>euro</w:t>
      </w:r>
      <w:proofErr w:type="spellEnd"/>
      <w:r w:rsidR="00F75317">
        <w:rPr>
          <w:bCs/>
        </w:rPr>
        <w:t xml:space="preserve">, tomēr četru projektu īstenošana uzskatāma par riskantu, jo neattiecināmo izmaksu apmērs sastāda </w:t>
      </w:r>
      <w:r w:rsidR="003D396C">
        <w:rPr>
          <w:bCs/>
        </w:rPr>
        <w:t>67%-95% no projektu attiecināmajām izmaksām.</w:t>
      </w:r>
      <w:r w:rsidR="00BB6FE0">
        <w:rPr>
          <w:bCs/>
        </w:rPr>
        <w:t xml:space="preserve"> Vienlaikus </w:t>
      </w:r>
      <w:proofErr w:type="spellStart"/>
      <w:r w:rsidR="00BB6FE0" w:rsidRPr="00BB6FE0">
        <w:rPr>
          <w:bCs/>
        </w:rPr>
        <w:t>Iekšlietu</w:t>
      </w:r>
      <w:proofErr w:type="spellEnd"/>
      <w:r w:rsidR="00BB6FE0" w:rsidRPr="00BB6FE0">
        <w:rPr>
          <w:bCs/>
        </w:rPr>
        <w:t xml:space="preserve"> ministrija skaidro, ka projektu iesniegumi CFLA tika iesniegti atbilstoši Prioritārajā valsts ēku sarakstā plānotajai secībai un attiecīgi projektu izmaksu sadalījums (attiecināmās un neattiecināmās) tika noteikts atbilstoši MK noteikumu Nr.534 1. pielikumā “Eiropas Reģionālās attīstības fonda un valsts budžeta finansējuma sadalījums” </w:t>
      </w:r>
      <w:proofErr w:type="spellStart"/>
      <w:r w:rsidR="00BB6FE0" w:rsidRPr="00BB6FE0">
        <w:rPr>
          <w:bCs/>
        </w:rPr>
        <w:t>Iekšlietu</w:t>
      </w:r>
      <w:proofErr w:type="spellEnd"/>
      <w:r w:rsidR="00BB6FE0" w:rsidRPr="00BB6FE0">
        <w:rPr>
          <w:bCs/>
        </w:rPr>
        <w:t xml:space="preserve"> ministrijai noteiktās kvotas 9 406 260 </w:t>
      </w:r>
      <w:proofErr w:type="spellStart"/>
      <w:r w:rsidR="00BB6FE0" w:rsidRPr="00BB6FE0">
        <w:rPr>
          <w:bCs/>
          <w:i/>
          <w:iCs/>
        </w:rPr>
        <w:t>euro</w:t>
      </w:r>
      <w:proofErr w:type="spellEnd"/>
      <w:r w:rsidR="00BB6FE0" w:rsidRPr="00BB6FE0">
        <w:rPr>
          <w:bCs/>
        </w:rPr>
        <w:t xml:space="preserve"> atlikumam, tāpēc šobrīd šķietami veidojas neattiecināmo izmaksu pārsvars, ko plānots mainīt, veicot iekšējo kvotas pārdali.</w:t>
      </w:r>
      <w:r w:rsidR="009D664F">
        <w:rPr>
          <w:bCs/>
        </w:rPr>
        <w:t xml:space="preserve"> </w:t>
      </w:r>
      <w:proofErr w:type="spellStart"/>
      <w:r w:rsidR="00BB6FE0" w:rsidRPr="00BB6FE0">
        <w:rPr>
          <w:bCs/>
        </w:rPr>
        <w:t>Iekšlietu</w:t>
      </w:r>
      <w:proofErr w:type="spellEnd"/>
      <w:r w:rsidR="00BB6FE0" w:rsidRPr="00BB6FE0">
        <w:rPr>
          <w:bCs/>
        </w:rPr>
        <w:t xml:space="preserve"> ministrija vērš uzmanību, ka, ja nepastāvētu publiskā finansējuma (kvotas) ierobežojums, tad minētajos četros projektos neattiecināmo izmaksu proporcija sastādītu 11-29% no kopējām projekta izmaksām, kas veidojas, ievērojot MK noteikumos Nr.534 noteiktos kritērijus (siltumenerģijas ietaupījums ir 0,3 </w:t>
      </w:r>
      <w:proofErr w:type="spellStart"/>
      <w:r w:rsidR="00BB6FE0" w:rsidRPr="00BB6FE0">
        <w:rPr>
          <w:bCs/>
        </w:rPr>
        <w:t>MWh</w:t>
      </w:r>
      <w:proofErr w:type="spellEnd"/>
      <w:r w:rsidR="00BB6FE0" w:rsidRPr="00BB6FE0">
        <w:rPr>
          <w:bCs/>
        </w:rPr>
        <w:t xml:space="preserve"> gadā un projekta attiecināmās izmaksas kopā nepārsniedz 300 </w:t>
      </w:r>
      <w:proofErr w:type="spellStart"/>
      <w:r w:rsidR="00BB6FE0" w:rsidRPr="00BB6FE0">
        <w:rPr>
          <w:bCs/>
        </w:rPr>
        <w:t>euro</w:t>
      </w:r>
      <w:proofErr w:type="spellEnd"/>
      <w:r w:rsidR="00BB6FE0" w:rsidRPr="00BB6FE0">
        <w:rPr>
          <w:bCs/>
        </w:rPr>
        <w:t xml:space="preserve"> par vienu ēkas kopējās platības kvadrātmetru).””</w:t>
      </w:r>
    </w:p>
    <w:p w14:paraId="28E6D177" w14:textId="261A22AB" w:rsidR="00B91BDE" w:rsidRPr="00EC358C" w:rsidRDefault="00B91BDE" w:rsidP="00B91BDE">
      <w:pPr>
        <w:pStyle w:val="ListParagraph"/>
        <w:numPr>
          <w:ilvl w:val="0"/>
          <w:numId w:val="5"/>
        </w:numPr>
        <w:spacing w:line="276" w:lineRule="auto"/>
        <w:jc w:val="both"/>
        <w:rPr>
          <w:bCs/>
          <w:color w:val="000000" w:themeColor="text1"/>
        </w:rPr>
      </w:pPr>
      <w:r>
        <w:rPr>
          <w:b/>
        </w:rPr>
        <w:t>Aizsardzības</w:t>
      </w:r>
      <w:r w:rsidRPr="0097141F">
        <w:rPr>
          <w:b/>
        </w:rPr>
        <w:t xml:space="preserve"> ministrija</w:t>
      </w:r>
      <w:r w:rsidR="006C7631">
        <w:rPr>
          <w:b/>
        </w:rPr>
        <w:t xml:space="preserve">i </w:t>
      </w:r>
      <w:r w:rsidR="00B97092">
        <w:rPr>
          <w:bCs/>
        </w:rPr>
        <w:t xml:space="preserve">iesniegti visi plānotie projektu </w:t>
      </w:r>
      <w:r w:rsidR="00A00263">
        <w:rPr>
          <w:bCs/>
        </w:rPr>
        <w:t>iesniegumi</w:t>
      </w:r>
      <w:r w:rsidR="00B97092">
        <w:rPr>
          <w:bCs/>
        </w:rPr>
        <w:t xml:space="preserve"> atbilstoši kvotas </w:t>
      </w:r>
      <w:r w:rsidR="00B97092" w:rsidRPr="00EC358C">
        <w:rPr>
          <w:bCs/>
          <w:color w:val="000000" w:themeColor="text1"/>
        </w:rPr>
        <w:t>apmēram par kopējo publisko finansējumu 1 598 451,00 </w:t>
      </w:r>
      <w:proofErr w:type="spellStart"/>
      <w:r w:rsidR="00B97092" w:rsidRPr="00EC358C">
        <w:rPr>
          <w:bCs/>
          <w:i/>
          <w:iCs/>
          <w:color w:val="000000" w:themeColor="text1"/>
        </w:rPr>
        <w:t>euro</w:t>
      </w:r>
      <w:proofErr w:type="spellEnd"/>
      <w:r w:rsidR="006C7631" w:rsidRPr="00EC358C">
        <w:rPr>
          <w:bCs/>
          <w:color w:val="000000" w:themeColor="text1"/>
        </w:rPr>
        <w:t>.</w:t>
      </w:r>
    </w:p>
    <w:p w14:paraId="743E7359" w14:textId="7E1D548F" w:rsidR="00B91BDE" w:rsidRPr="00EC358C" w:rsidRDefault="00B91BDE" w:rsidP="00B91BDE">
      <w:pPr>
        <w:pStyle w:val="ListParagraph"/>
        <w:numPr>
          <w:ilvl w:val="0"/>
          <w:numId w:val="5"/>
        </w:numPr>
        <w:spacing w:line="276" w:lineRule="auto"/>
        <w:jc w:val="both"/>
        <w:rPr>
          <w:bCs/>
          <w:color w:val="000000" w:themeColor="text1"/>
        </w:rPr>
      </w:pPr>
      <w:r w:rsidRPr="00EC358C">
        <w:rPr>
          <w:b/>
          <w:color w:val="000000" w:themeColor="text1"/>
        </w:rPr>
        <w:t>Zemkopības ministrijai</w:t>
      </w:r>
      <w:r w:rsidRPr="00EC358C">
        <w:rPr>
          <w:bCs/>
          <w:color w:val="000000" w:themeColor="text1"/>
        </w:rPr>
        <w:t xml:space="preserve"> </w:t>
      </w:r>
      <w:r w:rsidR="00356369" w:rsidRPr="00EC358C">
        <w:rPr>
          <w:bCs/>
          <w:color w:val="000000" w:themeColor="text1"/>
        </w:rPr>
        <w:t xml:space="preserve">iesniegti 12 projektu </w:t>
      </w:r>
      <w:r w:rsidR="00A00263">
        <w:rPr>
          <w:bCs/>
          <w:color w:val="000000" w:themeColor="text1"/>
        </w:rPr>
        <w:t>iesniegumi</w:t>
      </w:r>
      <w:r w:rsidR="00356369" w:rsidRPr="00EC358C">
        <w:rPr>
          <w:bCs/>
          <w:color w:val="000000" w:themeColor="text1"/>
        </w:rPr>
        <w:t xml:space="preserve"> par</w:t>
      </w:r>
      <w:r w:rsidRPr="00EC358C">
        <w:rPr>
          <w:bCs/>
          <w:color w:val="000000" w:themeColor="text1"/>
        </w:rPr>
        <w:t xml:space="preserve"> kopējo</w:t>
      </w:r>
      <w:r w:rsidR="007C2655" w:rsidRPr="00EC358C">
        <w:rPr>
          <w:bCs/>
          <w:color w:val="000000" w:themeColor="text1"/>
        </w:rPr>
        <w:t xml:space="preserve"> publisko</w:t>
      </w:r>
      <w:r w:rsidRPr="00EC358C">
        <w:rPr>
          <w:bCs/>
          <w:color w:val="000000" w:themeColor="text1"/>
        </w:rPr>
        <w:t xml:space="preserve"> finansējumu</w:t>
      </w:r>
      <w:r w:rsidR="007C2655" w:rsidRPr="00EC358C">
        <w:rPr>
          <w:bCs/>
          <w:color w:val="000000" w:themeColor="text1"/>
        </w:rPr>
        <w:t xml:space="preserve"> 5 684 690,07 </w:t>
      </w:r>
      <w:proofErr w:type="spellStart"/>
      <w:r w:rsidRPr="00EC358C">
        <w:rPr>
          <w:bCs/>
          <w:i/>
          <w:iCs/>
          <w:color w:val="000000" w:themeColor="text1"/>
        </w:rPr>
        <w:t>euro</w:t>
      </w:r>
      <w:proofErr w:type="spellEnd"/>
      <w:r w:rsidR="007C2655" w:rsidRPr="00EC358C">
        <w:rPr>
          <w:bCs/>
          <w:color w:val="000000" w:themeColor="text1"/>
        </w:rPr>
        <w:t xml:space="preserve">. Ņemot vērā kvotas apmēru, kas sastāda kopējo publisko finansējumu 7 038 442 </w:t>
      </w:r>
      <w:proofErr w:type="spellStart"/>
      <w:r w:rsidR="007C2655" w:rsidRPr="00EC358C">
        <w:rPr>
          <w:bCs/>
          <w:color w:val="000000" w:themeColor="text1"/>
        </w:rPr>
        <w:t>euro</w:t>
      </w:r>
      <w:proofErr w:type="spellEnd"/>
      <w:r w:rsidR="007C2655" w:rsidRPr="00EC358C">
        <w:rPr>
          <w:bCs/>
          <w:color w:val="000000" w:themeColor="text1"/>
        </w:rPr>
        <w:t>, izveidojies pārpalikums</w:t>
      </w:r>
      <w:r w:rsidR="003D396C">
        <w:rPr>
          <w:bCs/>
          <w:color w:val="000000" w:themeColor="text1"/>
        </w:rPr>
        <w:t>, kas atbilstoši MK protokola Nr. 34 3. punktam tiks novirzīts 4.2.2. pasākuma īstenošanai.</w:t>
      </w:r>
    </w:p>
    <w:p w14:paraId="3B6D8C1F" w14:textId="1F361E85" w:rsidR="00B91BDE" w:rsidRPr="00EC358C" w:rsidRDefault="00B91BDE" w:rsidP="00B91BDE">
      <w:pPr>
        <w:pStyle w:val="ListParagraph"/>
        <w:numPr>
          <w:ilvl w:val="0"/>
          <w:numId w:val="5"/>
        </w:numPr>
        <w:spacing w:line="276" w:lineRule="auto"/>
        <w:jc w:val="both"/>
        <w:rPr>
          <w:bCs/>
          <w:color w:val="000000" w:themeColor="text1"/>
        </w:rPr>
      </w:pPr>
      <w:r w:rsidRPr="00EC358C">
        <w:rPr>
          <w:b/>
          <w:color w:val="000000" w:themeColor="text1"/>
        </w:rPr>
        <w:t>Veselības ministrijai</w:t>
      </w:r>
      <w:r w:rsidRPr="00EC358C">
        <w:rPr>
          <w:bCs/>
          <w:color w:val="000000" w:themeColor="text1"/>
        </w:rPr>
        <w:t xml:space="preserve"> </w:t>
      </w:r>
      <w:r w:rsidR="007C2655" w:rsidRPr="00EC358C">
        <w:rPr>
          <w:bCs/>
          <w:color w:val="000000" w:themeColor="text1"/>
        </w:rPr>
        <w:t xml:space="preserve">iesniegt 4 projekti </w:t>
      </w:r>
      <w:r w:rsidR="00E17259" w:rsidRPr="00EC358C">
        <w:rPr>
          <w:bCs/>
          <w:color w:val="000000" w:themeColor="text1"/>
        </w:rPr>
        <w:t>par kopējo publisko finansējuma apmēru 2 827 350,00 </w:t>
      </w:r>
      <w:proofErr w:type="spellStart"/>
      <w:r w:rsidR="00E17259" w:rsidRPr="00EC358C">
        <w:rPr>
          <w:bCs/>
          <w:i/>
          <w:iCs/>
          <w:color w:val="000000" w:themeColor="text1"/>
        </w:rPr>
        <w:t>euro</w:t>
      </w:r>
      <w:proofErr w:type="spellEnd"/>
      <w:r w:rsidRPr="00EC358C">
        <w:rPr>
          <w:bCs/>
          <w:color w:val="000000" w:themeColor="text1"/>
        </w:rPr>
        <w:t xml:space="preserve">. </w:t>
      </w:r>
      <w:r w:rsidR="00E17259" w:rsidRPr="00EC358C">
        <w:rPr>
          <w:bCs/>
          <w:color w:val="000000" w:themeColor="text1"/>
        </w:rPr>
        <w:t>Ņemot vērā kvotas apmēru, kas sastāda kopējo publisko finansējumu 2 921 160 </w:t>
      </w:r>
      <w:proofErr w:type="spellStart"/>
      <w:r w:rsidR="00E17259" w:rsidRPr="00EC358C">
        <w:rPr>
          <w:bCs/>
          <w:i/>
          <w:iCs/>
          <w:color w:val="000000" w:themeColor="text1"/>
        </w:rPr>
        <w:t>euro</w:t>
      </w:r>
      <w:proofErr w:type="spellEnd"/>
      <w:r w:rsidR="00E17259" w:rsidRPr="00EC358C">
        <w:rPr>
          <w:bCs/>
          <w:color w:val="000000" w:themeColor="text1"/>
        </w:rPr>
        <w:t>, izveidojies pārpalikums 93 810 </w:t>
      </w:r>
      <w:proofErr w:type="spellStart"/>
      <w:r w:rsidR="00E17259" w:rsidRPr="00EC358C">
        <w:rPr>
          <w:bCs/>
          <w:i/>
          <w:iCs/>
          <w:color w:val="000000" w:themeColor="text1"/>
        </w:rPr>
        <w:t>euro</w:t>
      </w:r>
      <w:proofErr w:type="spellEnd"/>
      <w:r w:rsidR="00BF7D47">
        <w:rPr>
          <w:bCs/>
          <w:color w:val="000000" w:themeColor="text1"/>
        </w:rPr>
        <w:t>, kuru plānots novirzīt NMPD projektam</w:t>
      </w:r>
      <w:r w:rsidR="0022103C" w:rsidRPr="00EC358C">
        <w:rPr>
          <w:bCs/>
          <w:color w:val="000000" w:themeColor="text1"/>
        </w:rPr>
        <w:t>.</w:t>
      </w:r>
    </w:p>
    <w:p w14:paraId="12E3E35A" w14:textId="429CDDB9" w:rsidR="006C7631" w:rsidRPr="003D396C" w:rsidRDefault="00B91BDE" w:rsidP="003D396C">
      <w:pPr>
        <w:pStyle w:val="ListParagraph"/>
        <w:numPr>
          <w:ilvl w:val="0"/>
          <w:numId w:val="5"/>
        </w:numPr>
        <w:spacing w:line="276" w:lineRule="auto"/>
        <w:jc w:val="both"/>
        <w:rPr>
          <w:bCs/>
          <w:color w:val="000000" w:themeColor="text1"/>
        </w:rPr>
      </w:pPr>
      <w:r w:rsidRPr="00EC358C">
        <w:rPr>
          <w:b/>
          <w:color w:val="000000" w:themeColor="text1"/>
        </w:rPr>
        <w:t>Izglītības un zinātnes ministrija</w:t>
      </w:r>
      <w:r w:rsidR="006C7631" w:rsidRPr="00EC358C">
        <w:rPr>
          <w:b/>
          <w:color w:val="000000" w:themeColor="text1"/>
        </w:rPr>
        <w:t>i</w:t>
      </w:r>
      <w:r w:rsidR="006C7631" w:rsidRPr="00EC358C">
        <w:rPr>
          <w:bCs/>
          <w:color w:val="000000" w:themeColor="text1"/>
        </w:rPr>
        <w:t>, kas ir lielākais kvotas turētājs,</w:t>
      </w:r>
      <w:r w:rsidR="006C7631" w:rsidRPr="00EC358C">
        <w:rPr>
          <w:b/>
          <w:color w:val="000000" w:themeColor="text1"/>
        </w:rPr>
        <w:t xml:space="preserve"> </w:t>
      </w:r>
      <w:r w:rsidRPr="00EC358C">
        <w:rPr>
          <w:bCs/>
          <w:color w:val="000000" w:themeColor="text1"/>
        </w:rPr>
        <w:t xml:space="preserve">iesniegti </w:t>
      </w:r>
      <w:r w:rsidR="00DD0587" w:rsidRPr="00EC358C">
        <w:rPr>
          <w:bCs/>
          <w:color w:val="000000" w:themeColor="text1"/>
        </w:rPr>
        <w:t>48</w:t>
      </w:r>
      <w:r w:rsidRPr="00EC358C">
        <w:rPr>
          <w:bCs/>
          <w:color w:val="000000" w:themeColor="text1"/>
        </w:rPr>
        <w:t xml:space="preserve"> projektu </w:t>
      </w:r>
      <w:r w:rsidR="00A00263">
        <w:rPr>
          <w:bCs/>
          <w:color w:val="000000" w:themeColor="text1"/>
        </w:rPr>
        <w:t>iesniegumi</w:t>
      </w:r>
      <w:r w:rsidRPr="00EC358C">
        <w:rPr>
          <w:bCs/>
          <w:color w:val="000000" w:themeColor="text1"/>
        </w:rPr>
        <w:t xml:space="preserve"> par kopējo publisko finansējumu </w:t>
      </w:r>
      <w:r w:rsidR="00DD0587" w:rsidRPr="00EC358C">
        <w:rPr>
          <w:bCs/>
          <w:color w:val="000000" w:themeColor="text1"/>
        </w:rPr>
        <w:t>32 628 563,65 </w:t>
      </w:r>
      <w:proofErr w:type="spellStart"/>
      <w:r w:rsidRPr="00EC358C">
        <w:rPr>
          <w:bCs/>
          <w:i/>
          <w:iCs/>
          <w:color w:val="000000" w:themeColor="text1"/>
        </w:rPr>
        <w:t>euro</w:t>
      </w:r>
      <w:proofErr w:type="spellEnd"/>
      <w:r w:rsidRPr="00EC358C">
        <w:rPr>
          <w:bCs/>
          <w:color w:val="000000" w:themeColor="text1"/>
        </w:rPr>
        <w:t xml:space="preserve">. </w:t>
      </w:r>
      <w:r w:rsidR="00A61662" w:rsidRPr="00EC358C">
        <w:rPr>
          <w:bCs/>
          <w:color w:val="000000" w:themeColor="text1"/>
        </w:rPr>
        <w:t>Ņemot vērā kvotas apmēru, kas sastāda kopējo publisko finansējumu 33 615 680 </w:t>
      </w:r>
      <w:proofErr w:type="spellStart"/>
      <w:r w:rsidR="00A61662" w:rsidRPr="00EC358C">
        <w:rPr>
          <w:bCs/>
          <w:i/>
          <w:iCs/>
          <w:color w:val="000000" w:themeColor="text1"/>
        </w:rPr>
        <w:t>euro</w:t>
      </w:r>
      <w:proofErr w:type="spellEnd"/>
      <w:r w:rsidR="00A61662" w:rsidRPr="00EC358C">
        <w:rPr>
          <w:bCs/>
          <w:color w:val="000000" w:themeColor="text1"/>
        </w:rPr>
        <w:t>, izveidojies pārpalikums 987 117 </w:t>
      </w:r>
      <w:proofErr w:type="spellStart"/>
      <w:r w:rsidR="00A61662" w:rsidRPr="00EC358C">
        <w:rPr>
          <w:bCs/>
          <w:i/>
          <w:iCs/>
          <w:color w:val="000000" w:themeColor="text1"/>
        </w:rPr>
        <w:t>euro</w:t>
      </w:r>
      <w:proofErr w:type="spellEnd"/>
      <w:r w:rsidR="00A61662" w:rsidRPr="00EC358C">
        <w:rPr>
          <w:bCs/>
          <w:color w:val="000000" w:themeColor="text1"/>
        </w:rPr>
        <w:t xml:space="preserve"> apmērā</w:t>
      </w:r>
      <w:r w:rsidR="003D396C">
        <w:rPr>
          <w:bCs/>
          <w:color w:val="000000" w:themeColor="text1"/>
        </w:rPr>
        <w:t>. Daļa no kvotas pārpalikuma atbilstoši MK protokola Nr. 34 3. punktam tiks novirzīta 4.2.2. pasākuma īstenošanai</w:t>
      </w:r>
      <w:r w:rsidR="00696AD6">
        <w:rPr>
          <w:bCs/>
          <w:color w:val="000000" w:themeColor="text1"/>
        </w:rPr>
        <w:t xml:space="preserve">, bet atlikums tiks novirzīts </w:t>
      </w:r>
      <w:r w:rsidR="00696AD6">
        <w:rPr>
          <w:bCs/>
          <w:color w:val="000000" w:themeColor="text1"/>
        </w:rPr>
        <w:lastRenderedPageBreak/>
        <w:t>4.2.1.2. pasākuma otrās iesniegumu atlases kārtas projektu attiecināmo izmaksu palielināšanai</w:t>
      </w:r>
      <w:r w:rsidR="000D40EB">
        <w:rPr>
          <w:bCs/>
          <w:color w:val="000000" w:themeColor="text1"/>
        </w:rPr>
        <w:t xml:space="preserve">, kā arī </w:t>
      </w:r>
      <w:r w:rsidR="000D40EB" w:rsidRPr="000D40EB">
        <w:rPr>
          <w:bCs/>
          <w:color w:val="000000" w:themeColor="text1"/>
        </w:rPr>
        <w:t>ministrijas padotībā esošo iestāžu</w:t>
      </w:r>
      <w:r w:rsidR="000D40EB">
        <w:rPr>
          <w:bCs/>
          <w:color w:val="000000" w:themeColor="text1"/>
        </w:rPr>
        <w:t xml:space="preserve"> jau</w:t>
      </w:r>
      <w:r w:rsidR="000D40EB" w:rsidRPr="000D40EB">
        <w:rPr>
          <w:bCs/>
          <w:color w:val="000000" w:themeColor="text1"/>
        </w:rPr>
        <w:t xml:space="preserve"> iesniegto projektu attiecināmo izmaksu palielināšanai</w:t>
      </w:r>
      <w:r w:rsidR="00696AD6">
        <w:rPr>
          <w:bCs/>
          <w:color w:val="000000" w:themeColor="text1"/>
        </w:rPr>
        <w:t>.</w:t>
      </w:r>
    </w:p>
    <w:p w14:paraId="103FF992" w14:textId="40742720" w:rsidR="006C7631" w:rsidRDefault="006C7631" w:rsidP="00A61662">
      <w:pPr>
        <w:rPr>
          <w:i/>
          <w:iCs/>
          <w:sz w:val="22"/>
        </w:rPr>
      </w:pPr>
    </w:p>
    <w:p w14:paraId="430DC719" w14:textId="77777777" w:rsidR="0026698F" w:rsidRDefault="0026698F" w:rsidP="00B91BDE">
      <w:pPr>
        <w:ind w:firstLine="567"/>
        <w:jc w:val="right"/>
        <w:rPr>
          <w:i/>
          <w:iCs/>
          <w:sz w:val="22"/>
        </w:rPr>
      </w:pPr>
    </w:p>
    <w:p w14:paraId="3546D31B" w14:textId="53EE3BCD" w:rsidR="00B91BDE" w:rsidRPr="00B91BDE" w:rsidRDefault="00B91BDE" w:rsidP="00B91BDE">
      <w:pPr>
        <w:ind w:firstLine="567"/>
        <w:jc w:val="right"/>
        <w:rPr>
          <w:i/>
          <w:iCs/>
          <w:sz w:val="22"/>
        </w:rPr>
      </w:pPr>
      <w:r w:rsidRPr="00B91BDE">
        <w:rPr>
          <w:i/>
          <w:iCs/>
          <w:sz w:val="22"/>
        </w:rPr>
        <w:t>2. tabula</w:t>
      </w:r>
    </w:p>
    <w:p w14:paraId="791D818E" w14:textId="2D2A317A" w:rsidR="00B91BDE" w:rsidRPr="00B91BDE" w:rsidRDefault="00B91BDE" w:rsidP="00B91BDE">
      <w:pPr>
        <w:jc w:val="both"/>
        <w:rPr>
          <w:b/>
          <w:bCs/>
          <w:sz w:val="22"/>
        </w:rPr>
      </w:pPr>
      <w:r w:rsidRPr="00B91BDE">
        <w:rPr>
          <w:b/>
          <w:bCs/>
          <w:sz w:val="22"/>
        </w:rPr>
        <w:t xml:space="preserve">Ministriju pārziņā esošās kvotas ietvaros plānoto projektu </w:t>
      </w:r>
      <w:r w:rsidR="00A00263">
        <w:rPr>
          <w:b/>
          <w:bCs/>
          <w:sz w:val="22"/>
        </w:rPr>
        <w:t>iesniegumu</w:t>
      </w:r>
      <w:r w:rsidRPr="00B91BDE">
        <w:rPr>
          <w:b/>
          <w:bCs/>
          <w:sz w:val="22"/>
        </w:rPr>
        <w:t xml:space="preserve"> skaits un to virzība CFLA</w:t>
      </w:r>
    </w:p>
    <w:tbl>
      <w:tblPr>
        <w:tblW w:w="9062" w:type="dxa"/>
        <w:tblLayout w:type="fixed"/>
        <w:tblCellMar>
          <w:left w:w="0" w:type="dxa"/>
          <w:right w:w="0" w:type="dxa"/>
        </w:tblCellMar>
        <w:tblLook w:val="04A0" w:firstRow="1" w:lastRow="0" w:firstColumn="1" w:lastColumn="0" w:noHBand="0" w:noVBand="1"/>
      </w:tblPr>
      <w:tblGrid>
        <w:gridCol w:w="587"/>
        <w:gridCol w:w="2664"/>
        <w:gridCol w:w="1417"/>
        <w:gridCol w:w="1276"/>
        <w:gridCol w:w="1559"/>
        <w:gridCol w:w="1559"/>
      </w:tblGrid>
      <w:tr w:rsidR="00CA649B" w:rsidRPr="00B91BDE" w14:paraId="30DD31F6" w14:textId="77777777" w:rsidTr="00CA649B">
        <w:trPr>
          <w:trHeight w:val="930"/>
        </w:trPr>
        <w:tc>
          <w:tcPr>
            <w:tcW w:w="58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7C00211D" w14:textId="77777777" w:rsidR="00CA649B" w:rsidRPr="00B91BDE" w:rsidRDefault="00CA649B" w:rsidP="00C80707">
            <w:pPr>
              <w:jc w:val="center"/>
              <w:rPr>
                <w:rFonts w:cs="Times New Roman"/>
                <w:b/>
                <w:bCs/>
                <w:sz w:val="22"/>
                <w:lang w:eastAsia="lv-LV"/>
              </w:rPr>
            </w:pPr>
            <w:r w:rsidRPr="00B91BDE">
              <w:rPr>
                <w:rFonts w:cs="Times New Roman"/>
                <w:b/>
                <w:bCs/>
                <w:sz w:val="22"/>
                <w:lang w:eastAsia="lv-LV"/>
              </w:rPr>
              <w:t>Nr.</w:t>
            </w:r>
          </w:p>
        </w:tc>
        <w:tc>
          <w:tcPr>
            <w:tcW w:w="2664" w:type="dxa"/>
            <w:vMerge w:val="restart"/>
            <w:tcBorders>
              <w:top w:val="single" w:sz="8" w:space="0" w:color="auto"/>
              <w:left w:val="nil"/>
              <w:bottom w:val="single" w:sz="8" w:space="0" w:color="000000"/>
              <w:right w:val="single" w:sz="8" w:space="0" w:color="auto"/>
            </w:tcBorders>
            <w:noWrap/>
            <w:tcMar>
              <w:top w:w="0" w:type="dxa"/>
              <w:left w:w="108" w:type="dxa"/>
              <w:bottom w:w="0" w:type="dxa"/>
              <w:right w:w="108" w:type="dxa"/>
            </w:tcMar>
            <w:vAlign w:val="center"/>
            <w:hideMark/>
          </w:tcPr>
          <w:p w14:paraId="2C03518B" w14:textId="77777777" w:rsidR="00CA649B" w:rsidRPr="00B91BDE" w:rsidRDefault="00CA649B" w:rsidP="00C80707">
            <w:pPr>
              <w:jc w:val="center"/>
              <w:rPr>
                <w:rFonts w:cs="Times New Roman"/>
                <w:b/>
                <w:bCs/>
                <w:sz w:val="22"/>
                <w:lang w:eastAsia="lv-LV"/>
              </w:rPr>
            </w:pPr>
            <w:r w:rsidRPr="00B91BDE">
              <w:rPr>
                <w:rFonts w:cs="Times New Roman"/>
                <w:b/>
                <w:bCs/>
                <w:sz w:val="22"/>
                <w:lang w:eastAsia="lv-LV"/>
              </w:rPr>
              <w:t>Kvotas turētājs</w:t>
            </w:r>
          </w:p>
        </w:tc>
        <w:tc>
          <w:tcPr>
            <w:tcW w:w="14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C0CA7" w14:textId="2D294ED8" w:rsidR="00CA649B" w:rsidRPr="00B91BDE" w:rsidRDefault="00CA649B" w:rsidP="00C80707">
            <w:pPr>
              <w:jc w:val="center"/>
              <w:rPr>
                <w:rFonts w:cs="Times New Roman"/>
                <w:b/>
                <w:bCs/>
                <w:sz w:val="22"/>
                <w:lang w:eastAsia="lv-LV"/>
              </w:rPr>
            </w:pPr>
            <w:r>
              <w:rPr>
                <w:rFonts w:cs="Times New Roman"/>
                <w:b/>
                <w:bCs/>
                <w:sz w:val="22"/>
                <w:lang w:eastAsia="lv-LV"/>
              </w:rPr>
              <w:t xml:space="preserve">Projektu </w:t>
            </w:r>
            <w:r w:rsidR="00A00263">
              <w:rPr>
                <w:rFonts w:cs="Times New Roman"/>
                <w:b/>
                <w:bCs/>
                <w:sz w:val="22"/>
                <w:lang w:eastAsia="lv-LV"/>
              </w:rPr>
              <w:t>iesniegumu</w:t>
            </w:r>
            <w:r>
              <w:rPr>
                <w:rFonts w:cs="Times New Roman"/>
                <w:b/>
                <w:bCs/>
                <w:sz w:val="22"/>
                <w:lang w:eastAsia="lv-LV"/>
              </w:rPr>
              <w:t xml:space="preserve"> skaits</w:t>
            </w:r>
          </w:p>
        </w:tc>
        <w:tc>
          <w:tcPr>
            <w:tcW w:w="1276"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5E1D43" w14:textId="77777777" w:rsidR="00CA649B" w:rsidRPr="00B91BDE" w:rsidRDefault="00CA649B" w:rsidP="00C80707">
            <w:pPr>
              <w:jc w:val="center"/>
              <w:rPr>
                <w:rFonts w:cs="Times New Roman"/>
                <w:b/>
                <w:bCs/>
                <w:sz w:val="22"/>
                <w:lang w:eastAsia="lv-LV"/>
              </w:rPr>
            </w:pPr>
            <w:r w:rsidRPr="00B91BDE">
              <w:rPr>
                <w:rFonts w:cs="Times New Roman"/>
                <w:b/>
                <w:bCs/>
                <w:sz w:val="22"/>
                <w:lang w:eastAsia="lv-LV"/>
              </w:rPr>
              <w:t>Vērtēšanā</w:t>
            </w:r>
          </w:p>
        </w:tc>
        <w:tc>
          <w:tcPr>
            <w:tcW w:w="155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09956ED5" w14:textId="77777777" w:rsidR="00CA649B" w:rsidRPr="00B91BDE" w:rsidRDefault="00CA649B" w:rsidP="00C80707">
            <w:pPr>
              <w:jc w:val="center"/>
              <w:rPr>
                <w:rFonts w:cs="Times New Roman"/>
                <w:b/>
                <w:bCs/>
                <w:sz w:val="22"/>
                <w:lang w:eastAsia="lv-LV"/>
              </w:rPr>
            </w:pPr>
            <w:r w:rsidRPr="00B91BDE">
              <w:rPr>
                <w:rFonts w:cs="Times New Roman"/>
                <w:b/>
                <w:bCs/>
                <w:sz w:val="22"/>
                <w:lang w:eastAsia="lv-LV"/>
              </w:rPr>
              <w:t>Noslēgts līgums par projekta īstenošanu</w:t>
            </w:r>
          </w:p>
        </w:tc>
        <w:tc>
          <w:tcPr>
            <w:tcW w:w="155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44C98C8A" w14:textId="77777777" w:rsidR="00CA649B" w:rsidRPr="00B91BDE" w:rsidRDefault="00CA649B" w:rsidP="00C80707">
            <w:pPr>
              <w:jc w:val="center"/>
              <w:rPr>
                <w:rFonts w:cs="Times New Roman"/>
                <w:b/>
                <w:bCs/>
                <w:sz w:val="22"/>
                <w:lang w:eastAsia="lv-LV"/>
              </w:rPr>
            </w:pPr>
            <w:r w:rsidRPr="00B91BDE">
              <w:rPr>
                <w:rFonts w:cs="Times New Roman"/>
                <w:b/>
                <w:bCs/>
                <w:sz w:val="22"/>
                <w:lang w:eastAsia="lv-LV"/>
              </w:rPr>
              <w:t>Pabeigta projekta īstenošana</w:t>
            </w:r>
          </w:p>
        </w:tc>
      </w:tr>
      <w:tr w:rsidR="00CA649B" w:rsidRPr="00B91BDE" w14:paraId="789061AC" w14:textId="77777777" w:rsidTr="00CA649B">
        <w:trPr>
          <w:trHeight w:val="300"/>
        </w:trPr>
        <w:tc>
          <w:tcPr>
            <w:tcW w:w="58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30D27560" w14:textId="77777777" w:rsidR="00CA649B" w:rsidRPr="00B91BDE" w:rsidRDefault="00CA649B" w:rsidP="00C80707">
            <w:pPr>
              <w:jc w:val="center"/>
              <w:rPr>
                <w:rFonts w:cs="Times New Roman"/>
                <w:b/>
                <w:bCs/>
                <w:sz w:val="22"/>
                <w:lang w:eastAsia="lv-LV"/>
              </w:rPr>
            </w:pPr>
            <w:r w:rsidRPr="00B91BDE">
              <w:rPr>
                <w:rFonts w:cs="Times New Roman"/>
                <w:b/>
                <w:bCs/>
                <w:sz w:val="22"/>
                <w:lang w:eastAsia="lv-LV"/>
              </w:rPr>
              <w:t>p.k.</w:t>
            </w:r>
          </w:p>
        </w:tc>
        <w:tc>
          <w:tcPr>
            <w:tcW w:w="2664" w:type="dxa"/>
            <w:vMerge/>
            <w:tcBorders>
              <w:top w:val="single" w:sz="8" w:space="0" w:color="auto"/>
              <w:left w:val="nil"/>
              <w:bottom w:val="single" w:sz="8" w:space="0" w:color="000000"/>
              <w:right w:val="single" w:sz="8" w:space="0" w:color="auto"/>
            </w:tcBorders>
            <w:vAlign w:val="center"/>
            <w:hideMark/>
          </w:tcPr>
          <w:p w14:paraId="14EDA78A" w14:textId="77777777" w:rsidR="00CA649B" w:rsidRPr="00B91BDE" w:rsidRDefault="00CA649B" w:rsidP="00C80707">
            <w:pPr>
              <w:rPr>
                <w:rFonts w:cs="Times New Roman"/>
                <w:b/>
                <w:bCs/>
                <w:sz w:val="22"/>
                <w:lang w:eastAsia="lv-LV"/>
              </w:rPr>
            </w:pPr>
          </w:p>
        </w:tc>
        <w:tc>
          <w:tcPr>
            <w:tcW w:w="1417" w:type="dxa"/>
            <w:vMerge/>
            <w:tcBorders>
              <w:top w:val="single" w:sz="8" w:space="0" w:color="auto"/>
              <w:left w:val="nil"/>
              <w:bottom w:val="single" w:sz="8" w:space="0" w:color="000000"/>
              <w:right w:val="single" w:sz="8" w:space="0" w:color="auto"/>
            </w:tcBorders>
            <w:vAlign w:val="center"/>
            <w:hideMark/>
          </w:tcPr>
          <w:p w14:paraId="7C410D6E" w14:textId="77777777" w:rsidR="00CA649B" w:rsidRPr="00B91BDE" w:rsidRDefault="00CA649B" w:rsidP="00C80707">
            <w:pPr>
              <w:rPr>
                <w:rFonts w:cs="Times New Roman"/>
                <w:b/>
                <w:bCs/>
                <w:sz w:val="22"/>
                <w:lang w:eastAsia="lv-LV"/>
              </w:rPr>
            </w:pPr>
          </w:p>
        </w:tc>
        <w:tc>
          <w:tcPr>
            <w:tcW w:w="1276" w:type="dxa"/>
            <w:vMerge/>
            <w:tcBorders>
              <w:top w:val="single" w:sz="8" w:space="0" w:color="auto"/>
              <w:left w:val="nil"/>
              <w:bottom w:val="single" w:sz="8" w:space="0" w:color="000000"/>
              <w:right w:val="single" w:sz="8" w:space="0" w:color="auto"/>
            </w:tcBorders>
            <w:vAlign w:val="center"/>
            <w:hideMark/>
          </w:tcPr>
          <w:p w14:paraId="66AD2CEB" w14:textId="77777777" w:rsidR="00CA649B" w:rsidRPr="00B91BDE" w:rsidRDefault="00CA649B" w:rsidP="00C80707">
            <w:pPr>
              <w:rPr>
                <w:rFonts w:cs="Times New Roman"/>
                <w:b/>
                <w:bCs/>
                <w:sz w:val="22"/>
                <w:lang w:eastAsia="lv-LV"/>
              </w:rPr>
            </w:pPr>
          </w:p>
        </w:tc>
        <w:tc>
          <w:tcPr>
            <w:tcW w:w="1559" w:type="dxa"/>
            <w:vMerge/>
            <w:tcBorders>
              <w:top w:val="single" w:sz="8" w:space="0" w:color="auto"/>
              <w:left w:val="nil"/>
              <w:bottom w:val="single" w:sz="8" w:space="0" w:color="000000"/>
              <w:right w:val="single" w:sz="8" w:space="0" w:color="auto"/>
            </w:tcBorders>
            <w:vAlign w:val="center"/>
            <w:hideMark/>
          </w:tcPr>
          <w:p w14:paraId="1CA12C3C" w14:textId="77777777" w:rsidR="00CA649B" w:rsidRPr="00B91BDE" w:rsidRDefault="00CA649B" w:rsidP="00C80707">
            <w:pPr>
              <w:rPr>
                <w:rFonts w:cs="Times New Roman"/>
                <w:b/>
                <w:bCs/>
                <w:sz w:val="22"/>
                <w:lang w:eastAsia="lv-LV"/>
              </w:rPr>
            </w:pPr>
          </w:p>
        </w:tc>
        <w:tc>
          <w:tcPr>
            <w:tcW w:w="1559" w:type="dxa"/>
            <w:vMerge/>
            <w:tcBorders>
              <w:top w:val="single" w:sz="8" w:space="0" w:color="auto"/>
              <w:left w:val="nil"/>
              <w:bottom w:val="single" w:sz="8" w:space="0" w:color="000000"/>
              <w:right w:val="single" w:sz="8" w:space="0" w:color="auto"/>
            </w:tcBorders>
            <w:vAlign w:val="center"/>
            <w:hideMark/>
          </w:tcPr>
          <w:p w14:paraId="6E2AACBF" w14:textId="77777777" w:rsidR="00CA649B" w:rsidRPr="00B91BDE" w:rsidRDefault="00CA649B" w:rsidP="00C80707">
            <w:pPr>
              <w:rPr>
                <w:rFonts w:cs="Times New Roman"/>
                <w:b/>
                <w:bCs/>
                <w:sz w:val="22"/>
                <w:lang w:eastAsia="lv-LV"/>
              </w:rPr>
            </w:pPr>
          </w:p>
        </w:tc>
      </w:tr>
      <w:tr w:rsidR="00CA649B" w:rsidRPr="00B91BDE" w14:paraId="49BA2AAD" w14:textId="77777777" w:rsidTr="00CA649B">
        <w:trPr>
          <w:trHeight w:val="6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FFC7E" w14:textId="41C6A6FB" w:rsidR="00CA649B" w:rsidRPr="00B91BDE" w:rsidRDefault="00CA649B" w:rsidP="00C80707">
            <w:pPr>
              <w:rPr>
                <w:rFonts w:cs="Times New Roman"/>
                <w:sz w:val="22"/>
                <w:lang w:eastAsia="lv-LV"/>
              </w:rPr>
            </w:pPr>
          </w:p>
        </w:tc>
        <w:tc>
          <w:tcPr>
            <w:tcW w:w="2664" w:type="dxa"/>
            <w:vMerge/>
            <w:tcBorders>
              <w:top w:val="single" w:sz="8" w:space="0" w:color="auto"/>
              <w:left w:val="nil"/>
              <w:bottom w:val="single" w:sz="8" w:space="0" w:color="000000"/>
              <w:right w:val="single" w:sz="8" w:space="0" w:color="auto"/>
            </w:tcBorders>
            <w:vAlign w:val="center"/>
            <w:hideMark/>
          </w:tcPr>
          <w:p w14:paraId="58865519" w14:textId="77777777" w:rsidR="00CA649B" w:rsidRPr="00B91BDE" w:rsidRDefault="00CA649B" w:rsidP="00C80707">
            <w:pPr>
              <w:rPr>
                <w:rFonts w:cs="Times New Roman"/>
                <w:b/>
                <w:bCs/>
                <w:sz w:val="22"/>
                <w:lang w:eastAsia="lv-LV"/>
              </w:rPr>
            </w:pPr>
          </w:p>
        </w:tc>
        <w:tc>
          <w:tcPr>
            <w:tcW w:w="1417" w:type="dxa"/>
            <w:vMerge/>
            <w:tcBorders>
              <w:top w:val="single" w:sz="8" w:space="0" w:color="auto"/>
              <w:left w:val="nil"/>
              <w:bottom w:val="single" w:sz="8" w:space="0" w:color="000000"/>
              <w:right w:val="single" w:sz="8" w:space="0" w:color="auto"/>
            </w:tcBorders>
            <w:vAlign w:val="center"/>
            <w:hideMark/>
          </w:tcPr>
          <w:p w14:paraId="347B8C6E" w14:textId="77777777" w:rsidR="00CA649B" w:rsidRPr="00B91BDE" w:rsidRDefault="00CA649B" w:rsidP="00C80707">
            <w:pPr>
              <w:rPr>
                <w:rFonts w:cs="Times New Roman"/>
                <w:b/>
                <w:bCs/>
                <w:sz w:val="22"/>
                <w:lang w:eastAsia="lv-LV"/>
              </w:rPr>
            </w:pPr>
          </w:p>
        </w:tc>
        <w:tc>
          <w:tcPr>
            <w:tcW w:w="1276" w:type="dxa"/>
            <w:vMerge/>
            <w:tcBorders>
              <w:top w:val="single" w:sz="8" w:space="0" w:color="auto"/>
              <w:left w:val="nil"/>
              <w:bottom w:val="single" w:sz="8" w:space="0" w:color="000000"/>
              <w:right w:val="single" w:sz="8" w:space="0" w:color="auto"/>
            </w:tcBorders>
            <w:vAlign w:val="center"/>
            <w:hideMark/>
          </w:tcPr>
          <w:p w14:paraId="02C72477" w14:textId="77777777" w:rsidR="00CA649B" w:rsidRPr="00B91BDE" w:rsidRDefault="00CA649B" w:rsidP="00C80707">
            <w:pPr>
              <w:rPr>
                <w:rFonts w:cs="Times New Roman"/>
                <w:b/>
                <w:bCs/>
                <w:sz w:val="22"/>
                <w:lang w:eastAsia="lv-LV"/>
              </w:rPr>
            </w:pPr>
          </w:p>
        </w:tc>
        <w:tc>
          <w:tcPr>
            <w:tcW w:w="1559" w:type="dxa"/>
            <w:vMerge/>
            <w:tcBorders>
              <w:top w:val="single" w:sz="8" w:space="0" w:color="auto"/>
              <w:left w:val="nil"/>
              <w:bottom w:val="single" w:sz="8" w:space="0" w:color="000000"/>
              <w:right w:val="single" w:sz="8" w:space="0" w:color="auto"/>
            </w:tcBorders>
            <w:vAlign w:val="center"/>
            <w:hideMark/>
          </w:tcPr>
          <w:p w14:paraId="2CCEAE2A" w14:textId="77777777" w:rsidR="00CA649B" w:rsidRPr="00B91BDE" w:rsidRDefault="00CA649B" w:rsidP="00C80707">
            <w:pPr>
              <w:rPr>
                <w:rFonts w:cs="Times New Roman"/>
                <w:b/>
                <w:bCs/>
                <w:sz w:val="22"/>
                <w:lang w:eastAsia="lv-LV"/>
              </w:rPr>
            </w:pPr>
          </w:p>
        </w:tc>
        <w:tc>
          <w:tcPr>
            <w:tcW w:w="1559" w:type="dxa"/>
            <w:vMerge/>
            <w:tcBorders>
              <w:top w:val="single" w:sz="8" w:space="0" w:color="auto"/>
              <w:left w:val="nil"/>
              <w:bottom w:val="single" w:sz="8" w:space="0" w:color="000000"/>
              <w:right w:val="single" w:sz="8" w:space="0" w:color="auto"/>
            </w:tcBorders>
            <w:vAlign w:val="center"/>
            <w:hideMark/>
          </w:tcPr>
          <w:p w14:paraId="0FFC5F4C" w14:textId="77777777" w:rsidR="00CA649B" w:rsidRPr="00B91BDE" w:rsidRDefault="00CA649B" w:rsidP="00C80707">
            <w:pPr>
              <w:rPr>
                <w:rFonts w:cs="Times New Roman"/>
                <w:b/>
                <w:bCs/>
                <w:sz w:val="22"/>
                <w:lang w:eastAsia="lv-LV"/>
              </w:rPr>
            </w:pPr>
          </w:p>
        </w:tc>
      </w:tr>
      <w:tr w:rsidR="00CA649B" w:rsidRPr="00B91BDE" w14:paraId="7F471175"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0412E1" w14:textId="77777777" w:rsidR="00CA649B" w:rsidRPr="00B91BDE" w:rsidRDefault="00CA649B" w:rsidP="00C80707">
            <w:pPr>
              <w:jc w:val="right"/>
              <w:rPr>
                <w:rFonts w:cs="Times New Roman"/>
                <w:sz w:val="22"/>
                <w:lang w:eastAsia="lv-LV"/>
              </w:rPr>
            </w:pPr>
            <w:r w:rsidRPr="00B91BDE">
              <w:rPr>
                <w:rFonts w:cs="Times New Roman"/>
                <w:sz w:val="22"/>
                <w:lang w:eastAsia="lv-LV"/>
              </w:rPr>
              <w:t>1</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550805" w14:textId="77777777" w:rsidR="00CA649B" w:rsidRPr="00B91BDE" w:rsidRDefault="00CA649B" w:rsidP="00C80707">
            <w:pPr>
              <w:rPr>
                <w:rFonts w:cs="Times New Roman"/>
                <w:sz w:val="22"/>
                <w:lang w:eastAsia="lv-LV"/>
              </w:rPr>
            </w:pPr>
            <w:r w:rsidRPr="00B91BDE">
              <w:rPr>
                <w:rFonts w:cs="Times New Roman"/>
                <w:sz w:val="22"/>
                <w:lang w:eastAsia="lv-LV"/>
              </w:rPr>
              <w:t>Satiksmes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219032" w14:textId="77777777" w:rsidR="00CA649B" w:rsidRPr="00B91BDE" w:rsidRDefault="00CA649B" w:rsidP="00C80707">
            <w:pPr>
              <w:jc w:val="center"/>
              <w:rPr>
                <w:rFonts w:cs="Times New Roman"/>
                <w:sz w:val="22"/>
                <w:lang w:eastAsia="lv-LV"/>
              </w:rPr>
            </w:pPr>
            <w:r w:rsidRPr="00B91BDE">
              <w:rPr>
                <w:rFonts w:cs="Times New Roman"/>
                <w:sz w:val="22"/>
                <w:lang w:eastAsia="lv-LV"/>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5829D" w14:textId="6AC2AFAE" w:rsidR="00CA649B" w:rsidRPr="00B91BDE" w:rsidRDefault="00CA649B" w:rsidP="00C80707">
            <w:pPr>
              <w:jc w:val="center"/>
              <w:rPr>
                <w:rFonts w:cs="Times New Roman"/>
                <w:sz w:val="22"/>
                <w:lang w:eastAsia="lv-LV"/>
              </w:rPr>
            </w:pPr>
            <w:r>
              <w:rPr>
                <w:rFonts w:cs="Times New Roman"/>
                <w:sz w:val="22"/>
                <w:lang w:eastAsia="lv-LV"/>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0A092" w14:textId="49DA9D1F" w:rsidR="00CA649B" w:rsidRPr="00B91BDE" w:rsidRDefault="00CA649B" w:rsidP="00C80707">
            <w:pPr>
              <w:jc w:val="center"/>
              <w:rPr>
                <w:rFonts w:cs="Times New Roman"/>
                <w:sz w:val="22"/>
                <w:lang w:eastAsia="lv-LV"/>
              </w:rPr>
            </w:pPr>
            <w:r w:rsidRPr="00B91BDE">
              <w:rPr>
                <w:rFonts w:cs="Times New Roman"/>
                <w:sz w:val="22"/>
                <w:lang w:eastAsia="lv-LV"/>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CCB37" w14:textId="62CA9237" w:rsidR="00CA649B" w:rsidRPr="00B91BDE" w:rsidRDefault="00CA649B" w:rsidP="00C80707">
            <w:pPr>
              <w:jc w:val="center"/>
              <w:rPr>
                <w:rFonts w:cs="Times New Roman"/>
                <w:sz w:val="22"/>
                <w:lang w:eastAsia="lv-LV"/>
              </w:rPr>
            </w:pPr>
            <w:r w:rsidRPr="00B91BDE">
              <w:rPr>
                <w:rFonts w:cs="Times New Roman"/>
                <w:sz w:val="22"/>
                <w:lang w:eastAsia="lv-LV"/>
              </w:rPr>
              <w:t>0</w:t>
            </w:r>
          </w:p>
        </w:tc>
      </w:tr>
      <w:tr w:rsidR="00CA649B" w:rsidRPr="00B91BDE" w14:paraId="5DA899BA"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5AF7C" w14:textId="77777777" w:rsidR="00CA649B" w:rsidRPr="00B91BDE" w:rsidRDefault="00CA649B" w:rsidP="00C80707">
            <w:pPr>
              <w:jc w:val="right"/>
              <w:rPr>
                <w:rFonts w:cs="Times New Roman"/>
                <w:sz w:val="22"/>
                <w:lang w:eastAsia="lv-LV"/>
              </w:rPr>
            </w:pPr>
            <w:r w:rsidRPr="00B91BDE">
              <w:rPr>
                <w:rFonts w:cs="Times New Roman"/>
                <w:sz w:val="22"/>
                <w:lang w:eastAsia="lv-LV"/>
              </w:rPr>
              <w:t>2</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DA1D2A" w14:textId="77777777" w:rsidR="00CA649B" w:rsidRPr="00B91BDE" w:rsidRDefault="00CA649B" w:rsidP="00C80707">
            <w:pPr>
              <w:rPr>
                <w:rFonts w:cs="Times New Roman"/>
                <w:sz w:val="22"/>
                <w:lang w:eastAsia="lv-LV"/>
              </w:rPr>
            </w:pPr>
            <w:r w:rsidRPr="00B91BDE">
              <w:rPr>
                <w:rFonts w:cs="Times New Roman"/>
                <w:sz w:val="22"/>
                <w:lang w:eastAsia="lv-LV"/>
              </w:rPr>
              <w:t>Ekonomikas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79D840F" w14:textId="21DC7288" w:rsidR="00CA649B" w:rsidRPr="00B91BDE" w:rsidRDefault="00CA649B" w:rsidP="00C80707">
            <w:pPr>
              <w:jc w:val="center"/>
              <w:rPr>
                <w:rFonts w:cs="Times New Roman"/>
                <w:sz w:val="22"/>
                <w:lang w:eastAsia="lv-LV"/>
              </w:rPr>
            </w:pPr>
            <w:r>
              <w:rPr>
                <w:rFonts w:cs="Times New Roman"/>
                <w:sz w:val="22"/>
                <w:lang w:eastAsia="lv-LV"/>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E02F4E" w14:textId="21227F7C" w:rsidR="00CA649B" w:rsidRPr="00B91BDE" w:rsidRDefault="00CA649B" w:rsidP="00C80707">
            <w:pPr>
              <w:jc w:val="center"/>
              <w:rPr>
                <w:rFonts w:cs="Times New Roman"/>
                <w:sz w:val="22"/>
                <w:lang w:eastAsia="lv-LV"/>
              </w:rPr>
            </w:pPr>
            <w:r w:rsidRPr="00B91BDE">
              <w:rPr>
                <w:rFonts w:cs="Times New Roman"/>
                <w:sz w:val="22"/>
                <w:lang w:eastAsia="lv-LV"/>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3A6EA" w14:textId="40D18E28" w:rsidR="00CA649B" w:rsidRPr="00B91BDE" w:rsidRDefault="00CA649B" w:rsidP="00C80707">
            <w:pPr>
              <w:jc w:val="center"/>
              <w:rPr>
                <w:rFonts w:cs="Times New Roman"/>
                <w:sz w:val="22"/>
                <w:lang w:eastAsia="lv-LV"/>
              </w:rPr>
            </w:pPr>
            <w:r>
              <w:rPr>
                <w:rFonts w:cs="Times New Roman"/>
                <w:sz w:val="22"/>
                <w:lang w:eastAsia="lv-LV"/>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74848" w14:textId="42477B7C" w:rsidR="00CA649B" w:rsidRPr="00B91BDE" w:rsidRDefault="00CA649B" w:rsidP="00C80707">
            <w:pPr>
              <w:jc w:val="center"/>
              <w:rPr>
                <w:rFonts w:cs="Times New Roman"/>
                <w:sz w:val="22"/>
                <w:lang w:eastAsia="lv-LV"/>
              </w:rPr>
            </w:pPr>
            <w:r w:rsidRPr="00B91BDE">
              <w:rPr>
                <w:rFonts w:cs="Times New Roman"/>
                <w:sz w:val="22"/>
                <w:lang w:eastAsia="lv-LV"/>
              </w:rPr>
              <w:t>0</w:t>
            </w:r>
          </w:p>
        </w:tc>
      </w:tr>
      <w:tr w:rsidR="00CA649B" w:rsidRPr="00B91BDE" w14:paraId="7359361A"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E699C" w14:textId="77777777" w:rsidR="00CA649B" w:rsidRPr="00CA649B" w:rsidRDefault="00CA649B" w:rsidP="00C80707">
            <w:pPr>
              <w:jc w:val="right"/>
              <w:rPr>
                <w:rFonts w:cs="Times New Roman"/>
                <w:sz w:val="22"/>
                <w:lang w:eastAsia="lv-LV"/>
              </w:rPr>
            </w:pPr>
            <w:r w:rsidRPr="00CA649B">
              <w:rPr>
                <w:rFonts w:cs="Times New Roman"/>
                <w:sz w:val="22"/>
                <w:lang w:eastAsia="lv-LV"/>
              </w:rPr>
              <w:t>3</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1C654DF" w14:textId="77777777" w:rsidR="00CA649B" w:rsidRPr="00CA649B" w:rsidRDefault="00CA649B" w:rsidP="00C80707">
            <w:pPr>
              <w:rPr>
                <w:rFonts w:cs="Times New Roman"/>
                <w:sz w:val="22"/>
                <w:lang w:eastAsia="lv-LV"/>
              </w:rPr>
            </w:pPr>
            <w:proofErr w:type="spellStart"/>
            <w:r w:rsidRPr="00CA649B">
              <w:rPr>
                <w:rFonts w:cs="Times New Roman"/>
                <w:sz w:val="22"/>
                <w:lang w:eastAsia="lv-LV"/>
              </w:rPr>
              <w:t>Iekšlietu</w:t>
            </w:r>
            <w:proofErr w:type="spellEnd"/>
            <w:r w:rsidRPr="00CA649B">
              <w:rPr>
                <w:rFonts w:cs="Times New Roman"/>
                <w:sz w:val="22"/>
                <w:lang w:eastAsia="lv-LV"/>
              </w:rPr>
              <w:t xml:space="preserve">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0B2C8A1" w14:textId="54E4EF11" w:rsidR="00CA649B" w:rsidRPr="00CA649B" w:rsidRDefault="00CA649B" w:rsidP="00C80707">
            <w:pPr>
              <w:jc w:val="center"/>
              <w:rPr>
                <w:rFonts w:cs="Times New Roman"/>
                <w:sz w:val="22"/>
                <w:lang w:eastAsia="lv-LV"/>
              </w:rPr>
            </w:pPr>
            <w:r w:rsidRPr="00CA649B">
              <w:rPr>
                <w:rFonts w:cs="Times New Roman"/>
                <w:sz w:val="22"/>
                <w:lang w:eastAsia="lv-LV"/>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78542" w14:textId="1E574194" w:rsidR="00CA649B" w:rsidRPr="00CA649B" w:rsidRDefault="00CA649B" w:rsidP="00C80707">
            <w:pPr>
              <w:jc w:val="center"/>
              <w:rPr>
                <w:rFonts w:cs="Times New Roman"/>
                <w:sz w:val="22"/>
                <w:lang w:eastAsia="lv-LV"/>
              </w:rPr>
            </w:pPr>
            <w:r w:rsidRPr="00CA649B">
              <w:rPr>
                <w:rFonts w:cs="Times New Roman"/>
                <w:sz w:val="22"/>
                <w:lang w:eastAsia="lv-LV"/>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FF45D" w14:textId="32202F5A" w:rsidR="00CA649B" w:rsidRPr="00CA649B" w:rsidRDefault="007C2F83" w:rsidP="00C80707">
            <w:pPr>
              <w:jc w:val="center"/>
              <w:rPr>
                <w:rFonts w:cs="Times New Roman"/>
                <w:sz w:val="22"/>
                <w:lang w:eastAsia="lv-LV"/>
              </w:rPr>
            </w:pPr>
            <w:r>
              <w:rPr>
                <w:rFonts w:cs="Times New Roman"/>
                <w:sz w:val="22"/>
                <w:lang w:eastAsia="lv-LV"/>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5E873F" w14:textId="0C03F7B8" w:rsidR="00CA649B" w:rsidRPr="00CA649B" w:rsidRDefault="007C2F83" w:rsidP="00C80707">
            <w:pPr>
              <w:jc w:val="center"/>
              <w:rPr>
                <w:rFonts w:cs="Times New Roman"/>
                <w:sz w:val="22"/>
                <w:lang w:eastAsia="lv-LV"/>
              </w:rPr>
            </w:pPr>
            <w:r>
              <w:rPr>
                <w:rFonts w:cs="Times New Roman"/>
                <w:sz w:val="22"/>
                <w:lang w:eastAsia="lv-LV"/>
              </w:rPr>
              <w:t>5</w:t>
            </w:r>
          </w:p>
        </w:tc>
      </w:tr>
      <w:tr w:rsidR="00CA649B" w:rsidRPr="00B91BDE" w14:paraId="512F89DF"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D8512" w14:textId="77777777" w:rsidR="00CA649B" w:rsidRPr="00B91BDE" w:rsidRDefault="00CA649B" w:rsidP="00C80707">
            <w:pPr>
              <w:jc w:val="right"/>
              <w:rPr>
                <w:rFonts w:cs="Times New Roman"/>
                <w:sz w:val="22"/>
                <w:lang w:eastAsia="lv-LV"/>
              </w:rPr>
            </w:pPr>
            <w:r w:rsidRPr="00B91BDE">
              <w:rPr>
                <w:rFonts w:cs="Times New Roman"/>
                <w:sz w:val="22"/>
                <w:lang w:eastAsia="lv-LV"/>
              </w:rPr>
              <w:t>4</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66E6AC" w14:textId="77777777" w:rsidR="00CA649B" w:rsidRPr="00B91BDE" w:rsidRDefault="00CA649B" w:rsidP="00C80707">
            <w:pPr>
              <w:rPr>
                <w:rFonts w:cs="Times New Roman"/>
                <w:sz w:val="22"/>
                <w:lang w:eastAsia="lv-LV"/>
              </w:rPr>
            </w:pPr>
            <w:r w:rsidRPr="00B91BDE">
              <w:rPr>
                <w:rFonts w:cs="Times New Roman"/>
                <w:sz w:val="22"/>
                <w:lang w:eastAsia="lv-LV"/>
              </w:rPr>
              <w:t>Aizsardzības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AC13E0" w14:textId="77777777" w:rsidR="00CA649B" w:rsidRPr="00B91BDE" w:rsidRDefault="00CA649B" w:rsidP="00C80707">
            <w:pPr>
              <w:jc w:val="center"/>
              <w:rPr>
                <w:rFonts w:cs="Times New Roman"/>
                <w:sz w:val="22"/>
                <w:lang w:eastAsia="lv-LV"/>
              </w:rPr>
            </w:pPr>
            <w:r w:rsidRPr="00B91BDE">
              <w:rPr>
                <w:rFonts w:cs="Times New Roman"/>
                <w:sz w:val="22"/>
                <w:lang w:eastAsia="lv-LV"/>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3457B" w14:textId="3269BB55" w:rsidR="00CA649B" w:rsidRPr="00B91BDE" w:rsidRDefault="00CA649B" w:rsidP="00C80707">
            <w:pPr>
              <w:jc w:val="center"/>
              <w:rPr>
                <w:rFonts w:cs="Times New Roman"/>
                <w:sz w:val="22"/>
                <w:lang w:eastAsia="lv-LV"/>
              </w:rPr>
            </w:pPr>
            <w:r>
              <w:rPr>
                <w:rFonts w:cs="Times New Roman"/>
                <w:sz w:val="22"/>
                <w:lang w:eastAsia="lv-LV"/>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D2FA4" w14:textId="6560DCD4" w:rsidR="00CA649B" w:rsidRPr="00B91BDE" w:rsidRDefault="00CA649B" w:rsidP="00C80707">
            <w:pPr>
              <w:jc w:val="center"/>
              <w:rPr>
                <w:rFonts w:cs="Times New Roman"/>
                <w:sz w:val="22"/>
                <w:lang w:eastAsia="lv-LV"/>
              </w:rPr>
            </w:pPr>
            <w:r>
              <w:rPr>
                <w:rFonts w:cs="Times New Roman"/>
                <w:sz w:val="22"/>
                <w:lang w:eastAsia="lv-LV"/>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963A5" w14:textId="5D045A8D" w:rsidR="00CA649B" w:rsidRPr="00B91BDE" w:rsidRDefault="00CA649B" w:rsidP="00C80707">
            <w:pPr>
              <w:jc w:val="center"/>
              <w:rPr>
                <w:rFonts w:cs="Times New Roman"/>
                <w:sz w:val="22"/>
                <w:lang w:eastAsia="lv-LV"/>
              </w:rPr>
            </w:pPr>
            <w:r>
              <w:rPr>
                <w:rFonts w:cs="Times New Roman"/>
                <w:sz w:val="22"/>
                <w:lang w:eastAsia="lv-LV"/>
              </w:rPr>
              <w:t>2</w:t>
            </w:r>
          </w:p>
        </w:tc>
      </w:tr>
      <w:tr w:rsidR="00CA649B" w:rsidRPr="00B91BDE" w14:paraId="171D5592"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C907D4" w14:textId="77777777" w:rsidR="00CA649B" w:rsidRPr="00B91BDE" w:rsidRDefault="00CA649B" w:rsidP="00C80707">
            <w:pPr>
              <w:jc w:val="right"/>
              <w:rPr>
                <w:rFonts w:cs="Times New Roman"/>
                <w:sz w:val="22"/>
                <w:lang w:eastAsia="lv-LV"/>
              </w:rPr>
            </w:pPr>
            <w:r w:rsidRPr="00B91BDE">
              <w:rPr>
                <w:rFonts w:cs="Times New Roman"/>
                <w:sz w:val="22"/>
                <w:lang w:eastAsia="lv-LV"/>
              </w:rPr>
              <w:t>5</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63E255B" w14:textId="77777777" w:rsidR="00CA649B" w:rsidRPr="00B91BDE" w:rsidRDefault="00CA649B" w:rsidP="00C80707">
            <w:pPr>
              <w:rPr>
                <w:rFonts w:cs="Times New Roman"/>
                <w:sz w:val="22"/>
                <w:lang w:eastAsia="lv-LV"/>
              </w:rPr>
            </w:pPr>
            <w:r w:rsidRPr="00B91BDE">
              <w:rPr>
                <w:rFonts w:cs="Times New Roman"/>
                <w:sz w:val="22"/>
                <w:lang w:eastAsia="lv-LV"/>
              </w:rPr>
              <w:t>Zemkopības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2C0FFD" w14:textId="77777777" w:rsidR="00CA649B" w:rsidRPr="00B91BDE" w:rsidRDefault="00CA649B" w:rsidP="00C80707">
            <w:pPr>
              <w:jc w:val="center"/>
              <w:rPr>
                <w:rFonts w:cs="Times New Roman"/>
                <w:sz w:val="22"/>
                <w:lang w:eastAsia="lv-LV"/>
              </w:rPr>
            </w:pPr>
            <w:r w:rsidRPr="00B91BDE">
              <w:rPr>
                <w:rFonts w:cs="Times New Roman"/>
                <w:sz w:val="22"/>
                <w:lang w:eastAsia="lv-LV"/>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A6E4763" w14:textId="699F6CCA" w:rsidR="00CA649B" w:rsidRPr="00B91BDE" w:rsidRDefault="00CA649B" w:rsidP="00C80707">
            <w:pPr>
              <w:jc w:val="center"/>
              <w:rPr>
                <w:rFonts w:cs="Times New Roman"/>
                <w:sz w:val="22"/>
                <w:lang w:eastAsia="lv-LV"/>
              </w:rPr>
            </w:pPr>
            <w:r>
              <w:rPr>
                <w:rFonts w:cs="Times New Roman"/>
                <w:sz w:val="22"/>
                <w:lang w:eastAsia="lv-LV"/>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558C9" w14:textId="173594E1" w:rsidR="00CA649B" w:rsidRPr="00B91BDE" w:rsidRDefault="00CA649B" w:rsidP="00C80707">
            <w:pPr>
              <w:jc w:val="center"/>
              <w:rPr>
                <w:rFonts w:cs="Times New Roman"/>
                <w:sz w:val="22"/>
                <w:lang w:eastAsia="lv-LV"/>
              </w:rPr>
            </w:pPr>
            <w:r>
              <w:rPr>
                <w:rFonts w:cs="Times New Roman"/>
                <w:sz w:val="22"/>
                <w:lang w:eastAsia="lv-LV"/>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1BFD39" w14:textId="13DE0EFF" w:rsidR="00CA649B" w:rsidRPr="00B91BDE" w:rsidRDefault="00CA649B" w:rsidP="00C80707">
            <w:pPr>
              <w:jc w:val="center"/>
              <w:rPr>
                <w:rFonts w:cs="Times New Roman"/>
                <w:sz w:val="22"/>
                <w:lang w:eastAsia="lv-LV"/>
              </w:rPr>
            </w:pPr>
            <w:r>
              <w:rPr>
                <w:rFonts w:cs="Times New Roman"/>
                <w:sz w:val="22"/>
                <w:lang w:eastAsia="lv-LV"/>
              </w:rPr>
              <w:t>3</w:t>
            </w:r>
          </w:p>
        </w:tc>
      </w:tr>
      <w:tr w:rsidR="00CA649B" w:rsidRPr="00B91BDE" w14:paraId="4F724715"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8815A" w14:textId="77777777" w:rsidR="00CA649B" w:rsidRPr="00B91BDE" w:rsidRDefault="00CA649B" w:rsidP="00C80707">
            <w:pPr>
              <w:jc w:val="right"/>
              <w:rPr>
                <w:rFonts w:cs="Times New Roman"/>
                <w:sz w:val="22"/>
                <w:lang w:eastAsia="lv-LV"/>
              </w:rPr>
            </w:pPr>
            <w:r w:rsidRPr="00B91BDE">
              <w:rPr>
                <w:rFonts w:cs="Times New Roman"/>
                <w:sz w:val="22"/>
                <w:lang w:eastAsia="lv-LV"/>
              </w:rPr>
              <w:t>6</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374631" w14:textId="77777777" w:rsidR="00CA649B" w:rsidRPr="00B91BDE" w:rsidRDefault="00CA649B" w:rsidP="00C80707">
            <w:pPr>
              <w:rPr>
                <w:rFonts w:cs="Times New Roman"/>
                <w:sz w:val="22"/>
                <w:lang w:eastAsia="lv-LV"/>
              </w:rPr>
            </w:pPr>
            <w:r w:rsidRPr="00B91BDE">
              <w:rPr>
                <w:rFonts w:cs="Times New Roman"/>
                <w:sz w:val="22"/>
                <w:lang w:eastAsia="lv-LV"/>
              </w:rPr>
              <w:t>Veselības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CA03E" w14:textId="0ACC7E3D" w:rsidR="00CA649B" w:rsidRPr="00B91BDE" w:rsidRDefault="00CA649B" w:rsidP="00C80707">
            <w:pPr>
              <w:jc w:val="center"/>
              <w:rPr>
                <w:rFonts w:cs="Times New Roman"/>
                <w:sz w:val="22"/>
                <w:lang w:eastAsia="lv-LV"/>
              </w:rPr>
            </w:pPr>
            <w:r>
              <w:rPr>
                <w:rFonts w:cs="Times New Roman"/>
                <w:sz w:val="22"/>
                <w:lang w:eastAsia="lv-LV"/>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C2737" w14:textId="23B01AD6" w:rsidR="00CA649B" w:rsidRPr="00B91BDE" w:rsidRDefault="00CA649B" w:rsidP="00C80707">
            <w:pPr>
              <w:jc w:val="center"/>
              <w:rPr>
                <w:rFonts w:cs="Times New Roman"/>
                <w:sz w:val="22"/>
                <w:lang w:eastAsia="lv-LV"/>
              </w:rPr>
            </w:pPr>
            <w:r>
              <w:rPr>
                <w:rFonts w:cs="Times New Roman"/>
                <w:sz w:val="22"/>
                <w:lang w:eastAsia="lv-LV"/>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947C4" w14:textId="0E2CCF99" w:rsidR="00CA649B" w:rsidRPr="00B91BDE" w:rsidRDefault="00CA649B" w:rsidP="00C80707">
            <w:pPr>
              <w:jc w:val="center"/>
              <w:rPr>
                <w:rFonts w:cs="Times New Roman"/>
                <w:sz w:val="22"/>
                <w:lang w:eastAsia="lv-LV"/>
              </w:rPr>
            </w:pPr>
            <w:r>
              <w:rPr>
                <w:rFonts w:cs="Times New Roman"/>
                <w:sz w:val="22"/>
                <w:lang w:eastAsia="lv-LV"/>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2FB6D" w14:textId="66CB81EC" w:rsidR="00CA649B" w:rsidRPr="00B91BDE" w:rsidRDefault="00CA649B" w:rsidP="00C80707">
            <w:pPr>
              <w:jc w:val="center"/>
              <w:rPr>
                <w:rFonts w:cs="Times New Roman"/>
                <w:sz w:val="22"/>
                <w:lang w:eastAsia="lv-LV"/>
              </w:rPr>
            </w:pPr>
            <w:r>
              <w:rPr>
                <w:rFonts w:cs="Times New Roman"/>
                <w:sz w:val="22"/>
                <w:lang w:eastAsia="lv-LV"/>
              </w:rPr>
              <w:t>1</w:t>
            </w:r>
          </w:p>
        </w:tc>
      </w:tr>
      <w:tr w:rsidR="00CA649B" w:rsidRPr="00B91BDE" w14:paraId="3BDD68A4"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1DE07F" w14:textId="77777777" w:rsidR="00CA649B" w:rsidRPr="00B91BDE" w:rsidRDefault="00CA649B" w:rsidP="00C80707">
            <w:pPr>
              <w:jc w:val="right"/>
              <w:rPr>
                <w:rFonts w:cs="Times New Roman"/>
                <w:sz w:val="22"/>
                <w:lang w:eastAsia="lv-LV"/>
              </w:rPr>
            </w:pPr>
            <w:r>
              <w:rPr>
                <w:rFonts w:cs="Times New Roman"/>
                <w:sz w:val="22"/>
                <w:lang w:eastAsia="lv-LV"/>
              </w:rPr>
              <w:t>7</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A493F" w14:textId="77777777" w:rsidR="00CA649B" w:rsidRPr="00B91BDE" w:rsidRDefault="00CA649B" w:rsidP="00C80707">
            <w:pPr>
              <w:rPr>
                <w:rFonts w:cs="Times New Roman"/>
                <w:sz w:val="22"/>
                <w:lang w:eastAsia="lv-LV"/>
              </w:rPr>
            </w:pPr>
            <w:r w:rsidRPr="00B91BDE">
              <w:rPr>
                <w:rFonts w:cs="Times New Roman"/>
                <w:sz w:val="22"/>
                <w:lang w:eastAsia="lv-LV"/>
              </w:rPr>
              <w:t>Izglītības un zinātnes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18B8F2" w14:textId="44D56B27" w:rsidR="00CA649B" w:rsidRPr="00B91BDE" w:rsidRDefault="00CA649B" w:rsidP="00C80707">
            <w:pPr>
              <w:jc w:val="center"/>
              <w:rPr>
                <w:rFonts w:cs="Times New Roman"/>
                <w:sz w:val="22"/>
                <w:lang w:eastAsia="lv-LV"/>
              </w:rPr>
            </w:pPr>
            <w:r>
              <w:rPr>
                <w:rFonts w:cs="Times New Roman"/>
                <w:sz w:val="22"/>
                <w:lang w:eastAsia="lv-LV"/>
              </w:rPr>
              <w:t>48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C0B90" w14:textId="29D65440" w:rsidR="00CA649B" w:rsidRPr="00B91BDE" w:rsidRDefault="00CA649B" w:rsidP="00C80707">
            <w:pPr>
              <w:jc w:val="center"/>
              <w:rPr>
                <w:rFonts w:cs="Times New Roman"/>
                <w:sz w:val="22"/>
                <w:lang w:eastAsia="lv-LV"/>
              </w:rPr>
            </w:pPr>
            <w:r>
              <w:rPr>
                <w:rFonts w:cs="Times New Roman"/>
                <w:sz w:val="22"/>
                <w:lang w:eastAsia="lv-LV"/>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43926" w14:textId="255B2D18" w:rsidR="00CA649B" w:rsidRPr="00B91BDE" w:rsidRDefault="00CA649B" w:rsidP="00C80707">
            <w:pPr>
              <w:jc w:val="center"/>
              <w:rPr>
                <w:rFonts w:cs="Times New Roman"/>
                <w:sz w:val="22"/>
                <w:lang w:eastAsia="lv-LV"/>
              </w:rPr>
            </w:pPr>
            <w:r>
              <w:rPr>
                <w:rFonts w:cs="Times New Roman"/>
                <w:sz w:val="22"/>
                <w:lang w:eastAsia="lv-LV"/>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15C97" w14:textId="3107B214" w:rsidR="00CA649B" w:rsidRPr="00B91BDE" w:rsidRDefault="00CA649B" w:rsidP="00C80707">
            <w:pPr>
              <w:jc w:val="center"/>
              <w:rPr>
                <w:rFonts w:cs="Times New Roman"/>
                <w:sz w:val="22"/>
                <w:lang w:eastAsia="lv-LV"/>
              </w:rPr>
            </w:pPr>
            <w:r w:rsidRPr="00B91BDE">
              <w:rPr>
                <w:rFonts w:cs="Times New Roman"/>
                <w:sz w:val="22"/>
                <w:lang w:eastAsia="lv-LV"/>
              </w:rPr>
              <w:t>1</w:t>
            </w:r>
            <w:r>
              <w:rPr>
                <w:rFonts w:cs="Times New Roman"/>
                <w:sz w:val="22"/>
                <w:lang w:eastAsia="lv-LV"/>
              </w:rPr>
              <w:t>4</w:t>
            </w:r>
          </w:p>
        </w:tc>
      </w:tr>
      <w:tr w:rsidR="00CA649B" w:rsidRPr="00B91BDE" w14:paraId="1DA6C8F7"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044275" w14:textId="77777777" w:rsidR="00CA649B" w:rsidRPr="00B91BDE" w:rsidRDefault="00CA649B" w:rsidP="00C80707">
            <w:pPr>
              <w:jc w:val="right"/>
              <w:rPr>
                <w:rFonts w:cs="Times New Roman"/>
                <w:sz w:val="22"/>
                <w:lang w:eastAsia="lv-LV"/>
              </w:rPr>
            </w:pPr>
            <w:r>
              <w:rPr>
                <w:rFonts w:cs="Times New Roman"/>
                <w:sz w:val="22"/>
                <w:lang w:eastAsia="lv-LV"/>
              </w:rPr>
              <w:t>8</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76450B" w14:textId="77777777" w:rsidR="00CA649B" w:rsidRPr="00B91BDE" w:rsidRDefault="00CA649B" w:rsidP="00C80707">
            <w:pPr>
              <w:rPr>
                <w:rFonts w:cs="Times New Roman"/>
                <w:sz w:val="22"/>
                <w:lang w:eastAsia="lv-LV"/>
              </w:rPr>
            </w:pPr>
            <w:r w:rsidRPr="00B91BDE">
              <w:rPr>
                <w:rFonts w:cs="Times New Roman"/>
                <w:sz w:val="22"/>
                <w:lang w:eastAsia="lv-LV"/>
              </w:rPr>
              <w:t>Labklājības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4375DC" w14:textId="41028815" w:rsidR="00CA649B" w:rsidRPr="00B91BDE" w:rsidRDefault="00CA649B" w:rsidP="00C80707">
            <w:pPr>
              <w:jc w:val="center"/>
              <w:rPr>
                <w:rFonts w:cs="Times New Roman"/>
                <w:sz w:val="22"/>
                <w:lang w:eastAsia="lv-LV"/>
              </w:rPr>
            </w:pPr>
            <w:r>
              <w:rPr>
                <w:rFonts w:cs="Times New Roman"/>
                <w:sz w:val="22"/>
                <w:lang w:eastAsia="lv-LV"/>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D61FA" w14:textId="192B61B3" w:rsidR="00CA649B" w:rsidRPr="00B91BDE" w:rsidRDefault="00CA649B" w:rsidP="00C80707">
            <w:pPr>
              <w:jc w:val="center"/>
              <w:rPr>
                <w:rFonts w:cs="Times New Roman"/>
                <w:sz w:val="22"/>
                <w:lang w:eastAsia="lv-LV"/>
              </w:rPr>
            </w:pPr>
            <w:r w:rsidRPr="00B91BDE">
              <w:rPr>
                <w:rFonts w:cs="Times New Roman"/>
                <w:sz w:val="22"/>
                <w:lang w:eastAsia="lv-LV"/>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45A41" w14:textId="03A68884" w:rsidR="00CA649B" w:rsidRPr="00B91BDE" w:rsidRDefault="00CA649B" w:rsidP="00C80707">
            <w:pPr>
              <w:jc w:val="center"/>
              <w:rPr>
                <w:rFonts w:cs="Times New Roman"/>
                <w:sz w:val="22"/>
                <w:lang w:eastAsia="lv-LV"/>
              </w:rPr>
            </w:pPr>
            <w:r>
              <w:rPr>
                <w:rFonts w:cs="Times New Roman"/>
                <w:sz w:val="22"/>
                <w:lang w:eastAsia="lv-LV"/>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776C8" w14:textId="10044842" w:rsidR="00CA649B" w:rsidRPr="00B91BDE" w:rsidRDefault="00CA649B" w:rsidP="00C80707">
            <w:pPr>
              <w:jc w:val="center"/>
              <w:rPr>
                <w:rFonts w:cs="Times New Roman"/>
                <w:sz w:val="22"/>
                <w:lang w:eastAsia="lv-LV"/>
              </w:rPr>
            </w:pPr>
            <w:r w:rsidRPr="00B91BDE">
              <w:rPr>
                <w:rFonts w:cs="Times New Roman"/>
                <w:sz w:val="22"/>
                <w:lang w:eastAsia="lv-LV"/>
              </w:rPr>
              <w:t>1</w:t>
            </w:r>
          </w:p>
        </w:tc>
      </w:tr>
      <w:tr w:rsidR="00CA649B" w:rsidRPr="00B91BDE" w14:paraId="0A94EE13"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786893" w14:textId="77777777" w:rsidR="00CA649B" w:rsidRPr="00B91BDE" w:rsidRDefault="00CA649B" w:rsidP="00C80707">
            <w:pPr>
              <w:jc w:val="right"/>
              <w:rPr>
                <w:rFonts w:cs="Times New Roman"/>
                <w:sz w:val="22"/>
                <w:lang w:eastAsia="lv-LV"/>
              </w:rPr>
            </w:pPr>
            <w:r>
              <w:rPr>
                <w:rFonts w:cs="Times New Roman"/>
                <w:sz w:val="22"/>
                <w:lang w:eastAsia="lv-LV"/>
              </w:rPr>
              <w:t>9</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05095C4" w14:textId="77777777" w:rsidR="00CA649B" w:rsidRPr="00B91BDE" w:rsidRDefault="00CA649B" w:rsidP="00C80707">
            <w:pPr>
              <w:rPr>
                <w:rFonts w:cs="Times New Roman"/>
                <w:sz w:val="22"/>
                <w:lang w:eastAsia="lv-LV"/>
              </w:rPr>
            </w:pPr>
            <w:r w:rsidRPr="00B91BDE">
              <w:rPr>
                <w:rFonts w:cs="Times New Roman"/>
                <w:sz w:val="22"/>
                <w:lang w:eastAsia="lv-LV"/>
              </w:rPr>
              <w:t>Vides aizsardzības un reģionālas attīstības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E8E22D2" w14:textId="77777777" w:rsidR="00CA649B" w:rsidRPr="00B91BDE" w:rsidRDefault="00CA649B" w:rsidP="00C80707">
            <w:pPr>
              <w:jc w:val="center"/>
              <w:rPr>
                <w:rFonts w:cs="Times New Roman"/>
                <w:sz w:val="22"/>
                <w:lang w:eastAsia="lv-LV"/>
              </w:rPr>
            </w:pPr>
            <w:r w:rsidRPr="00B91BDE">
              <w:rPr>
                <w:rFonts w:cs="Times New Roman"/>
                <w:sz w:val="22"/>
                <w:lang w:eastAsia="lv-LV"/>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DDAA8FC" w14:textId="38CA99AA" w:rsidR="00CA649B" w:rsidRPr="00B91BDE" w:rsidRDefault="00CA649B" w:rsidP="00C80707">
            <w:pPr>
              <w:jc w:val="center"/>
              <w:rPr>
                <w:rFonts w:cs="Times New Roman"/>
                <w:sz w:val="22"/>
                <w:lang w:eastAsia="lv-LV"/>
              </w:rPr>
            </w:pPr>
            <w:r w:rsidRPr="00B91BDE">
              <w:rPr>
                <w:rFonts w:cs="Times New Roman"/>
                <w:sz w:val="22"/>
                <w:lang w:eastAsia="lv-LV"/>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91937A" w14:textId="413BD712" w:rsidR="00CA649B" w:rsidRPr="00B91BDE" w:rsidRDefault="00CA649B" w:rsidP="00C80707">
            <w:pPr>
              <w:jc w:val="center"/>
              <w:rPr>
                <w:rFonts w:cs="Times New Roman"/>
                <w:sz w:val="22"/>
                <w:lang w:eastAsia="lv-LV"/>
              </w:rPr>
            </w:pPr>
            <w:r>
              <w:rPr>
                <w:rFonts w:cs="Times New Roman"/>
                <w:sz w:val="22"/>
                <w:lang w:eastAsia="lv-LV"/>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D3978C" w14:textId="0E6AF877" w:rsidR="00CA649B" w:rsidRPr="00B91BDE" w:rsidRDefault="00CA649B" w:rsidP="00C80707">
            <w:pPr>
              <w:jc w:val="center"/>
              <w:rPr>
                <w:rFonts w:cs="Times New Roman"/>
                <w:sz w:val="22"/>
                <w:lang w:eastAsia="lv-LV"/>
              </w:rPr>
            </w:pPr>
            <w:r>
              <w:rPr>
                <w:rFonts w:cs="Times New Roman"/>
                <w:sz w:val="22"/>
                <w:lang w:eastAsia="lv-LV"/>
              </w:rPr>
              <w:t>2</w:t>
            </w:r>
          </w:p>
        </w:tc>
      </w:tr>
      <w:tr w:rsidR="00CA649B" w:rsidRPr="00B91BDE" w14:paraId="0F7338FC"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E1856" w14:textId="77777777" w:rsidR="00CA649B" w:rsidRPr="00B91BDE" w:rsidRDefault="00CA649B" w:rsidP="00C80707">
            <w:pPr>
              <w:jc w:val="right"/>
              <w:rPr>
                <w:rFonts w:cs="Times New Roman"/>
                <w:sz w:val="22"/>
                <w:lang w:eastAsia="lv-LV"/>
              </w:rPr>
            </w:pPr>
            <w:r w:rsidRPr="00B91BDE">
              <w:rPr>
                <w:rFonts w:cs="Times New Roman"/>
                <w:sz w:val="22"/>
                <w:lang w:eastAsia="lv-LV"/>
              </w:rPr>
              <w:t>10</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784F05" w14:textId="77777777" w:rsidR="00CA649B" w:rsidRPr="00B91BDE" w:rsidRDefault="00CA649B" w:rsidP="00C80707">
            <w:pPr>
              <w:rPr>
                <w:rFonts w:cs="Times New Roman"/>
                <w:sz w:val="22"/>
                <w:lang w:eastAsia="lv-LV"/>
              </w:rPr>
            </w:pPr>
            <w:r w:rsidRPr="00B91BDE">
              <w:rPr>
                <w:rFonts w:cs="Times New Roman"/>
                <w:sz w:val="22"/>
                <w:lang w:eastAsia="lv-LV"/>
              </w:rPr>
              <w:t>Finanšu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7C3A00" w14:textId="77777777" w:rsidR="00CA649B" w:rsidRPr="00B91BDE" w:rsidRDefault="00CA649B" w:rsidP="00C80707">
            <w:pPr>
              <w:jc w:val="center"/>
              <w:rPr>
                <w:rFonts w:cs="Times New Roman"/>
                <w:sz w:val="22"/>
                <w:lang w:eastAsia="lv-LV"/>
              </w:rPr>
            </w:pPr>
            <w:r w:rsidRPr="00B91BDE">
              <w:rPr>
                <w:rFonts w:cs="Times New Roman"/>
                <w:sz w:val="22"/>
                <w:lang w:eastAsia="lv-LV"/>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9DAE7" w14:textId="7AD95412" w:rsidR="00CA649B" w:rsidRPr="00B91BDE" w:rsidRDefault="00CA649B" w:rsidP="00C80707">
            <w:pPr>
              <w:jc w:val="center"/>
              <w:rPr>
                <w:rFonts w:cs="Times New Roman"/>
                <w:sz w:val="22"/>
                <w:lang w:eastAsia="lv-LV"/>
              </w:rPr>
            </w:pPr>
            <w:r w:rsidRPr="00B91BDE">
              <w:rPr>
                <w:rFonts w:cs="Times New Roman"/>
                <w:sz w:val="22"/>
                <w:lang w:eastAsia="lv-LV"/>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FC601" w14:textId="5976D72E" w:rsidR="00CA649B" w:rsidRPr="00B91BDE" w:rsidRDefault="00CA649B" w:rsidP="00C80707">
            <w:pPr>
              <w:jc w:val="center"/>
              <w:rPr>
                <w:rFonts w:cs="Times New Roman"/>
                <w:sz w:val="22"/>
                <w:lang w:eastAsia="lv-LV"/>
              </w:rPr>
            </w:pPr>
            <w:r>
              <w:rPr>
                <w:rFonts w:cs="Times New Roman"/>
                <w:sz w:val="22"/>
                <w:lang w:eastAsia="lv-LV"/>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BF864" w14:textId="46C7A2A6" w:rsidR="00CA649B" w:rsidRPr="00B91BDE" w:rsidRDefault="00CA649B" w:rsidP="00C80707">
            <w:pPr>
              <w:jc w:val="center"/>
              <w:rPr>
                <w:rFonts w:cs="Times New Roman"/>
                <w:sz w:val="22"/>
                <w:lang w:eastAsia="lv-LV"/>
              </w:rPr>
            </w:pPr>
            <w:r>
              <w:rPr>
                <w:rFonts w:cs="Times New Roman"/>
                <w:sz w:val="22"/>
                <w:lang w:eastAsia="lv-LV"/>
              </w:rPr>
              <w:t>1</w:t>
            </w:r>
          </w:p>
        </w:tc>
      </w:tr>
      <w:tr w:rsidR="00CA649B" w:rsidRPr="00B91BDE" w14:paraId="60B46E98"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DDDEF" w14:textId="77777777" w:rsidR="00CA649B" w:rsidRPr="00B91BDE" w:rsidRDefault="00CA649B" w:rsidP="00C80707">
            <w:pPr>
              <w:jc w:val="right"/>
              <w:rPr>
                <w:rFonts w:cs="Times New Roman"/>
                <w:sz w:val="22"/>
                <w:lang w:eastAsia="lv-LV"/>
              </w:rPr>
            </w:pPr>
            <w:r w:rsidRPr="00B91BDE">
              <w:rPr>
                <w:rFonts w:cs="Times New Roman"/>
                <w:sz w:val="22"/>
                <w:lang w:eastAsia="lv-LV"/>
              </w:rPr>
              <w:t>11</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7F11D" w14:textId="77777777" w:rsidR="00CA649B" w:rsidRPr="00B91BDE" w:rsidRDefault="00CA649B" w:rsidP="00C80707">
            <w:pPr>
              <w:rPr>
                <w:rFonts w:cs="Times New Roman"/>
                <w:sz w:val="22"/>
                <w:lang w:eastAsia="lv-LV"/>
              </w:rPr>
            </w:pPr>
            <w:r w:rsidRPr="00B91BDE">
              <w:rPr>
                <w:rFonts w:cs="Times New Roman"/>
                <w:sz w:val="22"/>
                <w:lang w:eastAsia="lv-LV"/>
              </w:rPr>
              <w:t>Kultūras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9D6D4" w14:textId="6505DDC0" w:rsidR="00CA649B" w:rsidRPr="00B91BDE" w:rsidRDefault="00CA649B" w:rsidP="00C80707">
            <w:pPr>
              <w:jc w:val="center"/>
              <w:rPr>
                <w:rFonts w:cs="Times New Roman"/>
                <w:sz w:val="22"/>
                <w:lang w:eastAsia="lv-LV"/>
              </w:rPr>
            </w:pPr>
            <w:r>
              <w:rPr>
                <w:rFonts w:cs="Times New Roman"/>
                <w:sz w:val="22"/>
                <w:lang w:eastAsia="lv-LV"/>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34F12" w14:textId="5AF13593" w:rsidR="00CA649B" w:rsidRPr="00B91BDE" w:rsidRDefault="00CA649B" w:rsidP="00C80707">
            <w:pPr>
              <w:jc w:val="center"/>
              <w:rPr>
                <w:rFonts w:cs="Times New Roman"/>
                <w:sz w:val="22"/>
                <w:lang w:eastAsia="lv-LV"/>
              </w:rPr>
            </w:pPr>
            <w:r w:rsidRPr="00B91BDE">
              <w:rPr>
                <w:rFonts w:cs="Times New Roman"/>
                <w:sz w:val="22"/>
                <w:lang w:eastAsia="lv-LV"/>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D2707" w14:textId="2A8BD79F" w:rsidR="00CA649B" w:rsidRPr="00B91BDE" w:rsidRDefault="00CA649B" w:rsidP="00C80707">
            <w:pPr>
              <w:jc w:val="center"/>
              <w:rPr>
                <w:rFonts w:cs="Times New Roman"/>
                <w:sz w:val="22"/>
                <w:lang w:eastAsia="lv-LV"/>
              </w:rPr>
            </w:pPr>
            <w:r>
              <w:rPr>
                <w:rFonts w:cs="Times New Roman"/>
                <w:sz w:val="22"/>
                <w:lang w:eastAsia="lv-LV"/>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F07F2" w14:textId="51DBA8D5" w:rsidR="00CA649B" w:rsidRPr="00B91BDE" w:rsidRDefault="00CA649B" w:rsidP="00C80707">
            <w:pPr>
              <w:jc w:val="center"/>
              <w:rPr>
                <w:rFonts w:cs="Times New Roman"/>
                <w:sz w:val="22"/>
                <w:lang w:eastAsia="lv-LV"/>
              </w:rPr>
            </w:pPr>
            <w:r w:rsidRPr="00B91BDE">
              <w:rPr>
                <w:rFonts w:cs="Times New Roman"/>
                <w:sz w:val="22"/>
                <w:lang w:eastAsia="lv-LV"/>
              </w:rPr>
              <w:t>0</w:t>
            </w:r>
          </w:p>
        </w:tc>
      </w:tr>
      <w:tr w:rsidR="00CA649B" w:rsidRPr="00B91BDE" w14:paraId="32AC27B3"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03A90B" w14:textId="77777777" w:rsidR="00CA649B" w:rsidRPr="00B91BDE" w:rsidRDefault="00CA649B" w:rsidP="00C80707">
            <w:pPr>
              <w:jc w:val="right"/>
              <w:rPr>
                <w:rFonts w:cs="Times New Roman"/>
                <w:sz w:val="22"/>
                <w:lang w:eastAsia="lv-LV"/>
              </w:rPr>
            </w:pPr>
            <w:r w:rsidRPr="00B91BDE">
              <w:rPr>
                <w:rFonts w:cs="Times New Roman"/>
                <w:sz w:val="22"/>
                <w:lang w:eastAsia="lv-LV"/>
              </w:rPr>
              <w:t>12</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78CD14" w14:textId="77777777" w:rsidR="00CA649B" w:rsidRPr="00B91BDE" w:rsidRDefault="00CA649B" w:rsidP="00C80707">
            <w:pPr>
              <w:rPr>
                <w:rFonts w:cs="Times New Roman"/>
                <w:sz w:val="22"/>
                <w:lang w:eastAsia="lv-LV"/>
              </w:rPr>
            </w:pPr>
            <w:r w:rsidRPr="00B91BDE">
              <w:rPr>
                <w:rFonts w:cs="Times New Roman"/>
                <w:sz w:val="22"/>
                <w:lang w:eastAsia="lv-LV"/>
              </w:rPr>
              <w:t>Tieslietu ministrija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608069" w14:textId="77777777" w:rsidR="00CA649B" w:rsidRPr="00B91BDE" w:rsidRDefault="00CA649B" w:rsidP="00C80707">
            <w:pPr>
              <w:jc w:val="center"/>
              <w:rPr>
                <w:rFonts w:cs="Times New Roman"/>
                <w:sz w:val="22"/>
                <w:lang w:eastAsia="lv-LV"/>
              </w:rPr>
            </w:pPr>
            <w:r w:rsidRPr="00B91BDE">
              <w:rPr>
                <w:rFonts w:cs="Times New Roman"/>
                <w:sz w:val="22"/>
                <w:lang w:eastAsia="lv-LV"/>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B17A3" w14:textId="72E8C473" w:rsidR="00CA649B" w:rsidRPr="00B91BDE" w:rsidRDefault="00CA649B" w:rsidP="00C80707">
            <w:pPr>
              <w:jc w:val="center"/>
              <w:rPr>
                <w:rFonts w:cs="Times New Roman"/>
                <w:sz w:val="22"/>
                <w:lang w:eastAsia="lv-LV"/>
              </w:rPr>
            </w:pPr>
            <w:r w:rsidRPr="00B91BDE">
              <w:rPr>
                <w:rFonts w:cs="Times New Roman"/>
                <w:sz w:val="22"/>
                <w:lang w:eastAsia="lv-LV"/>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67360" w14:textId="3CB9A0B6" w:rsidR="00CA649B" w:rsidRPr="00B91BDE" w:rsidRDefault="00CA649B" w:rsidP="00C80707">
            <w:pPr>
              <w:jc w:val="center"/>
              <w:rPr>
                <w:rFonts w:cs="Times New Roman"/>
                <w:sz w:val="22"/>
                <w:lang w:eastAsia="lv-LV"/>
              </w:rPr>
            </w:pPr>
            <w:r>
              <w:rPr>
                <w:rFonts w:cs="Times New Roman"/>
                <w:sz w:val="22"/>
                <w:lang w:eastAsia="lv-LV"/>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4F553" w14:textId="385735D7" w:rsidR="00CA649B" w:rsidRPr="00B91BDE" w:rsidRDefault="00CA649B" w:rsidP="00C80707">
            <w:pPr>
              <w:jc w:val="center"/>
              <w:rPr>
                <w:rFonts w:cs="Times New Roman"/>
                <w:sz w:val="22"/>
                <w:lang w:eastAsia="lv-LV"/>
              </w:rPr>
            </w:pPr>
            <w:r w:rsidRPr="00B91BDE">
              <w:rPr>
                <w:rFonts w:cs="Times New Roman"/>
                <w:sz w:val="22"/>
                <w:lang w:eastAsia="lv-LV"/>
              </w:rPr>
              <w:t>0</w:t>
            </w:r>
          </w:p>
        </w:tc>
      </w:tr>
      <w:tr w:rsidR="00CA649B" w:rsidRPr="00B91BDE" w14:paraId="3514643E" w14:textId="77777777" w:rsidTr="00CA649B">
        <w:trPr>
          <w:trHeight w:val="320"/>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BDEFD" w14:textId="77777777" w:rsidR="00CA649B" w:rsidRPr="00B91BDE" w:rsidRDefault="00CA649B" w:rsidP="00C80707">
            <w:pPr>
              <w:jc w:val="right"/>
              <w:rPr>
                <w:rFonts w:cs="Times New Roman"/>
                <w:sz w:val="22"/>
                <w:lang w:eastAsia="lv-LV"/>
              </w:rPr>
            </w:pPr>
            <w:r w:rsidRPr="00B91BDE">
              <w:rPr>
                <w:rFonts w:cs="Times New Roman"/>
                <w:sz w:val="22"/>
                <w:lang w:eastAsia="lv-LV"/>
              </w:rPr>
              <w:t>13</w:t>
            </w:r>
          </w:p>
        </w:tc>
        <w:tc>
          <w:tcPr>
            <w:tcW w:w="26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264508" w14:textId="77777777" w:rsidR="00CA649B" w:rsidRPr="00B91BDE" w:rsidRDefault="00CA649B" w:rsidP="00C80707">
            <w:pPr>
              <w:rPr>
                <w:rFonts w:cs="Times New Roman"/>
                <w:sz w:val="22"/>
                <w:lang w:eastAsia="lv-LV"/>
              </w:rPr>
            </w:pPr>
            <w:r w:rsidRPr="00B91BDE">
              <w:rPr>
                <w:rFonts w:cs="Times New Roman"/>
                <w:sz w:val="22"/>
                <w:lang w:eastAsia="lv-LV"/>
              </w:rPr>
              <w:t>VAS “Valsts nekustamie īpašumi”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333BCA" w14:textId="5636CDFF" w:rsidR="00CA649B" w:rsidRPr="00B91BDE" w:rsidRDefault="00CA649B" w:rsidP="00C80707">
            <w:pPr>
              <w:jc w:val="center"/>
              <w:rPr>
                <w:rFonts w:cs="Times New Roman"/>
                <w:sz w:val="22"/>
                <w:lang w:eastAsia="lv-LV"/>
              </w:rPr>
            </w:pPr>
            <w:r>
              <w:rPr>
                <w:rFonts w:cs="Times New Roman"/>
                <w:sz w:val="22"/>
                <w:lang w:eastAsia="lv-LV"/>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9A632" w14:textId="1EA70252" w:rsidR="00CA649B" w:rsidRPr="00B91BDE" w:rsidRDefault="00CA649B" w:rsidP="00C80707">
            <w:pPr>
              <w:jc w:val="center"/>
              <w:rPr>
                <w:rFonts w:cs="Times New Roman"/>
                <w:sz w:val="22"/>
                <w:lang w:eastAsia="lv-LV"/>
              </w:rPr>
            </w:pPr>
            <w:r>
              <w:rPr>
                <w:rFonts w:cs="Times New Roman"/>
                <w:sz w:val="22"/>
                <w:lang w:eastAsia="lv-LV"/>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9C8FE" w14:textId="3A86257F" w:rsidR="00CA649B" w:rsidRPr="00B91BDE" w:rsidRDefault="00CA649B" w:rsidP="00C80707">
            <w:pPr>
              <w:jc w:val="center"/>
              <w:rPr>
                <w:rFonts w:cs="Times New Roman"/>
                <w:sz w:val="22"/>
                <w:lang w:eastAsia="lv-LV"/>
              </w:rPr>
            </w:pPr>
            <w:r>
              <w:rPr>
                <w:rFonts w:cs="Times New Roman"/>
                <w:sz w:val="22"/>
                <w:lang w:eastAsia="lv-LV"/>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0A9C9" w14:textId="47594EEE" w:rsidR="00CA649B" w:rsidRPr="00B91BDE" w:rsidRDefault="00CA649B" w:rsidP="00C80707">
            <w:pPr>
              <w:jc w:val="center"/>
              <w:rPr>
                <w:rFonts w:cs="Times New Roman"/>
                <w:sz w:val="22"/>
                <w:lang w:eastAsia="lv-LV"/>
              </w:rPr>
            </w:pPr>
            <w:r w:rsidRPr="00B91BDE">
              <w:rPr>
                <w:rFonts w:cs="Times New Roman"/>
                <w:sz w:val="22"/>
                <w:lang w:eastAsia="lv-LV"/>
              </w:rPr>
              <w:t>0</w:t>
            </w:r>
          </w:p>
        </w:tc>
      </w:tr>
      <w:tr w:rsidR="00CA649B" w:rsidRPr="00B91BDE" w14:paraId="037B64A8" w14:textId="77777777" w:rsidTr="00CA649B">
        <w:trPr>
          <w:trHeight w:val="320"/>
        </w:trPr>
        <w:tc>
          <w:tcPr>
            <w:tcW w:w="32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67DFB" w14:textId="77777777" w:rsidR="00CA649B" w:rsidRPr="00B91BDE" w:rsidRDefault="00CA649B" w:rsidP="00C80707">
            <w:pPr>
              <w:jc w:val="center"/>
              <w:rPr>
                <w:rFonts w:cs="Times New Roman"/>
                <w:b/>
                <w:bCs/>
                <w:sz w:val="22"/>
                <w:lang w:eastAsia="lv-LV"/>
              </w:rPr>
            </w:pPr>
            <w:r w:rsidRPr="00B91BDE">
              <w:rPr>
                <w:rFonts w:cs="Times New Roman"/>
                <w:b/>
                <w:bCs/>
                <w:sz w:val="22"/>
                <w:lang w:eastAsia="lv-LV"/>
              </w:rPr>
              <w:t>KOPĀ</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2BEFC3" w14:textId="67224C01" w:rsidR="00CA649B" w:rsidRPr="00B91BDE" w:rsidRDefault="00CA649B" w:rsidP="00C80707">
            <w:pPr>
              <w:jc w:val="center"/>
              <w:rPr>
                <w:rFonts w:cs="Times New Roman"/>
                <w:b/>
                <w:bCs/>
                <w:sz w:val="22"/>
                <w:lang w:eastAsia="lv-LV"/>
              </w:rPr>
            </w:pPr>
            <w:r w:rsidRPr="00B91BDE">
              <w:rPr>
                <w:rFonts w:cs="Times New Roman"/>
                <w:b/>
                <w:bCs/>
                <w:sz w:val="22"/>
                <w:lang w:eastAsia="lv-LV"/>
              </w:rPr>
              <w:t>1</w:t>
            </w:r>
            <w:r>
              <w:rPr>
                <w:rFonts w:cs="Times New Roman"/>
                <w:b/>
                <w:bCs/>
                <w:sz w:val="22"/>
                <w:lang w:eastAsia="lv-LV"/>
              </w:rPr>
              <w:t>07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9BCB2" w14:textId="31BF87A7" w:rsidR="00CA649B" w:rsidRPr="00B91BDE" w:rsidRDefault="00CA649B" w:rsidP="00C80707">
            <w:pPr>
              <w:jc w:val="center"/>
              <w:rPr>
                <w:rFonts w:cs="Times New Roman"/>
                <w:b/>
                <w:bCs/>
                <w:sz w:val="22"/>
                <w:lang w:eastAsia="lv-LV"/>
              </w:rPr>
            </w:pPr>
            <w:r>
              <w:rPr>
                <w:rFonts w:cs="Times New Roman"/>
                <w:b/>
                <w:bCs/>
                <w:sz w:val="22"/>
                <w:lang w:eastAsia="lv-LV"/>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8BC9F" w14:textId="22FFB497" w:rsidR="00CA649B" w:rsidRPr="00B91BDE" w:rsidRDefault="00CA649B" w:rsidP="00C80707">
            <w:pPr>
              <w:jc w:val="center"/>
              <w:rPr>
                <w:rFonts w:cs="Times New Roman"/>
                <w:b/>
                <w:bCs/>
                <w:sz w:val="22"/>
                <w:lang w:eastAsia="lv-LV"/>
              </w:rPr>
            </w:pPr>
            <w:r>
              <w:rPr>
                <w:rFonts w:cs="Times New Roman"/>
                <w:b/>
                <w:bCs/>
                <w:sz w:val="22"/>
                <w:lang w:eastAsia="lv-LV"/>
              </w:rPr>
              <w:t>67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9164D" w14:textId="629F42C5" w:rsidR="00CA649B" w:rsidRPr="00B91BDE" w:rsidRDefault="00CA649B" w:rsidP="00C80707">
            <w:pPr>
              <w:jc w:val="center"/>
              <w:rPr>
                <w:rFonts w:cs="Times New Roman"/>
                <w:b/>
                <w:bCs/>
                <w:sz w:val="22"/>
                <w:lang w:eastAsia="lv-LV"/>
              </w:rPr>
            </w:pPr>
            <w:r>
              <w:rPr>
                <w:rFonts w:cs="Times New Roman"/>
                <w:b/>
                <w:bCs/>
                <w:sz w:val="22"/>
                <w:lang w:eastAsia="lv-LV"/>
              </w:rPr>
              <w:t>24</w:t>
            </w:r>
          </w:p>
        </w:tc>
      </w:tr>
    </w:tbl>
    <w:p w14:paraId="7CCACA70" w14:textId="7025FADF" w:rsidR="006C7631" w:rsidRDefault="006C7631" w:rsidP="006C7631">
      <w:pPr>
        <w:spacing w:line="276" w:lineRule="auto"/>
        <w:ind w:firstLine="709"/>
        <w:jc w:val="both"/>
        <w:rPr>
          <w:bCs/>
          <w:sz w:val="24"/>
          <w:szCs w:val="24"/>
        </w:rPr>
      </w:pPr>
      <w:r w:rsidRPr="006C7631">
        <w:rPr>
          <w:b/>
          <w:sz w:val="24"/>
          <w:szCs w:val="24"/>
        </w:rPr>
        <w:t>Labklājības ministrijas</w:t>
      </w:r>
      <w:r w:rsidRPr="006C7631">
        <w:rPr>
          <w:bCs/>
          <w:sz w:val="24"/>
          <w:szCs w:val="24"/>
        </w:rPr>
        <w:t xml:space="preserve"> kvota atbilstoši MK noteikumu Nr. 534 1.</w:t>
      </w:r>
      <w:r w:rsidR="00CA649B">
        <w:rPr>
          <w:bCs/>
          <w:sz w:val="24"/>
          <w:szCs w:val="24"/>
        </w:rPr>
        <w:t> </w:t>
      </w:r>
      <w:r w:rsidRPr="006C7631">
        <w:rPr>
          <w:bCs/>
          <w:sz w:val="24"/>
          <w:szCs w:val="24"/>
        </w:rPr>
        <w:t xml:space="preserve">pielikumā noteiktam tiek pārsniegta par </w:t>
      </w:r>
      <w:r w:rsidR="00CA649B" w:rsidRPr="00CA649B">
        <w:rPr>
          <w:bCs/>
          <w:sz w:val="24"/>
          <w:szCs w:val="24"/>
        </w:rPr>
        <w:t>1 199</w:t>
      </w:r>
      <w:r w:rsidR="00CA649B">
        <w:rPr>
          <w:bCs/>
          <w:sz w:val="24"/>
          <w:szCs w:val="24"/>
        </w:rPr>
        <w:t> </w:t>
      </w:r>
      <w:r w:rsidR="00CA649B" w:rsidRPr="00CA649B">
        <w:rPr>
          <w:bCs/>
          <w:sz w:val="24"/>
          <w:szCs w:val="24"/>
        </w:rPr>
        <w:t>663</w:t>
      </w:r>
      <w:r w:rsidR="00CA649B">
        <w:rPr>
          <w:bCs/>
          <w:sz w:val="24"/>
          <w:szCs w:val="24"/>
        </w:rPr>
        <w:t>,</w:t>
      </w:r>
      <w:r w:rsidR="00CA649B" w:rsidRPr="00CA649B">
        <w:rPr>
          <w:bCs/>
          <w:sz w:val="24"/>
          <w:szCs w:val="24"/>
        </w:rPr>
        <w:t xml:space="preserve">63 </w:t>
      </w:r>
      <w:proofErr w:type="spellStart"/>
      <w:r w:rsidRPr="006C7631">
        <w:rPr>
          <w:bCs/>
          <w:i/>
          <w:iCs/>
          <w:sz w:val="24"/>
          <w:szCs w:val="24"/>
        </w:rPr>
        <w:t>euro</w:t>
      </w:r>
      <w:proofErr w:type="spellEnd"/>
      <w:r w:rsidRPr="006C7631">
        <w:rPr>
          <w:bCs/>
          <w:sz w:val="24"/>
          <w:szCs w:val="24"/>
        </w:rPr>
        <w:t xml:space="preserve">. </w:t>
      </w:r>
      <w:r w:rsidR="003D396C">
        <w:rPr>
          <w:bCs/>
          <w:sz w:val="24"/>
          <w:szCs w:val="24"/>
        </w:rPr>
        <w:t>Daļu i</w:t>
      </w:r>
      <w:r w:rsidR="00CA649B">
        <w:rPr>
          <w:bCs/>
          <w:sz w:val="24"/>
          <w:szCs w:val="24"/>
        </w:rPr>
        <w:t>zmaks</w:t>
      </w:r>
      <w:r w:rsidR="003D396C">
        <w:rPr>
          <w:bCs/>
          <w:sz w:val="24"/>
          <w:szCs w:val="24"/>
        </w:rPr>
        <w:t>u</w:t>
      </w:r>
      <w:r w:rsidR="00CA649B">
        <w:rPr>
          <w:bCs/>
          <w:sz w:val="24"/>
          <w:szCs w:val="24"/>
        </w:rPr>
        <w:t xml:space="preserve"> plānots segt no Ekonomikas ministrijas kvotas pārdales, kā rezultātā Labklājības ministrijai piešķirts papildus finansējums </w:t>
      </w:r>
      <w:r w:rsidR="00CA649B" w:rsidRPr="00CA649B">
        <w:rPr>
          <w:bCs/>
          <w:sz w:val="24"/>
          <w:szCs w:val="24"/>
        </w:rPr>
        <w:t>1</w:t>
      </w:r>
      <w:r w:rsidR="00CA649B">
        <w:rPr>
          <w:bCs/>
          <w:sz w:val="24"/>
          <w:szCs w:val="24"/>
        </w:rPr>
        <w:t> </w:t>
      </w:r>
      <w:r w:rsidR="00CA649B" w:rsidRPr="00CA649B">
        <w:rPr>
          <w:bCs/>
          <w:sz w:val="24"/>
          <w:szCs w:val="24"/>
        </w:rPr>
        <w:t>360</w:t>
      </w:r>
      <w:r w:rsidR="00CA649B">
        <w:rPr>
          <w:bCs/>
          <w:sz w:val="24"/>
          <w:szCs w:val="24"/>
        </w:rPr>
        <w:t> </w:t>
      </w:r>
      <w:r w:rsidR="00CA649B" w:rsidRPr="00CA649B">
        <w:rPr>
          <w:bCs/>
          <w:sz w:val="24"/>
          <w:szCs w:val="24"/>
        </w:rPr>
        <w:t>514</w:t>
      </w:r>
      <w:r w:rsidR="00CA649B">
        <w:rPr>
          <w:bCs/>
          <w:sz w:val="24"/>
          <w:szCs w:val="24"/>
        </w:rPr>
        <w:t> </w:t>
      </w:r>
      <w:proofErr w:type="spellStart"/>
      <w:r w:rsidR="00CA649B" w:rsidRPr="00CA649B">
        <w:rPr>
          <w:bCs/>
          <w:i/>
          <w:iCs/>
          <w:sz w:val="24"/>
          <w:szCs w:val="24"/>
        </w:rPr>
        <w:t>euro</w:t>
      </w:r>
      <w:proofErr w:type="spellEnd"/>
      <w:r w:rsidR="00CA649B">
        <w:rPr>
          <w:bCs/>
          <w:sz w:val="24"/>
          <w:szCs w:val="24"/>
        </w:rPr>
        <w:t xml:space="preserve"> apmērā.</w:t>
      </w:r>
    </w:p>
    <w:p w14:paraId="7C7948E4" w14:textId="47F6573C" w:rsidR="00B91BDE" w:rsidRDefault="00B91BDE" w:rsidP="006C7631">
      <w:pPr>
        <w:spacing w:line="276" w:lineRule="auto"/>
        <w:ind w:firstLine="709"/>
        <w:jc w:val="both"/>
        <w:rPr>
          <w:bCs/>
          <w:sz w:val="24"/>
          <w:szCs w:val="24"/>
        </w:rPr>
      </w:pPr>
      <w:r w:rsidRPr="006C7631">
        <w:rPr>
          <w:b/>
          <w:sz w:val="24"/>
          <w:szCs w:val="24"/>
        </w:rPr>
        <w:t>Finanšu ministrijas, Valsts akciju sabiedrības “Valsts nekustamie īpašumi”</w:t>
      </w:r>
      <w:r w:rsidR="00CD4DD9">
        <w:rPr>
          <w:b/>
          <w:sz w:val="24"/>
          <w:szCs w:val="24"/>
        </w:rPr>
        <w:t>,</w:t>
      </w:r>
      <w:r w:rsidRPr="006C7631">
        <w:rPr>
          <w:b/>
          <w:sz w:val="24"/>
          <w:szCs w:val="24"/>
        </w:rPr>
        <w:t xml:space="preserve"> </w:t>
      </w:r>
      <w:r w:rsidR="00CD4DD9" w:rsidRPr="00CD4DD9">
        <w:rPr>
          <w:b/>
          <w:sz w:val="24"/>
          <w:szCs w:val="24"/>
        </w:rPr>
        <w:t>Tieslietu ministrija</w:t>
      </w:r>
      <w:r w:rsidR="00CD4DD9">
        <w:rPr>
          <w:b/>
          <w:sz w:val="24"/>
          <w:szCs w:val="24"/>
        </w:rPr>
        <w:t>s</w:t>
      </w:r>
      <w:r w:rsidR="00CD4DD9" w:rsidRPr="00CD4DD9">
        <w:rPr>
          <w:b/>
          <w:sz w:val="24"/>
          <w:szCs w:val="24"/>
        </w:rPr>
        <w:t>, Vides aizsardzības un reģionālā attīstības ministrija</w:t>
      </w:r>
      <w:r w:rsidR="00CD4DD9">
        <w:rPr>
          <w:b/>
          <w:sz w:val="24"/>
          <w:szCs w:val="24"/>
        </w:rPr>
        <w:t>s</w:t>
      </w:r>
      <w:r w:rsidR="00CD4DD9" w:rsidRPr="00CD4DD9">
        <w:rPr>
          <w:b/>
          <w:sz w:val="24"/>
          <w:szCs w:val="24"/>
        </w:rPr>
        <w:t xml:space="preserve"> un Kultūras ministrijas </w:t>
      </w:r>
      <w:r w:rsidRPr="006C7631">
        <w:rPr>
          <w:bCs/>
          <w:sz w:val="24"/>
          <w:szCs w:val="24"/>
        </w:rPr>
        <w:t>visi plānotie projektu</w:t>
      </w:r>
      <w:r w:rsidRPr="006F0479">
        <w:rPr>
          <w:bCs/>
          <w:sz w:val="24"/>
          <w:szCs w:val="24"/>
        </w:rPr>
        <w:t xml:space="preserve"> </w:t>
      </w:r>
      <w:r w:rsidR="00A00263">
        <w:rPr>
          <w:bCs/>
          <w:sz w:val="24"/>
          <w:szCs w:val="24"/>
        </w:rPr>
        <w:t>iesniegumi</w:t>
      </w:r>
      <w:r w:rsidRPr="006F0479">
        <w:rPr>
          <w:bCs/>
          <w:sz w:val="24"/>
          <w:szCs w:val="24"/>
        </w:rPr>
        <w:t xml:space="preserve"> ir iesniegti un publiskā finansējuma atlikuma nav</w:t>
      </w:r>
      <w:r w:rsidR="007947DD">
        <w:rPr>
          <w:bCs/>
          <w:sz w:val="24"/>
          <w:szCs w:val="24"/>
        </w:rPr>
        <w:t>.</w:t>
      </w:r>
    </w:p>
    <w:p w14:paraId="05606620" w14:textId="6E9736BA" w:rsidR="00957076" w:rsidRDefault="00872226" w:rsidP="005843A4">
      <w:pPr>
        <w:spacing w:line="276" w:lineRule="auto"/>
        <w:ind w:firstLine="709"/>
        <w:jc w:val="both"/>
        <w:rPr>
          <w:bCs/>
          <w:sz w:val="24"/>
          <w:szCs w:val="24"/>
        </w:rPr>
      </w:pPr>
      <w:r>
        <w:rPr>
          <w:bCs/>
          <w:sz w:val="24"/>
          <w:szCs w:val="24"/>
        </w:rPr>
        <w:t xml:space="preserve">Šobrīd CFLA vērtēšanā atrodas 16 4.2.1.2. pasākuma 1. iesnieguma atlases kārtas projekti. </w:t>
      </w:r>
      <w:r w:rsidR="00AE4D43">
        <w:rPr>
          <w:bCs/>
          <w:sz w:val="24"/>
          <w:szCs w:val="24"/>
        </w:rPr>
        <w:t>Pēc projektu analīzes</w:t>
      </w:r>
      <w:r w:rsidR="00C22D2C">
        <w:rPr>
          <w:bCs/>
          <w:sz w:val="24"/>
          <w:szCs w:val="24"/>
        </w:rPr>
        <w:t xml:space="preserve"> veikšanas</w:t>
      </w:r>
      <w:r w:rsidR="00AE4D43">
        <w:rPr>
          <w:bCs/>
          <w:sz w:val="24"/>
          <w:szCs w:val="24"/>
        </w:rPr>
        <w:t>, kas pievienota informatīvā ziņojuma pielikumā, un saziņas ar attiecīgajām nozaru ministrijām</w:t>
      </w:r>
      <w:r>
        <w:rPr>
          <w:bCs/>
          <w:sz w:val="24"/>
          <w:szCs w:val="24"/>
        </w:rPr>
        <w:t>, konstatē</w:t>
      </w:r>
      <w:r w:rsidR="003E0BFD">
        <w:rPr>
          <w:bCs/>
          <w:sz w:val="24"/>
          <w:szCs w:val="24"/>
        </w:rPr>
        <w:t>t</w:t>
      </w:r>
      <w:r w:rsidR="003D396C">
        <w:rPr>
          <w:bCs/>
          <w:sz w:val="24"/>
          <w:szCs w:val="24"/>
        </w:rPr>
        <w:t>s</w:t>
      </w:r>
      <w:r>
        <w:rPr>
          <w:bCs/>
          <w:sz w:val="24"/>
          <w:szCs w:val="24"/>
        </w:rPr>
        <w:t>,</w:t>
      </w:r>
      <w:r w:rsidR="003E0BFD">
        <w:rPr>
          <w:bCs/>
          <w:sz w:val="24"/>
          <w:szCs w:val="24"/>
        </w:rPr>
        <w:t xml:space="preserve"> ka</w:t>
      </w:r>
      <w:r>
        <w:rPr>
          <w:bCs/>
          <w:sz w:val="24"/>
          <w:szCs w:val="24"/>
        </w:rPr>
        <w:t xml:space="preserve"> </w:t>
      </w:r>
      <w:r w:rsidR="00407B2C">
        <w:rPr>
          <w:bCs/>
          <w:sz w:val="24"/>
          <w:szCs w:val="24"/>
        </w:rPr>
        <w:t xml:space="preserve">projekti, kuru iespēja īstenoties šobrīd ir </w:t>
      </w:r>
      <w:r w:rsidR="005843A4">
        <w:rPr>
          <w:bCs/>
          <w:sz w:val="24"/>
          <w:szCs w:val="24"/>
        </w:rPr>
        <w:t xml:space="preserve">nopietni </w:t>
      </w:r>
      <w:r w:rsidR="00407B2C">
        <w:rPr>
          <w:bCs/>
          <w:sz w:val="24"/>
          <w:szCs w:val="24"/>
        </w:rPr>
        <w:t xml:space="preserve">apšaubāma, ir Nodrošinājuma valsts aģentūras četri no pieciem </w:t>
      </w:r>
      <w:r w:rsidR="003D396C">
        <w:rPr>
          <w:bCs/>
          <w:sz w:val="24"/>
          <w:szCs w:val="24"/>
        </w:rPr>
        <w:t>vērtēšanas statusā esošajiem</w:t>
      </w:r>
      <w:r w:rsidR="00407B2C">
        <w:rPr>
          <w:bCs/>
          <w:sz w:val="24"/>
          <w:szCs w:val="24"/>
        </w:rPr>
        <w:t xml:space="preserve"> projektiem, kuru attiecināmās izmaksas ir nesamērīgi augstas</w:t>
      </w:r>
      <w:r w:rsidR="00957076">
        <w:rPr>
          <w:bCs/>
          <w:sz w:val="24"/>
          <w:szCs w:val="24"/>
        </w:rPr>
        <w:t xml:space="preserve"> (67%-95% no kopējām izmaksām)</w:t>
      </w:r>
      <w:r w:rsidR="00407B2C">
        <w:rPr>
          <w:bCs/>
          <w:sz w:val="24"/>
          <w:szCs w:val="24"/>
        </w:rPr>
        <w:t>. Vienlaikus Nodrošinājuma valsts aģentūra informē, ka plāno kopumā īstenot trīs no pieciem iesniegtajiem projektiem, kā rezultātā attiecināmo izmaksu apmērs īstenojamajiem projektiem kļūtu samērīgs</w:t>
      </w:r>
      <w:r w:rsidR="005843A4">
        <w:rPr>
          <w:bCs/>
          <w:sz w:val="24"/>
          <w:szCs w:val="24"/>
        </w:rPr>
        <w:t xml:space="preserve"> un </w:t>
      </w:r>
      <w:proofErr w:type="spellStart"/>
      <w:r w:rsidR="005843A4">
        <w:rPr>
          <w:bCs/>
          <w:sz w:val="24"/>
          <w:szCs w:val="24"/>
        </w:rPr>
        <w:t>Iekšlietu</w:t>
      </w:r>
      <w:proofErr w:type="spellEnd"/>
      <w:r w:rsidR="005843A4">
        <w:rPr>
          <w:bCs/>
          <w:sz w:val="24"/>
          <w:szCs w:val="24"/>
        </w:rPr>
        <w:t xml:space="preserve"> ministrijai paredzētais finansējums tiktu apgūts</w:t>
      </w:r>
      <w:r w:rsidR="00407B2C">
        <w:rPr>
          <w:bCs/>
          <w:sz w:val="24"/>
          <w:szCs w:val="24"/>
        </w:rPr>
        <w:t xml:space="preserve">. </w:t>
      </w:r>
    </w:p>
    <w:p w14:paraId="421C1A6E" w14:textId="5780EE98" w:rsidR="007B70A3" w:rsidRDefault="007B70A3" w:rsidP="007B70A3">
      <w:pPr>
        <w:spacing w:line="276" w:lineRule="auto"/>
        <w:ind w:firstLine="709"/>
        <w:jc w:val="both"/>
        <w:rPr>
          <w:bCs/>
          <w:sz w:val="24"/>
          <w:szCs w:val="24"/>
        </w:rPr>
      </w:pPr>
      <w:r>
        <w:rPr>
          <w:bCs/>
          <w:sz w:val="24"/>
          <w:szCs w:val="24"/>
          <w:u w:val="single"/>
        </w:rPr>
        <w:lastRenderedPageBreak/>
        <w:t>Vēršam uzmanību</w:t>
      </w:r>
      <w:r w:rsidR="00957076" w:rsidRPr="00B375B2">
        <w:rPr>
          <w:bCs/>
          <w:sz w:val="24"/>
          <w:szCs w:val="24"/>
          <w:u w:val="single"/>
        </w:rPr>
        <w:t>, ka vērtēšanā esošajos projektos</w:t>
      </w:r>
      <w:r w:rsidR="005843A4" w:rsidRPr="00B375B2">
        <w:rPr>
          <w:bCs/>
          <w:sz w:val="24"/>
          <w:szCs w:val="24"/>
          <w:u w:val="single"/>
        </w:rPr>
        <w:t xml:space="preserve"> ieguldī</w:t>
      </w:r>
      <w:r w:rsidR="003D396C" w:rsidRPr="00B375B2">
        <w:rPr>
          <w:bCs/>
          <w:sz w:val="24"/>
          <w:szCs w:val="24"/>
          <w:u w:val="single"/>
        </w:rPr>
        <w:t>ti</w:t>
      </w:r>
      <w:r w:rsidR="005843A4" w:rsidRPr="00B375B2">
        <w:rPr>
          <w:bCs/>
          <w:sz w:val="24"/>
          <w:szCs w:val="24"/>
          <w:u w:val="single"/>
        </w:rPr>
        <w:t xml:space="preserve"> </w:t>
      </w:r>
      <w:r w:rsidR="00957076" w:rsidRPr="00B375B2">
        <w:rPr>
          <w:bCs/>
          <w:sz w:val="24"/>
          <w:szCs w:val="24"/>
          <w:u w:val="single"/>
        </w:rPr>
        <w:t xml:space="preserve">ievērojami </w:t>
      </w:r>
      <w:r w:rsidR="005843A4" w:rsidRPr="00B375B2">
        <w:rPr>
          <w:bCs/>
          <w:sz w:val="24"/>
          <w:szCs w:val="24"/>
          <w:u w:val="single"/>
        </w:rPr>
        <w:t>finanšu līdzekļ</w:t>
      </w:r>
      <w:r w:rsidR="003D396C" w:rsidRPr="00B375B2">
        <w:rPr>
          <w:bCs/>
          <w:sz w:val="24"/>
          <w:szCs w:val="24"/>
          <w:u w:val="single"/>
        </w:rPr>
        <w:t>i</w:t>
      </w:r>
      <w:r w:rsidR="005843A4" w:rsidRPr="00B375B2">
        <w:rPr>
          <w:bCs/>
          <w:sz w:val="24"/>
          <w:szCs w:val="24"/>
          <w:u w:val="single"/>
        </w:rPr>
        <w:t>, ka</w:t>
      </w:r>
      <w:r w:rsidR="00957076" w:rsidRPr="00B375B2">
        <w:rPr>
          <w:bCs/>
          <w:sz w:val="24"/>
          <w:szCs w:val="24"/>
          <w:u w:val="single"/>
        </w:rPr>
        <w:t>s</w:t>
      </w:r>
      <w:r w:rsidR="005843A4" w:rsidRPr="00B375B2">
        <w:rPr>
          <w:bCs/>
          <w:sz w:val="24"/>
          <w:szCs w:val="24"/>
          <w:u w:val="single"/>
        </w:rPr>
        <w:t xml:space="preserve"> projektu neīstenošanas gadījuma tiktu zaudēti</w:t>
      </w:r>
      <w:r w:rsidR="00957076" w:rsidRPr="00B375B2">
        <w:rPr>
          <w:bCs/>
          <w:sz w:val="24"/>
          <w:szCs w:val="24"/>
          <w:u w:val="single"/>
        </w:rPr>
        <w:t xml:space="preserve">, un faktu, ka neeksistē tiesisks pamatojums un </w:t>
      </w:r>
      <w:r w:rsidR="00B375B2" w:rsidRPr="00B375B2">
        <w:rPr>
          <w:bCs/>
          <w:sz w:val="24"/>
          <w:szCs w:val="24"/>
          <w:u w:val="single"/>
        </w:rPr>
        <w:t xml:space="preserve">vienoti </w:t>
      </w:r>
      <w:r w:rsidR="00957076" w:rsidRPr="00B375B2">
        <w:rPr>
          <w:bCs/>
          <w:sz w:val="24"/>
          <w:szCs w:val="24"/>
          <w:u w:val="single"/>
        </w:rPr>
        <w:t>kritēriji konkrētu projektu iesniegumu noraidīšanai</w:t>
      </w:r>
      <w:r w:rsidR="00957076">
        <w:rPr>
          <w:bCs/>
          <w:sz w:val="24"/>
          <w:szCs w:val="24"/>
        </w:rPr>
        <w:t xml:space="preserve">, </w:t>
      </w:r>
      <w:r>
        <w:rPr>
          <w:bCs/>
          <w:sz w:val="24"/>
          <w:szCs w:val="24"/>
        </w:rPr>
        <w:t xml:space="preserve">kā arī </w:t>
      </w:r>
      <w:r w:rsidR="00B375B2">
        <w:rPr>
          <w:bCs/>
          <w:sz w:val="24"/>
          <w:szCs w:val="24"/>
        </w:rPr>
        <w:t>norādām</w:t>
      </w:r>
      <w:r w:rsidR="00957076">
        <w:rPr>
          <w:bCs/>
          <w:sz w:val="24"/>
          <w:szCs w:val="24"/>
        </w:rPr>
        <w:t xml:space="preserve">, ka </w:t>
      </w:r>
      <w:r w:rsidRPr="007B70A3">
        <w:rPr>
          <w:bCs/>
          <w:sz w:val="24"/>
          <w:szCs w:val="24"/>
        </w:rPr>
        <w:t>finansējuma saņēmēji veicamās darbības izpildījuši atbilstoši 4.2.1.2. pasākuma pirmās iesniegumu atlases kārtas nolikuma</w:t>
      </w:r>
      <w:r>
        <w:rPr>
          <w:bCs/>
          <w:sz w:val="24"/>
          <w:szCs w:val="24"/>
        </w:rPr>
        <w:t xml:space="preserve">m. Ņemot vērā iepriekš minēto, skaidrojam, ka </w:t>
      </w:r>
      <w:r w:rsidR="00957076" w:rsidRPr="00B375B2">
        <w:rPr>
          <w:b/>
          <w:sz w:val="24"/>
          <w:szCs w:val="24"/>
        </w:rPr>
        <w:t>nepieciešams dot iespēju finansējuma saņēmējiem</w:t>
      </w:r>
      <w:r>
        <w:rPr>
          <w:b/>
          <w:sz w:val="24"/>
          <w:szCs w:val="24"/>
        </w:rPr>
        <w:t xml:space="preserve"> īstenot</w:t>
      </w:r>
      <w:r w:rsidR="00957076" w:rsidRPr="00B375B2">
        <w:rPr>
          <w:b/>
          <w:sz w:val="24"/>
          <w:szCs w:val="24"/>
        </w:rPr>
        <w:t xml:space="preserve"> iesniegtos projektus</w:t>
      </w:r>
      <w:r>
        <w:rPr>
          <w:b/>
          <w:sz w:val="24"/>
          <w:szCs w:val="24"/>
        </w:rPr>
        <w:t xml:space="preserve">, </w:t>
      </w:r>
      <w:r>
        <w:rPr>
          <w:bCs/>
          <w:sz w:val="24"/>
          <w:szCs w:val="24"/>
        </w:rPr>
        <w:t>v</w:t>
      </w:r>
      <w:r w:rsidR="005843A4">
        <w:rPr>
          <w:bCs/>
          <w:sz w:val="24"/>
          <w:szCs w:val="24"/>
        </w:rPr>
        <w:t xml:space="preserve">ienlaikus </w:t>
      </w:r>
      <w:r>
        <w:rPr>
          <w:bCs/>
          <w:sz w:val="24"/>
          <w:szCs w:val="24"/>
        </w:rPr>
        <w:t>nosakot skaidrus noteikumus tālākai rīcībai un</w:t>
      </w:r>
      <w:r w:rsidR="00696AD6">
        <w:rPr>
          <w:bCs/>
          <w:sz w:val="24"/>
          <w:szCs w:val="24"/>
        </w:rPr>
        <w:t>, lai</w:t>
      </w:r>
      <w:r>
        <w:rPr>
          <w:bCs/>
          <w:sz w:val="24"/>
          <w:szCs w:val="24"/>
        </w:rPr>
        <w:t xml:space="preserve"> projektu iesniedzējiem būtu</w:t>
      </w:r>
      <w:r w:rsidR="00696AD6">
        <w:rPr>
          <w:bCs/>
          <w:sz w:val="24"/>
          <w:szCs w:val="24"/>
        </w:rPr>
        <w:t xml:space="preserve"> vienlīdzīgi un</w:t>
      </w:r>
      <w:r>
        <w:rPr>
          <w:bCs/>
          <w:sz w:val="24"/>
          <w:szCs w:val="24"/>
        </w:rPr>
        <w:t xml:space="preserve"> nep</w:t>
      </w:r>
      <w:r w:rsidR="00C22D2C">
        <w:rPr>
          <w:bCs/>
          <w:sz w:val="24"/>
          <w:szCs w:val="24"/>
        </w:rPr>
        <w:t>ā</w:t>
      </w:r>
      <w:r>
        <w:rPr>
          <w:bCs/>
          <w:sz w:val="24"/>
          <w:szCs w:val="24"/>
        </w:rPr>
        <w:t xml:space="preserve">rprotami nosacījumi, </w:t>
      </w:r>
      <w:r w:rsidR="00696AD6">
        <w:rPr>
          <w:bCs/>
          <w:sz w:val="24"/>
          <w:szCs w:val="24"/>
        </w:rPr>
        <w:t>kuru neizpildes gadījumā</w:t>
      </w:r>
      <w:r>
        <w:rPr>
          <w:bCs/>
          <w:sz w:val="24"/>
          <w:szCs w:val="24"/>
        </w:rPr>
        <w:t xml:space="preserve"> konkrētā termiņā</w:t>
      </w:r>
      <w:r w:rsidR="00696AD6">
        <w:rPr>
          <w:bCs/>
          <w:sz w:val="24"/>
          <w:szCs w:val="24"/>
        </w:rPr>
        <w:t>,</w:t>
      </w:r>
      <w:r>
        <w:rPr>
          <w:bCs/>
          <w:sz w:val="24"/>
          <w:szCs w:val="24"/>
        </w:rPr>
        <w:t xml:space="preserve"> finansējums var tikt </w:t>
      </w:r>
      <w:r w:rsidR="008421F8">
        <w:rPr>
          <w:bCs/>
          <w:sz w:val="24"/>
          <w:szCs w:val="24"/>
        </w:rPr>
        <w:t>atņemts</w:t>
      </w:r>
      <w:r>
        <w:rPr>
          <w:bCs/>
          <w:sz w:val="24"/>
          <w:szCs w:val="24"/>
        </w:rPr>
        <w:t>.</w:t>
      </w:r>
    </w:p>
    <w:p w14:paraId="24A325B1" w14:textId="77777777" w:rsidR="00911959" w:rsidRDefault="00911959" w:rsidP="00B91BDE">
      <w:pPr>
        <w:spacing w:line="276" w:lineRule="auto"/>
        <w:ind w:firstLine="709"/>
        <w:jc w:val="both"/>
        <w:rPr>
          <w:bCs/>
          <w:sz w:val="24"/>
          <w:szCs w:val="24"/>
        </w:rPr>
      </w:pPr>
    </w:p>
    <w:p w14:paraId="0246218E" w14:textId="01AFFE1C" w:rsidR="00870847" w:rsidRPr="00F9060C" w:rsidRDefault="00870847" w:rsidP="00870847">
      <w:pPr>
        <w:jc w:val="both"/>
        <w:rPr>
          <w:b/>
          <w:sz w:val="26"/>
          <w:szCs w:val="26"/>
        </w:rPr>
      </w:pPr>
      <w:r w:rsidRPr="00F9060C">
        <w:rPr>
          <w:b/>
          <w:sz w:val="26"/>
          <w:szCs w:val="26"/>
        </w:rPr>
        <w:t xml:space="preserve">4.2.1.2. pasākuma </w:t>
      </w:r>
      <w:r>
        <w:rPr>
          <w:b/>
          <w:sz w:val="26"/>
          <w:szCs w:val="26"/>
        </w:rPr>
        <w:t>otrās</w:t>
      </w:r>
      <w:r w:rsidRPr="00F9060C">
        <w:rPr>
          <w:b/>
          <w:sz w:val="26"/>
          <w:szCs w:val="26"/>
        </w:rPr>
        <w:t xml:space="preserve"> atlases kārtas situācijas raksturojums</w:t>
      </w:r>
    </w:p>
    <w:p w14:paraId="00CE37FA" w14:textId="5781ECBF" w:rsidR="00870847" w:rsidRPr="00696AD6" w:rsidRDefault="00870847" w:rsidP="00B91BDE">
      <w:pPr>
        <w:spacing w:line="276" w:lineRule="auto"/>
        <w:ind w:firstLine="709"/>
        <w:jc w:val="both"/>
        <w:rPr>
          <w:bCs/>
          <w:szCs w:val="28"/>
        </w:rPr>
      </w:pPr>
    </w:p>
    <w:p w14:paraId="0B9C360E" w14:textId="084E0F58" w:rsidR="001710C3" w:rsidRDefault="001710C3" w:rsidP="001710C3">
      <w:pPr>
        <w:spacing w:line="276" w:lineRule="auto"/>
        <w:ind w:firstLine="720"/>
        <w:jc w:val="both"/>
        <w:rPr>
          <w:bCs/>
          <w:sz w:val="24"/>
          <w:szCs w:val="24"/>
        </w:rPr>
      </w:pPr>
      <w:r w:rsidRPr="00696AD6">
        <w:rPr>
          <w:sz w:val="24"/>
          <w:szCs w:val="24"/>
        </w:rPr>
        <w:t xml:space="preserve">4.2.1.2. pasākuma otrās </w:t>
      </w:r>
      <w:r w:rsidRPr="00905FA8">
        <w:rPr>
          <w:sz w:val="24"/>
          <w:szCs w:val="24"/>
        </w:rPr>
        <w:t>projektu iesniegumu atlases kārtas īstenošanai pieejamais publiskais finansējums ēkām</w:t>
      </w:r>
      <w:r w:rsidRPr="00905FA8">
        <w:rPr>
          <w:i/>
          <w:sz w:val="24"/>
          <w:szCs w:val="24"/>
        </w:rPr>
        <w:t xml:space="preserve"> </w:t>
      </w:r>
      <w:r>
        <w:rPr>
          <w:bCs/>
          <w:sz w:val="24"/>
          <w:szCs w:val="24"/>
        </w:rPr>
        <w:t>ir</w:t>
      </w:r>
      <w:r w:rsidRPr="00905FA8">
        <w:rPr>
          <w:bCs/>
          <w:sz w:val="24"/>
          <w:szCs w:val="24"/>
        </w:rPr>
        <w:t xml:space="preserve"> sadalīts </w:t>
      </w:r>
      <w:r>
        <w:rPr>
          <w:bCs/>
          <w:sz w:val="24"/>
          <w:szCs w:val="24"/>
        </w:rPr>
        <w:t xml:space="preserve">finansējuma saņēmējiem, kas nostiprināti </w:t>
      </w:r>
      <w:r w:rsidR="00C22D2C">
        <w:rPr>
          <w:bCs/>
          <w:sz w:val="24"/>
          <w:szCs w:val="24"/>
        </w:rPr>
        <w:t>MK noteikumu Nr. 13</w:t>
      </w:r>
      <w:r>
        <w:rPr>
          <w:bCs/>
          <w:sz w:val="24"/>
          <w:szCs w:val="24"/>
        </w:rPr>
        <w:t xml:space="preserve"> 1. pielikumā “</w:t>
      </w:r>
      <w:r w:rsidRPr="001710C3">
        <w:rPr>
          <w:bCs/>
          <w:sz w:val="24"/>
          <w:szCs w:val="24"/>
        </w:rPr>
        <w:t xml:space="preserve">Darbības programmas </w:t>
      </w:r>
      <w:r>
        <w:rPr>
          <w:bCs/>
          <w:sz w:val="24"/>
          <w:szCs w:val="24"/>
        </w:rPr>
        <w:t>“</w:t>
      </w:r>
      <w:r w:rsidRPr="001710C3">
        <w:rPr>
          <w:bCs/>
          <w:sz w:val="24"/>
          <w:szCs w:val="24"/>
        </w:rPr>
        <w:t>Izaugsme un nodarbinātība</w:t>
      </w:r>
      <w:r>
        <w:rPr>
          <w:bCs/>
          <w:sz w:val="24"/>
          <w:szCs w:val="24"/>
        </w:rPr>
        <w:t>”</w:t>
      </w:r>
      <w:r w:rsidRPr="001710C3">
        <w:rPr>
          <w:bCs/>
          <w:sz w:val="24"/>
          <w:szCs w:val="24"/>
        </w:rPr>
        <w:t xml:space="preserve"> 4.2.1.</w:t>
      </w:r>
      <w:r w:rsidR="00EC358C">
        <w:rPr>
          <w:bCs/>
          <w:sz w:val="24"/>
          <w:szCs w:val="24"/>
        </w:rPr>
        <w:t> </w:t>
      </w:r>
      <w:r w:rsidRPr="001710C3">
        <w:rPr>
          <w:bCs/>
          <w:sz w:val="24"/>
          <w:szCs w:val="24"/>
        </w:rPr>
        <w:t xml:space="preserve">specifiskā atbalsta mērķa </w:t>
      </w:r>
      <w:r>
        <w:rPr>
          <w:bCs/>
          <w:sz w:val="24"/>
          <w:szCs w:val="24"/>
        </w:rPr>
        <w:t>“</w:t>
      </w:r>
      <w:r w:rsidRPr="001710C3">
        <w:rPr>
          <w:bCs/>
          <w:sz w:val="24"/>
          <w:szCs w:val="24"/>
        </w:rPr>
        <w:t>Veicināt energoefektivitātes paaugstināšanu valsts un dzīvojamās ēkās</w:t>
      </w:r>
      <w:r>
        <w:rPr>
          <w:bCs/>
          <w:sz w:val="24"/>
          <w:szCs w:val="24"/>
        </w:rPr>
        <w:t>”</w:t>
      </w:r>
      <w:r w:rsidRPr="001710C3">
        <w:rPr>
          <w:bCs/>
          <w:sz w:val="24"/>
          <w:szCs w:val="24"/>
        </w:rPr>
        <w:t xml:space="preserve"> 4.2.1.2. pasākuma </w:t>
      </w:r>
      <w:r>
        <w:rPr>
          <w:bCs/>
          <w:sz w:val="24"/>
          <w:szCs w:val="24"/>
        </w:rPr>
        <w:t>“</w:t>
      </w:r>
      <w:r w:rsidRPr="001710C3">
        <w:rPr>
          <w:bCs/>
          <w:sz w:val="24"/>
          <w:szCs w:val="24"/>
        </w:rPr>
        <w:t>Veicināt energoefektivitātes paaugstināšanu valsts ēkās</w:t>
      </w:r>
      <w:r>
        <w:rPr>
          <w:bCs/>
          <w:sz w:val="24"/>
          <w:szCs w:val="24"/>
        </w:rPr>
        <w:t>”</w:t>
      </w:r>
      <w:r w:rsidRPr="001710C3">
        <w:rPr>
          <w:bCs/>
          <w:sz w:val="24"/>
          <w:szCs w:val="24"/>
        </w:rPr>
        <w:t xml:space="preserve"> otrās projektu iesniegumu atlases kārtas finansējuma saņēmēji un finansējuma sadalījums</w:t>
      </w:r>
      <w:r>
        <w:rPr>
          <w:bCs/>
          <w:sz w:val="24"/>
          <w:szCs w:val="24"/>
        </w:rPr>
        <w:t>”. Turklāt minētajā pielikumā noteikts finansējuma sadalījums katram finansējuma saņēmējam.</w:t>
      </w:r>
    </w:p>
    <w:p w14:paraId="55403278" w14:textId="77777777" w:rsidR="00953CC8" w:rsidRDefault="00953CC8" w:rsidP="00953CC8">
      <w:pPr>
        <w:spacing w:line="276" w:lineRule="auto"/>
        <w:ind w:firstLine="720"/>
        <w:jc w:val="both"/>
        <w:rPr>
          <w:bCs/>
          <w:sz w:val="24"/>
          <w:szCs w:val="24"/>
        </w:rPr>
      </w:pPr>
      <w:r>
        <w:rPr>
          <w:bCs/>
          <w:sz w:val="24"/>
          <w:szCs w:val="24"/>
        </w:rPr>
        <w:t xml:space="preserve">Ņemot vērā, ka finansējuma saņēmēji un attiecīgais piešķiramo līdzekļu apjoms noteikts MK noteikumos Nr. 13, katrā situācijā, kurā radusies nepieciešamība veikt izmaiņas kādam no projektiem piešķirot vai samazinot finansējuma apjomu, nepieciešams veikt grozījumus MK noteikumos Nr. 13, kas paildzina projektu īstenošanas procesu, jo finansējuma saņēmējam nepieciešams gaidīt līdz grozījumu veikšanai ārējā normatīvajā aktā, lai pēc tam veiktu izmaiņas projektu iesniegumā un līgumā. Pēdējā grozījumu projekta virzība un saskaņošana MK noteikumos Nr. 13 tika uzsākta 2019. gada rudenī un līdz brīdim, kad tika uzsāktas sarunas par ES fondu finansējuma pārdali Covid-19 seku mazināšanai, ārējā saskaņošana netika panākta. MK noteikumu Nr. 13 grozījumu skaņošanas process tika atsākts 2020. gada jūnijā. Vienošanās ar attiecīgajām nozaru ministrijām tika panākta šī gada jūlijā un MK noteikumu Nr. 13 grozījumu projekts tika apstiprināts Ministru kabineta 2020. gada 11. augusta sēdē. Vienlaikus jau daži projektu īstenotāji uz savu risku ir noslēguši iepirkuma līgumus par būvniecības darbu veikšanu, lai veicinātu projektu sekmīgu īstenošanu plānotajos termiņos. Tomēr ir projektu vadītāji, kas gaida, kad būs pieejams papildu finansējums, lai veiktu grozījumus līgumā un turpinātu īstenot projektus, kā arī ir paredzēti septiņi projekti, kas vēl tiks iesniegti. Finansējuma sadale 4.2.1.2. pasākuma abu kārtu regulējošajos Ministru kabineta noteikumos ir viens no apstākļiem, kas būtiski ietekmē projektu un arī programmas sekmīgu īstenošanu paredzētajos termiņos. </w:t>
      </w:r>
    </w:p>
    <w:p w14:paraId="05474789" w14:textId="77777777" w:rsidR="001C6FAA" w:rsidRDefault="001C6FAA" w:rsidP="007B70A3">
      <w:pPr>
        <w:spacing w:line="276" w:lineRule="auto"/>
        <w:ind w:firstLine="720"/>
        <w:jc w:val="both"/>
        <w:rPr>
          <w:bCs/>
          <w:sz w:val="24"/>
          <w:szCs w:val="24"/>
        </w:rPr>
      </w:pPr>
    </w:p>
    <w:p w14:paraId="3B2AA840" w14:textId="6E856AA0" w:rsidR="00414ADF" w:rsidRDefault="00414ADF" w:rsidP="001710C3">
      <w:pPr>
        <w:spacing w:line="276" w:lineRule="auto"/>
        <w:ind w:firstLine="720"/>
        <w:jc w:val="both"/>
        <w:rPr>
          <w:bCs/>
          <w:sz w:val="24"/>
          <w:szCs w:val="24"/>
        </w:rPr>
      </w:pPr>
    </w:p>
    <w:p w14:paraId="0F5871FE" w14:textId="684D715D" w:rsidR="00414ADF" w:rsidRPr="00414ADF" w:rsidRDefault="00414ADF" w:rsidP="00414ADF">
      <w:pPr>
        <w:spacing w:line="276" w:lineRule="auto"/>
        <w:jc w:val="both"/>
        <w:rPr>
          <w:b/>
          <w:sz w:val="24"/>
          <w:szCs w:val="24"/>
        </w:rPr>
      </w:pPr>
      <w:r>
        <w:rPr>
          <w:b/>
          <w:sz w:val="24"/>
          <w:szCs w:val="24"/>
        </w:rPr>
        <w:t>4.2.1.2. pasākuma īstenošanas gaitā sastopamās problēmas</w:t>
      </w:r>
    </w:p>
    <w:p w14:paraId="2E644E83" w14:textId="77777777" w:rsidR="00870847" w:rsidRDefault="00870847" w:rsidP="00B91BDE">
      <w:pPr>
        <w:spacing w:line="276" w:lineRule="auto"/>
        <w:ind w:firstLine="709"/>
        <w:jc w:val="both"/>
        <w:rPr>
          <w:bCs/>
          <w:sz w:val="24"/>
          <w:szCs w:val="24"/>
        </w:rPr>
      </w:pPr>
    </w:p>
    <w:p w14:paraId="36F97CEF" w14:textId="47F74477" w:rsidR="001C6FAA" w:rsidRDefault="00FF0D12" w:rsidP="00FF0D12">
      <w:pPr>
        <w:spacing w:line="276" w:lineRule="auto"/>
        <w:ind w:firstLine="720"/>
        <w:jc w:val="both"/>
        <w:rPr>
          <w:bCs/>
          <w:sz w:val="24"/>
          <w:szCs w:val="24"/>
        </w:rPr>
      </w:pPr>
      <w:r w:rsidRPr="006F0479">
        <w:rPr>
          <w:bCs/>
          <w:sz w:val="24"/>
          <w:szCs w:val="24"/>
        </w:rPr>
        <w:t xml:space="preserve">Visi </w:t>
      </w:r>
      <w:r>
        <w:rPr>
          <w:bCs/>
          <w:sz w:val="24"/>
          <w:szCs w:val="24"/>
        </w:rPr>
        <w:t>4.2.1.2. pasākuma pirmās atlases kārtā iesniedzamie projekti ir iesniegti</w:t>
      </w:r>
      <w:r w:rsidRPr="006F0479">
        <w:rPr>
          <w:bCs/>
          <w:sz w:val="24"/>
          <w:szCs w:val="24"/>
        </w:rPr>
        <w:t xml:space="preserve"> un jāīsteno 48 mēnešu laikā, bet ne vēlāk kā līdz 2022.</w:t>
      </w:r>
      <w:r>
        <w:rPr>
          <w:bCs/>
          <w:sz w:val="24"/>
          <w:szCs w:val="24"/>
        </w:rPr>
        <w:t> </w:t>
      </w:r>
      <w:r w:rsidRPr="006F0479">
        <w:rPr>
          <w:bCs/>
          <w:sz w:val="24"/>
          <w:szCs w:val="24"/>
        </w:rPr>
        <w:t>gada 31.</w:t>
      </w:r>
      <w:r>
        <w:rPr>
          <w:bCs/>
          <w:sz w:val="24"/>
          <w:szCs w:val="24"/>
        </w:rPr>
        <w:t> </w:t>
      </w:r>
      <w:r w:rsidRPr="006F0479">
        <w:rPr>
          <w:bCs/>
          <w:sz w:val="24"/>
          <w:szCs w:val="24"/>
        </w:rPr>
        <w:t xml:space="preserve">oktobrim. </w:t>
      </w:r>
      <w:r w:rsidR="001C6FAA">
        <w:rPr>
          <w:bCs/>
          <w:sz w:val="24"/>
          <w:szCs w:val="24"/>
        </w:rPr>
        <w:t>Savukārt 4.2.1.2. pasākuma otrās iesniegumu atlases kārtas atlase ir uz laiku slēgta. Iesniegumu pieņemšanas atsāksies nedēļas laikā pēc MK noteikumu Nr. 13 grozījumu projekt</w:t>
      </w:r>
      <w:r w:rsidR="00C22D2C">
        <w:rPr>
          <w:bCs/>
          <w:sz w:val="24"/>
          <w:szCs w:val="24"/>
        </w:rPr>
        <w:t>a</w:t>
      </w:r>
      <w:r w:rsidR="001C6FAA">
        <w:rPr>
          <w:bCs/>
          <w:sz w:val="24"/>
          <w:szCs w:val="24"/>
        </w:rPr>
        <w:t xml:space="preserve"> spēkā stāšanās. Ir saņemts </w:t>
      </w:r>
      <w:r w:rsidR="001C6FAA">
        <w:rPr>
          <w:bCs/>
          <w:sz w:val="24"/>
          <w:szCs w:val="24"/>
        </w:rPr>
        <w:lastRenderedPageBreak/>
        <w:t>apliecinājums no CFLA, ka nedēļas laikā iesniegumu pieņemšana ir atjaunojama</w:t>
      </w:r>
      <w:r w:rsidR="00CC5E6C">
        <w:rPr>
          <w:bCs/>
          <w:sz w:val="24"/>
          <w:szCs w:val="24"/>
        </w:rPr>
        <w:t xml:space="preserve"> un finansējuma saņēmēji varēs iesniegt plānotos projektu iesniegumus.</w:t>
      </w:r>
    </w:p>
    <w:p w14:paraId="4E91AB89" w14:textId="0CFF5F39" w:rsidR="00FF0D12" w:rsidRPr="00274756" w:rsidRDefault="00FF0D12" w:rsidP="00FF0D12">
      <w:pPr>
        <w:spacing w:line="276" w:lineRule="auto"/>
        <w:ind w:firstLine="720"/>
        <w:jc w:val="both"/>
        <w:rPr>
          <w:bCs/>
          <w:sz w:val="24"/>
          <w:szCs w:val="24"/>
        </w:rPr>
      </w:pPr>
      <w:r w:rsidRPr="00C50086">
        <w:rPr>
          <w:bCs/>
          <w:sz w:val="24"/>
          <w:szCs w:val="24"/>
        </w:rPr>
        <w:t xml:space="preserve">Vēršam uzmanību, ka </w:t>
      </w:r>
      <w:r>
        <w:rPr>
          <w:bCs/>
          <w:sz w:val="24"/>
          <w:szCs w:val="24"/>
        </w:rPr>
        <w:t xml:space="preserve">liela daļa </w:t>
      </w:r>
      <w:r w:rsidRPr="00C50086">
        <w:rPr>
          <w:bCs/>
          <w:sz w:val="24"/>
          <w:szCs w:val="24"/>
        </w:rPr>
        <w:t xml:space="preserve">CFLA </w:t>
      </w:r>
      <w:r>
        <w:rPr>
          <w:bCs/>
          <w:sz w:val="24"/>
          <w:szCs w:val="24"/>
        </w:rPr>
        <w:t xml:space="preserve">iesniegto </w:t>
      </w:r>
      <w:r w:rsidRPr="00C50086">
        <w:rPr>
          <w:bCs/>
          <w:sz w:val="24"/>
          <w:szCs w:val="24"/>
        </w:rPr>
        <w:t>projekt</w:t>
      </w:r>
      <w:r>
        <w:rPr>
          <w:bCs/>
          <w:sz w:val="24"/>
          <w:szCs w:val="24"/>
        </w:rPr>
        <w:t>a iesniegumi</w:t>
      </w:r>
      <w:r w:rsidRPr="00C50086">
        <w:rPr>
          <w:bCs/>
          <w:sz w:val="24"/>
          <w:szCs w:val="24"/>
        </w:rPr>
        <w:t xml:space="preserve"> </w:t>
      </w:r>
      <w:r>
        <w:rPr>
          <w:bCs/>
          <w:sz w:val="24"/>
          <w:szCs w:val="24"/>
        </w:rPr>
        <w:t>ir</w:t>
      </w:r>
      <w:r w:rsidRPr="00C50086">
        <w:rPr>
          <w:bCs/>
          <w:sz w:val="24"/>
          <w:szCs w:val="24"/>
        </w:rPr>
        <w:t xml:space="preserve"> ar zemu gatavības pakāpi, t.i.</w:t>
      </w:r>
      <w:r w:rsidR="0044250A">
        <w:rPr>
          <w:bCs/>
          <w:sz w:val="24"/>
          <w:szCs w:val="24"/>
        </w:rPr>
        <w:t>,</w:t>
      </w:r>
      <w:r w:rsidRPr="00C50086">
        <w:rPr>
          <w:bCs/>
          <w:sz w:val="24"/>
          <w:szCs w:val="24"/>
        </w:rPr>
        <w:t xml:space="preserve"> </w:t>
      </w:r>
      <w:r w:rsidRPr="006F0479">
        <w:rPr>
          <w:bCs/>
          <w:sz w:val="24"/>
          <w:szCs w:val="24"/>
        </w:rPr>
        <w:t xml:space="preserve">tikai ar izstrādātu Ēkas </w:t>
      </w:r>
      <w:proofErr w:type="spellStart"/>
      <w:r w:rsidRPr="006F0479">
        <w:rPr>
          <w:bCs/>
          <w:sz w:val="24"/>
          <w:szCs w:val="24"/>
        </w:rPr>
        <w:t>energosertif</w:t>
      </w:r>
      <w:r>
        <w:rPr>
          <w:bCs/>
          <w:sz w:val="24"/>
          <w:szCs w:val="24"/>
        </w:rPr>
        <w:t>ik</w:t>
      </w:r>
      <w:r w:rsidRPr="006F0479">
        <w:rPr>
          <w:bCs/>
          <w:sz w:val="24"/>
          <w:szCs w:val="24"/>
        </w:rPr>
        <w:t>ā</w:t>
      </w:r>
      <w:r>
        <w:rPr>
          <w:bCs/>
          <w:sz w:val="24"/>
          <w:szCs w:val="24"/>
        </w:rPr>
        <w:t>tu</w:t>
      </w:r>
      <w:proofErr w:type="spellEnd"/>
      <w:r w:rsidRPr="006F0479">
        <w:rPr>
          <w:bCs/>
          <w:sz w:val="24"/>
          <w:szCs w:val="24"/>
        </w:rPr>
        <w:t xml:space="preserve"> un tā pielikumiem, “Pārskats par ēkas </w:t>
      </w:r>
      <w:proofErr w:type="spellStart"/>
      <w:r w:rsidRPr="006F0479">
        <w:rPr>
          <w:bCs/>
          <w:sz w:val="24"/>
          <w:szCs w:val="24"/>
        </w:rPr>
        <w:t>energosertifikāta</w:t>
      </w:r>
      <w:proofErr w:type="spellEnd"/>
      <w:r w:rsidRPr="006F0479">
        <w:rPr>
          <w:bCs/>
          <w:sz w:val="24"/>
          <w:szCs w:val="24"/>
        </w:rPr>
        <w:t xml:space="preserve"> aprēķinos izmantotajām </w:t>
      </w:r>
      <w:proofErr w:type="spellStart"/>
      <w:r w:rsidRPr="006F0479">
        <w:rPr>
          <w:bCs/>
          <w:sz w:val="24"/>
          <w:szCs w:val="24"/>
        </w:rPr>
        <w:t>ievaddatu</w:t>
      </w:r>
      <w:proofErr w:type="spellEnd"/>
      <w:r w:rsidRPr="006F0479">
        <w:rPr>
          <w:bCs/>
          <w:sz w:val="24"/>
          <w:szCs w:val="24"/>
        </w:rPr>
        <w:t xml:space="preserve"> vērtībām” un “Pārskats par ekonomiski pamatotiem energoefektivitāti uzlabojošiem pasākumiem, kuru īstenošanas izmaksas ir rentablas paredzamajā (plānotajā) kalpošanas laikā”. Kā minimālā prasība no gatavības stadijas apliecinošiem dokumentiem ir būvniecības ieceres iesniegums, saskaņā ar Ministru kabineta 2014.</w:t>
      </w:r>
      <w:r>
        <w:rPr>
          <w:bCs/>
          <w:sz w:val="24"/>
          <w:szCs w:val="24"/>
        </w:rPr>
        <w:t> </w:t>
      </w:r>
      <w:r w:rsidRPr="006F0479">
        <w:rPr>
          <w:bCs/>
          <w:sz w:val="24"/>
          <w:szCs w:val="24"/>
        </w:rPr>
        <w:t>gada 2.</w:t>
      </w:r>
      <w:r>
        <w:rPr>
          <w:bCs/>
          <w:sz w:val="24"/>
          <w:szCs w:val="24"/>
        </w:rPr>
        <w:t> </w:t>
      </w:r>
      <w:r w:rsidRPr="006F0479">
        <w:rPr>
          <w:bCs/>
          <w:sz w:val="24"/>
          <w:szCs w:val="24"/>
        </w:rPr>
        <w:t>septembra noteikumiem Nr.</w:t>
      </w:r>
      <w:r>
        <w:rPr>
          <w:bCs/>
          <w:sz w:val="24"/>
          <w:szCs w:val="24"/>
        </w:rPr>
        <w:t> </w:t>
      </w:r>
      <w:r w:rsidRPr="006F0479">
        <w:rPr>
          <w:bCs/>
          <w:sz w:val="24"/>
          <w:szCs w:val="24"/>
        </w:rPr>
        <w:t>529 “Ēku būvnoteikumi” (bez 14.</w:t>
      </w:r>
      <w:r>
        <w:rPr>
          <w:bCs/>
          <w:sz w:val="24"/>
          <w:szCs w:val="24"/>
        </w:rPr>
        <w:t> </w:t>
      </w:r>
      <w:r w:rsidRPr="006F0479">
        <w:rPr>
          <w:bCs/>
          <w:sz w:val="24"/>
          <w:szCs w:val="24"/>
        </w:rPr>
        <w:t xml:space="preserve">punktā norādītajiem pielikumiem), kas apliecināts no būvniecības ierosinātāja puses. Būvvaldē apstiprinātu būvatļauju vai apliecinājuma karti un to pielikumus projekta iesniedzējam jāiesniedz ne vēlāk kā 18 mēnešu laikā no vienošanās vai līguma par projekta īstenošanu parakstīšanas. </w:t>
      </w:r>
      <w:r w:rsidRPr="006F0479">
        <w:rPr>
          <w:sz w:val="24"/>
          <w:szCs w:val="24"/>
        </w:rPr>
        <w:t xml:space="preserve">Šāda pieeja tika izvēlēta, lai neradītu finansiālo slogu uz projektu iesniedzēju budžetu. </w:t>
      </w:r>
      <w:r w:rsidR="00CC5E6C" w:rsidRPr="00CC5E6C">
        <w:rPr>
          <w:b/>
          <w:bCs/>
          <w:sz w:val="24"/>
          <w:szCs w:val="24"/>
        </w:rPr>
        <w:t xml:space="preserve">Vienlaikus procesa ātrākai virzībai vēlamies noteikt gatavības kritērijus (norādīti pie plānotajām darbībām), ar mērķi gan paātrināt finansējuma saņēmēju darbību projektu īstenošanai, gan ātri, kvalitatīvi un samērīgi, dodot iespēju visiem finansējuma saņēmējiem projektus īstenot, </w:t>
      </w:r>
      <w:r w:rsidR="00CC5E6C" w:rsidRPr="00CC5E6C">
        <w:rPr>
          <w:b/>
          <w:bCs/>
          <w:sz w:val="24"/>
          <w:szCs w:val="24"/>
          <w:u w:val="single"/>
        </w:rPr>
        <w:t xml:space="preserve">skaidri un argumentēti identificēt projektus, kuru īstenošana ir </w:t>
      </w:r>
      <w:r w:rsidR="00460745">
        <w:rPr>
          <w:b/>
          <w:bCs/>
          <w:sz w:val="24"/>
          <w:szCs w:val="24"/>
          <w:u w:val="single"/>
        </w:rPr>
        <w:t>riskanta un apšaubāma</w:t>
      </w:r>
      <w:r w:rsidR="00CC5E6C" w:rsidRPr="00CC5E6C">
        <w:rPr>
          <w:b/>
          <w:bCs/>
          <w:sz w:val="24"/>
          <w:szCs w:val="24"/>
        </w:rPr>
        <w:t>, lai garantētu finansējuma apguvi.</w:t>
      </w:r>
    </w:p>
    <w:p w14:paraId="2A5BAD22" w14:textId="62C19D97" w:rsidR="001E297C" w:rsidRPr="009A4CAF" w:rsidRDefault="00CC5E6C" w:rsidP="00C22D2C">
      <w:pPr>
        <w:ind w:firstLine="709"/>
        <w:jc w:val="both"/>
        <w:rPr>
          <w:rFonts w:cs="Times New Roman"/>
          <w:sz w:val="24"/>
          <w:szCs w:val="24"/>
        </w:rPr>
      </w:pPr>
      <w:r>
        <w:rPr>
          <w:sz w:val="24"/>
          <w:szCs w:val="24"/>
        </w:rPr>
        <w:t>L</w:t>
      </w:r>
      <w:r w:rsidR="00FF0D12" w:rsidRPr="00404A21">
        <w:rPr>
          <w:sz w:val="24"/>
          <w:szCs w:val="24"/>
        </w:rPr>
        <w:t xml:space="preserve">īdzšinējā pieredze rāda, ka dokumenti vērtēšanas procesā ir vairākkārtēji jāprecizē, līdz ar to laiks no projekta iesniegšanas CFLA līdz līguma noslēgšanai vidēji ilgst 1,5 gadu. Līdz ar to vidēji nepieciešami 3 gadi no projekta pieteikuma iesniegšanas CFLA līdz ēkas nodošanai </w:t>
      </w:r>
      <w:r w:rsidR="00FF0D12" w:rsidRPr="00B802F9">
        <w:rPr>
          <w:rFonts w:cs="Times New Roman"/>
          <w:sz w:val="24"/>
          <w:szCs w:val="24"/>
        </w:rPr>
        <w:t>ekspluatācijā.</w:t>
      </w:r>
      <w:r>
        <w:rPr>
          <w:rFonts w:cs="Times New Roman"/>
          <w:sz w:val="24"/>
          <w:szCs w:val="24"/>
        </w:rPr>
        <w:t xml:space="preserve"> Ar mērķi risināt šo problēmu, tiek paredzēts noteikt nozaru ministrijām aktīvi komunicēt ar pārraudzībā esošo projektu vadītājiem, lai identificētu problēmas un piedalītos to risināšanā</w:t>
      </w:r>
      <w:r w:rsidR="00051CF0">
        <w:rPr>
          <w:rFonts w:cs="Times New Roman"/>
          <w:sz w:val="24"/>
          <w:szCs w:val="24"/>
        </w:rPr>
        <w:t xml:space="preserve"> un nepieciešamības gadījumā </w:t>
      </w:r>
      <w:r w:rsidR="00680031">
        <w:rPr>
          <w:rFonts w:cs="Times New Roman"/>
          <w:sz w:val="24"/>
          <w:szCs w:val="24"/>
        </w:rPr>
        <w:t>piesaistītu attiecīgo iestādi (CFLA, Ekonomikas ministriju, u.c.)</w:t>
      </w:r>
      <w:r>
        <w:rPr>
          <w:rFonts w:cs="Times New Roman"/>
          <w:sz w:val="24"/>
          <w:szCs w:val="24"/>
        </w:rPr>
        <w:t xml:space="preserve"> gadījum</w:t>
      </w:r>
      <w:r w:rsidR="00680031">
        <w:rPr>
          <w:rFonts w:cs="Times New Roman"/>
          <w:sz w:val="24"/>
          <w:szCs w:val="24"/>
        </w:rPr>
        <w:t>ā</w:t>
      </w:r>
      <w:r>
        <w:rPr>
          <w:rFonts w:cs="Times New Roman"/>
          <w:sz w:val="24"/>
          <w:szCs w:val="24"/>
        </w:rPr>
        <w:t xml:space="preserve">, ja </w:t>
      </w:r>
      <w:r w:rsidR="00680031">
        <w:rPr>
          <w:rFonts w:cs="Times New Roman"/>
          <w:sz w:val="24"/>
          <w:szCs w:val="24"/>
        </w:rPr>
        <w:t>finansējuma saņēmēju rīcība nav nepieciešamās zināšanas</w:t>
      </w:r>
      <w:r w:rsidR="00051CF0">
        <w:rPr>
          <w:rFonts w:cs="Times New Roman"/>
          <w:sz w:val="24"/>
          <w:szCs w:val="24"/>
        </w:rPr>
        <w:t xml:space="preserve"> vai </w:t>
      </w:r>
      <w:r w:rsidR="00680031">
        <w:rPr>
          <w:rFonts w:cs="Times New Roman"/>
          <w:sz w:val="24"/>
          <w:szCs w:val="24"/>
        </w:rPr>
        <w:t>kontakti</w:t>
      </w:r>
      <w:r w:rsidR="00051CF0">
        <w:rPr>
          <w:rFonts w:cs="Times New Roman"/>
          <w:sz w:val="24"/>
          <w:szCs w:val="24"/>
        </w:rPr>
        <w:t xml:space="preserve">, vai </w:t>
      </w:r>
      <w:r w:rsidR="00680031">
        <w:rPr>
          <w:rFonts w:cs="Times New Roman"/>
          <w:sz w:val="24"/>
          <w:szCs w:val="24"/>
        </w:rPr>
        <w:t xml:space="preserve">kapacitāte </w:t>
      </w:r>
      <w:proofErr w:type="spellStart"/>
      <w:r w:rsidR="00680031">
        <w:rPr>
          <w:rFonts w:cs="Times New Roman"/>
          <w:sz w:val="24"/>
          <w:szCs w:val="24"/>
        </w:rPr>
        <w:t>problēmjautājumu</w:t>
      </w:r>
      <w:proofErr w:type="spellEnd"/>
      <w:r w:rsidR="00680031">
        <w:rPr>
          <w:rFonts w:cs="Times New Roman"/>
          <w:sz w:val="24"/>
          <w:szCs w:val="24"/>
        </w:rPr>
        <w:t xml:space="preserve"> risināšanai.</w:t>
      </w:r>
    </w:p>
    <w:p w14:paraId="4F229D1B" w14:textId="38C797C7" w:rsidR="006A53F4" w:rsidRDefault="001E297C" w:rsidP="00C22D2C">
      <w:pPr>
        <w:ind w:firstLine="709"/>
        <w:jc w:val="both"/>
        <w:rPr>
          <w:rFonts w:cs="Times New Roman"/>
          <w:sz w:val="24"/>
          <w:szCs w:val="24"/>
        </w:rPr>
      </w:pPr>
      <w:r w:rsidRPr="009A4CAF">
        <w:rPr>
          <w:rFonts w:cs="Times New Roman"/>
          <w:sz w:val="24"/>
          <w:szCs w:val="24"/>
        </w:rPr>
        <w:t>Projektu īstenošanu ietekmē</w:t>
      </w:r>
      <w:r w:rsidR="00F85963" w:rsidRPr="009A4CAF">
        <w:rPr>
          <w:rFonts w:cs="Times New Roman"/>
          <w:sz w:val="24"/>
          <w:szCs w:val="24"/>
        </w:rPr>
        <w:t xml:space="preserve"> situācija</w:t>
      </w:r>
      <w:r w:rsidRPr="009A4CAF">
        <w:rPr>
          <w:rFonts w:cs="Times New Roman"/>
          <w:sz w:val="24"/>
          <w:szCs w:val="24"/>
        </w:rPr>
        <w:t xml:space="preserve"> būvniecības nozar</w:t>
      </w:r>
      <w:r w:rsidR="00F85963" w:rsidRPr="009A4CAF">
        <w:rPr>
          <w:rFonts w:cs="Times New Roman"/>
          <w:sz w:val="24"/>
          <w:szCs w:val="24"/>
        </w:rPr>
        <w:t>ē</w:t>
      </w:r>
      <w:r w:rsidR="00AC2AF3">
        <w:rPr>
          <w:rFonts w:cs="Times New Roman"/>
          <w:sz w:val="24"/>
          <w:szCs w:val="24"/>
        </w:rPr>
        <w:t>,</w:t>
      </w:r>
      <w:r w:rsidR="00F85963" w:rsidRPr="00AC2AF3">
        <w:rPr>
          <w:rFonts w:cs="Times New Roman"/>
          <w:sz w:val="24"/>
          <w:szCs w:val="24"/>
        </w:rPr>
        <w:t xml:space="preserve"> tomēr kā Ekonomikas ministrija norādījusi</w:t>
      </w:r>
      <w:r w:rsidR="00F85963" w:rsidRPr="00B802F9">
        <w:rPr>
          <w:rStyle w:val="FootnoteReference"/>
          <w:rFonts w:cs="Times New Roman"/>
          <w:sz w:val="24"/>
          <w:szCs w:val="24"/>
        </w:rPr>
        <w:footnoteReference w:id="2"/>
      </w:r>
      <w:r w:rsidR="00F85963" w:rsidRPr="00B802F9">
        <w:rPr>
          <w:rFonts w:cs="Times New Roman"/>
          <w:sz w:val="24"/>
          <w:szCs w:val="24"/>
        </w:rPr>
        <w:t xml:space="preserve">, </w:t>
      </w:r>
      <w:r w:rsidR="00B802F9">
        <w:rPr>
          <w:rFonts w:cs="Times New Roman"/>
          <w:sz w:val="24"/>
          <w:szCs w:val="24"/>
        </w:rPr>
        <w:t>tad</w:t>
      </w:r>
      <w:r w:rsidR="006A53F4" w:rsidRPr="00B802F9">
        <w:rPr>
          <w:rFonts w:cs="Times New Roman"/>
          <w:sz w:val="24"/>
          <w:szCs w:val="24"/>
        </w:rPr>
        <w:t xml:space="preserve"> b</w:t>
      </w:r>
      <w:r w:rsidR="006A53F4" w:rsidRPr="009A4CAF">
        <w:rPr>
          <w:rFonts w:cs="Times New Roman"/>
          <w:sz w:val="24"/>
          <w:szCs w:val="24"/>
        </w:rPr>
        <w:t xml:space="preserve">ūvniecības apjomi 2020.gada 1.ceturksnī </w:t>
      </w:r>
      <w:r w:rsidR="00AC2AF3">
        <w:rPr>
          <w:rFonts w:cs="Times New Roman"/>
          <w:sz w:val="24"/>
          <w:szCs w:val="24"/>
        </w:rPr>
        <w:t xml:space="preserve">ir pieauguši </w:t>
      </w:r>
      <w:r w:rsidR="006A53F4" w:rsidRPr="009A4CAF">
        <w:rPr>
          <w:rFonts w:cs="Times New Roman"/>
          <w:sz w:val="24"/>
          <w:szCs w:val="24"/>
        </w:rPr>
        <w:t xml:space="preserve">par 14,9% (neizlīdzināti dati) salīdzinājumā ar 2019.gada 1.ceturksni. Netipiski siltā ziema labvēlīgi ietekmēja nozari, ļaujot turpināt darbus. Ņemot vērā, ka nozari ietekmē daudz un dažādi apstākļi, tad šobrīd nav iespējams prognozēt, kā tā tiks ietekmēta turpmākajos mēnešos. </w:t>
      </w:r>
    </w:p>
    <w:p w14:paraId="3C1D68C6" w14:textId="1E50DC3E" w:rsidR="00FF0D12" w:rsidRPr="001E77FE" w:rsidRDefault="00FF0D12" w:rsidP="00FF0D12">
      <w:pPr>
        <w:spacing w:line="276" w:lineRule="auto"/>
        <w:ind w:firstLine="567"/>
        <w:jc w:val="both"/>
        <w:rPr>
          <w:bCs/>
          <w:sz w:val="24"/>
          <w:szCs w:val="24"/>
        </w:rPr>
      </w:pPr>
      <w:r w:rsidRPr="001E77FE">
        <w:rPr>
          <w:b/>
          <w:sz w:val="24"/>
          <w:szCs w:val="24"/>
        </w:rPr>
        <w:t>Šobrīd 4.2.1.2. pasākuma pirmās un otrās atlases kārtas ietvaros kopējais apgūtais publiskais finansējums</w:t>
      </w:r>
      <w:r w:rsidR="00680031">
        <w:rPr>
          <w:b/>
          <w:sz w:val="24"/>
          <w:szCs w:val="24"/>
        </w:rPr>
        <w:t xml:space="preserve"> sastāda</w:t>
      </w:r>
      <w:r w:rsidRPr="001E77FE">
        <w:rPr>
          <w:b/>
          <w:sz w:val="24"/>
          <w:szCs w:val="24"/>
        </w:rPr>
        <w:t xml:space="preserve"> </w:t>
      </w:r>
      <w:r w:rsidR="00B53447" w:rsidRPr="00B53447">
        <w:rPr>
          <w:b/>
          <w:color w:val="000000" w:themeColor="text1"/>
          <w:sz w:val="24"/>
          <w:szCs w:val="24"/>
        </w:rPr>
        <w:t>29</w:t>
      </w:r>
      <w:r w:rsidR="00B53447">
        <w:rPr>
          <w:b/>
          <w:color w:val="000000" w:themeColor="text1"/>
          <w:sz w:val="24"/>
          <w:szCs w:val="24"/>
        </w:rPr>
        <w:t> </w:t>
      </w:r>
      <w:r w:rsidR="00B53447" w:rsidRPr="00B53447">
        <w:rPr>
          <w:b/>
          <w:color w:val="000000" w:themeColor="text1"/>
          <w:sz w:val="24"/>
          <w:szCs w:val="24"/>
        </w:rPr>
        <w:t>188</w:t>
      </w:r>
      <w:r w:rsidR="00B53447">
        <w:rPr>
          <w:b/>
          <w:color w:val="000000" w:themeColor="text1"/>
          <w:sz w:val="24"/>
          <w:szCs w:val="24"/>
        </w:rPr>
        <w:t> </w:t>
      </w:r>
      <w:r w:rsidR="00B53447" w:rsidRPr="00B53447">
        <w:rPr>
          <w:b/>
          <w:color w:val="000000" w:themeColor="text1"/>
          <w:sz w:val="24"/>
          <w:szCs w:val="24"/>
        </w:rPr>
        <w:t>389</w:t>
      </w:r>
      <w:r w:rsidR="00B53447">
        <w:rPr>
          <w:b/>
          <w:color w:val="000000" w:themeColor="text1"/>
          <w:sz w:val="24"/>
          <w:szCs w:val="24"/>
        </w:rPr>
        <w:t> </w:t>
      </w:r>
      <w:proofErr w:type="spellStart"/>
      <w:r w:rsidRPr="001E77FE">
        <w:rPr>
          <w:b/>
          <w:i/>
          <w:iCs/>
          <w:color w:val="000000" w:themeColor="text1"/>
          <w:sz w:val="24"/>
          <w:szCs w:val="24"/>
        </w:rPr>
        <w:t>euro</w:t>
      </w:r>
      <w:proofErr w:type="spellEnd"/>
      <w:r w:rsidR="004C29AE">
        <w:rPr>
          <w:b/>
          <w:sz w:val="24"/>
          <w:szCs w:val="24"/>
        </w:rPr>
        <w:t>. Pēc šobrīd plānotajām darbībām 4.2.1.2. pasākuma progresa uzlabošanai</w:t>
      </w:r>
      <w:r>
        <w:rPr>
          <w:b/>
          <w:sz w:val="24"/>
          <w:szCs w:val="24"/>
        </w:rPr>
        <w:t xml:space="preserve"> neapgūts finansējums netiek paredzēts.</w:t>
      </w:r>
      <w:r w:rsidRPr="001E77FE">
        <w:rPr>
          <w:b/>
          <w:sz w:val="24"/>
          <w:szCs w:val="24"/>
        </w:rPr>
        <w:t xml:space="preserve"> </w:t>
      </w:r>
      <w:r w:rsidRPr="001E77FE">
        <w:rPr>
          <w:bCs/>
          <w:sz w:val="24"/>
          <w:szCs w:val="24"/>
        </w:rPr>
        <w:t xml:space="preserve">Savukārt  no visiem iesniegtajiem projektu </w:t>
      </w:r>
      <w:r w:rsidR="00A00263">
        <w:rPr>
          <w:bCs/>
          <w:sz w:val="24"/>
          <w:szCs w:val="24"/>
        </w:rPr>
        <w:t>iesniegumiem</w:t>
      </w:r>
      <w:r w:rsidRPr="001E77FE">
        <w:rPr>
          <w:bCs/>
          <w:sz w:val="24"/>
          <w:szCs w:val="24"/>
        </w:rPr>
        <w:t xml:space="preserve"> CFLA, </w:t>
      </w:r>
      <w:r>
        <w:rPr>
          <w:b/>
          <w:sz w:val="24"/>
          <w:szCs w:val="24"/>
        </w:rPr>
        <w:t>57</w:t>
      </w:r>
      <w:r w:rsidRPr="001E77FE">
        <w:rPr>
          <w:b/>
          <w:sz w:val="24"/>
          <w:szCs w:val="24"/>
        </w:rPr>
        <w:t xml:space="preserve"> </w:t>
      </w:r>
      <w:r>
        <w:rPr>
          <w:b/>
          <w:sz w:val="24"/>
          <w:szCs w:val="24"/>
        </w:rPr>
        <w:t xml:space="preserve">projektiem </w:t>
      </w:r>
      <w:r w:rsidRPr="001E77FE">
        <w:rPr>
          <w:b/>
          <w:sz w:val="24"/>
          <w:szCs w:val="24"/>
        </w:rPr>
        <w:t xml:space="preserve">ir neattiecināmās izmaksas </w:t>
      </w:r>
      <w:r w:rsidRPr="00472F19">
        <w:rPr>
          <w:b/>
          <w:sz w:val="24"/>
          <w:szCs w:val="24"/>
        </w:rPr>
        <w:t>33</w:t>
      </w:r>
      <w:r w:rsidR="00B53447">
        <w:rPr>
          <w:b/>
          <w:sz w:val="24"/>
          <w:szCs w:val="24"/>
        </w:rPr>
        <w:t> </w:t>
      </w:r>
      <w:r w:rsidRPr="00472F19">
        <w:rPr>
          <w:b/>
          <w:sz w:val="24"/>
          <w:szCs w:val="24"/>
        </w:rPr>
        <w:t>750</w:t>
      </w:r>
      <w:r w:rsidR="00B53447">
        <w:rPr>
          <w:b/>
          <w:sz w:val="24"/>
          <w:szCs w:val="24"/>
        </w:rPr>
        <w:t> </w:t>
      </w:r>
      <w:r w:rsidRPr="00472F19">
        <w:rPr>
          <w:b/>
          <w:sz w:val="24"/>
          <w:szCs w:val="24"/>
        </w:rPr>
        <w:t>305</w:t>
      </w:r>
      <w:r>
        <w:rPr>
          <w:b/>
          <w:sz w:val="24"/>
          <w:szCs w:val="24"/>
        </w:rPr>
        <w:t>,</w:t>
      </w:r>
      <w:r w:rsidRPr="00472F19">
        <w:rPr>
          <w:b/>
          <w:sz w:val="24"/>
          <w:szCs w:val="24"/>
        </w:rPr>
        <w:t>93</w:t>
      </w:r>
      <w:r w:rsidR="00B53447">
        <w:rPr>
          <w:b/>
          <w:sz w:val="24"/>
          <w:szCs w:val="24"/>
        </w:rPr>
        <w:t> </w:t>
      </w:r>
      <w:proofErr w:type="spellStart"/>
      <w:r w:rsidRPr="001E77FE">
        <w:rPr>
          <w:b/>
          <w:i/>
          <w:iCs/>
          <w:sz w:val="24"/>
          <w:szCs w:val="24"/>
        </w:rPr>
        <w:t>euro</w:t>
      </w:r>
      <w:proofErr w:type="spellEnd"/>
      <w:r w:rsidRPr="001E77FE">
        <w:rPr>
          <w:b/>
          <w:sz w:val="24"/>
          <w:szCs w:val="24"/>
        </w:rPr>
        <w:t xml:space="preserve"> apmērā, </w:t>
      </w:r>
      <w:r w:rsidRPr="001E77FE">
        <w:rPr>
          <w:bCs/>
          <w:sz w:val="24"/>
          <w:szCs w:val="24"/>
        </w:rPr>
        <w:t>kas norāda uz to, ka no ministrijām iedalītais finansējuma apjoms nav pietiekams, lai projekta ietvaros veiktu visus nepieciešamos darbus un sasniegtu n</w:t>
      </w:r>
      <w:r>
        <w:rPr>
          <w:bCs/>
          <w:sz w:val="24"/>
          <w:szCs w:val="24"/>
        </w:rPr>
        <w:t>o</w:t>
      </w:r>
      <w:r w:rsidRPr="001E77FE">
        <w:rPr>
          <w:bCs/>
          <w:sz w:val="24"/>
          <w:szCs w:val="24"/>
        </w:rPr>
        <w:t xml:space="preserve">teiktos rādītājus. </w:t>
      </w:r>
      <w:r w:rsidRPr="009A4CAF">
        <w:rPr>
          <w:bCs/>
          <w:sz w:val="24"/>
          <w:szCs w:val="24"/>
          <w:u w:val="single"/>
        </w:rPr>
        <w:t>Nepietiekošā finansējuma iemesli:</w:t>
      </w:r>
    </w:p>
    <w:p w14:paraId="4F494F44" w14:textId="77777777" w:rsidR="00FF0D12" w:rsidRPr="001E77FE" w:rsidRDefault="00FF0D12" w:rsidP="00FF0D12">
      <w:pPr>
        <w:pStyle w:val="ListParagraph"/>
        <w:numPr>
          <w:ilvl w:val="0"/>
          <w:numId w:val="9"/>
        </w:numPr>
        <w:spacing w:line="276" w:lineRule="auto"/>
        <w:jc w:val="both"/>
        <w:rPr>
          <w:bCs/>
        </w:rPr>
      </w:pPr>
      <w:r w:rsidRPr="001E77FE">
        <w:rPr>
          <w:bCs/>
        </w:rPr>
        <w:t>vairākkārtēji izsludinātie būvniecības iepirkumi noslēgušies bez rezultāta nepietiekama finansējuma dēļ, kas netiek palielināts pat pēc pieprasījuma iesniegšanas attiecīgajiem kvotas turētājiem;</w:t>
      </w:r>
    </w:p>
    <w:p w14:paraId="4A72CDA7" w14:textId="77777777" w:rsidR="00FF0D12" w:rsidRPr="001E77FE" w:rsidRDefault="00FF0D12" w:rsidP="00FF0D12">
      <w:pPr>
        <w:pStyle w:val="ListParagraph"/>
        <w:numPr>
          <w:ilvl w:val="0"/>
          <w:numId w:val="9"/>
        </w:numPr>
        <w:spacing w:line="276" w:lineRule="auto"/>
        <w:jc w:val="both"/>
        <w:rPr>
          <w:bCs/>
        </w:rPr>
      </w:pPr>
      <w:r w:rsidRPr="001E77FE">
        <w:rPr>
          <w:bCs/>
        </w:rPr>
        <w:t xml:space="preserve">novērojams projekta sadārdzinājums pēc iepirkuma izsludināšanas, kā segšanai nav pieejami līdzekļi. </w:t>
      </w:r>
    </w:p>
    <w:p w14:paraId="4EA29AE2" w14:textId="52F74712" w:rsidR="000A495B" w:rsidRDefault="00FF0D12" w:rsidP="004D2E58">
      <w:pPr>
        <w:spacing w:line="276" w:lineRule="auto"/>
        <w:ind w:firstLine="720"/>
        <w:jc w:val="both"/>
        <w:rPr>
          <w:bCs/>
          <w:sz w:val="24"/>
          <w:szCs w:val="24"/>
          <w:u w:val="single"/>
        </w:rPr>
      </w:pPr>
      <w:r w:rsidRPr="001E77FE">
        <w:rPr>
          <w:bCs/>
          <w:sz w:val="24"/>
          <w:szCs w:val="24"/>
        </w:rPr>
        <w:lastRenderedPageBreak/>
        <w:t>Ne visiem projektu iesniedzējiem ir pieejams brīvais finansējums, lai to novirzītu projekta finansējuma palielināšanai, līdz ar to pastāv risks, ka daļa no projektiem netiks īstenoti vai arī vēlāk tiks atsaukti nepietiekama finansējuma vai rādītāju neizpildes dēļ.</w:t>
      </w:r>
      <w:r w:rsidR="00680031">
        <w:rPr>
          <w:bCs/>
          <w:sz w:val="24"/>
          <w:szCs w:val="24"/>
        </w:rPr>
        <w:t xml:space="preserve"> </w:t>
      </w:r>
      <w:r w:rsidR="00D80E14">
        <w:rPr>
          <w:bCs/>
          <w:sz w:val="24"/>
          <w:szCs w:val="24"/>
        </w:rPr>
        <w:t>Kā arī ņ</w:t>
      </w:r>
      <w:r w:rsidR="00D80E14" w:rsidRPr="00D80E14">
        <w:rPr>
          <w:bCs/>
          <w:sz w:val="24"/>
          <w:szCs w:val="24"/>
        </w:rPr>
        <w:t xml:space="preserve">emot vērā, ka iepirkuma izsludināšana var noslēgties bez rezultāta, kā arī to, ka būvniecības dokumentācijas izstrāde var ilgt pat gadu, pastāv risks, ka projektu </w:t>
      </w:r>
      <w:r w:rsidR="00A00263">
        <w:rPr>
          <w:bCs/>
          <w:sz w:val="24"/>
          <w:szCs w:val="24"/>
        </w:rPr>
        <w:t xml:space="preserve">iesniegumi </w:t>
      </w:r>
      <w:r w:rsidR="00D80E14" w:rsidRPr="00D80E14">
        <w:rPr>
          <w:bCs/>
          <w:sz w:val="24"/>
          <w:szCs w:val="24"/>
        </w:rPr>
        <w:t>var tikt atsaukti laika trūkuma dēļ (atbilstoši MK noteikumiem Nr. 534 projekta iesniegumā minētās aktivitātes īstenojamas 48 mēnešu laikā pēc tam, kad ar CFLA noslēgts līgums vai vienošanās par projekta īstenošanu, bet ne vēlāk kā līdz 2022. gada 31. oktobrim).</w:t>
      </w:r>
      <w:r w:rsidR="00D80E14">
        <w:rPr>
          <w:bCs/>
          <w:sz w:val="24"/>
          <w:szCs w:val="24"/>
        </w:rPr>
        <w:t xml:space="preserve"> </w:t>
      </w:r>
      <w:r w:rsidR="00460745">
        <w:rPr>
          <w:bCs/>
          <w:sz w:val="24"/>
          <w:szCs w:val="24"/>
          <w:u w:val="single"/>
        </w:rPr>
        <w:t>Lai risinātu minēto situāciju, Ekonomikas ministrija paredz finansējuma apmēru, kas atbrīvotos gadījumā, ja kāds no projektiem netiktu īstenots novirzīt citu 4.2.1.2. pasākuma projektu attiecināmo izmaksu palielināšanai</w:t>
      </w:r>
      <w:r w:rsidR="00D80E14" w:rsidRPr="00545170">
        <w:rPr>
          <w:bCs/>
          <w:sz w:val="24"/>
          <w:szCs w:val="24"/>
          <w:u w:val="single"/>
        </w:rPr>
        <w:t>.</w:t>
      </w:r>
      <w:r w:rsidR="00460745">
        <w:rPr>
          <w:bCs/>
          <w:sz w:val="24"/>
          <w:szCs w:val="24"/>
          <w:u w:val="single"/>
        </w:rPr>
        <w:t xml:space="preserve"> Gadījumā, ja finansējuma apjoms, kas atbrīvotos kāda projekta neīstenošanas gadījumā, </w:t>
      </w:r>
      <w:r w:rsidR="00EB032F">
        <w:rPr>
          <w:bCs/>
          <w:sz w:val="24"/>
          <w:szCs w:val="24"/>
          <w:u w:val="single"/>
        </w:rPr>
        <w:t>būtu lielāks ka nepieciešams citu projektu attiecināmo izmaksu palielināšanai, Ekonomikas ministrija paredz atlikumu novirzīt d</w:t>
      </w:r>
      <w:r w:rsidR="00EB032F" w:rsidRPr="00EB032F">
        <w:rPr>
          <w:bCs/>
          <w:sz w:val="24"/>
          <w:szCs w:val="24"/>
          <w:u w:val="single"/>
        </w:rPr>
        <w:t xml:space="preserve">arbības programmas "Izaugsme un nodarbinātība" 4.2.1. specifiskā atbalsta mērķa "Veicināt energoefektivitātes paaugstināšanu valsts un dzīvojamās ēkās" 4.2.1.1. specifiskā atbalsta mērķa pasākuma "Veicināt energoefektivitātes paaugstināšanu dzīvojamās ēkās" </w:t>
      </w:r>
      <w:r w:rsidR="00EB032F">
        <w:rPr>
          <w:bCs/>
          <w:sz w:val="24"/>
          <w:szCs w:val="24"/>
          <w:u w:val="single"/>
        </w:rPr>
        <w:t>projektu īstenošanai.</w:t>
      </w:r>
    </w:p>
    <w:p w14:paraId="736E4C49" w14:textId="77777777" w:rsidR="00953CC8" w:rsidRPr="004D2E58" w:rsidRDefault="00953CC8" w:rsidP="004D2E58">
      <w:pPr>
        <w:spacing w:line="276" w:lineRule="auto"/>
        <w:ind w:firstLine="720"/>
        <w:jc w:val="both"/>
        <w:rPr>
          <w:bCs/>
          <w:sz w:val="24"/>
          <w:szCs w:val="24"/>
        </w:rPr>
      </w:pPr>
    </w:p>
    <w:p w14:paraId="1ED09C0A" w14:textId="76768FD6" w:rsidR="001F1F62" w:rsidRDefault="001F1F62" w:rsidP="001F1F62">
      <w:pPr>
        <w:spacing w:line="276" w:lineRule="auto"/>
        <w:ind w:firstLine="709"/>
        <w:jc w:val="center"/>
        <w:rPr>
          <w:b/>
          <w:sz w:val="26"/>
          <w:szCs w:val="26"/>
        </w:rPr>
      </w:pPr>
      <w:r w:rsidRPr="008C5BE0">
        <w:rPr>
          <w:b/>
          <w:sz w:val="26"/>
          <w:szCs w:val="26"/>
        </w:rPr>
        <w:t>Priekšlikumi turpmākai rīcībai</w:t>
      </w:r>
    </w:p>
    <w:p w14:paraId="3D7901A6" w14:textId="77777777" w:rsidR="001E77FE" w:rsidRPr="008C5BE0" w:rsidRDefault="001E77FE" w:rsidP="001F1F62">
      <w:pPr>
        <w:spacing w:line="276" w:lineRule="auto"/>
        <w:ind w:firstLine="709"/>
        <w:jc w:val="center"/>
        <w:rPr>
          <w:b/>
          <w:sz w:val="26"/>
          <w:szCs w:val="26"/>
        </w:rPr>
      </w:pPr>
    </w:p>
    <w:p w14:paraId="4BFD6097" w14:textId="77777777" w:rsidR="00685F2C" w:rsidRDefault="00685F2C" w:rsidP="00685F2C">
      <w:pPr>
        <w:spacing w:line="276" w:lineRule="auto"/>
        <w:ind w:firstLine="709"/>
        <w:jc w:val="both"/>
        <w:rPr>
          <w:bCs/>
          <w:sz w:val="24"/>
          <w:szCs w:val="24"/>
        </w:rPr>
      </w:pPr>
      <w:r>
        <w:rPr>
          <w:bCs/>
          <w:sz w:val="24"/>
          <w:szCs w:val="24"/>
        </w:rPr>
        <w:t>Ņemot vērā iepriekš minēto, 4.2.1.2. pasākuma pilnīgas apguves nodrošināšanai Ekonomikas ministrija piedāvā īstenot sekojošas darbības:</w:t>
      </w:r>
    </w:p>
    <w:p w14:paraId="526F59A5" w14:textId="77777777" w:rsidR="00685F2C" w:rsidRDefault="00685F2C" w:rsidP="00685F2C">
      <w:pPr>
        <w:pStyle w:val="ListParagraph"/>
        <w:numPr>
          <w:ilvl w:val="0"/>
          <w:numId w:val="13"/>
        </w:numPr>
        <w:spacing w:line="276" w:lineRule="auto"/>
        <w:jc w:val="both"/>
        <w:rPr>
          <w:bCs/>
        </w:rPr>
      </w:pPr>
      <w:r>
        <w:rPr>
          <w:bCs/>
        </w:rPr>
        <w:t xml:space="preserve">Noteikt gatavības kritērijus Ministru kabineta </w:t>
      </w:r>
      <w:proofErr w:type="spellStart"/>
      <w:r>
        <w:rPr>
          <w:bCs/>
        </w:rPr>
        <w:t>protokollēmumā</w:t>
      </w:r>
      <w:proofErr w:type="spellEnd"/>
      <w:r>
        <w:rPr>
          <w:bCs/>
        </w:rPr>
        <w:t>:</w:t>
      </w:r>
    </w:p>
    <w:p w14:paraId="14CEF226" w14:textId="76623EC3" w:rsidR="00685F2C" w:rsidRDefault="00685F2C" w:rsidP="001C0625">
      <w:pPr>
        <w:pStyle w:val="ListParagraph"/>
        <w:numPr>
          <w:ilvl w:val="1"/>
          <w:numId w:val="13"/>
        </w:numPr>
        <w:spacing w:before="240" w:line="276" w:lineRule="auto"/>
        <w:jc w:val="both"/>
        <w:rPr>
          <w:bCs/>
        </w:rPr>
      </w:pPr>
      <w:r>
        <w:rPr>
          <w:bCs/>
        </w:rPr>
        <w:t xml:space="preserve">4.2.1.2. pasākuma </w:t>
      </w:r>
      <w:bookmarkStart w:id="4" w:name="_Hlk45096507"/>
      <w:r>
        <w:rPr>
          <w:bCs/>
        </w:rPr>
        <w:t xml:space="preserve">otrās projektu iesniegumu atlases kārtas projektiem noteikt termiņu </w:t>
      </w:r>
      <w:r w:rsidR="005B22CC">
        <w:rPr>
          <w:bCs/>
        </w:rPr>
        <w:t>2020. gada 8. oktobris</w:t>
      </w:r>
      <w:r>
        <w:rPr>
          <w:bCs/>
        </w:rPr>
        <w:t>, kurā visiem projektu iesniegumiem jābūt iesniegtiem CFLA</w:t>
      </w:r>
      <w:bookmarkEnd w:id="4"/>
      <w:r>
        <w:rPr>
          <w:bCs/>
        </w:rPr>
        <w:t>, minētais termiņš tiks noteikts kā 4.2.1.2. otrās iesniegumu atlases kārtas jaunu projektu pieņemšanas beigu termiņš. (</w:t>
      </w:r>
      <w:r w:rsidR="005B22CC">
        <w:rPr>
          <w:bCs/>
        </w:rPr>
        <w:t>T</w:t>
      </w:r>
      <w:r>
        <w:rPr>
          <w:bCs/>
        </w:rPr>
        <w:t>ermiņš izvēlēts ņemot vērā finansējuma saņēmēju pausto gatavību iespējami ātri iesniegt projektu iesniegumus, vienlaikus nosakot termiņu, kurā gadījumā, ja kādam no finansējuma saņēmējiem neizdosies iesniegt projekta iesniegumu, pastāvētu iespēja laicīgi finansējumu novirzīt citu projektu attiecināmo izmaksu palielināšanai</w:t>
      </w:r>
      <w:r w:rsidR="001C0625">
        <w:rPr>
          <w:bCs/>
        </w:rPr>
        <w:t>)</w:t>
      </w:r>
      <w:r>
        <w:rPr>
          <w:bCs/>
        </w:rPr>
        <w:t>;</w:t>
      </w:r>
    </w:p>
    <w:p w14:paraId="3F05EA25" w14:textId="77777777" w:rsidR="00C055E6" w:rsidRDefault="00685F2C" w:rsidP="00685F2C">
      <w:pPr>
        <w:pStyle w:val="ListParagraph"/>
        <w:numPr>
          <w:ilvl w:val="1"/>
          <w:numId w:val="13"/>
        </w:numPr>
        <w:spacing w:line="276" w:lineRule="auto"/>
        <w:jc w:val="both"/>
        <w:rPr>
          <w:bCs/>
        </w:rPr>
      </w:pPr>
      <w:bookmarkStart w:id="5" w:name="_Hlk45096549"/>
      <w:r>
        <w:rPr>
          <w:bCs/>
        </w:rPr>
        <w:t>4.2.1.2. pasākuma visiem projektu iesniegumiem noteikt</w:t>
      </w:r>
      <w:r w:rsidR="00C055E6">
        <w:rPr>
          <w:bCs/>
        </w:rPr>
        <w:t>, ka:</w:t>
      </w:r>
    </w:p>
    <w:bookmarkEnd w:id="5"/>
    <w:p w14:paraId="35F87AAF" w14:textId="77777777" w:rsidR="00C055E6" w:rsidRPr="00C055E6" w:rsidRDefault="00C055E6" w:rsidP="00C055E6">
      <w:pPr>
        <w:pStyle w:val="ListParagraph"/>
        <w:spacing w:line="276" w:lineRule="auto"/>
        <w:ind w:left="2509"/>
        <w:jc w:val="both"/>
        <w:rPr>
          <w:bCs/>
        </w:rPr>
      </w:pPr>
      <w:r w:rsidRPr="00C055E6">
        <w:rPr>
          <w:bCs/>
        </w:rPr>
        <w:t>•</w:t>
      </w:r>
      <w:r w:rsidRPr="00C055E6">
        <w:rPr>
          <w:bCs/>
        </w:rPr>
        <w:tab/>
        <w:t>CFLA 4.2.1.2. pasākumā projektu iesniegumu vērtēšanas ietvaros veiktos precizējumus projektu iesniegumos saskaņā ar Eiropas Savienības struktūrfondu un Kohēzijas fonda 2014.–2020. gada plānošanas perioda vadības likuma 26.pantā noteikto pieņem līdz 2021.gada 20.februārim un līdz 2021.gada 22.martam pieņem lēmumu par projektu iesniegumu apstiprināšanu, atzinumu par lēmumā par projekta iesnieguma apstiprināšanu ar nosacījumiem ietverto nosacījumu izpildi vai projekta iesnieguma noraidīšanu, kā arī izbeidz atlasi;</w:t>
      </w:r>
    </w:p>
    <w:p w14:paraId="622C6229" w14:textId="18876A10" w:rsidR="00685F2C" w:rsidRDefault="00C055E6" w:rsidP="00C055E6">
      <w:pPr>
        <w:pStyle w:val="ListParagraph"/>
        <w:spacing w:line="276" w:lineRule="auto"/>
        <w:ind w:left="2509"/>
        <w:jc w:val="both"/>
        <w:rPr>
          <w:bCs/>
        </w:rPr>
      </w:pPr>
      <w:r w:rsidRPr="00C055E6">
        <w:rPr>
          <w:bCs/>
        </w:rPr>
        <w:t>•</w:t>
      </w:r>
      <w:r w:rsidRPr="00C055E6">
        <w:rPr>
          <w:bCs/>
        </w:rPr>
        <w:tab/>
        <w:t xml:space="preserve">Līdz 2021. gada 21.aprīlim jābūt noslēgtam līgumam ar CFLA par projekta īstenošanu. Termiņš noteikts ņemot vērā, ka sākotnējā projekta iesnieguma izvērtēšanai CFLA nepieciešams pusotrs </w:t>
      </w:r>
      <w:r w:rsidRPr="00C055E6">
        <w:rPr>
          <w:bCs/>
        </w:rPr>
        <w:lastRenderedPageBreak/>
        <w:t>mēnesis, savukārt precizējumu izskatīšanai CFLA nepieciešams viens mēnesis. Saskaņā ar Eiropas Savienības struktūrfondu un Kohēzijas fonda 2014.—2020. gada plānošanas perioda vadības likuma 26. panta 5. punktā noteikto projekta iesniedzējiem ir tiesības veikt precizējumus divas reizes, savukārt par projekta iesniedzēja precizējumu iesniegšanas termiņu tiek noteikt viens mēnesis. Pēc šī termiņa beigām tiesības uz finansējumu tiek zaudētas un tiks apkopts atlikušais finansējums, kas tiks novirzīts gatavākajiem un efektīvākajiem projektiem, tai skaitā augstas prioritātes kultūras un izglītības nozares ēku projektiem. 4.2.1.2. pasākuma otrās projektu iesniegumu atlases kārtas ietvaros (Atbilstoši MK protokola Nr. 34 3. punktā noteiktajam</w:t>
      </w:r>
    </w:p>
    <w:p w14:paraId="5BBEAE3D" w14:textId="24CD100F" w:rsidR="00685F2C" w:rsidRDefault="00685F2C" w:rsidP="00685F2C">
      <w:pPr>
        <w:pStyle w:val="ListParagraph"/>
        <w:numPr>
          <w:ilvl w:val="1"/>
          <w:numId w:val="13"/>
        </w:numPr>
        <w:spacing w:line="276" w:lineRule="auto"/>
        <w:jc w:val="both"/>
        <w:rPr>
          <w:bCs/>
        </w:rPr>
      </w:pPr>
      <w:bookmarkStart w:id="6" w:name="_Hlk45096571"/>
      <w:r>
        <w:rPr>
          <w:bCs/>
        </w:rPr>
        <w:t>4.2.1.2. pasākuma visiem projektiem noteikt termiņu 2021. gada 31. </w:t>
      </w:r>
      <w:r w:rsidR="006B353F">
        <w:rPr>
          <w:bCs/>
        </w:rPr>
        <w:t>jūlijs</w:t>
      </w:r>
      <w:r>
        <w:rPr>
          <w:bCs/>
        </w:rPr>
        <w:t xml:space="preserve">, kurā jābūt noslēgtam līgumam par būvniecības veikšanu. </w:t>
      </w:r>
      <w:bookmarkEnd w:id="6"/>
      <w:r>
        <w:rPr>
          <w:bCs/>
        </w:rPr>
        <w:t>Pretējā gadījumā finansējumu plānots pārdalīt projektiem, kuriem nepieciešams attiecināmo izmaksu palielinājums, ņemot vērā pazīmi par lielāko enerģijas patēriņa samazinājumu kā kritēriju projektu izvēlē.</w:t>
      </w:r>
    </w:p>
    <w:p w14:paraId="6DBB0177" w14:textId="544FE6EB" w:rsidR="00685F2C" w:rsidRDefault="00685F2C" w:rsidP="00685F2C">
      <w:pPr>
        <w:pStyle w:val="ListParagraph"/>
        <w:numPr>
          <w:ilvl w:val="0"/>
          <w:numId w:val="13"/>
        </w:numPr>
        <w:spacing w:line="276" w:lineRule="auto"/>
        <w:jc w:val="both"/>
        <w:rPr>
          <w:bCs/>
          <w:szCs w:val="20"/>
        </w:rPr>
      </w:pPr>
      <w:r>
        <w:rPr>
          <w:bCs/>
          <w:szCs w:val="20"/>
        </w:rPr>
        <w:t>Ekonomikas ministrijai sagatavot informatīvo ziņojumu par 4.2.1.2. pasākuma progresu līdz 2021. gada 15. </w:t>
      </w:r>
      <w:r w:rsidR="006B353F">
        <w:rPr>
          <w:bCs/>
          <w:szCs w:val="20"/>
        </w:rPr>
        <w:t>martam</w:t>
      </w:r>
      <w:r>
        <w:rPr>
          <w:bCs/>
          <w:szCs w:val="20"/>
        </w:rPr>
        <w:t xml:space="preserve"> ar mērķi apzināt precīzu </w:t>
      </w:r>
      <w:r w:rsidR="006B353F">
        <w:rPr>
          <w:bCs/>
          <w:szCs w:val="20"/>
        </w:rPr>
        <w:t xml:space="preserve">brīvo </w:t>
      </w:r>
      <w:r>
        <w:rPr>
          <w:bCs/>
          <w:szCs w:val="20"/>
        </w:rPr>
        <w:t xml:space="preserve">finansējuma apjomu, kas </w:t>
      </w:r>
      <w:r w:rsidR="006B353F">
        <w:rPr>
          <w:bCs/>
          <w:szCs w:val="20"/>
        </w:rPr>
        <w:t>izveidojies</w:t>
      </w:r>
      <w:r>
        <w:rPr>
          <w:bCs/>
          <w:szCs w:val="20"/>
        </w:rPr>
        <w:t xml:space="preserve">, </w:t>
      </w:r>
      <w:r w:rsidR="006B353F">
        <w:rPr>
          <w:bCs/>
          <w:szCs w:val="20"/>
        </w:rPr>
        <w:t>finansējuma saņēmējiem nenoslēdzot</w:t>
      </w:r>
      <w:r>
        <w:rPr>
          <w:bCs/>
          <w:szCs w:val="20"/>
        </w:rPr>
        <w:t xml:space="preserve"> līgumus par projektu īstenošanu ar CFLA.</w:t>
      </w:r>
    </w:p>
    <w:p w14:paraId="237DDEAD" w14:textId="720AB29B" w:rsidR="00685F2C" w:rsidRPr="00125F34" w:rsidRDefault="00685F2C" w:rsidP="00685F2C">
      <w:pPr>
        <w:pStyle w:val="ListParagraph"/>
        <w:numPr>
          <w:ilvl w:val="0"/>
          <w:numId w:val="13"/>
        </w:numPr>
        <w:spacing w:line="276" w:lineRule="auto"/>
        <w:jc w:val="both"/>
        <w:rPr>
          <w:bCs/>
          <w:u w:val="single"/>
        </w:rPr>
      </w:pPr>
      <w:bookmarkStart w:id="7" w:name="_Hlk45096888"/>
      <w:r>
        <w:rPr>
          <w:bCs/>
          <w:szCs w:val="20"/>
        </w:rPr>
        <w:t>Ekonomikas ministrijai v</w:t>
      </w:r>
      <w:r w:rsidRPr="00125F34">
        <w:rPr>
          <w:bCs/>
          <w:szCs w:val="20"/>
        </w:rPr>
        <w:t xml:space="preserve">eikt </w:t>
      </w:r>
      <w:r>
        <w:rPr>
          <w:bCs/>
          <w:szCs w:val="20"/>
        </w:rPr>
        <w:t>grozījumus MK noteikumos Nr. 534 un MK noteikumos Nr. 13 līdz 2020. gada 3</w:t>
      </w:r>
      <w:r w:rsidR="00137250">
        <w:rPr>
          <w:bCs/>
          <w:szCs w:val="20"/>
        </w:rPr>
        <w:t>0</w:t>
      </w:r>
      <w:r>
        <w:rPr>
          <w:bCs/>
          <w:szCs w:val="20"/>
        </w:rPr>
        <w:t>. </w:t>
      </w:r>
      <w:r w:rsidR="00137250">
        <w:rPr>
          <w:bCs/>
          <w:szCs w:val="20"/>
        </w:rPr>
        <w:t>septembrim</w:t>
      </w:r>
      <w:r>
        <w:rPr>
          <w:bCs/>
          <w:szCs w:val="20"/>
        </w:rPr>
        <w:t xml:space="preserve">, lai veiktu atlikušā 4.2.1.2. pasākuma pirmās iesniegumu atlases kārtas kvotu pārpalikuma pārdali 4.2.1.2. pasākuma otrajās iesniegumu atlases kārtas projektu attiecināmo izmaksu palielināšanai, atbilstoši MK protokola Nr. 34 3. punktā noteiktajam, dodot priekšroku </w:t>
      </w:r>
      <w:r w:rsidRPr="00E3066A">
        <w:rPr>
          <w:bCs/>
          <w:szCs w:val="20"/>
        </w:rPr>
        <w:t>gatavākajiem un efektīvākajiem projektiem, tai skaitā augstas prioritātes kultūras un izglītības nozares ēku projektiem</w:t>
      </w:r>
      <w:r>
        <w:rPr>
          <w:bCs/>
          <w:szCs w:val="20"/>
        </w:rPr>
        <w:t xml:space="preserve">. </w:t>
      </w:r>
      <w:bookmarkEnd w:id="7"/>
      <w:r>
        <w:rPr>
          <w:bCs/>
          <w:szCs w:val="20"/>
        </w:rPr>
        <w:t xml:space="preserve">Lai nodrošinātu korektu finansējuma pārdali un no nozaru ministriju kvotām netiktu noņemts jau iezīmēts finansējuma apjoms (piemēram, kas paredzēts attiecināmo izmaksu palielināšanai, veicot grozījumus projektu iesniegumos/līgumos), norit komunikācija ar nozaru ministrijām un finansējuma saņēmējiem, lai noteiktu korektu pārdalāmā finansējuma apjomu. </w:t>
      </w:r>
    </w:p>
    <w:p w14:paraId="18F5646E" w14:textId="77777777" w:rsidR="00070660" w:rsidRPr="00125F34" w:rsidRDefault="00070660" w:rsidP="00070660">
      <w:pPr>
        <w:tabs>
          <w:tab w:val="left" w:pos="6521"/>
        </w:tabs>
        <w:autoSpaceDE w:val="0"/>
        <w:autoSpaceDN w:val="0"/>
        <w:adjustRightInd w:val="0"/>
        <w:rPr>
          <w:bCs/>
          <w:color w:val="000000"/>
          <w:szCs w:val="28"/>
        </w:rPr>
      </w:pPr>
    </w:p>
    <w:p w14:paraId="683F5414" w14:textId="1DC6DA1D" w:rsidR="00070660" w:rsidRPr="006F0479" w:rsidRDefault="00070660" w:rsidP="00070660">
      <w:pPr>
        <w:tabs>
          <w:tab w:val="left" w:pos="7230"/>
          <w:tab w:val="right" w:pos="9071"/>
        </w:tabs>
        <w:contextualSpacing/>
        <w:jc w:val="both"/>
        <w:rPr>
          <w:color w:val="000000"/>
          <w:sz w:val="24"/>
          <w:szCs w:val="24"/>
        </w:rPr>
      </w:pPr>
      <w:r w:rsidRPr="00125F34">
        <w:rPr>
          <w:bCs/>
          <w:color w:val="000000"/>
          <w:sz w:val="24"/>
          <w:szCs w:val="24"/>
        </w:rPr>
        <w:t>Ekonomikas ministrs</w:t>
      </w:r>
      <w:r w:rsidRPr="00125F34">
        <w:rPr>
          <w:bCs/>
          <w:color w:val="000000"/>
          <w:sz w:val="24"/>
          <w:szCs w:val="24"/>
        </w:rPr>
        <w:tab/>
      </w:r>
      <w:r w:rsidR="00472F19">
        <w:rPr>
          <w:color w:val="000000"/>
          <w:sz w:val="24"/>
          <w:szCs w:val="24"/>
        </w:rPr>
        <w:t xml:space="preserve">J. </w:t>
      </w:r>
      <w:proofErr w:type="spellStart"/>
      <w:r w:rsidR="00472F19">
        <w:rPr>
          <w:color w:val="000000"/>
          <w:sz w:val="24"/>
          <w:szCs w:val="24"/>
        </w:rPr>
        <w:t>Vitenbergs</w:t>
      </w:r>
      <w:proofErr w:type="spellEnd"/>
    </w:p>
    <w:p w14:paraId="5670753D" w14:textId="77777777" w:rsidR="00070660" w:rsidRPr="006F0479" w:rsidRDefault="00070660" w:rsidP="00070660">
      <w:pPr>
        <w:jc w:val="both"/>
        <w:rPr>
          <w:rFonts w:cs="Times New Roman"/>
          <w:sz w:val="24"/>
          <w:szCs w:val="24"/>
        </w:rPr>
      </w:pPr>
    </w:p>
    <w:p w14:paraId="5948B0BE" w14:textId="77777777" w:rsidR="00070660" w:rsidRPr="006F0479" w:rsidRDefault="00070660" w:rsidP="00070660">
      <w:pPr>
        <w:tabs>
          <w:tab w:val="right" w:pos="9071"/>
        </w:tabs>
        <w:contextualSpacing/>
        <w:jc w:val="both"/>
        <w:rPr>
          <w:color w:val="000000"/>
          <w:sz w:val="24"/>
          <w:szCs w:val="24"/>
        </w:rPr>
      </w:pPr>
      <w:r w:rsidRPr="006F0479">
        <w:rPr>
          <w:color w:val="000000"/>
          <w:sz w:val="24"/>
          <w:szCs w:val="24"/>
        </w:rPr>
        <w:t>Vīza:</w:t>
      </w:r>
    </w:p>
    <w:p w14:paraId="54B13C31" w14:textId="49BD1DEB" w:rsidR="00070660" w:rsidRDefault="00070660" w:rsidP="00070660">
      <w:pPr>
        <w:tabs>
          <w:tab w:val="left" w:pos="7230"/>
          <w:tab w:val="right" w:pos="9071"/>
        </w:tabs>
        <w:contextualSpacing/>
        <w:jc w:val="both"/>
        <w:rPr>
          <w:rFonts w:eastAsia="Times New Roman"/>
          <w:sz w:val="24"/>
          <w:szCs w:val="24"/>
        </w:rPr>
      </w:pPr>
      <w:r w:rsidRPr="006F0479">
        <w:rPr>
          <w:color w:val="000000"/>
          <w:sz w:val="24"/>
          <w:szCs w:val="24"/>
        </w:rPr>
        <w:t>Valsts sekretārs</w:t>
      </w:r>
      <w:r w:rsidRPr="006F0479">
        <w:rPr>
          <w:color w:val="000000"/>
          <w:sz w:val="24"/>
          <w:szCs w:val="24"/>
        </w:rPr>
        <w:tab/>
      </w:r>
      <w:r w:rsidR="00472F19">
        <w:rPr>
          <w:color w:val="000000"/>
          <w:sz w:val="24"/>
          <w:szCs w:val="24"/>
        </w:rPr>
        <w:t>E. Valantis</w:t>
      </w:r>
    </w:p>
    <w:p w14:paraId="4F495071" w14:textId="77777777" w:rsidR="0026698F" w:rsidRPr="0026698F" w:rsidRDefault="0026698F" w:rsidP="00070660">
      <w:pPr>
        <w:tabs>
          <w:tab w:val="left" w:pos="7230"/>
          <w:tab w:val="right" w:pos="9071"/>
        </w:tabs>
        <w:contextualSpacing/>
        <w:jc w:val="both"/>
        <w:rPr>
          <w:color w:val="000000"/>
          <w:sz w:val="12"/>
          <w:szCs w:val="12"/>
        </w:rPr>
      </w:pPr>
    </w:p>
    <w:p w14:paraId="5C3E59DB" w14:textId="1EE62D69" w:rsidR="00A86C7A" w:rsidRDefault="001E77FE" w:rsidP="00AD6294">
      <w:pPr>
        <w:widowControl w:val="0"/>
        <w:contextualSpacing/>
        <w:jc w:val="both"/>
        <w:rPr>
          <w:rFonts w:eastAsia="Times New Roman"/>
          <w:sz w:val="20"/>
          <w:szCs w:val="20"/>
        </w:rPr>
      </w:pPr>
      <w:r>
        <w:rPr>
          <w:rFonts w:eastAsia="Times New Roman"/>
          <w:sz w:val="20"/>
          <w:szCs w:val="20"/>
        </w:rPr>
        <w:t>Kundziņa</w:t>
      </w:r>
      <w:r w:rsidR="00070660" w:rsidRPr="006F0479">
        <w:rPr>
          <w:rFonts w:eastAsia="Times New Roman"/>
          <w:sz w:val="20"/>
          <w:szCs w:val="20"/>
        </w:rPr>
        <w:t>, 67013171</w:t>
      </w:r>
      <w:r>
        <w:rPr>
          <w:rFonts w:eastAsia="Times New Roman"/>
          <w:sz w:val="20"/>
          <w:szCs w:val="20"/>
        </w:rPr>
        <w:t xml:space="preserve"> </w:t>
      </w:r>
    </w:p>
    <w:p w14:paraId="7310F889" w14:textId="0E227DBC" w:rsidR="00070660" w:rsidRPr="006F0479" w:rsidRDefault="001E77FE" w:rsidP="00AD6294">
      <w:pPr>
        <w:widowControl w:val="0"/>
        <w:contextualSpacing/>
        <w:jc w:val="both"/>
        <w:rPr>
          <w:bCs/>
        </w:rPr>
      </w:pPr>
      <w:r>
        <w:rPr>
          <w:rFonts w:eastAsia="Times New Roman"/>
          <w:sz w:val="20"/>
          <w:szCs w:val="20"/>
        </w:rPr>
        <w:t>Lina</w:t>
      </w:r>
      <w:r w:rsidR="00070660" w:rsidRPr="006F0479">
        <w:rPr>
          <w:rFonts w:eastAsia="Times New Roman"/>
          <w:sz w:val="20"/>
          <w:szCs w:val="20"/>
        </w:rPr>
        <w:t>.</w:t>
      </w:r>
      <w:r>
        <w:rPr>
          <w:rFonts w:eastAsia="Times New Roman"/>
          <w:sz w:val="20"/>
          <w:szCs w:val="20"/>
        </w:rPr>
        <w:t>Kundzina</w:t>
      </w:r>
      <w:r w:rsidR="00070660" w:rsidRPr="006F0479">
        <w:rPr>
          <w:rFonts w:eastAsia="Times New Roman"/>
          <w:sz w:val="20"/>
          <w:szCs w:val="20"/>
        </w:rPr>
        <w:t>@em.gov.lv</w:t>
      </w:r>
    </w:p>
    <w:sectPr w:rsidR="00070660" w:rsidRPr="006F0479" w:rsidSect="000F413F">
      <w:footerReference w:type="default" r:id="rId23"/>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5A89" w14:textId="77777777" w:rsidR="002729C5" w:rsidRDefault="002729C5" w:rsidP="00070660">
      <w:r>
        <w:separator/>
      </w:r>
    </w:p>
  </w:endnote>
  <w:endnote w:type="continuationSeparator" w:id="0">
    <w:p w14:paraId="2917C17B" w14:textId="77777777" w:rsidR="002729C5" w:rsidRDefault="002729C5" w:rsidP="0007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4"/>
        <w:szCs w:val="20"/>
      </w:rPr>
      <w:id w:val="-416877003"/>
      <w:docPartObj>
        <w:docPartGallery w:val="Page Numbers (Bottom of Page)"/>
        <w:docPartUnique/>
      </w:docPartObj>
    </w:sdtPr>
    <w:sdtEndPr>
      <w:rPr>
        <w:noProof/>
      </w:rPr>
    </w:sdtEndPr>
    <w:sdtContent>
      <w:p w14:paraId="6D6C9306" w14:textId="093CCED8" w:rsidR="00C80707" w:rsidRPr="00F97739" w:rsidRDefault="00F97739" w:rsidP="00F97739">
        <w:pPr>
          <w:pStyle w:val="Footer"/>
          <w:jc w:val="center"/>
          <w:rPr>
            <w:rFonts w:cs="Times New Roman"/>
            <w:sz w:val="24"/>
            <w:szCs w:val="20"/>
          </w:rPr>
        </w:pPr>
        <w:r w:rsidRPr="00F97739">
          <w:rPr>
            <w:rFonts w:cs="Times New Roman"/>
            <w:sz w:val="24"/>
            <w:szCs w:val="20"/>
          </w:rPr>
          <w:fldChar w:fldCharType="begin"/>
        </w:r>
        <w:r w:rsidRPr="00F97739">
          <w:rPr>
            <w:rFonts w:cs="Times New Roman"/>
            <w:sz w:val="24"/>
            <w:szCs w:val="20"/>
          </w:rPr>
          <w:instrText xml:space="preserve"> PAGE   \* MERGEFORMAT </w:instrText>
        </w:r>
        <w:r w:rsidRPr="00F97739">
          <w:rPr>
            <w:rFonts w:cs="Times New Roman"/>
            <w:sz w:val="24"/>
            <w:szCs w:val="20"/>
          </w:rPr>
          <w:fldChar w:fldCharType="separate"/>
        </w:r>
        <w:r w:rsidRPr="00F97739">
          <w:rPr>
            <w:rFonts w:cs="Times New Roman"/>
            <w:noProof/>
            <w:sz w:val="24"/>
            <w:szCs w:val="20"/>
          </w:rPr>
          <w:t>2</w:t>
        </w:r>
        <w:r w:rsidRPr="00F97739">
          <w:rPr>
            <w:rFonts w:cs="Times New Roman"/>
            <w:noProof/>
            <w:sz w:val="2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14A1" w14:textId="77777777" w:rsidR="002729C5" w:rsidRDefault="002729C5" w:rsidP="00070660">
      <w:r>
        <w:separator/>
      </w:r>
    </w:p>
  </w:footnote>
  <w:footnote w:type="continuationSeparator" w:id="0">
    <w:p w14:paraId="429E6988" w14:textId="77777777" w:rsidR="002729C5" w:rsidRDefault="002729C5" w:rsidP="00070660">
      <w:r>
        <w:continuationSeparator/>
      </w:r>
    </w:p>
  </w:footnote>
  <w:footnote w:id="1">
    <w:p w14:paraId="5CA874E5" w14:textId="0B5C0647" w:rsidR="001C6A32" w:rsidRDefault="001C6A32" w:rsidP="001C6A32">
      <w:pPr>
        <w:pStyle w:val="FootnoteText"/>
      </w:pPr>
      <w:r>
        <w:rPr>
          <w:rStyle w:val="FootnoteReference"/>
        </w:rPr>
        <w:footnoteRef/>
      </w:r>
      <w:r>
        <w:t xml:space="preserve"> Starpposma vērtības noteikšanas aprēķins: ņemot vērā, ka finansējums paredzēts objektu renovācijai (būvniecības darbiem) un ņemot vērā laiku iepirkuma procedūru veikšanai, projektu īstenošana būs ilgstoša un netiek plānots, ka līdz 2018.gada beigām varētu būt deklarēti vairāk kā 19% izdevumi. </w:t>
      </w:r>
      <w:r w:rsidRPr="001C6A32">
        <w:t>starpposma vērtība 2018.</w:t>
      </w:r>
      <w:r>
        <w:t> </w:t>
      </w:r>
      <w:r w:rsidRPr="001C6A32">
        <w:t>gadam ir attiecināmie izdevumi EUR sertificējošās iestādes uzskaites sistēmā, līdz 30.06.2019. sertificētie izdevumi, kas finansējuma saņēmējiem radušies līdz 31.12.2018.</w:t>
      </w:r>
    </w:p>
  </w:footnote>
  <w:footnote w:id="2">
    <w:p w14:paraId="45CAB5B4" w14:textId="6301E6B5" w:rsidR="00F85963" w:rsidRPr="009A4CAF" w:rsidRDefault="00F85963" w:rsidP="009A4CAF">
      <w:pPr>
        <w:pStyle w:val="Heading1"/>
        <w:shd w:val="clear" w:color="auto" w:fill="FFFFFF"/>
        <w:spacing w:before="0" w:beforeAutospacing="0" w:after="0" w:afterAutospacing="0"/>
        <w:textAlignment w:val="baseline"/>
        <w:rPr>
          <w:color w:val="533666"/>
        </w:rPr>
      </w:pPr>
      <w:r w:rsidRPr="009A4CAF">
        <w:rPr>
          <w:rStyle w:val="FootnoteReference"/>
          <w:b w:val="0"/>
          <w:bCs w:val="0"/>
          <w:sz w:val="20"/>
          <w:szCs w:val="20"/>
        </w:rPr>
        <w:footnoteRef/>
      </w:r>
      <w:r w:rsidRPr="009A4CAF">
        <w:rPr>
          <w:b w:val="0"/>
          <w:bCs w:val="0"/>
          <w:sz w:val="20"/>
          <w:szCs w:val="20"/>
        </w:rPr>
        <w:t xml:space="preserve"> </w:t>
      </w:r>
      <w:r w:rsidRPr="00106643">
        <w:rPr>
          <w:b w:val="0"/>
          <w:bCs w:val="0"/>
          <w:sz w:val="20"/>
          <w:szCs w:val="20"/>
        </w:rPr>
        <w:t xml:space="preserve">Būvniecības nozarē izaugsme arī </w:t>
      </w:r>
      <w:proofErr w:type="spellStart"/>
      <w:r w:rsidRPr="00106643">
        <w:rPr>
          <w:b w:val="0"/>
          <w:bCs w:val="0"/>
          <w:sz w:val="20"/>
          <w:szCs w:val="20"/>
        </w:rPr>
        <w:t>koronavīrusa</w:t>
      </w:r>
      <w:proofErr w:type="spellEnd"/>
      <w:r w:rsidRPr="00106643">
        <w:rPr>
          <w:b w:val="0"/>
          <w:bCs w:val="0"/>
          <w:sz w:val="20"/>
          <w:szCs w:val="20"/>
        </w:rPr>
        <w:t xml:space="preserve"> krīzē </w:t>
      </w:r>
      <w:hyperlink r:id="rId1" w:history="1">
        <w:r w:rsidRPr="00106643">
          <w:rPr>
            <w:rStyle w:val="Hyperlink"/>
            <w:b w:val="0"/>
            <w:bCs w:val="0"/>
            <w:color w:val="auto"/>
            <w:sz w:val="20"/>
            <w:szCs w:val="20"/>
          </w:rPr>
          <w:t>https://em.gov.lv/lv/jaunumi/27864-buvniecibas-nozare-izaugsme-ari-koronavirusa-krize</w:t>
        </w:r>
      </w:hyperlink>
      <w:r>
        <w:rPr>
          <w:b w:val="0"/>
          <w:bCs w:val="0"/>
          <w:sz w:val="20"/>
          <w:szCs w:val="20"/>
        </w:rPr>
        <w:t xml:space="preserve"> (08.05.2020.)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AFA"/>
    <w:multiLevelType w:val="hybridMultilevel"/>
    <w:tmpl w:val="80B8701C"/>
    <w:lvl w:ilvl="0" w:tplc="5F04AE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DCA2144"/>
    <w:multiLevelType w:val="hybridMultilevel"/>
    <w:tmpl w:val="0292DC0E"/>
    <w:lvl w:ilvl="0" w:tplc="EE16400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420ACC"/>
    <w:multiLevelType w:val="hybridMultilevel"/>
    <w:tmpl w:val="7F6017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1EA55ED"/>
    <w:multiLevelType w:val="hybridMultilevel"/>
    <w:tmpl w:val="39E09B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7DE1A23"/>
    <w:multiLevelType w:val="hybridMultilevel"/>
    <w:tmpl w:val="C9D454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AC33044"/>
    <w:multiLevelType w:val="hybridMultilevel"/>
    <w:tmpl w:val="C72EB4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B0C35AB"/>
    <w:multiLevelType w:val="multilevel"/>
    <w:tmpl w:val="0BC27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4A2B4B"/>
    <w:multiLevelType w:val="hybridMultilevel"/>
    <w:tmpl w:val="8CE23544"/>
    <w:lvl w:ilvl="0" w:tplc="E08C1E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E60E77"/>
    <w:multiLevelType w:val="hybridMultilevel"/>
    <w:tmpl w:val="3394059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3AEF1470"/>
    <w:multiLevelType w:val="hybridMultilevel"/>
    <w:tmpl w:val="8D2696F4"/>
    <w:lvl w:ilvl="0" w:tplc="6AAE0E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E26097E"/>
    <w:multiLevelType w:val="hybridMultilevel"/>
    <w:tmpl w:val="D548DD84"/>
    <w:lvl w:ilvl="0" w:tplc="04260001">
      <w:start w:val="1"/>
      <w:numFmt w:val="bullet"/>
      <w:lvlText w:val=""/>
      <w:lvlJc w:val="left"/>
      <w:pPr>
        <w:ind w:left="2509" w:hanging="360"/>
      </w:pPr>
      <w:rPr>
        <w:rFonts w:ascii="Symbol" w:hAnsi="Symbol" w:hint="default"/>
      </w:rPr>
    </w:lvl>
    <w:lvl w:ilvl="1" w:tplc="04260003" w:tentative="1">
      <w:start w:val="1"/>
      <w:numFmt w:val="bullet"/>
      <w:lvlText w:val="o"/>
      <w:lvlJc w:val="left"/>
      <w:pPr>
        <w:ind w:left="3229" w:hanging="360"/>
      </w:pPr>
      <w:rPr>
        <w:rFonts w:ascii="Courier New" w:hAnsi="Courier New" w:cs="Courier New" w:hint="default"/>
      </w:rPr>
    </w:lvl>
    <w:lvl w:ilvl="2" w:tplc="04260005" w:tentative="1">
      <w:start w:val="1"/>
      <w:numFmt w:val="bullet"/>
      <w:lvlText w:val=""/>
      <w:lvlJc w:val="left"/>
      <w:pPr>
        <w:ind w:left="3949" w:hanging="360"/>
      </w:pPr>
      <w:rPr>
        <w:rFonts w:ascii="Wingdings" w:hAnsi="Wingdings" w:hint="default"/>
      </w:rPr>
    </w:lvl>
    <w:lvl w:ilvl="3" w:tplc="04260001" w:tentative="1">
      <w:start w:val="1"/>
      <w:numFmt w:val="bullet"/>
      <w:lvlText w:val=""/>
      <w:lvlJc w:val="left"/>
      <w:pPr>
        <w:ind w:left="4669" w:hanging="360"/>
      </w:pPr>
      <w:rPr>
        <w:rFonts w:ascii="Symbol" w:hAnsi="Symbol" w:hint="default"/>
      </w:rPr>
    </w:lvl>
    <w:lvl w:ilvl="4" w:tplc="04260003" w:tentative="1">
      <w:start w:val="1"/>
      <w:numFmt w:val="bullet"/>
      <w:lvlText w:val="o"/>
      <w:lvlJc w:val="left"/>
      <w:pPr>
        <w:ind w:left="5389" w:hanging="360"/>
      </w:pPr>
      <w:rPr>
        <w:rFonts w:ascii="Courier New" w:hAnsi="Courier New" w:cs="Courier New" w:hint="default"/>
      </w:rPr>
    </w:lvl>
    <w:lvl w:ilvl="5" w:tplc="04260005" w:tentative="1">
      <w:start w:val="1"/>
      <w:numFmt w:val="bullet"/>
      <w:lvlText w:val=""/>
      <w:lvlJc w:val="left"/>
      <w:pPr>
        <w:ind w:left="6109" w:hanging="360"/>
      </w:pPr>
      <w:rPr>
        <w:rFonts w:ascii="Wingdings" w:hAnsi="Wingdings" w:hint="default"/>
      </w:rPr>
    </w:lvl>
    <w:lvl w:ilvl="6" w:tplc="04260001" w:tentative="1">
      <w:start w:val="1"/>
      <w:numFmt w:val="bullet"/>
      <w:lvlText w:val=""/>
      <w:lvlJc w:val="left"/>
      <w:pPr>
        <w:ind w:left="6829" w:hanging="360"/>
      </w:pPr>
      <w:rPr>
        <w:rFonts w:ascii="Symbol" w:hAnsi="Symbol" w:hint="default"/>
      </w:rPr>
    </w:lvl>
    <w:lvl w:ilvl="7" w:tplc="04260003" w:tentative="1">
      <w:start w:val="1"/>
      <w:numFmt w:val="bullet"/>
      <w:lvlText w:val="o"/>
      <w:lvlJc w:val="left"/>
      <w:pPr>
        <w:ind w:left="7549" w:hanging="360"/>
      </w:pPr>
      <w:rPr>
        <w:rFonts w:ascii="Courier New" w:hAnsi="Courier New" w:cs="Courier New" w:hint="default"/>
      </w:rPr>
    </w:lvl>
    <w:lvl w:ilvl="8" w:tplc="04260005" w:tentative="1">
      <w:start w:val="1"/>
      <w:numFmt w:val="bullet"/>
      <w:lvlText w:val=""/>
      <w:lvlJc w:val="left"/>
      <w:pPr>
        <w:ind w:left="8269" w:hanging="360"/>
      </w:pPr>
      <w:rPr>
        <w:rFonts w:ascii="Wingdings" w:hAnsi="Wingdings" w:hint="default"/>
      </w:rPr>
    </w:lvl>
  </w:abstractNum>
  <w:abstractNum w:abstractNumId="11" w15:restartNumberingAfterBreak="0">
    <w:nsid w:val="47AA0D41"/>
    <w:multiLevelType w:val="hybridMultilevel"/>
    <w:tmpl w:val="197E755A"/>
    <w:lvl w:ilvl="0" w:tplc="4BB609A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9AF79E3"/>
    <w:multiLevelType w:val="hybridMultilevel"/>
    <w:tmpl w:val="AD147E74"/>
    <w:lvl w:ilvl="0" w:tplc="043479C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6E1339E"/>
    <w:multiLevelType w:val="hybridMultilevel"/>
    <w:tmpl w:val="E0C0E490"/>
    <w:lvl w:ilvl="0" w:tplc="2E18B00E">
      <w:start w:val="1"/>
      <w:numFmt w:val="decimal"/>
      <w:lvlText w:val="%1)"/>
      <w:lvlJc w:val="left"/>
      <w:pPr>
        <w:tabs>
          <w:tab w:val="num" w:pos="720"/>
        </w:tabs>
        <w:ind w:left="720" w:hanging="360"/>
      </w:pPr>
    </w:lvl>
    <w:lvl w:ilvl="1" w:tplc="A790F0AC" w:tentative="1">
      <w:start w:val="1"/>
      <w:numFmt w:val="decimal"/>
      <w:lvlText w:val="%2)"/>
      <w:lvlJc w:val="left"/>
      <w:pPr>
        <w:tabs>
          <w:tab w:val="num" w:pos="1440"/>
        </w:tabs>
        <w:ind w:left="1440" w:hanging="360"/>
      </w:pPr>
    </w:lvl>
    <w:lvl w:ilvl="2" w:tplc="862847E0" w:tentative="1">
      <w:start w:val="1"/>
      <w:numFmt w:val="decimal"/>
      <w:lvlText w:val="%3)"/>
      <w:lvlJc w:val="left"/>
      <w:pPr>
        <w:tabs>
          <w:tab w:val="num" w:pos="2160"/>
        </w:tabs>
        <w:ind w:left="2160" w:hanging="360"/>
      </w:pPr>
    </w:lvl>
    <w:lvl w:ilvl="3" w:tplc="EC88E64E" w:tentative="1">
      <w:start w:val="1"/>
      <w:numFmt w:val="decimal"/>
      <w:lvlText w:val="%4)"/>
      <w:lvlJc w:val="left"/>
      <w:pPr>
        <w:tabs>
          <w:tab w:val="num" w:pos="2880"/>
        </w:tabs>
        <w:ind w:left="2880" w:hanging="360"/>
      </w:pPr>
    </w:lvl>
    <w:lvl w:ilvl="4" w:tplc="053E5D6A" w:tentative="1">
      <w:start w:val="1"/>
      <w:numFmt w:val="decimal"/>
      <w:lvlText w:val="%5)"/>
      <w:lvlJc w:val="left"/>
      <w:pPr>
        <w:tabs>
          <w:tab w:val="num" w:pos="3600"/>
        </w:tabs>
        <w:ind w:left="3600" w:hanging="360"/>
      </w:pPr>
    </w:lvl>
    <w:lvl w:ilvl="5" w:tplc="1D0A8B5E" w:tentative="1">
      <w:start w:val="1"/>
      <w:numFmt w:val="decimal"/>
      <w:lvlText w:val="%6)"/>
      <w:lvlJc w:val="left"/>
      <w:pPr>
        <w:tabs>
          <w:tab w:val="num" w:pos="4320"/>
        </w:tabs>
        <w:ind w:left="4320" w:hanging="360"/>
      </w:pPr>
    </w:lvl>
    <w:lvl w:ilvl="6" w:tplc="27E034EC" w:tentative="1">
      <w:start w:val="1"/>
      <w:numFmt w:val="decimal"/>
      <w:lvlText w:val="%7)"/>
      <w:lvlJc w:val="left"/>
      <w:pPr>
        <w:tabs>
          <w:tab w:val="num" w:pos="5040"/>
        </w:tabs>
        <w:ind w:left="5040" w:hanging="360"/>
      </w:pPr>
    </w:lvl>
    <w:lvl w:ilvl="7" w:tplc="9BB4F886" w:tentative="1">
      <w:start w:val="1"/>
      <w:numFmt w:val="decimal"/>
      <w:lvlText w:val="%8)"/>
      <w:lvlJc w:val="left"/>
      <w:pPr>
        <w:tabs>
          <w:tab w:val="num" w:pos="5760"/>
        </w:tabs>
        <w:ind w:left="5760" w:hanging="360"/>
      </w:pPr>
    </w:lvl>
    <w:lvl w:ilvl="8" w:tplc="C8481440" w:tentative="1">
      <w:start w:val="1"/>
      <w:numFmt w:val="decimal"/>
      <w:lvlText w:val="%9)"/>
      <w:lvlJc w:val="left"/>
      <w:pPr>
        <w:tabs>
          <w:tab w:val="num" w:pos="6480"/>
        </w:tabs>
        <w:ind w:left="6480" w:hanging="360"/>
      </w:pPr>
    </w:lvl>
  </w:abstractNum>
  <w:abstractNum w:abstractNumId="14" w15:restartNumberingAfterBreak="0">
    <w:nsid w:val="57411D9E"/>
    <w:multiLevelType w:val="hybridMultilevel"/>
    <w:tmpl w:val="8D3EFD50"/>
    <w:lvl w:ilvl="0" w:tplc="99560676">
      <w:start w:val="1"/>
      <w:numFmt w:val="bullet"/>
      <w:lvlText w:val=""/>
      <w:lvlJc w:val="left"/>
      <w:pPr>
        <w:ind w:left="714" w:hanging="360"/>
      </w:pPr>
      <w:rPr>
        <w:rFonts w:ascii="Symbol" w:hAnsi="Symbol" w:hint="default"/>
        <w:color w:val="auto"/>
      </w:rPr>
    </w:lvl>
    <w:lvl w:ilvl="1" w:tplc="04260003">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5" w15:restartNumberingAfterBreak="0">
    <w:nsid w:val="59B6648F"/>
    <w:multiLevelType w:val="hybridMultilevel"/>
    <w:tmpl w:val="63E6E788"/>
    <w:lvl w:ilvl="0" w:tplc="04260011">
      <w:start w:val="1"/>
      <w:numFmt w:val="decimal"/>
      <w:lvlText w:val="%1)"/>
      <w:lvlJc w:val="left"/>
      <w:pPr>
        <w:ind w:left="1440" w:hanging="360"/>
      </w:pPr>
    </w:lvl>
    <w:lvl w:ilvl="1" w:tplc="996EBF46">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F080DFE"/>
    <w:multiLevelType w:val="hybridMultilevel"/>
    <w:tmpl w:val="FFE24C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FE52B31"/>
    <w:multiLevelType w:val="hybridMultilevel"/>
    <w:tmpl w:val="71344A7A"/>
    <w:lvl w:ilvl="0" w:tplc="1F901A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84D0EE1"/>
    <w:multiLevelType w:val="hybridMultilevel"/>
    <w:tmpl w:val="89ECBD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2A152B"/>
    <w:multiLevelType w:val="hybridMultilevel"/>
    <w:tmpl w:val="89ECBD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6978C9"/>
    <w:multiLevelType w:val="hybridMultilevel"/>
    <w:tmpl w:val="FE5E1E6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79190857"/>
    <w:multiLevelType w:val="hybridMultilevel"/>
    <w:tmpl w:val="B40A6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9"/>
  </w:num>
  <w:num w:numId="5">
    <w:abstractNumId w:val="18"/>
  </w:num>
  <w:num w:numId="6">
    <w:abstractNumId w:val="19"/>
  </w:num>
  <w:num w:numId="7">
    <w:abstractNumId w:val="15"/>
  </w:num>
  <w:num w:numId="8">
    <w:abstractNumId w:val="7"/>
  </w:num>
  <w:num w:numId="9">
    <w:abstractNumId w:val="17"/>
  </w:num>
  <w:num w:numId="10">
    <w:abstractNumId w:val="6"/>
  </w:num>
  <w:num w:numId="11">
    <w:abstractNumId w:val="21"/>
  </w:num>
  <w:num w:numId="12">
    <w:abstractNumId w:val="13"/>
  </w:num>
  <w:num w:numId="13">
    <w:abstractNumId w:val="12"/>
  </w:num>
  <w:num w:numId="14">
    <w:abstractNumId w:val="0"/>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8"/>
  </w:num>
  <w:num w:numId="20">
    <w:abstractNumId w:val="2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38"/>
    <w:rsid w:val="000049C9"/>
    <w:rsid w:val="00004D8D"/>
    <w:rsid w:val="00036D45"/>
    <w:rsid w:val="000376BB"/>
    <w:rsid w:val="00051B01"/>
    <w:rsid w:val="00051CF0"/>
    <w:rsid w:val="000531B3"/>
    <w:rsid w:val="00070660"/>
    <w:rsid w:val="00091A1B"/>
    <w:rsid w:val="000A495B"/>
    <w:rsid w:val="000A4ACB"/>
    <w:rsid w:val="000A68E2"/>
    <w:rsid w:val="000A6ABC"/>
    <w:rsid w:val="000A7B5A"/>
    <w:rsid w:val="000B42DD"/>
    <w:rsid w:val="000D40EB"/>
    <w:rsid w:val="000F27F8"/>
    <w:rsid w:val="000F413F"/>
    <w:rsid w:val="00101F38"/>
    <w:rsid w:val="00106643"/>
    <w:rsid w:val="00107D02"/>
    <w:rsid w:val="00117539"/>
    <w:rsid w:val="00125F34"/>
    <w:rsid w:val="00130DF1"/>
    <w:rsid w:val="00133406"/>
    <w:rsid w:val="00137250"/>
    <w:rsid w:val="001463B1"/>
    <w:rsid w:val="001668FD"/>
    <w:rsid w:val="001710C3"/>
    <w:rsid w:val="001742E6"/>
    <w:rsid w:val="001849C6"/>
    <w:rsid w:val="00190492"/>
    <w:rsid w:val="001C0625"/>
    <w:rsid w:val="001C6A32"/>
    <w:rsid w:val="001C6FAA"/>
    <w:rsid w:val="001C7BE3"/>
    <w:rsid w:val="001D7E64"/>
    <w:rsid w:val="001E297C"/>
    <w:rsid w:val="001E59CC"/>
    <w:rsid w:val="001E77FE"/>
    <w:rsid w:val="001F1F62"/>
    <w:rsid w:val="00202EA1"/>
    <w:rsid w:val="00210334"/>
    <w:rsid w:val="00213DA1"/>
    <w:rsid w:val="0022103C"/>
    <w:rsid w:val="00225D77"/>
    <w:rsid w:val="00254031"/>
    <w:rsid w:val="0026698F"/>
    <w:rsid w:val="002729C5"/>
    <w:rsid w:val="00274756"/>
    <w:rsid w:val="00296AE1"/>
    <w:rsid w:val="002A6979"/>
    <w:rsid w:val="002C31FE"/>
    <w:rsid w:val="002C403C"/>
    <w:rsid w:val="002D3174"/>
    <w:rsid w:val="002F4E97"/>
    <w:rsid w:val="00320A43"/>
    <w:rsid w:val="00320FF3"/>
    <w:rsid w:val="00356369"/>
    <w:rsid w:val="0036453E"/>
    <w:rsid w:val="003713CC"/>
    <w:rsid w:val="003803EB"/>
    <w:rsid w:val="0038752E"/>
    <w:rsid w:val="003964FE"/>
    <w:rsid w:val="003C42E3"/>
    <w:rsid w:val="003C589E"/>
    <w:rsid w:val="003C62BF"/>
    <w:rsid w:val="003D0B16"/>
    <w:rsid w:val="003D396C"/>
    <w:rsid w:val="003E0BFD"/>
    <w:rsid w:val="003E4920"/>
    <w:rsid w:val="003E7C3D"/>
    <w:rsid w:val="0040239B"/>
    <w:rsid w:val="00404A21"/>
    <w:rsid w:val="00407B2C"/>
    <w:rsid w:val="00411182"/>
    <w:rsid w:val="00414ADF"/>
    <w:rsid w:val="00415B18"/>
    <w:rsid w:val="00431CB7"/>
    <w:rsid w:val="00440514"/>
    <w:rsid w:val="0044250A"/>
    <w:rsid w:val="00460745"/>
    <w:rsid w:val="00472F19"/>
    <w:rsid w:val="00473BE7"/>
    <w:rsid w:val="004849D9"/>
    <w:rsid w:val="004A1539"/>
    <w:rsid w:val="004A325A"/>
    <w:rsid w:val="004C29AE"/>
    <w:rsid w:val="004C5286"/>
    <w:rsid w:val="004D2060"/>
    <w:rsid w:val="004D2E58"/>
    <w:rsid w:val="004E45DB"/>
    <w:rsid w:val="004E7A33"/>
    <w:rsid w:val="00506345"/>
    <w:rsid w:val="00507BFC"/>
    <w:rsid w:val="00535438"/>
    <w:rsid w:val="00541D8B"/>
    <w:rsid w:val="00543310"/>
    <w:rsid w:val="00543D09"/>
    <w:rsid w:val="00545170"/>
    <w:rsid w:val="00550CEC"/>
    <w:rsid w:val="00565DC7"/>
    <w:rsid w:val="0058035E"/>
    <w:rsid w:val="005843A4"/>
    <w:rsid w:val="005B22CC"/>
    <w:rsid w:val="005B360E"/>
    <w:rsid w:val="005B5291"/>
    <w:rsid w:val="005D1D82"/>
    <w:rsid w:val="005E548E"/>
    <w:rsid w:val="005F548D"/>
    <w:rsid w:val="00614968"/>
    <w:rsid w:val="00614CC5"/>
    <w:rsid w:val="006236D7"/>
    <w:rsid w:val="00636206"/>
    <w:rsid w:val="0066333B"/>
    <w:rsid w:val="006722AC"/>
    <w:rsid w:val="00680031"/>
    <w:rsid w:val="00685F2C"/>
    <w:rsid w:val="00687A2C"/>
    <w:rsid w:val="00696AD6"/>
    <w:rsid w:val="006A53F4"/>
    <w:rsid w:val="006B2BE0"/>
    <w:rsid w:val="006B353F"/>
    <w:rsid w:val="006B6747"/>
    <w:rsid w:val="006C7631"/>
    <w:rsid w:val="006D2082"/>
    <w:rsid w:val="006E433B"/>
    <w:rsid w:val="006F0479"/>
    <w:rsid w:val="00707195"/>
    <w:rsid w:val="00725397"/>
    <w:rsid w:val="00731BA7"/>
    <w:rsid w:val="0073414B"/>
    <w:rsid w:val="0074776E"/>
    <w:rsid w:val="00747E55"/>
    <w:rsid w:val="00750150"/>
    <w:rsid w:val="0075253E"/>
    <w:rsid w:val="007532B7"/>
    <w:rsid w:val="00756B47"/>
    <w:rsid w:val="00756B4B"/>
    <w:rsid w:val="0075742B"/>
    <w:rsid w:val="0076227C"/>
    <w:rsid w:val="00762579"/>
    <w:rsid w:val="0077234A"/>
    <w:rsid w:val="00777AC7"/>
    <w:rsid w:val="007947DD"/>
    <w:rsid w:val="007B70A3"/>
    <w:rsid w:val="007B743C"/>
    <w:rsid w:val="007C2655"/>
    <w:rsid w:val="007C2F83"/>
    <w:rsid w:val="007C78C2"/>
    <w:rsid w:val="007D17FE"/>
    <w:rsid w:val="007D2E05"/>
    <w:rsid w:val="007F507F"/>
    <w:rsid w:val="007F6C33"/>
    <w:rsid w:val="0080103B"/>
    <w:rsid w:val="00813923"/>
    <w:rsid w:val="008274AC"/>
    <w:rsid w:val="008421F8"/>
    <w:rsid w:val="00870143"/>
    <w:rsid w:val="00870847"/>
    <w:rsid w:val="00872226"/>
    <w:rsid w:val="00886044"/>
    <w:rsid w:val="00886986"/>
    <w:rsid w:val="008938D0"/>
    <w:rsid w:val="008A68BF"/>
    <w:rsid w:val="008B72D5"/>
    <w:rsid w:val="008C5BE0"/>
    <w:rsid w:val="008C5D0C"/>
    <w:rsid w:val="0090383D"/>
    <w:rsid w:val="00905FA8"/>
    <w:rsid w:val="00911959"/>
    <w:rsid w:val="00912888"/>
    <w:rsid w:val="009274D9"/>
    <w:rsid w:val="009366BE"/>
    <w:rsid w:val="009436F9"/>
    <w:rsid w:val="00953CC8"/>
    <w:rsid w:val="009545F3"/>
    <w:rsid w:val="00956887"/>
    <w:rsid w:val="00957076"/>
    <w:rsid w:val="0097141F"/>
    <w:rsid w:val="00973E03"/>
    <w:rsid w:val="009802B0"/>
    <w:rsid w:val="009810DF"/>
    <w:rsid w:val="00984603"/>
    <w:rsid w:val="009853D4"/>
    <w:rsid w:val="00997C5E"/>
    <w:rsid w:val="009A4CAF"/>
    <w:rsid w:val="009D664F"/>
    <w:rsid w:val="009F4648"/>
    <w:rsid w:val="00A00263"/>
    <w:rsid w:val="00A0051C"/>
    <w:rsid w:val="00A03D55"/>
    <w:rsid w:val="00A22658"/>
    <w:rsid w:val="00A3660E"/>
    <w:rsid w:val="00A40EBE"/>
    <w:rsid w:val="00A4106A"/>
    <w:rsid w:val="00A55D77"/>
    <w:rsid w:val="00A61662"/>
    <w:rsid w:val="00A7272D"/>
    <w:rsid w:val="00A86C7A"/>
    <w:rsid w:val="00A914FB"/>
    <w:rsid w:val="00A94967"/>
    <w:rsid w:val="00A9562E"/>
    <w:rsid w:val="00AB765F"/>
    <w:rsid w:val="00AC2AF3"/>
    <w:rsid w:val="00AD440F"/>
    <w:rsid w:val="00AD4D64"/>
    <w:rsid w:val="00AD5286"/>
    <w:rsid w:val="00AD6294"/>
    <w:rsid w:val="00AD6B42"/>
    <w:rsid w:val="00AE4D43"/>
    <w:rsid w:val="00B21B31"/>
    <w:rsid w:val="00B34639"/>
    <w:rsid w:val="00B375B2"/>
    <w:rsid w:val="00B4602A"/>
    <w:rsid w:val="00B470AC"/>
    <w:rsid w:val="00B53447"/>
    <w:rsid w:val="00B65281"/>
    <w:rsid w:val="00B761DD"/>
    <w:rsid w:val="00B802F9"/>
    <w:rsid w:val="00B91BDE"/>
    <w:rsid w:val="00B9211A"/>
    <w:rsid w:val="00B97092"/>
    <w:rsid w:val="00BA0795"/>
    <w:rsid w:val="00BA48AC"/>
    <w:rsid w:val="00BA5B3C"/>
    <w:rsid w:val="00BB0E32"/>
    <w:rsid w:val="00BB6FE0"/>
    <w:rsid w:val="00BC5689"/>
    <w:rsid w:val="00BC7BBB"/>
    <w:rsid w:val="00BD0754"/>
    <w:rsid w:val="00BF7D47"/>
    <w:rsid w:val="00C01243"/>
    <w:rsid w:val="00C055E6"/>
    <w:rsid w:val="00C0757E"/>
    <w:rsid w:val="00C11535"/>
    <w:rsid w:val="00C14B23"/>
    <w:rsid w:val="00C17111"/>
    <w:rsid w:val="00C21E52"/>
    <w:rsid w:val="00C22D2C"/>
    <w:rsid w:val="00C23AB8"/>
    <w:rsid w:val="00C26787"/>
    <w:rsid w:val="00C3715E"/>
    <w:rsid w:val="00C43DB8"/>
    <w:rsid w:val="00C45F66"/>
    <w:rsid w:val="00C50086"/>
    <w:rsid w:val="00C55017"/>
    <w:rsid w:val="00C671D3"/>
    <w:rsid w:val="00C80707"/>
    <w:rsid w:val="00CA649B"/>
    <w:rsid w:val="00CB46C0"/>
    <w:rsid w:val="00CB6C4E"/>
    <w:rsid w:val="00CC01A1"/>
    <w:rsid w:val="00CC26B6"/>
    <w:rsid w:val="00CC4DE7"/>
    <w:rsid w:val="00CC5E6C"/>
    <w:rsid w:val="00CD0ABE"/>
    <w:rsid w:val="00CD1D80"/>
    <w:rsid w:val="00CD4DD9"/>
    <w:rsid w:val="00CE757C"/>
    <w:rsid w:val="00D06547"/>
    <w:rsid w:val="00D216C6"/>
    <w:rsid w:val="00D2249D"/>
    <w:rsid w:val="00D24058"/>
    <w:rsid w:val="00D424C8"/>
    <w:rsid w:val="00D559F7"/>
    <w:rsid w:val="00D55A83"/>
    <w:rsid w:val="00D57AC6"/>
    <w:rsid w:val="00D701B4"/>
    <w:rsid w:val="00D80E14"/>
    <w:rsid w:val="00D87815"/>
    <w:rsid w:val="00D9745D"/>
    <w:rsid w:val="00DA3874"/>
    <w:rsid w:val="00DD0587"/>
    <w:rsid w:val="00DE3B07"/>
    <w:rsid w:val="00DE3C9A"/>
    <w:rsid w:val="00DF1433"/>
    <w:rsid w:val="00DF7020"/>
    <w:rsid w:val="00E13373"/>
    <w:rsid w:val="00E17259"/>
    <w:rsid w:val="00E258A1"/>
    <w:rsid w:val="00E30179"/>
    <w:rsid w:val="00E3066A"/>
    <w:rsid w:val="00E31A18"/>
    <w:rsid w:val="00E363DE"/>
    <w:rsid w:val="00E55BA1"/>
    <w:rsid w:val="00E57B44"/>
    <w:rsid w:val="00E57DAD"/>
    <w:rsid w:val="00E6069B"/>
    <w:rsid w:val="00E6531A"/>
    <w:rsid w:val="00E73182"/>
    <w:rsid w:val="00E74561"/>
    <w:rsid w:val="00E83961"/>
    <w:rsid w:val="00E86D95"/>
    <w:rsid w:val="00E966C3"/>
    <w:rsid w:val="00EA161F"/>
    <w:rsid w:val="00EB032F"/>
    <w:rsid w:val="00EB20DD"/>
    <w:rsid w:val="00EB335E"/>
    <w:rsid w:val="00EC2BDC"/>
    <w:rsid w:val="00EC358C"/>
    <w:rsid w:val="00EC422A"/>
    <w:rsid w:val="00EC5A83"/>
    <w:rsid w:val="00EE43F4"/>
    <w:rsid w:val="00EE71A3"/>
    <w:rsid w:val="00EF4C08"/>
    <w:rsid w:val="00F05D34"/>
    <w:rsid w:val="00F13604"/>
    <w:rsid w:val="00F34412"/>
    <w:rsid w:val="00F415DA"/>
    <w:rsid w:val="00F44C9C"/>
    <w:rsid w:val="00F54945"/>
    <w:rsid w:val="00F55C92"/>
    <w:rsid w:val="00F66D2A"/>
    <w:rsid w:val="00F7344B"/>
    <w:rsid w:val="00F75317"/>
    <w:rsid w:val="00F85963"/>
    <w:rsid w:val="00F9060C"/>
    <w:rsid w:val="00F924F7"/>
    <w:rsid w:val="00F94245"/>
    <w:rsid w:val="00F94340"/>
    <w:rsid w:val="00F97739"/>
    <w:rsid w:val="00F9785C"/>
    <w:rsid w:val="00FA5140"/>
    <w:rsid w:val="00FC64F0"/>
    <w:rsid w:val="00FF0D12"/>
    <w:rsid w:val="00FF3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1830"/>
  <w15:chartTrackingRefBased/>
  <w15:docId w15:val="{369F696B-F9FC-43B4-8523-E101212E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F4"/>
  </w:style>
  <w:style w:type="paragraph" w:styleId="Heading1">
    <w:name w:val="heading 1"/>
    <w:basedOn w:val="Normal"/>
    <w:link w:val="Heading1Char"/>
    <w:uiPriority w:val="9"/>
    <w:qFormat/>
    <w:rsid w:val="00F85963"/>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535438"/>
    <w:pPr>
      <w:keepNext/>
      <w:keepLines/>
      <w:widowControl w:val="0"/>
      <w:suppressAutoHyphens/>
      <w:spacing w:before="600" w:after="600"/>
      <w:ind w:right="4820"/>
    </w:pPr>
    <w:rPr>
      <w:rFonts w:eastAsia="Times New Roman" w:cs="Times New Roman"/>
      <w:b/>
      <w:sz w:val="26"/>
      <w:szCs w:val="20"/>
    </w:rPr>
  </w:style>
  <w:style w:type="character" w:customStyle="1" w:styleId="SubtitleChar">
    <w:name w:val="Subtitle Char"/>
    <w:basedOn w:val="DefaultParagraphFont"/>
    <w:link w:val="Subtitle"/>
    <w:rsid w:val="00535438"/>
    <w:rPr>
      <w:rFonts w:eastAsia="Times New Roman" w:cs="Times New Roman"/>
      <w:b/>
      <w:sz w:val="26"/>
      <w:szCs w:val="20"/>
    </w:rPr>
  </w:style>
  <w:style w:type="table" w:styleId="TableGrid">
    <w:name w:val="Table Grid"/>
    <w:basedOn w:val="TableNormal"/>
    <w:uiPriority w:val="39"/>
    <w:rsid w:val="00F05D34"/>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603"/>
    <w:rPr>
      <w:sz w:val="16"/>
      <w:szCs w:val="16"/>
    </w:rPr>
  </w:style>
  <w:style w:type="paragraph" w:styleId="CommentText">
    <w:name w:val="annotation text"/>
    <w:basedOn w:val="Normal"/>
    <w:link w:val="CommentTextChar"/>
    <w:uiPriority w:val="99"/>
    <w:semiHidden/>
    <w:unhideWhenUsed/>
    <w:rsid w:val="00984603"/>
    <w:rPr>
      <w:sz w:val="20"/>
      <w:szCs w:val="20"/>
    </w:rPr>
  </w:style>
  <w:style w:type="character" w:customStyle="1" w:styleId="CommentTextChar">
    <w:name w:val="Comment Text Char"/>
    <w:basedOn w:val="DefaultParagraphFont"/>
    <w:link w:val="CommentText"/>
    <w:uiPriority w:val="99"/>
    <w:semiHidden/>
    <w:rsid w:val="00984603"/>
    <w:rPr>
      <w:sz w:val="20"/>
      <w:szCs w:val="20"/>
    </w:rPr>
  </w:style>
  <w:style w:type="paragraph" w:styleId="CommentSubject">
    <w:name w:val="annotation subject"/>
    <w:basedOn w:val="CommentText"/>
    <w:next w:val="CommentText"/>
    <w:link w:val="CommentSubjectChar"/>
    <w:uiPriority w:val="99"/>
    <w:semiHidden/>
    <w:unhideWhenUsed/>
    <w:rsid w:val="00984603"/>
    <w:rPr>
      <w:b/>
      <w:bCs/>
    </w:rPr>
  </w:style>
  <w:style w:type="character" w:customStyle="1" w:styleId="CommentSubjectChar">
    <w:name w:val="Comment Subject Char"/>
    <w:basedOn w:val="CommentTextChar"/>
    <w:link w:val="CommentSubject"/>
    <w:uiPriority w:val="99"/>
    <w:semiHidden/>
    <w:rsid w:val="00984603"/>
    <w:rPr>
      <w:b/>
      <w:bCs/>
      <w:sz w:val="20"/>
      <w:szCs w:val="20"/>
    </w:rPr>
  </w:style>
  <w:style w:type="paragraph" w:styleId="BalloonText">
    <w:name w:val="Balloon Text"/>
    <w:basedOn w:val="Normal"/>
    <w:link w:val="BalloonTextChar"/>
    <w:uiPriority w:val="99"/>
    <w:semiHidden/>
    <w:unhideWhenUsed/>
    <w:rsid w:val="00984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03"/>
    <w:rPr>
      <w:rFonts w:ascii="Segoe UI" w:hAnsi="Segoe UI" w:cs="Segoe UI"/>
      <w:sz w:val="18"/>
      <w:szCs w:val="18"/>
    </w:rPr>
  </w:style>
  <w:style w:type="paragraph" w:styleId="ListParagraph">
    <w:name w:val="List Paragraph"/>
    <w:aliases w:val="2,H&amp;P List Paragraph,Strip"/>
    <w:basedOn w:val="Normal"/>
    <w:link w:val="ListParagraphChar"/>
    <w:uiPriority w:val="34"/>
    <w:qFormat/>
    <w:rsid w:val="00AD4D64"/>
    <w:pPr>
      <w:ind w:left="720"/>
      <w:contextualSpacing/>
    </w:pPr>
    <w:rPr>
      <w:rFonts w:cs="Times New Roman"/>
      <w:sz w:val="24"/>
      <w:szCs w:val="24"/>
    </w:rPr>
  </w:style>
  <w:style w:type="character" w:customStyle="1" w:styleId="ListParagraphChar">
    <w:name w:val="List Paragraph Char"/>
    <w:aliases w:val="2 Char,H&amp;P List Paragraph Char,Strip Char"/>
    <w:link w:val="ListParagraph"/>
    <w:uiPriority w:val="34"/>
    <w:locked/>
    <w:rsid w:val="00AD4D64"/>
    <w:rPr>
      <w:rFonts w:cs="Times New Roman"/>
      <w:sz w:val="24"/>
      <w:szCs w:val="24"/>
    </w:rPr>
  </w:style>
  <w:style w:type="paragraph" w:styleId="Header">
    <w:name w:val="header"/>
    <w:basedOn w:val="Normal"/>
    <w:link w:val="HeaderChar"/>
    <w:uiPriority w:val="99"/>
    <w:unhideWhenUsed/>
    <w:rsid w:val="00070660"/>
    <w:pPr>
      <w:tabs>
        <w:tab w:val="center" w:pos="4513"/>
        <w:tab w:val="right" w:pos="9026"/>
      </w:tabs>
    </w:pPr>
  </w:style>
  <w:style w:type="character" w:customStyle="1" w:styleId="HeaderChar">
    <w:name w:val="Header Char"/>
    <w:basedOn w:val="DefaultParagraphFont"/>
    <w:link w:val="Header"/>
    <w:uiPriority w:val="99"/>
    <w:rsid w:val="00070660"/>
  </w:style>
  <w:style w:type="paragraph" w:styleId="Footer">
    <w:name w:val="footer"/>
    <w:basedOn w:val="Normal"/>
    <w:link w:val="FooterChar"/>
    <w:uiPriority w:val="99"/>
    <w:unhideWhenUsed/>
    <w:rsid w:val="00070660"/>
    <w:pPr>
      <w:tabs>
        <w:tab w:val="center" w:pos="4513"/>
        <w:tab w:val="right" w:pos="9026"/>
      </w:tabs>
    </w:pPr>
  </w:style>
  <w:style w:type="character" w:customStyle="1" w:styleId="FooterChar">
    <w:name w:val="Footer Char"/>
    <w:basedOn w:val="DefaultParagraphFont"/>
    <w:link w:val="Footer"/>
    <w:uiPriority w:val="99"/>
    <w:rsid w:val="00070660"/>
  </w:style>
  <w:style w:type="character" w:styleId="Hyperlink">
    <w:name w:val="Hyperlink"/>
    <w:basedOn w:val="DefaultParagraphFont"/>
    <w:uiPriority w:val="99"/>
    <w:unhideWhenUsed/>
    <w:rsid w:val="00E73182"/>
    <w:rPr>
      <w:color w:val="0563C1" w:themeColor="hyperlink"/>
      <w:u w:val="single"/>
    </w:rPr>
  </w:style>
  <w:style w:type="character" w:styleId="UnresolvedMention">
    <w:name w:val="Unresolved Mention"/>
    <w:basedOn w:val="DefaultParagraphFont"/>
    <w:uiPriority w:val="99"/>
    <w:semiHidden/>
    <w:unhideWhenUsed/>
    <w:rsid w:val="00E73182"/>
    <w:rPr>
      <w:color w:val="605E5C"/>
      <w:shd w:val="clear" w:color="auto" w:fill="E1DFDD"/>
    </w:rPr>
  </w:style>
  <w:style w:type="paragraph" w:styleId="NormalWeb">
    <w:name w:val="Normal (Web)"/>
    <w:basedOn w:val="Normal"/>
    <w:uiPriority w:val="99"/>
    <w:semiHidden/>
    <w:unhideWhenUsed/>
    <w:rsid w:val="0026698F"/>
    <w:pPr>
      <w:spacing w:before="100" w:beforeAutospacing="1" w:after="100" w:afterAutospacing="1"/>
    </w:pPr>
    <w:rPr>
      <w:rFonts w:eastAsia="Times New Roman" w:cs="Times New Roman"/>
      <w:sz w:val="24"/>
      <w:szCs w:val="24"/>
      <w:lang w:eastAsia="lv-LV"/>
    </w:rPr>
  </w:style>
  <w:style w:type="paragraph" w:styleId="EndnoteText">
    <w:name w:val="endnote text"/>
    <w:basedOn w:val="Normal"/>
    <w:link w:val="EndnoteTextChar"/>
    <w:uiPriority w:val="99"/>
    <w:semiHidden/>
    <w:unhideWhenUsed/>
    <w:rsid w:val="0077234A"/>
    <w:rPr>
      <w:sz w:val="20"/>
      <w:szCs w:val="20"/>
    </w:rPr>
  </w:style>
  <w:style w:type="character" w:customStyle="1" w:styleId="EndnoteTextChar">
    <w:name w:val="Endnote Text Char"/>
    <w:basedOn w:val="DefaultParagraphFont"/>
    <w:link w:val="EndnoteText"/>
    <w:uiPriority w:val="99"/>
    <w:semiHidden/>
    <w:rsid w:val="0077234A"/>
    <w:rPr>
      <w:sz w:val="20"/>
      <w:szCs w:val="20"/>
    </w:rPr>
  </w:style>
  <w:style w:type="character" w:styleId="EndnoteReference">
    <w:name w:val="endnote reference"/>
    <w:basedOn w:val="DefaultParagraphFont"/>
    <w:uiPriority w:val="99"/>
    <w:semiHidden/>
    <w:unhideWhenUsed/>
    <w:rsid w:val="0077234A"/>
    <w:rPr>
      <w:vertAlign w:val="superscript"/>
    </w:rPr>
  </w:style>
  <w:style w:type="paragraph" w:styleId="FootnoteText">
    <w:name w:val="footnote text"/>
    <w:basedOn w:val="Normal"/>
    <w:link w:val="FootnoteTextChar"/>
    <w:uiPriority w:val="99"/>
    <w:semiHidden/>
    <w:unhideWhenUsed/>
    <w:rsid w:val="00F85963"/>
    <w:rPr>
      <w:sz w:val="20"/>
      <w:szCs w:val="20"/>
    </w:rPr>
  </w:style>
  <w:style w:type="character" w:customStyle="1" w:styleId="FootnoteTextChar">
    <w:name w:val="Footnote Text Char"/>
    <w:basedOn w:val="DefaultParagraphFont"/>
    <w:link w:val="FootnoteText"/>
    <w:uiPriority w:val="99"/>
    <w:semiHidden/>
    <w:rsid w:val="00F85963"/>
    <w:rPr>
      <w:sz w:val="20"/>
      <w:szCs w:val="20"/>
    </w:rPr>
  </w:style>
  <w:style w:type="character" w:styleId="FootnoteReference">
    <w:name w:val="footnote reference"/>
    <w:basedOn w:val="DefaultParagraphFont"/>
    <w:uiPriority w:val="99"/>
    <w:semiHidden/>
    <w:unhideWhenUsed/>
    <w:rsid w:val="00F85963"/>
    <w:rPr>
      <w:vertAlign w:val="superscript"/>
    </w:rPr>
  </w:style>
  <w:style w:type="character" w:customStyle="1" w:styleId="Heading1Char">
    <w:name w:val="Heading 1 Char"/>
    <w:basedOn w:val="DefaultParagraphFont"/>
    <w:link w:val="Heading1"/>
    <w:uiPriority w:val="9"/>
    <w:rsid w:val="00F85963"/>
    <w:rPr>
      <w:rFonts w:eastAsia="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7673">
      <w:bodyDiv w:val="1"/>
      <w:marLeft w:val="0"/>
      <w:marRight w:val="0"/>
      <w:marTop w:val="0"/>
      <w:marBottom w:val="0"/>
      <w:divBdr>
        <w:top w:val="none" w:sz="0" w:space="0" w:color="auto"/>
        <w:left w:val="none" w:sz="0" w:space="0" w:color="auto"/>
        <w:bottom w:val="none" w:sz="0" w:space="0" w:color="auto"/>
        <w:right w:val="none" w:sz="0" w:space="0" w:color="auto"/>
      </w:divBdr>
    </w:div>
    <w:div w:id="600723337">
      <w:bodyDiv w:val="1"/>
      <w:marLeft w:val="0"/>
      <w:marRight w:val="0"/>
      <w:marTop w:val="0"/>
      <w:marBottom w:val="0"/>
      <w:divBdr>
        <w:top w:val="none" w:sz="0" w:space="0" w:color="auto"/>
        <w:left w:val="none" w:sz="0" w:space="0" w:color="auto"/>
        <w:bottom w:val="none" w:sz="0" w:space="0" w:color="auto"/>
        <w:right w:val="none" w:sz="0" w:space="0" w:color="auto"/>
      </w:divBdr>
      <w:divsChild>
        <w:div w:id="1767575571">
          <w:marLeft w:val="547"/>
          <w:marRight w:val="0"/>
          <w:marTop w:val="0"/>
          <w:marBottom w:val="0"/>
          <w:divBdr>
            <w:top w:val="none" w:sz="0" w:space="0" w:color="auto"/>
            <w:left w:val="none" w:sz="0" w:space="0" w:color="auto"/>
            <w:bottom w:val="none" w:sz="0" w:space="0" w:color="auto"/>
            <w:right w:val="none" w:sz="0" w:space="0" w:color="auto"/>
          </w:divBdr>
        </w:div>
        <w:div w:id="882330353">
          <w:marLeft w:val="547"/>
          <w:marRight w:val="0"/>
          <w:marTop w:val="0"/>
          <w:marBottom w:val="0"/>
          <w:divBdr>
            <w:top w:val="none" w:sz="0" w:space="0" w:color="auto"/>
            <w:left w:val="none" w:sz="0" w:space="0" w:color="auto"/>
            <w:bottom w:val="none" w:sz="0" w:space="0" w:color="auto"/>
            <w:right w:val="none" w:sz="0" w:space="0" w:color="auto"/>
          </w:divBdr>
        </w:div>
        <w:div w:id="140511329">
          <w:marLeft w:val="547"/>
          <w:marRight w:val="0"/>
          <w:marTop w:val="0"/>
          <w:marBottom w:val="0"/>
          <w:divBdr>
            <w:top w:val="none" w:sz="0" w:space="0" w:color="auto"/>
            <w:left w:val="none" w:sz="0" w:space="0" w:color="auto"/>
            <w:bottom w:val="none" w:sz="0" w:space="0" w:color="auto"/>
            <w:right w:val="none" w:sz="0" w:space="0" w:color="auto"/>
          </w:divBdr>
        </w:div>
        <w:div w:id="47075621">
          <w:marLeft w:val="547"/>
          <w:marRight w:val="0"/>
          <w:marTop w:val="0"/>
          <w:marBottom w:val="0"/>
          <w:divBdr>
            <w:top w:val="none" w:sz="0" w:space="0" w:color="auto"/>
            <w:left w:val="none" w:sz="0" w:space="0" w:color="auto"/>
            <w:bottom w:val="none" w:sz="0" w:space="0" w:color="auto"/>
            <w:right w:val="none" w:sz="0" w:space="0" w:color="auto"/>
          </w:divBdr>
        </w:div>
      </w:divsChild>
    </w:div>
    <w:div w:id="859008606">
      <w:bodyDiv w:val="1"/>
      <w:marLeft w:val="0"/>
      <w:marRight w:val="0"/>
      <w:marTop w:val="0"/>
      <w:marBottom w:val="0"/>
      <w:divBdr>
        <w:top w:val="none" w:sz="0" w:space="0" w:color="auto"/>
        <w:left w:val="none" w:sz="0" w:space="0" w:color="auto"/>
        <w:bottom w:val="none" w:sz="0" w:space="0" w:color="auto"/>
        <w:right w:val="none" w:sz="0" w:space="0" w:color="auto"/>
      </w:divBdr>
    </w:div>
    <w:div w:id="948390146">
      <w:bodyDiv w:val="1"/>
      <w:marLeft w:val="0"/>
      <w:marRight w:val="0"/>
      <w:marTop w:val="0"/>
      <w:marBottom w:val="0"/>
      <w:divBdr>
        <w:top w:val="none" w:sz="0" w:space="0" w:color="auto"/>
        <w:left w:val="none" w:sz="0" w:space="0" w:color="auto"/>
        <w:bottom w:val="none" w:sz="0" w:space="0" w:color="auto"/>
        <w:right w:val="none" w:sz="0" w:space="0" w:color="auto"/>
      </w:divBdr>
    </w:div>
    <w:div w:id="1000743515">
      <w:bodyDiv w:val="1"/>
      <w:marLeft w:val="0"/>
      <w:marRight w:val="0"/>
      <w:marTop w:val="0"/>
      <w:marBottom w:val="0"/>
      <w:divBdr>
        <w:top w:val="none" w:sz="0" w:space="0" w:color="auto"/>
        <w:left w:val="none" w:sz="0" w:space="0" w:color="auto"/>
        <w:bottom w:val="none" w:sz="0" w:space="0" w:color="auto"/>
        <w:right w:val="none" w:sz="0" w:space="0" w:color="auto"/>
      </w:divBdr>
    </w:div>
    <w:div w:id="1156647565">
      <w:bodyDiv w:val="1"/>
      <w:marLeft w:val="0"/>
      <w:marRight w:val="0"/>
      <w:marTop w:val="0"/>
      <w:marBottom w:val="0"/>
      <w:divBdr>
        <w:top w:val="none" w:sz="0" w:space="0" w:color="auto"/>
        <w:left w:val="none" w:sz="0" w:space="0" w:color="auto"/>
        <w:bottom w:val="none" w:sz="0" w:space="0" w:color="auto"/>
        <w:right w:val="none" w:sz="0" w:space="0" w:color="auto"/>
      </w:divBdr>
    </w:div>
    <w:div w:id="1591814822">
      <w:bodyDiv w:val="1"/>
      <w:marLeft w:val="0"/>
      <w:marRight w:val="0"/>
      <w:marTop w:val="0"/>
      <w:marBottom w:val="0"/>
      <w:divBdr>
        <w:top w:val="none" w:sz="0" w:space="0" w:color="auto"/>
        <w:left w:val="none" w:sz="0" w:space="0" w:color="auto"/>
        <w:bottom w:val="none" w:sz="0" w:space="0" w:color="auto"/>
        <w:right w:val="none" w:sz="0" w:space="0" w:color="auto"/>
      </w:divBdr>
    </w:div>
    <w:div w:id="1670140181">
      <w:bodyDiv w:val="1"/>
      <w:marLeft w:val="0"/>
      <w:marRight w:val="0"/>
      <w:marTop w:val="0"/>
      <w:marBottom w:val="0"/>
      <w:divBdr>
        <w:top w:val="none" w:sz="0" w:space="0" w:color="auto"/>
        <w:left w:val="none" w:sz="0" w:space="0" w:color="auto"/>
        <w:bottom w:val="none" w:sz="0" w:space="0" w:color="auto"/>
        <w:right w:val="none" w:sz="0" w:space="0" w:color="auto"/>
      </w:divBdr>
    </w:div>
    <w:div w:id="1878421704">
      <w:bodyDiv w:val="1"/>
      <w:marLeft w:val="0"/>
      <w:marRight w:val="0"/>
      <w:marTop w:val="0"/>
      <w:marBottom w:val="0"/>
      <w:divBdr>
        <w:top w:val="none" w:sz="0" w:space="0" w:color="auto"/>
        <w:left w:val="none" w:sz="0" w:space="0" w:color="auto"/>
        <w:bottom w:val="none" w:sz="0" w:space="0" w:color="auto"/>
        <w:right w:val="none" w:sz="0" w:space="0" w:color="auto"/>
      </w:divBdr>
    </w:div>
    <w:div w:id="2019261463">
      <w:bodyDiv w:val="1"/>
      <w:marLeft w:val="0"/>
      <w:marRight w:val="0"/>
      <w:marTop w:val="0"/>
      <w:marBottom w:val="0"/>
      <w:divBdr>
        <w:top w:val="none" w:sz="0" w:space="0" w:color="auto"/>
        <w:left w:val="none" w:sz="0" w:space="0" w:color="auto"/>
        <w:bottom w:val="none" w:sz="0" w:space="0" w:color="auto"/>
        <w:right w:val="none" w:sz="0" w:space="0" w:color="auto"/>
      </w:divBdr>
    </w:div>
    <w:div w:id="21155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 Id="rId22" Type="http://schemas.openxmlformats.org/officeDocument/2006/relationships/hyperlink" Target="https://www.em.gov.lv/files/es_fondi/EMAnot_Pielikums_Prioritarais_saraksts_4212SAMP_1karta_12082019.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m.gov.lv/lv/jaunumi/27864-buvniecibas-nozare-izaugsme-ari-koronavirusa-krize"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D3DD09-8026-493C-936F-08D55360EF96}"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lv-LV"/>
        </a:p>
      </dgm:t>
    </dgm:pt>
    <dgm:pt modelId="{0C663260-C0D8-475F-853B-083E290FD582}">
      <dgm:prSet phldrT="[Text]"/>
      <dgm:spPr>
        <a:solidFill>
          <a:schemeClr val="lt1">
            <a:hueOff val="0"/>
            <a:satOff val="0"/>
            <a:lumOff val="0"/>
          </a:schemeClr>
        </a:solidFill>
      </dgm:spPr>
      <dgm:t>
        <a:bodyPr/>
        <a:lstStyle/>
        <a:p>
          <a:pPr>
            <a:lnSpc>
              <a:spcPct val="100000"/>
            </a:lnSpc>
            <a:spcAft>
              <a:spcPts val="0"/>
            </a:spcAft>
          </a:pPr>
          <a:r>
            <a:rPr lang="lv-LV" sz="1100" b="1">
              <a:latin typeface="Times New Roman" panose="02020603050405020304" pitchFamily="18" charset="0"/>
              <a:cs typeface="Times New Roman" panose="02020603050405020304" pitchFamily="18" charset="0"/>
            </a:rPr>
            <a:t>106</a:t>
          </a:r>
          <a:r>
            <a:rPr lang="lv-LV" sz="1100" b="1">
              <a:highlight>
                <a:srgbClr val="FF0000"/>
              </a:highlight>
              <a:latin typeface="Times New Roman" panose="02020603050405020304" pitchFamily="18" charset="0"/>
              <a:cs typeface="Times New Roman" panose="02020603050405020304" pitchFamily="18" charset="0"/>
            </a:rPr>
            <a:t> </a:t>
          </a:r>
        </a:p>
        <a:p>
          <a:pPr>
            <a:lnSpc>
              <a:spcPct val="100000"/>
            </a:lnSpc>
            <a:spcAft>
              <a:spcPts val="0"/>
            </a:spcAft>
          </a:pPr>
          <a:r>
            <a:rPr lang="lv-LV" sz="1100">
              <a:latin typeface="Times New Roman" panose="02020603050405020304" pitchFamily="18" charset="0"/>
              <a:cs typeface="Times New Roman" panose="02020603050405020304" pitchFamily="18" charset="0"/>
            </a:rPr>
            <a:t>ēku atjaunošana</a:t>
          </a:r>
        </a:p>
        <a:p>
          <a:pPr>
            <a:lnSpc>
              <a:spcPct val="100000"/>
            </a:lnSpc>
            <a:spcAft>
              <a:spcPts val="0"/>
            </a:spcAft>
          </a:pPr>
          <a:r>
            <a:rPr lang="lv-LV" sz="1100" b="0">
              <a:latin typeface="Times New Roman" panose="02020603050405020304" pitchFamily="18" charset="0"/>
              <a:cs typeface="Times New Roman" panose="02020603050405020304" pitchFamily="18" charset="0"/>
            </a:rPr>
            <a:t>(75 154 881 </a:t>
          </a:r>
          <a:r>
            <a:rPr lang="lv-LV" sz="1100" b="0" i="1">
              <a:latin typeface="Times New Roman" panose="02020603050405020304" pitchFamily="18" charset="0"/>
              <a:cs typeface="Times New Roman" panose="02020603050405020304" pitchFamily="18" charset="0"/>
            </a:rPr>
            <a:t>euro</a:t>
          </a:r>
          <a:r>
            <a:rPr lang="lv-LV" sz="1100" b="0">
              <a:latin typeface="Times New Roman" panose="02020603050405020304" pitchFamily="18" charset="0"/>
              <a:cs typeface="Times New Roman" panose="02020603050405020304" pitchFamily="18" charset="0"/>
            </a:rPr>
            <a:t>)</a:t>
          </a:r>
        </a:p>
      </dgm:t>
    </dgm:pt>
    <dgm:pt modelId="{78B9EDF5-1CFC-4043-88E0-67F42761EC3E}" type="parTrans" cxnId="{3849AC68-F0CC-4FE3-8833-A5D89E5AC88B}">
      <dgm:prSet/>
      <dgm:spPr/>
      <dgm:t>
        <a:bodyPr/>
        <a:lstStyle/>
        <a:p>
          <a:endParaRPr lang="lv-LV"/>
        </a:p>
      </dgm:t>
    </dgm:pt>
    <dgm:pt modelId="{F3A4D8FD-7951-4D9D-B635-BAF181AC39FD}" type="sibTrans" cxnId="{3849AC68-F0CC-4FE3-8833-A5D89E5AC88B}">
      <dgm:prSet/>
      <dgm:spPr/>
      <dgm:t>
        <a:bodyPr/>
        <a:lstStyle/>
        <a:p>
          <a:endParaRPr lang="lv-LV"/>
        </a:p>
      </dgm:t>
    </dgm:pt>
    <dgm:pt modelId="{35E5D065-231B-4DDC-8640-988087FBF5F3}">
      <dgm:prSet phldrT="[Text]" custT="1"/>
      <dgm:spPr/>
      <dgm:t>
        <a:bodyPr/>
        <a:lstStyle/>
        <a:p>
          <a:pPr>
            <a:lnSpc>
              <a:spcPct val="100000"/>
            </a:lnSpc>
            <a:spcAft>
              <a:spcPts val="0"/>
            </a:spcAft>
          </a:pPr>
          <a:r>
            <a:rPr lang="lv-LV" sz="1100" b="1">
              <a:latin typeface="Times New Roman" panose="02020603050405020304" pitchFamily="18" charset="0"/>
              <a:cs typeface="Times New Roman" panose="02020603050405020304" pitchFamily="18" charset="0"/>
            </a:rPr>
            <a:t>106 iesniegti </a:t>
          </a:r>
        </a:p>
        <a:p>
          <a:pPr>
            <a:lnSpc>
              <a:spcPct val="100000"/>
            </a:lnSpc>
            <a:spcAft>
              <a:spcPts val="0"/>
            </a:spcAft>
          </a:pPr>
          <a:r>
            <a:rPr lang="lv-LV" sz="1100">
              <a:latin typeface="Times New Roman" panose="02020603050405020304" pitchFamily="18" charset="0"/>
              <a:cs typeface="Times New Roman" panose="02020603050405020304" pitchFamily="18" charset="0"/>
            </a:rPr>
            <a:t>projektu iesniegumi</a:t>
          </a:r>
        </a:p>
        <a:p>
          <a:pPr>
            <a:lnSpc>
              <a:spcPct val="100000"/>
            </a:lnSpc>
            <a:spcAft>
              <a:spcPts val="0"/>
            </a:spcAft>
          </a:pPr>
          <a:r>
            <a:rPr lang="lv-LV" sz="1100">
              <a:latin typeface="Times New Roman" panose="02020603050405020304" pitchFamily="18" charset="0"/>
              <a:cs typeface="Times New Roman" panose="02020603050405020304" pitchFamily="18" charset="0"/>
            </a:rPr>
            <a:t>(71 265 930,41 </a:t>
          </a:r>
          <a:r>
            <a:rPr lang="lv-LV" sz="1100" i="1">
              <a:latin typeface="Times New Roman" panose="02020603050405020304" pitchFamily="18" charset="0"/>
              <a:cs typeface="Times New Roman" panose="02020603050405020304" pitchFamily="18" charset="0"/>
            </a:rPr>
            <a:t>euro</a:t>
          </a:r>
          <a:r>
            <a:rPr lang="lv-LV" sz="1100"/>
            <a:t>)</a:t>
          </a:r>
          <a:endParaRPr lang="lv-LV" sz="1100">
            <a:latin typeface="Times New Roman" panose="02020603050405020304" pitchFamily="18" charset="0"/>
            <a:cs typeface="Times New Roman" panose="02020603050405020304" pitchFamily="18" charset="0"/>
          </a:endParaRPr>
        </a:p>
      </dgm:t>
    </dgm:pt>
    <dgm:pt modelId="{BD4093A0-7A68-4B15-8C51-F31870E8D9C1}" type="parTrans" cxnId="{BC173658-7060-457A-B183-01340402F8F2}">
      <dgm:prSet/>
      <dgm:spPr/>
      <dgm:t>
        <a:bodyPr/>
        <a:lstStyle/>
        <a:p>
          <a:endParaRPr lang="lv-LV"/>
        </a:p>
      </dgm:t>
    </dgm:pt>
    <dgm:pt modelId="{4C3CC090-9B40-4943-B59B-CD678BEB3B5F}" type="sibTrans" cxnId="{BC173658-7060-457A-B183-01340402F8F2}">
      <dgm:prSet/>
      <dgm:spPr/>
      <dgm:t>
        <a:bodyPr/>
        <a:lstStyle/>
        <a:p>
          <a:endParaRPr lang="lv-LV"/>
        </a:p>
      </dgm:t>
    </dgm:pt>
    <dgm:pt modelId="{9011FF04-569D-44AB-8C2A-D76DB301480B}">
      <dgm:prSet phldrT="[Text]" custT="1"/>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28</a:t>
          </a:r>
        </a:p>
        <a:p>
          <a:r>
            <a:rPr lang="lv-LV" sz="1100" b="1">
              <a:solidFill>
                <a:sysClr val="windowText" lastClr="000000"/>
              </a:solidFill>
              <a:latin typeface="Times New Roman" panose="02020603050405020304" pitchFamily="18" charset="0"/>
              <a:cs typeface="Times New Roman" panose="02020603050405020304" pitchFamily="18" charset="0"/>
            </a:rPr>
            <a:t>pabeigti</a:t>
          </a:r>
        </a:p>
        <a:p>
          <a:r>
            <a:rPr lang="lv-LV" sz="1100" b="0">
              <a:solidFill>
                <a:sysClr val="windowText" lastClr="000000"/>
              </a:solidFill>
              <a:latin typeface="Times New Roman" panose="02020603050405020304" pitchFamily="18" charset="0"/>
              <a:cs typeface="Times New Roman" panose="02020603050405020304" pitchFamily="18" charset="0"/>
            </a:rPr>
            <a:t>(</a:t>
          </a:r>
          <a:r>
            <a:rPr lang="lv-LV" sz="1100">
              <a:solidFill>
                <a:sysClr val="windowText" lastClr="000000"/>
              </a:solidFill>
              <a:latin typeface="Times New Roman" panose="02020603050405020304" pitchFamily="18" charset="0"/>
              <a:cs typeface="Times New Roman" panose="02020603050405020304" pitchFamily="18" charset="0"/>
            </a:rPr>
            <a:t>13 254 436,61 </a:t>
          </a:r>
          <a:r>
            <a:rPr lang="lv-LV" sz="1100" i="1">
              <a:solidFill>
                <a:sysClr val="windowText" lastClr="000000"/>
              </a:solidFill>
              <a:latin typeface="Times New Roman" panose="02020603050405020304" pitchFamily="18" charset="0"/>
              <a:cs typeface="Times New Roman" panose="02020603050405020304" pitchFamily="18" charset="0"/>
            </a:rPr>
            <a:t>euro</a:t>
          </a:r>
          <a:r>
            <a:rPr lang="lv-LV" sz="1100">
              <a:solidFill>
                <a:sysClr val="windowText" lastClr="000000"/>
              </a:solidFill>
              <a:latin typeface="Times New Roman" panose="02020603050405020304" pitchFamily="18" charset="0"/>
              <a:cs typeface="Times New Roman" panose="02020603050405020304" pitchFamily="18" charset="0"/>
            </a:rPr>
            <a:t>)</a:t>
          </a:r>
        </a:p>
      </dgm:t>
    </dgm:pt>
    <dgm:pt modelId="{F172D6E6-41EB-4631-AABC-2108923D26B2}" type="parTrans" cxnId="{0B68312E-D2D2-4E09-96BB-5C79378532E7}">
      <dgm:prSet/>
      <dgm:spPr/>
      <dgm:t>
        <a:bodyPr/>
        <a:lstStyle/>
        <a:p>
          <a:endParaRPr lang="lv-LV"/>
        </a:p>
      </dgm:t>
    </dgm:pt>
    <dgm:pt modelId="{0E9D804F-3993-4D47-9C1A-E9D2A2C26EF7}" type="sibTrans" cxnId="{0B68312E-D2D2-4E09-96BB-5C79378532E7}">
      <dgm:prSet/>
      <dgm:spPr/>
      <dgm:t>
        <a:bodyPr/>
        <a:lstStyle/>
        <a:p>
          <a:endParaRPr lang="lv-LV"/>
        </a:p>
      </dgm:t>
    </dgm:pt>
    <dgm:pt modelId="{820C7A00-E0EF-40C2-BB99-9FCA5688571E}">
      <dgm:prSet phldrT="[Text]"/>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14 </a:t>
          </a:r>
        </a:p>
        <a:p>
          <a:r>
            <a:rPr lang="lv-LV" sz="1100" b="1">
              <a:solidFill>
                <a:sysClr val="windowText" lastClr="000000"/>
              </a:solidFill>
              <a:latin typeface="Times New Roman" panose="02020603050405020304" pitchFamily="18" charset="0"/>
              <a:cs typeface="Times New Roman" panose="02020603050405020304" pitchFamily="18" charset="0"/>
            </a:rPr>
            <a:t>vērtēšanā </a:t>
          </a:r>
        </a:p>
        <a:p>
          <a:r>
            <a:rPr lang="lv-LV" sz="1100" b="0">
              <a:solidFill>
                <a:sysClr val="windowText" lastClr="000000"/>
              </a:solidFill>
              <a:latin typeface="Times New Roman" panose="02020603050405020304" pitchFamily="18" charset="0"/>
              <a:cs typeface="Times New Roman" panose="02020603050405020304" pitchFamily="18" charset="0"/>
            </a:rPr>
            <a:t>(</a:t>
          </a:r>
          <a:r>
            <a:rPr lang="lv-LV" sz="1100">
              <a:solidFill>
                <a:sysClr val="windowText" lastClr="000000"/>
              </a:solidFill>
              <a:latin typeface="Times New Roman" panose="02020603050405020304" pitchFamily="18" charset="0"/>
              <a:cs typeface="Times New Roman" panose="02020603050405020304" pitchFamily="18" charset="0"/>
            </a:rPr>
            <a:t>11 011 621,04 </a:t>
          </a:r>
          <a:r>
            <a:rPr lang="lv-LV" sz="1100" i="1">
              <a:solidFill>
                <a:sysClr val="windowText" lastClr="000000"/>
              </a:solidFill>
              <a:latin typeface="Times New Roman" panose="02020603050405020304" pitchFamily="18" charset="0"/>
              <a:cs typeface="Times New Roman" panose="02020603050405020304" pitchFamily="18" charset="0"/>
            </a:rPr>
            <a:t>euro</a:t>
          </a:r>
          <a:r>
            <a:rPr lang="lv-LV" sz="1100">
              <a:solidFill>
                <a:sysClr val="windowText" lastClr="000000"/>
              </a:solidFill>
              <a:latin typeface="Times New Roman" panose="02020603050405020304" pitchFamily="18" charset="0"/>
              <a:cs typeface="Times New Roman" panose="02020603050405020304" pitchFamily="18" charset="0"/>
            </a:rPr>
            <a:t>)</a:t>
          </a:r>
          <a:endParaRPr lang="lv-LV" sz="1100" b="1">
            <a:solidFill>
              <a:sysClr val="windowText" lastClr="000000"/>
            </a:solidFill>
            <a:latin typeface="Times New Roman" panose="02020603050405020304" pitchFamily="18" charset="0"/>
            <a:cs typeface="Times New Roman" panose="02020603050405020304" pitchFamily="18" charset="0"/>
          </a:endParaRPr>
        </a:p>
      </dgm:t>
    </dgm:pt>
    <dgm:pt modelId="{D62997F3-45A5-451B-8A99-5F36E4E7A59B}" type="parTrans" cxnId="{61A50F8A-FDB2-4A12-8E66-B5FC308FB066}">
      <dgm:prSet/>
      <dgm:spPr/>
      <dgm:t>
        <a:bodyPr/>
        <a:lstStyle/>
        <a:p>
          <a:endParaRPr lang="lv-LV"/>
        </a:p>
      </dgm:t>
    </dgm:pt>
    <dgm:pt modelId="{27109CE2-6477-4441-BC21-0BFEB5E2C729}" type="sibTrans" cxnId="{61A50F8A-FDB2-4A12-8E66-B5FC308FB066}">
      <dgm:prSet/>
      <dgm:spPr/>
      <dgm:t>
        <a:bodyPr/>
        <a:lstStyle/>
        <a:p>
          <a:endParaRPr lang="lv-LV"/>
        </a:p>
      </dgm:t>
    </dgm:pt>
    <dgm:pt modelId="{F299BC8C-9828-4356-BC78-12B9AFC1D66E}">
      <dgm:prSet custT="1"/>
      <dgm:spPr/>
      <dgm:t>
        <a:bodyPr/>
        <a:lstStyle/>
        <a:p>
          <a:pPr>
            <a:lnSpc>
              <a:spcPct val="100000"/>
            </a:lnSpc>
            <a:spcAft>
              <a:spcPts val="0"/>
            </a:spcAft>
          </a:pPr>
          <a:r>
            <a:rPr lang="lv-LV" sz="1100" b="1">
              <a:solidFill>
                <a:sysClr val="windowText" lastClr="000000"/>
              </a:solidFill>
              <a:latin typeface="Times New Roman" panose="02020603050405020304" pitchFamily="18" charset="0"/>
              <a:cs typeface="Times New Roman" panose="02020603050405020304" pitchFamily="18" charset="0"/>
            </a:rPr>
            <a:t>64</a:t>
          </a:r>
        </a:p>
        <a:p>
          <a:pPr>
            <a:lnSpc>
              <a:spcPct val="100000"/>
            </a:lnSpc>
            <a:spcAft>
              <a:spcPts val="0"/>
            </a:spcAft>
          </a:pPr>
          <a:r>
            <a:rPr lang="lv-LV" sz="1100" b="1">
              <a:solidFill>
                <a:sysClr val="windowText" lastClr="000000"/>
              </a:solidFill>
              <a:latin typeface="Times New Roman" panose="02020603050405020304" pitchFamily="18" charset="0"/>
              <a:cs typeface="Times New Roman" panose="02020603050405020304" pitchFamily="18" charset="0"/>
            </a:rPr>
            <a:t>noslēgts līgums/vienošanās</a:t>
          </a:r>
        </a:p>
        <a:p>
          <a:pPr>
            <a:lnSpc>
              <a:spcPct val="100000"/>
            </a:lnSpc>
            <a:spcAft>
              <a:spcPts val="0"/>
            </a:spcAft>
          </a:pPr>
          <a:r>
            <a:rPr lang="lv-LV" sz="1100">
              <a:latin typeface="Times New Roman" panose="02020603050405020304" pitchFamily="18" charset="0"/>
              <a:cs typeface="Times New Roman" panose="02020603050405020304" pitchFamily="18" charset="0"/>
            </a:rPr>
            <a:t>(46 999 872,76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a:t>
          </a:r>
        </a:p>
      </dgm:t>
    </dgm:pt>
    <dgm:pt modelId="{D7A0A43B-BF66-400C-83CC-2FEB8239A4C5}" type="parTrans" cxnId="{CE6763E0-697D-422E-AB88-79D8F944AA6B}">
      <dgm:prSet/>
      <dgm:spPr/>
      <dgm:t>
        <a:bodyPr/>
        <a:lstStyle/>
        <a:p>
          <a:endParaRPr lang="lv-LV"/>
        </a:p>
      </dgm:t>
    </dgm:pt>
    <dgm:pt modelId="{6A5563C9-F91C-4545-B3DC-024E2D274F5D}" type="sibTrans" cxnId="{CE6763E0-697D-422E-AB88-79D8F944AA6B}">
      <dgm:prSet/>
      <dgm:spPr/>
      <dgm:t>
        <a:bodyPr/>
        <a:lstStyle/>
        <a:p>
          <a:endParaRPr lang="lv-LV"/>
        </a:p>
      </dgm:t>
    </dgm:pt>
    <dgm:pt modelId="{39B38BE6-B990-4627-9F49-6AC6DE5591A0}" type="pres">
      <dgm:prSet presAssocID="{E8D3DD09-8026-493C-936F-08D55360EF96}" presName="diagram" presStyleCnt="0">
        <dgm:presLayoutVars>
          <dgm:chPref val="1"/>
          <dgm:dir/>
          <dgm:animOne val="branch"/>
          <dgm:animLvl val="lvl"/>
          <dgm:resizeHandles val="exact"/>
        </dgm:presLayoutVars>
      </dgm:prSet>
      <dgm:spPr/>
    </dgm:pt>
    <dgm:pt modelId="{20E05BD4-A1DE-463F-BBE1-3D18F982665E}" type="pres">
      <dgm:prSet presAssocID="{0C663260-C0D8-475F-853B-083E290FD582}" presName="root1" presStyleCnt="0"/>
      <dgm:spPr/>
    </dgm:pt>
    <dgm:pt modelId="{E7A939E1-9159-46CE-8167-7CEB882FB7AF}" type="pres">
      <dgm:prSet presAssocID="{0C663260-C0D8-475F-853B-083E290FD582}" presName="LevelOneTextNode" presStyleLbl="node0" presStyleIdx="0" presStyleCnt="1" custScaleX="120863" custScaleY="201722">
        <dgm:presLayoutVars>
          <dgm:chPref val="3"/>
        </dgm:presLayoutVars>
      </dgm:prSet>
      <dgm:spPr/>
    </dgm:pt>
    <dgm:pt modelId="{93F5865E-2CCE-4493-8E22-E6F7AC49B848}" type="pres">
      <dgm:prSet presAssocID="{0C663260-C0D8-475F-853B-083E290FD582}" presName="level2hierChild" presStyleCnt="0"/>
      <dgm:spPr/>
    </dgm:pt>
    <dgm:pt modelId="{476D2D69-45BD-4934-BD0C-4E05AF7608EB}" type="pres">
      <dgm:prSet presAssocID="{BD4093A0-7A68-4B15-8C51-F31870E8D9C1}" presName="conn2-1" presStyleLbl="parChTrans1D2" presStyleIdx="0" presStyleCnt="1"/>
      <dgm:spPr/>
    </dgm:pt>
    <dgm:pt modelId="{ACD372A3-03CF-47E2-8256-72DB98C75C24}" type="pres">
      <dgm:prSet presAssocID="{BD4093A0-7A68-4B15-8C51-F31870E8D9C1}" presName="connTx" presStyleLbl="parChTrans1D2" presStyleIdx="0" presStyleCnt="1"/>
      <dgm:spPr/>
    </dgm:pt>
    <dgm:pt modelId="{1550CD1A-DB3E-4D45-A01A-E351BD662F13}" type="pres">
      <dgm:prSet presAssocID="{35E5D065-231B-4DDC-8640-988087FBF5F3}" presName="root2" presStyleCnt="0"/>
      <dgm:spPr/>
    </dgm:pt>
    <dgm:pt modelId="{996FD3EC-CDA9-4303-9B70-84662277A6D9}" type="pres">
      <dgm:prSet presAssocID="{35E5D065-231B-4DDC-8640-988087FBF5F3}" presName="LevelTwoTextNode" presStyleLbl="node2" presStyleIdx="0" presStyleCnt="1" custScaleX="129511" custScaleY="154240">
        <dgm:presLayoutVars>
          <dgm:chPref val="3"/>
        </dgm:presLayoutVars>
      </dgm:prSet>
      <dgm:spPr/>
    </dgm:pt>
    <dgm:pt modelId="{79C6FF81-F635-4410-AEB6-5117F9B5FD0D}" type="pres">
      <dgm:prSet presAssocID="{35E5D065-231B-4DDC-8640-988087FBF5F3}" presName="level3hierChild" presStyleCnt="0"/>
      <dgm:spPr/>
    </dgm:pt>
    <dgm:pt modelId="{F2E66D0E-6A6A-47C9-9EA3-473D9E21CC6D}" type="pres">
      <dgm:prSet presAssocID="{F172D6E6-41EB-4631-AABC-2108923D26B2}" presName="conn2-1" presStyleLbl="parChTrans1D3" presStyleIdx="0" presStyleCnt="3"/>
      <dgm:spPr/>
    </dgm:pt>
    <dgm:pt modelId="{4276DBD5-AC53-4982-B31C-CF7945E77F14}" type="pres">
      <dgm:prSet presAssocID="{F172D6E6-41EB-4631-AABC-2108923D26B2}" presName="connTx" presStyleLbl="parChTrans1D3" presStyleIdx="0" presStyleCnt="3"/>
      <dgm:spPr/>
    </dgm:pt>
    <dgm:pt modelId="{A3C3F7A6-D65A-4F2C-8FC6-47F0249063EB}" type="pres">
      <dgm:prSet presAssocID="{9011FF04-569D-44AB-8C2A-D76DB301480B}" presName="root2" presStyleCnt="0"/>
      <dgm:spPr/>
    </dgm:pt>
    <dgm:pt modelId="{7D226F07-8FD6-4821-B1E7-8243C9E3F316}" type="pres">
      <dgm:prSet presAssocID="{9011FF04-569D-44AB-8C2A-D76DB301480B}" presName="LevelTwoTextNode" presStyleLbl="node3" presStyleIdx="0" presStyleCnt="3" custScaleX="147524" custScaleY="143249" custLinFactY="121876" custLinFactNeighborX="7882" custLinFactNeighborY="200000">
        <dgm:presLayoutVars>
          <dgm:chPref val="3"/>
        </dgm:presLayoutVars>
      </dgm:prSet>
      <dgm:spPr/>
    </dgm:pt>
    <dgm:pt modelId="{01646191-2BA3-4DD7-B803-FD020EB0E929}" type="pres">
      <dgm:prSet presAssocID="{9011FF04-569D-44AB-8C2A-D76DB301480B}" presName="level3hierChild" presStyleCnt="0"/>
      <dgm:spPr/>
    </dgm:pt>
    <dgm:pt modelId="{9D7E69FF-B5DE-4086-8CBD-FB4C2E6B013E}" type="pres">
      <dgm:prSet presAssocID="{D62997F3-45A5-451B-8A99-5F36E4E7A59B}" presName="conn2-1" presStyleLbl="parChTrans1D3" presStyleIdx="1" presStyleCnt="3"/>
      <dgm:spPr/>
    </dgm:pt>
    <dgm:pt modelId="{65ED3772-E05C-44C9-B6A4-AFAFCAA38C35}" type="pres">
      <dgm:prSet presAssocID="{D62997F3-45A5-451B-8A99-5F36E4E7A59B}" presName="connTx" presStyleLbl="parChTrans1D3" presStyleIdx="1" presStyleCnt="3"/>
      <dgm:spPr/>
    </dgm:pt>
    <dgm:pt modelId="{4A95C0A2-06C6-48A7-93E6-C27C01856582}" type="pres">
      <dgm:prSet presAssocID="{820C7A00-E0EF-40C2-BB99-9FCA5688571E}" presName="root2" presStyleCnt="0"/>
      <dgm:spPr/>
    </dgm:pt>
    <dgm:pt modelId="{4951D979-3342-45A8-AEA0-19819DCBD193}" type="pres">
      <dgm:prSet presAssocID="{820C7A00-E0EF-40C2-BB99-9FCA5688571E}" presName="LevelTwoTextNode" presStyleLbl="node3" presStyleIdx="1" presStyleCnt="3" custScaleX="158040" custScaleY="130170" custLinFactY="-49243" custLinFactNeighborX="1896" custLinFactNeighborY="-100000">
        <dgm:presLayoutVars>
          <dgm:chPref val="3"/>
        </dgm:presLayoutVars>
      </dgm:prSet>
      <dgm:spPr/>
    </dgm:pt>
    <dgm:pt modelId="{47BB7B36-E022-43B3-AAE4-4CCDC0D43271}" type="pres">
      <dgm:prSet presAssocID="{820C7A00-E0EF-40C2-BB99-9FCA5688571E}" presName="level3hierChild" presStyleCnt="0"/>
      <dgm:spPr/>
    </dgm:pt>
    <dgm:pt modelId="{B416D91A-D40B-4D35-98F1-C7941C350F3B}" type="pres">
      <dgm:prSet presAssocID="{D7A0A43B-BF66-400C-83CC-2FEB8239A4C5}" presName="conn2-1" presStyleLbl="parChTrans1D3" presStyleIdx="2" presStyleCnt="3"/>
      <dgm:spPr/>
    </dgm:pt>
    <dgm:pt modelId="{5AAA3D2D-CA75-4848-A296-E622CF584126}" type="pres">
      <dgm:prSet presAssocID="{D7A0A43B-BF66-400C-83CC-2FEB8239A4C5}" presName="connTx" presStyleLbl="parChTrans1D3" presStyleIdx="2" presStyleCnt="3"/>
      <dgm:spPr/>
    </dgm:pt>
    <dgm:pt modelId="{7DF7D51B-E13C-4DB3-976F-FC692C1B5544}" type="pres">
      <dgm:prSet presAssocID="{F299BC8C-9828-4356-BC78-12B9AFC1D66E}" presName="root2" presStyleCnt="0"/>
      <dgm:spPr/>
    </dgm:pt>
    <dgm:pt modelId="{782AE3F3-055D-42EB-B968-77F99A0D1C38}" type="pres">
      <dgm:prSet presAssocID="{F299BC8C-9828-4356-BC78-12B9AFC1D66E}" presName="LevelTwoTextNode" presStyleLbl="node3" presStyleIdx="2" presStyleCnt="3" custScaleX="160563" custScaleY="166895" custLinFactY="-58804" custLinFactNeighborX="-93" custLinFactNeighborY="-100000">
        <dgm:presLayoutVars>
          <dgm:chPref val="3"/>
        </dgm:presLayoutVars>
      </dgm:prSet>
      <dgm:spPr/>
    </dgm:pt>
    <dgm:pt modelId="{70C4B77D-439E-4421-9785-2C9A1322697F}" type="pres">
      <dgm:prSet presAssocID="{F299BC8C-9828-4356-BC78-12B9AFC1D66E}" presName="level3hierChild" presStyleCnt="0"/>
      <dgm:spPr/>
    </dgm:pt>
  </dgm:ptLst>
  <dgm:cxnLst>
    <dgm:cxn modelId="{A0FBE408-EEB3-4F9B-BC06-1FF5AEE020A6}" type="presOf" srcId="{F172D6E6-41EB-4631-AABC-2108923D26B2}" destId="{4276DBD5-AC53-4982-B31C-CF7945E77F14}" srcOrd="1" destOrd="0" presId="urn:microsoft.com/office/officeart/2005/8/layout/hierarchy2"/>
    <dgm:cxn modelId="{D0249911-716F-4CCD-8F16-A7B46422C563}" type="presOf" srcId="{F299BC8C-9828-4356-BC78-12B9AFC1D66E}" destId="{782AE3F3-055D-42EB-B968-77F99A0D1C38}" srcOrd="0" destOrd="0" presId="urn:microsoft.com/office/officeart/2005/8/layout/hierarchy2"/>
    <dgm:cxn modelId="{4EF8EF29-5C54-4C9E-A8B2-5C127925EE96}" type="presOf" srcId="{BD4093A0-7A68-4B15-8C51-F31870E8D9C1}" destId="{ACD372A3-03CF-47E2-8256-72DB98C75C24}" srcOrd="1" destOrd="0" presId="urn:microsoft.com/office/officeart/2005/8/layout/hierarchy2"/>
    <dgm:cxn modelId="{6C039C2C-27C6-4730-AA65-1629B8C077CC}" type="presOf" srcId="{D62997F3-45A5-451B-8A99-5F36E4E7A59B}" destId="{65ED3772-E05C-44C9-B6A4-AFAFCAA38C35}" srcOrd="1" destOrd="0" presId="urn:microsoft.com/office/officeart/2005/8/layout/hierarchy2"/>
    <dgm:cxn modelId="{0B68312E-D2D2-4E09-96BB-5C79378532E7}" srcId="{35E5D065-231B-4DDC-8640-988087FBF5F3}" destId="{9011FF04-569D-44AB-8C2A-D76DB301480B}" srcOrd="0" destOrd="0" parTransId="{F172D6E6-41EB-4631-AABC-2108923D26B2}" sibTransId="{0E9D804F-3993-4D47-9C1A-E9D2A2C26EF7}"/>
    <dgm:cxn modelId="{C4632D40-5859-4C0A-85FA-6B27702FE2E1}" type="presOf" srcId="{820C7A00-E0EF-40C2-BB99-9FCA5688571E}" destId="{4951D979-3342-45A8-AEA0-19819DCBD193}" srcOrd="0" destOrd="0" presId="urn:microsoft.com/office/officeart/2005/8/layout/hierarchy2"/>
    <dgm:cxn modelId="{9D27CA5F-493B-47EC-8F43-B0AB9D0CF8E2}" type="presOf" srcId="{BD4093A0-7A68-4B15-8C51-F31870E8D9C1}" destId="{476D2D69-45BD-4934-BD0C-4E05AF7608EB}" srcOrd="0" destOrd="0" presId="urn:microsoft.com/office/officeart/2005/8/layout/hierarchy2"/>
    <dgm:cxn modelId="{37B37F47-F259-4824-840C-AE422BFFD334}" type="presOf" srcId="{35E5D065-231B-4DDC-8640-988087FBF5F3}" destId="{996FD3EC-CDA9-4303-9B70-84662277A6D9}" srcOrd="0" destOrd="0" presId="urn:microsoft.com/office/officeart/2005/8/layout/hierarchy2"/>
    <dgm:cxn modelId="{3849AC68-F0CC-4FE3-8833-A5D89E5AC88B}" srcId="{E8D3DD09-8026-493C-936F-08D55360EF96}" destId="{0C663260-C0D8-475F-853B-083E290FD582}" srcOrd="0" destOrd="0" parTransId="{78B9EDF5-1CFC-4043-88E0-67F42761EC3E}" sibTransId="{F3A4D8FD-7951-4D9D-B635-BAF181AC39FD}"/>
    <dgm:cxn modelId="{000B6272-2D14-4BDA-A08B-C1084E37FE4F}" type="presOf" srcId="{D7A0A43B-BF66-400C-83CC-2FEB8239A4C5}" destId="{B416D91A-D40B-4D35-98F1-C7941C350F3B}" srcOrd="0" destOrd="0" presId="urn:microsoft.com/office/officeart/2005/8/layout/hierarchy2"/>
    <dgm:cxn modelId="{BC173658-7060-457A-B183-01340402F8F2}" srcId="{0C663260-C0D8-475F-853B-083E290FD582}" destId="{35E5D065-231B-4DDC-8640-988087FBF5F3}" srcOrd="0" destOrd="0" parTransId="{BD4093A0-7A68-4B15-8C51-F31870E8D9C1}" sibTransId="{4C3CC090-9B40-4943-B59B-CD678BEB3B5F}"/>
    <dgm:cxn modelId="{0AD9A481-6620-48A4-A55B-CD1070B00730}" type="presOf" srcId="{E8D3DD09-8026-493C-936F-08D55360EF96}" destId="{39B38BE6-B990-4627-9F49-6AC6DE5591A0}" srcOrd="0" destOrd="0" presId="urn:microsoft.com/office/officeart/2005/8/layout/hierarchy2"/>
    <dgm:cxn modelId="{61A50F8A-FDB2-4A12-8E66-B5FC308FB066}" srcId="{35E5D065-231B-4DDC-8640-988087FBF5F3}" destId="{820C7A00-E0EF-40C2-BB99-9FCA5688571E}" srcOrd="1" destOrd="0" parTransId="{D62997F3-45A5-451B-8A99-5F36E4E7A59B}" sibTransId="{27109CE2-6477-4441-BC21-0BFEB5E2C729}"/>
    <dgm:cxn modelId="{7F464DB9-CF4B-4624-BE90-47A166FE0F8A}" type="presOf" srcId="{0C663260-C0D8-475F-853B-083E290FD582}" destId="{E7A939E1-9159-46CE-8167-7CEB882FB7AF}" srcOrd="0" destOrd="0" presId="urn:microsoft.com/office/officeart/2005/8/layout/hierarchy2"/>
    <dgm:cxn modelId="{E89836D9-8EA7-4312-8DDA-DEFA493FD56C}" type="presOf" srcId="{9011FF04-569D-44AB-8C2A-D76DB301480B}" destId="{7D226F07-8FD6-4821-B1E7-8243C9E3F316}" srcOrd="0" destOrd="0" presId="urn:microsoft.com/office/officeart/2005/8/layout/hierarchy2"/>
    <dgm:cxn modelId="{40BFE5D9-A9F4-488D-8C3C-96143AB4A844}" type="presOf" srcId="{F172D6E6-41EB-4631-AABC-2108923D26B2}" destId="{F2E66D0E-6A6A-47C9-9EA3-473D9E21CC6D}" srcOrd="0" destOrd="0" presId="urn:microsoft.com/office/officeart/2005/8/layout/hierarchy2"/>
    <dgm:cxn modelId="{CE6763E0-697D-422E-AB88-79D8F944AA6B}" srcId="{35E5D065-231B-4DDC-8640-988087FBF5F3}" destId="{F299BC8C-9828-4356-BC78-12B9AFC1D66E}" srcOrd="2" destOrd="0" parTransId="{D7A0A43B-BF66-400C-83CC-2FEB8239A4C5}" sibTransId="{6A5563C9-F91C-4545-B3DC-024E2D274F5D}"/>
    <dgm:cxn modelId="{A76C36E3-F37D-4AE7-A3B5-4C6BE8BD58E8}" type="presOf" srcId="{D62997F3-45A5-451B-8A99-5F36E4E7A59B}" destId="{9D7E69FF-B5DE-4086-8CBD-FB4C2E6B013E}" srcOrd="0" destOrd="0" presId="urn:microsoft.com/office/officeart/2005/8/layout/hierarchy2"/>
    <dgm:cxn modelId="{EF1A04F2-972B-4D15-A51D-D45B6DE9B959}" type="presOf" srcId="{D7A0A43B-BF66-400C-83CC-2FEB8239A4C5}" destId="{5AAA3D2D-CA75-4848-A296-E622CF584126}" srcOrd="1" destOrd="0" presId="urn:microsoft.com/office/officeart/2005/8/layout/hierarchy2"/>
    <dgm:cxn modelId="{0ABCE2A6-410F-4833-AC40-6568ADCBFAE9}" type="presParOf" srcId="{39B38BE6-B990-4627-9F49-6AC6DE5591A0}" destId="{20E05BD4-A1DE-463F-BBE1-3D18F982665E}" srcOrd="0" destOrd="0" presId="urn:microsoft.com/office/officeart/2005/8/layout/hierarchy2"/>
    <dgm:cxn modelId="{E8856FE3-E88E-40B2-B508-FCAE816EF130}" type="presParOf" srcId="{20E05BD4-A1DE-463F-BBE1-3D18F982665E}" destId="{E7A939E1-9159-46CE-8167-7CEB882FB7AF}" srcOrd="0" destOrd="0" presId="urn:microsoft.com/office/officeart/2005/8/layout/hierarchy2"/>
    <dgm:cxn modelId="{68E25299-F9D0-44EA-BED1-AB9F43C2F5C9}" type="presParOf" srcId="{20E05BD4-A1DE-463F-BBE1-3D18F982665E}" destId="{93F5865E-2CCE-4493-8E22-E6F7AC49B848}" srcOrd="1" destOrd="0" presId="urn:microsoft.com/office/officeart/2005/8/layout/hierarchy2"/>
    <dgm:cxn modelId="{81E8E9DF-D941-4ED3-A94E-44749ECCF828}" type="presParOf" srcId="{93F5865E-2CCE-4493-8E22-E6F7AC49B848}" destId="{476D2D69-45BD-4934-BD0C-4E05AF7608EB}" srcOrd="0" destOrd="0" presId="urn:microsoft.com/office/officeart/2005/8/layout/hierarchy2"/>
    <dgm:cxn modelId="{FF71D121-6E9C-4728-960D-C03231AB458E}" type="presParOf" srcId="{476D2D69-45BD-4934-BD0C-4E05AF7608EB}" destId="{ACD372A3-03CF-47E2-8256-72DB98C75C24}" srcOrd="0" destOrd="0" presId="urn:microsoft.com/office/officeart/2005/8/layout/hierarchy2"/>
    <dgm:cxn modelId="{590073F2-1B65-465B-91AE-999F2BB583BA}" type="presParOf" srcId="{93F5865E-2CCE-4493-8E22-E6F7AC49B848}" destId="{1550CD1A-DB3E-4D45-A01A-E351BD662F13}" srcOrd="1" destOrd="0" presId="urn:microsoft.com/office/officeart/2005/8/layout/hierarchy2"/>
    <dgm:cxn modelId="{6FFE01BB-4CE9-4D7B-B757-31A925D41E0E}" type="presParOf" srcId="{1550CD1A-DB3E-4D45-A01A-E351BD662F13}" destId="{996FD3EC-CDA9-4303-9B70-84662277A6D9}" srcOrd="0" destOrd="0" presId="urn:microsoft.com/office/officeart/2005/8/layout/hierarchy2"/>
    <dgm:cxn modelId="{9A599727-0C65-42E2-AFED-1AB011CF830A}" type="presParOf" srcId="{1550CD1A-DB3E-4D45-A01A-E351BD662F13}" destId="{79C6FF81-F635-4410-AEB6-5117F9B5FD0D}" srcOrd="1" destOrd="0" presId="urn:microsoft.com/office/officeart/2005/8/layout/hierarchy2"/>
    <dgm:cxn modelId="{05EA5355-632C-4908-A5FC-07FF7ABFE6E3}" type="presParOf" srcId="{79C6FF81-F635-4410-AEB6-5117F9B5FD0D}" destId="{F2E66D0E-6A6A-47C9-9EA3-473D9E21CC6D}" srcOrd="0" destOrd="0" presId="urn:microsoft.com/office/officeart/2005/8/layout/hierarchy2"/>
    <dgm:cxn modelId="{E8A578B4-03E7-46A3-88FD-80904D8D5032}" type="presParOf" srcId="{F2E66D0E-6A6A-47C9-9EA3-473D9E21CC6D}" destId="{4276DBD5-AC53-4982-B31C-CF7945E77F14}" srcOrd="0" destOrd="0" presId="urn:microsoft.com/office/officeart/2005/8/layout/hierarchy2"/>
    <dgm:cxn modelId="{6EF53F9D-9259-4B9E-B50F-609BD91431EF}" type="presParOf" srcId="{79C6FF81-F635-4410-AEB6-5117F9B5FD0D}" destId="{A3C3F7A6-D65A-4F2C-8FC6-47F0249063EB}" srcOrd="1" destOrd="0" presId="urn:microsoft.com/office/officeart/2005/8/layout/hierarchy2"/>
    <dgm:cxn modelId="{DD940485-C30F-4BBC-B559-1D9E8EFB9B5C}" type="presParOf" srcId="{A3C3F7A6-D65A-4F2C-8FC6-47F0249063EB}" destId="{7D226F07-8FD6-4821-B1E7-8243C9E3F316}" srcOrd="0" destOrd="0" presId="urn:microsoft.com/office/officeart/2005/8/layout/hierarchy2"/>
    <dgm:cxn modelId="{EAA6F879-68D3-4899-8B56-AD6A7AA3C7C7}" type="presParOf" srcId="{A3C3F7A6-D65A-4F2C-8FC6-47F0249063EB}" destId="{01646191-2BA3-4DD7-B803-FD020EB0E929}" srcOrd="1" destOrd="0" presId="urn:microsoft.com/office/officeart/2005/8/layout/hierarchy2"/>
    <dgm:cxn modelId="{52A2787F-B263-4516-869C-54A09565AA6A}" type="presParOf" srcId="{79C6FF81-F635-4410-AEB6-5117F9B5FD0D}" destId="{9D7E69FF-B5DE-4086-8CBD-FB4C2E6B013E}" srcOrd="2" destOrd="0" presId="urn:microsoft.com/office/officeart/2005/8/layout/hierarchy2"/>
    <dgm:cxn modelId="{6F1DA3DF-9723-4732-8491-4FB758F10490}" type="presParOf" srcId="{9D7E69FF-B5DE-4086-8CBD-FB4C2E6B013E}" destId="{65ED3772-E05C-44C9-B6A4-AFAFCAA38C35}" srcOrd="0" destOrd="0" presId="urn:microsoft.com/office/officeart/2005/8/layout/hierarchy2"/>
    <dgm:cxn modelId="{23D3C8E2-2D7E-4CB6-BE98-8A9397D67AD2}" type="presParOf" srcId="{79C6FF81-F635-4410-AEB6-5117F9B5FD0D}" destId="{4A95C0A2-06C6-48A7-93E6-C27C01856582}" srcOrd="3" destOrd="0" presId="urn:microsoft.com/office/officeart/2005/8/layout/hierarchy2"/>
    <dgm:cxn modelId="{CAD08A40-AB09-42FF-B4A4-5934CBBAFDB1}" type="presParOf" srcId="{4A95C0A2-06C6-48A7-93E6-C27C01856582}" destId="{4951D979-3342-45A8-AEA0-19819DCBD193}" srcOrd="0" destOrd="0" presId="urn:microsoft.com/office/officeart/2005/8/layout/hierarchy2"/>
    <dgm:cxn modelId="{FDAAB213-7FDB-46D2-B0C5-1717B04B9B27}" type="presParOf" srcId="{4A95C0A2-06C6-48A7-93E6-C27C01856582}" destId="{47BB7B36-E022-43B3-AAE4-4CCDC0D43271}" srcOrd="1" destOrd="0" presId="urn:microsoft.com/office/officeart/2005/8/layout/hierarchy2"/>
    <dgm:cxn modelId="{BEF09115-949D-4C6F-BE93-B65566B86E71}" type="presParOf" srcId="{79C6FF81-F635-4410-AEB6-5117F9B5FD0D}" destId="{B416D91A-D40B-4D35-98F1-C7941C350F3B}" srcOrd="4" destOrd="0" presId="urn:microsoft.com/office/officeart/2005/8/layout/hierarchy2"/>
    <dgm:cxn modelId="{AF1BE72C-9A71-4939-9D87-643CF417D1A2}" type="presParOf" srcId="{B416D91A-D40B-4D35-98F1-C7941C350F3B}" destId="{5AAA3D2D-CA75-4848-A296-E622CF584126}" srcOrd="0" destOrd="0" presId="urn:microsoft.com/office/officeart/2005/8/layout/hierarchy2"/>
    <dgm:cxn modelId="{40930EB1-5C65-45EB-87AA-41F6A4193684}" type="presParOf" srcId="{79C6FF81-F635-4410-AEB6-5117F9B5FD0D}" destId="{7DF7D51B-E13C-4DB3-976F-FC692C1B5544}" srcOrd="5" destOrd="0" presId="urn:microsoft.com/office/officeart/2005/8/layout/hierarchy2"/>
    <dgm:cxn modelId="{5CB4FCE0-6C49-4503-8948-D1DD88B7E8AD}" type="presParOf" srcId="{7DF7D51B-E13C-4DB3-976F-FC692C1B5544}" destId="{782AE3F3-055D-42EB-B968-77F99A0D1C38}" srcOrd="0" destOrd="0" presId="urn:microsoft.com/office/officeart/2005/8/layout/hierarchy2"/>
    <dgm:cxn modelId="{4E2958F4-C564-4902-B43D-14D7ED3FAE0C}" type="presParOf" srcId="{7DF7D51B-E13C-4DB3-976F-FC692C1B5544}" destId="{70C4B77D-439E-4421-9785-2C9A1322697F}" srcOrd="1" destOrd="0" presId="urn:microsoft.com/office/officeart/2005/8/layout/hierarchy2"/>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D3DD09-8026-493C-936F-08D55360EF96}"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lv-LV"/>
        </a:p>
      </dgm:t>
    </dgm:pt>
    <dgm:pt modelId="{0C663260-C0D8-475F-853B-083E290FD582}">
      <dgm:prSet phldrT="[Text]" custT="1"/>
      <dgm:spPr>
        <a:solidFill>
          <a:schemeClr val="lt1">
            <a:hueOff val="0"/>
            <a:satOff val="0"/>
            <a:lumOff val="0"/>
          </a:schemeClr>
        </a:solidFill>
      </dgm:spPr>
      <dgm:t>
        <a:bodyPr/>
        <a:lstStyle/>
        <a:p>
          <a:pPr>
            <a:lnSpc>
              <a:spcPct val="100000"/>
            </a:lnSpc>
            <a:spcAft>
              <a:spcPts val="0"/>
            </a:spcAft>
          </a:pPr>
          <a:r>
            <a:rPr lang="lv-LV" sz="1100" b="1">
              <a:latin typeface="Times New Roman" panose="02020603050405020304" pitchFamily="18" charset="0"/>
              <a:cs typeface="Times New Roman" panose="02020603050405020304" pitchFamily="18" charset="0"/>
            </a:rPr>
            <a:t>34</a:t>
          </a:r>
        </a:p>
        <a:p>
          <a:pPr>
            <a:lnSpc>
              <a:spcPct val="100000"/>
            </a:lnSpc>
            <a:spcAft>
              <a:spcPts val="0"/>
            </a:spcAft>
          </a:pPr>
          <a:r>
            <a:rPr lang="lv-LV" sz="1100">
              <a:latin typeface="Times New Roman" panose="02020603050405020304" pitchFamily="18" charset="0"/>
              <a:cs typeface="Times New Roman" panose="02020603050405020304" pitchFamily="18" charset="0"/>
            </a:rPr>
            <a:t>plānotie projektu iesniegumi</a:t>
          </a:r>
        </a:p>
        <a:p>
          <a:pPr>
            <a:lnSpc>
              <a:spcPct val="100000"/>
            </a:lnSpc>
            <a:spcAft>
              <a:spcPts val="0"/>
            </a:spcAft>
          </a:pPr>
          <a:r>
            <a:rPr lang="lv-LV" sz="1100">
              <a:latin typeface="Times New Roman" panose="02020603050405020304" pitchFamily="18" charset="0"/>
              <a:cs typeface="Times New Roman" panose="02020603050405020304" pitchFamily="18" charset="0"/>
            </a:rPr>
            <a:t>(34 678 028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a:t>
          </a:r>
        </a:p>
      </dgm:t>
    </dgm:pt>
    <dgm:pt modelId="{78B9EDF5-1CFC-4043-88E0-67F42761EC3E}" type="parTrans" cxnId="{3849AC68-F0CC-4FE3-8833-A5D89E5AC88B}">
      <dgm:prSet/>
      <dgm:spPr/>
      <dgm:t>
        <a:bodyPr/>
        <a:lstStyle/>
        <a:p>
          <a:endParaRPr lang="lv-LV"/>
        </a:p>
      </dgm:t>
    </dgm:pt>
    <dgm:pt modelId="{F3A4D8FD-7951-4D9D-B635-BAF181AC39FD}" type="sibTrans" cxnId="{3849AC68-F0CC-4FE3-8833-A5D89E5AC88B}">
      <dgm:prSet/>
      <dgm:spPr/>
      <dgm:t>
        <a:bodyPr/>
        <a:lstStyle/>
        <a:p>
          <a:endParaRPr lang="lv-LV"/>
        </a:p>
      </dgm:t>
    </dgm:pt>
    <dgm:pt modelId="{35E5D065-231B-4DDC-8640-988087FBF5F3}">
      <dgm:prSet phldrT="[Text]"/>
      <dgm:spPr/>
      <dgm:t>
        <a:bodyPr/>
        <a:lstStyle/>
        <a:p>
          <a:pPr>
            <a:lnSpc>
              <a:spcPct val="100000"/>
            </a:lnSpc>
            <a:spcAft>
              <a:spcPts val="0"/>
            </a:spcAft>
          </a:pPr>
          <a:r>
            <a:rPr lang="lv-LV" sz="1100" b="1">
              <a:latin typeface="Times New Roman" panose="02020603050405020304" pitchFamily="18" charset="0"/>
              <a:cs typeface="Times New Roman" panose="02020603050405020304" pitchFamily="18" charset="0"/>
            </a:rPr>
            <a:t>27</a:t>
          </a:r>
        </a:p>
        <a:p>
          <a:pPr>
            <a:lnSpc>
              <a:spcPct val="100000"/>
            </a:lnSpc>
            <a:spcAft>
              <a:spcPts val="0"/>
            </a:spcAft>
          </a:pPr>
          <a:r>
            <a:rPr lang="lv-LV" sz="1100">
              <a:latin typeface="Times New Roman" panose="02020603050405020304" pitchFamily="18" charset="0"/>
              <a:cs typeface="Times New Roman" panose="02020603050405020304" pitchFamily="18" charset="0"/>
            </a:rPr>
            <a:t>projektu iesniegumi</a:t>
          </a:r>
        </a:p>
        <a:p>
          <a:pPr>
            <a:lnSpc>
              <a:spcPct val="100000"/>
            </a:lnSpc>
            <a:spcAft>
              <a:spcPts val="0"/>
            </a:spcAft>
          </a:pPr>
          <a:r>
            <a:rPr lang="lv-LV" sz="1100">
              <a:latin typeface="Times New Roman" panose="02020603050405020304" pitchFamily="18" charset="0"/>
              <a:cs typeface="Times New Roman" panose="02020603050405020304" pitchFamily="18" charset="0"/>
            </a:rPr>
            <a:t>(29 244 089,52 </a:t>
          </a:r>
          <a:r>
            <a:rPr lang="lv-LV" sz="1100" b="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a:t>
          </a:r>
        </a:p>
      </dgm:t>
    </dgm:pt>
    <dgm:pt modelId="{BD4093A0-7A68-4B15-8C51-F31870E8D9C1}" type="parTrans" cxnId="{BC173658-7060-457A-B183-01340402F8F2}">
      <dgm:prSet/>
      <dgm:spPr/>
      <dgm:t>
        <a:bodyPr/>
        <a:lstStyle/>
        <a:p>
          <a:endParaRPr lang="lv-LV"/>
        </a:p>
      </dgm:t>
    </dgm:pt>
    <dgm:pt modelId="{4C3CC090-9B40-4943-B59B-CD678BEB3B5F}" type="sibTrans" cxnId="{BC173658-7060-457A-B183-01340402F8F2}">
      <dgm:prSet/>
      <dgm:spPr/>
      <dgm:t>
        <a:bodyPr/>
        <a:lstStyle/>
        <a:p>
          <a:endParaRPr lang="lv-LV"/>
        </a:p>
      </dgm:t>
    </dgm:pt>
    <dgm:pt modelId="{86AD9573-1124-4682-AF48-DF70018632E2}">
      <dgm:prSet phldrT="[Text]" custT="1"/>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7 neiesniegti</a:t>
          </a:r>
          <a:r>
            <a:rPr lang="lv-LV" sz="1100">
              <a:solidFill>
                <a:sysClr val="windowText" lastClr="000000"/>
              </a:solidFill>
              <a:latin typeface="Times New Roman" panose="02020603050405020304" pitchFamily="18" charset="0"/>
              <a:cs typeface="Times New Roman" panose="02020603050405020304" pitchFamily="18" charset="0"/>
            </a:rPr>
            <a:t> projektu iesniegumi</a:t>
          </a:r>
        </a:p>
      </dgm:t>
    </dgm:pt>
    <dgm:pt modelId="{554B191A-2B13-42A1-9E9E-48D5E526F1A5}" type="parTrans" cxnId="{0B253C6A-6E0B-47D9-B150-E192ADFDB202}">
      <dgm:prSet/>
      <dgm:spPr/>
      <dgm:t>
        <a:bodyPr/>
        <a:lstStyle/>
        <a:p>
          <a:endParaRPr lang="lv-LV"/>
        </a:p>
      </dgm:t>
    </dgm:pt>
    <dgm:pt modelId="{AF4B70C2-066F-4BA3-874F-A8E4E6A795F5}" type="sibTrans" cxnId="{0B253C6A-6E0B-47D9-B150-E192ADFDB202}">
      <dgm:prSet/>
      <dgm:spPr/>
      <dgm:t>
        <a:bodyPr/>
        <a:lstStyle/>
        <a:p>
          <a:endParaRPr lang="lv-LV"/>
        </a:p>
      </dgm:t>
    </dgm:pt>
    <dgm:pt modelId="{9011FF04-569D-44AB-8C2A-D76DB301480B}">
      <dgm:prSet phldrT="[Text]" custT="1"/>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3 </a:t>
          </a:r>
        </a:p>
        <a:p>
          <a:r>
            <a:rPr lang="lv-LV" sz="1100" b="1">
              <a:solidFill>
                <a:sysClr val="windowText" lastClr="000000"/>
              </a:solidFill>
              <a:latin typeface="Times New Roman" panose="02020603050405020304" pitchFamily="18" charset="0"/>
              <a:cs typeface="Times New Roman" panose="02020603050405020304" pitchFamily="18" charset="0"/>
            </a:rPr>
            <a:t>pabeigti</a:t>
          </a:r>
        </a:p>
        <a:p>
          <a:r>
            <a:rPr lang="lv-LV" sz="1100" b="0">
              <a:solidFill>
                <a:sysClr val="windowText" lastClr="000000"/>
              </a:solidFill>
              <a:latin typeface="Times New Roman" panose="02020603050405020304" pitchFamily="18" charset="0"/>
              <a:cs typeface="Times New Roman" panose="02020603050405020304" pitchFamily="18" charset="0"/>
            </a:rPr>
            <a:t>( 2 142 452,73 </a:t>
          </a:r>
          <a:r>
            <a:rPr lang="lv-LV" sz="1100" b="0" i="1">
              <a:solidFill>
                <a:sysClr val="windowText" lastClr="000000"/>
              </a:solidFill>
              <a:latin typeface="Times New Roman" panose="02020603050405020304" pitchFamily="18" charset="0"/>
              <a:cs typeface="Times New Roman" panose="02020603050405020304" pitchFamily="18" charset="0"/>
            </a:rPr>
            <a:t>euro</a:t>
          </a:r>
          <a:r>
            <a:rPr lang="lv-LV" sz="1100" b="0">
              <a:solidFill>
                <a:sysClr val="windowText" lastClr="000000"/>
              </a:solidFill>
              <a:latin typeface="Times New Roman" panose="02020603050405020304" pitchFamily="18" charset="0"/>
              <a:cs typeface="Times New Roman" panose="02020603050405020304" pitchFamily="18" charset="0"/>
            </a:rPr>
            <a:t>)</a:t>
          </a:r>
        </a:p>
      </dgm:t>
    </dgm:pt>
    <dgm:pt modelId="{F172D6E6-41EB-4631-AABC-2108923D26B2}" type="parTrans" cxnId="{0B68312E-D2D2-4E09-96BB-5C79378532E7}">
      <dgm:prSet/>
      <dgm:spPr/>
      <dgm:t>
        <a:bodyPr/>
        <a:lstStyle/>
        <a:p>
          <a:endParaRPr lang="lv-LV"/>
        </a:p>
      </dgm:t>
    </dgm:pt>
    <dgm:pt modelId="{0E9D804F-3993-4D47-9C1A-E9D2A2C26EF7}" type="sibTrans" cxnId="{0B68312E-D2D2-4E09-96BB-5C79378532E7}">
      <dgm:prSet/>
      <dgm:spPr/>
      <dgm:t>
        <a:bodyPr/>
        <a:lstStyle/>
        <a:p>
          <a:endParaRPr lang="lv-LV"/>
        </a:p>
      </dgm:t>
    </dgm:pt>
    <dgm:pt modelId="{820C7A00-E0EF-40C2-BB99-9FCA5688571E}">
      <dgm:prSet phldrT="[Text]" custT="1"/>
      <dgm:spPr/>
      <dgm:t>
        <a:bodyPr/>
        <a:lstStyle/>
        <a:p>
          <a:r>
            <a:rPr lang="lv-LV" sz="1100" b="1">
              <a:solidFill>
                <a:sysClr val="windowText" lastClr="000000"/>
              </a:solidFill>
              <a:latin typeface="Times New Roman" panose="02020603050405020304" pitchFamily="18" charset="0"/>
              <a:cs typeface="Times New Roman" panose="02020603050405020304" pitchFamily="18" charset="0"/>
            </a:rPr>
            <a:t>5</a:t>
          </a:r>
        </a:p>
        <a:p>
          <a:r>
            <a:rPr lang="lv-LV" sz="1100" b="1">
              <a:solidFill>
                <a:sysClr val="windowText" lastClr="000000"/>
              </a:solidFill>
              <a:latin typeface="Times New Roman" panose="02020603050405020304" pitchFamily="18" charset="0"/>
              <a:cs typeface="Times New Roman" panose="02020603050405020304" pitchFamily="18" charset="0"/>
            </a:rPr>
            <a:t>vērtēšanā </a:t>
          </a:r>
        </a:p>
        <a:p>
          <a:r>
            <a:rPr lang="lv-LV" sz="1100" b="0">
              <a:solidFill>
                <a:sysClr val="windowText" lastClr="000000"/>
              </a:solidFill>
              <a:latin typeface="Times New Roman" panose="02020603050405020304" pitchFamily="18" charset="0"/>
              <a:cs typeface="Times New Roman" panose="02020603050405020304" pitchFamily="18" charset="0"/>
            </a:rPr>
            <a:t>(2 659 173,24</a:t>
          </a:r>
          <a:r>
            <a:rPr lang="lv-LV" sz="1100">
              <a:solidFill>
                <a:sysClr val="windowText" lastClr="000000"/>
              </a:solidFill>
              <a:latin typeface="Times New Roman" panose="02020603050405020304" pitchFamily="18" charset="0"/>
              <a:cs typeface="Times New Roman" panose="02020603050405020304" pitchFamily="18" charset="0"/>
            </a:rPr>
            <a:t> </a:t>
          </a:r>
          <a:r>
            <a:rPr lang="lv-LV" sz="1100" i="1">
              <a:solidFill>
                <a:sysClr val="windowText" lastClr="000000"/>
              </a:solidFill>
              <a:latin typeface="Times New Roman" panose="02020603050405020304" pitchFamily="18" charset="0"/>
              <a:cs typeface="Times New Roman" panose="02020603050405020304" pitchFamily="18" charset="0"/>
            </a:rPr>
            <a:t>euro</a:t>
          </a:r>
          <a:r>
            <a:rPr lang="lv-LV" sz="1100">
              <a:solidFill>
                <a:sysClr val="windowText" lastClr="000000"/>
              </a:solidFill>
              <a:latin typeface="Times New Roman" panose="02020603050405020304" pitchFamily="18" charset="0"/>
              <a:cs typeface="Times New Roman" panose="02020603050405020304" pitchFamily="18" charset="0"/>
            </a:rPr>
            <a:t>)</a:t>
          </a:r>
          <a:endParaRPr lang="lv-LV" sz="1100" b="1">
            <a:solidFill>
              <a:sysClr val="windowText" lastClr="000000"/>
            </a:solidFill>
            <a:latin typeface="Times New Roman" panose="02020603050405020304" pitchFamily="18" charset="0"/>
            <a:cs typeface="Times New Roman" panose="02020603050405020304" pitchFamily="18" charset="0"/>
          </a:endParaRPr>
        </a:p>
      </dgm:t>
    </dgm:pt>
    <dgm:pt modelId="{D62997F3-45A5-451B-8A99-5F36E4E7A59B}" type="parTrans" cxnId="{61A50F8A-FDB2-4A12-8E66-B5FC308FB066}">
      <dgm:prSet/>
      <dgm:spPr/>
      <dgm:t>
        <a:bodyPr/>
        <a:lstStyle/>
        <a:p>
          <a:endParaRPr lang="lv-LV"/>
        </a:p>
      </dgm:t>
    </dgm:pt>
    <dgm:pt modelId="{27109CE2-6477-4441-BC21-0BFEB5E2C729}" type="sibTrans" cxnId="{61A50F8A-FDB2-4A12-8E66-B5FC308FB066}">
      <dgm:prSet/>
      <dgm:spPr/>
      <dgm:t>
        <a:bodyPr/>
        <a:lstStyle/>
        <a:p>
          <a:endParaRPr lang="lv-LV"/>
        </a:p>
      </dgm:t>
    </dgm:pt>
    <dgm:pt modelId="{F299BC8C-9828-4356-BC78-12B9AFC1D66E}">
      <dgm:prSet custT="1"/>
      <dgm:spPr/>
      <dgm:t>
        <a:bodyPr/>
        <a:lstStyle/>
        <a:p>
          <a:pPr>
            <a:lnSpc>
              <a:spcPct val="100000"/>
            </a:lnSpc>
            <a:spcAft>
              <a:spcPts val="0"/>
            </a:spcAft>
          </a:pPr>
          <a:r>
            <a:rPr lang="lv-LV" sz="1100" b="1">
              <a:solidFill>
                <a:sysClr val="windowText" lastClr="000000"/>
              </a:solidFill>
              <a:latin typeface="Times New Roman" panose="02020603050405020304" pitchFamily="18" charset="0"/>
              <a:cs typeface="Times New Roman" panose="02020603050405020304" pitchFamily="18" charset="0"/>
            </a:rPr>
            <a:t>19</a:t>
          </a:r>
        </a:p>
        <a:p>
          <a:pPr>
            <a:lnSpc>
              <a:spcPct val="100000"/>
            </a:lnSpc>
            <a:spcAft>
              <a:spcPts val="0"/>
            </a:spcAft>
          </a:pPr>
          <a:r>
            <a:rPr lang="lv-LV" sz="1100" b="1">
              <a:solidFill>
                <a:sysClr val="windowText" lastClr="000000"/>
              </a:solidFill>
              <a:latin typeface="Times New Roman" panose="02020603050405020304" pitchFamily="18" charset="0"/>
              <a:cs typeface="Times New Roman" panose="02020603050405020304" pitchFamily="18" charset="0"/>
            </a:rPr>
            <a:t>noslēgts līgums/vienošanās</a:t>
          </a:r>
          <a:r>
            <a:rPr lang="lv-LV" sz="1100" b="1">
              <a:solidFill>
                <a:srgbClr val="FF0000"/>
              </a:solidFill>
              <a:latin typeface="Times New Roman" panose="02020603050405020304" pitchFamily="18" charset="0"/>
              <a:cs typeface="Times New Roman" panose="02020603050405020304" pitchFamily="18" charset="0"/>
            </a:rPr>
            <a:t> </a:t>
          </a:r>
          <a:r>
            <a:rPr lang="lv-LV" sz="1100" b="0">
              <a:solidFill>
                <a:sysClr val="windowText" lastClr="000000"/>
              </a:solidFill>
              <a:latin typeface="Times New Roman" panose="02020603050405020304" pitchFamily="18" charset="0"/>
              <a:cs typeface="Times New Roman" panose="02020603050405020304" pitchFamily="18" charset="0"/>
            </a:rPr>
            <a:t>(24 442 463,55 </a:t>
          </a:r>
          <a:r>
            <a:rPr lang="lv-LV" sz="1100" i="1">
              <a:solidFill>
                <a:sysClr val="windowText" lastClr="000000"/>
              </a:solidFill>
              <a:latin typeface="Times New Roman" panose="02020603050405020304" pitchFamily="18" charset="0"/>
              <a:cs typeface="Times New Roman" panose="02020603050405020304" pitchFamily="18" charset="0"/>
            </a:rPr>
            <a:t>euro</a:t>
          </a:r>
          <a:r>
            <a:rPr lang="lv-LV" sz="1100">
              <a:solidFill>
                <a:sysClr val="windowText" lastClr="000000"/>
              </a:solidFill>
              <a:latin typeface="Times New Roman" panose="02020603050405020304" pitchFamily="18" charset="0"/>
              <a:cs typeface="Times New Roman" panose="02020603050405020304" pitchFamily="18" charset="0"/>
            </a:rPr>
            <a:t>)</a:t>
          </a:r>
        </a:p>
      </dgm:t>
    </dgm:pt>
    <dgm:pt modelId="{D7A0A43B-BF66-400C-83CC-2FEB8239A4C5}" type="parTrans" cxnId="{CE6763E0-697D-422E-AB88-79D8F944AA6B}">
      <dgm:prSet/>
      <dgm:spPr/>
      <dgm:t>
        <a:bodyPr/>
        <a:lstStyle/>
        <a:p>
          <a:endParaRPr lang="lv-LV"/>
        </a:p>
      </dgm:t>
    </dgm:pt>
    <dgm:pt modelId="{6A5563C9-F91C-4545-B3DC-024E2D274F5D}" type="sibTrans" cxnId="{CE6763E0-697D-422E-AB88-79D8F944AA6B}">
      <dgm:prSet/>
      <dgm:spPr/>
      <dgm:t>
        <a:bodyPr/>
        <a:lstStyle/>
        <a:p>
          <a:endParaRPr lang="lv-LV"/>
        </a:p>
      </dgm:t>
    </dgm:pt>
    <dgm:pt modelId="{39B38BE6-B990-4627-9F49-6AC6DE5591A0}" type="pres">
      <dgm:prSet presAssocID="{E8D3DD09-8026-493C-936F-08D55360EF96}" presName="diagram" presStyleCnt="0">
        <dgm:presLayoutVars>
          <dgm:chPref val="1"/>
          <dgm:dir/>
          <dgm:animOne val="branch"/>
          <dgm:animLvl val="lvl"/>
          <dgm:resizeHandles val="exact"/>
        </dgm:presLayoutVars>
      </dgm:prSet>
      <dgm:spPr/>
    </dgm:pt>
    <dgm:pt modelId="{20E05BD4-A1DE-463F-BBE1-3D18F982665E}" type="pres">
      <dgm:prSet presAssocID="{0C663260-C0D8-475F-853B-083E290FD582}" presName="root1" presStyleCnt="0"/>
      <dgm:spPr/>
    </dgm:pt>
    <dgm:pt modelId="{E7A939E1-9159-46CE-8167-7CEB882FB7AF}" type="pres">
      <dgm:prSet presAssocID="{0C663260-C0D8-475F-853B-083E290FD582}" presName="LevelOneTextNode" presStyleLbl="node0" presStyleIdx="0" presStyleCnt="1" custScaleX="120863">
        <dgm:presLayoutVars>
          <dgm:chPref val="3"/>
        </dgm:presLayoutVars>
      </dgm:prSet>
      <dgm:spPr/>
    </dgm:pt>
    <dgm:pt modelId="{93F5865E-2CCE-4493-8E22-E6F7AC49B848}" type="pres">
      <dgm:prSet presAssocID="{0C663260-C0D8-475F-853B-083E290FD582}" presName="level2hierChild" presStyleCnt="0"/>
      <dgm:spPr/>
    </dgm:pt>
    <dgm:pt modelId="{476D2D69-45BD-4934-BD0C-4E05AF7608EB}" type="pres">
      <dgm:prSet presAssocID="{BD4093A0-7A68-4B15-8C51-F31870E8D9C1}" presName="conn2-1" presStyleLbl="parChTrans1D2" presStyleIdx="0" presStyleCnt="2"/>
      <dgm:spPr/>
    </dgm:pt>
    <dgm:pt modelId="{ACD372A3-03CF-47E2-8256-72DB98C75C24}" type="pres">
      <dgm:prSet presAssocID="{BD4093A0-7A68-4B15-8C51-F31870E8D9C1}" presName="connTx" presStyleLbl="parChTrans1D2" presStyleIdx="0" presStyleCnt="2"/>
      <dgm:spPr/>
    </dgm:pt>
    <dgm:pt modelId="{1550CD1A-DB3E-4D45-A01A-E351BD662F13}" type="pres">
      <dgm:prSet presAssocID="{35E5D065-231B-4DDC-8640-988087FBF5F3}" presName="root2" presStyleCnt="0"/>
      <dgm:spPr/>
    </dgm:pt>
    <dgm:pt modelId="{996FD3EC-CDA9-4303-9B70-84662277A6D9}" type="pres">
      <dgm:prSet presAssocID="{35E5D065-231B-4DDC-8640-988087FBF5F3}" presName="LevelTwoTextNode" presStyleLbl="node2" presStyleIdx="0" presStyleCnt="2">
        <dgm:presLayoutVars>
          <dgm:chPref val="3"/>
        </dgm:presLayoutVars>
      </dgm:prSet>
      <dgm:spPr/>
    </dgm:pt>
    <dgm:pt modelId="{79C6FF81-F635-4410-AEB6-5117F9B5FD0D}" type="pres">
      <dgm:prSet presAssocID="{35E5D065-231B-4DDC-8640-988087FBF5F3}" presName="level3hierChild" presStyleCnt="0"/>
      <dgm:spPr/>
    </dgm:pt>
    <dgm:pt modelId="{F2E66D0E-6A6A-47C9-9EA3-473D9E21CC6D}" type="pres">
      <dgm:prSet presAssocID="{F172D6E6-41EB-4631-AABC-2108923D26B2}" presName="conn2-1" presStyleLbl="parChTrans1D3" presStyleIdx="0" presStyleCnt="3"/>
      <dgm:spPr/>
    </dgm:pt>
    <dgm:pt modelId="{4276DBD5-AC53-4982-B31C-CF7945E77F14}" type="pres">
      <dgm:prSet presAssocID="{F172D6E6-41EB-4631-AABC-2108923D26B2}" presName="connTx" presStyleLbl="parChTrans1D3" presStyleIdx="0" presStyleCnt="3"/>
      <dgm:spPr/>
    </dgm:pt>
    <dgm:pt modelId="{A3C3F7A6-D65A-4F2C-8FC6-47F0249063EB}" type="pres">
      <dgm:prSet presAssocID="{9011FF04-569D-44AB-8C2A-D76DB301480B}" presName="root2" presStyleCnt="0"/>
      <dgm:spPr/>
    </dgm:pt>
    <dgm:pt modelId="{7D226F07-8FD6-4821-B1E7-8243C9E3F316}" type="pres">
      <dgm:prSet presAssocID="{9011FF04-569D-44AB-8C2A-D76DB301480B}" presName="LevelTwoTextNode" presStyleLbl="node3" presStyleIdx="0" presStyleCnt="3" custScaleX="131591" custScaleY="85184" custLinFactY="100000" custLinFactNeighborX="3087" custLinFactNeighborY="114314">
        <dgm:presLayoutVars>
          <dgm:chPref val="3"/>
        </dgm:presLayoutVars>
      </dgm:prSet>
      <dgm:spPr/>
    </dgm:pt>
    <dgm:pt modelId="{01646191-2BA3-4DD7-B803-FD020EB0E929}" type="pres">
      <dgm:prSet presAssocID="{9011FF04-569D-44AB-8C2A-D76DB301480B}" presName="level3hierChild" presStyleCnt="0"/>
      <dgm:spPr/>
    </dgm:pt>
    <dgm:pt modelId="{9D7E69FF-B5DE-4086-8CBD-FB4C2E6B013E}" type="pres">
      <dgm:prSet presAssocID="{D62997F3-45A5-451B-8A99-5F36E4E7A59B}" presName="conn2-1" presStyleLbl="parChTrans1D3" presStyleIdx="1" presStyleCnt="3"/>
      <dgm:spPr/>
    </dgm:pt>
    <dgm:pt modelId="{65ED3772-E05C-44C9-B6A4-AFAFCAA38C35}" type="pres">
      <dgm:prSet presAssocID="{D62997F3-45A5-451B-8A99-5F36E4E7A59B}" presName="connTx" presStyleLbl="parChTrans1D3" presStyleIdx="1" presStyleCnt="3"/>
      <dgm:spPr/>
    </dgm:pt>
    <dgm:pt modelId="{4A95C0A2-06C6-48A7-93E6-C27C01856582}" type="pres">
      <dgm:prSet presAssocID="{820C7A00-E0EF-40C2-BB99-9FCA5688571E}" presName="root2" presStyleCnt="0"/>
      <dgm:spPr/>
    </dgm:pt>
    <dgm:pt modelId="{4951D979-3342-45A8-AEA0-19819DCBD193}" type="pres">
      <dgm:prSet presAssocID="{820C7A00-E0EF-40C2-BB99-9FCA5688571E}" presName="LevelTwoTextNode" presStyleLbl="node3" presStyleIdx="1" presStyleCnt="3" custScaleX="134251" custScaleY="93679" custLinFactNeighborX="0" custLinFactNeighborY="-91074">
        <dgm:presLayoutVars>
          <dgm:chPref val="3"/>
        </dgm:presLayoutVars>
      </dgm:prSet>
      <dgm:spPr/>
    </dgm:pt>
    <dgm:pt modelId="{47BB7B36-E022-43B3-AAE4-4CCDC0D43271}" type="pres">
      <dgm:prSet presAssocID="{820C7A00-E0EF-40C2-BB99-9FCA5688571E}" presName="level3hierChild" presStyleCnt="0"/>
      <dgm:spPr/>
    </dgm:pt>
    <dgm:pt modelId="{B416D91A-D40B-4D35-98F1-C7941C350F3B}" type="pres">
      <dgm:prSet presAssocID="{D7A0A43B-BF66-400C-83CC-2FEB8239A4C5}" presName="conn2-1" presStyleLbl="parChTrans1D3" presStyleIdx="2" presStyleCnt="3"/>
      <dgm:spPr/>
    </dgm:pt>
    <dgm:pt modelId="{5AAA3D2D-CA75-4848-A296-E622CF584126}" type="pres">
      <dgm:prSet presAssocID="{D7A0A43B-BF66-400C-83CC-2FEB8239A4C5}" presName="connTx" presStyleLbl="parChTrans1D3" presStyleIdx="2" presStyleCnt="3"/>
      <dgm:spPr/>
    </dgm:pt>
    <dgm:pt modelId="{7DF7D51B-E13C-4DB3-976F-FC692C1B5544}" type="pres">
      <dgm:prSet presAssocID="{F299BC8C-9828-4356-BC78-12B9AFC1D66E}" presName="root2" presStyleCnt="0"/>
      <dgm:spPr/>
    </dgm:pt>
    <dgm:pt modelId="{782AE3F3-055D-42EB-B968-77F99A0D1C38}" type="pres">
      <dgm:prSet presAssocID="{F299BC8C-9828-4356-BC78-12B9AFC1D66E}" presName="LevelTwoTextNode" presStyleLbl="node3" presStyleIdx="2" presStyleCnt="3" custScaleX="135595" custScaleY="89933" custLinFactNeighborX="259" custLinFactNeighborY="-94925">
        <dgm:presLayoutVars>
          <dgm:chPref val="3"/>
        </dgm:presLayoutVars>
      </dgm:prSet>
      <dgm:spPr/>
    </dgm:pt>
    <dgm:pt modelId="{70C4B77D-439E-4421-9785-2C9A1322697F}" type="pres">
      <dgm:prSet presAssocID="{F299BC8C-9828-4356-BC78-12B9AFC1D66E}" presName="level3hierChild" presStyleCnt="0"/>
      <dgm:spPr/>
    </dgm:pt>
    <dgm:pt modelId="{5521AF68-F0ED-4443-B50E-3B272A40681D}" type="pres">
      <dgm:prSet presAssocID="{554B191A-2B13-42A1-9E9E-48D5E526F1A5}" presName="conn2-1" presStyleLbl="parChTrans1D2" presStyleIdx="1" presStyleCnt="2"/>
      <dgm:spPr/>
    </dgm:pt>
    <dgm:pt modelId="{DCA2BD09-4D8C-4F9A-B0F6-B9D129FD04CB}" type="pres">
      <dgm:prSet presAssocID="{554B191A-2B13-42A1-9E9E-48D5E526F1A5}" presName="connTx" presStyleLbl="parChTrans1D2" presStyleIdx="1" presStyleCnt="2"/>
      <dgm:spPr/>
    </dgm:pt>
    <dgm:pt modelId="{184E9D07-04A0-4BFE-B404-CEF5EDADA665}" type="pres">
      <dgm:prSet presAssocID="{86AD9573-1124-4682-AF48-DF70018632E2}" presName="root2" presStyleCnt="0"/>
      <dgm:spPr/>
    </dgm:pt>
    <dgm:pt modelId="{3303FFD8-9097-4C9C-A8D0-6C99DD46D79D}" type="pres">
      <dgm:prSet presAssocID="{86AD9573-1124-4682-AF48-DF70018632E2}" presName="LevelTwoTextNode" presStyleLbl="node2" presStyleIdx="1" presStyleCnt="2" custLinFactNeighborX="-1999" custLinFactNeighborY="12070">
        <dgm:presLayoutVars>
          <dgm:chPref val="3"/>
        </dgm:presLayoutVars>
      </dgm:prSet>
      <dgm:spPr/>
    </dgm:pt>
    <dgm:pt modelId="{A75DFA9D-988D-46F2-B951-2AE44C522F9F}" type="pres">
      <dgm:prSet presAssocID="{86AD9573-1124-4682-AF48-DF70018632E2}" presName="level3hierChild" presStyleCnt="0"/>
      <dgm:spPr/>
    </dgm:pt>
  </dgm:ptLst>
  <dgm:cxnLst>
    <dgm:cxn modelId="{A0FBE408-EEB3-4F9B-BC06-1FF5AEE020A6}" type="presOf" srcId="{F172D6E6-41EB-4631-AABC-2108923D26B2}" destId="{4276DBD5-AC53-4982-B31C-CF7945E77F14}" srcOrd="1" destOrd="0" presId="urn:microsoft.com/office/officeart/2005/8/layout/hierarchy2"/>
    <dgm:cxn modelId="{D0249911-716F-4CCD-8F16-A7B46422C563}" type="presOf" srcId="{F299BC8C-9828-4356-BC78-12B9AFC1D66E}" destId="{782AE3F3-055D-42EB-B968-77F99A0D1C38}" srcOrd="0" destOrd="0" presId="urn:microsoft.com/office/officeart/2005/8/layout/hierarchy2"/>
    <dgm:cxn modelId="{4EF8EF29-5C54-4C9E-A8B2-5C127925EE96}" type="presOf" srcId="{BD4093A0-7A68-4B15-8C51-F31870E8D9C1}" destId="{ACD372A3-03CF-47E2-8256-72DB98C75C24}" srcOrd="1" destOrd="0" presId="urn:microsoft.com/office/officeart/2005/8/layout/hierarchy2"/>
    <dgm:cxn modelId="{6C039C2C-27C6-4730-AA65-1629B8C077CC}" type="presOf" srcId="{D62997F3-45A5-451B-8A99-5F36E4E7A59B}" destId="{65ED3772-E05C-44C9-B6A4-AFAFCAA38C35}" srcOrd="1" destOrd="0" presId="urn:microsoft.com/office/officeart/2005/8/layout/hierarchy2"/>
    <dgm:cxn modelId="{0B68312E-D2D2-4E09-96BB-5C79378532E7}" srcId="{35E5D065-231B-4DDC-8640-988087FBF5F3}" destId="{9011FF04-569D-44AB-8C2A-D76DB301480B}" srcOrd="0" destOrd="0" parTransId="{F172D6E6-41EB-4631-AABC-2108923D26B2}" sibTransId="{0E9D804F-3993-4D47-9C1A-E9D2A2C26EF7}"/>
    <dgm:cxn modelId="{8A862630-9272-4E4B-A4D7-00EE318F1183}" type="presOf" srcId="{554B191A-2B13-42A1-9E9E-48D5E526F1A5}" destId="{5521AF68-F0ED-4443-B50E-3B272A40681D}" srcOrd="0" destOrd="0" presId="urn:microsoft.com/office/officeart/2005/8/layout/hierarchy2"/>
    <dgm:cxn modelId="{C4632D40-5859-4C0A-85FA-6B27702FE2E1}" type="presOf" srcId="{820C7A00-E0EF-40C2-BB99-9FCA5688571E}" destId="{4951D979-3342-45A8-AEA0-19819DCBD193}" srcOrd="0" destOrd="0" presId="urn:microsoft.com/office/officeart/2005/8/layout/hierarchy2"/>
    <dgm:cxn modelId="{9D27CA5F-493B-47EC-8F43-B0AB9D0CF8E2}" type="presOf" srcId="{BD4093A0-7A68-4B15-8C51-F31870E8D9C1}" destId="{476D2D69-45BD-4934-BD0C-4E05AF7608EB}" srcOrd="0" destOrd="0" presId="urn:microsoft.com/office/officeart/2005/8/layout/hierarchy2"/>
    <dgm:cxn modelId="{37B37F47-F259-4824-840C-AE422BFFD334}" type="presOf" srcId="{35E5D065-231B-4DDC-8640-988087FBF5F3}" destId="{996FD3EC-CDA9-4303-9B70-84662277A6D9}" srcOrd="0" destOrd="0" presId="urn:microsoft.com/office/officeart/2005/8/layout/hierarchy2"/>
    <dgm:cxn modelId="{3849AC68-F0CC-4FE3-8833-A5D89E5AC88B}" srcId="{E8D3DD09-8026-493C-936F-08D55360EF96}" destId="{0C663260-C0D8-475F-853B-083E290FD582}" srcOrd="0" destOrd="0" parTransId="{78B9EDF5-1CFC-4043-88E0-67F42761EC3E}" sibTransId="{F3A4D8FD-7951-4D9D-B635-BAF181AC39FD}"/>
    <dgm:cxn modelId="{0B253C6A-6E0B-47D9-B150-E192ADFDB202}" srcId="{0C663260-C0D8-475F-853B-083E290FD582}" destId="{86AD9573-1124-4682-AF48-DF70018632E2}" srcOrd="1" destOrd="0" parTransId="{554B191A-2B13-42A1-9E9E-48D5E526F1A5}" sibTransId="{AF4B70C2-066F-4BA3-874F-A8E4E6A795F5}"/>
    <dgm:cxn modelId="{000B6272-2D14-4BDA-A08B-C1084E37FE4F}" type="presOf" srcId="{D7A0A43B-BF66-400C-83CC-2FEB8239A4C5}" destId="{B416D91A-D40B-4D35-98F1-C7941C350F3B}" srcOrd="0" destOrd="0" presId="urn:microsoft.com/office/officeart/2005/8/layout/hierarchy2"/>
    <dgm:cxn modelId="{BC173658-7060-457A-B183-01340402F8F2}" srcId="{0C663260-C0D8-475F-853B-083E290FD582}" destId="{35E5D065-231B-4DDC-8640-988087FBF5F3}" srcOrd="0" destOrd="0" parTransId="{BD4093A0-7A68-4B15-8C51-F31870E8D9C1}" sibTransId="{4C3CC090-9B40-4943-B59B-CD678BEB3B5F}"/>
    <dgm:cxn modelId="{0AD9A481-6620-48A4-A55B-CD1070B00730}" type="presOf" srcId="{E8D3DD09-8026-493C-936F-08D55360EF96}" destId="{39B38BE6-B990-4627-9F49-6AC6DE5591A0}" srcOrd="0" destOrd="0" presId="urn:microsoft.com/office/officeart/2005/8/layout/hierarchy2"/>
    <dgm:cxn modelId="{61A50F8A-FDB2-4A12-8E66-B5FC308FB066}" srcId="{35E5D065-231B-4DDC-8640-988087FBF5F3}" destId="{820C7A00-E0EF-40C2-BB99-9FCA5688571E}" srcOrd="1" destOrd="0" parTransId="{D62997F3-45A5-451B-8A99-5F36E4E7A59B}" sibTransId="{27109CE2-6477-4441-BC21-0BFEB5E2C729}"/>
    <dgm:cxn modelId="{08DF80AE-1AEB-4475-B94A-B0FDECFED9E3}" type="presOf" srcId="{86AD9573-1124-4682-AF48-DF70018632E2}" destId="{3303FFD8-9097-4C9C-A8D0-6C99DD46D79D}" srcOrd="0" destOrd="0" presId="urn:microsoft.com/office/officeart/2005/8/layout/hierarchy2"/>
    <dgm:cxn modelId="{7F464DB9-CF4B-4624-BE90-47A166FE0F8A}" type="presOf" srcId="{0C663260-C0D8-475F-853B-083E290FD582}" destId="{E7A939E1-9159-46CE-8167-7CEB882FB7AF}" srcOrd="0" destOrd="0" presId="urn:microsoft.com/office/officeart/2005/8/layout/hierarchy2"/>
    <dgm:cxn modelId="{E89836D9-8EA7-4312-8DDA-DEFA493FD56C}" type="presOf" srcId="{9011FF04-569D-44AB-8C2A-D76DB301480B}" destId="{7D226F07-8FD6-4821-B1E7-8243C9E3F316}" srcOrd="0" destOrd="0" presId="urn:microsoft.com/office/officeart/2005/8/layout/hierarchy2"/>
    <dgm:cxn modelId="{40BFE5D9-A9F4-488D-8C3C-96143AB4A844}" type="presOf" srcId="{F172D6E6-41EB-4631-AABC-2108923D26B2}" destId="{F2E66D0E-6A6A-47C9-9EA3-473D9E21CC6D}" srcOrd="0" destOrd="0" presId="urn:microsoft.com/office/officeart/2005/8/layout/hierarchy2"/>
    <dgm:cxn modelId="{CE6763E0-697D-422E-AB88-79D8F944AA6B}" srcId="{35E5D065-231B-4DDC-8640-988087FBF5F3}" destId="{F299BC8C-9828-4356-BC78-12B9AFC1D66E}" srcOrd="2" destOrd="0" parTransId="{D7A0A43B-BF66-400C-83CC-2FEB8239A4C5}" sibTransId="{6A5563C9-F91C-4545-B3DC-024E2D274F5D}"/>
    <dgm:cxn modelId="{A76C36E3-F37D-4AE7-A3B5-4C6BE8BD58E8}" type="presOf" srcId="{D62997F3-45A5-451B-8A99-5F36E4E7A59B}" destId="{9D7E69FF-B5DE-4086-8CBD-FB4C2E6B013E}" srcOrd="0" destOrd="0" presId="urn:microsoft.com/office/officeart/2005/8/layout/hierarchy2"/>
    <dgm:cxn modelId="{EF1A04F2-972B-4D15-A51D-D45B6DE9B959}" type="presOf" srcId="{D7A0A43B-BF66-400C-83CC-2FEB8239A4C5}" destId="{5AAA3D2D-CA75-4848-A296-E622CF584126}" srcOrd="1" destOrd="0" presId="urn:microsoft.com/office/officeart/2005/8/layout/hierarchy2"/>
    <dgm:cxn modelId="{DA71B1F2-46BA-4837-AC98-103D86C648EA}" type="presOf" srcId="{554B191A-2B13-42A1-9E9E-48D5E526F1A5}" destId="{DCA2BD09-4D8C-4F9A-B0F6-B9D129FD04CB}" srcOrd="1" destOrd="0" presId="urn:microsoft.com/office/officeart/2005/8/layout/hierarchy2"/>
    <dgm:cxn modelId="{0ABCE2A6-410F-4833-AC40-6568ADCBFAE9}" type="presParOf" srcId="{39B38BE6-B990-4627-9F49-6AC6DE5591A0}" destId="{20E05BD4-A1DE-463F-BBE1-3D18F982665E}" srcOrd="0" destOrd="0" presId="urn:microsoft.com/office/officeart/2005/8/layout/hierarchy2"/>
    <dgm:cxn modelId="{E8856FE3-E88E-40B2-B508-FCAE816EF130}" type="presParOf" srcId="{20E05BD4-A1DE-463F-BBE1-3D18F982665E}" destId="{E7A939E1-9159-46CE-8167-7CEB882FB7AF}" srcOrd="0" destOrd="0" presId="urn:microsoft.com/office/officeart/2005/8/layout/hierarchy2"/>
    <dgm:cxn modelId="{68E25299-F9D0-44EA-BED1-AB9F43C2F5C9}" type="presParOf" srcId="{20E05BD4-A1DE-463F-BBE1-3D18F982665E}" destId="{93F5865E-2CCE-4493-8E22-E6F7AC49B848}" srcOrd="1" destOrd="0" presId="urn:microsoft.com/office/officeart/2005/8/layout/hierarchy2"/>
    <dgm:cxn modelId="{81E8E9DF-D941-4ED3-A94E-44749ECCF828}" type="presParOf" srcId="{93F5865E-2CCE-4493-8E22-E6F7AC49B848}" destId="{476D2D69-45BD-4934-BD0C-4E05AF7608EB}" srcOrd="0" destOrd="0" presId="urn:microsoft.com/office/officeart/2005/8/layout/hierarchy2"/>
    <dgm:cxn modelId="{FF71D121-6E9C-4728-960D-C03231AB458E}" type="presParOf" srcId="{476D2D69-45BD-4934-BD0C-4E05AF7608EB}" destId="{ACD372A3-03CF-47E2-8256-72DB98C75C24}" srcOrd="0" destOrd="0" presId="urn:microsoft.com/office/officeart/2005/8/layout/hierarchy2"/>
    <dgm:cxn modelId="{590073F2-1B65-465B-91AE-999F2BB583BA}" type="presParOf" srcId="{93F5865E-2CCE-4493-8E22-E6F7AC49B848}" destId="{1550CD1A-DB3E-4D45-A01A-E351BD662F13}" srcOrd="1" destOrd="0" presId="urn:microsoft.com/office/officeart/2005/8/layout/hierarchy2"/>
    <dgm:cxn modelId="{6FFE01BB-4CE9-4D7B-B757-31A925D41E0E}" type="presParOf" srcId="{1550CD1A-DB3E-4D45-A01A-E351BD662F13}" destId="{996FD3EC-CDA9-4303-9B70-84662277A6D9}" srcOrd="0" destOrd="0" presId="urn:microsoft.com/office/officeart/2005/8/layout/hierarchy2"/>
    <dgm:cxn modelId="{9A599727-0C65-42E2-AFED-1AB011CF830A}" type="presParOf" srcId="{1550CD1A-DB3E-4D45-A01A-E351BD662F13}" destId="{79C6FF81-F635-4410-AEB6-5117F9B5FD0D}" srcOrd="1" destOrd="0" presId="urn:microsoft.com/office/officeart/2005/8/layout/hierarchy2"/>
    <dgm:cxn modelId="{05EA5355-632C-4908-A5FC-07FF7ABFE6E3}" type="presParOf" srcId="{79C6FF81-F635-4410-AEB6-5117F9B5FD0D}" destId="{F2E66D0E-6A6A-47C9-9EA3-473D9E21CC6D}" srcOrd="0" destOrd="0" presId="urn:microsoft.com/office/officeart/2005/8/layout/hierarchy2"/>
    <dgm:cxn modelId="{E8A578B4-03E7-46A3-88FD-80904D8D5032}" type="presParOf" srcId="{F2E66D0E-6A6A-47C9-9EA3-473D9E21CC6D}" destId="{4276DBD5-AC53-4982-B31C-CF7945E77F14}" srcOrd="0" destOrd="0" presId="urn:microsoft.com/office/officeart/2005/8/layout/hierarchy2"/>
    <dgm:cxn modelId="{6EF53F9D-9259-4B9E-B50F-609BD91431EF}" type="presParOf" srcId="{79C6FF81-F635-4410-AEB6-5117F9B5FD0D}" destId="{A3C3F7A6-D65A-4F2C-8FC6-47F0249063EB}" srcOrd="1" destOrd="0" presId="urn:microsoft.com/office/officeart/2005/8/layout/hierarchy2"/>
    <dgm:cxn modelId="{DD940485-C30F-4BBC-B559-1D9E8EFB9B5C}" type="presParOf" srcId="{A3C3F7A6-D65A-4F2C-8FC6-47F0249063EB}" destId="{7D226F07-8FD6-4821-B1E7-8243C9E3F316}" srcOrd="0" destOrd="0" presId="urn:microsoft.com/office/officeart/2005/8/layout/hierarchy2"/>
    <dgm:cxn modelId="{EAA6F879-68D3-4899-8B56-AD6A7AA3C7C7}" type="presParOf" srcId="{A3C3F7A6-D65A-4F2C-8FC6-47F0249063EB}" destId="{01646191-2BA3-4DD7-B803-FD020EB0E929}" srcOrd="1" destOrd="0" presId="urn:microsoft.com/office/officeart/2005/8/layout/hierarchy2"/>
    <dgm:cxn modelId="{52A2787F-B263-4516-869C-54A09565AA6A}" type="presParOf" srcId="{79C6FF81-F635-4410-AEB6-5117F9B5FD0D}" destId="{9D7E69FF-B5DE-4086-8CBD-FB4C2E6B013E}" srcOrd="2" destOrd="0" presId="urn:microsoft.com/office/officeart/2005/8/layout/hierarchy2"/>
    <dgm:cxn modelId="{6F1DA3DF-9723-4732-8491-4FB758F10490}" type="presParOf" srcId="{9D7E69FF-B5DE-4086-8CBD-FB4C2E6B013E}" destId="{65ED3772-E05C-44C9-B6A4-AFAFCAA38C35}" srcOrd="0" destOrd="0" presId="urn:microsoft.com/office/officeart/2005/8/layout/hierarchy2"/>
    <dgm:cxn modelId="{23D3C8E2-2D7E-4CB6-BE98-8A9397D67AD2}" type="presParOf" srcId="{79C6FF81-F635-4410-AEB6-5117F9B5FD0D}" destId="{4A95C0A2-06C6-48A7-93E6-C27C01856582}" srcOrd="3" destOrd="0" presId="urn:microsoft.com/office/officeart/2005/8/layout/hierarchy2"/>
    <dgm:cxn modelId="{CAD08A40-AB09-42FF-B4A4-5934CBBAFDB1}" type="presParOf" srcId="{4A95C0A2-06C6-48A7-93E6-C27C01856582}" destId="{4951D979-3342-45A8-AEA0-19819DCBD193}" srcOrd="0" destOrd="0" presId="urn:microsoft.com/office/officeart/2005/8/layout/hierarchy2"/>
    <dgm:cxn modelId="{FDAAB213-7FDB-46D2-B0C5-1717B04B9B27}" type="presParOf" srcId="{4A95C0A2-06C6-48A7-93E6-C27C01856582}" destId="{47BB7B36-E022-43B3-AAE4-4CCDC0D43271}" srcOrd="1" destOrd="0" presId="urn:microsoft.com/office/officeart/2005/8/layout/hierarchy2"/>
    <dgm:cxn modelId="{BEF09115-949D-4C6F-BE93-B65566B86E71}" type="presParOf" srcId="{79C6FF81-F635-4410-AEB6-5117F9B5FD0D}" destId="{B416D91A-D40B-4D35-98F1-C7941C350F3B}" srcOrd="4" destOrd="0" presId="urn:microsoft.com/office/officeart/2005/8/layout/hierarchy2"/>
    <dgm:cxn modelId="{AF1BE72C-9A71-4939-9D87-643CF417D1A2}" type="presParOf" srcId="{B416D91A-D40B-4D35-98F1-C7941C350F3B}" destId="{5AAA3D2D-CA75-4848-A296-E622CF584126}" srcOrd="0" destOrd="0" presId="urn:microsoft.com/office/officeart/2005/8/layout/hierarchy2"/>
    <dgm:cxn modelId="{40930EB1-5C65-45EB-87AA-41F6A4193684}" type="presParOf" srcId="{79C6FF81-F635-4410-AEB6-5117F9B5FD0D}" destId="{7DF7D51B-E13C-4DB3-976F-FC692C1B5544}" srcOrd="5" destOrd="0" presId="urn:microsoft.com/office/officeart/2005/8/layout/hierarchy2"/>
    <dgm:cxn modelId="{5CB4FCE0-6C49-4503-8948-D1DD88B7E8AD}" type="presParOf" srcId="{7DF7D51B-E13C-4DB3-976F-FC692C1B5544}" destId="{782AE3F3-055D-42EB-B968-77F99A0D1C38}" srcOrd="0" destOrd="0" presId="urn:microsoft.com/office/officeart/2005/8/layout/hierarchy2"/>
    <dgm:cxn modelId="{4E2958F4-C564-4902-B43D-14D7ED3FAE0C}" type="presParOf" srcId="{7DF7D51B-E13C-4DB3-976F-FC692C1B5544}" destId="{70C4B77D-439E-4421-9785-2C9A1322697F}" srcOrd="1" destOrd="0" presId="urn:microsoft.com/office/officeart/2005/8/layout/hierarchy2"/>
    <dgm:cxn modelId="{F316412B-3C27-4FD3-BC08-59320DDD35CD}" type="presParOf" srcId="{93F5865E-2CCE-4493-8E22-E6F7AC49B848}" destId="{5521AF68-F0ED-4443-B50E-3B272A40681D}" srcOrd="2" destOrd="0" presId="urn:microsoft.com/office/officeart/2005/8/layout/hierarchy2"/>
    <dgm:cxn modelId="{1C903A34-7192-4126-8753-FD4BD374A2FB}" type="presParOf" srcId="{5521AF68-F0ED-4443-B50E-3B272A40681D}" destId="{DCA2BD09-4D8C-4F9A-B0F6-B9D129FD04CB}" srcOrd="0" destOrd="0" presId="urn:microsoft.com/office/officeart/2005/8/layout/hierarchy2"/>
    <dgm:cxn modelId="{0D6B4D83-AECE-49FA-ADC7-13A3B5D1DF28}" type="presParOf" srcId="{93F5865E-2CCE-4493-8E22-E6F7AC49B848}" destId="{184E9D07-04A0-4BFE-B404-CEF5EDADA665}" srcOrd="3" destOrd="0" presId="urn:microsoft.com/office/officeart/2005/8/layout/hierarchy2"/>
    <dgm:cxn modelId="{52B3265E-6583-401A-907E-E6167CACE5CE}" type="presParOf" srcId="{184E9D07-04A0-4BFE-B404-CEF5EDADA665}" destId="{3303FFD8-9097-4C9C-A8D0-6C99DD46D79D}" srcOrd="0" destOrd="0" presId="urn:microsoft.com/office/officeart/2005/8/layout/hierarchy2"/>
    <dgm:cxn modelId="{3A578AB3-9219-428B-B0AF-5E14BFEF6BA4}" type="presParOf" srcId="{184E9D07-04A0-4BFE-B404-CEF5EDADA665}" destId="{A75DFA9D-988D-46F2-B951-2AE44C522F9F}" srcOrd="1" destOrd="0" presId="urn:microsoft.com/office/officeart/2005/8/layout/hierarchy2"/>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A939E1-9159-46CE-8167-7CEB882FB7AF}">
      <dsp:nvSpPr>
        <dsp:cNvPr id="0" name=""/>
        <dsp:cNvSpPr/>
      </dsp:nvSpPr>
      <dsp:spPr>
        <a:xfrm>
          <a:off x="477126" y="676990"/>
          <a:ext cx="1214249" cy="1013299"/>
        </a:xfrm>
        <a:prstGeom prst="roundRect">
          <a:avLst>
            <a:gd name="adj" fmla="val 10000"/>
          </a:avLst>
        </a:prstGeom>
        <a:solidFill>
          <a:schemeClr val="lt1">
            <a:hueOff val="0"/>
            <a:satOff val="0"/>
            <a:lum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lv-LV" sz="1000" b="1" kern="1200">
              <a:latin typeface="Times New Roman" panose="02020603050405020304" pitchFamily="18" charset="0"/>
              <a:cs typeface="Times New Roman" panose="02020603050405020304" pitchFamily="18" charset="0"/>
            </a:rPr>
            <a:t>106</a:t>
          </a:r>
          <a:r>
            <a:rPr lang="lv-LV" sz="1000" b="1" kern="1200">
              <a:highlight>
                <a:srgbClr val="FF0000"/>
              </a:highlight>
              <a:latin typeface="Times New Roman" panose="02020603050405020304" pitchFamily="18" charset="0"/>
              <a:cs typeface="Times New Roman" panose="02020603050405020304" pitchFamily="18" charset="0"/>
            </a:rPr>
            <a:t> </a:t>
          </a:r>
        </a:p>
        <a:p>
          <a:pPr marL="0" lvl="0" indent="0" algn="ctr" defTabSz="444500">
            <a:lnSpc>
              <a:spcPct val="100000"/>
            </a:lnSpc>
            <a:spcBef>
              <a:spcPct val="0"/>
            </a:spcBef>
            <a:spcAft>
              <a:spcPts val="0"/>
            </a:spcAft>
            <a:buNone/>
          </a:pPr>
          <a:r>
            <a:rPr lang="lv-LV" sz="1000" kern="1200">
              <a:latin typeface="Times New Roman" panose="02020603050405020304" pitchFamily="18" charset="0"/>
              <a:cs typeface="Times New Roman" panose="02020603050405020304" pitchFamily="18" charset="0"/>
            </a:rPr>
            <a:t>ēku atjaunošana</a:t>
          </a:r>
        </a:p>
        <a:p>
          <a:pPr marL="0" lvl="0" indent="0" algn="ctr" defTabSz="444500">
            <a:lnSpc>
              <a:spcPct val="100000"/>
            </a:lnSpc>
            <a:spcBef>
              <a:spcPct val="0"/>
            </a:spcBef>
            <a:spcAft>
              <a:spcPts val="0"/>
            </a:spcAft>
            <a:buNone/>
          </a:pPr>
          <a:r>
            <a:rPr lang="lv-LV" sz="1000" b="0" kern="1200">
              <a:latin typeface="Times New Roman" panose="02020603050405020304" pitchFamily="18" charset="0"/>
              <a:cs typeface="Times New Roman" panose="02020603050405020304" pitchFamily="18" charset="0"/>
            </a:rPr>
            <a:t>(75 154 881 </a:t>
          </a:r>
          <a:r>
            <a:rPr lang="lv-LV" sz="1000" b="0" i="1" kern="1200">
              <a:latin typeface="Times New Roman" panose="02020603050405020304" pitchFamily="18" charset="0"/>
              <a:cs typeface="Times New Roman" panose="02020603050405020304" pitchFamily="18" charset="0"/>
            </a:rPr>
            <a:t>euro</a:t>
          </a:r>
          <a:r>
            <a:rPr lang="lv-LV" sz="1000" b="0" kern="1200">
              <a:latin typeface="Times New Roman" panose="02020603050405020304" pitchFamily="18" charset="0"/>
              <a:cs typeface="Times New Roman" panose="02020603050405020304" pitchFamily="18" charset="0"/>
            </a:rPr>
            <a:t>)</a:t>
          </a:r>
        </a:p>
      </dsp:txBody>
      <dsp:txXfrm>
        <a:off x="506805" y="706669"/>
        <a:ext cx="1154891" cy="953941"/>
      </dsp:txXfrm>
    </dsp:sp>
    <dsp:sp modelId="{476D2D69-45BD-4934-BD0C-4E05AF7608EB}">
      <dsp:nvSpPr>
        <dsp:cNvPr id="0" name=""/>
        <dsp:cNvSpPr/>
      </dsp:nvSpPr>
      <dsp:spPr>
        <a:xfrm>
          <a:off x="1691376" y="1164542"/>
          <a:ext cx="401859" cy="38195"/>
        </a:xfrm>
        <a:custGeom>
          <a:avLst/>
          <a:gdLst/>
          <a:ahLst/>
          <a:cxnLst/>
          <a:rect l="0" t="0" r="0" b="0"/>
          <a:pathLst>
            <a:path>
              <a:moveTo>
                <a:pt x="0" y="19097"/>
              </a:moveTo>
              <a:lnTo>
                <a:pt x="401859" y="19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882259" y="1173593"/>
        <a:ext cx="20092" cy="20092"/>
      </dsp:txXfrm>
    </dsp:sp>
    <dsp:sp modelId="{996FD3EC-CDA9-4303-9B70-84662277A6D9}">
      <dsp:nvSpPr>
        <dsp:cNvPr id="0" name=""/>
        <dsp:cNvSpPr/>
      </dsp:nvSpPr>
      <dsp:spPr>
        <a:xfrm>
          <a:off x="2093236" y="796247"/>
          <a:ext cx="1301131" cy="77478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latin typeface="Times New Roman" panose="02020603050405020304" pitchFamily="18" charset="0"/>
              <a:cs typeface="Times New Roman" panose="02020603050405020304" pitchFamily="18" charset="0"/>
            </a:rPr>
            <a:t>106 iesniegti </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projektu iesniegumi</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(71 265 930,41 </a:t>
          </a:r>
          <a:r>
            <a:rPr lang="lv-LV" sz="1100" i="1" kern="1200">
              <a:latin typeface="Times New Roman" panose="02020603050405020304" pitchFamily="18" charset="0"/>
              <a:cs typeface="Times New Roman" panose="02020603050405020304" pitchFamily="18" charset="0"/>
            </a:rPr>
            <a:t>euro</a:t>
          </a:r>
          <a:r>
            <a:rPr lang="lv-LV" sz="1100" kern="1200"/>
            <a:t>)</a:t>
          </a:r>
          <a:endParaRPr lang="lv-LV" sz="1100" kern="1200">
            <a:latin typeface="Times New Roman" panose="02020603050405020304" pitchFamily="18" charset="0"/>
            <a:cs typeface="Times New Roman" panose="02020603050405020304" pitchFamily="18" charset="0"/>
          </a:endParaRPr>
        </a:p>
      </dsp:txBody>
      <dsp:txXfrm>
        <a:off x="2115929" y="818940"/>
        <a:ext cx="1255745" cy="729399"/>
      </dsp:txXfrm>
    </dsp:sp>
    <dsp:sp modelId="{F2E66D0E-6A6A-47C9-9EA3-473D9E21CC6D}">
      <dsp:nvSpPr>
        <dsp:cNvPr id="0" name=""/>
        <dsp:cNvSpPr/>
      </dsp:nvSpPr>
      <dsp:spPr>
        <a:xfrm rot="3530101">
          <a:off x="3170115" y="1562241"/>
          <a:ext cx="929550" cy="38195"/>
        </a:xfrm>
        <a:custGeom>
          <a:avLst/>
          <a:gdLst/>
          <a:ahLst/>
          <a:cxnLst/>
          <a:rect l="0" t="0" r="0" b="0"/>
          <a:pathLst>
            <a:path>
              <a:moveTo>
                <a:pt x="0" y="19097"/>
              </a:moveTo>
              <a:lnTo>
                <a:pt x="929550" y="190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611652" y="1558100"/>
        <a:ext cx="46477" cy="46477"/>
      </dsp:txXfrm>
    </dsp:sp>
    <dsp:sp modelId="{7D226F07-8FD6-4821-B1E7-8243C9E3F316}">
      <dsp:nvSpPr>
        <dsp:cNvPr id="0" name=""/>
        <dsp:cNvSpPr/>
      </dsp:nvSpPr>
      <dsp:spPr>
        <a:xfrm>
          <a:off x="3875414" y="1619251"/>
          <a:ext cx="1482099" cy="71957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28</a:t>
          </a:r>
        </a:p>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pabeigti</a:t>
          </a:r>
        </a:p>
        <a:p>
          <a:pPr marL="0" lvl="0" indent="0" algn="ctr" defTabSz="488950">
            <a:lnSpc>
              <a:spcPct val="90000"/>
            </a:lnSpc>
            <a:spcBef>
              <a:spcPct val="0"/>
            </a:spcBef>
            <a:spcAft>
              <a:spcPct val="35000"/>
            </a:spcAft>
            <a:buNone/>
          </a:pPr>
          <a:r>
            <a:rPr lang="lv-LV" sz="1100" b="0" kern="1200">
              <a:solidFill>
                <a:sysClr val="windowText" lastClr="000000"/>
              </a:solidFill>
              <a:latin typeface="Times New Roman" panose="02020603050405020304" pitchFamily="18" charset="0"/>
              <a:cs typeface="Times New Roman" panose="02020603050405020304" pitchFamily="18" charset="0"/>
            </a:rPr>
            <a:t>(</a:t>
          </a:r>
          <a:r>
            <a:rPr lang="lv-LV" sz="1100" kern="1200">
              <a:solidFill>
                <a:sysClr val="windowText" lastClr="000000"/>
              </a:solidFill>
              <a:latin typeface="Times New Roman" panose="02020603050405020304" pitchFamily="18" charset="0"/>
              <a:cs typeface="Times New Roman" panose="02020603050405020304" pitchFamily="18" charset="0"/>
            </a:rPr>
            <a:t>13 254 436,61 </a:t>
          </a:r>
          <a:r>
            <a:rPr lang="lv-LV" sz="1100" i="1" kern="1200">
              <a:solidFill>
                <a:sysClr val="windowText" lastClr="000000"/>
              </a:solidFill>
              <a:latin typeface="Times New Roman" panose="02020603050405020304" pitchFamily="18" charset="0"/>
              <a:cs typeface="Times New Roman" panose="02020603050405020304" pitchFamily="18" charset="0"/>
            </a:rPr>
            <a:t>euro</a:t>
          </a:r>
          <a:r>
            <a:rPr lang="lv-LV" sz="1100" kern="1200">
              <a:solidFill>
                <a:sysClr val="windowText" lastClr="000000"/>
              </a:solidFill>
              <a:latin typeface="Times New Roman" panose="02020603050405020304" pitchFamily="18" charset="0"/>
              <a:cs typeface="Times New Roman" panose="02020603050405020304" pitchFamily="18" charset="0"/>
            </a:rPr>
            <a:t>)</a:t>
          </a:r>
        </a:p>
      </dsp:txBody>
      <dsp:txXfrm>
        <a:off x="3896490" y="1640327"/>
        <a:ext cx="1439947" cy="677423"/>
      </dsp:txXfrm>
    </dsp:sp>
    <dsp:sp modelId="{9D7E69FF-B5DE-4086-8CBD-FB4C2E6B013E}">
      <dsp:nvSpPr>
        <dsp:cNvPr id="0" name=""/>
        <dsp:cNvSpPr/>
      </dsp:nvSpPr>
      <dsp:spPr>
        <a:xfrm rot="17849099">
          <a:off x="3148816" y="760005"/>
          <a:ext cx="912011" cy="38195"/>
        </a:xfrm>
        <a:custGeom>
          <a:avLst/>
          <a:gdLst/>
          <a:ahLst/>
          <a:cxnLst/>
          <a:rect l="0" t="0" r="0" b="0"/>
          <a:pathLst>
            <a:path>
              <a:moveTo>
                <a:pt x="0" y="19097"/>
              </a:moveTo>
              <a:lnTo>
                <a:pt x="912011" y="190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582021" y="756302"/>
        <a:ext cx="45600" cy="45600"/>
      </dsp:txXfrm>
    </dsp:sp>
    <dsp:sp modelId="{4951D979-3342-45A8-AEA0-19819DCBD193}">
      <dsp:nvSpPr>
        <dsp:cNvPr id="0" name=""/>
        <dsp:cNvSpPr/>
      </dsp:nvSpPr>
      <dsp:spPr>
        <a:xfrm>
          <a:off x="3815275" y="47627"/>
          <a:ext cx="1587748" cy="65387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cs typeface="Times New Roman" panose="02020603050405020304" pitchFamily="18" charset="0"/>
            </a:rPr>
            <a:t>14 </a:t>
          </a:r>
        </a:p>
        <a:p>
          <a:pPr marL="0" lvl="0" indent="0" algn="ctr"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cs typeface="Times New Roman" panose="02020603050405020304" pitchFamily="18" charset="0"/>
            </a:rPr>
            <a:t>vērtēšanā </a:t>
          </a:r>
        </a:p>
        <a:p>
          <a:pPr marL="0" lvl="0" indent="0" algn="ctr" defTabSz="444500">
            <a:lnSpc>
              <a:spcPct val="90000"/>
            </a:lnSpc>
            <a:spcBef>
              <a:spcPct val="0"/>
            </a:spcBef>
            <a:spcAft>
              <a:spcPct val="35000"/>
            </a:spcAft>
            <a:buNone/>
          </a:pPr>
          <a:r>
            <a:rPr lang="lv-LV" sz="1000" b="0" kern="1200">
              <a:solidFill>
                <a:sysClr val="windowText" lastClr="000000"/>
              </a:solidFill>
              <a:latin typeface="Times New Roman" panose="02020603050405020304" pitchFamily="18" charset="0"/>
              <a:cs typeface="Times New Roman" panose="02020603050405020304" pitchFamily="18" charset="0"/>
            </a:rPr>
            <a:t>(</a:t>
          </a:r>
          <a:r>
            <a:rPr lang="lv-LV" sz="1000" kern="1200">
              <a:solidFill>
                <a:sysClr val="windowText" lastClr="000000"/>
              </a:solidFill>
              <a:latin typeface="Times New Roman" panose="02020603050405020304" pitchFamily="18" charset="0"/>
              <a:cs typeface="Times New Roman" panose="02020603050405020304" pitchFamily="18" charset="0"/>
            </a:rPr>
            <a:t>11 011 621,04 </a:t>
          </a:r>
          <a:r>
            <a:rPr lang="lv-LV" sz="1000" i="1" kern="1200">
              <a:solidFill>
                <a:sysClr val="windowText" lastClr="000000"/>
              </a:solidFill>
              <a:latin typeface="Times New Roman" panose="02020603050405020304" pitchFamily="18" charset="0"/>
              <a:cs typeface="Times New Roman" panose="02020603050405020304" pitchFamily="18" charset="0"/>
            </a:rPr>
            <a:t>euro</a:t>
          </a:r>
          <a:r>
            <a:rPr lang="lv-LV" sz="1000" kern="1200">
              <a:solidFill>
                <a:sysClr val="windowText" lastClr="000000"/>
              </a:solidFill>
              <a:latin typeface="Times New Roman" panose="02020603050405020304" pitchFamily="18" charset="0"/>
              <a:cs typeface="Times New Roman" panose="02020603050405020304" pitchFamily="18" charset="0"/>
            </a:rPr>
            <a:t>)</a:t>
          </a:r>
          <a:endParaRPr lang="lv-LV" sz="1000" b="1" kern="1200">
            <a:solidFill>
              <a:sysClr val="windowText" lastClr="000000"/>
            </a:solidFill>
            <a:latin typeface="Times New Roman" panose="02020603050405020304" pitchFamily="18" charset="0"/>
            <a:cs typeface="Times New Roman" panose="02020603050405020304" pitchFamily="18" charset="0"/>
          </a:endParaRPr>
        </a:p>
      </dsp:txBody>
      <dsp:txXfrm>
        <a:off x="3834426" y="66778"/>
        <a:ext cx="1549446" cy="615574"/>
      </dsp:txXfrm>
    </dsp:sp>
    <dsp:sp modelId="{B416D91A-D40B-4D35-98F1-C7941C350F3B}">
      <dsp:nvSpPr>
        <dsp:cNvPr id="0" name=""/>
        <dsp:cNvSpPr/>
      </dsp:nvSpPr>
      <dsp:spPr>
        <a:xfrm rot="21295227">
          <a:off x="3393577" y="1146723"/>
          <a:ext cx="402506" cy="38195"/>
        </a:xfrm>
        <a:custGeom>
          <a:avLst/>
          <a:gdLst/>
          <a:ahLst/>
          <a:cxnLst/>
          <a:rect l="0" t="0" r="0" b="0"/>
          <a:pathLst>
            <a:path>
              <a:moveTo>
                <a:pt x="0" y="19097"/>
              </a:moveTo>
              <a:lnTo>
                <a:pt x="402506" y="190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584768" y="1155758"/>
        <a:ext cx="20125" cy="20125"/>
      </dsp:txXfrm>
    </dsp:sp>
    <dsp:sp modelId="{782AE3F3-055D-42EB-B968-77F99A0D1C38}">
      <dsp:nvSpPr>
        <dsp:cNvPr id="0" name=""/>
        <dsp:cNvSpPr/>
      </dsp:nvSpPr>
      <dsp:spPr>
        <a:xfrm>
          <a:off x="3795293" y="728825"/>
          <a:ext cx="1613095" cy="83835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64</a:t>
          </a:r>
        </a:p>
        <a:p>
          <a:pPr marL="0" lvl="0" indent="0" algn="ctr" defTabSz="488950">
            <a:lnSpc>
              <a:spcPct val="100000"/>
            </a:lnSpc>
            <a:spcBef>
              <a:spcPct val="0"/>
            </a:spcBef>
            <a:spcAft>
              <a:spcPts val="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noslēgts līgums/vienošanās</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(46 999 872,76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a:t>
          </a:r>
        </a:p>
      </dsp:txBody>
      <dsp:txXfrm>
        <a:off x="3819848" y="753380"/>
        <a:ext cx="1563985" cy="7892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A939E1-9159-46CE-8167-7CEB882FB7AF}">
      <dsp:nvSpPr>
        <dsp:cNvPr id="0" name=""/>
        <dsp:cNvSpPr/>
      </dsp:nvSpPr>
      <dsp:spPr>
        <a:xfrm>
          <a:off x="231001" y="969692"/>
          <a:ext cx="1491575" cy="617052"/>
        </a:xfrm>
        <a:prstGeom prst="roundRect">
          <a:avLst>
            <a:gd name="adj" fmla="val 10000"/>
          </a:avLst>
        </a:prstGeom>
        <a:solidFill>
          <a:schemeClr val="lt1">
            <a:hueOff val="0"/>
            <a:satOff val="0"/>
            <a:lum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latin typeface="Times New Roman" panose="02020603050405020304" pitchFamily="18" charset="0"/>
              <a:cs typeface="Times New Roman" panose="02020603050405020304" pitchFamily="18" charset="0"/>
            </a:rPr>
            <a:t>34</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plānotie projektu iesniegumi</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(34 678 028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a:t>
          </a:r>
        </a:p>
      </dsp:txBody>
      <dsp:txXfrm>
        <a:off x="249074" y="987765"/>
        <a:ext cx="1455429" cy="580906"/>
      </dsp:txXfrm>
    </dsp:sp>
    <dsp:sp modelId="{476D2D69-45BD-4934-BD0C-4E05AF7608EB}">
      <dsp:nvSpPr>
        <dsp:cNvPr id="0" name=""/>
        <dsp:cNvSpPr/>
      </dsp:nvSpPr>
      <dsp:spPr>
        <a:xfrm rot="19457599">
          <a:off x="1665437" y="1072235"/>
          <a:ext cx="607921" cy="57160"/>
        </a:xfrm>
        <a:custGeom>
          <a:avLst/>
          <a:gdLst/>
          <a:ahLst/>
          <a:cxnLst/>
          <a:rect l="0" t="0" r="0" b="0"/>
          <a:pathLst>
            <a:path>
              <a:moveTo>
                <a:pt x="0" y="28580"/>
              </a:moveTo>
              <a:lnTo>
                <a:pt x="607921" y="28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954199" y="1085618"/>
        <a:ext cx="30396" cy="30396"/>
      </dsp:txXfrm>
    </dsp:sp>
    <dsp:sp modelId="{996FD3EC-CDA9-4303-9B70-84662277A6D9}">
      <dsp:nvSpPr>
        <dsp:cNvPr id="0" name=""/>
        <dsp:cNvSpPr/>
      </dsp:nvSpPr>
      <dsp:spPr>
        <a:xfrm>
          <a:off x="2216218" y="614887"/>
          <a:ext cx="1234104" cy="61705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lv-LV" sz="1000" b="1" kern="1200">
              <a:latin typeface="Times New Roman" panose="02020603050405020304" pitchFamily="18" charset="0"/>
              <a:cs typeface="Times New Roman" panose="02020603050405020304" pitchFamily="18" charset="0"/>
            </a:rPr>
            <a:t>27</a:t>
          </a:r>
        </a:p>
        <a:p>
          <a:pPr marL="0" lvl="0" indent="0" algn="ctr" defTabSz="444500">
            <a:lnSpc>
              <a:spcPct val="100000"/>
            </a:lnSpc>
            <a:spcBef>
              <a:spcPct val="0"/>
            </a:spcBef>
            <a:spcAft>
              <a:spcPts val="0"/>
            </a:spcAft>
            <a:buNone/>
          </a:pPr>
          <a:r>
            <a:rPr lang="lv-LV" sz="1000" kern="1200">
              <a:latin typeface="Times New Roman" panose="02020603050405020304" pitchFamily="18" charset="0"/>
              <a:cs typeface="Times New Roman" panose="02020603050405020304" pitchFamily="18" charset="0"/>
            </a:rPr>
            <a:t>projektu iesniegumi</a:t>
          </a:r>
        </a:p>
        <a:p>
          <a:pPr marL="0" lvl="0" indent="0" algn="ctr" defTabSz="444500">
            <a:lnSpc>
              <a:spcPct val="100000"/>
            </a:lnSpc>
            <a:spcBef>
              <a:spcPct val="0"/>
            </a:spcBef>
            <a:spcAft>
              <a:spcPts val="0"/>
            </a:spcAft>
            <a:buNone/>
          </a:pPr>
          <a:r>
            <a:rPr lang="lv-LV" sz="1000" kern="1200">
              <a:latin typeface="Times New Roman" panose="02020603050405020304" pitchFamily="18" charset="0"/>
              <a:cs typeface="Times New Roman" panose="02020603050405020304" pitchFamily="18" charset="0"/>
            </a:rPr>
            <a:t>(29 244 089,52 </a:t>
          </a:r>
          <a:r>
            <a:rPr lang="lv-LV" sz="1000" b="0" i="1" kern="1200">
              <a:latin typeface="Times New Roman" panose="02020603050405020304" pitchFamily="18" charset="0"/>
              <a:cs typeface="Times New Roman" panose="02020603050405020304" pitchFamily="18" charset="0"/>
            </a:rPr>
            <a:t>euro</a:t>
          </a:r>
          <a:r>
            <a:rPr lang="lv-LV" sz="1000" kern="1200">
              <a:latin typeface="Times New Roman" panose="02020603050405020304" pitchFamily="18" charset="0"/>
              <a:cs typeface="Times New Roman" panose="02020603050405020304" pitchFamily="18" charset="0"/>
            </a:rPr>
            <a:t>)</a:t>
          </a:r>
        </a:p>
      </dsp:txBody>
      <dsp:txXfrm>
        <a:off x="2234291" y="632960"/>
        <a:ext cx="1197958" cy="580906"/>
      </dsp:txXfrm>
    </dsp:sp>
    <dsp:sp modelId="{F2E66D0E-6A6A-47C9-9EA3-473D9E21CC6D}">
      <dsp:nvSpPr>
        <dsp:cNvPr id="0" name=""/>
        <dsp:cNvSpPr/>
      </dsp:nvSpPr>
      <dsp:spPr>
        <a:xfrm rot="3077146">
          <a:off x="3291098" y="1226523"/>
          <a:ext cx="850187" cy="57160"/>
        </a:xfrm>
        <a:custGeom>
          <a:avLst/>
          <a:gdLst/>
          <a:ahLst/>
          <a:cxnLst/>
          <a:rect l="0" t="0" r="0" b="0"/>
          <a:pathLst>
            <a:path>
              <a:moveTo>
                <a:pt x="0" y="28580"/>
              </a:moveTo>
              <a:lnTo>
                <a:pt x="850187" y="28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694937" y="1233849"/>
        <a:ext cx="42509" cy="42509"/>
      </dsp:txXfrm>
    </dsp:sp>
    <dsp:sp modelId="{7D226F07-8FD6-4821-B1E7-8243C9E3F316}">
      <dsp:nvSpPr>
        <dsp:cNvPr id="0" name=""/>
        <dsp:cNvSpPr/>
      </dsp:nvSpPr>
      <dsp:spPr>
        <a:xfrm>
          <a:off x="3982061" y="1323979"/>
          <a:ext cx="1623970" cy="525629"/>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3 </a:t>
          </a:r>
        </a:p>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pabeigti</a:t>
          </a:r>
        </a:p>
        <a:p>
          <a:pPr marL="0" lvl="0" indent="0" algn="ctr" defTabSz="488950">
            <a:lnSpc>
              <a:spcPct val="90000"/>
            </a:lnSpc>
            <a:spcBef>
              <a:spcPct val="0"/>
            </a:spcBef>
            <a:spcAft>
              <a:spcPct val="35000"/>
            </a:spcAft>
            <a:buNone/>
          </a:pPr>
          <a:r>
            <a:rPr lang="lv-LV" sz="1100" b="0" kern="1200">
              <a:solidFill>
                <a:sysClr val="windowText" lastClr="000000"/>
              </a:solidFill>
              <a:latin typeface="Times New Roman" panose="02020603050405020304" pitchFamily="18" charset="0"/>
              <a:cs typeface="Times New Roman" panose="02020603050405020304" pitchFamily="18" charset="0"/>
            </a:rPr>
            <a:t>( 2 142 452,73 </a:t>
          </a:r>
          <a:r>
            <a:rPr lang="lv-LV" sz="1100" b="0" i="1" kern="1200">
              <a:solidFill>
                <a:sysClr val="windowText" lastClr="000000"/>
              </a:solidFill>
              <a:latin typeface="Times New Roman" panose="02020603050405020304" pitchFamily="18" charset="0"/>
              <a:cs typeface="Times New Roman" panose="02020603050405020304" pitchFamily="18" charset="0"/>
            </a:rPr>
            <a:t>euro</a:t>
          </a:r>
          <a:r>
            <a:rPr lang="lv-LV" sz="1100" b="0" kern="1200">
              <a:solidFill>
                <a:sysClr val="windowText" lastClr="000000"/>
              </a:solidFill>
              <a:latin typeface="Times New Roman" panose="02020603050405020304" pitchFamily="18" charset="0"/>
              <a:cs typeface="Times New Roman" panose="02020603050405020304" pitchFamily="18" charset="0"/>
            </a:rPr>
            <a:t>)</a:t>
          </a:r>
        </a:p>
      </dsp:txBody>
      <dsp:txXfrm>
        <a:off x="3997456" y="1339374"/>
        <a:ext cx="1593180" cy="494839"/>
      </dsp:txXfrm>
    </dsp:sp>
    <dsp:sp modelId="{9D7E69FF-B5DE-4086-8CBD-FB4C2E6B013E}">
      <dsp:nvSpPr>
        <dsp:cNvPr id="0" name=""/>
        <dsp:cNvSpPr/>
      </dsp:nvSpPr>
      <dsp:spPr>
        <a:xfrm rot="18633983">
          <a:off x="3317611" y="606520"/>
          <a:ext cx="759064" cy="57160"/>
        </a:xfrm>
        <a:custGeom>
          <a:avLst/>
          <a:gdLst/>
          <a:ahLst/>
          <a:cxnLst/>
          <a:rect l="0" t="0" r="0" b="0"/>
          <a:pathLst>
            <a:path>
              <a:moveTo>
                <a:pt x="0" y="28580"/>
              </a:moveTo>
              <a:lnTo>
                <a:pt x="759064" y="28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678167" y="616124"/>
        <a:ext cx="37953" cy="37953"/>
      </dsp:txXfrm>
    </dsp:sp>
    <dsp:sp modelId="{4951D979-3342-45A8-AEA0-19819DCBD193}">
      <dsp:nvSpPr>
        <dsp:cNvPr id="0" name=""/>
        <dsp:cNvSpPr/>
      </dsp:nvSpPr>
      <dsp:spPr>
        <a:xfrm>
          <a:off x="3943964" y="57763"/>
          <a:ext cx="1656797" cy="57804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5</a:t>
          </a:r>
        </a:p>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vērtēšanā </a:t>
          </a:r>
        </a:p>
        <a:p>
          <a:pPr marL="0" lvl="0" indent="0" algn="ctr" defTabSz="488950">
            <a:lnSpc>
              <a:spcPct val="90000"/>
            </a:lnSpc>
            <a:spcBef>
              <a:spcPct val="0"/>
            </a:spcBef>
            <a:spcAft>
              <a:spcPct val="35000"/>
            </a:spcAft>
            <a:buNone/>
          </a:pPr>
          <a:r>
            <a:rPr lang="lv-LV" sz="1100" b="0" kern="1200">
              <a:solidFill>
                <a:sysClr val="windowText" lastClr="000000"/>
              </a:solidFill>
              <a:latin typeface="Times New Roman" panose="02020603050405020304" pitchFamily="18" charset="0"/>
              <a:cs typeface="Times New Roman" panose="02020603050405020304" pitchFamily="18" charset="0"/>
            </a:rPr>
            <a:t>(2 659 173,24</a:t>
          </a:r>
          <a:r>
            <a:rPr lang="lv-LV" sz="1100" kern="1200">
              <a:solidFill>
                <a:sysClr val="windowText" lastClr="000000"/>
              </a:solidFill>
              <a:latin typeface="Times New Roman" panose="02020603050405020304" pitchFamily="18" charset="0"/>
              <a:cs typeface="Times New Roman" panose="02020603050405020304" pitchFamily="18" charset="0"/>
            </a:rPr>
            <a:t> </a:t>
          </a:r>
          <a:r>
            <a:rPr lang="lv-LV" sz="1100" i="1" kern="1200">
              <a:solidFill>
                <a:sysClr val="windowText" lastClr="000000"/>
              </a:solidFill>
              <a:latin typeface="Times New Roman" panose="02020603050405020304" pitchFamily="18" charset="0"/>
              <a:cs typeface="Times New Roman" panose="02020603050405020304" pitchFamily="18" charset="0"/>
            </a:rPr>
            <a:t>euro</a:t>
          </a:r>
          <a:r>
            <a:rPr lang="lv-LV" sz="1100" kern="1200">
              <a:solidFill>
                <a:sysClr val="windowText" lastClr="000000"/>
              </a:solidFill>
              <a:latin typeface="Times New Roman" panose="02020603050405020304" pitchFamily="18" charset="0"/>
              <a:cs typeface="Times New Roman" panose="02020603050405020304" pitchFamily="18" charset="0"/>
            </a:rPr>
            <a:t>)</a:t>
          </a:r>
          <a:endParaRPr lang="lv-LV" sz="1100" b="1" kern="1200">
            <a:solidFill>
              <a:sysClr val="windowText" lastClr="000000"/>
            </a:solidFill>
            <a:latin typeface="Times New Roman" panose="02020603050405020304" pitchFamily="18" charset="0"/>
            <a:cs typeface="Times New Roman" panose="02020603050405020304" pitchFamily="18" charset="0"/>
          </a:endParaRPr>
        </a:p>
      </dsp:txBody>
      <dsp:txXfrm>
        <a:off x="3960894" y="74693"/>
        <a:ext cx="1622937" cy="544188"/>
      </dsp:txXfrm>
    </dsp:sp>
    <dsp:sp modelId="{B416D91A-D40B-4D35-98F1-C7941C350F3B}">
      <dsp:nvSpPr>
        <dsp:cNvPr id="0" name=""/>
        <dsp:cNvSpPr/>
      </dsp:nvSpPr>
      <dsp:spPr>
        <a:xfrm rot="404013">
          <a:off x="3448597" y="924163"/>
          <a:ext cx="500288" cy="57160"/>
        </a:xfrm>
        <a:custGeom>
          <a:avLst/>
          <a:gdLst/>
          <a:ahLst/>
          <a:cxnLst/>
          <a:rect l="0" t="0" r="0" b="0"/>
          <a:pathLst>
            <a:path>
              <a:moveTo>
                <a:pt x="0" y="28580"/>
              </a:moveTo>
              <a:lnTo>
                <a:pt x="500288" y="28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686234" y="940236"/>
        <a:ext cx="25014" cy="25014"/>
      </dsp:txXfrm>
    </dsp:sp>
    <dsp:sp modelId="{782AE3F3-055D-42EB-B968-77F99A0D1C38}">
      <dsp:nvSpPr>
        <dsp:cNvPr id="0" name=""/>
        <dsp:cNvSpPr/>
      </dsp:nvSpPr>
      <dsp:spPr>
        <a:xfrm>
          <a:off x="3947161" y="704607"/>
          <a:ext cx="1673383" cy="554933"/>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19</a:t>
          </a:r>
        </a:p>
        <a:p>
          <a:pPr marL="0" lvl="0" indent="0" algn="ctr" defTabSz="488950">
            <a:lnSpc>
              <a:spcPct val="100000"/>
            </a:lnSpc>
            <a:spcBef>
              <a:spcPct val="0"/>
            </a:spcBef>
            <a:spcAft>
              <a:spcPts val="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noslēgts līgums/vienošanās</a:t>
          </a:r>
          <a:r>
            <a:rPr lang="lv-LV" sz="1100" b="1" kern="1200">
              <a:solidFill>
                <a:srgbClr val="FF0000"/>
              </a:solidFill>
              <a:latin typeface="Times New Roman" panose="02020603050405020304" pitchFamily="18" charset="0"/>
              <a:cs typeface="Times New Roman" panose="02020603050405020304" pitchFamily="18" charset="0"/>
            </a:rPr>
            <a:t> </a:t>
          </a:r>
          <a:r>
            <a:rPr lang="lv-LV" sz="1100" b="0" kern="1200">
              <a:solidFill>
                <a:sysClr val="windowText" lastClr="000000"/>
              </a:solidFill>
              <a:latin typeface="Times New Roman" panose="02020603050405020304" pitchFamily="18" charset="0"/>
              <a:cs typeface="Times New Roman" panose="02020603050405020304" pitchFamily="18" charset="0"/>
            </a:rPr>
            <a:t>(24 442 463,55 </a:t>
          </a:r>
          <a:r>
            <a:rPr lang="lv-LV" sz="1100" i="1" kern="1200">
              <a:solidFill>
                <a:sysClr val="windowText" lastClr="000000"/>
              </a:solidFill>
              <a:latin typeface="Times New Roman" panose="02020603050405020304" pitchFamily="18" charset="0"/>
              <a:cs typeface="Times New Roman" panose="02020603050405020304" pitchFamily="18" charset="0"/>
            </a:rPr>
            <a:t>euro</a:t>
          </a:r>
          <a:r>
            <a:rPr lang="lv-LV" sz="1100" kern="1200">
              <a:solidFill>
                <a:sysClr val="windowText" lastClr="000000"/>
              </a:solidFill>
              <a:latin typeface="Times New Roman" panose="02020603050405020304" pitchFamily="18" charset="0"/>
              <a:cs typeface="Times New Roman" panose="02020603050405020304" pitchFamily="18" charset="0"/>
            </a:rPr>
            <a:t>)</a:t>
          </a:r>
        </a:p>
      </dsp:txBody>
      <dsp:txXfrm>
        <a:off x="3963414" y="720860"/>
        <a:ext cx="1640877" cy="522427"/>
      </dsp:txXfrm>
    </dsp:sp>
    <dsp:sp modelId="{5521AF68-F0ED-4443-B50E-3B272A40681D}">
      <dsp:nvSpPr>
        <dsp:cNvPr id="0" name=""/>
        <dsp:cNvSpPr/>
      </dsp:nvSpPr>
      <dsp:spPr>
        <a:xfrm rot="2233795">
          <a:off x="1662561" y="1427815"/>
          <a:ext cx="589002" cy="57160"/>
        </a:xfrm>
        <a:custGeom>
          <a:avLst/>
          <a:gdLst/>
          <a:ahLst/>
          <a:cxnLst/>
          <a:rect l="0" t="0" r="0" b="0"/>
          <a:pathLst>
            <a:path>
              <a:moveTo>
                <a:pt x="0" y="28580"/>
              </a:moveTo>
              <a:lnTo>
                <a:pt x="589002" y="28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942337" y="1441671"/>
        <a:ext cx="29450" cy="29450"/>
      </dsp:txXfrm>
    </dsp:sp>
    <dsp:sp modelId="{3303FFD8-9097-4C9C-A8D0-6C99DD46D79D}">
      <dsp:nvSpPr>
        <dsp:cNvPr id="0" name=""/>
        <dsp:cNvSpPr/>
      </dsp:nvSpPr>
      <dsp:spPr>
        <a:xfrm>
          <a:off x="2191548" y="1326047"/>
          <a:ext cx="1234104" cy="61705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cs typeface="Times New Roman" panose="02020603050405020304" pitchFamily="18" charset="0"/>
            </a:rPr>
            <a:t>7 neiesniegti</a:t>
          </a:r>
          <a:r>
            <a:rPr lang="lv-LV" sz="1100" kern="1200">
              <a:solidFill>
                <a:sysClr val="windowText" lastClr="000000"/>
              </a:solidFill>
              <a:latin typeface="Times New Roman" panose="02020603050405020304" pitchFamily="18" charset="0"/>
              <a:cs typeface="Times New Roman" panose="02020603050405020304" pitchFamily="18" charset="0"/>
            </a:rPr>
            <a:t> projektu iesniegumi</a:t>
          </a:r>
        </a:p>
      </dsp:txBody>
      <dsp:txXfrm>
        <a:off x="2209621" y="1344120"/>
        <a:ext cx="1197958" cy="5809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D49D-C588-4197-ABD0-83E51A45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21059</Words>
  <Characters>12005</Characters>
  <Application>Microsoft Office Word</Application>
  <DocSecurity>0</DocSecurity>
  <Lines>100</Lines>
  <Paragraphs>65</Paragraphs>
  <ScaleCrop>false</ScaleCrop>
  <HeadingPairs>
    <vt:vector size="2" baseType="variant">
      <vt:variant>
        <vt:lpstr>Title</vt:lpstr>
      </vt:variant>
      <vt:variant>
        <vt:i4>1</vt:i4>
      </vt:variant>
    </vt:vector>
  </HeadingPairs>
  <TitlesOfParts>
    <vt:vector size="1" baseType="lpstr">
      <vt:lpstr>Informatīvais ziņojums “Par darbības programmas “Izaugsme un nodarbinātība” 4.2.1.2. pasākuma “Veicināt energoefektivitātes paaugstināšanu valsts ēkās” pirmās un otrās projektu iesniegumu atlases kārtas īstenošanas progresu”</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darbības programmas “Izaugsme un nodarbinātība” 4.2.1.2. pasākuma “Veicināt energoefektivitātes paaugstināšanu valsts ēkās” pirmās un otrās projektu iesniegumu atlases kārtas īstenošanas progresu”</dc:title>
  <dc:subject/>
  <dc:creator>Vita Soļonova</dc:creator>
  <cp:keywords/>
  <dc:description>Vita Soļonova, 67013171
Vita.Solonova@em.gov.lv</dc:description>
  <cp:lastModifiedBy>Evita Valgača</cp:lastModifiedBy>
  <cp:revision>24</cp:revision>
  <cp:lastPrinted>2019-08-07T12:15:00Z</cp:lastPrinted>
  <dcterms:created xsi:type="dcterms:W3CDTF">2020-07-21T08:19:00Z</dcterms:created>
  <dcterms:modified xsi:type="dcterms:W3CDTF">2020-08-27T11:11:00Z</dcterms:modified>
</cp:coreProperties>
</file>