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E70ADE" w14:paraId="4D61FD41" w14:textId="77777777" w:rsidTr="3B8D5503">
        <w:trPr>
          <w:jc w:val="center"/>
        </w:trPr>
        <w:tc>
          <w:tcPr>
            <w:tcW w:w="10188" w:type="dxa"/>
            <w:tcBorders>
              <w:bottom w:val="single" w:sz="6" w:space="0" w:color="000000" w:themeColor="text1"/>
            </w:tcBorders>
          </w:tcPr>
          <w:p w14:paraId="4CE3A860" w14:textId="644E93B7" w:rsidR="00BD6FD2" w:rsidRPr="00E70ADE" w:rsidRDefault="000C3947" w:rsidP="00F43A16">
            <w:pPr>
              <w:pStyle w:val="Heading1"/>
              <w:spacing w:before="0" w:beforeAutospacing="0" w:after="0" w:afterAutospacing="0"/>
              <w:jc w:val="center"/>
              <w:rPr>
                <w:sz w:val="22"/>
                <w:szCs w:val="22"/>
              </w:rPr>
            </w:pPr>
            <w:bookmarkStart w:id="0" w:name="OLE_LINK1"/>
            <w:bookmarkStart w:id="1" w:name="OLE_LINK2"/>
            <w:r w:rsidRPr="00E70ADE">
              <w:rPr>
                <w:sz w:val="22"/>
                <w:szCs w:val="22"/>
              </w:rPr>
              <w:t>Izziņa par atzinumos sniegtajiem iebildumiem</w:t>
            </w:r>
          </w:p>
          <w:p w14:paraId="4B0657C5" w14:textId="201DBDD4" w:rsidR="00BD6FD2" w:rsidRPr="00E70ADE" w:rsidRDefault="415B5C1F" w:rsidP="3B8D5503">
            <w:pPr>
              <w:spacing w:before="120" w:after="120"/>
              <w:jc w:val="center"/>
              <w:rPr>
                <w:b/>
                <w:bCs/>
                <w:sz w:val="22"/>
                <w:szCs w:val="22"/>
              </w:rPr>
            </w:pPr>
            <w:r w:rsidRPr="00E70ADE">
              <w:rPr>
                <w:b/>
                <w:bCs/>
                <w:sz w:val="22"/>
                <w:szCs w:val="22"/>
              </w:rPr>
              <w:t>Ministru kabineta noteikumu projekts</w:t>
            </w:r>
            <w:bookmarkEnd w:id="0"/>
            <w:bookmarkEnd w:id="1"/>
            <w:r w:rsidR="6DB6EA46" w:rsidRPr="00E70ADE">
              <w:rPr>
                <w:b/>
                <w:bCs/>
                <w:sz w:val="22"/>
                <w:szCs w:val="22"/>
              </w:rPr>
              <w:t xml:space="preserve"> “</w:t>
            </w:r>
            <w:bookmarkStart w:id="2" w:name="_Hlk48807409"/>
            <w:r w:rsidR="009256CE" w:rsidRPr="00E70ADE">
              <w:rPr>
                <w:b/>
                <w:bCs/>
                <w:sz w:val="22"/>
                <w:szCs w:val="22"/>
              </w:rPr>
              <w:t>Noteikumi par elektroenerģijas ražošanu, uzraudzību un cenu noteikšanu, ražojot elektroenerģiju koģenerācijā</w:t>
            </w:r>
            <w:bookmarkEnd w:id="2"/>
            <w:r w:rsidR="77466129" w:rsidRPr="00E70ADE">
              <w:rPr>
                <w:b/>
                <w:bCs/>
                <w:sz w:val="22"/>
                <w:szCs w:val="22"/>
              </w:rPr>
              <w:t>”</w:t>
            </w:r>
          </w:p>
        </w:tc>
      </w:tr>
    </w:tbl>
    <w:p w14:paraId="433D748A" w14:textId="77777777" w:rsidR="00BD6FD2" w:rsidRPr="00E70ADE" w:rsidRDefault="00BD6FD2" w:rsidP="00BD6FD2">
      <w:pPr>
        <w:pStyle w:val="naisf"/>
        <w:spacing w:before="0" w:after="0"/>
        <w:ind w:firstLine="0"/>
        <w:rPr>
          <w:b/>
          <w:sz w:val="22"/>
          <w:szCs w:val="22"/>
        </w:rPr>
      </w:pPr>
    </w:p>
    <w:p w14:paraId="27ACA861" w14:textId="77777777" w:rsidR="00BD6FD2" w:rsidRPr="00E70ADE" w:rsidRDefault="00BD6FD2" w:rsidP="00BD6FD2">
      <w:pPr>
        <w:pStyle w:val="naisf"/>
        <w:spacing w:before="0" w:after="0"/>
        <w:ind w:firstLine="0"/>
        <w:jc w:val="center"/>
        <w:rPr>
          <w:b/>
          <w:sz w:val="22"/>
          <w:szCs w:val="22"/>
        </w:rPr>
      </w:pPr>
      <w:r w:rsidRPr="00E70ADE">
        <w:rPr>
          <w:b/>
          <w:sz w:val="22"/>
          <w:szCs w:val="22"/>
        </w:rPr>
        <w:t>I. Jautājumi, par kuriem saskaņošanā vienošanās nav panākta</w:t>
      </w:r>
    </w:p>
    <w:p w14:paraId="25C44757" w14:textId="77777777" w:rsidR="00BD6FD2" w:rsidRPr="00E70ADE" w:rsidRDefault="00BD6FD2" w:rsidP="00BD6FD2">
      <w:pPr>
        <w:pStyle w:val="naisf"/>
        <w:spacing w:before="0" w:after="0"/>
        <w:ind w:firstLine="720"/>
        <w:rPr>
          <w:sz w:val="22"/>
          <w:szCs w:val="22"/>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AE739A" w:rsidRPr="00E70AD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E70ADE" w:rsidRDefault="00BD6FD2" w:rsidP="00F838C6">
            <w:pPr>
              <w:pStyle w:val="naisc"/>
              <w:spacing w:before="0" w:after="0"/>
              <w:rPr>
                <w:sz w:val="22"/>
                <w:szCs w:val="22"/>
              </w:rPr>
            </w:pPr>
            <w:r w:rsidRPr="00E70AD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E70ADE" w:rsidRDefault="00BD6FD2" w:rsidP="00F838C6">
            <w:pPr>
              <w:pStyle w:val="naisc"/>
              <w:spacing w:before="0" w:after="0"/>
              <w:ind w:firstLine="12"/>
              <w:rPr>
                <w:sz w:val="22"/>
                <w:szCs w:val="22"/>
              </w:rPr>
            </w:pPr>
            <w:r w:rsidRPr="00E70AD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E70ADE" w:rsidRDefault="00BD6FD2" w:rsidP="00F838C6">
            <w:pPr>
              <w:pStyle w:val="naisc"/>
              <w:spacing w:before="0" w:after="0"/>
              <w:ind w:right="3"/>
              <w:rPr>
                <w:sz w:val="22"/>
                <w:szCs w:val="22"/>
              </w:rPr>
            </w:pPr>
            <w:r w:rsidRPr="00E70AD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E70ADE" w:rsidRDefault="00BD6FD2" w:rsidP="00F838C6">
            <w:pPr>
              <w:pStyle w:val="naisc"/>
              <w:spacing w:before="0" w:after="0"/>
              <w:ind w:firstLine="21"/>
              <w:rPr>
                <w:sz w:val="22"/>
                <w:szCs w:val="22"/>
              </w:rPr>
            </w:pPr>
            <w:r w:rsidRPr="00E70AD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E70ADE" w:rsidRDefault="00BD6FD2" w:rsidP="00F838C6">
            <w:pPr>
              <w:jc w:val="center"/>
              <w:rPr>
                <w:sz w:val="22"/>
                <w:szCs w:val="22"/>
              </w:rPr>
            </w:pPr>
            <w:r w:rsidRPr="00E70AD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E70ADE" w:rsidRDefault="00BD6FD2" w:rsidP="00F838C6">
            <w:pPr>
              <w:jc w:val="center"/>
              <w:rPr>
                <w:sz w:val="22"/>
                <w:szCs w:val="22"/>
              </w:rPr>
            </w:pPr>
            <w:r w:rsidRPr="00E70ADE">
              <w:rPr>
                <w:sz w:val="22"/>
                <w:szCs w:val="22"/>
              </w:rPr>
              <w:t>Projekta attiecīgā punkta (panta) galīgā redakcija</w:t>
            </w:r>
          </w:p>
        </w:tc>
      </w:tr>
      <w:tr w:rsidR="00AE739A" w:rsidRPr="00E70AD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E70ADE" w:rsidRDefault="00BD6FD2" w:rsidP="00826949">
            <w:pPr>
              <w:pStyle w:val="naisc"/>
              <w:spacing w:before="0" w:after="0"/>
              <w:rPr>
                <w:sz w:val="22"/>
                <w:szCs w:val="22"/>
              </w:rPr>
            </w:pPr>
            <w:r w:rsidRPr="00E70AD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E70ADE" w:rsidRDefault="00BD6FD2" w:rsidP="00932EEE">
            <w:pPr>
              <w:pStyle w:val="naisc"/>
              <w:spacing w:before="0" w:after="0"/>
              <w:ind w:firstLine="720"/>
              <w:rPr>
                <w:sz w:val="22"/>
                <w:szCs w:val="22"/>
              </w:rPr>
            </w:pPr>
            <w:r w:rsidRPr="00E70AD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E70ADE" w:rsidRDefault="00BD6FD2" w:rsidP="00F838C6">
            <w:pPr>
              <w:pStyle w:val="naisc"/>
              <w:spacing w:before="0" w:after="0"/>
              <w:ind w:firstLine="720"/>
              <w:rPr>
                <w:sz w:val="22"/>
                <w:szCs w:val="22"/>
              </w:rPr>
            </w:pPr>
            <w:r w:rsidRPr="00E70AD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E70ADE" w:rsidRDefault="00BD6FD2" w:rsidP="00F838C6">
            <w:pPr>
              <w:pStyle w:val="naisc"/>
              <w:spacing w:before="0" w:after="0"/>
              <w:ind w:firstLine="720"/>
              <w:rPr>
                <w:sz w:val="22"/>
                <w:szCs w:val="22"/>
              </w:rPr>
            </w:pPr>
            <w:r w:rsidRPr="00E70AD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E70ADE" w:rsidRDefault="00BD6FD2" w:rsidP="00F838C6">
            <w:pPr>
              <w:jc w:val="center"/>
              <w:rPr>
                <w:sz w:val="22"/>
                <w:szCs w:val="22"/>
              </w:rPr>
            </w:pPr>
            <w:r w:rsidRPr="00E70AD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E70ADE" w:rsidRDefault="00BD6FD2" w:rsidP="00F838C6">
            <w:pPr>
              <w:jc w:val="center"/>
              <w:rPr>
                <w:sz w:val="22"/>
                <w:szCs w:val="22"/>
              </w:rPr>
            </w:pPr>
            <w:r w:rsidRPr="00E70ADE">
              <w:rPr>
                <w:sz w:val="22"/>
                <w:szCs w:val="22"/>
              </w:rPr>
              <w:t>6</w:t>
            </w:r>
          </w:p>
        </w:tc>
      </w:tr>
      <w:tr w:rsidR="00C630D0" w:rsidRPr="00E70ADE" w:rsidDel="00E40881" w14:paraId="45E1D985"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71464F8F" w14:textId="77777777" w:rsidR="00C630D0" w:rsidRPr="00E70ADE" w:rsidDel="00E40881" w:rsidRDefault="00C630D0" w:rsidP="00D17799">
            <w:pPr>
              <w:pStyle w:val="naisc"/>
              <w:numPr>
                <w:ilvl w:val="0"/>
                <w:numId w:val="4"/>
              </w:numPr>
              <w:spacing w:before="0" w:after="0"/>
              <w:ind w:left="113" w:hanging="113"/>
              <w:jc w:val="left"/>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82CD585" w14:textId="77777777" w:rsidR="00D17799" w:rsidRPr="00E70ADE" w:rsidRDefault="00D17799" w:rsidP="00D17799">
            <w:pPr>
              <w:shd w:val="clear" w:color="auto" w:fill="FFFFFF"/>
              <w:spacing w:line="293" w:lineRule="atLeast"/>
              <w:ind w:firstLine="300"/>
              <w:rPr>
                <w:sz w:val="22"/>
                <w:szCs w:val="22"/>
              </w:rPr>
            </w:pPr>
            <w:r w:rsidRPr="00E70ADE">
              <w:rPr>
                <w:sz w:val="22"/>
                <w:szCs w:val="22"/>
              </w:rPr>
              <w:t>21. Komersants, kuram ir  obligātā iepirkuma tiesības vai garantētās maksas tiesības, nodrošina:</w:t>
            </w:r>
          </w:p>
          <w:p w14:paraId="31670E32" w14:textId="5B0821F6" w:rsidR="00C630D0" w:rsidRPr="00E70ADE" w:rsidDel="00E40881" w:rsidRDefault="00D17799" w:rsidP="00D17799">
            <w:pPr>
              <w:pStyle w:val="naisc"/>
              <w:spacing w:before="0" w:after="0"/>
              <w:jc w:val="left"/>
              <w:rPr>
                <w:sz w:val="22"/>
                <w:szCs w:val="22"/>
              </w:rPr>
            </w:pPr>
            <w:r w:rsidRPr="00E70ADE">
              <w:rPr>
                <w:sz w:val="22"/>
                <w:szCs w:val="22"/>
              </w:rPr>
              <w:t>21.4. ka koģenerācijas stacijā saražotā siltumenerģija tiek izmantota lietderīgi atbilstoši vienotā tehnoloģiskā cikla principam, tajā skaitā to, ka lietderīgās siltumenerģijas kopējā apjomā netiek ieskaitīta tāda siltumenerģija, kas tiek izmantota koģenerācijas stacijas pašpatēriņam;</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E0A17DF" w14:textId="77777777" w:rsidR="00D17799" w:rsidRPr="00E70ADE" w:rsidRDefault="00D17799" w:rsidP="00D17799">
            <w:pPr>
              <w:spacing w:after="160" w:line="252" w:lineRule="auto"/>
              <w:ind w:left="360"/>
              <w:rPr>
                <w:b/>
                <w:color w:val="000000"/>
                <w:sz w:val="22"/>
                <w:szCs w:val="22"/>
              </w:rPr>
            </w:pPr>
            <w:r w:rsidRPr="00E70ADE">
              <w:rPr>
                <w:b/>
                <w:color w:val="000000"/>
                <w:sz w:val="22"/>
                <w:szCs w:val="22"/>
              </w:rPr>
              <w:t>Zemkopības ministrija (19.08.2020.) iebildums</w:t>
            </w:r>
          </w:p>
          <w:p w14:paraId="6442D0DA" w14:textId="77777777" w:rsidR="00D17799" w:rsidRPr="00E70ADE" w:rsidRDefault="00D17799" w:rsidP="00D17799">
            <w:pPr>
              <w:rPr>
                <w:sz w:val="22"/>
                <w:szCs w:val="22"/>
              </w:rPr>
            </w:pPr>
            <w:r w:rsidRPr="00E70ADE">
              <w:rPr>
                <w:sz w:val="22"/>
                <w:szCs w:val="22"/>
              </w:rPr>
              <w:t>Lūdzam precizēt 21.4. apakšpunktu un izteikt šādā redakcijā: “ka koģenerācijas stacijā saražotā siltumenerģija tiek izmantota lietderīgi atbilstoši vienotā tehnoloģiskā cikla principam, tajā skaitā to, ka lietderīgās siltumenerģijas kopējā apjomā netiek ieskaitīta tāda siltumenerģija, kas tiek izmantota koģenerācijas stacijas pašpatēriņam, izņemot biogāzes stacijas, kuru organiskas izcelsmes atkritumu un ražošanas atlikumproduktu daudzums no kopējas izejvielas ir lielāks nekā 70.punktā minētais  īpatsvars”.</w:t>
            </w:r>
          </w:p>
          <w:p w14:paraId="72532B5C" w14:textId="77777777" w:rsidR="00D17799" w:rsidRPr="00E70ADE" w:rsidRDefault="00D17799" w:rsidP="00D17799">
            <w:pPr>
              <w:rPr>
                <w:b/>
                <w:color w:val="000000"/>
                <w:sz w:val="22"/>
                <w:szCs w:val="22"/>
              </w:rPr>
            </w:pPr>
          </w:p>
          <w:p w14:paraId="5A845431" w14:textId="77777777" w:rsidR="00D17799" w:rsidRPr="00E70ADE" w:rsidRDefault="00D17799" w:rsidP="00D17799">
            <w:pPr>
              <w:rPr>
                <w:b/>
                <w:color w:val="000000"/>
                <w:sz w:val="22"/>
                <w:szCs w:val="22"/>
              </w:rPr>
            </w:pPr>
            <w:r w:rsidRPr="00E70ADE">
              <w:rPr>
                <w:b/>
                <w:color w:val="000000"/>
                <w:sz w:val="22"/>
                <w:szCs w:val="22"/>
              </w:rPr>
              <w:t>Zemkopības ministrija (27.08.2020)</w:t>
            </w:r>
          </w:p>
          <w:p w14:paraId="599867B5" w14:textId="219EBD0F" w:rsidR="00C630D0" w:rsidRPr="00E70ADE" w:rsidDel="00E40881" w:rsidRDefault="00D17799" w:rsidP="00D17799">
            <w:pPr>
              <w:tabs>
                <w:tab w:val="left" w:pos="1134"/>
              </w:tabs>
              <w:spacing w:after="160" w:line="252" w:lineRule="auto"/>
              <w:contextualSpacing/>
              <w:rPr>
                <w:rFonts w:eastAsia="Calibri"/>
                <w:b/>
                <w:bCs/>
                <w:sz w:val="22"/>
                <w:szCs w:val="22"/>
              </w:rPr>
            </w:pPr>
            <w:r w:rsidRPr="00E70ADE">
              <w:rPr>
                <w:sz w:val="22"/>
                <w:szCs w:val="22"/>
              </w:rPr>
              <w:t xml:space="preserve">Lūdzam precizēt noteikumu projekta 22.4.apakšpunktu </w:t>
            </w:r>
            <w:r w:rsidRPr="00E70ADE">
              <w:rPr>
                <w:sz w:val="22"/>
                <w:szCs w:val="22"/>
              </w:rPr>
              <w:lastRenderedPageBreak/>
              <w:t>paredzot izņēmumu biogāzes stacijām, kuru organiskas izcelsmes atkritumu un ražošanas atlikumproduktu daudzums no kopējas izejvielas ir lielāks nekā šo noteikumu 12.punktā minētais īpatsvars, ņemot vērā biogāzes ražošanas procesa specifiku.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7C73D2B" w14:textId="23FA3E44" w:rsidR="00D17799" w:rsidRPr="00E70ADE" w:rsidRDefault="00D17799" w:rsidP="00CD66CF">
            <w:pPr>
              <w:pStyle w:val="naisc"/>
              <w:spacing w:before="0" w:after="0"/>
              <w:rPr>
                <w:b/>
                <w:sz w:val="22"/>
                <w:szCs w:val="22"/>
              </w:rPr>
            </w:pPr>
            <w:r w:rsidRPr="00E70ADE">
              <w:rPr>
                <w:b/>
                <w:sz w:val="22"/>
                <w:szCs w:val="22"/>
              </w:rPr>
              <w:lastRenderedPageBreak/>
              <w:t xml:space="preserve">Iebildums </w:t>
            </w:r>
            <w:r w:rsidR="00CD7FF5" w:rsidRPr="00E70ADE">
              <w:rPr>
                <w:b/>
                <w:sz w:val="22"/>
                <w:szCs w:val="22"/>
              </w:rPr>
              <w:t>nav</w:t>
            </w:r>
            <w:r w:rsidR="00CD66CF" w:rsidRPr="00E70ADE">
              <w:rPr>
                <w:b/>
                <w:sz w:val="22"/>
                <w:szCs w:val="22"/>
              </w:rPr>
              <w:t xml:space="preserve"> ņemts</w:t>
            </w:r>
            <w:r w:rsidRPr="00E70ADE">
              <w:rPr>
                <w:b/>
                <w:sz w:val="22"/>
                <w:szCs w:val="22"/>
              </w:rPr>
              <w:t xml:space="preserve"> vērā.</w:t>
            </w:r>
          </w:p>
          <w:p w14:paraId="46CF78E6" w14:textId="1B9182EF" w:rsidR="00D17799" w:rsidRPr="00E70ADE" w:rsidDel="00E40881" w:rsidRDefault="00D17799" w:rsidP="00D17799">
            <w:pPr>
              <w:pStyle w:val="naisc"/>
              <w:spacing w:before="0" w:after="0"/>
              <w:jc w:val="left"/>
              <w:rPr>
                <w:b/>
                <w:bCs/>
                <w:sz w:val="22"/>
                <w:szCs w:val="22"/>
              </w:rPr>
            </w:pPr>
            <w:r w:rsidRPr="00E70ADE">
              <w:rPr>
                <w:sz w:val="22"/>
                <w:szCs w:val="22"/>
              </w:rPr>
              <w:t>Ražotāji, kam jānodrošina prasība par lietderīgas siltumenerģijas izmantošanu un attiecīgi atbilstošu uzskaiti, ir noteikti Elektroenerģijas tirgus likumā. Ministru kabinetam nav deleģējuma noteikt izņēmumus.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DE9D8" w14:textId="2B258C4E" w:rsidR="00C630D0" w:rsidRPr="00E70ADE" w:rsidRDefault="00C630D0" w:rsidP="00D17799">
            <w:pPr>
              <w:rPr>
                <w:sz w:val="22"/>
                <w:szCs w:val="22"/>
              </w:rPr>
            </w:pPr>
          </w:p>
        </w:tc>
        <w:tc>
          <w:tcPr>
            <w:tcW w:w="2268" w:type="dxa"/>
            <w:tcBorders>
              <w:top w:val="single" w:sz="4" w:space="0" w:color="auto"/>
              <w:left w:val="single" w:sz="4" w:space="0" w:color="auto"/>
              <w:bottom w:val="single" w:sz="4" w:space="0" w:color="auto"/>
            </w:tcBorders>
            <w:shd w:val="clear" w:color="auto" w:fill="auto"/>
          </w:tcPr>
          <w:p w14:paraId="316C0FC0" w14:textId="1D53450A" w:rsidR="00C630D0" w:rsidRPr="00E70ADE" w:rsidRDefault="000276D4" w:rsidP="00D17799">
            <w:pPr>
              <w:rPr>
                <w:sz w:val="22"/>
                <w:szCs w:val="22"/>
              </w:rPr>
            </w:pPr>
            <w:bookmarkStart w:id="3" w:name="_Ref49152741"/>
            <w:r w:rsidRPr="00E70ADE">
              <w:rPr>
                <w:sz w:val="22"/>
                <w:szCs w:val="22"/>
              </w:rPr>
              <w:t>21. Komersants, kuram ir  obligātā iepirkuma tiesības vai garantētās maksas tiesības, nodrošina:</w:t>
            </w:r>
            <w:bookmarkEnd w:id="3"/>
          </w:p>
          <w:p w14:paraId="4DE0D896" w14:textId="11CDC034" w:rsidR="000276D4" w:rsidRPr="00E70ADE" w:rsidDel="00E40881" w:rsidRDefault="000276D4" w:rsidP="00D17799">
            <w:pPr>
              <w:rPr>
                <w:sz w:val="22"/>
                <w:szCs w:val="22"/>
              </w:rPr>
            </w:pPr>
            <w:r w:rsidRPr="00E70ADE">
              <w:rPr>
                <w:sz w:val="22"/>
                <w:szCs w:val="22"/>
              </w:rPr>
              <w:t>21.4. ka koģenerācijas stacijā saražotā siltumenerģija tiek izmantota lietderīgi, tajā skaitā to, ka lietderīgās siltumenerģijas kopējā apjomā netiek ieskaitīta tāda siltumenerģija, kas tiek izmantota koģenerācijas stacijas pašpatēriņam</w:t>
            </w:r>
          </w:p>
        </w:tc>
      </w:tr>
    </w:tbl>
    <w:p w14:paraId="112957B8" w14:textId="77777777" w:rsidR="00BB0972" w:rsidRPr="00E70ADE" w:rsidRDefault="00BB0972" w:rsidP="00BB0972">
      <w:pPr>
        <w:spacing w:after="200" w:line="276" w:lineRule="auto"/>
        <w:rPr>
          <w:b/>
          <w:bCs/>
          <w:sz w:val="22"/>
          <w:szCs w:val="22"/>
        </w:rPr>
      </w:pPr>
    </w:p>
    <w:p w14:paraId="7A16F1CD" w14:textId="77777777" w:rsidR="00BB0972" w:rsidRPr="00E70ADE" w:rsidRDefault="00BB0972" w:rsidP="00BB0972">
      <w:pPr>
        <w:spacing w:after="200" w:line="276" w:lineRule="auto"/>
        <w:rPr>
          <w:sz w:val="22"/>
          <w:szCs w:val="22"/>
        </w:rPr>
      </w:pPr>
      <w:r w:rsidRPr="00E70AD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AE739A" w:rsidRPr="00E70ADE" w14:paraId="13B0299B" w14:textId="77777777" w:rsidTr="3B8D5503">
        <w:trPr>
          <w:gridAfter w:val="1"/>
          <w:wAfter w:w="30" w:type="dxa"/>
          <w:trHeight w:val="749"/>
          <w:tblCellSpacing w:w="0" w:type="dxa"/>
        </w:trPr>
        <w:tc>
          <w:tcPr>
            <w:tcW w:w="2856" w:type="dxa"/>
            <w:hideMark/>
          </w:tcPr>
          <w:p w14:paraId="5D473C02" w14:textId="77777777" w:rsidR="00BB0972" w:rsidRPr="00E70ADE" w:rsidRDefault="00BB0972" w:rsidP="00074BE1">
            <w:pPr>
              <w:spacing w:before="75" w:after="75"/>
              <w:rPr>
                <w:sz w:val="22"/>
                <w:szCs w:val="22"/>
              </w:rPr>
            </w:pPr>
            <w:r w:rsidRPr="00E70ADE">
              <w:rPr>
                <w:b/>
                <w:bCs/>
                <w:sz w:val="22"/>
                <w:szCs w:val="22"/>
              </w:rPr>
              <w:t> </w:t>
            </w:r>
            <w:r w:rsidRPr="00E70ADE">
              <w:rPr>
                <w:sz w:val="22"/>
                <w:szCs w:val="22"/>
              </w:rPr>
              <w:t>Datums</w:t>
            </w:r>
          </w:p>
        </w:tc>
        <w:tc>
          <w:tcPr>
            <w:tcW w:w="9894" w:type="dxa"/>
            <w:gridSpan w:val="4"/>
            <w:tcBorders>
              <w:top w:val="nil"/>
              <w:left w:val="nil"/>
              <w:bottom w:val="single" w:sz="8" w:space="0" w:color="000000" w:themeColor="text1"/>
              <w:right w:val="nil"/>
            </w:tcBorders>
            <w:hideMark/>
          </w:tcPr>
          <w:p w14:paraId="7CD85E8C" w14:textId="308CB37F" w:rsidR="00BB0972" w:rsidRPr="00E70ADE" w:rsidRDefault="009E1AB5" w:rsidP="008B0AA4">
            <w:pPr>
              <w:jc w:val="both"/>
              <w:rPr>
                <w:sz w:val="22"/>
                <w:szCs w:val="22"/>
              </w:rPr>
            </w:pPr>
            <w:r w:rsidRPr="00E70ADE">
              <w:rPr>
                <w:sz w:val="22"/>
                <w:szCs w:val="22"/>
              </w:rPr>
              <w:t>05</w:t>
            </w:r>
            <w:r w:rsidR="007E28C6" w:rsidRPr="00E70ADE">
              <w:rPr>
                <w:sz w:val="22"/>
                <w:szCs w:val="22"/>
              </w:rPr>
              <w:t>.0</w:t>
            </w:r>
            <w:r w:rsidRPr="00E70ADE">
              <w:rPr>
                <w:sz w:val="22"/>
                <w:szCs w:val="22"/>
              </w:rPr>
              <w:t>8</w:t>
            </w:r>
            <w:r w:rsidR="007E28C6" w:rsidRPr="00E70ADE">
              <w:rPr>
                <w:sz w:val="22"/>
                <w:szCs w:val="22"/>
              </w:rPr>
              <w:t>.</w:t>
            </w:r>
            <w:r w:rsidR="00015C9D" w:rsidRPr="00E70ADE">
              <w:rPr>
                <w:sz w:val="22"/>
                <w:szCs w:val="22"/>
              </w:rPr>
              <w:t>2020.</w:t>
            </w:r>
            <w:r w:rsidR="007E28C6" w:rsidRPr="00E70ADE">
              <w:rPr>
                <w:sz w:val="22"/>
                <w:szCs w:val="22"/>
              </w:rPr>
              <w:t xml:space="preserve"> – </w:t>
            </w:r>
            <w:r w:rsidR="00F51DB4" w:rsidRPr="00E70ADE">
              <w:rPr>
                <w:sz w:val="22"/>
                <w:szCs w:val="22"/>
              </w:rPr>
              <w:t>28</w:t>
            </w:r>
            <w:r w:rsidR="007E28C6" w:rsidRPr="00E70ADE">
              <w:rPr>
                <w:sz w:val="22"/>
                <w:szCs w:val="22"/>
              </w:rPr>
              <w:t>.</w:t>
            </w:r>
            <w:r w:rsidR="00015C9D" w:rsidRPr="00E70ADE">
              <w:rPr>
                <w:sz w:val="22"/>
                <w:szCs w:val="22"/>
              </w:rPr>
              <w:t>0</w:t>
            </w:r>
            <w:r w:rsidR="006A5E34" w:rsidRPr="00E70ADE">
              <w:rPr>
                <w:sz w:val="22"/>
                <w:szCs w:val="22"/>
              </w:rPr>
              <w:t>8</w:t>
            </w:r>
            <w:r w:rsidR="007E28C6" w:rsidRPr="00E70ADE">
              <w:rPr>
                <w:sz w:val="22"/>
                <w:szCs w:val="22"/>
              </w:rPr>
              <w:t>.20</w:t>
            </w:r>
            <w:r w:rsidR="00015C9D" w:rsidRPr="00E70ADE">
              <w:rPr>
                <w:sz w:val="22"/>
                <w:szCs w:val="22"/>
              </w:rPr>
              <w:t>20</w:t>
            </w:r>
            <w:r w:rsidR="007E28C6" w:rsidRPr="00E70ADE">
              <w:rPr>
                <w:sz w:val="22"/>
                <w:szCs w:val="22"/>
              </w:rPr>
              <w:t>.</w:t>
            </w:r>
          </w:p>
        </w:tc>
      </w:tr>
      <w:tr w:rsidR="00AE739A" w:rsidRPr="00E70ADE" w14:paraId="38E481EB" w14:textId="77777777" w:rsidTr="3B8D5503">
        <w:trPr>
          <w:gridAfter w:val="1"/>
          <w:wAfter w:w="30" w:type="dxa"/>
          <w:trHeight w:val="220"/>
          <w:tblCellSpacing w:w="0" w:type="dxa"/>
        </w:trPr>
        <w:tc>
          <w:tcPr>
            <w:tcW w:w="2856" w:type="dxa"/>
            <w:hideMark/>
          </w:tcPr>
          <w:p w14:paraId="6838E5D0" w14:textId="77777777" w:rsidR="00BB0972" w:rsidRPr="00E70ADE" w:rsidRDefault="00BB0972" w:rsidP="00074BE1">
            <w:pPr>
              <w:spacing w:before="75" w:after="75"/>
              <w:ind w:firstLine="375"/>
              <w:jc w:val="both"/>
              <w:rPr>
                <w:sz w:val="22"/>
                <w:szCs w:val="22"/>
              </w:rPr>
            </w:pPr>
            <w:r w:rsidRPr="00E70ADE">
              <w:rPr>
                <w:sz w:val="22"/>
                <w:szCs w:val="22"/>
              </w:rPr>
              <w:t> </w:t>
            </w:r>
          </w:p>
        </w:tc>
        <w:tc>
          <w:tcPr>
            <w:tcW w:w="9894" w:type="dxa"/>
            <w:gridSpan w:val="4"/>
            <w:tcBorders>
              <w:top w:val="nil"/>
              <w:left w:val="nil"/>
              <w:bottom w:val="nil"/>
              <w:right w:val="nil"/>
            </w:tcBorders>
            <w:hideMark/>
          </w:tcPr>
          <w:p w14:paraId="69D559D7" w14:textId="77777777" w:rsidR="00BB0972" w:rsidRPr="00E70ADE" w:rsidRDefault="00BB0972" w:rsidP="00074BE1">
            <w:pPr>
              <w:spacing w:before="75" w:after="75"/>
              <w:jc w:val="both"/>
              <w:rPr>
                <w:sz w:val="22"/>
                <w:szCs w:val="22"/>
              </w:rPr>
            </w:pPr>
          </w:p>
        </w:tc>
      </w:tr>
      <w:tr w:rsidR="00AE739A" w:rsidRPr="00E70ADE" w14:paraId="37D71753" w14:textId="77777777" w:rsidTr="3B8D5503">
        <w:trPr>
          <w:gridAfter w:val="1"/>
          <w:wAfter w:w="30" w:type="dxa"/>
          <w:trHeight w:val="147"/>
          <w:tblCellSpacing w:w="0" w:type="dxa"/>
        </w:trPr>
        <w:tc>
          <w:tcPr>
            <w:tcW w:w="2856" w:type="dxa"/>
            <w:vAlign w:val="center"/>
            <w:hideMark/>
          </w:tcPr>
          <w:p w14:paraId="3158F508" w14:textId="77777777" w:rsidR="00BB0972" w:rsidRPr="00E70ADE" w:rsidRDefault="00BB0972" w:rsidP="00074BE1">
            <w:pPr>
              <w:rPr>
                <w:sz w:val="22"/>
                <w:szCs w:val="22"/>
              </w:rPr>
            </w:pPr>
            <w:r w:rsidRPr="00E70ADE">
              <w:rPr>
                <w:sz w:val="22"/>
                <w:szCs w:val="22"/>
              </w:rPr>
              <w:t>Saskaņošanas dalībnieki</w:t>
            </w:r>
          </w:p>
        </w:tc>
        <w:tc>
          <w:tcPr>
            <w:tcW w:w="9894" w:type="dxa"/>
            <w:gridSpan w:val="4"/>
            <w:tcBorders>
              <w:bottom w:val="single" w:sz="6" w:space="0" w:color="000000" w:themeColor="text1"/>
            </w:tcBorders>
            <w:vAlign w:val="center"/>
            <w:hideMark/>
          </w:tcPr>
          <w:p w14:paraId="3CBCF385" w14:textId="457D0041" w:rsidR="00BB0972" w:rsidRPr="00E70ADE" w:rsidRDefault="11FB08C4" w:rsidP="0054303A">
            <w:pPr>
              <w:spacing w:line="276" w:lineRule="auto"/>
              <w:rPr>
                <w:b/>
                <w:bCs/>
                <w:color w:val="FF0000"/>
                <w:sz w:val="22"/>
                <w:szCs w:val="22"/>
              </w:rPr>
            </w:pPr>
            <w:r w:rsidRPr="00E70ADE">
              <w:rPr>
                <w:sz w:val="22"/>
                <w:szCs w:val="22"/>
              </w:rPr>
              <w:t>Finanšu mi</w:t>
            </w:r>
            <w:r w:rsidR="176E80F0" w:rsidRPr="00E70ADE">
              <w:rPr>
                <w:sz w:val="22"/>
                <w:szCs w:val="22"/>
              </w:rPr>
              <w:t>nistrija</w:t>
            </w:r>
            <w:r w:rsidR="6AFF8C26" w:rsidRPr="00E70ADE">
              <w:rPr>
                <w:sz w:val="22"/>
                <w:szCs w:val="22"/>
              </w:rPr>
              <w:t>, Tieslietu ministrija</w:t>
            </w:r>
            <w:r w:rsidR="152FFD45" w:rsidRPr="00E70ADE">
              <w:rPr>
                <w:sz w:val="22"/>
                <w:szCs w:val="22"/>
              </w:rPr>
              <w:t xml:space="preserve">, </w:t>
            </w:r>
            <w:r w:rsidR="08653349" w:rsidRPr="00E70ADE">
              <w:rPr>
                <w:rFonts w:eastAsia="Calibri"/>
                <w:sz w:val="22"/>
                <w:szCs w:val="22"/>
              </w:rPr>
              <w:t xml:space="preserve">Vides aizsardzības un reģionālās attīstības ministrija, </w:t>
            </w:r>
            <w:r w:rsidR="0054303A" w:rsidRPr="00E70ADE">
              <w:rPr>
                <w:sz w:val="22"/>
                <w:szCs w:val="22"/>
              </w:rPr>
              <w:t>Zemkopības ministrija</w:t>
            </w:r>
          </w:p>
        </w:tc>
      </w:tr>
      <w:tr w:rsidR="00AE739A" w:rsidRPr="00E70ADE" w14:paraId="042BBC11" w14:textId="77777777" w:rsidTr="3B8D5503">
        <w:trPr>
          <w:trHeight w:val="1341"/>
          <w:tblCellSpacing w:w="0" w:type="dxa"/>
        </w:trPr>
        <w:tc>
          <w:tcPr>
            <w:tcW w:w="6017" w:type="dxa"/>
            <w:gridSpan w:val="2"/>
            <w:hideMark/>
          </w:tcPr>
          <w:p w14:paraId="51A6951B" w14:textId="77777777" w:rsidR="00BB0972" w:rsidRPr="00E70ADE" w:rsidRDefault="00BB0972" w:rsidP="00074BE1">
            <w:pPr>
              <w:rPr>
                <w:sz w:val="22"/>
                <w:szCs w:val="22"/>
              </w:rPr>
            </w:pPr>
          </w:p>
          <w:p w14:paraId="7EB3115C" w14:textId="77777777" w:rsidR="00BB0972" w:rsidRPr="00E70ADE" w:rsidRDefault="00BB0972" w:rsidP="00074BE1">
            <w:pPr>
              <w:rPr>
                <w:sz w:val="22"/>
                <w:szCs w:val="22"/>
              </w:rPr>
            </w:pPr>
            <w:r w:rsidRPr="00E70ADE">
              <w:rPr>
                <w:sz w:val="22"/>
                <w:szCs w:val="22"/>
              </w:rPr>
              <w:t>Saskaņošanas dalībnieki izskatīja šādu ministriju (citu institūciju) iebildumus</w:t>
            </w:r>
          </w:p>
        </w:tc>
        <w:tc>
          <w:tcPr>
            <w:tcW w:w="4864" w:type="dxa"/>
            <w:gridSpan w:val="2"/>
            <w:hideMark/>
          </w:tcPr>
          <w:p w14:paraId="36ADED7C" w14:textId="77777777" w:rsidR="00BB0972" w:rsidRPr="00E70ADE" w:rsidRDefault="00BB0972" w:rsidP="00074BE1">
            <w:pPr>
              <w:rPr>
                <w:sz w:val="22"/>
                <w:szCs w:val="22"/>
              </w:rPr>
            </w:pPr>
          </w:p>
          <w:p w14:paraId="72083DE0" w14:textId="10768A85" w:rsidR="00962313" w:rsidRPr="00E70ADE" w:rsidRDefault="00432FE1" w:rsidP="003E458A">
            <w:pPr>
              <w:rPr>
                <w:sz w:val="22"/>
                <w:szCs w:val="22"/>
              </w:rPr>
            </w:pPr>
            <w:r w:rsidRPr="00E70ADE">
              <w:rPr>
                <w:sz w:val="22"/>
                <w:szCs w:val="22"/>
              </w:rPr>
              <w:t>Finanšu ministrija</w:t>
            </w:r>
            <w:r w:rsidR="000C3947" w:rsidRPr="00E70ADE">
              <w:rPr>
                <w:sz w:val="22"/>
                <w:szCs w:val="22"/>
              </w:rPr>
              <w:t>, Tieslietu ministrija</w:t>
            </w:r>
            <w:r w:rsidR="00872632" w:rsidRPr="00E70ADE">
              <w:rPr>
                <w:sz w:val="22"/>
                <w:szCs w:val="22"/>
              </w:rPr>
              <w:t>, Zemkopības ministrija</w:t>
            </w:r>
          </w:p>
        </w:tc>
        <w:tc>
          <w:tcPr>
            <w:tcW w:w="1899" w:type="dxa"/>
            <w:gridSpan w:val="2"/>
            <w:hideMark/>
          </w:tcPr>
          <w:p w14:paraId="413AB482" w14:textId="77777777" w:rsidR="00BB0972" w:rsidRPr="00E70ADE" w:rsidRDefault="00BB0972" w:rsidP="00074BE1">
            <w:pPr>
              <w:spacing w:before="75" w:after="75"/>
              <w:rPr>
                <w:sz w:val="22"/>
                <w:szCs w:val="22"/>
              </w:rPr>
            </w:pPr>
            <w:r w:rsidRPr="00E70ADE">
              <w:rPr>
                <w:sz w:val="22"/>
                <w:szCs w:val="22"/>
              </w:rPr>
              <w:t> </w:t>
            </w:r>
          </w:p>
        </w:tc>
      </w:tr>
      <w:tr w:rsidR="00BB0972" w:rsidRPr="00E70ADE" w14:paraId="6C8CA90A" w14:textId="77777777" w:rsidTr="3B8D5503">
        <w:trPr>
          <w:trHeight w:val="277"/>
          <w:tblCellSpacing w:w="0" w:type="dxa"/>
        </w:trPr>
        <w:tc>
          <w:tcPr>
            <w:tcW w:w="8167" w:type="dxa"/>
            <w:gridSpan w:val="3"/>
            <w:vAlign w:val="center"/>
            <w:hideMark/>
          </w:tcPr>
          <w:p w14:paraId="1CDA8DAD" w14:textId="77777777" w:rsidR="00BB0972" w:rsidRPr="00E70ADE" w:rsidRDefault="00BB0972" w:rsidP="00074BE1">
            <w:pPr>
              <w:rPr>
                <w:sz w:val="22"/>
                <w:szCs w:val="22"/>
              </w:rPr>
            </w:pPr>
            <w:r w:rsidRPr="00E70AD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E70ADE" w:rsidRDefault="00BB0972" w:rsidP="00074BE1">
            <w:pPr>
              <w:spacing w:before="75" w:after="75"/>
              <w:rPr>
                <w:sz w:val="22"/>
                <w:szCs w:val="22"/>
              </w:rPr>
            </w:pPr>
          </w:p>
        </w:tc>
      </w:tr>
    </w:tbl>
    <w:p w14:paraId="078BD109" w14:textId="77777777" w:rsidR="00720129" w:rsidRPr="00E70ADE" w:rsidRDefault="00720129" w:rsidP="00B633B1">
      <w:pPr>
        <w:ind w:left="1440" w:firstLine="720"/>
        <w:jc w:val="center"/>
        <w:rPr>
          <w:b/>
          <w:bCs/>
          <w:sz w:val="22"/>
          <w:szCs w:val="22"/>
        </w:rPr>
      </w:pPr>
    </w:p>
    <w:p w14:paraId="56E37D8F" w14:textId="7CFE09A4" w:rsidR="00BD6FD2" w:rsidRPr="00E70ADE" w:rsidRDefault="002F27C3" w:rsidP="006F53EE">
      <w:pPr>
        <w:spacing w:after="200" w:line="276" w:lineRule="auto"/>
        <w:jc w:val="center"/>
        <w:rPr>
          <w:b/>
          <w:bCs/>
          <w:sz w:val="22"/>
          <w:szCs w:val="22"/>
        </w:rPr>
      </w:pPr>
      <w:r w:rsidRPr="00E70ADE">
        <w:rPr>
          <w:b/>
          <w:bCs/>
          <w:sz w:val="22"/>
          <w:szCs w:val="22"/>
        </w:rPr>
        <w:br w:type="page"/>
      </w:r>
      <w:r w:rsidR="00BD6FD2" w:rsidRPr="00E70ADE">
        <w:rPr>
          <w:b/>
          <w:bCs/>
          <w:sz w:val="22"/>
          <w:szCs w:val="22"/>
        </w:rPr>
        <w:lastRenderedPageBreak/>
        <w:t xml:space="preserve">II. Jautājumi, par kuriem saskaņošanā </w:t>
      </w:r>
      <w:r w:rsidR="00962313" w:rsidRPr="00E70ADE">
        <w:rPr>
          <w:b/>
          <w:bCs/>
          <w:sz w:val="22"/>
          <w:szCs w:val="22"/>
        </w:rPr>
        <w:t xml:space="preserve">vienošanās </w:t>
      </w:r>
      <w:r w:rsidR="00BD6FD2" w:rsidRPr="00E70ADE">
        <w:rPr>
          <w:b/>
          <w:bCs/>
          <w:sz w:val="22"/>
          <w:szCs w:val="22"/>
        </w:rPr>
        <w:t>ir panākta</w:t>
      </w:r>
    </w:p>
    <w:p w14:paraId="7054B821" w14:textId="77777777" w:rsidR="00962313" w:rsidRPr="00E70ADE"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863"/>
        <w:gridCol w:w="10"/>
        <w:gridCol w:w="3365"/>
        <w:gridCol w:w="91"/>
        <w:gridCol w:w="3640"/>
        <w:gridCol w:w="3766"/>
        <w:gridCol w:w="3007"/>
        <w:gridCol w:w="488"/>
        <w:gridCol w:w="1318"/>
      </w:tblGrid>
      <w:tr w:rsidR="007E45B2" w:rsidRPr="00E70ADE" w14:paraId="65EC4B4F" w14:textId="77777777" w:rsidTr="002A170A">
        <w:trPr>
          <w:gridAfter w:val="1"/>
          <w:wAfter w:w="1318" w:type="dxa"/>
          <w:trHeight w:val="1520"/>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D28BA61" w14:textId="77777777" w:rsidR="00BD6FD2" w:rsidRPr="00E70ADE" w:rsidRDefault="00BD6FD2" w:rsidP="00CE0F21">
            <w:pPr>
              <w:spacing w:before="75" w:after="75"/>
              <w:rPr>
                <w:sz w:val="22"/>
                <w:szCs w:val="22"/>
              </w:rPr>
            </w:pPr>
            <w:r w:rsidRPr="00E70ADE">
              <w:rPr>
                <w:sz w:val="22"/>
                <w:szCs w:val="22"/>
              </w:rPr>
              <w:t>Nr. p.k.</w:t>
            </w: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E8306C3" w14:textId="77777777" w:rsidR="00BD6FD2" w:rsidRPr="00E70ADE" w:rsidRDefault="00BD6FD2" w:rsidP="00F43A16">
            <w:pPr>
              <w:spacing w:before="75" w:after="75"/>
              <w:ind w:right="127"/>
              <w:jc w:val="center"/>
              <w:rPr>
                <w:sz w:val="22"/>
                <w:szCs w:val="22"/>
              </w:rPr>
            </w:pPr>
            <w:r w:rsidRPr="00E70ADE">
              <w:rPr>
                <w:sz w:val="22"/>
                <w:szCs w:val="22"/>
              </w:rPr>
              <w:t>Saskaņošanai nosūtītā projekta redakcija (konkrēta punkta (panta) redakcija)</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3A7337E" w14:textId="77777777" w:rsidR="00BD6FD2" w:rsidRPr="00E70ADE" w:rsidRDefault="00BD6FD2" w:rsidP="00C14E10">
            <w:pPr>
              <w:spacing w:before="75" w:after="75"/>
              <w:ind w:left="127" w:right="127"/>
              <w:jc w:val="both"/>
              <w:rPr>
                <w:sz w:val="22"/>
                <w:szCs w:val="22"/>
              </w:rPr>
            </w:pPr>
            <w:r w:rsidRPr="00E70ADE">
              <w:rPr>
                <w:sz w:val="22"/>
                <w:szCs w:val="22"/>
              </w:rPr>
              <w:t>Atzinumā norādītais ministrijas (citas institūcijas) iebildums, kā arī saskaņošanā papildus izteiktais iebildums par projekta konkrēto punktu (pantu)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06F3BA4" w14:textId="77777777" w:rsidR="00BD6FD2" w:rsidRPr="00E70ADE" w:rsidRDefault="00BD6FD2" w:rsidP="00F43A16">
            <w:pPr>
              <w:spacing w:before="75" w:after="75"/>
              <w:ind w:left="140" w:right="127"/>
              <w:jc w:val="center"/>
              <w:rPr>
                <w:sz w:val="22"/>
                <w:szCs w:val="22"/>
              </w:rPr>
            </w:pPr>
            <w:r w:rsidRPr="00E70ADE">
              <w:rPr>
                <w:sz w:val="22"/>
                <w:szCs w:val="22"/>
              </w:rPr>
              <w:t>Atbildīgās ministrijas norāde par to, ka iebildums ir ņemts vērā, vai informācija par saskaņošanā panākto alternatīvo risinājumu</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64FFEBC" w14:textId="77777777" w:rsidR="00BD6FD2" w:rsidRPr="00E70ADE" w:rsidRDefault="00BD6FD2" w:rsidP="00F43A16">
            <w:pPr>
              <w:spacing w:before="75" w:after="75"/>
              <w:ind w:right="127"/>
              <w:jc w:val="center"/>
              <w:rPr>
                <w:sz w:val="22"/>
                <w:szCs w:val="22"/>
              </w:rPr>
            </w:pPr>
            <w:r w:rsidRPr="00E70ADE">
              <w:rPr>
                <w:sz w:val="22"/>
                <w:szCs w:val="22"/>
              </w:rPr>
              <w:t>Projekta attiecīgā punkta (panta) galīgā redakcija</w:t>
            </w:r>
          </w:p>
        </w:tc>
      </w:tr>
      <w:tr w:rsidR="007E45B2" w:rsidRPr="00E70ADE" w14:paraId="460DA60A" w14:textId="77777777" w:rsidTr="002A170A">
        <w:trPr>
          <w:gridAfter w:val="1"/>
          <w:wAfter w:w="1318" w:type="dxa"/>
          <w:trHeight w:val="251"/>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35120DCF" w14:textId="77777777" w:rsidR="00BD6FD2" w:rsidRPr="00E70ADE" w:rsidRDefault="00BD6FD2" w:rsidP="00CE0F21">
            <w:pPr>
              <w:rPr>
                <w:sz w:val="22"/>
                <w:szCs w:val="22"/>
              </w:rPr>
            </w:pPr>
            <w:r w:rsidRPr="00E70ADE">
              <w:rPr>
                <w:sz w:val="22"/>
                <w:szCs w:val="22"/>
              </w:rPr>
              <w:t>1</w:t>
            </w: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10A89E8F" w14:textId="77777777" w:rsidR="00BD6FD2" w:rsidRPr="00E70ADE" w:rsidRDefault="00BD6FD2" w:rsidP="00CD2D93">
            <w:pPr>
              <w:jc w:val="center"/>
              <w:rPr>
                <w:sz w:val="22"/>
                <w:szCs w:val="22"/>
              </w:rPr>
            </w:pPr>
            <w:r w:rsidRPr="00E70ADE">
              <w:rPr>
                <w:sz w:val="22"/>
                <w:szCs w:val="22"/>
              </w:rPr>
              <w:t>2</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2FD79E0E" w14:textId="77777777" w:rsidR="00BD6FD2" w:rsidRPr="00E70ADE" w:rsidRDefault="00BD6FD2" w:rsidP="0005481B">
            <w:pPr>
              <w:jc w:val="center"/>
              <w:rPr>
                <w:sz w:val="22"/>
                <w:szCs w:val="22"/>
              </w:rPr>
            </w:pPr>
            <w:r w:rsidRPr="00E70ADE">
              <w:rPr>
                <w:sz w:val="22"/>
                <w:szCs w:val="22"/>
              </w:rPr>
              <w:t>3</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7DD74B36" w14:textId="77777777" w:rsidR="00BD6FD2" w:rsidRPr="00E70ADE" w:rsidRDefault="00BD6FD2" w:rsidP="00CD2D93">
            <w:pPr>
              <w:jc w:val="center"/>
              <w:rPr>
                <w:sz w:val="22"/>
                <w:szCs w:val="22"/>
              </w:rPr>
            </w:pPr>
            <w:r w:rsidRPr="00E70ADE">
              <w:rPr>
                <w:sz w:val="22"/>
                <w:szCs w:val="22"/>
              </w:rPr>
              <w:t>4</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476D4570" w14:textId="77777777" w:rsidR="00BD6FD2" w:rsidRPr="00E70ADE" w:rsidRDefault="00BD6FD2" w:rsidP="00CD2D93">
            <w:pPr>
              <w:jc w:val="center"/>
              <w:rPr>
                <w:sz w:val="22"/>
                <w:szCs w:val="22"/>
              </w:rPr>
            </w:pPr>
            <w:r w:rsidRPr="00E70ADE">
              <w:rPr>
                <w:sz w:val="22"/>
                <w:szCs w:val="22"/>
              </w:rPr>
              <w:t>5</w:t>
            </w:r>
          </w:p>
        </w:tc>
      </w:tr>
      <w:tr w:rsidR="007E45B2" w:rsidRPr="00E70ADE" w14:paraId="1E34DECF"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117EBDE" w14:textId="77777777" w:rsidR="00E74231" w:rsidRPr="00E70ADE" w:rsidRDefault="00E74231"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DC053FB" w14:textId="3C257EDE" w:rsidR="00E74231" w:rsidRPr="00E70ADE" w:rsidRDefault="00E74231" w:rsidP="00F63CCF">
            <w:pPr>
              <w:shd w:val="clear" w:color="auto" w:fill="FFFFFF"/>
              <w:spacing w:after="120"/>
              <w:jc w:val="both"/>
              <w:rPr>
                <w:sz w:val="22"/>
                <w:szCs w:val="22"/>
              </w:rPr>
            </w:pPr>
            <w:r w:rsidRPr="00E70ADE">
              <w:rPr>
                <w:sz w:val="22"/>
                <w:szCs w:val="22"/>
              </w:rPr>
              <w:t>Noteikumu projekts</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6627DBB" w14:textId="01F7614B" w:rsidR="00E74231" w:rsidRPr="00E70ADE" w:rsidRDefault="2662EC11" w:rsidP="07D0FF5C">
            <w:pPr>
              <w:tabs>
                <w:tab w:val="left" w:pos="1134"/>
              </w:tabs>
              <w:spacing w:after="160" w:line="252" w:lineRule="auto"/>
              <w:contextualSpacing/>
              <w:jc w:val="center"/>
              <w:rPr>
                <w:rFonts w:eastAsia="Calibri"/>
                <w:b/>
                <w:bCs/>
                <w:sz w:val="22"/>
                <w:szCs w:val="22"/>
              </w:rPr>
            </w:pPr>
            <w:r w:rsidRPr="00E70ADE">
              <w:rPr>
                <w:rFonts w:eastAsia="Calibri"/>
                <w:b/>
                <w:bCs/>
                <w:sz w:val="22"/>
                <w:szCs w:val="22"/>
              </w:rPr>
              <w:t>Finanšu ministrija (11.08.2020.)</w:t>
            </w:r>
            <w:r w:rsidR="00BA77EB" w:rsidRPr="00E70ADE">
              <w:rPr>
                <w:rFonts w:eastAsia="Calibri"/>
                <w:b/>
                <w:bCs/>
                <w:sz w:val="22"/>
                <w:szCs w:val="22"/>
              </w:rPr>
              <w:t xml:space="preserve"> iebildums</w:t>
            </w:r>
          </w:p>
          <w:p w14:paraId="3A3E788B" w14:textId="2005D77B" w:rsidR="00E74231" w:rsidRPr="00E70ADE" w:rsidRDefault="2662EC11" w:rsidP="00FF387A">
            <w:pPr>
              <w:spacing w:after="160" w:line="252" w:lineRule="auto"/>
              <w:jc w:val="both"/>
              <w:rPr>
                <w:rFonts w:eastAsia="Calibri"/>
                <w:b/>
                <w:bCs/>
                <w:sz w:val="22"/>
                <w:szCs w:val="22"/>
              </w:rPr>
            </w:pPr>
            <w:r w:rsidRPr="00E70ADE">
              <w:rPr>
                <w:sz w:val="22"/>
                <w:szCs w:val="22"/>
              </w:rPr>
              <w:t>Lūdzam pārskatīt visu noteikumu projektu un precizēt tā punktos lietotās atsauces uz citiem noteikumu projekta punktiem, skat. piemēram, noteikumu projekta 68. punktu.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DCAE28A" w14:textId="77777777" w:rsidR="00E74231" w:rsidRPr="00E70ADE" w:rsidRDefault="00836787" w:rsidP="00F63CCF">
            <w:pPr>
              <w:pStyle w:val="naisc"/>
              <w:spacing w:before="0" w:after="0"/>
              <w:rPr>
                <w:b/>
                <w:sz w:val="22"/>
                <w:szCs w:val="22"/>
              </w:rPr>
            </w:pPr>
            <w:r w:rsidRPr="00E70ADE">
              <w:rPr>
                <w:b/>
                <w:sz w:val="22"/>
                <w:szCs w:val="22"/>
              </w:rPr>
              <w:t>Iebildums ir ņemts vērā</w:t>
            </w:r>
          </w:p>
          <w:p w14:paraId="09A33AB0" w14:textId="192BB0AC" w:rsidR="004B73D7" w:rsidRPr="00E70ADE" w:rsidRDefault="009B3E1B" w:rsidP="009B3E1B">
            <w:pPr>
              <w:pStyle w:val="naisc"/>
              <w:spacing w:before="0" w:after="0"/>
              <w:jc w:val="left"/>
              <w:rPr>
                <w:bCs/>
                <w:sz w:val="22"/>
                <w:szCs w:val="22"/>
              </w:rPr>
            </w:pPr>
            <w:r w:rsidRPr="00E70ADE">
              <w:rPr>
                <w:bCs/>
                <w:sz w:val="22"/>
                <w:szCs w:val="22"/>
              </w:rPr>
              <w:t>Atsauces precizētas visā projekta tekstā.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60F26FC" w14:textId="11EF0749" w:rsidR="00E74231" w:rsidRPr="00E70ADE" w:rsidRDefault="00BA77EB" w:rsidP="00F63CCF">
            <w:pPr>
              <w:shd w:val="clear" w:color="auto" w:fill="FFFFFF"/>
              <w:spacing w:after="120"/>
              <w:jc w:val="both"/>
              <w:rPr>
                <w:sz w:val="22"/>
                <w:szCs w:val="22"/>
              </w:rPr>
            </w:pPr>
            <w:r w:rsidRPr="00E70ADE">
              <w:rPr>
                <w:sz w:val="22"/>
                <w:szCs w:val="22"/>
              </w:rPr>
              <w:t>Noteikumu projekts</w:t>
            </w:r>
          </w:p>
        </w:tc>
        <w:tc>
          <w:tcPr>
            <w:tcW w:w="1318" w:type="dxa"/>
          </w:tcPr>
          <w:p w14:paraId="1E578277" w14:textId="77777777" w:rsidR="00E74231" w:rsidRPr="00E70ADE" w:rsidRDefault="00E74231" w:rsidP="00F63CCF">
            <w:pPr>
              <w:jc w:val="both"/>
              <w:rPr>
                <w:sz w:val="22"/>
                <w:szCs w:val="22"/>
              </w:rPr>
            </w:pPr>
          </w:p>
        </w:tc>
      </w:tr>
      <w:tr w:rsidR="007E45B2" w:rsidRPr="00E70ADE" w14:paraId="33E917FA"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7E2318D" w14:textId="0D5B1F22" w:rsidR="597AB4C5" w:rsidRPr="00E70ADE" w:rsidRDefault="597AB4C5"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F5B8E1" w14:textId="63D83842" w:rsidR="597AB4C5" w:rsidRPr="00E70ADE" w:rsidRDefault="000276D4" w:rsidP="597AB4C5">
            <w:pPr>
              <w:jc w:val="both"/>
              <w:rPr>
                <w:sz w:val="22"/>
                <w:szCs w:val="22"/>
                <w:highlight w:val="red"/>
              </w:rPr>
            </w:pPr>
            <w:r w:rsidRPr="00E70ADE">
              <w:rPr>
                <w:i/>
                <w:iCs/>
                <w:sz w:val="22"/>
                <w:szCs w:val="22"/>
              </w:rPr>
              <w:t>Izdoti saskaņā ar </w:t>
            </w:r>
            <w:hyperlink r:id="rId8" w:tgtFrame="_blank" w:history="1">
              <w:r w:rsidRPr="00E70ADE">
                <w:rPr>
                  <w:i/>
                  <w:iCs/>
                  <w:sz w:val="22"/>
                  <w:szCs w:val="22"/>
                </w:rPr>
                <w:t>Elektroenerģijas tirgus likuma</w:t>
              </w:r>
            </w:hyperlink>
            <w:r w:rsidRPr="00E70ADE">
              <w:rPr>
                <w:i/>
                <w:iCs/>
                <w:sz w:val="22"/>
                <w:szCs w:val="22"/>
              </w:rPr>
              <w:t> </w:t>
            </w:r>
            <w:hyperlink r:id="rId9" w:anchor="p28" w:tgtFrame="_blank" w:history="1">
              <w:r w:rsidRPr="00E70ADE">
                <w:rPr>
                  <w:i/>
                  <w:iCs/>
                  <w:sz w:val="22"/>
                  <w:szCs w:val="22"/>
                </w:rPr>
                <w:t>28.</w:t>
              </w:r>
            </w:hyperlink>
            <w:r w:rsidRPr="00E70ADE">
              <w:rPr>
                <w:i/>
                <w:iCs/>
                <w:sz w:val="22"/>
                <w:szCs w:val="22"/>
              </w:rPr>
              <w:t> panta otro daļu,</w:t>
            </w:r>
            <w:r w:rsidRPr="00E70ADE">
              <w:rPr>
                <w:i/>
                <w:iCs/>
                <w:sz w:val="22"/>
                <w:szCs w:val="22"/>
              </w:rPr>
              <w:br/>
            </w:r>
            <w:hyperlink r:id="rId10" w:anchor="p28.1%C2%A0" w:tgtFrame="_blank" w:history="1">
              <w:r w:rsidRPr="00E70ADE">
                <w:rPr>
                  <w:i/>
                  <w:iCs/>
                  <w:sz w:val="22"/>
                  <w:szCs w:val="22"/>
                </w:rPr>
                <w:t>28.</w:t>
              </w:r>
              <w:r w:rsidRPr="00E70ADE">
                <w:rPr>
                  <w:i/>
                  <w:iCs/>
                  <w:sz w:val="22"/>
                  <w:szCs w:val="22"/>
                  <w:vertAlign w:val="superscript"/>
                </w:rPr>
                <w:t>1 </w:t>
              </w:r>
              <w:r w:rsidRPr="00E70ADE">
                <w:rPr>
                  <w:i/>
                  <w:iCs/>
                  <w:sz w:val="22"/>
                  <w:szCs w:val="22"/>
                </w:rPr>
                <w:t>panta</w:t>
              </w:r>
            </w:hyperlink>
            <w:r w:rsidRPr="00E70ADE">
              <w:rPr>
                <w:i/>
                <w:iCs/>
                <w:sz w:val="22"/>
                <w:szCs w:val="22"/>
              </w:rPr>
              <w:t> otro daļu, </w:t>
            </w:r>
            <w:hyperlink r:id="rId11" w:anchor="p31.1" w:tgtFrame="_blank" w:history="1">
              <w:r w:rsidRPr="00E70ADE">
                <w:rPr>
                  <w:i/>
                  <w:iCs/>
                  <w:sz w:val="22"/>
                  <w:szCs w:val="22"/>
                </w:rPr>
                <w:t>31.</w:t>
              </w:r>
              <w:r w:rsidRPr="00E70ADE">
                <w:rPr>
                  <w:i/>
                  <w:iCs/>
                  <w:sz w:val="22"/>
                  <w:szCs w:val="22"/>
                  <w:vertAlign w:val="superscript"/>
                </w:rPr>
                <w:t>1</w:t>
              </w:r>
            </w:hyperlink>
            <w:r w:rsidRPr="00E70ADE">
              <w:rPr>
                <w:i/>
                <w:iCs/>
                <w:sz w:val="22"/>
                <w:szCs w:val="22"/>
              </w:rPr>
              <w:t> panta devīto daļu, </w:t>
            </w:r>
            <w:hyperlink r:id="rId12" w:anchor="p31.2" w:tgtFrame="_blank" w:history="1">
              <w:r w:rsidRPr="00E70ADE">
                <w:rPr>
                  <w:i/>
                  <w:iCs/>
                  <w:sz w:val="22"/>
                  <w:szCs w:val="22"/>
                </w:rPr>
                <w:t>31.</w:t>
              </w:r>
              <w:r w:rsidRPr="00E70ADE">
                <w:rPr>
                  <w:i/>
                  <w:iCs/>
                  <w:sz w:val="22"/>
                  <w:szCs w:val="22"/>
                  <w:vertAlign w:val="superscript"/>
                </w:rPr>
                <w:t>2</w:t>
              </w:r>
            </w:hyperlink>
            <w:r w:rsidRPr="00E70ADE">
              <w:rPr>
                <w:i/>
                <w:iCs/>
                <w:sz w:val="22"/>
                <w:szCs w:val="22"/>
              </w:rPr>
              <w:t xml:space="preserve"> panta trešo un piekto daļu, </w:t>
            </w:r>
            <w:hyperlink r:id="rId13" w:anchor="p31.2" w:tgtFrame="_blank" w:history="1">
              <w:r w:rsidRPr="00E70ADE">
                <w:rPr>
                  <w:i/>
                  <w:iCs/>
                  <w:sz w:val="22"/>
                  <w:szCs w:val="22"/>
                </w:rPr>
                <w:t>31.</w:t>
              </w:r>
              <w:r w:rsidRPr="00E70ADE">
                <w:rPr>
                  <w:i/>
                  <w:iCs/>
                  <w:sz w:val="22"/>
                  <w:szCs w:val="22"/>
                  <w:vertAlign w:val="superscript"/>
                </w:rPr>
                <w:t>3</w:t>
              </w:r>
            </w:hyperlink>
            <w:r w:rsidRPr="00E70ADE">
              <w:rPr>
                <w:i/>
                <w:iCs/>
                <w:sz w:val="22"/>
                <w:szCs w:val="22"/>
              </w:rPr>
              <w:t> panta trešo daļu, 31.</w:t>
            </w:r>
            <w:r w:rsidRPr="00E70ADE">
              <w:rPr>
                <w:i/>
                <w:iCs/>
                <w:sz w:val="22"/>
                <w:szCs w:val="22"/>
                <w:vertAlign w:val="superscript"/>
              </w:rPr>
              <w:t>4</w:t>
            </w:r>
            <w:r w:rsidRPr="00E70ADE">
              <w:rPr>
                <w:i/>
                <w:iCs/>
                <w:sz w:val="22"/>
                <w:szCs w:val="22"/>
              </w:rPr>
              <w:t xml:space="preserve"> panta otro daļu un </w:t>
            </w:r>
            <w:hyperlink r:id="rId14" w:anchor="p31.2" w:tgtFrame="_blank" w:history="1">
              <w:r w:rsidRPr="00E70ADE">
                <w:rPr>
                  <w:i/>
                  <w:iCs/>
                  <w:sz w:val="22"/>
                  <w:szCs w:val="22"/>
                </w:rPr>
                <w:t>31.</w:t>
              </w:r>
              <w:r w:rsidRPr="00E70ADE">
                <w:rPr>
                  <w:i/>
                  <w:iCs/>
                  <w:sz w:val="22"/>
                  <w:szCs w:val="22"/>
                  <w:vertAlign w:val="superscript"/>
                </w:rPr>
                <w:t>5</w:t>
              </w:r>
            </w:hyperlink>
            <w:r w:rsidRPr="00E70ADE">
              <w:rPr>
                <w:i/>
                <w:iCs/>
                <w:sz w:val="22"/>
                <w:szCs w:val="22"/>
              </w:rPr>
              <w:t> panta trešo daļu,</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925ADCE" w14:textId="5629CB06" w:rsidR="52740A4B" w:rsidRPr="00E70ADE" w:rsidRDefault="52740A4B" w:rsidP="597AB4C5">
            <w:pPr>
              <w:spacing w:line="252" w:lineRule="auto"/>
              <w:jc w:val="center"/>
              <w:rPr>
                <w:b/>
                <w:bCs/>
                <w:sz w:val="22"/>
                <w:szCs w:val="22"/>
              </w:rPr>
            </w:pPr>
            <w:r w:rsidRPr="00E70ADE">
              <w:rPr>
                <w:b/>
                <w:bCs/>
                <w:sz w:val="22"/>
                <w:szCs w:val="22"/>
              </w:rPr>
              <w:t>Tieslietu ministrija (14.08.2020)</w:t>
            </w:r>
            <w:r w:rsidR="00BA77EB" w:rsidRPr="00E70ADE">
              <w:rPr>
                <w:b/>
                <w:bCs/>
                <w:sz w:val="22"/>
                <w:szCs w:val="22"/>
              </w:rPr>
              <w:t xml:space="preserve"> </w:t>
            </w:r>
            <w:r w:rsidR="00BA77EB" w:rsidRPr="00E70ADE">
              <w:rPr>
                <w:rFonts w:eastAsia="Calibri"/>
                <w:b/>
                <w:bCs/>
                <w:sz w:val="22"/>
                <w:szCs w:val="22"/>
              </w:rPr>
              <w:t>iebildums</w:t>
            </w:r>
          </w:p>
          <w:p w14:paraId="5CE9AF0E" w14:textId="03CA3E23" w:rsidR="52740A4B" w:rsidRPr="00E70ADE" w:rsidRDefault="52740A4B" w:rsidP="597AB4C5">
            <w:pPr>
              <w:jc w:val="both"/>
              <w:rPr>
                <w:sz w:val="22"/>
                <w:szCs w:val="22"/>
              </w:rPr>
            </w:pPr>
            <w:r w:rsidRPr="00E70ADE">
              <w:rPr>
                <w:sz w:val="22"/>
                <w:szCs w:val="22"/>
              </w:rPr>
              <w:t>Zem projekta nosaukuma esošo norādi, uz kāda likuma pamata projekts sagatavots, nepieciešams precizēt, svītrojot skaitli un vārdus “31.</w:t>
            </w:r>
            <w:r w:rsidRPr="00E70ADE">
              <w:rPr>
                <w:sz w:val="22"/>
                <w:szCs w:val="22"/>
                <w:vertAlign w:val="superscript"/>
              </w:rPr>
              <w:t>5</w:t>
            </w:r>
            <w:r w:rsidRPr="00E70ADE">
              <w:rPr>
                <w:sz w:val="22"/>
                <w:szCs w:val="22"/>
              </w:rPr>
              <w:t xml:space="preserve"> panta trešo daļu”. Vēršam uzmanību, ka projektā paredzētajos Ministru kabineta noteikumos, kuri stāsies spēkā 2020. gada 1. septembrī, norādē nevar būt spēkā neesošas likuma normas. Tāpat arī projektā, piemēram, tā 4. punktā, nevar būt nākotnes regulējums, kas atbilstoši Elektroenerģijas tirgus likumā (turpmāk – likums) noteiktajam būs spēkā no 2021. gada 1. janvāra. Ievērojot minēto, projektu nepieciešams atbilstoši precizēt. Papildus vēlamies norādīt, ka likumdevēja vara Latvijā pieder Saeimai. Savukārt Ministru kabinets likumdošanas jomā, lai izdotu Ministru kabineta </w:t>
            </w:r>
            <w:r w:rsidRPr="00E70ADE">
              <w:rPr>
                <w:sz w:val="22"/>
                <w:szCs w:val="22"/>
              </w:rPr>
              <w:lastRenderedPageBreak/>
              <w:t>noteikumus, var rīkoties atbilstoši likuma pilnvarojumam un tiesību normu spēkam laikā vienotā tiesību sistēmā. Tādējādi piedāvājam regulējumu, kas stāsies spēkā no 2021. gada 1. janvāra, ieviest atsevišķi, ar grozījumiem spēkā esošajos Ministru kabineta noteikumos.</w:t>
            </w:r>
          </w:p>
          <w:p w14:paraId="7DE1127D" w14:textId="4A0C95C5" w:rsidR="597AB4C5" w:rsidRPr="00E70ADE" w:rsidRDefault="597AB4C5" w:rsidP="597AB4C5">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E09A0A1" w14:textId="77777777" w:rsidR="597AB4C5" w:rsidRPr="00E70ADE" w:rsidRDefault="00407B18" w:rsidP="597AB4C5">
            <w:pPr>
              <w:pStyle w:val="naisc"/>
              <w:rPr>
                <w:b/>
                <w:bCs/>
                <w:sz w:val="22"/>
                <w:szCs w:val="22"/>
              </w:rPr>
            </w:pPr>
            <w:r w:rsidRPr="00E70ADE">
              <w:rPr>
                <w:b/>
                <w:bCs/>
                <w:sz w:val="22"/>
                <w:szCs w:val="22"/>
              </w:rPr>
              <w:lastRenderedPageBreak/>
              <w:t xml:space="preserve">Iebildums </w:t>
            </w:r>
            <w:r w:rsidR="005D3F3D" w:rsidRPr="00E70ADE">
              <w:rPr>
                <w:b/>
                <w:bCs/>
                <w:sz w:val="22"/>
                <w:szCs w:val="22"/>
              </w:rPr>
              <w:t>ir</w:t>
            </w:r>
            <w:r w:rsidRPr="00E70ADE">
              <w:rPr>
                <w:b/>
                <w:bCs/>
                <w:sz w:val="22"/>
                <w:szCs w:val="22"/>
              </w:rPr>
              <w:t xml:space="preserve"> ņemts vērā.</w:t>
            </w:r>
          </w:p>
          <w:p w14:paraId="7632BB7A" w14:textId="38E47F8F" w:rsidR="005D3F3D" w:rsidRPr="00E70ADE" w:rsidRDefault="005D3F3D" w:rsidP="005D3F3D">
            <w:pPr>
              <w:pStyle w:val="naisc"/>
              <w:jc w:val="left"/>
              <w:rPr>
                <w:b/>
                <w:bCs/>
                <w:sz w:val="22"/>
                <w:szCs w:val="22"/>
              </w:rPr>
            </w:pPr>
            <w:r w:rsidRPr="00E70ADE">
              <w:rPr>
                <w:sz w:val="22"/>
                <w:szCs w:val="22"/>
              </w:rPr>
              <w:t>Zem projekta nosaukuma esošo norādi, uz kāda likuma pamata projekts sagatavots, svītrots skaitlis un vārds “31.</w:t>
            </w:r>
            <w:r w:rsidRPr="00E70ADE">
              <w:rPr>
                <w:sz w:val="22"/>
                <w:szCs w:val="22"/>
                <w:vertAlign w:val="superscript"/>
              </w:rPr>
              <w:t>5</w:t>
            </w:r>
            <w:r w:rsidRPr="00E70ADE">
              <w:rPr>
                <w:sz w:val="22"/>
                <w:szCs w:val="22"/>
              </w:rPr>
              <w:t xml:space="preserve"> panta trešo daļu”. Visā projekta tekstā</w:t>
            </w:r>
            <w:r w:rsidR="003234E1" w:rsidRPr="00E70ADE">
              <w:rPr>
                <w:sz w:val="22"/>
                <w:szCs w:val="22"/>
              </w:rPr>
              <w:t xml:space="preserve"> svītrotas normas, kas regulē vai atsaucas uz vienotā tehnoloģiskā cikla principu.</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C2AADE3" w14:textId="6688C57B" w:rsidR="597AB4C5" w:rsidRPr="00E70ADE" w:rsidRDefault="000276D4" w:rsidP="597AB4C5">
            <w:pPr>
              <w:jc w:val="both"/>
              <w:rPr>
                <w:sz w:val="22"/>
                <w:szCs w:val="22"/>
              </w:rPr>
            </w:pPr>
            <w:r w:rsidRPr="00E70ADE">
              <w:rPr>
                <w:i/>
                <w:iCs/>
                <w:sz w:val="22"/>
                <w:szCs w:val="22"/>
              </w:rPr>
              <w:t>Izdoti saskaņā ar </w:t>
            </w:r>
            <w:hyperlink r:id="rId15" w:tgtFrame="_blank" w:history="1">
              <w:r w:rsidRPr="00E70ADE">
                <w:rPr>
                  <w:i/>
                  <w:iCs/>
                  <w:sz w:val="22"/>
                  <w:szCs w:val="22"/>
                </w:rPr>
                <w:t>Elektroenerģijas tirgus likuma</w:t>
              </w:r>
            </w:hyperlink>
            <w:r w:rsidRPr="00E70ADE">
              <w:rPr>
                <w:i/>
                <w:iCs/>
                <w:sz w:val="22"/>
                <w:szCs w:val="22"/>
              </w:rPr>
              <w:t> </w:t>
            </w:r>
            <w:hyperlink r:id="rId16" w:anchor="p28" w:tgtFrame="_blank" w:history="1">
              <w:r w:rsidRPr="00E70ADE">
                <w:rPr>
                  <w:i/>
                  <w:iCs/>
                  <w:sz w:val="22"/>
                  <w:szCs w:val="22"/>
                </w:rPr>
                <w:t>28.</w:t>
              </w:r>
            </w:hyperlink>
            <w:r w:rsidRPr="00E70ADE">
              <w:rPr>
                <w:i/>
                <w:iCs/>
                <w:sz w:val="22"/>
                <w:szCs w:val="22"/>
              </w:rPr>
              <w:t> panta otro daļu,</w:t>
            </w:r>
            <w:r w:rsidRPr="00E70ADE">
              <w:rPr>
                <w:i/>
                <w:iCs/>
                <w:sz w:val="22"/>
                <w:szCs w:val="22"/>
              </w:rPr>
              <w:br/>
            </w:r>
            <w:hyperlink r:id="rId17" w:anchor="p28.1%C2%A0" w:tgtFrame="_blank" w:history="1">
              <w:r w:rsidRPr="00E70ADE">
                <w:rPr>
                  <w:i/>
                  <w:iCs/>
                  <w:sz w:val="22"/>
                  <w:szCs w:val="22"/>
                </w:rPr>
                <w:t>28.</w:t>
              </w:r>
              <w:r w:rsidRPr="00E70ADE">
                <w:rPr>
                  <w:i/>
                  <w:iCs/>
                  <w:sz w:val="22"/>
                  <w:szCs w:val="22"/>
                  <w:vertAlign w:val="superscript"/>
                </w:rPr>
                <w:t>1 </w:t>
              </w:r>
              <w:r w:rsidRPr="00E70ADE">
                <w:rPr>
                  <w:i/>
                  <w:iCs/>
                  <w:sz w:val="22"/>
                  <w:szCs w:val="22"/>
                </w:rPr>
                <w:t>panta</w:t>
              </w:r>
            </w:hyperlink>
            <w:r w:rsidRPr="00E70ADE">
              <w:rPr>
                <w:i/>
                <w:iCs/>
                <w:sz w:val="22"/>
                <w:szCs w:val="22"/>
              </w:rPr>
              <w:t> otro daļu, </w:t>
            </w:r>
            <w:hyperlink r:id="rId18" w:anchor="p31.1" w:tgtFrame="_blank" w:history="1">
              <w:r w:rsidRPr="00E70ADE">
                <w:rPr>
                  <w:i/>
                  <w:iCs/>
                  <w:sz w:val="22"/>
                  <w:szCs w:val="22"/>
                </w:rPr>
                <w:t>31.</w:t>
              </w:r>
              <w:r w:rsidRPr="00E70ADE">
                <w:rPr>
                  <w:i/>
                  <w:iCs/>
                  <w:sz w:val="22"/>
                  <w:szCs w:val="22"/>
                  <w:vertAlign w:val="superscript"/>
                </w:rPr>
                <w:t>1</w:t>
              </w:r>
            </w:hyperlink>
            <w:r w:rsidRPr="00E70ADE">
              <w:rPr>
                <w:i/>
                <w:iCs/>
                <w:sz w:val="22"/>
                <w:szCs w:val="22"/>
              </w:rPr>
              <w:t> panta devīto daļu, </w:t>
            </w:r>
            <w:hyperlink r:id="rId19" w:anchor="p31.2" w:tgtFrame="_blank" w:history="1">
              <w:r w:rsidRPr="00E70ADE">
                <w:rPr>
                  <w:i/>
                  <w:iCs/>
                  <w:sz w:val="22"/>
                  <w:szCs w:val="22"/>
                </w:rPr>
                <w:t>31.</w:t>
              </w:r>
              <w:r w:rsidRPr="00E70ADE">
                <w:rPr>
                  <w:i/>
                  <w:iCs/>
                  <w:sz w:val="22"/>
                  <w:szCs w:val="22"/>
                  <w:vertAlign w:val="superscript"/>
                </w:rPr>
                <w:t>2</w:t>
              </w:r>
            </w:hyperlink>
            <w:r w:rsidRPr="00E70ADE">
              <w:rPr>
                <w:i/>
                <w:iCs/>
                <w:sz w:val="22"/>
                <w:szCs w:val="22"/>
              </w:rPr>
              <w:t xml:space="preserve"> panta trešo un piekto daļu, </w:t>
            </w:r>
            <w:bookmarkStart w:id="4" w:name="_Hlk41462189"/>
            <w:r w:rsidRPr="00E70ADE">
              <w:rPr>
                <w:rFonts w:eastAsiaTheme="minorHAnsi"/>
                <w:sz w:val="22"/>
                <w:szCs w:val="22"/>
                <w:lang w:eastAsia="en-US"/>
              </w:rPr>
              <w:fldChar w:fldCharType="begin"/>
            </w:r>
            <w:r w:rsidRPr="00E70ADE">
              <w:rPr>
                <w:sz w:val="22"/>
                <w:szCs w:val="22"/>
              </w:rPr>
              <w:instrText xml:space="preserve"> HYPERLINK "https://m.likumi.lv/ta/id/108834-elektroenergijas-tirgus-likums" \l "p31.2" \t "_blank" </w:instrText>
            </w:r>
            <w:r w:rsidRPr="00E70ADE">
              <w:rPr>
                <w:rFonts w:eastAsiaTheme="minorHAnsi"/>
                <w:sz w:val="22"/>
                <w:szCs w:val="22"/>
                <w:lang w:eastAsia="en-US"/>
              </w:rPr>
              <w:fldChar w:fldCharType="separate"/>
            </w:r>
            <w:r w:rsidRPr="00E70ADE">
              <w:rPr>
                <w:i/>
                <w:iCs/>
                <w:sz w:val="22"/>
                <w:szCs w:val="22"/>
              </w:rPr>
              <w:t>31.</w:t>
            </w:r>
            <w:r w:rsidRPr="00E70ADE">
              <w:rPr>
                <w:i/>
                <w:iCs/>
                <w:sz w:val="22"/>
                <w:szCs w:val="22"/>
                <w:vertAlign w:val="superscript"/>
              </w:rPr>
              <w:t>3</w:t>
            </w:r>
            <w:r w:rsidRPr="00E70ADE">
              <w:rPr>
                <w:i/>
                <w:iCs/>
                <w:sz w:val="22"/>
                <w:szCs w:val="22"/>
                <w:vertAlign w:val="superscript"/>
              </w:rPr>
              <w:fldChar w:fldCharType="end"/>
            </w:r>
            <w:r w:rsidRPr="00E70ADE">
              <w:rPr>
                <w:i/>
                <w:iCs/>
                <w:sz w:val="22"/>
                <w:szCs w:val="22"/>
              </w:rPr>
              <w:t> panta trešo daļu</w:t>
            </w:r>
            <w:bookmarkEnd w:id="4"/>
          </w:p>
        </w:tc>
        <w:tc>
          <w:tcPr>
            <w:tcW w:w="1318" w:type="dxa"/>
          </w:tcPr>
          <w:p w14:paraId="00CC6569" w14:textId="1F051EBC" w:rsidR="597AB4C5" w:rsidRPr="00E70ADE" w:rsidRDefault="597AB4C5" w:rsidP="597AB4C5">
            <w:pPr>
              <w:jc w:val="both"/>
              <w:rPr>
                <w:sz w:val="22"/>
                <w:szCs w:val="22"/>
              </w:rPr>
            </w:pPr>
          </w:p>
        </w:tc>
      </w:tr>
      <w:tr w:rsidR="007E45B2" w:rsidRPr="00E70ADE" w14:paraId="2C63ABEF"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4D2CBA7" w14:textId="7BC61BB6" w:rsidR="00B412E6" w:rsidRPr="00E70ADE" w:rsidRDefault="00B412E6"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CDDFB7" w14:textId="77777777" w:rsidR="00D014EE" w:rsidRPr="00E70ADE" w:rsidRDefault="00D014EE" w:rsidP="00D014EE">
            <w:pPr>
              <w:shd w:val="clear" w:color="auto" w:fill="FFFFFF"/>
              <w:ind w:firstLine="123"/>
              <w:jc w:val="both"/>
              <w:rPr>
                <w:sz w:val="22"/>
                <w:szCs w:val="22"/>
              </w:rPr>
            </w:pPr>
            <w:r w:rsidRPr="00E70ADE">
              <w:rPr>
                <w:sz w:val="22"/>
                <w:szCs w:val="22"/>
              </w:rPr>
              <w:t>1. Noteikumi nosaka:</w:t>
            </w:r>
          </w:p>
          <w:p w14:paraId="0F0C5742" w14:textId="77777777" w:rsidR="00D014EE" w:rsidRPr="00E70ADE" w:rsidRDefault="00D014EE" w:rsidP="00D014EE">
            <w:pPr>
              <w:shd w:val="clear" w:color="auto" w:fill="FFFFFF" w:themeFill="background1"/>
              <w:jc w:val="both"/>
              <w:rPr>
                <w:sz w:val="22"/>
                <w:szCs w:val="22"/>
              </w:rPr>
            </w:pPr>
            <w:r w:rsidRPr="00E70ADE">
              <w:rPr>
                <w:sz w:val="22"/>
                <w:szCs w:val="22"/>
              </w:rPr>
              <w:t>1.1.  koģenerācijas staciju, kuras izmanto tiesības pārdot saražoto elektroenerģiju obligātā iepirkuma ietvaros (turpmāk – obligātā iepirkuma tiesības) vai tiesības saņemt garantētu maksu par koģenerācijas stacijā uzstādīto elektrisko jaudu, kuru publiskais tirgotājs maksā komersantam par katru koģenerācijas stacijā vai šīs elektrostacijas atsevišķā koģenerācijas iekārtā uzstādītās elektriskās jaudas megavatu (EUR/MW) (turpmāk – garantētās maksas tiesības), uzraudzības kārtību;</w:t>
            </w:r>
          </w:p>
          <w:p w14:paraId="677C4867" w14:textId="77777777" w:rsidR="00D014EE" w:rsidRPr="00E70ADE" w:rsidRDefault="00D014EE" w:rsidP="00D014EE">
            <w:pPr>
              <w:shd w:val="clear" w:color="auto" w:fill="FFFFFF"/>
              <w:spacing w:line="293" w:lineRule="atLeast"/>
              <w:jc w:val="both"/>
              <w:rPr>
                <w:sz w:val="22"/>
                <w:szCs w:val="22"/>
              </w:rPr>
            </w:pPr>
            <w:r w:rsidRPr="00E70ADE">
              <w:rPr>
                <w:sz w:val="22"/>
                <w:szCs w:val="22"/>
              </w:rPr>
              <w:t>1.2. koģenerācijas stacijā ražotās elektroenerģijas obligātā iepirkuma un tā uzraudzības kārtību;</w:t>
            </w:r>
          </w:p>
          <w:p w14:paraId="25F297EC" w14:textId="77777777" w:rsidR="00D014EE" w:rsidRPr="00E70ADE" w:rsidRDefault="00D014EE" w:rsidP="00D014EE">
            <w:pPr>
              <w:shd w:val="clear" w:color="auto" w:fill="FFFFFF"/>
              <w:spacing w:line="293" w:lineRule="atLeast"/>
              <w:jc w:val="both"/>
              <w:rPr>
                <w:sz w:val="22"/>
                <w:szCs w:val="22"/>
              </w:rPr>
            </w:pPr>
            <w:r w:rsidRPr="00E70ADE">
              <w:rPr>
                <w:sz w:val="22"/>
                <w:szCs w:val="22"/>
              </w:rPr>
              <w:t>1.3. kārtību, kādā sedzamas izmaksas, kas saistītas ar obligāto iepirkumu un maksājumiem par uzstādīto elektrisko jaudu;</w:t>
            </w:r>
          </w:p>
          <w:p w14:paraId="66BAFFEA" w14:textId="77777777" w:rsidR="00D014EE" w:rsidRPr="00E70ADE" w:rsidRDefault="00D014EE" w:rsidP="00D014EE">
            <w:pPr>
              <w:shd w:val="clear" w:color="auto" w:fill="FFFFFF"/>
              <w:spacing w:line="293" w:lineRule="atLeast"/>
              <w:jc w:val="both"/>
              <w:rPr>
                <w:sz w:val="22"/>
                <w:szCs w:val="22"/>
              </w:rPr>
            </w:pPr>
            <w:r w:rsidRPr="00E70ADE">
              <w:rPr>
                <w:sz w:val="22"/>
                <w:szCs w:val="22"/>
              </w:rPr>
              <w:t xml:space="preserve">1.4. koģenerācijas stacijā ražotās elektroenerģijas cenas noteikšanas kārtību atkarībā no koģenerācijas stacijas elektriskās jaudas, </w:t>
            </w:r>
            <w:r w:rsidRPr="00E70ADE">
              <w:rPr>
                <w:sz w:val="22"/>
                <w:szCs w:val="22"/>
              </w:rPr>
              <w:lastRenderedPageBreak/>
              <w:t>izmantojamā kurināmā un tā izejvielām;</w:t>
            </w:r>
          </w:p>
          <w:p w14:paraId="2EF8A347" w14:textId="77777777" w:rsidR="00D014EE" w:rsidRPr="00E70ADE" w:rsidRDefault="00D014EE" w:rsidP="00D014EE">
            <w:pPr>
              <w:shd w:val="clear" w:color="auto" w:fill="FFFFFF"/>
              <w:spacing w:line="293" w:lineRule="atLeast"/>
              <w:jc w:val="both"/>
              <w:rPr>
                <w:sz w:val="22"/>
                <w:szCs w:val="22"/>
              </w:rPr>
            </w:pPr>
            <w:r w:rsidRPr="00E70ADE">
              <w:rPr>
                <w:sz w:val="22"/>
                <w:szCs w:val="22"/>
              </w:rPr>
              <w:t xml:space="preserve">1.5. kārtību, kādā nosakāma maksa par koģenerācijas stacijā uzstādīto elektrisko jaudu atkarībā no ražošanas tehnoloģijas un izmantojamā kurināmā, kā arī kārtību, kādā šī maksa veicama; </w:t>
            </w:r>
          </w:p>
          <w:p w14:paraId="139CAA85" w14:textId="0CEB563B" w:rsidR="00D014EE" w:rsidRPr="00E70ADE" w:rsidRDefault="00D014EE" w:rsidP="00D014EE">
            <w:pPr>
              <w:shd w:val="clear" w:color="auto" w:fill="FFFFFF"/>
              <w:spacing w:line="293" w:lineRule="atLeast"/>
              <w:jc w:val="both"/>
              <w:rPr>
                <w:sz w:val="22"/>
                <w:szCs w:val="22"/>
              </w:rPr>
            </w:pPr>
            <w:r w:rsidRPr="00E70ADE">
              <w:rPr>
                <w:sz w:val="22"/>
                <w:szCs w:val="22"/>
              </w:rPr>
              <w:t>1.6. kārtību, kādā komersants var atteikties no obligātā iepirkuma tiesībām vai garantētās maksas tiesībām;</w:t>
            </w:r>
          </w:p>
          <w:p w14:paraId="7C466DFB" w14:textId="77777777" w:rsidR="00D014EE" w:rsidRPr="00E70ADE" w:rsidRDefault="00D014EE" w:rsidP="00D014EE">
            <w:pPr>
              <w:shd w:val="clear" w:color="auto" w:fill="FFFFFF"/>
              <w:spacing w:line="293" w:lineRule="atLeast"/>
              <w:jc w:val="both"/>
              <w:rPr>
                <w:sz w:val="22"/>
                <w:szCs w:val="22"/>
              </w:rPr>
            </w:pPr>
            <w:r w:rsidRPr="00E70ADE">
              <w:rPr>
                <w:sz w:val="22"/>
                <w:szCs w:val="22"/>
              </w:rPr>
              <w:t>1.7. kārtību, kādā aptur valsts atbalsta izmaksu;</w:t>
            </w:r>
          </w:p>
          <w:p w14:paraId="34F622D5" w14:textId="77777777" w:rsidR="00D014EE" w:rsidRPr="00E70ADE" w:rsidRDefault="00D014EE" w:rsidP="00D014EE">
            <w:pPr>
              <w:shd w:val="clear" w:color="auto" w:fill="FFFFFF"/>
              <w:spacing w:line="293" w:lineRule="atLeast"/>
              <w:jc w:val="both"/>
              <w:rPr>
                <w:sz w:val="22"/>
                <w:szCs w:val="22"/>
              </w:rPr>
            </w:pPr>
            <w:r w:rsidRPr="00E70ADE">
              <w:rPr>
                <w:sz w:val="22"/>
                <w:szCs w:val="22"/>
              </w:rPr>
              <w:t>1.8. pārkāpumus, par kuriem atceļamas obligātā iepirkuma tiesības vai garantētās maksas tiesības, un kārtību, kādā attiecīgās tiesības atceļamas;</w:t>
            </w:r>
          </w:p>
          <w:p w14:paraId="61A3078A" w14:textId="77777777" w:rsidR="00D014EE" w:rsidRPr="00E70ADE" w:rsidRDefault="00D014EE" w:rsidP="00D014EE">
            <w:pPr>
              <w:shd w:val="clear" w:color="auto" w:fill="FFFFFF"/>
              <w:spacing w:line="293" w:lineRule="atLeast"/>
              <w:jc w:val="both"/>
              <w:rPr>
                <w:sz w:val="22"/>
                <w:szCs w:val="22"/>
              </w:rPr>
            </w:pPr>
            <w:r w:rsidRPr="00E70ADE">
              <w:rPr>
                <w:sz w:val="22"/>
                <w:szCs w:val="22"/>
              </w:rPr>
              <w:t>1.9. nosacījumus un metodiku nepamatoti vai nelikumīgi saņemtā valsts atbalsta atgūšanai par koģenerācijā ražoto elektroenerģiju vai uzstādīto jaudu;</w:t>
            </w:r>
          </w:p>
          <w:p w14:paraId="24A7CB0D" w14:textId="466521E2" w:rsidR="00B412E6" w:rsidRPr="00E70ADE" w:rsidRDefault="00D014EE" w:rsidP="00D014EE">
            <w:pPr>
              <w:jc w:val="both"/>
              <w:rPr>
                <w:sz w:val="22"/>
                <w:szCs w:val="22"/>
              </w:rPr>
            </w:pPr>
            <w:r w:rsidRPr="00E70ADE">
              <w:rPr>
                <w:sz w:val="22"/>
                <w:szCs w:val="22"/>
              </w:rPr>
              <w:t xml:space="preserve">1.10. </w:t>
            </w:r>
            <w:r w:rsidRPr="00E70ADE">
              <w:rPr>
                <w:sz w:val="22"/>
                <w:szCs w:val="22"/>
                <w:shd w:val="clear" w:color="auto" w:fill="FFFFFF"/>
              </w:rPr>
              <w:t>kārtību, kādā Būvniecības valsts kontroles birojs (turpmāk – birojs)  pārbauda lietderīgās siltumenerģijas izmantošanu, lai nodrošinātu atbilstību normatīvajos aktos noteiktajiem valsts atbalsta saņemšanas nosacījumiem.</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BA6FD12" w14:textId="490F48AF" w:rsidR="00B412E6" w:rsidRPr="00E70ADE" w:rsidRDefault="00B412E6" w:rsidP="00B412E6">
            <w:pPr>
              <w:spacing w:line="252" w:lineRule="auto"/>
              <w:jc w:val="center"/>
              <w:rPr>
                <w:b/>
                <w:bCs/>
                <w:sz w:val="22"/>
                <w:szCs w:val="22"/>
              </w:rPr>
            </w:pPr>
            <w:r w:rsidRPr="00E70ADE">
              <w:rPr>
                <w:b/>
                <w:bCs/>
                <w:sz w:val="22"/>
                <w:szCs w:val="22"/>
              </w:rPr>
              <w:lastRenderedPageBreak/>
              <w:t>Tieslietu ministrija (14.08.2020)</w:t>
            </w:r>
            <w:r w:rsidR="00B32631" w:rsidRPr="00E70ADE">
              <w:rPr>
                <w:b/>
                <w:bCs/>
                <w:sz w:val="22"/>
                <w:szCs w:val="22"/>
              </w:rPr>
              <w:t xml:space="preserve"> </w:t>
            </w:r>
            <w:r w:rsidR="00B32631" w:rsidRPr="00E70ADE">
              <w:rPr>
                <w:rFonts w:eastAsia="Calibri"/>
                <w:b/>
                <w:bCs/>
                <w:sz w:val="22"/>
                <w:szCs w:val="22"/>
              </w:rPr>
              <w:t>iebildums</w:t>
            </w:r>
          </w:p>
          <w:p w14:paraId="753C1C80" w14:textId="71EB9C5D" w:rsidR="00B412E6" w:rsidRPr="00E70ADE" w:rsidRDefault="00B412E6" w:rsidP="00B412E6">
            <w:pPr>
              <w:jc w:val="both"/>
              <w:rPr>
                <w:sz w:val="22"/>
                <w:szCs w:val="22"/>
              </w:rPr>
            </w:pPr>
            <w:r w:rsidRPr="00E70ADE">
              <w:rPr>
                <w:sz w:val="22"/>
                <w:szCs w:val="22"/>
              </w:rPr>
              <w:t>Projekta 1. punktu nepieciešams izteikt precīzi atbilstoši likumā noteiktajiem dažādajiem pilnvarojumiem Ministru kabinetam par noteikumu izdošanu. Ņemot vērā, ka projektam jāstājas spēkā 2020. gada 1. septembrī, pilnvarojumus nepieciešams izteikt atbilstoši likuma redakcijai, kura būs spēkā no minētā datuma.</w:t>
            </w:r>
          </w:p>
          <w:p w14:paraId="6257CF3C" w14:textId="1F047A0C" w:rsidR="00B412E6" w:rsidRPr="00E70ADE" w:rsidRDefault="00B412E6" w:rsidP="00B412E6">
            <w:pPr>
              <w:spacing w:line="252" w:lineRule="auto"/>
              <w:jc w:val="center"/>
              <w:rPr>
                <w:rFonts w:eastAsia="Calibri"/>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3469345" w14:textId="77777777" w:rsidR="00B412E6" w:rsidRPr="00E70ADE" w:rsidRDefault="00B412E6" w:rsidP="00B412E6">
            <w:pPr>
              <w:pStyle w:val="naisc"/>
              <w:rPr>
                <w:b/>
                <w:bCs/>
                <w:sz w:val="22"/>
                <w:szCs w:val="22"/>
              </w:rPr>
            </w:pPr>
            <w:r w:rsidRPr="00E70ADE">
              <w:rPr>
                <w:b/>
                <w:bCs/>
                <w:sz w:val="22"/>
                <w:szCs w:val="22"/>
              </w:rPr>
              <w:t>Iebildums ir ņemts vērā</w:t>
            </w:r>
          </w:p>
          <w:p w14:paraId="0A2E91DE" w14:textId="06BB94C9" w:rsidR="00B412E6" w:rsidRPr="00E70ADE" w:rsidRDefault="00B412E6" w:rsidP="00B412E6">
            <w:pPr>
              <w:shd w:val="clear" w:color="auto" w:fill="FFFFFF"/>
              <w:ind w:left="600" w:firstLine="300"/>
              <w:jc w:val="both"/>
              <w:rPr>
                <w:sz w:val="22"/>
                <w:szCs w:val="22"/>
              </w:rPr>
            </w:pP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6CCA0EE" w14:textId="0B091398" w:rsidR="000276D4" w:rsidRPr="00E70ADE" w:rsidRDefault="000276D4" w:rsidP="000276D4">
            <w:pPr>
              <w:shd w:val="clear" w:color="auto" w:fill="FFFFFF"/>
              <w:rPr>
                <w:sz w:val="22"/>
                <w:szCs w:val="22"/>
              </w:rPr>
            </w:pPr>
            <w:r w:rsidRPr="00E70ADE">
              <w:rPr>
                <w:sz w:val="22"/>
                <w:szCs w:val="22"/>
              </w:rPr>
              <w:t>1. Noteikumi nosaka:</w:t>
            </w:r>
          </w:p>
          <w:p w14:paraId="2346C293" w14:textId="168555A5" w:rsidR="000276D4" w:rsidRPr="00E70ADE" w:rsidRDefault="000276D4" w:rsidP="000276D4">
            <w:pPr>
              <w:shd w:val="clear" w:color="auto" w:fill="FFFFFF" w:themeFill="background1"/>
              <w:rPr>
                <w:sz w:val="22"/>
                <w:szCs w:val="22"/>
              </w:rPr>
            </w:pPr>
            <w:r w:rsidRPr="00E70ADE">
              <w:rPr>
                <w:sz w:val="22"/>
                <w:szCs w:val="22"/>
              </w:rPr>
              <w:t>1.1. kritērijus, pēc kādiem koģenerācijas stacijas tiek kvalificētas saražotās elektroenerģijas obligātā iepirkuma tiesībām;</w:t>
            </w:r>
          </w:p>
          <w:p w14:paraId="6CA33B78" w14:textId="71B1EF44" w:rsidR="000276D4" w:rsidRPr="00E70ADE" w:rsidRDefault="000276D4" w:rsidP="000276D4">
            <w:pPr>
              <w:shd w:val="clear" w:color="auto" w:fill="FFFFFF" w:themeFill="background1"/>
              <w:rPr>
                <w:sz w:val="22"/>
                <w:szCs w:val="22"/>
              </w:rPr>
            </w:pPr>
            <w:r w:rsidRPr="00E70ADE">
              <w:rPr>
                <w:sz w:val="22"/>
                <w:szCs w:val="22"/>
              </w:rPr>
              <w:t>1.2. obligātā iepirkuma un tā uzraudzības kārtību;</w:t>
            </w:r>
          </w:p>
          <w:p w14:paraId="4D2D6207" w14:textId="3BB264ED" w:rsidR="000276D4" w:rsidRPr="00E70ADE" w:rsidRDefault="000276D4" w:rsidP="000276D4">
            <w:pPr>
              <w:shd w:val="clear" w:color="auto" w:fill="FFFFFF" w:themeFill="background1"/>
              <w:rPr>
                <w:sz w:val="22"/>
                <w:szCs w:val="22"/>
              </w:rPr>
            </w:pPr>
            <w:r w:rsidRPr="00E70ADE">
              <w:rPr>
                <w:sz w:val="22"/>
                <w:szCs w:val="22"/>
              </w:rPr>
              <w:t>1.3. elektroenerģijas cenas noteikšanas kārtību atkarībā no koģenerācijas stacijas elektriskās jaudas un izmantojamā kurināmā;</w:t>
            </w:r>
          </w:p>
          <w:p w14:paraId="6116950F" w14:textId="129496C3" w:rsidR="000276D4" w:rsidRPr="00E70ADE" w:rsidRDefault="000276D4" w:rsidP="000276D4">
            <w:pPr>
              <w:shd w:val="clear" w:color="auto" w:fill="FFFFFF" w:themeFill="background1"/>
              <w:rPr>
                <w:sz w:val="22"/>
                <w:szCs w:val="22"/>
              </w:rPr>
            </w:pPr>
            <w:r w:rsidRPr="00E70ADE">
              <w:rPr>
                <w:sz w:val="22"/>
                <w:szCs w:val="22"/>
              </w:rPr>
              <w:t>1.4. obligātā iepirkuma izmaksu segšanas kārtību;</w:t>
            </w:r>
          </w:p>
          <w:p w14:paraId="3A615D95" w14:textId="7286F69F" w:rsidR="000276D4" w:rsidRPr="00E70ADE" w:rsidRDefault="000276D4" w:rsidP="000276D4">
            <w:pPr>
              <w:shd w:val="clear" w:color="auto" w:fill="FFFFFF" w:themeFill="background1"/>
              <w:rPr>
                <w:sz w:val="22"/>
                <w:szCs w:val="22"/>
              </w:rPr>
            </w:pPr>
            <w:r w:rsidRPr="00E70ADE">
              <w:rPr>
                <w:sz w:val="22"/>
                <w:szCs w:val="22"/>
              </w:rPr>
              <w:t>1.5. kārtību, kādā var atteikties no tiesībām pārdot saražoto elektroenerģiju obligātā iepirkuma ietvaros (turpmāk – obligātā iepirkuma tiesības);</w:t>
            </w:r>
          </w:p>
          <w:p w14:paraId="444FDDA4" w14:textId="0D982052" w:rsidR="000276D4" w:rsidRPr="00E70ADE" w:rsidRDefault="000276D4" w:rsidP="000276D4">
            <w:pPr>
              <w:shd w:val="clear" w:color="auto" w:fill="FFFFFF" w:themeFill="background1"/>
              <w:rPr>
                <w:sz w:val="22"/>
                <w:szCs w:val="22"/>
              </w:rPr>
            </w:pPr>
            <w:r w:rsidRPr="00E70ADE">
              <w:rPr>
                <w:sz w:val="22"/>
                <w:szCs w:val="22"/>
              </w:rPr>
              <w:t>1.6. kritērijus, pēc kādiem koģenerācijas stacijas tiek kvalificētas tiesību iegūšanai saņemt garantēto maksu par koģenerācijas stacijā uzstādīto elektrisko jaudu (turpmāk – garantētās maksas tiesības);</w:t>
            </w:r>
          </w:p>
          <w:p w14:paraId="46F6C57A" w14:textId="330B2D7F" w:rsidR="000276D4" w:rsidRPr="00E70ADE" w:rsidRDefault="000276D4" w:rsidP="000276D4">
            <w:pPr>
              <w:shd w:val="clear" w:color="auto" w:fill="FFFFFF" w:themeFill="background1"/>
              <w:rPr>
                <w:sz w:val="22"/>
                <w:szCs w:val="22"/>
              </w:rPr>
            </w:pPr>
            <w:r w:rsidRPr="00E70ADE">
              <w:rPr>
                <w:sz w:val="22"/>
                <w:szCs w:val="22"/>
              </w:rPr>
              <w:t>1.7. kārtību, kādā nosakāma maksa par uzstādīto elektrisko jaudu atkarībā no ražošanas tehnoloģijas un izmantojamā kurināmā, koģenerācijas stacijas uzstādītās elektriskās jaudas, un kārtību, kādā šī maksa veicama;</w:t>
            </w:r>
          </w:p>
          <w:p w14:paraId="0402BE8D" w14:textId="17BCBF0D" w:rsidR="000276D4" w:rsidRPr="00E70ADE" w:rsidRDefault="000276D4" w:rsidP="000276D4">
            <w:pPr>
              <w:shd w:val="clear" w:color="auto" w:fill="FFFFFF" w:themeFill="background1"/>
              <w:rPr>
                <w:sz w:val="22"/>
                <w:szCs w:val="22"/>
              </w:rPr>
            </w:pPr>
            <w:r w:rsidRPr="00E70ADE">
              <w:rPr>
                <w:sz w:val="22"/>
                <w:szCs w:val="22"/>
              </w:rPr>
              <w:lastRenderedPageBreak/>
              <w:t>1.8. kārtību, kādā var atteikties no tiesībām saņemt garantētu maksu par koģenerācijas stacijā uzstādīto elektrisko jaudu;</w:t>
            </w:r>
          </w:p>
          <w:p w14:paraId="7854E9E8" w14:textId="4E64AB68" w:rsidR="000276D4" w:rsidRPr="00E70ADE" w:rsidRDefault="000276D4" w:rsidP="000276D4">
            <w:pPr>
              <w:shd w:val="clear" w:color="auto" w:fill="FFFFFF"/>
              <w:rPr>
                <w:sz w:val="22"/>
                <w:szCs w:val="22"/>
              </w:rPr>
            </w:pPr>
            <w:r w:rsidRPr="00E70ADE">
              <w:rPr>
                <w:sz w:val="22"/>
                <w:szCs w:val="22"/>
              </w:rPr>
              <w:t>1.9. kārtību, kādā aptur valsts atbalsta izmaksu;</w:t>
            </w:r>
          </w:p>
          <w:p w14:paraId="6C9E5C72" w14:textId="399859C0" w:rsidR="000276D4" w:rsidRPr="00E70ADE" w:rsidRDefault="000276D4" w:rsidP="000276D4">
            <w:pPr>
              <w:shd w:val="clear" w:color="auto" w:fill="FFFFFF"/>
              <w:rPr>
                <w:sz w:val="22"/>
                <w:szCs w:val="22"/>
              </w:rPr>
            </w:pPr>
            <w:r w:rsidRPr="00E70ADE">
              <w:rPr>
                <w:sz w:val="22"/>
                <w:szCs w:val="22"/>
              </w:rPr>
              <w:t>1.10. pārkāpumus, par kuriem atceļamas obligātā iepirkuma tiesības vai garantētās maksas tiesības, kā arī kārtību, kādā tās atceļamas;</w:t>
            </w:r>
          </w:p>
          <w:p w14:paraId="124D624D" w14:textId="7B47C4B7" w:rsidR="000276D4" w:rsidRPr="00E70ADE" w:rsidRDefault="000276D4" w:rsidP="000276D4">
            <w:pPr>
              <w:shd w:val="clear" w:color="auto" w:fill="FFFFFF"/>
              <w:spacing w:line="293" w:lineRule="atLeast"/>
              <w:rPr>
                <w:sz w:val="22"/>
                <w:szCs w:val="22"/>
              </w:rPr>
            </w:pPr>
            <w:r w:rsidRPr="00E70ADE">
              <w:rPr>
                <w:sz w:val="22"/>
                <w:szCs w:val="22"/>
                <w:shd w:val="clear" w:color="auto" w:fill="FFFFFF"/>
              </w:rPr>
              <w:t>1.11. kārtību, kādā Būvniecības valsts kontroles birojs (turpmāk – birojs) pārbauda lietderīgās siltumenerģijas izmantošanu, lai nodrošinātu atbilstību normatīvajos aktos noteiktajiem valsts atbalsta saņemšanas nosacījumiem;</w:t>
            </w:r>
          </w:p>
          <w:p w14:paraId="40796D23" w14:textId="70C2D215" w:rsidR="00B412E6" w:rsidRPr="00E70ADE" w:rsidRDefault="000276D4" w:rsidP="000276D4">
            <w:pPr>
              <w:rPr>
                <w:sz w:val="22"/>
                <w:szCs w:val="22"/>
              </w:rPr>
            </w:pPr>
            <w:r w:rsidRPr="00E70ADE">
              <w:rPr>
                <w:sz w:val="22"/>
                <w:szCs w:val="22"/>
              </w:rPr>
              <w:t xml:space="preserve">1.12. nosacījumus un metodiku nepamatoti vai nelikumīgi saņemtā valsts atbalsta atgūšanai par elektroenerģijas ražošanu </w:t>
            </w:r>
            <w:r w:rsidR="002C593D">
              <w:rPr>
                <w:sz w:val="22"/>
                <w:szCs w:val="22"/>
              </w:rPr>
              <w:t>koģenerācijā</w:t>
            </w:r>
            <w:r w:rsidRPr="00E70ADE">
              <w:rPr>
                <w:sz w:val="22"/>
                <w:szCs w:val="22"/>
              </w:rPr>
              <w:t>.</w:t>
            </w:r>
          </w:p>
        </w:tc>
        <w:tc>
          <w:tcPr>
            <w:tcW w:w="1318" w:type="dxa"/>
          </w:tcPr>
          <w:p w14:paraId="307D2D88" w14:textId="2A1FBCE5" w:rsidR="00B412E6" w:rsidRPr="00E70ADE" w:rsidRDefault="00B412E6" w:rsidP="00B412E6">
            <w:pPr>
              <w:jc w:val="both"/>
              <w:rPr>
                <w:sz w:val="22"/>
                <w:szCs w:val="22"/>
              </w:rPr>
            </w:pPr>
          </w:p>
        </w:tc>
      </w:tr>
      <w:tr w:rsidR="007E45B2" w:rsidRPr="00E70ADE" w14:paraId="252B91A7" w14:textId="77777777" w:rsidTr="002A170A">
        <w:trPr>
          <w:trHeight w:val="447"/>
          <w:tblCellSpacing w:w="0" w:type="dxa"/>
        </w:trPr>
        <w:tc>
          <w:tcPr>
            <w:tcW w:w="8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7A6A3F3" w14:textId="08C3DAAD" w:rsidR="00B412E6" w:rsidRPr="00E70ADE" w:rsidRDefault="00B412E6" w:rsidP="00BF3217">
            <w:pPr>
              <w:pStyle w:val="naisc"/>
              <w:numPr>
                <w:ilvl w:val="0"/>
                <w:numId w:val="47"/>
              </w:numPr>
              <w:spacing w:before="0" w:after="0"/>
              <w:jc w:val="left"/>
              <w:rPr>
                <w:sz w:val="22"/>
                <w:szCs w:val="22"/>
              </w:rPr>
            </w:pPr>
          </w:p>
        </w:tc>
        <w:tc>
          <w:tcPr>
            <w:tcW w:w="337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EEC9F88" w14:textId="7A221671" w:rsidR="00B412E6" w:rsidRPr="00BF3217" w:rsidRDefault="00B412E6" w:rsidP="00BF3217">
            <w:pPr>
              <w:pStyle w:val="ListParagraph"/>
              <w:numPr>
                <w:ilvl w:val="0"/>
                <w:numId w:val="47"/>
              </w:numPr>
              <w:shd w:val="clear" w:color="auto" w:fill="FFFFFF"/>
              <w:spacing w:after="120"/>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6B100CA" w14:textId="77777777" w:rsidR="00B412E6" w:rsidRPr="00E70ADE" w:rsidRDefault="00B412E6" w:rsidP="00B412E6">
            <w:pPr>
              <w:tabs>
                <w:tab w:val="left" w:pos="1134"/>
              </w:tabs>
              <w:spacing w:after="160" w:line="252" w:lineRule="auto"/>
              <w:contextualSpacing/>
              <w:jc w:val="center"/>
              <w:rPr>
                <w:rFonts w:eastAsia="Calibri"/>
                <w:b/>
                <w:sz w:val="22"/>
                <w:szCs w:val="22"/>
              </w:rPr>
            </w:pPr>
            <w:r w:rsidRPr="00E70ADE">
              <w:rPr>
                <w:rFonts w:eastAsia="Calibri"/>
                <w:b/>
                <w:sz w:val="22"/>
                <w:szCs w:val="22"/>
              </w:rPr>
              <w:t>Vides aizsardzības un reģionālās attīstības ministrija (07.08.2020.) priekšlikums</w:t>
            </w:r>
          </w:p>
          <w:p w14:paraId="2F78442A" w14:textId="77777777" w:rsidR="00B412E6" w:rsidRPr="00E70ADE" w:rsidRDefault="00B412E6" w:rsidP="00B412E6">
            <w:pPr>
              <w:tabs>
                <w:tab w:val="left" w:pos="1134"/>
              </w:tabs>
              <w:spacing w:after="160" w:line="252" w:lineRule="auto"/>
              <w:contextualSpacing/>
              <w:rPr>
                <w:rFonts w:eastAsia="Calibri"/>
                <w:b/>
                <w:sz w:val="22"/>
                <w:szCs w:val="22"/>
              </w:rPr>
            </w:pPr>
            <w:r w:rsidRPr="00E70ADE">
              <w:rPr>
                <w:sz w:val="22"/>
                <w:szCs w:val="22"/>
              </w:rPr>
              <w:lastRenderedPageBreak/>
              <w:t>Precizēt MK noteikumu projektus kopumā attiecībā uz to, ka komersants ražo enerģiju: elektroenerģiju un siltumenerģiju, bet neražo lietderīgo siltumenerģiju, t.i. lietderīgā siltumenerģija ir siltumenerģijas izmantošanas veids;</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3DBBF9F" w14:textId="77777777" w:rsidR="00B412E6" w:rsidRPr="00E70ADE" w:rsidRDefault="00B412E6" w:rsidP="00B412E6">
            <w:pPr>
              <w:pStyle w:val="naisc"/>
              <w:spacing w:before="0" w:after="0"/>
              <w:rPr>
                <w:b/>
                <w:sz w:val="22"/>
                <w:szCs w:val="22"/>
              </w:rPr>
            </w:pPr>
            <w:r w:rsidRPr="00E70ADE">
              <w:rPr>
                <w:b/>
                <w:sz w:val="22"/>
                <w:szCs w:val="22"/>
              </w:rPr>
              <w:lastRenderedPageBreak/>
              <w:t>Priekšlikums ir ņemts vērā.</w:t>
            </w:r>
          </w:p>
          <w:p w14:paraId="105311BA" w14:textId="77777777" w:rsidR="00B412E6" w:rsidRPr="00E70ADE" w:rsidRDefault="00B412E6" w:rsidP="00B412E6">
            <w:pPr>
              <w:pStyle w:val="naisc"/>
              <w:spacing w:before="0" w:after="0"/>
              <w:jc w:val="left"/>
              <w:rPr>
                <w:sz w:val="22"/>
                <w:szCs w:val="22"/>
              </w:rPr>
            </w:pPr>
            <w:r w:rsidRPr="00E70ADE">
              <w:rPr>
                <w:sz w:val="22"/>
                <w:szCs w:val="22"/>
              </w:rPr>
              <w:t>Viss projekta teksts atbilstoši precizēts.</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DDBD3AD" w14:textId="7D0C5791" w:rsidR="00B412E6" w:rsidRPr="00E70ADE" w:rsidRDefault="000276D4" w:rsidP="00B412E6">
            <w:pPr>
              <w:shd w:val="clear" w:color="auto" w:fill="FFFFFF"/>
              <w:spacing w:after="120"/>
              <w:jc w:val="both"/>
              <w:rPr>
                <w:sz w:val="22"/>
                <w:szCs w:val="22"/>
              </w:rPr>
            </w:pPr>
            <w:r w:rsidRPr="00E70ADE">
              <w:rPr>
                <w:sz w:val="22"/>
                <w:szCs w:val="22"/>
              </w:rPr>
              <w:t>Viss projekta teksts.</w:t>
            </w:r>
          </w:p>
        </w:tc>
        <w:tc>
          <w:tcPr>
            <w:tcW w:w="1318" w:type="dxa"/>
          </w:tcPr>
          <w:p w14:paraId="55547C26" w14:textId="77777777" w:rsidR="00B412E6" w:rsidRPr="00E70ADE" w:rsidRDefault="00B412E6" w:rsidP="00B412E6">
            <w:pPr>
              <w:jc w:val="both"/>
              <w:rPr>
                <w:sz w:val="22"/>
                <w:szCs w:val="22"/>
              </w:rPr>
            </w:pPr>
          </w:p>
        </w:tc>
      </w:tr>
      <w:tr w:rsidR="007E45B2" w:rsidRPr="00E70ADE" w14:paraId="0EB5FE75"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AF41341" w14:textId="5CA8C86E" w:rsidR="00B412E6" w:rsidRPr="00E70ADE" w:rsidRDefault="00B412E6"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0936A73" w14:textId="6F29058F" w:rsidR="00B412E6" w:rsidRPr="00E70ADE" w:rsidRDefault="00B412E6" w:rsidP="00B412E6">
            <w:pPr>
              <w:shd w:val="clear" w:color="auto" w:fill="FFFFFF"/>
              <w:spacing w:after="120"/>
              <w:jc w:val="both"/>
              <w:rPr>
                <w:sz w:val="22"/>
                <w:szCs w:val="22"/>
              </w:rPr>
            </w:pPr>
            <w:r w:rsidRPr="00E70ADE">
              <w:rPr>
                <w:sz w:val="22"/>
                <w:szCs w:val="22"/>
              </w:rPr>
              <w:t>Noteikumu projekta anotācija</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2677C57" w14:textId="12B10F34" w:rsidR="00B412E6" w:rsidRPr="00E70ADE" w:rsidRDefault="00B412E6" w:rsidP="00B412E6">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7F25FD" w:rsidRPr="00E70ADE">
              <w:rPr>
                <w:rFonts w:eastAsia="Calibri"/>
                <w:b/>
                <w:sz w:val="22"/>
                <w:szCs w:val="22"/>
              </w:rPr>
              <w:t xml:space="preserve"> iebildums</w:t>
            </w:r>
          </w:p>
          <w:p w14:paraId="6CDDADBA" w14:textId="584783E2" w:rsidR="00B412E6" w:rsidRPr="00E70ADE" w:rsidRDefault="00B412E6" w:rsidP="007F25FD">
            <w:pPr>
              <w:spacing w:after="160" w:line="252" w:lineRule="auto"/>
              <w:contextualSpacing/>
              <w:jc w:val="both"/>
              <w:rPr>
                <w:rFonts w:eastAsia="Calibri"/>
                <w:b/>
                <w:bCs/>
                <w:sz w:val="22"/>
                <w:szCs w:val="22"/>
              </w:rPr>
            </w:pPr>
            <w:r w:rsidRPr="00E70ADE">
              <w:rPr>
                <w:sz w:val="22"/>
                <w:szCs w:val="22"/>
              </w:rPr>
              <w:t>Ņemot vērā noteikumu projekta 1.10. apakšpunktā noteikto, lūdzam papildināt anotāciju ar skaidrojumu par tiem valsts atbalsta nosacījumiem attiecībā uz lietderīgās siltumenerģijas izmantošanu, kas būtu jāvērtē Būvniecības valsts kontroles birojam (turpmāk – birojs), lai gūtu nepieciešamos secinājumus par saņemtā atbalsta likumību.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F5E97E2" w14:textId="5396E8E5" w:rsidR="00B412E6" w:rsidRPr="00E70ADE" w:rsidRDefault="007E2907" w:rsidP="00B412E6">
            <w:pPr>
              <w:pStyle w:val="naisc"/>
              <w:spacing w:before="0" w:after="0"/>
              <w:rPr>
                <w:b/>
                <w:sz w:val="22"/>
                <w:szCs w:val="22"/>
              </w:rPr>
            </w:pPr>
            <w:r w:rsidRPr="00E70ADE">
              <w:rPr>
                <w:b/>
                <w:sz w:val="22"/>
                <w:szCs w:val="22"/>
              </w:rPr>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EE69267" w14:textId="77777777" w:rsidR="00793BB7" w:rsidRPr="00E70ADE" w:rsidRDefault="00793BB7" w:rsidP="00793BB7">
            <w:pPr>
              <w:shd w:val="clear" w:color="auto" w:fill="FFFFFF"/>
              <w:spacing w:after="120"/>
              <w:jc w:val="both"/>
              <w:rPr>
                <w:sz w:val="22"/>
                <w:szCs w:val="22"/>
              </w:rPr>
            </w:pPr>
            <w:r w:rsidRPr="00E70ADE">
              <w:rPr>
                <w:sz w:val="22"/>
                <w:szCs w:val="22"/>
              </w:rPr>
              <w:t>Projekta anotācijas I sadaļas 2. punkts papildināts šādā redakcijā:</w:t>
            </w:r>
          </w:p>
          <w:p w14:paraId="3AF56E60" w14:textId="4C327368" w:rsidR="00B412E6" w:rsidRPr="00E70ADE" w:rsidRDefault="00303DA8" w:rsidP="00303DA8">
            <w:pPr>
              <w:spacing w:before="120"/>
              <w:ind w:right="113"/>
              <w:jc w:val="both"/>
              <w:rPr>
                <w:sz w:val="22"/>
                <w:szCs w:val="22"/>
              </w:rPr>
            </w:pPr>
            <w:r w:rsidRPr="00E70ADE">
              <w:rPr>
                <w:sz w:val="22"/>
                <w:szCs w:val="22"/>
              </w:rPr>
              <w:t>“</w:t>
            </w:r>
            <w:r w:rsidR="00BE5ACA" w:rsidRPr="00E70ADE">
              <w:rPr>
                <w:sz w:val="22"/>
                <w:szCs w:val="22"/>
              </w:rPr>
              <w:t>Ņemot vērā ETL 31.</w:t>
            </w:r>
            <w:r w:rsidR="00BE5ACA" w:rsidRPr="00E70ADE">
              <w:rPr>
                <w:sz w:val="22"/>
                <w:szCs w:val="22"/>
                <w:vertAlign w:val="superscript"/>
              </w:rPr>
              <w:t>3.</w:t>
            </w:r>
            <w:r w:rsidR="00BE5ACA" w:rsidRPr="00E70ADE">
              <w:rPr>
                <w:sz w:val="22"/>
                <w:szCs w:val="22"/>
              </w:rPr>
              <w:t xml:space="preserve"> panta trešajā daļā paredzēto deleģējumu, MK noteikumi nosaka kārtību, kādā BVKB  pārbauda lietderīgās siltumenerģijas izmantošanu, lai nodrošinātu atbilstību normatīvajos aktos noteiktajiem valsts atbalsta saņemšanas nosacījumiem. ETL 31.</w:t>
            </w:r>
            <w:r w:rsidR="00BE5ACA" w:rsidRPr="00E70ADE">
              <w:rPr>
                <w:sz w:val="22"/>
                <w:szCs w:val="22"/>
                <w:vertAlign w:val="superscript"/>
              </w:rPr>
              <w:t>3.</w:t>
            </w:r>
            <w:r w:rsidR="00BE5ACA" w:rsidRPr="00E70ADE">
              <w:rPr>
                <w:sz w:val="22"/>
                <w:szCs w:val="22"/>
              </w:rPr>
              <w:t xml:space="preserve"> panta trešā daļa nosaka, ka elektroenerģijas ražotājiem ir pienākums nodrošināt siltumenerģijas lietderīgu izmantošanu (lietderīga siltumenerģija), savukārt BVKB ir pienākums pārliecināties, ka tas tiek īstenots atbilstoši projektā ietvertajiem nosacījumiem. Koģenerācijas stacijas atbilstību nosacījumiem par siltumenerģijas lietderīgu izmantošanu BVKB pārbauda pēc komersantu sniegtās informācijas, kā arī klātienes pārbaudēs.</w:t>
            </w:r>
            <w:r w:rsidRPr="00E70ADE">
              <w:rPr>
                <w:sz w:val="22"/>
                <w:szCs w:val="22"/>
              </w:rPr>
              <w:t>”</w:t>
            </w:r>
          </w:p>
        </w:tc>
        <w:tc>
          <w:tcPr>
            <w:tcW w:w="1318" w:type="dxa"/>
          </w:tcPr>
          <w:p w14:paraId="4D1E4571" w14:textId="77777777" w:rsidR="00B412E6" w:rsidRPr="00E70ADE" w:rsidRDefault="00B412E6" w:rsidP="00B412E6">
            <w:pPr>
              <w:jc w:val="both"/>
              <w:rPr>
                <w:sz w:val="22"/>
                <w:szCs w:val="22"/>
              </w:rPr>
            </w:pPr>
          </w:p>
          <w:p w14:paraId="74983855" w14:textId="79124642" w:rsidR="00B412E6" w:rsidRPr="00E70ADE" w:rsidRDefault="00B412E6" w:rsidP="00B412E6">
            <w:pPr>
              <w:jc w:val="both"/>
              <w:rPr>
                <w:sz w:val="22"/>
                <w:szCs w:val="22"/>
              </w:rPr>
            </w:pPr>
          </w:p>
        </w:tc>
      </w:tr>
      <w:tr w:rsidR="007E45B2" w:rsidRPr="00E70ADE" w14:paraId="083D605D"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10EBE0" w14:textId="521E1CE5" w:rsidR="00B412E6" w:rsidRPr="00E70ADE" w:rsidRDefault="00B412E6"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C35D920" w14:textId="3DAAF9BD" w:rsidR="00B412E6" w:rsidRPr="00E70ADE" w:rsidRDefault="00B412E6" w:rsidP="00B412E6">
            <w:pPr>
              <w:shd w:val="clear" w:color="auto" w:fill="FFFFFF"/>
              <w:spacing w:after="120"/>
              <w:jc w:val="both"/>
              <w:rPr>
                <w:sz w:val="22"/>
                <w:szCs w:val="22"/>
              </w:rPr>
            </w:pPr>
            <w:r w:rsidRPr="00E70ADE">
              <w:rPr>
                <w:sz w:val="22"/>
                <w:szCs w:val="22"/>
              </w:rPr>
              <w:t>Noteikumu projekta anotācija</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8D777EB" w14:textId="4F26CAA6" w:rsidR="00B412E6" w:rsidRPr="00E70ADE" w:rsidRDefault="00B412E6" w:rsidP="00B412E6">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7F25FD" w:rsidRPr="00E70ADE">
              <w:rPr>
                <w:rFonts w:eastAsia="Calibri"/>
                <w:b/>
                <w:sz w:val="22"/>
                <w:szCs w:val="22"/>
              </w:rPr>
              <w:t xml:space="preserve"> iebildums</w:t>
            </w:r>
          </w:p>
          <w:p w14:paraId="0D203D4E" w14:textId="4B33B7A1" w:rsidR="00B412E6" w:rsidRPr="00E70ADE" w:rsidRDefault="00B412E6" w:rsidP="00B412E6">
            <w:pPr>
              <w:spacing w:after="160" w:line="252" w:lineRule="auto"/>
              <w:contextualSpacing/>
              <w:jc w:val="both"/>
              <w:rPr>
                <w:sz w:val="22"/>
                <w:szCs w:val="22"/>
              </w:rPr>
            </w:pPr>
            <w:r w:rsidRPr="00E70ADE">
              <w:rPr>
                <w:sz w:val="22"/>
                <w:szCs w:val="22"/>
              </w:rPr>
              <w:t xml:space="preserve">Attiecībā uz noteikumu projekta 2. un 6. punktu, lūdzam papildināt anotāciju ar informāciju, kurš brīdis (lēmums vai </w:t>
            </w:r>
            <w:r w:rsidRPr="00E70ADE">
              <w:rPr>
                <w:sz w:val="22"/>
                <w:szCs w:val="22"/>
              </w:rPr>
              <w:lastRenderedPageBreak/>
              <w:t>līgums) ir uzskatāms par valsts atbalsta piešķiršanas brīdi.</w:t>
            </w:r>
          </w:p>
          <w:p w14:paraId="28DC7F07" w14:textId="77777777" w:rsidR="00B412E6" w:rsidRPr="00E70ADE" w:rsidRDefault="00B412E6" w:rsidP="00B412E6">
            <w:pPr>
              <w:tabs>
                <w:tab w:val="left" w:pos="1134"/>
              </w:tabs>
              <w:contextualSpacing/>
              <w:jc w:val="both"/>
              <w:rPr>
                <w:rFonts w:eastAsia="Calibri"/>
                <w:b/>
                <w:bCs/>
                <w:sz w:val="22"/>
                <w:szCs w:val="22"/>
              </w:rPr>
            </w:pPr>
          </w:p>
          <w:p w14:paraId="6114D65A" w14:textId="77777777" w:rsidR="00B412E6" w:rsidRPr="00E70ADE" w:rsidRDefault="00B412E6" w:rsidP="00B412E6">
            <w:pPr>
              <w:tabs>
                <w:tab w:val="left" w:pos="1134"/>
              </w:tabs>
              <w:contextualSpacing/>
              <w:jc w:val="both"/>
              <w:rPr>
                <w:rFonts w:eastAsia="Calibri"/>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770289D" w14:textId="17BD27EB" w:rsidR="00B412E6" w:rsidRPr="00E70ADE" w:rsidRDefault="00303DA8" w:rsidP="00B412E6">
            <w:pPr>
              <w:pStyle w:val="naisc"/>
              <w:spacing w:before="0" w:after="0"/>
              <w:rPr>
                <w:b/>
                <w:sz w:val="22"/>
                <w:szCs w:val="22"/>
              </w:rPr>
            </w:pPr>
            <w:r w:rsidRPr="00E70ADE">
              <w:rPr>
                <w:b/>
                <w:sz w:val="22"/>
                <w:szCs w:val="22"/>
              </w:rPr>
              <w:lastRenderedPageBreak/>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742B01F" w14:textId="77777777" w:rsidR="006B0C9E" w:rsidRPr="00E70ADE" w:rsidRDefault="006B0C9E" w:rsidP="006B0C9E">
            <w:pPr>
              <w:shd w:val="clear" w:color="auto" w:fill="FFFFFF"/>
              <w:spacing w:after="120"/>
              <w:jc w:val="both"/>
              <w:rPr>
                <w:sz w:val="22"/>
                <w:szCs w:val="22"/>
              </w:rPr>
            </w:pPr>
            <w:r w:rsidRPr="00E70ADE">
              <w:rPr>
                <w:sz w:val="22"/>
                <w:szCs w:val="22"/>
              </w:rPr>
              <w:t>Projekta anotācijas I sadaļas 2. punkts papildināts šādā redakcijā:</w:t>
            </w:r>
          </w:p>
          <w:p w14:paraId="24D2FAC9" w14:textId="7FAB40BA" w:rsidR="00B412E6" w:rsidRPr="00E70ADE" w:rsidRDefault="006B0C9E" w:rsidP="006B0C9E">
            <w:pPr>
              <w:spacing w:before="120"/>
              <w:ind w:right="115"/>
              <w:jc w:val="both"/>
              <w:rPr>
                <w:sz w:val="22"/>
                <w:szCs w:val="22"/>
              </w:rPr>
            </w:pPr>
            <w:r w:rsidRPr="00E70ADE">
              <w:rPr>
                <w:sz w:val="22"/>
                <w:szCs w:val="22"/>
              </w:rPr>
              <w:t xml:space="preserve">“Par valsts atbalsta piešķiršanas brīdi tiek uzskatīts brīdis, kad ir pieņemts </w:t>
            </w:r>
            <w:r w:rsidRPr="00E70ADE">
              <w:rPr>
                <w:sz w:val="22"/>
                <w:szCs w:val="22"/>
              </w:rPr>
              <w:lastRenderedPageBreak/>
              <w:t>lēmums par obligātā iepirkuma tiesību piešķiršanu.”</w:t>
            </w:r>
          </w:p>
        </w:tc>
        <w:tc>
          <w:tcPr>
            <w:tcW w:w="1318" w:type="dxa"/>
          </w:tcPr>
          <w:p w14:paraId="4CEBAC4A" w14:textId="77777777" w:rsidR="00B412E6" w:rsidRPr="00E70ADE" w:rsidRDefault="00B412E6" w:rsidP="00B412E6">
            <w:pPr>
              <w:jc w:val="both"/>
              <w:rPr>
                <w:sz w:val="22"/>
                <w:szCs w:val="22"/>
              </w:rPr>
            </w:pPr>
          </w:p>
        </w:tc>
      </w:tr>
      <w:tr w:rsidR="007E45B2" w:rsidRPr="00E70ADE" w14:paraId="21358522"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0C731A2" w14:textId="68475D79" w:rsidR="00E61B22" w:rsidRPr="00E70ADE" w:rsidRDefault="00E61B22"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4C81721" w14:textId="662DE8A8" w:rsidR="00E61B22" w:rsidRPr="00E70ADE" w:rsidRDefault="003A43FF" w:rsidP="00E61B22">
            <w:pPr>
              <w:shd w:val="clear" w:color="auto" w:fill="FFFFFF" w:themeFill="background1"/>
              <w:spacing w:after="120"/>
              <w:jc w:val="both"/>
              <w:rPr>
                <w:sz w:val="22"/>
                <w:szCs w:val="22"/>
              </w:rPr>
            </w:pPr>
            <w:r w:rsidRPr="00E70ADE">
              <w:rPr>
                <w:sz w:val="22"/>
                <w:szCs w:val="22"/>
              </w:rPr>
              <w:t>3. Birojs organizē to elektroenerģijas ražotāju darbības uzraudzību un kontroli, kuri izmanto obligātā iepirkuma tiesības vai garantētās maksas tiesības. Birojam ir tiesības grozīt vai atcelt šo noteikumu 2.2. minēto lēmumu, kā arī pieņemt lēmumus par valsts atbalsta izmaksas apturēšanu un nepamatoti vai nelikumīgi saņemtā valsts atbalsta atgūšanu. Birojs, pieņemot lēmumu obligātā iepirkuma uzraudzības vai kontroles ietvaros, par to triju darbdienu laikā informē sistēmas operatoru un publisko tirgotāju.</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F460FE9" w14:textId="77777777" w:rsidR="00E61B22" w:rsidRPr="00E70ADE" w:rsidRDefault="00E61B22"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2B2C0975" w14:textId="3669643A" w:rsidR="00E61B22" w:rsidRPr="00E70ADE" w:rsidRDefault="00EC590A" w:rsidP="00D15B87">
            <w:pPr>
              <w:jc w:val="both"/>
              <w:rPr>
                <w:b/>
                <w:bCs/>
                <w:sz w:val="22"/>
                <w:szCs w:val="22"/>
              </w:rPr>
            </w:pPr>
            <w:r w:rsidRPr="00E70ADE">
              <w:rPr>
                <w:sz w:val="22"/>
                <w:szCs w:val="22"/>
              </w:rPr>
              <w:t xml:space="preserve">Noteikumu projekta 3.punktā ir noteikts, ka Birojam ir tiesības grozīt vai atcelt lēmumus, ar kuriem piešķirtas obligātā iepirkuma tiesības, kā arī pieņemt lēmumus par valsts atbalsta izmaksas apturēšanu un nepamatoti vai nelikumīgi saņemtā valsts atbalsta atgūšanu. Taču noteikumu projektā </w:t>
            </w:r>
            <w:r w:rsidRPr="00E70ADE">
              <w:rPr>
                <w:b/>
                <w:bCs/>
                <w:sz w:val="22"/>
                <w:szCs w:val="22"/>
              </w:rPr>
              <w:t>nav atrunāta kārtība, kādā Biroja lēmumi ir apstrīdami un pārsūdzami</w:t>
            </w:r>
            <w:r w:rsidRPr="00E70ADE">
              <w:rPr>
                <w:sz w:val="22"/>
                <w:szCs w:val="22"/>
              </w:rPr>
              <w:t>. Tāpēc lūdzam noteikumu projektu papildināt ar normu, kurā tā ir noteikta.  </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3B8D183" w14:textId="77777777" w:rsidR="00E61B22" w:rsidRPr="00E70ADE" w:rsidRDefault="00E61B22" w:rsidP="00E61B22">
            <w:pPr>
              <w:pStyle w:val="naisc"/>
              <w:spacing w:before="0" w:after="0"/>
              <w:rPr>
                <w:b/>
                <w:sz w:val="22"/>
                <w:szCs w:val="22"/>
              </w:rPr>
            </w:pPr>
            <w:r w:rsidRPr="00E70ADE">
              <w:rPr>
                <w:b/>
                <w:sz w:val="22"/>
                <w:szCs w:val="22"/>
              </w:rPr>
              <w:t>Iebildums daļēji ņemts vērā</w:t>
            </w:r>
          </w:p>
          <w:p w14:paraId="53739762" w14:textId="1EE4BEA8" w:rsidR="00E61B22" w:rsidRPr="00E70ADE" w:rsidRDefault="00E61B22" w:rsidP="00D804E4">
            <w:pPr>
              <w:pStyle w:val="naisc"/>
              <w:jc w:val="left"/>
              <w:rPr>
                <w:b/>
                <w:bCs/>
                <w:sz w:val="22"/>
                <w:szCs w:val="22"/>
              </w:rPr>
            </w:pPr>
            <w:r w:rsidRPr="00E70ADE">
              <w:rPr>
                <w:sz w:val="22"/>
                <w:szCs w:val="22"/>
              </w:rPr>
              <w:t xml:space="preserve">Biroja lēmumi ir saskaņā ar citiem normatīvajiem aktiem, tajā skaitā Administratīvā procesa likuma ietvaros. Vienlaikus informējam, ka norma, kas iekļauta projekta </w:t>
            </w:r>
            <w:r w:rsidR="00D804E4" w:rsidRPr="00E70ADE">
              <w:rPr>
                <w:sz w:val="22"/>
                <w:szCs w:val="22"/>
              </w:rPr>
              <w:t>3</w:t>
            </w:r>
            <w:r w:rsidRPr="00E70ADE">
              <w:rPr>
                <w:sz w:val="22"/>
                <w:szCs w:val="22"/>
              </w:rPr>
              <w:t xml:space="preserve">.punktā ir jau spēkā esošajos MK </w:t>
            </w:r>
            <w:r w:rsidR="00D804E4" w:rsidRPr="00E70ADE">
              <w:rPr>
                <w:sz w:val="22"/>
                <w:szCs w:val="22"/>
              </w:rPr>
              <w:t>221</w:t>
            </w:r>
            <w:r w:rsidRPr="00E70ADE">
              <w:rPr>
                <w:sz w:val="22"/>
                <w:szCs w:val="22"/>
              </w:rPr>
              <w:t>.not., un praksē tā piemērošanā nav konstatētas problēmas.</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4836831" w14:textId="40DEC8F1" w:rsidR="00E61B22" w:rsidRPr="00E70ADE" w:rsidRDefault="000276D4" w:rsidP="00E61B22">
            <w:pPr>
              <w:jc w:val="both"/>
              <w:rPr>
                <w:sz w:val="22"/>
                <w:szCs w:val="22"/>
              </w:rPr>
            </w:pPr>
            <w:r w:rsidRPr="00E70ADE">
              <w:rPr>
                <w:sz w:val="22"/>
                <w:szCs w:val="22"/>
              </w:rPr>
              <w:t xml:space="preserve">3. Birojs organizē to elektroenerģijas ražotāju darbības uzraudzību un kontroli, kuri izmanto obligātā iepirkuma tiesības vai garantētās maksas tiesības. Birojam ir tiesības grozīt vai atcelt šo noteikumu </w:t>
            </w:r>
            <w:r w:rsidRPr="00E70ADE">
              <w:rPr>
                <w:sz w:val="22"/>
                <w:szCs w:val="22"/>
              </w:rPr>
              <w:fldChar w:fldCharType="begin"/>
            </w:r>
            <w:r w:rsidRPr="00E70ADE">
              <w:rPr>
                <w:sz w:val="22"/>
                <w:szCs w:val="22"/>
              </w:rPr>
              <w:instrText xml:space="preserve"> REF _Ref49151313 \r \h  \* MERGEFORMAT </w:instrText>
            </w:r>
            <w:r w:rsidRPr="00E70ADE">
              <w:rPr>
                <w:sz w:val="22"/>
                <w:szCs w:val="22"/>
              </w:rPr>
            </w:r>
            <w:r w:rsidRPr="00E70ADE">
              <w:rPr>
                <w:sz w:val="22"/>
                <w:szCs w:val="22"/>
              </w:rPr>
              <w:fldChar w:fldCharType="separate"/>
            </w:r>
            <w:r w:rsidRPr="00E70ADE">
              <w:rPr>
                <w:sz w:val="22"/>
                <w:szCs w:val="22"/>
              </w:rPr>
              <w:t>2.2</w:t>
            </w:r>
            <w:r w:rsidRPr="00E70ADE">
              <w:rPr>
                <w:sz w:val="22"/>
                <w:szCs w:val="22"/>
              </w:rPr>
              <w:fldChar w:fldCharType="end"/>
            </w:r>
            <w:r w:rsidRPr="00E70ADE">
              <w:rPr>
                <w:sz w:val="22"/>
                <w:szCs w:val="22"/>
              </w:rPr>
              <w:t xml:space="preserve"> minēto lēmumu, kā arī pieņemt lēmumus par valsts atbalsta izmaksas un obligātā iepirkuma apturēšanu un nepamatoti vai nelikumīgi saņemtā valsts atbalsta atgūšanu. Birojs, pieņemot lēmumu obligātā iepirkuma uzraudzības vai kontroles ietvaros, par to nekavējoties informē elektroenerģijas sistēmas operatoru un publisko tirgotāju.</w:t>
            </w:r>
          </w:p>
        </w:tc>
        <w:tc>
          <w:tcPr>
            <w:tcW w:w="1318" w:type="dxa"/>
          </w:tcPr>
          <w:p w14:paraId="1040CE42" w14:textId="77777777" w:rsidR="00E61B22" w:rsidRPr="00E70ADE" w:rsidRDefault="00E61B22" w:rsidP="00E61B22">
            <w:pPr>
              <w:jc w:val="both"/>
              <w:rPr>
                <w:sz w:val="22"/>
                <w:szCs w:val="22"/>
              </w:rPr>
            </w:pPr>
          </w:p>
        </w:tc>
      </w:tr>
      <w:tr w:rsidR="007E45B2" w:rsidRPr="00E70ADE" w14:paraId="1CDC3A26"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D2633FC" w14:textId="13B77609" w:rsidR="00E61B22" w:rsidRPr="00E70ADE" w:rsidRDefault="00E61B22"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A63A8C0" w14:textId="77777777" w:rsidR="00B83403" w:rsidRPr="00E70ADE" w:rsidRDefault="00B83403" w:rsidP="00B83403">
            <w:pPr>
              <w:shd w:val="clear" w:color="auto" w:fill="FFFFFF"/>
              <w:ind w:firstLine="426"/>
              <w:jc w:val="both"/>
              <w:rPr>
                <w:sz w:val="22"/>
                <w:szCs w:val="22"/>
              </w:rPr>
            </w:pPr>
            <w:r w:rsidRPr="00E70ADE">
              <w:rPr>
                <w:sz w:val="22"/>
                <w:szCs w:val="22"/>
              </w:rPr>
              <w:t>5. Ministrijai ir tiesības pārskatīt vai ierosināt pārskatīt šajos noteikumos iekļauto formulu pamatotību un atbilstību elektroenerģijas tirgus situācijai un neatbilstības gadījumā normatīvajos aktos noteiktā kārtībā sniegt priekšlikumus attiecīgiem grozījumiem.</w:t>
            </w:r>
          </w:p>
          <w:p w14:paraId="065E5CFB" w14:textId="77777777" w:rsidR="00E61B22" w:rsidRPr="00E70ADE" w:rsidRDefault="00E61B22" w:rsidP="00E61B22">
            <w:pPr>
              <w:jc w:val="both"/>
              <w:rPr>
                <w:sz w:val="22"/>
                <w:szCs w:val="22"/>
              </w:rPr>
            </w:pPr>
          </w:p>
          <w:p w14:paraId="2106DC9C" w14:textId="2E803F5C" w:rsidR="00B83403" w:rsidRPr="00E70ADE" w:rsidRDefault="0011742B" w:rsidP="00E61B22">
            <w:pPr>
              <w:jc w:val="both"/>
              <w:rPr>
                <w:sz w:val="22"/>
                <w:szCs w:val="22"/>
              </w:rPr>
            </w:pPr>
            <w:r w:rsidRPr="00E70ADE">
              <w:rPr>
                <w:sz w:val="22"/>
                <w:szCs w:val="22"/>
              </w:rPr>
              <w:t>76. Lai nodrošinātu valsts atbalsta samērīgumu, ministrija vai ministrija pēc biroja ierosinājuma var ierosināt pārskatīt šo noteikumu </w:t>
            </w:r>
            <w:hyperlink r:id="rId20" w:anchor="piel10" w:history="1">
              <w:r w:rsidRPr="00E70ADE">
                <w:rPr>
                  <w:sz w:val="22"/>
                  <w:szCs w:val="22"/>
                </w:rPr>
                <w:t>8.</w:t>
              </w:r>
            </w:hyperlink>
            <w:r w:rsidRPr="00E70ADE">
              <w:rPr>
                <w:sz w:val="22"/>
                <w:szCs w:val="22"/>
              </w:rPr>
              <w:t> pielikuma minēto vērtību pamatotību un atbilstību faktiskajai tirgus situācijai.</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A41E1F3" w14:textId="42EB886C" w:rsidR="00E61B22" w:rsidRPr="00E70ADE" w:rsidRDefault="00E61B22" w:rsidP="00E61B22">
            <w:pPr>
              <w:pStyle w:val="Default"/>
              <w:spacing w:line="276" w:lineRule="auto"/>
              <w:jc w:val="center"/>
              <w:rPr>
                <w:rFonts w:ascii="Times New Roman" w:hAnsi="Times New Roman" w:cs="Times New Roman"/>
                <w:b/>
                <w:bCs/>
                <w:sz w:val="22"/>
                <w:szCs w:val="22"/>
              </w:rPr>
            </w:pPr>
            <w:r w:rsidRPr="00E70ADE">
              <w:rPr>
                <w:rFonts w:ascii="Times New Roman" w:hAnsi="Times New Roman" w:cs="Times New Roman"/>
                <w:b/>
                <w:bCs/>
                <w:sz w:val="22"/>
                <w:szCs w:val="22"/>
              </w:rPr>
              <w:t>Tieslietu ministrija (14.08.2020) iebildums</w:t>
            </w:r>
          </w:p>
          <w:p w14:paraId="4EE930E8" w14:textId="38B51315" w:rsidR="00E61B22" w:rsidRPr="00E70ADE" w:rsidRDefault="00E61B22" w:rsidP="00E61B22">
            <w:pPr>
              <w:jc w:val="both"/>
              <w:rPr>
                <w:sz w:val="22"/>
                <w:szCs w:val="22"/>
              </w:rPr>
            </w:pPr>
            <w:r w:rsidRPr="00E70ADE">
              <w:rPr>
                <w:sz w:val="22"/>
                <w:szCs w:val="22"/>
              </w:rPr>
              <w:t>Projekta 5. un 76. punktu nepieciešams svītrot, jo šādām normām nav juridiskās slodzes. Vēršam uzmanību, ka ministrija ir iestāde, kuras kompetencē ietilpst nozares politikas veidošana, kas ir noteikta ar citiem normatīvajiem aktiem. Tādējādi projektā nav jāiekļauj regulējums par ministrijas tiesībām sekot līdzi dažādiem procesiem, pārskatīt spēkā esošo tiesisko regulējumu un iniciēt grozījumus tajā.</w:t>
            </w:r>
          </w:p>
          <w:p w14:paraId="79E203EE" w14:textId="6ABA8818" w:rsidR="00E61B22" w:rsidRPr="00E70ADE" w:rsidRDefault="00E61B22" w:rsidP="00E61B22">
            <w:pPr>
              <w:pStyle w:val="Default"/>
              <w:spacing w:line="276" w:lineRule="auto"/>
              <w:jc w:val="center"/>
              <w:rPr>
                <w:rFonts w:ascii="Times New Roman" w:hAnsi="Times New Roman" w:cs="Times New Roman"/>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1F94264" w14:textId="2DB719E1" w:rsidR="00E61B22" w:rsidRPr="00E70ADE" w:rsidRDefault="00E61B22" w:rsidP="00E61B22">
            <w:pPr>
              <w:pStyle w:val="naisc"/>
              <w:rPr>
                <w:b/>
                <w:bCs/>
                <w:sz w:val="22"/>
                <w:szCs w:val="22"/>
              </w:rPr>
            </w:pPr>
            <w:r w:rsidRPr="00E70ADE">
              <w:rPr>
                <w:b/>
                <w:bCs/>
                <w:sz w:val="22"/>
                <w:szCs w:val="22"/>
              </w:rPr>
              <w:t>Iebildums daļēji ņemts vērā</w:t>
            </w:r>
          </w:p>
          <w:p w14:paraId="7EF72BA0" w14:textId="368AB6D0" w:rsidR="00E61B22" w:rsidRPr="00E70ADE" w:rsidRDefault="00E61B22" w:rsidP="00E61B22">
            <w:pPr>
              <w:pStyle w:val="naisc"/>
              <w:jc w:val="left"/>
              <w:rPr>
                <w:b/>
                <w:bCs/>
                <w:sz w:val="22"/>
                <w:szCs w:val="22"/>
              </w:rPr>
            </w:pPr>
            <w:r w:rsidRPr="00E70ADE">
              <w:rPr>
                <w:sz w:val="22"/>
                <w:szCs w:val="22"/>
              </w:rPr>
              <w:t xml:space="preserve">Attiecīgās normas ir iekļautas esošajā noteikumu redakcijā un Ekonomikas ministrija piedāvā tās saglabāt arī </w:t>
            </w:r>
            <w:proofErr w:type="spellStart"/>
            <w:r w:rsidRPr="00E70ADE">
              <w:rPr>
                <w:sz w:val="22"/>
                <w:szCs w:val="22"/>
              </w:rPr>
              <w:t>pārizdodot</w:t>
            </w:r>
            <w:proofErr w:type="spellEnd"/>
            <w:r w:rsidRPr="00E70ADE">
              <w:rPr>
                <w:sz w:val="22"/>
                <w:szCs w:val="22"/>
              </w:rPr>
              <w:t xml:space="preserve"> noteikumus. Šīs normas pēc būtības ir atbalsta sistēmas sastāvdaļa, kas ļauj mainīt valsts atbalsta nosacījumus. Tādējādi komersantam nevar rasties tiesiskā paļāvība, ka attiecīgie nosacījumi nevar tik mainīti.</w:t>
            </w:r>
            <w:r w:rsidR="000276D4" w:rsidRPr="00E70ADE">
              <w:rPr>
                <w:sz w:val="22"/>
                <w:szCs w:val="22"/>
              </w:rPr>
              <w:t xml:space="preserve"> Svītrots projekta 76. punkts.</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3196173" w14:textId="0A48F74C" w:rsidR="00E61B22" w:rsidRPr="00E70ADE" w:rsidRDefault="0084476B" w:rsidP="00E61B22">
            <w:pPr>
              <w:jc w:val="both"/>
              <w:rPr>
                <w:sz w:val="22"/>
                <w:szCs w:val="22"/>
              </w:rPr>
            </w:pPr>
            <w:r w:rsidRPr="00E70ADE">
              <w:rPr>
                <w:sz w:val="22"/>
                <w:szCs w:val="22"/>
              </w:rPr>
              <w:t>5. Š</w:t>
            </w:r>
            <w:r w:rsidRPr="00E70ADE" w:rsidDel="00677C31">
              <w:rPr>
                <w:sz w:val="22"/>
                <w:szCs w:val="22"/>
              </w:rPr>
              <w:t>ajos noteikumos iekļauto formulu pamatotīb</w:t>
            </w:r>
            <w:r w:rsidRPr="00E70ADE">
              <w:rPr>
                <w:sz w:val="22"/>
                <w:szCs w:val="22"/>
              </w:rPr>
              <w:t>a</w:t>
            </w:r>
            <w:r w:rsidRPr="00E70ADE" w:rsidDel="00677C31">
              <w:rPr>
                <w:sz w:val="22"/>
                <w:szCs w:val="22"/>
              </w:rPr>
              <w:t xml:space="preserve"> un atbilstīb</w:t>
            </w:r>
            <w:r w:rsidRPr="00E70ADE">
              <w:rPr>
                <w:sz w:val="22"/>
                <w:szCs w:val="22"/>
              </w:rPr>
              <w:t>a</w:t>
            </w:r>
            <w:r w:rsidRPr="00E70ADE" w:rsidDel="00677C31">
              <w:rPr>
                <w:sz w:val="22"/>
                <w:szCs w:val="22"/>
              </w:rPr>
              <w:t xml:space="preserve"> elektroenerģijas tirgus situācijai </w:t>
            </w:r>
            <w:r w:rsidRPr="00E70ADE">
              <w:rPr>
                <w:sz w:val="22"/>
                <w:szCs w:val="22"/>
              </w:rPr>
              <w:t xml:space="preserve">var tikt pārskatīta, </w:t>
            </w:r>
            <w:r w:rsidRPr="00E70ADE" w:rsidDel="00677C31">
              <w:rPr>
                <w:sz w:val="22"/>
                <w:szCs w:val="22"/>
              </w:rPr>
              <w:t xml:space="preserve">un neatbilstības gadījumā normatīvajos aktos noteiktā kārtībā </w:t>
            </w:r>
            <w:r w:rsidRPr="00E70ADE">
              <w:rPr>
                <w:sz w:val="22"/>
                <w:szCs w:val="22"/>
              </w:rPr>
              <w:t>tās var tikt grozītas</w:t>
            </w:r>
          </w:p>
        </w:tc>
        <w:tc>
          <w:tcPr>
            <w:tcW w:w="1318" w:type="dxa"/>
          </w:tcPr>
          <w:p w14:paraId="1085ABF5" w14:textId="62FF0D18" w:rsidR="00E61B22" w:rsidRPr="00E70ADE" w:rsidRDefault="00E61B22" w:rsidP="00E61B22">
            <w:pPr>
              <w:jc w:val="both"/>
              <w:rPr>
                <w:sz w:val="22"/>
                <w:szCs w:val="22"/>
              </w:rPr>
            </w:pPr>
          </w:p>
        </w:tc>
      </w:tr>
      <w:tr w:rsidR="007E45B2" w:rsidRPr="00E70ADE" w14:paraId="17062159"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4236014" w14:textId="14D9D476" w:rsidR="00E61B22" w:rsidRPr="00E70ADE" w:rsidRDefault="00E61B22"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C299C07" w14:textId="27BEDBDA" w:rsidR="00E61B22" w:rsidRPr="00E70ADE" w:rsidRDefault="00B412E6" w:rsidP="00E61B22">
            <w:pPr>
              <w:shd w:val="clear" w:color="auto" w:fill="FFFFFF"/>
              <w:spacing w:after="120"/>
              <w:jc w:val="both"/>
              <w:rPr>
                <w:sz w:val="22"/>
                <w:szCs w:val="22"/>
              </w:rPr>
            </w:pPr>
            <w:r w:rsidRPr="00E70ADE">
              <w:rPr>
                <w:sz w:val="22"/>
                <w:szCs w:val="22"/>
              </w:rPr>
              <w:t>Noteikumu projekt</w:t>
            </w:r>
            <w:r w:rsidR="00143921" w:rsidRPr="00E70ADE">
              <w:rPr>
                <w:sz w:val="22"/>
                <w:szCs w:val="22"/>
              </w:rPr>
              <w:t>a anotācija</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353C4A8" w14:textId="5F69D990" w:rsidR="00E61B22" w:rsidRPr="00E70ADE" w:rsidRDefault="00E61B22" w:rsidP="00E61B22">
            <w:pPr>
              <w:tabs>
                <w:tab w:val="left" w:pos="1134"/>
              </w:tabs>
              <w:spacing w:after="160" w:line="252" w:lineRule="auto"/>
              <w:contextualSpacing/>
              <w:jc w:val="center"/>
              <w:rPr>
                <w:rFonts w:eastAsia="Calibri"/>
                <w:b/>
                <w:bCs/>
                <w:sz w:val="22"/>
                <w:szCs w:val="22"/>
              </w:rPr>
            </w:pPr>
            <w:r w:rsidRPr="00E70ADE">
              <w:rPr>
                <w:rFonts w:eastAsia="Calibri"/>
                <w:b/>
                <w:bCs/>
                <w:sz w:val="22"/>
                <w:szCs w:val="22"/>
              </w:rPr>
              <w:t>Finanšu ministrija (11.08.2020.)</w:t>
            </w:r>
            <w:r w:rsidR="00B344D9" w:rsidRPr="00E70ADE">
              <w:rPr>
                <w:rFonts w:eastAsia="Calibri"/>
                <w:b/>
                <w:bCs/>
                <w:sz w:val="22"/>
                <w:szCs w:val="22"/>
              </w:rPr>
              <w:t xml:space="preserve"> iebildums</w:t>
            </w:r>
          </w:p>
          <w:p w14:paraId="31382232" w14:textId="74D4369D" w:rsidR="007E45B2" w:rsidRPr="00E70ADE" w:rsidRDefault="00E61B22" w:rsidP="007E45B2">
            <w:pPr>
              <w:spacing w:after="160" w:line="252" w:lineRule="auto"/>
              <w:contextualSpacing/>
              <w:jc w:val="both"/>
              <w:rPr>
                <w:sz w:val="22"/>
                <w:szCs w:val="22"/>
              </w:rPr>
            </w:pPr>
            <w:r w:rsidRPr="00E70ADE">
              <w:rPr>
                <w:sz w:val="22"/>
                <w:szCs w:val="22"/>
              </w:rPr>
              <w:t xml:space="preserve">Ņemot vērā to, ka ar noteikumu projektu vairs nav paredzēts </w:t>
            </w:r>
            <w:r w:rsidRPr="00E70ADE">
              <w:rPr>
                <w:i/>
                <w:iCs/>
                <w:sz w:val="22"/>
                <w:szCs w:val="22"/>
              </w:rPr>
              <w:t>Ministru kabineta 2009.gada 10.marta noteikumu Nr.221 “Noteikumi par elektroenerģijas ražošanu un cenu noteikšanu, ražojot elektroenerģiju koģenerācijā”</w:t>
            </w:r>
            <w:r w:rsidRPr="00E70ADE">
              <w:rPr>
                <w:sz w:val="22"/>
                <w:szCs w:val="22"/>
              </w:rPr>
              <w:t xml:space="preserve"> 34. punktā noteiktais, ka obligātā iepirkuma kārtībā saražotās elektroenerģijas obligātā iepirkuma izmaksas sedz visi Latvijas elektroenerģijas galalietotāji saskaņā ar regulatora noteiktajām obligātā iepirkuma un jaudas komponentēm no koģenerācijas elektrostacijām, veicot samaksu attiecīgajam elektroenerģijas pārvades vai sadales sistēmas operatoram kopā ar maksu par pārvades vai sadales pakalpojumu, kas vienlaikus bija saskaņots ar Eiropas Komisiju un atbilst Eiropas Komisijas lēmuma lietā SA.43140 10. punktam, lūdzam precizēt noteikumu projektu, skaidri norādot, kas segs saražotās elektroenerģijas koģenerācijā obligātā iepirkuma izmaksas, vienlaikus informējot par to Eiropas Komisiju plānotās komunikācijas ietvaros un papildināt anotāciju ar attiecīgu skaidrojumu.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184B35A" w14:textId="39DF264D" w:rsidR="00E61B22" w:rsidRPr="00E70ADE" w:rsidRDefault="00AB4D8F" w:rsidP="00E61B22">
            <w:pPr>
              <w:pStyle w:val="naisc"/>
              <w:spacing w:before="0" w:after="0"/>
              <w:rPr>
                <w:b/>
                <w:bCs/>
                <w:sz w:val="22"/>
                <w:szCs w:val="22"/>
              </w:rPr>
            </w:pPr>
            <w:r w:rsidRPr="00E70ADE">
              <w:rPr>
                <w:b/>
                <w:bCs/>
                <w:sz w:val="22"/>
                <w:szCs w:val="22"/>
              </w:rPr>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A5707C7" w14:textId="77777777" w:rsidR="008024FB" w:rsidRPr="00E70ADE" w:rsidRDefault="008024FB" w:rsidP="008024FB">
            <w:pPr>
              <w:shd w:val="clear" w:color="auto" w:fill="FFFFFF"/>
              <w:spacing w:after="120"/>
              <w:jc w:val="both"/>
              <w:rPr>
                <w:sz w:val="22"/>
                <w:szCs w:val="22"/>
              </w:rPr>
            </w:pPr>
            <w:r w:rsidRPr="00E70ADE">
              <w:rPr>
                <w:sz w:val="22"/>
                <w:szCs w:val="22"/>
              </w:rPr>
              <w:t>Projekta anotācijas I sadaļas 2. punkts papildināts šādā redakcijā:</w:t>
            </w:r>
          </w:p>
          <w:p w14:paraId="40CD34E2" w14:textId="53EC252C" w:rsidR="00AB4D8F" w:rsidRPr="00E70ADE" w:rsidRDefault="008024FB" w:rsidP="00AB4D8F">
            <w:pPr>
              <w:spacing w:before="120"/>
              <w:ind w:right="115"/>
              <w:jc w:val="both"/>
              <w:rPr>
                <w:sz w:val="22"/>
                <w:szCs w:val="22"/>
              </w:rPr>
            </w:pPr>
            <w:r w:rsidRPr="00E70ADE">
              <w:rPr>
                <w:sz w:val="22"/>
                <w:szCs w:val="22"/>
              </w:rPr>
              <w:t>“</w:t>
            </w:r>
            <w:r w:rsidR="00AB4D8F" w:rsidRPr="00E70ADE">
              <w:rPr>
                <w:sz w:val="22"/>
                <w:szCs w:val="22"/>
              </w:rPr>
              <w:t xml:space="preserve">Projekts neparedz izmaiņas saistībā ar obligātā ietvaros saražotās elektroenerģijas izmaksu segšanu.  Atbilstoši ETL </w:t>
            </w:r>
            <w:r w:rsidR="0012758E" w:rsidRPr="00E70ADE">
              <w:rPr>
                <w:sz w:val="22"/>
                <w:szCs w:val="22"/>
              </w:rPr>
              <w:t>28</w:t>
            </w:r>
            <w:r w:rsidR="00AB4D8F" w:rsidRPr="00E70ADE">
              <w:rPr>
                <w:sz w:val="22"/>
                <w:szCs w:val="22"/>
              </w:rPr>
              <w:t xml:space="preserve">. panta </w:t>
            </w:r>
            <w:r w:rsidR="00935697" w:rsidRPr="00E70ADE">
              <w:rPr>
                <w:sz w:val="22"/>
                <w:szCs w:val="22"/>
              </w:rPr>
              <w:t>piektajai</w:t>
            </w:r>
            <w:r w:rsidR="00AB4D8F" w:rsidRPr="00E70ADE">
              <w:rPr>
                <w:sz w:val="22"/>
                <w:szCs w:val="22"/>
              </w:rPr>
              <w:t xml:space="preserve"> daļai </w:t>
            </w:r>
            <w:r w:rsidR="00FF7B27" w:rsidRPr="00E70ADE">
              <w:rPr>
                <w:sz w:val="22"/>
                <w:szCs w:val="22"/>
              </w:rPr>
              <w:t>un 28.</w:t>
            </w:r>
            <w:r w:rsidR="00FF7B27" w:rsidRPr="00E70ADE">
              <w:rPr>
                <w:sz w:val="22"/>
                <w:szCs w:val="22"/>
                <w:vertAlign w:val="superscript"/>
              </w:rPr>
              <w:t>1</w:t>
            </w:r>
            <w:r w:rsidR="00FF7B27" w:rsidRPr="00E70ADE">
              <w:rPr>
                <w:sz w:val="22"/>
                <w:szCs w:val="22"/>
              </w:rPr>
              <w:t xml:space="preserve"> panta </w:t>
            </w:r>
            <w:r w:rsidR="00C70740" w:rsidRPr="00E70ADE">
              <w:rPr>
                <w:sz w:val="22"/>
                <w:szCs w:val="22"/>
              </w:rPr>
              <w:t xml:space="preserve">ceturtajai daļai </w:t>
            </w:r>
            <w:r w:rsidR="00AB4D8F" w:rsidRPr="00E70ADE">
              <w:rPr>
                <w:sz w:val="22"/>
                <w:szCs w:val="22"/>
              </w:rPr>
              <w:t>arī turpmāk obligātā iepirkuma kārtībā saražotās elektroenerģijas obligātā iepirkuma izmaksas segs visi elektroenerģijas galalietotāji proporcionāli to elektroenerģijas patēriņa apjomam. Šāds princips ir saskaņots ar  Eiropas Komisiju un atbilst Eiropas Komisijas lēmumam lietā SA.43140.</w:t>
            </w:r>
            <w:r w:rsidRPr="00E70ADE">
              <w:rPr>
                <w:sz w:val="22"/>
                <w:szCs w:val="22"/>
              </w:rPr>
              <w:t>”</w:t>
            </w:r>
          </w:p>
          <w:p w14:paraId="6AE15FB4" w14:textId="77777777" w:rsidR="00E61B22" w:rsidRPr="00E70ADE" w:rsidRDefault="00E61B22" w:rsidP="00E61B22">
            <w:pPr>
              <w:shd w:val="clear" w:color="auto" w:fill="FFFFFF"/>
              <w:spacing w:after="120"/>
              <w:jc w:val="both"/>
              <w:rPr>
                <w:sz w:val="22"/>
                <w:szCs w:val="22"/>
              </w:rPr>
            </w:pPr>
          </w:p>
        </w:tc>
        <w:tc>
          <w:tcPr>
            <w:tcW w:w="1318" w:type="dxa"/>
          </w:tcPr>
          <w:p w14:paraId="63217EB0" w14:textId="77777777" w:rsidR="00E61B22" w:rsidRPr="00E70ADE" w:rsidRDefault="00E61B22" w:rsidP="00E61B22">
            <w:pPr>
              <w:jc w:val="both"/>
              <w:rPr>
                <w:sz w:val="22"/>
                <w:szCs w:val="22"/>
              </w:rPr>
            </w:pPr>
          </w:p>
        </w:tc>
      </w:tr>
      <w:tr w:rsidR="007E45B2" w:rsidRPr="00E70ADE" w14:paraId="7D23536F"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DDF4EC" w14:textId="03B85CC2" w:rsidR="00962698" w:rsidRPr="00E70ADE" w:rsidRDefault="00962698"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209CF4A" w14:textId="3837C298" w:rsidR="00962698" w:rsidRPr="00E70ADE" w:rsidRDefault="0084476B" w:rsidP="00E61B22">
            <w:pPr>
              <w:shd w:val="clear" w:color="auto" w:fill="FFFFFF"/>
              <w:spacing w:after="120"/>
              <w:jc w:val="both"/>
              <w:rPr>
                <w:sz w:val="22"/>
                <w:szCs w:val="22"/>
              </w:rPr>
            </w:pPr>
            <w:r w:rsidRPr="00E70ADE">
              <w:rPr>
                <w:sz w:val="22"/>
                <w:szCs w:val="22"/>
              </w:rPr>
              <w:t>Viss projekta teksts.</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F44D045" w14:textId="77777777" w:rsidR="00962698" w:rsidRPr="00E70ADE" w:rsidRDefault="00962698"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1D61FD49" w14:textId="2DB84198" w:rsidR="00962698" w:rsidRPr="00E70ADE" w:rsidRDefault="00A02F23" w:rsidP="009952E2">
            <w:pPr>
              <w:jc w:val="both"/>
              <w:rPr>
                <w:sz w:val="22"/>
                <w:szCs w:val="22"/>
              </w:rPr>
            </w:pPr>
            <w:r w:rsidRPr="00E70ADE">
              <w:rPr>
                <w:sz w:val="22"/>
                <w:szCs w:val="22"/>
              </w:rPr>
              <w:t xml:space="preserve">Norādām, ka Elektroenerģijas tirgus likuma prasības (tika pieņemtas š.g. 30.janvārī LR Saeimā), kas nosaka elektrostacijas darbības vienotā </w:t>
            </w:r>
            <w:r w:rsidRPr="00E70ADE">
              <w:rPr>
                <w:sz w:val="22"/>
                <w:szCs w:val="22"/>
              </w:rPr>
              <w:lastRenderedPageBreak/>
              <w:t>tehnoloģiskā cikla principu, stājas spēkā un ir piemērojamas ar 2021.gada 1.janvāri. Tāpēc atbilstoši likumā noteiktajam, lūdzam precizēt noteikumu projektu un 4.punktā noteiktajām prasībām paredzēt spēkā stāšanos 2021.gada 1.janvāri un svītrot 115.punktu. Un attiecīgi veiktajām izmaiņām lūdzam precizēt visu noteikumu projektu (piemēram, 22., 23., 24., 25.,…). Papildus tam lūdzam 9.punktā precīzi noteikt, kādas “un citas lietas” nodrošina enerģijas ražošanas tehnoloģisko procesu.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A251E1A" w14:textId="77777777" w:rsidR="0084476B" w:rsidRPr="00E70ADE" w:rsidRDefault="0084476B" w:rsidP="0084476B">
            <w:pPr>
              <w:pStyle w:val="naisc"/>
              <w:spacing w:before="0" w:after="0"/>
              <w:rPr>
                <w:b/>
                <w:sz w:val="22"/>
                <w:szCs w:val="22"/>
              </w:rPr>
            </w:pPr>
            <w:r w:rsidRPr="00E70ADE">
              <w:rPr>
                <w:b/>
                <w:sz w:val="22"/>
                <w:szCs w:val="22"/>
              </w:rPr>
              <w:lastRenderedPageBreak/>
              <w:t>Iebildums ir ņemts vērā.</w:t>
            </w:r>
          </w:p>
          <w:p w14:paraId="533EA439" w14:textId="7D00B6BD" w:rsidR="0084476B" w:rsidRPr="00E70ADE" w:rsidRDefault="0084476B" w:rsidP="0084476B">
            <w:pPr>
              <w:pStyle w:val="NormalWeb"/>
              <w:spacing w:before="0" w:beforeAutospacing="0"/>
              <w:rPr>
                <w:b/>
                <w:sz w:val="22"/>
                <w:szCs w:val="22"/>
              </w:rPr>
            </w:pPr>
            <w:r w:rsidRPr="00E70ADE">
              <w:rPr>
                <w:bCs/>
                <w:sz w:val="22"/>
                <w:szCs w:val="22"/>
              </w:rPr>
              <w:t>Normas, kas attiecas uz vienotā tehnoloģiskā cikla principa noteikumiem un uzraudzību, svītrotas no projekta, jo šobrīd nav spēkā esoša deleģējuma MK to regulēt.</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52EFC38" w14:textId="45AB58E1" w:rsidR="00962698" w:rsidRPr="00E70ADE" w:rsidRDefault="0084476B" w:rsidP="00E61B22">
            <w:pPr>
              <w:shd w:val="clear" w:color="auto" w:fill="FFFFFF"/>
              <w:spacing w:after="120"/>
              <w:jc w:val="both"/>
              <w:rPr>
                <w:sz w:val="22"/>
                <w:szCs w:val="22"/>
              </w:rPr>
            </w:pPr>
            <w:r w:rsidRPr="00E70ADE">
              <w:rPr>
                <w:sz w:val="22"/>
                <w:szCs w:val="22"/>
              </w:rPr>
              <w:t>Projekta punkti, kas attiecas uz vienotā tehnoloģiskā cikla principa ievērošanu, svītroti.</w:t>
            </w:r>
          </w:p>
        </w:tc>
        <w:tc>
          <w:tcPr>
            <w:tcW w:w="1318" w:type="dxa"/>
          </w:tcPr>
          <w:p w14:paraId="168EBE32" w14:textId="77777777" w:rsidR="00962698" w:rsidRPr="00E70ADE" w:rsidRDefault="00962698" w:rsidP="00E61B22">
            <w:pPr>
              <w:jc w:val="both"/>
              <w:rPr>
                <w:sz w:val="22"/>
                <w:szCs w:val="22"/>
              </w:rPr>
            </w:pPr>
          </w:p>
        </w:tc>
      </w:tr>
      <w:tr w:rsidR="007E45B2" w:rsidRPr="00E70ADE" w14:paraId="78CA71F3"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BD27644" w14:textId="52CB2032" w:rsidR="006C3945" w:rsidRPr="00E70ADE" w:rsidRDefault="006C3945"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FDC531E" w14:textId="77777777" w:rsidR="0091410B" w:rsidRPr="00E70ADE" w:rsidRDefault="0091410B" w:rsidP="0091410B">
            <w:pPr>
              <w:shd w:val="clear" w:color="auto" w:fill="FFFFFF"/>
              <w:jc w:val="both"/>
              <w:rPr>
                <w:sz w:val="22"/>
                <w:szCs w:val="22"/>
              </w:rPr>
            </w:pPr>
            <w:r w:rsidRPr="00E70ADE">
              <w:rPr>
                <w:sz w:val="22"/>
                <w:szCs w:val="22"/>
              </w:rPr>
              <w:t xml:space="preserve">30.5. pārskata periodā spēkā esoša lietderīgās siltumenerģijas pārdošanas līguma kopiju, </w:t>
            </w:r>
          </w:p>
          <w:p w14:paraId="140FE121" w14:textId="77777777" w:rsidR="006C3945" w:rsidRPr="00E70ADE" w:rsidRDefault="006C3945" w:rsidP="00E61B22">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9825E88" w14:textId="77777777" w:rsidR="006C3945" w:rsidRPr="00E70ADE" w:rsidRDefault="006C3945"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403C5AF9" w14:textId="625C4A3A" w:rsidR="006C3945" w:rsidRPr="00E70ADE" w:rsidRDefault="003F6754" w:rsidP="008E7E84">
            <w:pPr>
              <w:widowControl w:val="0"/>
              <w:jc w:val="both"/>
              <w:rPr>
                <w:b/>
                <w:bCs/>
                <w:sz w:val="22"/>
                <w:szCs w:val="22"/>
              </w:rPr>
            </w:pPr>
            <w:r w:rsidRPr="00E70ADE">
              <w:rPr>
                <w:sz w:val="22"/>
                <w:szCs w:val="22"/>
              </w:rPr>
              <w:t>Lūdzam izteikt 30.5.apakšpunktu šādā redakcijā: “30.5. pārskata periodā spēkā esoša lietderīgās siltumenerģijas pārdošanas līguma kopiju, ja siltumenerģija tika pārdota”.</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DC8AA46" w14:textId="77777777" w:rsidR="006C3945" w:rsidRPr="00E70ADE" w:rsidRDefault="0054303A" w:rsidP="00E61B22">
            <w:pPr>
              <w:pStyle w:val="naisc"/>
              <w:spacing w:before="0" w:after="0"/>
              <w:rPr>
                <w:b/>
                <w:sz w:val="22"/>
                <w:szCs w:val="22"/>
              </w:rPr>
            </w:pPr>
            <w:r w:rsidRPr="00E70ADE">
              <w:rPr>
                <w:b/>
                <w:sz w:val="22"/>
                <w:szCs w:val="22"/>
              </w:rPr>
              <w:t>Iebildums daļēji ņemts vērā</w:t>
            </w:r>
          </w:p>
          <w:p w14:paraId="667ACDD5" w14:textId="09607659" w:rsidR="0054303A" w:rsidRPr="00E70ADE" w:rsidRDefault="0054303A" w:rsidP="0054303A">
            <w:pPr>
              <w:pStyle w:val="naisc"/>
              <w:spacing w:before="0" w:after="0"/>
              <w:jc w:val="left"/>
              <w:rPr>
                <w:bCs/>
                <w:sz w:val="22"/>
                <w:szCs w:val="22"/>
              </w:rPr>
            </w:pPr>
            <w:r w:rsidRPr="00E70ADE">
              <w:rPr>
                <w:bCs/>
                <w:sz w:val="22"/>
                <w:szCs w:val="22"/>
              </w:rPr>
              <w:t>Projekta 30.5. apakšpunkts saskaņā ar pārejas noteikumiem būs spēkā tikai no nākošā gad</w:t>
            </w:r>
            <w:r w:rsidR="000B2E95" w:rsidRPr="00E70ADE">
              <w:rPr>
                <w:bCs/>
                <w:sz w:val="22"/>
                <w:szCs w:val="22"/>
              </w:rPr>
              <w:t>a. Minētais punkts precizēts, turpmāk neminot tieši pārdošanas līgumu.</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0375A3F" w14:textId="76149FA6" w:rsidR="006C3945" w:rsidRPr="00E70ADE" w:rsidRDefault="007C27D6" w:rsidP="00E61B22">
            <w:pPr>
              <w:shd w:val="clear" w:color="auto" w:fill="FFFFFF"/>
              <w:spacing w:after="120"/>
              <w:jc w:val="both"/>
              <w:rPr>
                <w:sz w:val="22"/>
                <w:szCs w:val="22"/>
              </w:rPr>
            </w:pPr>
            <w:r w:rsidRPr="00E70ADE">
              <w:rPr>
                <w:sz w:val="22"/>
                <w:szCs w:val="22"/>
              </w:rPr>
              <w:t>32.3. dokumentus, kas pamato siltumenerģijas lietderīgu izlietojumu</w:t>
            </w:r>
          </w:p>
        </w:tc>
        <w:tc>
          <w:tcPr>
            <w:tcW w:w="1318" w:type="dxa"/>
          </w:tcPr>
          <w:p w14:paraId="368DCBA6" w14:textId="77777777" w:rsidR="006C3945" w:rsidRPr="00E70ADE" w:rsidRDefault="006C3945" w:rsidP="00E61B22">
            <w:pPr>
              <w:jc w:val="both"/>
              <w:rPr>
                <w:sz w:val="22"/>
                <w:szCs w:val="22"/>
              </w:rPr>
            </w:pPr>
          </w:p>
        </w:tc>
      </w:tr>
      <w:tr w:rsidR="007E45B2" w:rsidRPr="00E70ADE" w14:paraId="06D6FB52"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EC41CA" w14:textId="559EEDF6" w:rsidR="00AD2D4F" w:rsidRPr="00E70ADE" w:rsidRDefault="00AD2D4F"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CA4C61D" w14:textId="68B00EB6" w:rsidR="00AD2D4F" w:rsidRPr="00E70ADE" w:rsidRDefault="00C05455" w:rsidP="00E61B22">
            <w:pPr>
              <w:shd w:val="clear" w:color="auto" w:fill="FFFFFF" w:themeFill="background1"/>
              <w:spacing w:after="120"/>
              <w:jc w:val="both"/>
              <w:rPr>
                <w:sz w:val="22"/>
                <w:szCs w:val="22"/>
              </w:rPr>
            </w:pPr>
            <w:r w:rsidRPr="00E70ADE">
              <w:rPr>
                <w:sz w:val="22"/>
                <w:szCs w:val="22"/>
              </w:rPr>
              <w:t>44.7. birojs pēc kontroles grupas veiktās pārbaudes sagatavo pārbaudes aktu un nosūta to komersantam. Pārbaudes aktā norāda kontroles grupas konstatējumus par koģenerācijas stacijas atbilstību normatīvo aktu prasībām un komersanta sniegtos paskaidrojumus.</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565CC24" w14:textId="77777777" w:rsidR="00AD2D4F" w:rsidRPr="00E70ADE" w:rsidRDefault="00AD2D4F"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43CB1359" w14:textId="374B43BC" w:rsidR="008F795F" w:rsidRPr="00E70ADE" w:rsidRDefault="008F795F" w:rsidP="008F795F">
            <w:pPr>
              <w:widowControl w:val="0"/>
              <w:jc w:val="both"/>
              <w:rPr>
                <w:sz w:val="22"/>
                <w:szCs w:val="22"/>
              </w:rPr>
            </w:pPr>
            <w:r w:rsidRPr="00E70ADE">
              <w:rPr>
                <w:sz w:val="22"/>
                <w:szCs w:val="22"/>
              </w:rPr>
              <w:t>Lūdzam precizēt 44.7.apakšpunktu, nosakot laika periodu, kad Birojs pēc kontroles grupas veiktās pārbaudes sagatavoto pārbaudes aktu nosūta komersantam.</w:t>
            </w:r>
          </w:p>
          <w:p w14:paraId="7851174E" w14:textId="77777777" w:rsidR="00AD2D4F" w:rsidRPr="00E70ADE" w:rsidRDefault="00AD2D4F" w:rsidP="00E61B22">
            <w:pPr>
              <w:spacing w:line="252" w:lineRule="auto"/>
              <w:jc w:val="center"/>
              <w:rPr>
                <w:b/>
                <w:bCs/>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9F80432" w14:textId="450A6A80" w:rsidR="00AD2D4F" w:rsidRPr="00E70ADE" w:rsidRDefault="0039223B" w:rsidP="00E61B22">
            <w:pPr>
              <w:pStyle w:val="naisc"/>
              <w:rPr>
                <w:b/>
                <w:bCs/>
                <w:sz w:val="22"/>
                <w:szCs w:val="22"/>
              </w:rPr>
            </w:pPr>
            <w:r w:rsidRPr="00E70ADE">
              <w:rPr>
                <w:b/>
                <w:bCs/>
                <w:sz w:val="22"/>
                <w:szCs w:val="22"/>
              </w:rPr>
              <w:t>Iebildums ir 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AC5CB8E" w14:textId="48C2012A" w:rsidR="00AD2D4F" w:rsidRPr="00E70ADE" w:rsidRDefault="003C3103" w:rsidP="00E61B22">
            <w:pPr>
              <w:jc w:val="both"/>
              <w:rPr>
                <w:sz w:val="22"/>
                <w:szCs w:val="22"/>
              </w:rPr>
            </w:pPr>
            <w:r w:rsidRPr="00E70ADE">
              <w:rPr>
                <w:sz w:val="22"/>
                <w:szCs w:val="22"/>
              </w:rPr>
              <w:t>4</w:t>
            </w:r>
            <w:r w:rsidR="00890BC5" w:rsidRPr="00E70ADE">
              <w:rPr>
                <w:sz w:val="22"/>
                <w:szCs w:val="22"/>
              </w:rPr>
              <w:t>6</w:t>
            </w:r>
            <w:r w:rsidRPr="00E70ADE">
              <w:rPr>
                <w:sz w:val="22"/>
                <w:szCs w:val="22"/>
              </w:rPr>
              <w:t xml:space="preserve">.7. </w:t>
            </w:r>
            <w:r w:rsidR="00890BC5" w:rsidRPr="00E70ADE">
              <w:rPr>
                <w:sz w:val="22"/>
                <w:szCs w:val="22"/>
              </w:rPr>
              <w:t>birojs mēneša laikā pēc biroja pārstāvju veiktās pārbaudes sagatavo pārbaudes aktu un nosūta to komersantam. Pārbaudes aktā norāda veiktajā pārbaudē konstatēto</w:t>
            </w:r>
          </w:p>
        </w:tc>
        <w:tc>
          <w:tcPr>
            <w:tcW w:w="1318" w:type="dxa"/>
          </w:tcPr>
          <w:p w14:paraId="311ED4D0" w14:textId="77777777" w:rsidR="00AD2D4F" w:rsidRPr="00E70ADE" w:rsidRDefault="00AD2D4F" w:rsidP="00E61B22">
            <w:pPr>
              <w:jc w:val="both"/>
              <w:rPr>
                <w:sz w:val="22"/>
                <w:szCs w:val="22"/>
              </w:rPr>
            </w:pPr>
          </w:p>
        </w:tc>
      </w:tr>
      <w:tr w:rsidR="007E45B2" w:rsidRPr="00E70ADE" w14:paraId="33EBD02F"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6D6FA5E" w14:textId="4D1BE15D" w:rsidR="00E61B22" w:rsidRPr="00E70ADE" w:rsidRDefault="00E61B22"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A4DADE" w14:textId="77777777" w:rsidR="00E61B22" w:rsidRPr="00E70ADE" w:rsidRDefault="00E61B22" w:rsidP="00E61B22">
            <w:pPr>
              <w:shd w:val="clear" w:color="auto" w:fill="FFFFFF" w:themeFill="background1"/>
              <w:spacing w:after="120"/>
              <w:jc w:val="both"/>
              <w:rPr>
                <w:sz w:val="22"/>
                <w:szCs w:val="22"/>
              </w:rPr>
            </w:pPr>
            <w:r w:rsidRPr="00E70ADE">
              <w:rPr>
                <w:sz w:val="22"/>
                <w:szCs w:val="22"/>
              </w:rPr>
              <w:t>Noteikumu projekts</w:t>
            </w:r>
          </w:p>
          <w:p w14:paraId="581E6782" w14:textId="74A3A4C8" w:rsidR="00E61B22" w:rsidRPr="00E70ADE" w:rsidRDefault="00E61B22" w:rsidP="00E61B22">
            <w:pPr>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896C3B0" w14:textId="484C0BF6" w:rsidR="00E61B22" w:rsidRPr="00E70ADE" w:rsidRDefault="00E61B22" w:rsidP="00E61B22">
            <w:pPr>
              <w:spacing w:line="252" w:lineRule="auto"/>
              <w:jc w:val="center"/>
              <w:rPr>
                <w:b/>
                <w:bCs/>
                <w:sz w:val="22"/>
                <w:szCs w:val="22"/>
              </w:rPr>
            </w:pPr>
            <w:r w:rsidRPr="00E70ADE">
              <w:rPr>
                <w:b/>
                <w:bCs/>
                <w:sz w:val="22"/>
                <w:szCs w:val="22"/>
              </w:rPr>
              <w:t>Tieslietu ministrija (14.08.2020)</w:t>
            </w:r>
            <w:r w:rsidR="004707C5" w:rsidRPr="00E70ADE">
              <w:rPr>
                <w:b/>
                <w:bCs/>
                <w:sz w:val="22"/>
                <w:szCs w:val="22"/>
              </w:rPr>
              <w:t xml:space="preserve"> iebildums</w:t>
            </w:r>
          </w:p>
          <w:p w14:paraId="7FB404B6" w14:textId="71173803" w:rsidR="00E61B22" w:rsidRPr="00E70ADE" w:rsidRDefault="00E61B22" w:rsidP="00E61B22">
            <w:pPr>
              <w:spacing w:line="252" w:lineRule="auto"/>
              <w:jc w:val="both"/>
              <w:rPr>
                <w:b/>
                <w:bCs/>
                <w:sz w:val="22"/>
                <w:szCs w:val="22"/>
              </w:rPr>
            </w:pPr>
          </w:p>
          <w:p w14:paraId="64A89A01" w14:textId="0CEE0C25" w:rsidR="00E61B22" w:rsidRPr="00E70ADE" w:rsidRDefault="00E61B22" w:rsidP="00E61B22">
            <w:pPr>
              <w:spacing w:line="252" w:lineRule="auto"/>
              <w:jc w:val="both"/>
              <w:rPr>
                <w:sz w:val="22"/>
                <w:szCs w:val="22"/>
              </w:rPr>
            </w:pPr>
            <w:r w:rsidRPr="00E70ADE">
              <w:rPr>
                <w:sz w:val="22"/>
                <w:szCs w:val="22"/>
              </w:rPr>
              <w:t xml:space="preserve">Projekta 44., 45. un 46. punktā esošo regulējumu par kontroles grupu nepieciešams izvērtēt un precizēt. Vēršam uzmanību, ka likums pilnvaro Ministru kabinetu noteikt uzraugošo un </w:t>
            </w:r>
            <w:r w:rsidRPr="00E70ADE">
              <w:rPr>
                <w:sz w:val="22"/>
                <w:szCs w:val="22"/>
              </w:rPr>
              <w:lastRenderedPageBreak/>
              <w:t>kontrolējošo iestādi, kas būs Būvniecības valsts kontroles birojs. Tādējādi dotā valsts pārvaldes uzdevuma izpilde ir minētās iestādes kompetencē. Dažādu kontroles grupu vai struktūrvienību veidošana ir iestādes iekšējās darba organizācijas nosacījums, kas nav jāparedz ārējā normatīvajā aktā. Ievērojot minēto, projekta 44., 45. un 46. punktu nepieciešams precizēt, piemēram, aizstājot vārdus “kontroles grupa” ar vārdiem “biroja pārstāvji”.</w:t>
            </w:r>
          </w:p>
          <w:p w14:paraId="3D3EF7A5" w14:textId="22A9F8A5" w:rsidR="00E61B22" w:rsidRPr="00E70ADE" w:rsidRDefault="00E61B22" w:rsidP="00E61B22">
            <w:pPr>
              <w:spacing w:line="252" w:lineRule="auto"/>
              <w:jc w:val="both"/>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80172D8" w14:textId="05D10477" w:rsidR="00E61B22" w:rsidRPr="00E70ADE" w:rsidRDefault="001410E9" w:rsidP="00E61B22">
            <w:pPr>
              <w:pStyle w:val="naisc"/>
              <w:rPr>
                <w:b/>
                <w:bCs/>
                <w:sz w:val="22"/>
                <w:szCs w:val="22"/>
              </w:rPr>
            </w:pPr>
            <w:r w:rsidRPr="00E70ADE">
              <w:rPr>
                <w:b/>
                <w:bCs/>
                <w:sz w:val="22"/>
                <w:szCs w:val="22"/>
              </w:rPr>
              <w:lastRenderedPageBreak/>
              <w:t>Iebildums ir 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48DE128" w14:textId="51B49CA2" w:rsidR="00E61B22" w:rsidRPr="00E70ADE" w:rsidRDefault="00734885" w:rsidP="00E61B22">
            <w:pPr>
              <w:jc w:val="both"/>
              <w:rPr>
                <w:sz w:val="22"/>
                <w:szCs w:val="22"/>
              </w:rPr>
            </w:pPr>
            <w:r w:rsidRPr="00E70ADE">
              <w:rPr>
                <w:sz w:val="22"/>
                <w:szCs w:val="22"/>
              </w:rPr>
              <w:t>Vārdi “kontroles grupa” visā projekta tekstā aizstāti ar vārdiem “biroja pārstāvji” attiecīgā locījumā.</w:t>
            </w:r>
          </w:p>
        </w:tc>
        <w:tc>
          <w:tcPr>
            <w:tcW w:w="1318" w:type="dxa"/>
          </w:tcPr>
          <w:p w14:paraId="0B3D9089" w14:textId="1CCFDCA6" w:rsidR="00E61B22" w:rsidRPr="00E70ADE" w:rsidRDefault="00E61B22" w:rsidP="00E61B22">
            <w:pPr>
              <w:jc w:val="both"/>
              <w:rPr>
                <w:sz w:val="22"/>
                <w:szCs w:val="22"/>
              </w:rPr>
            </w:pPr>
          </w:p>
        </w:tc>
      </w:tr>
      <w:tr w:rsidR="007E45B2" w:rsidRPr="00E70ADE" w14:paraId="1DFFA27B"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7E8447" w14:textId="41A1954F" w:rsidR="00EF6319" w:rsidRPr="00E70ADE" w:rsidRDefault="00EF6319"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C2302D3" w14:textId="77777777" w:rsidR="00F523F0" w:rsidRPr="00E70ADE" w:rsidRDefault="00F523F0" w:rsidP="00F523F0">
            <w:pPr>
              <w:shd w:val="clear" w:color="auto" w:fill="FFFFFF"/>
              <w:spacing w:line="293" w:lineRule="atLeast"/>
              <w:ind w:firstLine="300"/>
              <w:jc w:val="both"/>
              <w:rPr>
                <w:sz w:val="22"/>
                <w:szCs w:val="22"/>
              </w:rPr>
            </w:pPr>
            <w:r w:rsidRPr="00E70ADE">
              <w:rPr>
                <w:sz w:val="22"/>
                <w:szCs w:val="22"/>
              </w:rPr>
              <w:t>45. Birojs nosūta komersantam brīdinājumu par iespējamu obligātā iepirkuma tiesību vai garantētās maksas tiesību zaudēšanu, ja birojs konstatē, ka koģenerācijas stacija neatbilst vai šo noteikumu </w:t>
            </w:r>
            <w:hyperlink r:id="rId21" w:anchor="p40" w:history="1">
              <w:r w:rsidRPr="00E70ADE">
                <w:rPr>
                  <w:sz w:val="22"/>
                  <w:szCs w:val="22"/>
                </w:rPr>
                <w:t>30.</w:t>
              </w:r>
            </w:hyperlink>
            <w:r w:rsidRPr="00E70ADE">
              <w:rPr>
                <w:sz w:val="22"/>
                <w:szCs w:val="22"/>
              </w:rPr>
              <w:t> punktā minētā gada pārskata periodā nav atbildusi vienam no šādiem kritērijiem:</w:t>
            </w:r>
          </w:p>
          <w:p w14:paraId="70523383" w14:textId="3A00F76D" w:rsidR="007B6CD3" w:rsidRPr="00E70ADE" w:rsidRDefault="007B6CD3" w:rsidP="00F523F0">
            <w:pPr>
              <w:shd w:val="clear" w:color="auto" w:fill="FFFFFF"/>
              <w:spacing w:line="293" w:lineRule="atLeast"/>
              <w:ind w:firstLine="300"/>
              <w:jc w:val="both"/>
              <w:rPr>
                <w:sz w:val="22"/>
                <w:szCs w:val="22"/>
              </w:rPr>
            </w:pPr>
            <w:r w:rsidRPr="00E70ADE">
              <w:rPr>
                <w:sz w:val="22"/>
                <w:szCs w:val="22"/>
              </w:rPr>
              <w:t>…</w:t>
            </w:r>
          </w:p>
          <w:p w14:paraId="3447C355" w14:textId="77777777" w:rsidR="00F523F0" w:rsidRPr="00E70ADE" w:rsidRDefault="00F523F0" w:rsidP="007B6CD3">
            <w:pPr>
              <w:shd w:val="clear" w:color="auto" w:fill="FFFFFF"/>
              <w:spacing w:line="293" w:lineRule="atLeast"/>
              <w:jc w:val="both"/>
              <w:rPr>
                <w:sz w:val="22"/>
                <w:szCs w:val="22"/>
              </w:rPr>
            </w:pPr>
            <w:r w:rsidRPr="00E70ADE">
              <w:rPr>
                <w:sz w:val="22"/>
                <w:szCs w:val="22"/>
              </w:rPr>
              <w:t>45.6. koģenerācijas stacija neatbilst normatīvajiem aktiem, kas nosaka prasības koģenerācijas staciju darbībai vides vai darba drošības jomā.</w:t>
            </w:r>
          </w:p>
          <w:p w14:paraId="44A57D3F" w14:textId="77777777" w:rsidR="00EF6319" w:rsidRPr="00E70ADE" w:rsidRDefault="00EF6319" w:rsidP="00E61B22">
            <w:pPr>
              <w:shd w:val="clear" w:color="auto" w:fill="FFFFFF" w:themeFill="background1"/>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3091914" w14:textId="77777777" w:rsidR="00EF6319" w:rsidRPr="00E70ADE" w:rsidRDefault="00EF6319"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60791B5E" w14:textId="77777777" w:rsidR="00305DED" w:rsidRPr="00E70ADE" w:rsidRDefault="00305DED" w:rsidP="00305DED">
            <w:pPr>
              <w:widowControl w:val="0"/>
              <w:jc w:val="both"/>
              <w:rPr>
                <w:sz w:val="22"/>
                <w:szCs w:val="22"/>
              </w:rPr>
            </w:pPr>
            <w:r w:rsidRPr="00E70ADE">
              <w:rPr>
                <w:sz w:val="22"/>
                <w:szCs w:val="22"/>
              </w:rPr>
              <w:t>Atbilstoši 45.6.apakšpunktam, Birojs nosūta komersantam brīdinājumu par iespējamu obligātā iepirkuma tiesību zaudēšanu, ja Birojs konstatē, ka elektrostacijas darbība neatbilst normatīvajiem aktiem, kas nosaka prasības elektrostaciju darbībai vides vai darba drošības jomā. Vēršam uzmanību, ka atbilstoši vienotā tehnoloģiskā cikla principam, piemēram, kūts – ir “tās lietu kopībā ietilpstošas tehnoloģiski saistītas iekārtas un ierīces”. Tas nozīmē, ka, ja kūtī netiks ievērotas normatīvo aktu prasības elektrostaciju darbībai vides vai darba drošības jomā, Birojs nosūta komersantam brīdinājumu par iespējamu obligātā iepirkuma tiesību zaudēšanu? Lūdzam precizēt noteikumu projektu un anotācijā sniegt skaidrojumu.</w:t>
            </w:r>
          </w:p>
          <w:p w14:paraId="1BC2B17B" w14:textId="77777777" w:rsidR="00EF6319" w:rsidRPr="00E70ADE" w:rsidRDefault="00EF6319" w:rsidP="00E61B22">
            <w:pPr>
              <w:spacing w:line="252" w:lineRule="auto"/>
              <w:jc w:val="center"/>
              <w:rPr>
                <w:b/>
                <w:bCs/>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E471803" w14:textId="77777777" w:rsidR="00C80C1F" w:rsidRPr="00E70ADE" w:rsidRDefault="00C80C1F" w:rsidP="00C80C1F">
            <w:pPr>
              <w:pStyle w:val="naisc"/>
              <w:rPr>
                <w:b/>
                <w:sz w:val="22"/>
                <w:szCs w:val="22"/>
              </w:rPr>
            </w:pPr>
            <w:r w:rsidRPr="00E70ADE">
              <w:rPr>
                <w:b/>
                <w:sz w:val="22"/>
                <w:szCs w:val="22"/>
              </w:rPr>
              <w:t>Iebildums ir ņemts vērā.</w:t>
            </w:r>
          </w:p>
          <w:p w14:paraId="0C744EA2" w14:textId="77777777" w:rsidR="00256F80" w:rsidRPr="00E70ADE" w:rsidRDefault="00256F80" w:rsidP="00256F80">
            <w:pPr>
              <w:pStyle w:val="paragraph"/>
              <w:shd w:val="clear" w:color="auto" w:fill="FFFFFF"/>
              <w:spacing w:before="0" w:beforeAutospacing="0" w:after="0" w:afterAutospacing="0"/>
              <w:jc w:val="both"/>
              <w:textAlignment w:val="baseline"/>
              <w:rPr>
                <w:bCs/>
                <w:sz w:val="22"/>
                <w:szCs w:val="22"/>
              </w:rPr>
            </w:pPr>
          </w:p>
          <w:p w14:paraId="171F7C20" w14:textId="56DD344D" w:rsidR="00EF6319" w:rsidRPr="00E70ADE" w:rsidRDefault="00256F80" w:rsidP="00256F80">
            <w:pPr>
              <w:pStyle w:val="paragraph"/>
              <w:shd w:val="clear" w:color="auto" w:fill="FFFFFF"/>
              <w:spacing w:before="0" w:beforeAutospacing="0" w:after="0" w:afterAutospacing="0"/>
              <w:jc w:val="both"/>
              <w:textAlignment w:val="baseline"/>
              <w:rPr>
                <w:sz w:val="22"/>
                <w:szCs w:val="22"/>
              </w:rPr>
            </w:pPr>
            <w:r w:rsidRPr="00E70ADE">
              <w:rPr>
                <w:bCs/>
                <w:sz w:val="22"/>
                <w:szCs w:val="22"/>
              </w:rPr>
              <w:t>Vienotā tehnoloģiskā cikla principa īstenošanas nosacījumi netiks iekļauti šajā projektā. Tie tiks izstrādāti līdz 2021. gada 1. janvārim.</w:t>
            </w:r>
            <w:r w:rsidR="00890BC5" w:rsidRPr="00E70ADE">
              <w:rPr>
                <w:bCs/>
                <w:sz w:val="22"/>
                <w:szCs w:val="22"/>
              </w:rPr>
              <w:t xml:space="preserve"> </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DE99332" w14:textId="7245935A" w:rsidR="00EF6319" w:rsidRPr="00E70ADE" w:rsidRDefault="000622E1" w:rsidP="00E61B22">
            <w:pPr>
              <w:jc w:val="both"/>
              <w:rPr>
                <w:sz w:val="22"/>
                <w:szCs w:val="22"/>
              </w:rPr>
            </w:pPr>
            <w:r w:rsidRPr="00E70ADE">
              <w:rPr>
                <w:sz w:val="22"/>
                <w:szCs w:val="22"/>
              </w:rPr>
              <w:t>47.5. koģenerācijas stacija neatbilst normatīvajiem aktiem, kas nosaka prasības koģenerācijas staciju darbībai vides aizsardzības vai darba drošības jomā</w:t>
            </w:r>
          </w:p>
        </w:tc>
        <w:tc>
          <w:tcPr>
            <w:tcW w:w="1318" w:type="dxa"/>
          </w:tcPr>
          <w:p w14:paraId="74C0A826" w14:textId="77777777" w:rsidR="00EF6319" w:rsidRPr="00E70ADE" w:rsidRDefault="00EF6319" w:rsidP="00E61B22">
            <w:pPr>
              <w:jc w:val="both"/>
              <w:rPr>
                <w:sz w:val="22"/>
                <w:szCs w:val="22"/>
              </w:rPr>
            </w:pPr>
          </w:p>
        </w:tc>
      </w:tr>
      <w:tr w:rsidR="007E45B2" w:rsidRPr="00E70ADE" w14:paraId="793F5BF5"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D0CD09E" w14:textId="6EE9E072" w:rsidR="00305DED" w:rsidRPr="00E70ADE" w:rsidRDefault="00305DED"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FEBD4A0" w14:textId="77777777" w:rsidR="002E78CB" w:rsidRPr="00E70ADE" w:rsidRDefault="002E78CB" w:rsidP="002E78CB">
            <w:pPr>
              <w:shd w:val="clear" w:color="auto" w:fill="FFFFFF"/>
              <w:ind w:firstLine="300"/>
              <w:jc w:val="both"/>
              <w:rPr>
                <w:sz w:val="22"/>
                <w:szCs w:val="22"/>
              </w:rPr>
            </w:pPr>
            <w:r w:rsidRPr="00E70ADE">
              <w:rPr>
                <w:sz w:val="22"/>
                <w:szCs w:val="22"/>
              </w:rPr>
              <w:t xml:space="preserve">47. Birojs pārliecinās par lietderīgu siltumenerģijas izmantošanu: </w:t>
            </w:r>
          </w:p>
          <w:p w14:paraId="5FAC113E" w14:textId="0548C72F" w:rsidR="00305DED" w:rsidRPr="00E70ADE" w:rsidRDefault="002E78CB" w:rsidP="002E78CB">
            <w:pPr>
              <w:shd w:val="clear" w:color="auto" w:fill="FFFFFF" w:themeFill="background1"/>
              <w:spacing w:after="120"/>
              <w:jc w:val="both"/>
              <w:rPr>
                <w:sz w:val="22"/>
                <w:szCs w:val="22"/>
              </w:rPr>
            </w:pPr>
            <w:r w:rsidRPr="00E70ADE">
              <w:rPr>
                <w:sz w:val="22"/>
                <w:szCs w:val="22"/>
              </w:rPr>
              <w:t>47.1. izvērtējot, vai dokumenti, ko komersants pievienojis šo noteikumu 30.punktā norādītajam gada pārskatam pierāda, ka lietderīgā siltumenerģija tiek pārdota siltumenerģijas lietotājam vai izmantota apkures, ventilācijas, karstā ūdens apgādes vai tehnoloģiskā siltumenerģijas patēriņa nodrošināšanai savā uzņēmumā, kas nav koģenerācijas stacijas pašpatēriņš atbilstoši vienotā tehnoloģiskā cikla principam</w:t>
            </w:r>
            <w:r w:rsidRPr="00E70ADE">
              <w:rPr>
                <w:sz w:val="22"/>
                <w:szCs w:val="22"/>
                <w:shd w:val="clear" w:color="auto" w:fill="FFFFFF"/>
              </w:rPr>
              <w:t>;</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EB7D0D9" w14:textId="77777777" w:rsidR="00305DED" w:rsidRPr="00E70ADE" w:rsidRDefault="00305DED"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671E5B2D" w14:textId="21DAC7F7" w:rsidR="00305DED" w:rsidRPr="00E70ADE" w:rsidRDefault="00F55FF1" w:rsidP="008E390F">
            <w:pPr>
              <w:widowControl w:val="0"/>
              <w:jc w:val="both"/>
              <w:rPr>
                <w:b/>
                <w:color w:val="000000"/>
                <w:sz w:val="22"/>
                <w:szCs w:val="22"/>
              </w:rPr>
            </w:pPr>
            <w:r w:rsidRPr="00E70ADE">
              <w:rPr>
                <w:sz w:val="22"/>
                <w:szCs w:val="22"/>
              </w:rPr>
              <w:t xml:space="preserve">Lūdzam precizēt 47.1.apakšpunktu un izteikt šādā redakcijā: “47.1. izvērtējot, vai dokumenti, ko komersants pievienojis šo noteikumu 30.punktā norādītajam gada pārskatam pierāda, ka lietderīgā siltumenerģija tiek pārdota siltumenerģijas lietotājam vai izmantota apkures, ventilācijas, karstā ūdens apgādes vai tehnoloģiskā siltumenerģijas patēriņa nodrošināšanai savā uzņēmumā, kas nav koģenerācijas stacijas pašpatēriņš atbilstoši vienotā tehnoloģiskā cikla principam, </w:t>
            </w:r>
            <w:r w:rsidRPr="00E70ADE">
              <w:rPr>
                <w:b/>
                <w:bCs/>
                <w:sz w:val="22"/>
                <w:szCs w:val="22"/>
              </w:rPr>
              <w:t>izņemot biogāzes stacijas, kuru organiskas izcelsmes atkritumu un ražošanas atlikumproduktu daudzums no kopējas izejvielas ir lielāks nekā 70.punktā minētais  īpatsvars</w:t>
            </w:r>
            <w:r w:rsidRPr="00E70ADE">
              <w:rPr>
                <w:sz w:val="22"/>
                <w:szCs w:val="22"/>
              </w:rPr>
              <w:t>”.</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2E3C53F" w14:textId="77777777" w:rsidR="00185C29" w:rsidRPr="00E70ADE" w:rsidRDefault="00185C29" w:rsidP="00185C29">
            <w:pPr>
              <w:pStyle w:val="naisc"/>
              <w:spacing w:before="0" w:after="0"/>
              <w:rPr>
                <w:b/>
                <w:sz w:val="22"/>
                <w:szCs w:val="22"/>
              </w:rPr>
            </w:pPr>
            <w:r w:rsidRPr="00E70ADE">
              <w:rPr>
                <w:b/>
                <w:sz w:val="22"/>
                <w:szCs w:val="22"/>
              </w:rPr>
              <w:t>Iebildums daļēji ņemts vērā.</w:t>
            </w:r>
          </w:p>
          <w:p w14:paraId="12458970" w14:textId="77777777" w:rsidR="000622E1" w:rsidRPr="00E70ADE" w:rsidRDefault="00185C29" w:rsidP="000622E1">
            <w:pPr>
              <w:pStyle w:val="naisc"/>
              <w:spacing w:before="0" w:after="0"/>
              <w:jc w:val="left"/>
              <w:rPr>
                <w:sz w:val="22"/>
                <w:szCs w:val="22"/>
              </w:rPr>
            </w:pPr>
            <w:r w:rsidRPr="00E70ADE">
              <w:rPr>
                <w:sz w:val="22"/>
                <w:szCs w:val="22"/>
              </w:rPr>
              <w:t>Ražotāji, kam jānodrošina prasība par tehnoloģiskā cikla</w:t>
            </w:r>
            <w:r w:rsidR="00CA6C07" w:rsidRPr="00E70ADE">
              <w:rPr>
                <w:sz w:val="22"/>
                <w:szCs w:val="22"/>
              </w:rPr>
              <w:t xml:space="preserve"> principa ievēr</w:t>
            </w:r>
            <w:r w:rsidR="005A4672" w:rsidRPr="00E70ADE">
              <w:rPr>
                <w:sz w:val="22"/>
                <w:szCs w:val="22"/>
              </w:rPr>
              <w:t>ošanu</w:t>
            </w:r>
            <w:r w:rsidRPr="00E70ADE">
              <w:rPr>
                <w:sz w:val="22"/>
                <w:szCs w:val="22"/>
              </w:rPr>
              <w:t xml:space="preserve">, ir noteikti Elektroenerģijas tirgus likumā. </w:t>
            </w:r>
            <w:r w:rsidR="000622E1" w:rsidRPr="00E70ADE">
              <w:rPr>
                <w:sz w:val="22"/>
                <w:szCs w:val="22"/>
              </w:rPr>
              <w:t>Ministru kabinetam nav deleģējuma noteikt izņēmumus.</w:t>
            </w:r>
          </w:p>
          <w:p w14:paraId="1A1C5489" w14:textId="4ABCF568" w:rsidR="000622E1" w:rsidRPr="00E70ADE" w:rsidRDefault="000622E1" w:rsidP="000622E1">
            <w:pPr>
              <w:pStyle w:val="NormalWeb"/>
              <w:shd w:val="clear" w:color="auto" w:fill="FFFFFF"/>
              <w:spacing w:before="0" w:beforeAutospacing="0" w:after="0" w:afterAutospacing="0"/>
              <w:jc w:val="both"/>
              <w:rPr>
                <w:bCs/>
                <w:sz w:val="22"/>
                <w:szCs w:val="22"/>
              </w:rPr>
            </w:pPr>
            <w:r w:rsidRPr="00E70ADE">
              <w:rPr>
                <w:bCs/>
                <w:sz w:val="22"/>
                <w:szCs w:val="22"/>
              </w:rPr>
              <w:t>Taču minētās normas, kas attiecas uz vienotā tehnoloģiskā cikla principa noteikumiem un uzraudzību, svītrotas no projekta, jo šobrīd nav spēkā esoša deleģējuma MK to regulēt.</w:t>
            </w:r>
          </w:p>
          <w:p w14:paraId="74EE1FFA" w14:textId="6E4DAF15" w:rsidR="003C3103" w:rsidRPr="00E70ADE" w:rsidRDefault="003C3103" w:rsidP="00185C29">
            <w:pPr>
              <w:pStyle w:val="naisc"/>
              <w:spacing w:before="0" w:after="0"/>
              <w:jc w:val="left"/>
              <w:rPr>
                <w:sz w:val="22"/>
                <w:szCs w:val="22"/>
              </w:rPr>
            </w:pPr>
            <w:r w:rsidRPr="00E70ADE">
              <w:rPr>
                <w:sz w:val="22"/>
                <w:szCs w:val="22"/>
              </w:rPr>
              <w:t>Noteikumu projektā nosacījums par vienoto tehnoloģisko ciklu svītrots.</w:t>
            </w:r>
          </w:p>
          <w:p w14:paraId="129CBD85" w14:textId="77777777" w:rsidR="00305DED" w:rsidRPr="00E70ADE" w:rsidRDefault="00305DED" w:rsidP="00E61B22">
            <w:pPr>
              <w:pStyle w:val="naisc"/>
              <w:rPr>
                <w:b/>
                <w:bCs/>
                <w:sz w:val="22"/>
                <w:szCs w:val="22"/>
              </w:rPr>
            </w:pP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030C501" w14:textId="6D507E68" w:rsidR="003C3103" w:rsidRPr="00E70ADE" w:rsidRDefault="000622E1" w:rsidP="003C3103">
            <w:pPr>
              <w:jc w:val="both"/>
              <w:rPr>
                <w:sz w:val="22"/>
                <w:szCs w:val="22"/>
              </w:rPr>
            </w:pPr>
            <w:r w:rsidRPr="00E70ADE">
              <w:rPr>
                <w:sz w:val="22"/>
                <w:szCs w:val="22"/>
              </w:rPr>
              <w:t>49</w:t>
            </w:r>
            <w:r w:rsidR="003C3103" w:rsidRPr="00E70ADE">
              <w:rPr>
                <w:sz w:val="22"/>
                <w:szCs w:val="22"/>
              </w:rPr>
              <w:t xml:space="preserve">. Birojs pārliecinās par lietderīgu siltumenerģijas izmantošanu: </w:t>
            </w:r>
          </w:p>
          <w:p w14:paraId="74EA5FD4" w14:textId="77777777" w:rsidR="00305DED" w:rsidRPr="00E70ADE" w:rsidRDefault="000622E1" w:rsidP="003C3103">
            <w:pPr>
              <w:jc w:val="both"/>
              <w:rPr>
                <w:sz w:val="22"/>
                <w:szCs w:val="22"/>
              </w:rPr>
            </w:pPr>
            <w:r w:rsidRPr="00E70ADE">
              <w:rPr>
                <w:sz w:val="22"/>
                <w:szCs w:val="22"/>
              </w:rPr>
              <w:t>49</w:t>
            </w:r>
            <w:r w:rsidR="003C3103" w:rsidRPr="00E70ADE">
              <w:rPr>
                <w:sz w:val="22"/>
                <w:szCs w:val="22"/>
              </w:rPr>
              <w:t xml:space="preserve">.1. </w:t>
            </w:r>
            <w:r w:rsidRPr="00E70ADE">
              <w:rPr>
                <w:sz w:val="22"/>
                <w:szCs w:val="22"/>
              </w:rPr>
              <w:t xml:space="preserve">izvērtējot, vai dokumenti, ko komersants pievienojis šo noteikumu </w:t>
            </w:r>
            <w:r w:rsidRPr="00E70ADE">
              <w:rPr>
                <w:sz w:val="22"/>
                <w:szCs w:val="22"/>
              </w:rPr>
              <w:fldChar w:fldCharType="begin"/>
            </w:r>
            <w:r w:rsidRPr="00E70ADE">
              <w:rPr>
                <w:sz w:val="22"/>
                <w:szCs w:val="22"/>
              </w:rPr>
              <w:instrText xml:space="preserve"> REF _Ref49153919 \w \h  \* MERGEFORMAT </w:instrText>
            </w:r>
            <w:r w:rsidRPr="00E70ADE">
              <w:rPr>
                <w:sz w:val="22"/>
                <w:szCs w:val="22"/>
              </w:rPr>
            </w:r>
            <w:r w:rsidRPr="00E70ADE">
              <w:rPr>
                <w:sz w:val="22"/>
                <w:szCs w:val="22"/>
              </w:rPr>
              <w:fldChar w:fldCharType="separate"/>
            </w:r>
            <w:r w:rsidRPr="00E70ADE">
              <w:rPr>
                <w:sz w:val="22"/>
                <w:szCs w:val="22"/>
              </w:rPr>
              <w:t>32</w:t>
            </w:r>
            <w:r w:rsidRPr="00E70ADE">
              <w:rPr>
                <w:sz w:val="22"/>
                <w:szCs w:val="22"/>
              </w:rPr>
              <w:fldChar w:fldCharType="end"/>
            </w:r>
            <w:r w:rsidRPr="00E70ADE">
              <w:rPr>
                <w:sz w:val="22"/>
                <w:szCs w:val="22"/>
              </w:rPr>
              <w:t>.punktā norādītajam gada pārskatam pierāda, ka lietderīgā siltumenerģija tiek pārdota siltumenerģijas lietotājam vai izmantota apkures, ventilācijas, karstā ūdens apgādes vai tehnoloģiskā siltumenerģijas patēriņa nodrošināšanai savā uzņēmumā, kas nav koģenerācijas stacijas pašpatēriņš</w:t>
            </w:r>
            <w:r w:rsidR="003C3103" w:rsidRPr="00E70ADE">
              <w:rPr>
                <w:sz w:val="22"/>
                <w:szCs w:val="22"/>
              </w:rPr>
              <w:t>;</w:t>
            </w:r>
          </w:p>
          <w:p w14:paraId="221F4793" w14:textId="12E6ED9D" w:rsidR="000622E1" w:rsidRPr="00E70ADE" w:rsidRDefault="000622E1" w:rsidP="003C3103">
            <w:pPr>
              <w:jc w:val="both"/>
              <w:rPr>
                <w:sz w:val="22"/>
                <w:szCs w:val="22"/>
              </w:rPr>
            </w:pPr>
            <w:r w:rsidRPr="00E70ADE">
              <w:rPr>
                <w:sz w:val="22"/>
                <w:szCs w:val="22"/>
              </w:rPr>
              <w:t xml:space="preserve">49.2. pārbaudēs konstatējot, šo noteikumu </w:t>
            </w:r>
            <w:r w:rsidRPr="00E70ADE">
              <w:rPr>
                <w:sz w:val="22"/>
                <w:szCs w:val="22"/>
              </w:rPr>
              <w:fldChar w:fldCharType="begin"/>
            </w:r>
            <w:r w:rsidRPr="00E70ADE">
              <w:rPr>
                <w:sz w:val="22"/>
                <w:szCs w:val="22"/>
              </w:rPr>
              <w:instrText xml:space="preserve"> REF _Ref49154808 \w \h  \* MERGEFORMAT </w:instrText>
            </w:r>
            <w:r w:rsidRPr="00E70ADE">
              <w:rPr>
                <w:sz w:val="22"/>
                <w:szCs w:val="22"/>
              </w:rPr>
            </w:r>
            <w:r w:rsidRPr="00E70ADE">
              <w:rPr>
                <w:sz w:val="22"/>
                <w:szCs w:val="22"/>
              </w:rPr>
              <w:fldChar w:fldCharType="separate"/>
            </w:r>
            <w:r w:rsidRPr="00E70ADE">
              <w:rPr>
                <w:sz w:val="22"/>
                <w:szCs w:val="22"/>
              </w:rPr>
              <w:t>49.1</w:t>
            </w:r>
            <w:r w:rsidRPr="00E70ADE">
              <w:rPr>
                <w:sz w:val="22"/>
                <w:szCs w:val="22"/>
              </w:rPr>
              <w:fldChar w:fldCharType="end"/>
            </w:r>
            <w:r w:rsidRPr="00E70ADE">
              <w:rPr>
                <w:sz w:val="22"/>
                <w:szCs w:val="22"/>
              </w:rPr>
              <w:t xml:space="preserve">.apakšpunktā minēto dokumentu atbilstību īstenībai, kā arī to, ka elektrostacijā saražotā siltumenerģija ir izmantota </w:t>
            </w:r>
            <w:r w:rsidRPr="00E70ADE">
              <w:rPr>
                <w:sz w:val="22"/>
                <w:szCs w:val="22"/>
                <w:shd w:val="clear" w:color="auto" w:fill="FFFFFF"/>
              </w:rPr>
              <w:t>ekonomiski pamatota siltumapgādes vai dzesēšanas pieprasījuma apmierināšanai</w:t>
            </w:r>
          </w:p>
        </w:tc>
        <w:tc>
          <w:tcPr>
            <w:tcW w:w="1318" w:type="dxa"/>
          </w:tcPr>
          <w:p w14:paraId="250984FB" w14:textId="77777777" w:rsidR="00305DED" w:rsidRPr="00E70ADE" w:rsidRDefault="00305DED" w:rsidP="00E61B22">
            <w:pPr>
              <w:jc w:val="both"/>
              <w:rPr>
                <w:sz w:val="22"/>
                <w:szCs w:val="22"/>
              </w:rPr>
            </w:pPr>
          </w:p>
        </w:tc>
      </w:tr>
      <w:tr w:rsidR="007E45B2" w:rsidRPr="00E70ADE" w14:paraId="086735BF"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86B0C67" w14:textId="1D547312" w:rsidR="00E020BB" w:rsidRPr="00E70ADE" w:rsidRDefault="00E020BB"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DC7C195" w14:textId="34228409" w:rsidR="00E020BB" w:rsidRPr="00E70ADE" w:rsidRDefault="001953C8" w:rsidP="00E61B22">
            <w:pPr>
              <w:shd w:val="clear" w:color="auto" w:fill="FFFFFF" w:themeFill="background1"/>
              <w:spacing w:after="120"/>
              <w:jc w:val="both"/>
              <w:rPr>
                <w:sz w:val="22"/>
                <w:szCs w:val="22"/>
              </w:rPr>
            </w:pPr>
            <w:r w:rsidRPr="00E70ADE">
              <w:rPr>
                <w:sz w:val="22"/>
                <w:szCs w:val="22"/>
              </w:rPr>
              <w:t>48. Ja birojs konstatē, ka vairākas elektrostacijas, kam piešķirtas obligātā iepirkuma tiesības, atbilstoši vienotā tehnoloģiskā cikla principam ir uzskatāmas par vienu elektrostaciju (</w:t>
            </w:r>
            <w:r w:rsidRPr="00E70ADE">
              <w:rPr>
                <w:sz w:val="22"/>
                <w:szCs w:val="22"/>
                <w:shd w:val="clear" w:color="auto" w:fill="FFFFFF"/>
              </w:rPr>
              <w:t>mākslīga sadalīšana)</w:t>
            </w:r>
            <w:r w:rsidRPr="00E70ADE">
              <w:rPr>
                <w:sz w:val="22"/>
                <w:szCs w:val="22"/>
              </w:rPr>
              <w:t>, birojs 10 dienu laikā no fakta konstatēšanas pieņem lēmumu apturēt valsts atbalsta izmaksu par elektroenerģiju</w:t>
            </w:r>
            <w:r w:rsidRPr="00E70ADE" w:rsidDel="00E314DF">
              <w:rPr>
                <w:sz w:val="22"/>
                <w:szCs w:val="22"/>
              </w:rPr>
              <w:t xml:space="preserve"> </w:t>
            </w:r>
            <w:r w:rsidRPr="00E70ADE">
              <w:rPr>
                <w:sz w:val="22"/>
                <w:szCs w:val="22"/>
                <w:shd w:val="clear" w:color="auto" w:fill="FFFFFF"/>
              </w:rPr>
              <w:t xml:space="preserve">uz laiku līdz komersants vai komersanti veic elektrostaciju apvienošanu, bet ne ilgāk, kā uz sešiem mēnešiem. Ja komersants sešu mēnešu laikā pēc biroja pieprasījuma neiesniedz dokumentus, kas pierāda, ka elektrostacijas mākslīga sadalīšana ir novērsta un vienotais tehnoloģiskais </w:t>
            </w:r>
            <w:r w:rsidRPr="00E70ADE">
              <w:rPr>
                <w:sz w:val="22"/>
                <w:szCs w:val="22"/>
                <w:shd w:val="clear" w:color="auto" w:fill="FFFFFF"/>
              </w:rPr>
              <w:lastRenderedPageBreak/>
              <w:t xml:space="preserve">cikls tiek ievērots atbilstoši šajos noteikumos noteiktajam, </w:t>
            </w:r>
            <w:r w:rsidRPr="00E70ADE">
              <w:rPr>
                <w:sz w:val="22"/>
                <w:szCs w:val="22"/>
              </w:rPr>
              <w:t>birojs  pieņem lēmumu par obligātā iepirkuma tiesību atcelšanu.</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F756EC0" w14:textId="77777777" w:rsidR="00E020BB" w:rsidRPr="00E70ADE" w:rsidRDefault="00E020BB" w:rsidP="008E390F">
            <w:pPr>
              <w:spacing w:after="160" w:line="252" w:lineRule="auto"/>
              <w:ind w:left="360"/>
              <w:jc w:val="center"/>
              <w:rPr>
                <w:b/>
                <w:color w:val="000000"/>
                <w:sz w:val="22"/>
                <w:szCs w:val="22"/>
              </w:rPr>
            </w:pPr>
            <w:r w:rsidRPr="00E70ADE">
              <w:rPr>
                <w:b/>
                <w:color w:val="000000"/>
                <w:sz w:val="22"/>
                <w:szCs w:val="22"/>
              </w:rPr>
              <w:lastRenderedPageBreak/>
              <w:t>Zemkopības ministrija (19.08.2020.) iebildums</w:t>
            </w:r>
          </w:p>
          <w:p w14:paraId="135A35C4" w14:textId="613610E4" w:rsidR="00E020BB" w:rsidRPr="00E70ADE" w:rsidRDefault="00C01E17" w:rsidP="008E390F">
            <w:pPr>
              <w:widowControl w:val="0"/>
              <w:jc w:val="both"/>
              <w:rPr>
                <w:b/>
                <w:color w:val="000000"/>
                <w:sz w:val="22"/>
                <w:szCs w:val="22"/>
              </w:rPr>
            </w:pPr>
            <w:r w:rsidRPr="00E70ADE">
              <w:rPr>
                <w:sz w:val="22"/>
                <w:szCs w:val="22"/>
              </w:rPr>
              <w:t xml:space="preserve">48.punktā norādīts, ka gadījumā, ja Birojs konstatē, ka vairākas elektrostacijas, kam piešķirtas obligātā iepirkuma tiesības, atbilstoši vienotā tehnoloģiskā cikla principam ir uzskatāmas par vienu elektrostaciju (mākslīga sadalīšana), Birojs 10 darba dienu laikā no fakta konstatēšanas pieņem lēmumu apturēt elektroenerģijas iepirkumu obligātā iepirkuma ietvaros uz laiku līdz komersants vai komersanti veic elektrostaciju apvienošanu, bet ne ilgāk, kā uz sešiem mēnešiem. Lūdzam precizēt šo punktu un noteikt kritērijus, vadoties pēc kuriem, ir izdarāms secinājums par </w:t>
            </w:r>
            <w:r w:rsidRPr="00E70ADE">
              <w:rPr>
                <w:sz w:val="22"/>
                <w:szCs w:val="22"/>
              </w:rPr>
              <w:lastRenderedPageBreak/>
              <w:t>elektrostaciju mākslīgu sadalīšanu.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6CD625E" w14:textId="6F6CC274" w:rsidR="00E020BB" w:rsidRPr="00E70ADE" w:rsidRDefault="000B62DC" w:rsidP="00E61B22">
            <w:pPr>
              <w:pStyle w:val="naisc"/>
              <w:rPr>
                <w:b/>
                <w:bCs/>
                <w:sz w:val="22"/>
                <w:szCs w:val="22"/>
              </w:rPr>
            </w:pPr>
            <w:r w:rsidRPr="00E70ADE">
              <w:rPr>
                <w:b/>
                <w:bCs/>
                <w:sz w:val="22"/>
                <w:szCs w:val="22"/>
              </w:rPr>
              <w:lastRenderedPageBreak/>
              <w:t>Iebildums ņemt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043728A" w14:textId="539D0A26" w:rsidR="00E020BB" w:rsidRPr="00E70ADE" w:rsidRDefault="003C3103" w:rsidP="00E61B22">
            <w:pPr>
              <w:jc w:val="both"/>
              <w:rPr>
                <w:sz w:val="22"/>
                <w:szCs w:val="22"/>
              </w:rPr>
            </w:pPr>
            <w:r w:rsidRPr="00E70ADE">
              <w:rPr>
                <w:sz w:val="22"/>
                <w:szCs w:val="22"/>
              </w:rPr>
              <w:t>Noteikumu projektā 48.punkts svītrots.</w:t>
            </w:r>
          </w:p>
        </w:tc>
        <w:tc>
          <w:tcPr>
            <w:tcW w:w="1318" w:type="dxa"/>
          </w:tcPr>
          <w:p w14:paraId="068DC911" w14:textId="77777777" w:rsidR="00E020BB" w:rsidRPr="00E70ADE" w:rsidRDefault="00E020BB" w:rsidP="00E61B22">
            <w:pPr>
              <w:jc w:val="both"/>
              <w:rPr>
                <w:sz w:val="22"/>
                <w:szCs w:val="22"/>
              </w:rPr>
            </w:pPr>
          </w:p>
        </w:tc>
      </w:tr>
      <w:tr w:rsidR="007E45B2" w:rsidRPr="00E70ADE" w14:paraId="042F70C2"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D118186" w14:textId="4BCF448B" w:rsidR="00E61B22" w:rsidRPr="00E70ADE" w:rsidRDefault="00E61B22"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5049917" w14:textId="77777777" w:rsidR="000F23C6" w:rsidRPr="00E70ADE" w:rsidRDefault="000F23C6" w:rsidP="000F23C6">
            <w:pPr>
              <w:shd w:val="clear" w:color="auto" w:fill="FFFFFF"/>
              <w:spacing w:line="293" w:lineRule="atLeast"/>
              <w:ind w:firstLine="300"/>
              <w:jc w:val="both"/>
              <w:rPr>
                <w:sz w:val="22"/>
                <w:szCs w:val="22"/>
              </w:rPr>
            </w:pPr>
            <w:r w:rsidRPr="00E70ADE">
              <w:rPr>
                <w:sz w:val="22"/>
                <w:szCs w:val="22"/>
              </w:rPr>
              <w:t>59. Komersantiem, kas ir ieguvuši garantētās maksas tiesības, pārvades sistēmas operators kontrolē koģenerācijas stacijas (vai atsevišķas tās iekārtas) jaudu pieejamību šādā kārtībā:</w:t>
            </w:r>
          </w:p>
          <w:p w14:paraId="716E5AE8" w14:textId="6D9C4259" w:rsidR="000F23C6" w:rsidRPr="00E70ADE" w:rsidRDefault="000F23C6" w:rsidP="000F23C6">
            <w:pPr>
              <w:shd w:val="clear" w:color="auto" w:fill="FFFFFF"/>
              <w:spacing w:line="293" w:lineRule="atLeast"/>
              <w:ind w:left="600" w:firstLine="300"/>
              <w:jc w:val="both"/>
              <w:rPr>
                <w:sz w:val="22"/>
                <w:szCs w:val="22"/>
              </w:rPr>
            </w:pPr>
            <w:r w:rsidRPr="00E70ADE">
              <w:rPr>
                <w:sz w:val="22"/>
                <w:szCs w:val="22"/>
              </w:rPr>
              <w:t>…</w:t>
            </w:r>
          </w:p>
          <w:p w14:paraId="727B0AA7" w14:textId="11B89665" w:rsidR="000F23C6" w:rsidRPr="00E70ADE" w:rsidRDefault="000F23C6" w:rsidP="000F23C6">
            <w:pPr>
              <w:shd w:val="clear" w:color="auto" w:fill="FFFFFF"/>
              <w:spacing w:line="293" w:lineRule="atLeast"/>
              <w:jc w:val="both"/>
              <w:rPr>
                <w:sz w:val="22"/>
                <w:szCs w:val="22"/>
              </w:rPr>
            </w:pPr>
            <w:r w:rsidRPr="00E70ADE">
              <w:rPr>
                <w:sz w:val="22"/>
                <w:szCs w:val="22"/>
              </w:rPr>
              <w:t xml:space="preserve">59.2. pārvades sistēmas operators veic koģenerācijas stacijas (vai atsevišķas tās iekārtas) </w:t>
            </w:r>
            <w:proofErr w:type="spellStart"/>
            <w:r w:rsidRPr="00E70ADE">
              <w:rPr>
                <w:sz w:val="22"/>
                <w:szCs w:val="22"/>
              </w:rPr>
              <w:t>darbgatavības</w:t>
            </w:r>
            <w:proofErr w:type="spellEnd"/>
            <w:r w:rsidRPr="00E70ADE">
              <w:rPr>
                <w:sz w:val="22"/>
                <w:szCs w:val="22"/>
              </w:rPr>
              <w:t xml:space="preserve"> uzraudzību, tai skaitā pieprasot koģenerācijas stacijas (vai atsevišķas tās iekārtas) palaišanu un noslodzi. Ja pārvades sistēmas operators ir pieprasījis koģenerācijas stacijas (vai atsevišķas tās iekārtas) palaišanu un noslodzi, operators kompensē komersantam papildus radītos izdevumus, vienojoties ar komersantu par to apmēru. Ja koģenerācijas stacija (vai tās atsevišķa iekārta) nespēj izpildīt pārvades sistēmas operatora dispečera komandu vai to izpilda daļēji, ar to saistītos izdevumus kompensē komersants, trīskāršā apmērā atlīdzinot pārvades sistēmas operatoram radītos izdevumus;</w:t>
            </w:r>
          </w:p>
          <w:p w14:paraId="6086ABEF" w14:textId="7534E81E" w:rsidR="00E61B22" w:rsidRPr="00E70ADE" w:rsidRDefault="00E61B22" w:rsidP="00E61B22">
            <w:pPr>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13B5A06" w14:textId="1177A608" w:rsidR="00E61B22" w:rsidRPr="00E70ADE" w:rsidRDefault="00E61B22" w:rsidP="00E61B22">
            <w:pPr>
              <w:spacing w:line="252" w:lineRule="auto"/>
              <w:jc w:val="center"/>
              <w:rPr>
                <w:b/>
                <w:bCs/>
                <w:color w:val="000000" w:themeColor="text1"/>
                <w:sz w:val="22"/>
                <w:szCs w:val="22"/>
              </w:rPr>
            </w:pPr>
            <w:r w:rsidRPr="00E70ADE">
              <w:rPr>
                <w:b/>
                <w:bCs/>
                <w:color w:val="000000" w:themeColor="text1"/>
                <w:sz w:val="22"/>
                <w:szCs w:val="22"/>
              </w:rPr>
              <w:t>Tieslietu ministrija (14.08.2020)</w:t>
            </w:r>
          </w:p>
          <w:p w14:paraId="3CD7F4E8" w14:textId="57BB4C85" w:rsidR="00E61B22" w:rsidRPr="00E70ADE" w:rsidRDefault="00E61B22" w:rsidP="00E61B22">
            <w:pPr>
              <w:jc w:val="both"/>
              <w:rPr>
                <w:sz w:val="22"/>
                <w:szCs w:val="22"/>
              </w:rPr>
            </w:pPr>
            <w:r w:rsidRPr="00E70ADE">
              <w:rPr>
                <w:sz w:val="22"/>
                <w:szCs w:val="22"/>
              </w:rPr>
              <w:t>Projekta 59.2. apakšpunktu nepieciešams precizēt un svītrot tajā vārdus “trīskāršā apmērā”. Vēršam uzmanību, ka projektā var paredzēt zaudējumu kompensāciju, bet Ministru kabinetam nav tiesības noteikt kompensāciju, kurai ir soda raksturs. Sodus var noteikt tikai ar likumu.</w:t>
            </w:r>
          </w:p>
          <w:p w14:paraId="09CC8BB2" w14:textId="0FDAE923" w:rsidR="00E61B22" w:rsidRPr="00E70ADE" w:rsidRDefault="00E61B22" w:rsidP="00E61B22">
            <w:pPr>
              <w:spacing w:line="252" w:lineRule="auto"/>
              <w:jc w:val="both"/>
              <w:rPr>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9F09F56" w14:textId="6809B217" w:rsidR="00E61B22" w:rsidRPr="00E70ADE" w:rsidRDefault="007809D3" w:rsidP="003C3103">
            <w:pPr>
              <w:pStyle w:val="naisc"/>
              <w:rPr>
                <w:b/>
                <w:bCs/>
                <w:sz w:val="22"/>
                <w:szCs w:val="22"/>
              </w:rPr>
            </w:pPr>
            <w:r w:rsidRPr="00E70ADE">
              <w:rPr>
                <w:b/>
                <w:bCs/>
                <w:sz w:val="22"/>
                <w:szCs w:val="22"/>
              </w:rPr>
              <w:t xml:space="preserve">Iebildums </w:t>
            </w:r>
            <w:r w:rsidR="009E735F" w:rsidRPr="00E70ADE">
              <w:rPr>
                <w:b/>
                <w:bCs/>
                <w:sz w:val="22"/>
                <w:szCs w:val="22"/>
              </w:rPr>
              <w:t>ir</w:t>
            </w:r>
            <w:r w:rsidRPr="00E70ADE">
              <w:rPr>
                <w:b/>
                <w:bCs/>
                <w:sz w:val="22"/>
                <w:szCs w:val="22"/>
              </w:rPr>
              <w:t xml:space="preserve"> ņemts vērā.</w:t>
            </w:r>
          </w:p>
          <w:p w14:paraId="44C75B1E" w14:textId="77777777" w:rsidR="00E33738" w:rsidRPr="00E70ADE" w:rsidRDefault="00E33738" w:rsidP="00E33738">
            <w:pPr>
              <w:pStyle w:val="naisc"/>
              <w:rPr>
                <w:b/>
                <w:bCs/>
                <w:sz w:val="22"/>
                <w:szCs w:val="22"/>
              </w:rPr>
            </w:pPr>
            <w:r w:rsidRPr="00E70ADE">
              <w:rPr>
                <w:b/>
                <w:bCs/>
                <w:sz w:val="22"/>
                <w:szCs w:val="22"/>
              </w:rPr>
              <w:t>(panākta vienošanās 25.08.2020. starpinstitūciju saskaņošanas sanāksmē)</w:t>
            </w:r>
          </w:p>
          <w:p w14:paraId="5BABC469" w14:textId="57020D92" w:rsidR="007809D3" w:rsidRPr="00E70ADE" w:rsidRDefault="007809D3" w:rsidP="003C3103">
            <w:pPr>
              <w:pStyle w:val="naisc"/>
              <w:jc w:val="left"/>
              <w:rPr>
                <w:sz w:val="22"/>
                <w:szCs w:val="22"/>
              </w:rPr>
            </w:pP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9E49AC9" w14:textId="087106CD" w:rsidR="00E61B22" w:rsidRPr="00E70ADE" w:rsidRDefault="002C51BF" w:rsidP="00A552EE">
            <w:pPr>
              <w:jc w:val="both"/>
              <w:rPr>
                <w:sz w:val="22"/>
                <w:szCs w:val="22"/>
              </w:rPr>
            </w:pPr>
            <w:r w:rsidRPr="00E70ADE">
              <w:rPr>
                <w:sz w:val="22"/>
                <w:szCs w:val="22"/>
              </w:rPr>
              <w:t xml:space="preserve">58.2. </w:t>
            </w:r>
            <w:r w:rsidR="00844497" w:rsidRPr="00E70ADE">
              <w:rPr>
                <w:sz w:val="22"/>
                <w:szCs w:val="22"/>
              </w:rPr>
              <w:t xml:space="preserve">pārvades sistēmas operators veic koģenerācijas stacijas (vai atsevišķas tās iekārtas) </w:t>
            </w:r>
            <w:proofErr w:type="spellStart"/>
            <w:r w:rsidR="00844497" w:rsidRPr="00E70ADE">
              <w:rPr>
                <w:sz w:val="22"/>
                <w:szCs w:val="22"/>
              </w:rPr>
              <w:t>darbgatavības</w:t>
            </w:r>
            <w:proofErr w:type="spellEnd"/>
            <w:r w:rsidR="00844497" w:rsidRPr="00E70ADE">
              <w:rPr>
                <w:sz w:val="22"/>
                <w:szCs w:val="22"/>
              </w:rPr>
              <w:t xml:space="preserve"> uzraudzību, tai skaitā pieprasot koģenerācijas stacijas (vai atsevišķas tās iekārtas) palaišanu un noslodzi. Ja pārvades sistēmas operators ir pieprasījis koģenerācijas stacijas (vai atsevišķas tās iekārtas) palaišanu un noslodzi, operators kompensē komersantam papildus radītos izdevumus, vienojoties ar komersantu par to apmēru. Ja koģenerācijas stacija (vai tās atsevišķa iekārta) nespēj izpildīt pārvades sistēmas operatora dispečera komandu vai to izpilda daļēji, ar to saistītos pārvades sistēmas operatoram radītos izdevumus kompensē komersants</w:t>
            </w:r>
          </w:p>
        </w:tc>
        <w:tc>
          <w:tcPr>
            <w:tcW w:w="1318" w:type="dxa"/>
          </w:tcPr>
          <w:p w14:paraId="442B4968" w14:textId="4D93E7D4" w:rsidR="00E61B22" w:rsidRPr="00E70ADE" w:rsidRDefault="00E61B22" w:rsidP="00E61B22">
            <w:pPr>
              <w:jc w:val="both"/>
              <w:rPr>
                <w:sz w:val="22"/>
                <w:szCs w:val="22"/>
              </w:rPr>
            </w:pPr>
          </w:p>
        </w:tc>
      </w:tr>
      <w:tr w:rsidR="007E45B2" w:rsidRPr="00E70ADE" w14:paraId="63746162"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14DD01" w14:textId="69855B84" w:rsidR="008213DF" w:rsidRPr="00E70ADE" w:rsidRDefault="008213DF"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87579D1" w14:textId="77777777" w:rsidR="00E30800" w:rsidRPr="00E70ADE" w:rsidRDefault="00E30800" w:rsidP="00E30800">
            <w:pPr>
              <w:shd w:val="clear" w:color="auto" w:fill="FFFFFF" w:themeFill="background1"/>
              <w:spacing w:after="120"/>
              <w:jc w:val="both"/>
              <w:rPr>
                <w:sz w:val="22"/>
                <w:szCs w:val="22"/>
              </w:rPr>
            </w:pPr>
            <w:r w:rsidRPr="00E70ADE">
              <w:rPr>
                <w:sz w:val="22"/>
                <w:szCs w:val="22"/>
              </w:rPr>
              <w:t>Noteikumu projekta 70.punkts:</w:t>
            </w:r>
            <w:r w:rsidRPr="00E70ADE">
              <w:rPr>
                <w:sz w:val="22"/>
                <w:szCs w:val="22"/>
              </w:rPr>
              <w:br/>
              <w:t>70. Ne vēlāk kā no 2022. gada 1. janvāra komersants biogāzes ražošanas iekārtā kā kurināmā izejvielu biogāzes ražošanai izmanto organiskas izcelsmes atkritumus un ražošanas atlikumproduktus saskaņā ar 7. pielikumu. Minēto kurināmā izejvielu īpatsvaru kopējā kurināmā apjomā komersants nodrošina šādā apjomā:</w:t>
            </w:r>
          </w:p>
          <w:p w14:paraId="3DCF209E" w14:textId="77777777" w:rsidR="00E30800" w:rsidRPr="00E70ADE" w:rsidRDefault="00E30800" w:rsidP="00E30800">
            <w:pPr>
              <w:shd w:val="clear" w:color="auto" w:fill="FFFFFF" w:themeFill="background1"/>
              <w:spacing w:after="120"/>
              <w:jc w:val="both"/>
              <w:rPr>
                <w:sz w:val="22"/>
                <w:szCs w:val="22"/>
              </w:rPr>
            </w:pPr>
            <w:r w:rsidRPr="00E70ADE">
              <w:rPr>
                <w:sz w:val="22"/>
                <w:szCs w:val="22"/>
              </w:rPr>
              <w:t>70.1. no 2022. gada 1. janvāra līdz 2025. gada 31. decembrim – vismaz 40%;</w:t>
            </w:r>
          </w:p>
          <w:p w14:paraId="4E232823" w14:textId="77777777" w:rsidR="00E30800" w:rsidRPr="00E70ADE" w:rsidRDefault="00E30800" w:rsidP="00E30800">
            <w:pPr>
              <w:shd w:val="clear" w:color="auto" w:fill="FFFFFF" w:themeFill="background1"/>
              <w:spacing w:after="120"/>
              <w:jc w:val="both"/>
              <w:rPr>
                <w:sz w:val="22"/>
                <w:szCs w:val="22"/>
              </w:rPr>
            </w:pPr>
            <w:r w:rsidRPr="00E70ADE">
              <w:rPr>
                <w:sz w:val="22"/>
                <w:szCs w:val="22"/>
              </w:rPr>
              <w:t>70.2. no 2026. gada 1. janvāra līdz 2029. gada 31. decembrim – vismaz 60%;</w:t>
            </w:r>
          </w:p>
          <w:p w14:paraId="6F6F5065" w14:textId="35C79F48" w:rsidR="008213DF" w:rsidRPr="00E70ADE" w:rsidRDefault="00E30800" w:rsidP="00E30800">
            <w:pPr>
              <w:shd w:val="clear" w:color="auto" w:fill="FFFFFF" w:themeFill="background1"/>
              <w:spacing w:after="120"/>
              <w:jc w:val="both"/>
              <w:rPr>
                <w:sz w:val="22"/>
                <w:szCs w:val="22"/>
              </w:rPr>
            </w:pPr>
            <w:r w:rsidRPr="00E70ADE">
              <w:rPr>
                <w:sz w:val="22"/>
                <w:szCs w:val="22"/>
              </w:rPr>
              <w:t>70.3. no 2030. gada 1. janvāra – vismaz 80%.</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2C8DF8C" w14:textId="77777777" w:rsidR="008213DF" w:rsidRPr="00E70ADE" w:rsidRDefault="008213DF"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1C6C1526" w14:textId="7C62C5AC" w:rsidR="008213DF" w:rsidRPr="00E70ADE" w:rsidRDefault="004853FC" w:rsidP="004853FC">
            <w:pPr>
              <w:spacing w:line="252" w:lineRule="auto"/>
              <w:rPr>
                <w:b/>
                <w:bCs/>
                <w:color w:val="000000" w:themeColor="text1"/>
                <w:sz w:val="22"/>
                <w:szCs w:val="22"/>
                <w:highlight w:val="red"/>
              </w:rPr>
            </w:pPr>
            <w:r w:rsidRPr="00E70ADE">
              <w:rPr>
                <w:sz w:val="22"/>
                <w:szCs w:val="22"/>
              </w:rPr>
              <w:t>Atbilstoši 70. punktam komersantam ir jānodrošina kurināmā izejvielu īpatsvaru kopējā kurināmā noteiktajā apjomā un noteiktajā laika posmā. Tātad - gadījumā, ja netiks ievērotas izejvielu procentu attiecības, atbilstoši 71.punktā noteiktajam komersantam draud elektroenerģijas iepirkuma cenas samazinājums. Vēršam uzmanību, ka. izvērtējot 2018. gada 11. decembra Eiropas Parlamenta un Padomes Direktīvā (ES) 2018/2001 par no atjaunojamajiem energoresursiem iegūtas enerģijas izmantošanas veicināšanu VI. pielikumā noteikto - kā aprēķināms Siltumnīcefekta gāzu (SEG) emisiju ietaupījums no dažādos veidos saražotas atjaunojamas enerģijas, var secināt, ka, ievērojot 70. punktā izejvielu procentu attiecības, SEG emisiju ietaupījums ir zems. Savukārt, ja tiek panākts ievērojams SEG emisiju ietaupījums (mainot izejvielu proporcijas), tad, ņemot vērā 71.punktā izejvielu īpatsvaru un piemērojamo koeficientu, komersantam tiek samazināta elektroenerģijas cena. Tāpēc lūdzam izvērtēt cenas samazinājuma samērojamību ar ietekmi uz SEG emisijām.</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996915E" w14:textId="77777777" w:rsidR="00B261FE" w:rsidRPr="00E70ADE" w:rsidRDefault="00B261FE" w:rsidP="00B261FE">
            <w:pPr>
              <w:pStyle w:val="naisc"/>
              <w:spacing w:before="0" w:after="0"/>
              <w:rPr>
                <w:b/>
                <w:sz w:val="22"/>
                <w:szCs w:val="22"/>
              </w:rPr>
            </w:pPr>
            <w:r w:rsidRPr="00E70ADE">
              <w:rPr>
                <w:b/>
                <w:sz w:val="22"/>
                <w:szCs w:val="22"/>
              </w:rPr>
              <w:t>Iebildums daļēji ņemts vērā.</w:t>
            </w:r>
          </w:p>
          <w:p w14:paraId="5E450AE8" w14:textId="3BEEF8A0" w:rsidR="00E30800" w:rsidRPr="00E70ADE" w:rsidRDefault="00B261FE" w:rsidP="00E30800">
            <w:pPr>
              <w:pStyle w:val="naisc"/>
              <w:spacing w:before="0" w:after="0"/>
              <w:jc w:val="left"/>
              <w:rPr>
                <w:sz w:val="22"/>
                <w:szCs w:val="22"/>
              </w:rPr>
            </w:pPr>
            <w:r w:rsidRPr="00E70ADE">
              <w:rPr>
                <w:sz w:val="22"/>
                <w:szCs w:val="22"/>
              </w:rPr>
              <w:t xml:space="preserve">Ministru kabinets </w:t>
            </w:r>
            <w:r w:rsidRPr="00E70ADE">
              <w:rPr>
                <w:bCs/>
                <w:sz w:val="22"/>
                <w:szCs w:val="22"/>
              </w:rPr>
              <w:t xml:space="preserve">ir izvērtējis šāda priekšlikuma ieviešanu un </w:t>
            </w:r>
            <w:r w:rsidRPr="00E70ADE">
              <w:rPr>
                <w:sz w:val="22"/>
                <w:szCs w:val="22"/>
              </w:rPr>
              <w:t xml:space="preserve">uzdevis </w:t>
            </w:r>
            <w:r w:rsidRPr="00E70ADE">
              <w:rPr>
                <w:bCs/>
                <w:sz w:val="22"/>
                <w:szCs w:val="22"/>
              </w:rPr>
              <w:t>Ekonomikas ministrijai izstrādāt atbilstošus grozījumus</w:t>
            </w:r>
            <w:r w:rsidRPr="00E70ADE">
              <w:rPr>
                <w:sz w:val="22"/>
                <w:szCs w:val="22"/>
              </w:rPr>
              <w:t xml:space="preserve">, apstiprinot </w:t>
            </w:r>
            <w:r w:rsidRPr="00E70ADE">
              <w:rPr>
                <w:sz w:val="22"/>
                <w:szCs w:val="22"/>
                <w:shd w:val="clear" w:color="auto" w:fill="FFFFFF"/>
              </w:rPr>
              <w:t>informatīvo ziņojumu "Par elektroenerģijas obligātā iepirkuma komponentes problemātikas iespējamajiem risinājumiem un enerģētikas politikas īstenošanas funkcijām"</w:t>
            </w:r>
            <w:r w:rsidRPr="00E70ADE">
              <w:rPr>
                <w:sz w:val="22"/>
                <w:szCs w:val="22"/>
              </w:rPr>
              <w:t xml:space="preserve"> Ministru kabineta 2019.gada 16.jūlija sēdē (protokollēmuma Nr.33</w:t>
            </w:r>
            <w:r w:rsidRPr="00E70ADE">
              <w:rPr>
                <w:bCs/>
                <w:sz w:val="22"/>
                <w:szCs w:val="22"/>
              </w:rPr>
              <w:t xml:space="preserve"> </w:t>
            </w:r>
            <w:r w:rsidRPr="00E70ADE">
              <w:rPr>
                <w:sz w:val="22"/>
                <w:szCs w:val="22"/>
                <w:shd w:val="clear" w:color="auto" w:fill="FFFFFF"/>
              </w:rPr>
              <w:t xml:space="preserve"> 88.§).</w:t>
            </w:r>
          </w:p>
          <w:p w14:paraId="7974205A" w14:textId="3DFC3D2C" w:rsidR="008213DF" w:rsidRPr="00E70ADE" w:rsidRDefault="00E30800" w:rsidP="00E30800">
            <w:pPr>
              <w:pStyle w:val="naisc"/>
              <w:jc w:val="both"/>
              <w:rPr>
                <w:bCs/>
                <w:sz w:val="22"/>
                <w:szCs w:val="22"/>
              </w:rPr>
            </w:pPr>
            <w:r w:rsidRPr="00E70ADE">
              <w:rPr>
                <w:bCs/>
                <w:sz w:val="22"/>
                <w:szCs w:val="22"/>
                <w:shd w:val="clear" w:color="auto" w:fill="FFFFFF"/>
              </w:rPr>
              <w:t xml:space="preserve">Papildus vēršam uzmanību, ka elektroenerģijas </w:t>
            </w:r>
            <w:proofErr w:type="spellStart"/>
            <w:r w:rsidRPr="00E70ADE">
              <w:rPr>
                <w:bCs/>
                <w:sz w:val="22"/>
                <w:szCs w:val="22"/>
                <w:shd w:val="clear" w:color="auto" w:fill="FFFFFF"/>
              </w:rPr>
              <w:t>iepirkuam</w:t>
            </w:r>
            <w:proofErr w:type="spellEnd"/>
            <w:r w:rsidRPr="00E70ADE">
              <w:rPr>
                <w:bCs/>
                <w:sz w:val="22"/>
                <w:szCs w:val="22"/>
                <w:shd w:val="clear" w:color="auto" w:fill="FFFFFF"/>
              </w:rPr>
              <w:t xml:space="preserve"> cenas samazinājums paredzēts mēneša griezumā, tādējādi sniedzot lielāku elastību ražotājiem.</w:t>
            </w:r>
            <w:r w:rsidR="00B261FE" w:rsidRPr="00E70ADE">
              <w:rPr>
                <w:bCs/>
                <w:sz w:val="22"/>
                <w:szCs w:val="22"/>
                <w:shd w:val="clear" w:color="auto" w:fill="FFFFFF"/>
              </w:rPr>
              <w:t xml:space="preserve">  </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849C528" w14:textId="7209E6A5" w:rsidR="000622E1" w:rsidRPr="00E70ADE" w:rsidRDefault="000622E1" w:rsidP="000622E1">
            <w:pPr>
              <w:spacing w:after="160" w:line="259" w:lineRule="auto"/>
              <w:jc w:val="both"/>
              <w:rPr>
                <w:sz w:val="22"/>
                <w:szCs w:val="22"/>
              </w:rPr>
            </w:pPr>
            <w:r w:rsidRPr="00E70ADE">
              <w:rPr>
                <w:sz w:val="22"/>
                <w:szCs w:val="22"/>
              </w:rPr>
              <w:t>73.</w:t>
            </w:r>
            <w:r w:rsidR="00E30800" w:rsidRPr="00E70ADE">
              <w:rPr>
                <w:sz w:val="22"/>
                <w:szCs w:val="22"/>
              </w:rPr>
              <w:t xml:space="preserve"> </w:t>
            </w:r>
            <w:bookmarkStart w:id="5" w:name="_Ref49156561"/>
            <w:r w:rsidRPr="00E70ADE">
              <w:rPr>
                <w:sz w:val="22"/>
                <w:szCs w:val="22"/>
              </w:rPr>
              <w:t>Ne vēlāk kā no 2022. gada 1. janvāra komersants biogāzes ražošanas iekārtā kā kurināmā izejvielu biogāzes ražošanai izmanto organiskas izcelsmes atkritumus un ražošanas atlikumproduktus saskaņā ar šo noteikumu 7. pielikumu. Komersants nodrošina, ka minēto kurināmā izejvielu īpatsvars kalendāra gada ietvarā</w:t>
            </w:r>
            <w:r w:rsidRPr="00E70ADE" w:rsidDel="00AA245C">
              <w:rPr>
                <w:sz w:val="22"/>
                <w:szCs w:val="22"/>
              </w:rPr>
              <w:t xml:space="preserve"> </w:t>
            </w:r>
            <w:r w:rsidRPr="00E70ADE">
              <w:rPr>
                <w:sz w:val="22"/>
                <w:szCs w:val="22"/>
              </w:rPr>
              <w:t>pret kopējo patērēto izejvielu apjomu biogāzes ražošanai ir šādā apjomā:</w:t>
            </w:r>
            <w:bookmarkEnd w:id="5"/>
          </w:p>
          <w:p w14:paraId="311D6AA5" w14:textId="7A6A0656" w:rsidR="000622E1" w:rsidRPr="00E70ADE" w:rsidRDefault="000622E1" w:rsidP="000622E1">
            <w:pPr>
              <w:spacing w:after="160" w:line="259" w:lineRule="auto"/>
              <w:jc w:val="both"/>
              <w:rPr>
                <w:sz w:val="22"/>
                <w:szCs w:val="22"/>
              </w:rPr>
            </w:pPr>
            <w:r w:rsidRPr="00E70ADE">
              <w:rPr>
                <w:sz w:val="22"/>
                <w:szCs w:val="22"/>
              </w:rPr>
              <w:t>73.1. no 2022. gada 1. janvāra līdz 2025. gada 31. decembrim – vismaz 40%;</w:t>
            </w:r>
          </w:p>
          <w:p w14:paraId="509110FC" w14:textId="5737C779" w:rsidR="000622E1" w:rsidRPr="00E70ADE" w:rsidRDefault="000622E1" w:rsidP="000622E1">
            <w:pPr>
              <w:spacing w:after="160" w:line="259" w:lineRule="auto"/>
              <w:jc w:val="both"/>
              <w:rPr>
                <w:sz w:val="22"/>
                <w:szCs w:val="22"/>
              </w:rPr>
            </w:pPr>
            <w:r w:rsidRPr="00E70ADE">
              <w:rPr>
                <w:sz w:val="22"/>
                <w:szCs w:val="22"/>
              </w:rPr>
              <w:t>73.2. no 2026. gada 1. janvāra līdz 2029. gada 31. decembrim – vismaz 60%;</w:t>
            </w:r>
          </w:p>
          <w:p w14:paraId="0A46B292" w14:textId="7D8506EA" w:rsidR="008213DF" w:rsidRPr="00E70ADE" w:rsidRDefault="000622E1" w:rsidP="000622E1">
            <w:pPr>
              <w:jc w:val="both"/>
              <w:rPr>
                <w:sz w:val="22"/>
                <w:szCs w:val="22"/>
              </w:rPr>
            </w:pPr>
            <w:r w:rsidRPr="00E70ADE">
              <w:rPr>
                <w:sz w:val="22"/>
                <w:szCs w:val="22"/>
              </w:rPr>
              <w:t>73.3. no 2030. gada 1. janvāra – vismaz 80%.</w:t>
            </w:r>
          </w:p>
          <w:p w14:paraId="770A1CD2" w14:textId="59C4E957" w:rsidR="00E30800" w:rsidRPr="00E70ADE" w:rsidRDefault="00E30800" w:rsidP="00E30800">
            <w:pPr>
              <w:jc w:val="both"/>
              <w:rPr>
                <w:sz w:val="22"/>
                <w:szCs w:val="22"/>
              </w:rPr>
            </w:pPr>
          </w:p>
        </w:tc>
        <w:tc>
          <w:tcPr>
            <w:tcW w:w="1318" w:type="dxa"/>
          </w:tcPr>
          <w:p w14:paraId="5A009581" w14:textId="77777777" w:rsidR="008213DF" w:rsidRPr="00E70ADE" w:rsidRDefault="008213DF" w:rsidP="00E61B22">
            <w:pPr>
              <w:jc w:val="both"/>
              <w:rPr>
                <w:sz w:val="22"/>
                <w:szCs w:val="22"/>
              </w:rPr>
            </w:pPr>
          </w:p>
        </w:tc>
      </w:tr>
      <w:tr w:rsidR="007E45B2" w:rsidRPr="00E70ADE" w14:paraId="7A0D0DBC"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63452A8" w14:textId="3C14BAAF" w:rsidR="004853FC" w:rsidRPr="00E70ADE" w:rsidRDefault="004853FC"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053DB11" w14:textId="64B0BE99" w:rsidR="004853FC" w:rsidRPr="00E70ADE" w:rsidRDefault="00CD7FF5" w:rsidP="00E61B22">
            <w:pPr>
              <w:shd w:val="clear" w:color="auto" w:fill="FFFFFF" w:themeFill="background1"/>
              <w:spacing w:after="120"/>
              <w:jc w:val="both"/>
              <w:rPr>
                <w:sz w:val="22"/>
                <w:szCs w:val="22"/>
              </w:rPr>
            </w:pPr>
            <w:r w:rsidRPr="00E70ADE">
              <w:rPr>
                <w:sz w:val="22"/>
                <w:szCs w:val="22"/>
              </w:rPr>
              <w:t>VI. sadaļa “VI. Nosacījumi pārkompensācijas izvērtēšanai un novēršanai” un 8.pielikums</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7936B15" w14:textId="77777777" w:rsidR="004853FC" w:rsidRPr="00E70ADE" w:rsidRDefault="004853FC" w:rsidP="008E390F">
            <w:pPr>
              <w:spacing w:after="160" w:line="252" w:lineRule="auto"/>
              <w:ind w:left="360"/>
              <w:jc w:val="center"/>
              <w:rPr>
                <w:b/>
                <w:color w:val="000000"/>
                <w:sz w:val="22"/>
                <w:szCs w:val="22"/>
              </w:rPr>
            </w:pPr>
            <w:r w:rsidRPr="00E70ADE">
              <w:rPr>
                <w:b/>
                <w:color w:val="000000"/>
                <w:sz w:val="22"/>
                <w:szCs w:val="22"/>
              </w:rPr>
              <w:t>Zemkopības ministrija (19.08.2020.) iebildums</w:t>
            </w:r>
          </w:p>
          <w:p w14:paraId="2C07BB19" w14:textId="7232E393" w:rsidR="004853FC" w:rsidRPr="00E70ADE" w:rsidRDefault="003706E5" w:rsidP="008E390F">
            <w:pPr>
              <w:widowControl w:val="0"/>
              <w:jc w:val="both"/>
              <w:rPr>
                <w:b/>
                <w:color w:val="000000"/>
                <w:sz w:val="22"/>
                <w:szCs w:val="22"/>
              </w:rPr>
            </w:pPr>
            <w:r w:rsidRPr="00E70ADE">
              <w:rPr>
                <w:sz w:val="22"/>
                <w:szCs w:val="22"/>
              </w:rPr>
              <w:t xml:space="preserve">Ņemot vērā pavadvēstulē norādīto, proti, ka turpmākajā saskaņošanas procesā </w:t>
            </w:r>
            <w:r w:rsidRPr="00E70ADE">
              <w:rPr>
                <w:sz w:val="22"/>
                <w:szCs w:val="22"/>
              </w:rPr>
              <w:lastRenderedPageBreak/>
              <w:t xml:space="preserve">noteikumu projektos plānots papildus precizēt normas elektrostaciju pārkompensācijas novēršanai atbilstoši Ekonomikas ministrijas izsludinātā iepirkuma „Priekšlikumu un elektronisku rīku izstrāde kopējo kapitālieguldījumu iekšējās peļņas normas aprēķināšanas un pārkompensācijas novēršanas metodikas pilnveidei elektroenerģijas ražotājiem” rezultātiem, Zemkopības ministrija nav izskatījusi\vērtējusi VI. sadaļu “VI. Nosacījumi pārkompensācijas izvērtēšanai un novēršanai” un 8.pielikumu. </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FA17018" w14:textId="5EDDF1D4" w:rsidR="004853FC" w:rsidRPr="00E70ADE" w:rsidRDefault="004960C8" w:rsidP="00E61B22">
            <w:pPr>
              <w:pStyle w:val="naisc"/>
              <w:rPr>
                <w:b/>
                <w:bCs/>
                <w:sz w:val="22"/>
                <w:szCs w:val="22"/>
              </w:rPr>
            </w:pPr>
            <w:r w:rsidRPr="00E70ADE">
              <w:rPr>
                <w:b/>
                <w:bCs/>
                <w:sz w:val="22"/>
                <w:szCs w:val="22"/>
              </w:rPr>
              <w:lastRenderedPageBreak/>
              <w:t>Iebildums 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5631EB" w14:textId="43CC1E47" w:rsidR="004853FC" w:rsidRPr="00E70ADE" w:rsidRDefault="00CD7FF5" w:rsidP="00E61B22">
            <w:pPr>
              <w:jc w:val="both"/>
              <w:rPr>
                <w:sz w:val="22"/>
                <w:szCs w:val="22"/>
              </w:rPr>
            </w:pPr>
            <w:r w:rsidRPr="00E70ADE">
              <w:rPr>
                <w:sz w:val="22"/>
                <w:szCs w:val="22"/>
              </w:rPr>
              <w:t>VI. sadaļa “VI. Nosacījumi pārkompensācijas izvērtēšanai un novēršanai” un 8.pielikums svītrots.</w:t>
            </w:r>
          </w:p>
        </w:tc>
        <w:tc>
          <w:tcPr>
            <w:tcW w:w="1318" w:type="dxa"/>
          </w:tcPr>
          <w:p w14:paraId="18C5DF1D" w14:textId="77777777" w:rsidR="004853FC" w:rsidRPr="00E70ADE" w:rsidRDefault="004853FC" w:rsidP="00E61B22">
            <w:pPr>
              <w:jc w:val="both"/>
              <w:rPr>
                <w:sz w:val="22"/>
                <w:szCs w:val="22"/>
              </w:rPr>
            </w:pPr>
          </w:p>
        </w:tc>
      </w:tr>
      <w:tr w:rsidR="007E45B2" w:rsidRPr="00E70ADE" w14:paraId="34C4E1D1"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C5CDA17" w14:textId="024A9C5A" w:rsidR="00E61B22" w:rsidRPr="00E70ADE" w:rsidRDefault="00E61B22"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D41157D" w14:textId="77777777" w:rsidR="00CD7FF5" w:rsidRPr="00E70ADE" w:rsidRDefault="00CD7FF5" w:rsidP="00CD7FF5">
            <w:pPr>
              <w:shd w:val="clear" w:color="auto" w:fill="FFFFFF"/>
              <w:jc w:val="center"/>
              <w:rPr>
                <w:b/>
                <w:bCs/>
                <w:sz w:val="22"/>
                <w:szCs w:val="22"/>
              </w:rPr>
            </w:pPr>
            <w:r w:rsidRPr="00E70ADE">
              <w:rPr>
                <w:b/>
                <w:bCs/>
                <w:sz w:val="22"/>
                <w:szCs w:val="22"/>
              </w:rPr>
              <w:t>Informatīva atsauce uz Eiropas Savienības direktīvām</w:t>
            </w:r>
            <w:bookmarkStart w:id="6" w:name="es-275496"/>
            <w:bookmarkEnd w:id="6"/>
          </w:p>
          <w:p w14:paraId="24E238F3" w14:textId="77777777" w:rsidR="00CD7FF5" w:rsidRPr="00E70ADE" w:rsidRDefault="00CD7FF5" w:rsidP="00CD7FF5">
            <w:pPr>
              <w:shd w:val="clear" w:color="auto" w:fill="FFFFFF"/>
              <w:spacing w:line="293" w:lineRule="atLeast"/>
              <w:ind w:firstLine="300"/>
              <w:rPr>
                <w:sz w:val="22"/>
                <w:szCs w:val="22"/>
              </w:rPr>
            </w:pPr>
            <w:bookmarkStart w:id="7" w:name="p213"/>
            <w:bookmarkStart w:id="8" w:name="p-275497"/>
            <w:bookmarkEnd w:id="7"/>
            <w:bookmarkEnd w:id="8"/>
            <w:r w:rsidRPr="00E70ADE">
              <w:rPr>
                <w:sz w:val="22"/>
                <w:szCs w:val="22"/>
              </w:rPr>
              <w:t>Noteikumos iekļautas tiesību normas, kas izriet no:</w:t>
            </w:r>
          </w:p>
          <w:p w14:paraId="15AF8245" w14:textId="77777777" w:rsidR="00CD7FF5" w:rsidRPr="00E70ADE" w:rsidRDefault="00CD7FF5" w:rsidP="00E70ADE">
            <w:pPr>
              <w:shd w:val="clear" w:color="auto" w:fill="FFFFFF"/>
              <w:spacing w:line="293" w:lineRule="atLeast"/>
              <w:rPr>
                <w:sz w:val="22"/>
                <w:szCs w:val="22"/>
              </w:rPr>
            </w:pPr>
            <w:r w:rsidRPr="00E70ADE">
              <w:rPr>
                <w:sz w:val="22"/>
                <w:szCs w:val="22"/>
              </w:rPr>
              <w:t>1) Eiropas Parlamenta un Padomes 2012.gada 25.oktobra Direktīvas 2012/27/EK </w:t>
            </w:r>
            <w:hyperlink r:id="rId22" w:tgtFrame="_blank" w:history="1">
              <w:r w:rsidRPr="00E70ADE">
                <w:rPr>
                  <w:sz w:val="22"/>
                  <w:szCs w:val="22"/>
                </w:rPr>
                <w:t>2004/8/EK</w:t>
              </w:r>
            </w:hyperlink>
            <w:r w:rsidRPr="00E70ADE">
              <w:rPr>
                <w:sz w:val="22"/>
                <w:szCs w:val="22"/>
              </w:rPr>
              <w:t> par energoefektivitāti, ar ko groza Direktīvas 2009/125/EK un 2010/30/ES un atceļ Direktīvas 2004/8/EK un 2006/32/EK;</w:t>
            </w:r>
          </w:p>
          <w:p w14:paraId="1C745757" w14:textId="09254931" w:rsidR="00E61B22" w:rsidRPr="00E70ADE" w:rsidRDefault="00CD7FF5" w:rsidP="00CD7FF5">
            <w:pPr>
              <w:jc w:val="both"/>
              <w:rPr>
                <w:sz w:val="22"/>
                <w:szCs w:val="22"/>
              </w:rPr>
            </w:pPr>
            <w:r w:rsidRPr="00E70ADE">
              <w:rPr>
                <w:sz w:val="22"/>
                <w:szCs w:val="22"/>
              </w:rPr>
              <w:t xml:space="preserve">2) </w:t>
            </w:r>
            <w:r w:rsidRPr="00E70ADE">
              <w:rPr>
                <w:sz w:val="22"/>
                <w:szCs w:val="22"/>
                <w:shd w:val="clear" w:color="auto" w:fill="FFFFFF"/>
              </w:rPr>
              <w:t>Eiropas Parlamenta un Padomes 2018. gada 11. decembra Direktīvas 2018/2001 par no atjaunojamajiem energoresursiem iegūtas enerģijas izmantošanas veicināšanu</w:t>
            </w:r>
            <w:r w:rsidRPr="00E70ADE">
              <w:rPr>
                <w:sz w:val="22"/>
                <w:szCs w:val="22"/>
              </w:rPr>
              <w:t>.</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DA4E7E1" w14:textId="5FA3D981" w:rsidR="00E61B22" w:rsidRPr="00E70ADE" w:rsidRDefault="00E61B22" w:rsidP="00E61B22">
            <w:pPr>
              <w:spacing w:line="252" w:lineRule="auto"/>
              <w:jc w:val="center"/>
              <w:rPr>
                <w:b/>
                <w:bCs/>
                <w:color w:val="000000" w:themeColor="text1"/>
                <w:sz w:val="22"/>
                <w:szCs w:val="22"/>
              </w:rPr>
            </w:pPr>
            <w:r w:rsidRPr="00E70ADE">
              <w:rPr>
                <w:b/>
                <w:bCs/>
                <w:color w:val="000000" w:themeColor="text1"/>
                <w:sz w:val="22"/>
                <w:szCs w:val="22"/>
              </w:rPr>
              <w:t>Tieslietu ministrija (14.08.2020)</w:t>
            </w:r>
            <w:r w:rsidR="004143F3" w:rsidRPr="00E70ADE">
              <w:rPr>
                <w:b/>
                <w:bCs/>
                <w:color w:val="000000" w:themeColor="text1"/>
                <w:sz w:val="22"/>
                <w:szCs w:val="22"/>
              </w:rPr>
              <w:t xml:space="preserve"> iebi</w:t>
            </w:r>
            <w:r w:rsidR="00066EA4" w:rsidRPr="00E70ADE">
              <w:rPr>
                <w:b/>
                <w:bCs/>
                <w:color w:val="000000" w:themeColor="text1"/>
                <w:sz w:val="22"/>
                <w:szCs w:val="22"/>
              </w:rPr>
              <w:t>l</w:t>
            </w:r>
            <w:r w:rsidR="004143F3" w:rsidRPr="00E70ADE">
              <w:rPr>
                <w:b/>
                <w:bCs/>
                <w:color w:val="000000" w:themeColor="text1"/>
                <w:sz w:val="22"/>
                <w:szCs w:val="22"/>
              </w:rPr>
              <w:t>dums</w:t>
            </w:r>
          </w:p>
          <w:p w14:paraId="63A9F269" w14:textId="3730B49F" w:rsidR="00E61B22" w:rsidRPr="00E70ADE" w:rsidRDefault="00E61B22" w:rsidP="00E61B22">
            <w:pPr>
              <w:jc w:val="both"/>
              <w:rPr>
                <w:sz w:val="22"/>
                <w:szCs w:val="22"/>
              </w:rPr>
            </w:pPr>
            <w:r w:rsidRPr="00E70ADE">
              <w:rPr>
                <w:sz w:val="22"/>
                <w:szCs w:val="22"/>
              </w:rPr>
              <w:t>Projekta nobeigumā ir iekļauta informatīvā atsauce uz Eiropas Savienības direktīvām. Vienlaikus šo direktīvu norāde ir iekļauta likuma informatīvās atsauces uz Eiropas Savienības direktīvām 7. un 8. punktā. Ievērojot minēto, nepieciešams izvērtēt šis informatīvās atsauces veidošanas nepieciešamību un, ja ir konkrētas direktīvu normas, kuras tiek pārņemtas ar projektu, projekta anotācijas V sadaļā par tām nepieciešams iekļaut visu nepieciešamo informāciju atbilstoši Ministru kabineta 2009. gada 15. decembra instrukcijas Nr.19 “Tiesību akta projekta sākotnējās ietekmes izvērtēšanas kārtība” 55. – 59. punktā noteiktajam.</w:t>
            </w:r>
          </w:p>
          <w:p w14:paraId="1E5F7DCC" w14:textId="57C2E291" w:rsidR="00E61B22" w:rsidRPr="00E70ADE" w:rsidRDefault="00E61B22" w:rsidP="00E61B22">
            <w:pPr>
              <w:spacing w:line="252" w:lineRule="auto"/>
              <w:jc w:val="both"/>
              <w:rPr>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5FC77EB" w14:textId="31E145B8" w:rsidR="00E61B22" w:rsidRPr="00E70ADE" w:rsidRDefault="00D919A7" w:rsidP="00E61B22">
            <w:pPr>
              <w:pStyle w:val="naisc"/>
              <w:rPr>
                <w:b/>
                <w:bCs/>
                <w:sz w:val="22"/>
                <w:szCs w:val="22"/>
              </w:rPr>
            </w:pPr>
            <w:r w:rsidRPr="00E70ADE">
              <w:rPr>
                <w:b/>
                <w:bCs/>
                <w:sz w:val="22"/>
                <w:szCs w:val="22"/>
              </w:rPr>
              <w:t>Iebildums ņemts vērā.</w:t>
            </w:r>
          </w:p>
          <w:p w14:paraId="53939B53" w14:textId="00731071" w:rsidR="00D919A7" w:rsidRPr="00E70ADE" w:rsidRDefault="00E30800" w:rsidP="00A042F3">
            <w:pPr>
              <w:pStyle w:val="naisc"/>
              <w:jc w:val="left"/>
              <w:rPr>
                <w:sz w:val="22"/>
                <w:szCs w:val="22"/>
              </w:rPr>
            </w:pPr>
            <w:r w:rsidRPr="00E70ADE">
              <w:rPr>
                <w:sz w:val="22"/>
                <w:szCs w:val="22"/>
              </w:rPr>
              <w:t>Atsauces uz direktīvām dzēstas.</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17C6291" w14:textId="46173ADA" w:rsidR="00E61B22" w:rsidRPr="00E70ADE" w:rsidRDefault="00E70ADE" w:rsidP="00E61B22">
            <w:pPr>
              <w:jc w:val="both"/>
              <w:rPr>
                <w:sz w:val="22"/>
                <w:szCs w:val="22"/>
              </w:rPr>
            </w:pPr>
            <w:r w:rsidRPr="00E70ADE">
              <w:rPr>
                <w:sz w:val="22"/>
                <w:szCs w:val="22"/>
              </w:rPr>
              <w:t>Atsauces uz direktīvām dzēstas.</w:t>
            </w:r>
          </w:p>
        </w:tc>
        <w:tc>
          <w:tcPr>
            <w:tcW w:w="1318" w:type="dxa"/>
          </w:tcPr>
          <w:p w14:paraId="6A743F61" w14:textId="21A4B7BC" w:rsidR="00E61B22" w:rsidRPr="00E70ADE" w:rsidRDefault="00E61B22" w:rsidP="00E61B22">
            <w:pPr>
              <w:jc w:val="both"/>
              <w:rPr>
                <w:sz w:val="22"/>
                <w:szCs w:val="22"/>
              </w:rPr>
            </w:pPr>
          </w:p>
        </w:tc>
      </w:tr>
      <w:tr w:rsidR="007E45B2" w:rsidRPr="00E70ADE" w14:paraId="56B12AA7"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C5FB6F1" w14:textId="035CD4D5" w:rsidR="00CE41A7" w:rsidRPr="00E70ADE" w:rsidRDefault="00CE41A7"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83493F1" w14:textId="77777777" w:rsidR="00C30559" w:rsidRPr="00E70ADE" w:rsidRDefault="00C30559" w:rsidP="00C30559">
            <w:pPr>
              <w:shd w:val="clear" w:color="auto" w:fill="FFFFFF"/>
              <w:ind w:firstLine="426"/>
              <w:jc w:val="both"/>
              <w:rPr>
                <w:sz w:val="22"/>
                <w:szCs w:val="22"/>
              </w:rPr>
            </w:pPr>
            <w:r w:rsidRPr="00E70ADE">
              <w:rPr>
                <w:sz w:val="22"/>
                <w:szCs w:val="22"/>
              </w:rPr>
              <w:t>113. Komersanti, kuri līdz 2020. gada 1.septembrim  nav iesnieguši sistēmas operatoram, publiskajam tirgotājam un birojam šo noteikumu </w:t>
            </w:r>
            <w:hyperlink r:id="rId23" w:anchor="p56.2%C2%A0" w:history="1">
              <w:r w:rsidRPr="00E70ADE">
                <w:rPr>
                  <w:sz w:val="22"/>
                  <w:szCs w:val="22"/>
                </w:rPr>
                <w:t>22.</w:t>
              </w:r>
              <w:r w:rsidRPr="00E70ADE">
                <w:rPr>
                  <w:sz w:val="22"/>
                  <w:szCs w:val="22"/>
                  <w:vertAlign w:val="superscript"/>
                </w:rPr>
                <w:t> </w:t>
              </w:r>
              <w:r w:rsidRPr="00E70ADE">
                <w:rPr>
                  <w:sz w:val="22"/>
                  <w:szCs w:val="22"/>
                </w:rPr>
                <w:t>punktā</w:t>
              </w:r>
            </w:hyperlink>
            <w:r w:rsidRPr="00E70ADE">
              <w:rPr>
                <w:sz w:val="22"/>
                <w:szCs w:val="22"/>
              </w:rPr>
              <w:t xml:space="preserve"> minēto </w:t>
            </w:r>
            <w:r w:rsidRPr="00E70ADE">
              <w:rPr>
                <w:sz w:val="22"/>
                <w:szCs w:val="22"/>
              </w:rPr>
              <w:lastRenderedPageBreak/>
              <w:t>principiālo pieslēguma shēmu, zaudē tiem piešķirtās obligātā iepirkuma tiesības vai garantētās maksas tiesības.</w:t>
            </w:r>
          </w:p>
          <w:p w14:paraId="741C7C5C" w14:textId="77777777" w:rsidR="00C30559" w:rsidRPr="00E70ADE" w:rsidRDefault="00C30559" w:rsidP="00C30559">
            <w:pPr>
              <w:shd w:val="clear" w:color="auto" w:fill="FFFFFF"/>
              <w:ind w:firstLine="300"/>
              <w:jc w:val="both"/>
              <w:rPr>
                <w:sz w:val="22"/>
                <w:szCs w:val="22"/>
              </w:rPr>
            </w:pPr>
          </w:p>
          <w:p w14:paraId="1EFA0309" w14:textId="77777777" w:rsidR="00CE41A7" w:rsidRPr="00E70ADE" w:rsidRDefault="00CE41A7" w:rsidP="00E61B22">
            <w:pPr>
              <w:shd w:val="clear" w:color="auto" w:fill="FFFFFF" w:themeFill="background1"/>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5BE38FC" w14:textId="77777777" w:rsidR="00CE41A7" w:rsidRPr="00E70ADE" w:rsidRDefault="00CE41A7" w:rsidP="008E390F">
            <w:pPr>
              <w:spacing w:after="160" w:line="252" w:lineRule="auto"/>
              <w:ind w:left="360"/>
              <w:jc w:val="center"/>
              <w:rPr>
                <w:b/>
                <w:color w:val="000000"/>
                <w:sz w:val="22"/>
                <w:szCs w:val="22"/>
              </w:rPr>
            </w:pPr>
            <w:r w:rsidRPr="00E70ADE">
              <w:rPr>
                <w:b/>
                <w:color w:val="000000"/>
                <w:sz w:val="22"/>
                <w:szCs w:val="22"/>
              </w:rPr>
              <w:lastRenderedPageBreak/>
              <w:t>Zemkopības ministrija (19.08.2020.) iebildums</w:t>
            </w:r>
          </w:p>
          <w:p w14:paraId="2A3BA031" w14:textId="77777777" w:rsidR="005A3724" w:rsidRPr="00E70ADE" w:rsidRDefault="005A3724" w:rsidP="005A3724">
            <w:pPr>
              <w:widowControl w:val="0"/>
              <w:jc w:val="both"/>
              <w:rPr>
                <w:sz w:val="22"/>
                <w:szCs w:val="22"/>
              </w:rPr>
            </w:pPr>
            <w:r w:rsidRPr="00E70ADE">
              <w:rPr>
                <w:sz w:val="22"/>
                <w:szCs w:val="22"/>
              </w:rPr>
              <w:t xml:space="preserve">113.punktā noteikts, ka komersantiem, kuri līdz 2020. gada 1.septembrim  nav </w:t>
            </w:r>
            <w:r w:rsidRPr="00E70ADE">
              <w:rPr>
                <w:sz w:val="22"/>
                <w:szCs w:val="22"/>
              </w:rPr>
              <w:lastRenderedPageBreak/>
              <w:t>iesnieguši sistēmas operatoram, publiskajam tirgotājam un Birojam šo noteikumu 22.punktā minēto principiālo pieslēguma shēmu, zaudē tiem piešķirtās obligātā iepirkuma tiesības vai garantētās maksas tiesības. Lūdzam skaidrot, kā lai komersanti ievēro noteiktu prasību un līdz 2020.gada 1.septembrim iesniedz principiālo elektriskā pieslēguma shēmu, ja šī prasība stāsies spēkā ar 2020.gada 1.septembrī?</w:t>
            </w:r>
          </w:p>
          <w:p w14:paraId="78532EAF" w14:textId="77777777" w:rsidR="00CE41A7" w:rsidRPr="00E70ADE" w:rsidRDefault="00CE41A7" w:rsidP="00E61B22">
            <w:pPr>
              <w:spacing w:line="252" w:lineRule="auto"/>
              <w:jc w:val="center"/>
              <w:rPr>
                <w:b/>
                <w:bCs/>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3D71E20" w14:textId="77777777" w:rsidR="00117FEA" w:rsidRPr="00E70ADE" w:rsidRDefault="00117FEA" w:rsidP="00117FEA">
            <w:pPr>
              <w:pStyle w:val="naisc"/>
              <w:rPr>
                <w:b/>
                <w:sz w:val="22"/>
                <w:szCs w:val="22"/>
              </w:rPr>
            </w:pPr>
            <w:r w:rsidRPr="00E70ADE">
              <w:rPr>
                <w:b/>
                <w:sz w:val="22"/>
                <w:szCs w:val="22"/>
              </w:rPr>
              <w:lastRenderedPageBreak/>
              <w:t>Iebildums ir ņemts vērā.</w:t>
            </w:r>
          </w:p>
          <w:p w14:paraId="2A32D52E" w14:textId="26F14CC7" w:rsidR="00CE41A7" w:rsidRPr="00E70ADE" w:rsidRDefault="00117FEA" w:rsidP="00E70ADE">
            <w:pPr>
              <w:pStyle w:val="naisc"/>
              <w:jc w:val="left"/>
              <w:rPr>
                <w:b/>
                <w:bCs/>
                <w:sz w:val="22"/>
                <w:szCs w:val="22"/>
              </w:rPr>
            </w:pPr>
            <w:r w:rsidRPr="00E70ADE">
              <w:rPr>
                <w:sz w:val="22"/>
                <w:szCs w:val="22"/>
              </w:rPr>
              <w:t>Paskaidrojam, ka pienākums iesniegt principiālo elektriskā pieslēguma shēmu izriet no šobrīd spēkā esošaj</w:t>
            </w:r>
            <w:r w:rsidR="005A6BBB">
              <w:rPr>
                <w:sz w:val="22"/>
                <w:szCs w:val="22"/>
              </w:rPr>
              <w:t>iem</w:t>
            </w:r>
            <w:r w:rsidRPr="00E70ADE">
              <w:rPr>
                <w:sz w:val="22"/>
                <w:szCs w:val="22"/>
              </w:rPr>
              <w:t xml:space="preserve"> MK </w:t>
            </w:r>
            <w:r w:rsidR="005A6BBB">
              <w:rPr>
                <w:sz w:val="22"/>
                <w:szCs w:val="22"/>
              </w:rPr>
              <w:lastRenderedPageBreak/>
              <w:t>noteikumiem Nr. </w:t>
            </w:r>
            <w:r w:rsidRPr="00E70ADE">
              <w:rPr>
                <w:sz w:val="22"/>
                <w:szCs w:val="22"/>
              </w:rPr>
              <w:t>2</w:t>
            </w:r>
            <w:r w:rsidR="005A6BBB">
              <w:rPr>
                <w:sz w:val="22"/>
                <w:szCs w:val="22"/>
              </w:rPr>
              <w:t>21</w:t>
            </w:r>
            <w:r w:rsidRPr="00E70ADE">
              <w:rPr>
                <w:sz w:val="22"/>
                <w:szCs w:val="22"/>
              </w:rPr>
              <w:t>, arī pirms projekta stāšanās spēkā minētajām shēmām ir jābūt iesniegtām</w:t>
            </w:r>
            <w:r w:rsidR="00E30800" w:rsidRPr="00E70ADE">
              <w:rPr>
                <w:sz w:val="22"/>
                <w:szCs w:val="22"/>
              </w:rPr>
              <w:t xml:space="preserve">. </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B2904DF" w14:textId="5B9C3D02" w:rsidR="00CE41A7" w:rsidRPr="00E70ADE" w:rsidRDefault="00E70ADE" w:rsidP="00E61B22">
            <w:pPr>
              <w:jc w:val="both"/>
              <w:rPr>
                <w:sz w:val="22"/>
                <w:szCs w:val="22"/>
              </w:rPr>
            </w:pPr>
            <w:r w:rsidRPr="00E70ADE">
              <w:rPr>
                <w:sz w:val="22"/>
                <w:szCs w:val="22"/>
              </w:rPr>
              <w:lastRenderedPageBreak/>
              <w:t xml:space="preserve">96. Attiecībā uz komersantiem, kuri līdz šo noteikumu spēkā stāšanās dienai nav iesnieguši sistēmas operatoram, publiskajam tirgotājam un birojam </w:t>
            </w:r>
            <w:r w:rsidRPr="00E70ADE">
              <w:rPr>
                <w:sz w:val="22"/>
                <w:szCs w:val="22"/>
                <w:shd w:val="clear" w:color="auto" w:fill="FFFFFF"/>
              </w:rPr>
              <w:t xml:space="preserve">Ministru kabineta 2009. gada 10. marta </w:t>
            </w:r>
            <w:r w:rsidRPr="00E70ADE">
              <w:rPr>
                <w:sz w:val="22"/>
                <w:szCs w:val="22"/>
                <w:shd w:val="clear" w:color="auto" w:fill="FFFFFF"/>
              </w:rPr>
              <w:lastRenderedPageBreak/>
              <w:t>noteikumiem Nr. 221 "</w:t>
            </w:r>
            <w:hyperlink r:id="rId24" w:tgtFrame="_blank" w:history="1">
              <w:r w:rsidRPr="00E70ADE">
                <w:rPr>
                  <w:rStyle w:val="Hyperlink"/>
                  <w:rFonts w:eastAsiaTheme="majorEastAsia"/>
                  <w:color w:val="auto"/>
                  <w:sz w:val="22"/>
                  <w:szCs w:val="22"/>
                  <w:shd w:val="clear" w:color="auto" w:fill="FFFFFF"/>
                </w:rPr>
                <w:t>Noteikumi par elektroenerģijas ražošanu un cenu noteikšanu, ražojot elektroenerģiju koģenerācijā</w:t>
              </w:r>
            </w:hyperlink>
            <w:r w:rsidRPr="00E70ADE">
              <w:rPr>
                <w:sz w:val="22"/>
                <w:szCs w:val="22"/>
                <w:shd w:val="clear" w:color="auto" w:fill="FFFFFF"/>
              </w:rPr>
              <w:t>"</w:t>
            </w:r>
            <w:r w:rsidRPr="00E70ADE">
              <w:rPr>
                <w:sz w:val="22"/>
                <w:szCs w:val="22"/>
              </w:rPr>
              <w:t xml:space="preserve">  minēto principiālo elektriskā pieslēguma shēmu, publiskais tirgotājs līdz ar šo noteikumu spēkā stāšanās dienu pārtrauc koģenerācijā saražotās elektroenerģijas iepirkumu obligātā iepirkuma ietvaros. Ja komersants trīs mēnešu laikā pēc šo noteikumu spēkā stāšanās dienas neiesniedz sistēmas operatoram, publiskajam tirgotājam un birojam šo noteikumu </w:t>
            </w:r>
            <w:r w:rsidRPr="00E70ADE">
              <w:rPr>
                <w:sz w:val="22"/>
                <w:szCs w:val="22"/>
              </w:rPr>
              <w:fldChar w:fldCharType="begin"/>
            </w:r>
            <w:r w:rsidRPr="00E70ADE">
              <w:rPr>
                <w:sz w:val="22"/>
                <w:szCs w:val="22"/>
              </w:rPr>
              <w:instrText xml:space="preserve"> REF _Ref49152798 \w \h  \* MERGEFORMAT </w:instrText>
            </w:r>
            <w:r w:rsidRPr="00E70ADE">
              <w:rPr>
                <w:sz w:val="22"/>
                <w:szCs w:val="22"/>
              </w:rPr>
            </w:r>
            <w:r w:rsidRPr="00E70ADE">
              <w:rPr>
                <w:sz w:val="22"/>
                <w:szCs w:val="22"/>
              </w:rPr>
              <w:fldChar w:fldCharType="separate"/>
            </w:r>
            <w:r w:rsidRPr="00E70ADE">
              <w:rPr>
                <w:sz w:val="22"/>
                <w:szCs w:val="22"/>
              </w:rPr>
              <w:t>23</w:t>
            </w:r>
            <w:r w:rsidRPr="00E70ADE">
              <w:rPr>
                <w:sz w:val="22"/>
                <w:szCs w:val="22"/>
              </w:rPr>
              <w:fldChar w:fldCharType="end"/>
            </w:r>
            <w:r w:rsidRPr="00E70ADE">
              <w:rPr>
                <w:sz w:val="22"/>
                <w:szCs w:val="22"/>
              </w:rPr>
              <w:t xml:space="preserve">. punktā minēto principiālo elektriskā pieslēguma shēmu, birojs pieņem lēmumu par komersantam piešķirto obligātā iepirkuma tiesību atcelšanu. Ja komersants trīs mēnešu laikā pēc šo noteikumu spēkā stāšanās dienas iesniedz sistēmas operatoram, publiskajam tirgotājam un birojam šo noteikumu </w:t>
            </w:r>
            <w:r w:rsidRPr="00E70ADE">
              <w:rPr>
                <w:sz w:val="22"/>
                <w:szCs w:val="22"/>
              </w:rPr>
              <w:fldChar w:fldCharType="begin"/>
            </w:r>
            <w:r w:rsidRPr="00E70ADE">
              <w:rPr>
                <w:sz w:val="22"/>
                <w:szCs w:val="22"/>
              </w:rPr>
              <w:instrText xml:space="preserve"> REF _Ref49152798 \w \h  \* MERGEFORMAT </w:instrText>
            </w:r>
            <w:r w:rsidRPr="00E70ADE">
              <w:rPr>
                <w:sz w:val="22"/>
                <w:szCs w:val="22"/>
              </w:rPr>
            </w:r>
            <w:r w:rsidRPr="00E70ADE">
              <w:rPr>
                <w:sz w:val="22"/>
                <w:szCs w:val="22"/>
              </w:rPr>
              <w:fldChar w:fldCharType="separate"/>
            </w:r>
            <w:r w:rsidRPr="00E70ADE">
              <w:rPr>
                <w:sz w:val="22"/>
                <w:szCs w:val="22"/>
              </w:rPr>
              <w:t>23</w:t>
            </w:r>
            <w:r w:rsidRPr="00E70ADE">
              <w:rPr>
                <w:sz w:val="22"/>
                <w:szCs w:val="22"/>
              </w:rPr>
              <w:fldChar w:fldCharType="end"/>
            </w:r>
            <w:r w:rsidRPr="00E70ADE">
              <w:rPr>
                <w:sz w:val="22"/>
                <w:szCs w:val="22"/>
              </w:rPr>
              <w:t xml:space="preserve">. punktā minēto principiālo elektriskā pieslēguma shēmu, publiskais tirgotājs atsāk saražotās elektroenerģijas iepirkumu obligātā iepirkuma ietvaros ar nākamā pilnā kalendāra mēneša pirmo datumu pēc šo noteikumu </w:t>
            </w:r>
            <w:r w:rsidRPr="00E70ADE">
              <w:rPr>
                <w:sz w:val="22"/>
                <w:szCs w:val="22"/>
              </w:rPr>
              <w:fldChar w:fldCharType="begin"/>
            </w:r>
            <w:r w:rsidRPr="00E70ADE">
              <w:rPr>
                <w:sz w:val="22"/>
                <w:szCs w:val="22"/>
              </w:rPr>
              <w:instrText xml:space="preserve"> REF _Ref49152798 \w \h  \* MERGEFORMAT </w:instrText>
            </w:r>
            <w:r w:rsidRPr="00E70ADE">
              <w:rPr>
                <w:sz w:val="22"/>
                <w:szCs w:val="22"/>
              </w:rPr>
            </w:r>
            <w:r w:rsidRPr="00E70ADE">
              <w:rPr>
                <w:sz w:val="22"/>
                <w:szCs w:val="22"/>
              </w:rPr>
              <w:fldChar w:fldCharType="separate"/>
            </w:r>
            <w:r w:rsidRPr="00E70ADE">
              <w:rPr>
                <w:sz w:val="22"/>
                <w:szCs w:val="22"/>
              </w:rPr>
              <w:t>23</w:t>
            </w:r>
            <w:r w:rsidRPr="00E70ADE">
              <w:rPr>
                <w:sz w:val="22"/>
                <w:szCs w:val="22"/>
              </w:rPr>
              <w:fldChar w:fldCharType="end"/>
            </w:r>
            <w:r w:rsidRPr="00E70ADE">
              <w:rPr>
                <w:sz w:val="22"/>
                <w:szCs w:val="22"/>
              </w:rPr>
              <w:t>. punktā minētās principiālās elektriskā pieslēguma shēmas iesniegšanas sistēmas operatoram, publiskajam tirgotājam un birojam.</w:t>
            </w:r>
          </w:p>
        </w:tc>
        <w:tc>
          <w:tcPr>
            <w:tcW w:w="1318" w:type="dxa"/>
          </w:tcPr>
          <w:p w14:paraId="6FACE3EF" w14:textId="77777777" w:rsidR="00CE41A7" w:rsidRPr="00E70ADE" w:rsidRDefault="00CE41A7" w:rsidP="00E61B22">
            <w:pPr>
              <w:jc w:val="both"/>
              <w:rPr>
                <w:sz w:val="22"/>
                <w:szCs w:val="22"/>
              </w:rPr>
            </w:pPr>
          </w:p>
        </w:tc>
      </w:tr>
      <w:tr w:rsidR="007E45B2" w:rsidRPr="00E70ADE" w14:paraId="21F64211"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4BFE2CD" w14:textId="1B5DA256" w:rsidR="00E247C4" w:rsidRPr="00E70ADE" w:rsidRDefault="00E247C4" w:rsidP="00BF3217">
            <w:pPr>
              <w:pStyle w:val="naisc"/>
              <w:numPr>
                <w:ilvl w:val="0"/>
                <w:numId w:val="47"/>
              </w:numPr>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F9081B1" w14:textId="77777777" w:rsidR="00E247C4" w:rsidRPr="00E70ADE" w:rsidRDefault="002A170A" w:rsidP="00E247C4">
            <w:pPr>
              <w:shd w:val="clear" w:color="auto" w:fill="FFFFFF" w:themeFill="background1"/>
              <w:spacing w:after="120"/>
              <w:jc w:val="both"/>
              <w:rPr>
                <w:sz w:val="22"/>
                <w:szCs w:val="22"/>
              </w:rPr>
            </w:pPr>
            <w:r w:rsidRPr="00E70ADE">
              <w:rPr>
                <w:sz w:val="22"/>
                <w:szCs w:val="22"/>
              </w:rPr>
              <w:t>Noteikumu projekta 7.pielikuma 4.punkts</w:t>
            </w:r>
          </w:p>
          <w:p w14:paraId="506C875F" w14:textId="55CC3F29" w:rsidR="002A170A" w:rsidRPr="00E70ADE" w:rsidRDefault="002A170A" w:rsidP="00E247C4">
            <w:pPr>
              <w:shd w:val="clear" w:color="auto" w:fill="FFFFFF" w:themeFill="background1"/>
              <w:spacing w:after="120"/>
              <w:jc w:val="both"/>
              <w:rPr>
                <w:sz w:val="22"/>
                <w:szCs w:val="22"/>
              </w:rPr>
            </w:pPr>
            <w:r w:rsidRPr="00E70ADE">
              <w:rPr>
                <w:sz w:val="22"/>
                <w:szCs w:val="22"/>
              </w:rPr>
              <w:t xml:space="preserve">rūpniecisko atkritumu biomasas frakcija, ko nevar izmantot pārtikas vai barības ķēdē, tostarp materiāli no </w:t>
            </w:r>
            <w:r w:rsidRPr="00E70ADE">
              <w:rPr>
                <w:sz w:val="22"/>
                <w:szCs w:val="22"/>
              </w:rPr>
              <w:lastRenderedPageBreak/>
              <w:t>mazumtirdzniecības un vairumtirdzniecības un lauksaimniecības pārtikas ražošanas, un zvejniecības un akvakultūras nozares, izņemot izejvielas</w:t>
            </w: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A290CD2" w14:textId="77777777" w:rsidR="00E247C4" w:rsidRPr="00E70ADE" w:rsidRDefault="00E247C4" w:rsidP="008E390F">
            <w:pPr>
              <w:spacing w:after="160" w:line="252" w:lineRule="auto"/>
              <w:ind w:left="360"/>
              <w:jc w:val="center"/>
              <w:rPr>
                <w:b/>
                <w:color w:val="000000"/>
                <w:sz w:val="22"/>
                <w:szCs w:val="22"/>
              </w:rPr>
            </w:pPr>
            <w:r w:rsidRPr="00E70ADE">
              <w:rPr>
                <w:b/>
                <w:color w:val="000000"/>
                <w:sz w:val="22"/>
                <w:szCs w:val="22"/>
              </w:rPr>
              <w:lastRenderedPageBreak/>
              <w:t>Zemkopības ministrija (19.08.2020.) iebildums</w:t>
            </w:r>
          </w:p>
          <w:p w14:paraId="7E8307B9" w14:textId="77777777" w:rsidR="00E247C4" w:rsidRPr="00E70ADE" w:rsidRDefault="00E247C4" w:rsidP="008E390F">
            <w:pPr>
              <w:widowControl w:val="0"/>
              <w:jc w:val="both"/>
              <w:rPr>
                <w:sz w:val="22"/>
                <w:szCs w:val="22"/>
              </w:rPr>
            </w:pPr>
            <w:r w:rsidRPr="00E70ADE">
              <w:rPr>
                <w:sz w:val="22"/>
                <w:szCs w:val="22"/>
              </w:rPr>
              <w:t xml:space="preserve">Lūdzam papildināt 7.pielikumu ar 18.punktu šādā redakcijā: “pārtikas </w:t>
            </w:r>
            <w:r w:rsidRPr="00E70ADE">
              <w:rPr>
                <w:sz w:val="22"/>
                <w:szCs w:val="22"/>
              </w:rPr>
              <w:lastRenderedPageBreak/>
              <w:t>atkritumi, citi organiskas izcelsmes atkritumi un ražošanas atlikumprodukti”.</w:t>
            </w:r>
          </w:p>
          <w:p w14:paraId="4F7775BC" w14:textId="77777777" w:rsidR="00FA348E" w:rsidRPr="00E70ADE" w:rsidRDefault="00FA348E" w:rsidP="008E390F">
            <w:pPr>
              <w:widowControl w:val="0"/>
              <w:jc w:val="both"/>
              <w:rPr>
                <w:b/>
                <w:color w:val="000000"/>
                <w:sz w:val="22"/>
                <w:szCs w:val="22"/>
              </w:rPr>
            </w:pPr>
          </w:p>
          <w:p w14:paraId="71737699" w14:textId="6DE3CB37" w:rsidR="00FA348E" w:rsidRPr="00E70ADE" w:rsidRDefault="00FA348E" w:rsidP="00FA348E">
            <w:pPr>
              <w:widowControl w:val="0"/>
              <w:jc w:val="center"/>
              <w:rPr>
                <w:b/>
                <w:color w:val="000000"/>
                <w:sz w:val="22"/>
                <w:szCs w:val="22"/>
              </w:rPr>
            </w:pPr>
            <w:r w:rsidRPr="00E70ADE">
              <w:rPr>
                <w:b/>
                <w:color w:val="000000"/>
                <w:sz w:val="22"/>
                <w:szCs w:val="22"/>
              </w:rPr>
              <w:t>Zemkopības ministrija (27.08.2020)</w:t>
            </w:r>
          </w:p>
          <w:p w14:paraId="56F7ECEC" w14:textId="6EACBA3E" w:rsidR="002A170A" w:rsidRPr="00E70ADE" w:rsidRDefault="002A170A" w:rsidP="00FA348E">
            <w:pPr>
              <w:widowControl w:val="0"/>
              <w:jc w:val="center"/>
              <w:rPr>
                <w:b/>
                <w:color w:val="000000"/>
                <w:sz w:val="22"/>
                <w:szCs w:val="22"/>
              </w:rPr>
            </w:pPr>
            <w:r w:rsidRPr="00E70ADE">
              <w:rPr>
                <w:b/>
                <w:color w:val="000000"/>
                <w:sz w:val="22"/>
                <w:szCs w:val="22"/>
              </w:rPr>
              <w:t>iebildums</w:t>
            </w:r>
          </w:p>
          <w:p w14:paraId="7599CC4E" w14:textId="77777777" w:rsidR="00FA348E" w:rsidRPr="00E70ADE" w:rsidRDefault="00FA348E" w:rsidP="00FA348E">
            <w:pPr>
              <w:jc w:val="both"/>
              <w:rPr>
                <w:sz w:val="22"/>
                <w:szCs w:val="22"/>
              </w:rPr>
            </w:pPr>
            <w:r w:rsidRPr="00E70ADE">
              <w:rPr>
                <w:sz w:val="22"/>
                <w:szCs w:val="22"/>
              </w:rPr>
              <w:t xml:space="preserve">Lūdzam precizēt 7.pielikumu uz izteikt 4.punktu šādā redakcijā: “4.ražošanas atkritumu biomasas frakcija, ko nevar izmantot pārtikas vai barības ķēdē, un citi organiskas izcelsmes atkritumi un ražošanas atlikumprodukti, tostarp materiāli no mazumtirdzniecības un vairumtirdzniecības un lauksaimniecības ražošanas un pārtikas ražošanas un pārstrādes, un zvejniecības un akvakultūras nozares.” </w:t>
            </w:r>
          </w:p>
          <w:p w14:paraId="6E922A7D" w14:textId="34EC89E9" w:rsidR="00FA348E" w:rsidRPr="00E70ADE" w:rsidRDefault="00FA348E" w:rsidP="008E390F">
            <w:pPr>
              <w:widowControl w:val="0"/>
              <w:jc w:val="both"/>
              <w:rPr>
                <w:b/>
                <w:color w:val="000000"/>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6733641" w14:textId="77777777" w:rsidR="00E247C4" w:rsidRPr="00E70ADE" w:rsidRDefault="00E247C4" w:rsidP="00E247C4">
            <w:pPr>
              <w:pStyle w:val="naisc"/>
              <w:rPr>
                <w:b/>
                <w:sz w:val="22"/>
                <w:szCs w:val="22"/>
              </w:rPr>
            </w:pPr>
            <w:r w:rsidRPr="00E70ADE">
              <w:rPr>
                <w:b/>
                <w:sz w:val="22"/>
                <w:szCs w:val="22"/>
              </w:rPr>
              <w:lastRenderedPageBreak/>
              <w:t>Iebildums daļēji ņemts vērā.</w:t>
            </w:r>
          </w:p>
          <w:p w14:paraId="2CF512E9" w14:textId="77777777" w:rsidR="00E247C4" w:rsidRPr="00E70ADE" w:rsidRDefault="00E247C4" w:rsidP="00E247C4">
            <w:pPr>
              <w:pStyle w:val="naisc"/>
              <w:jc w:val="both"/>
              <w:rPr>
                <w:bCs/>
                <w:sz w:val="22"/>
                <w:szCs w:val="22"/>
              </w:rPr>
            </w:pPr>
            <w:r w:rsidRPr="00E70ADE">
              <w:rPr>
                <w:bCs/>
                <w:sz w:val="22"/>
                <w:szCs w:val="22"/>
              </w:rPr>
              <w:t xml:space="preserve">Ekonomikas ministrijas ieskatā Zemkopības ministrijas priekšlikumā norādītās izejvielas ir iekļautas noteikumu </w:t>
            </w:r>
            <w:r w:rsidRPr="00E70ADE">
              <w:rPr>
                <w:bCs/>
                <w:sz w:val="22"/>
                <w:szCs w:val="22"/>
              </w:rPr>
              <w:lastRenderedPageBreak/>
              <w:t>projekta 2.pielikuma 4.punktā: rūpniecisko atkritumu biomasas frakcija, ko nevar izmantot pārtikas vai barības ķēdē, tostarp materiāli no mazumtirdzniecības un vairumtirdzniecības un lauksaimniecības pārtikas ražošanas, un zvejniecības un akvakultūras nozares, izņemot izejvielas;</w:t>
            </w:r>
          </w:p>
          <w:p w14:paraId="5B9CFA53" w14:textId="77777777" w:rsidR="00E247C4" w:rsidRPr="00E70ADE" w:rsidRDefault="00E247C4" w:rsidP="00E247C4">
            <w:pPr>
              <w:pStyle w:val="naisc"/>
              <w:rPr>
                <w:b/>
                <w:bCs/>
                <w:sz w:val="22"/>
                <w:szCs w:val="22"/>
              </w:rPr>
            </w:pPr>
          </w:p>
          <w:p w14:paraId="7874FB96" w14:textId="65EBFD27" w:rsidR="002A170A" w:rsidRPr="00E70ADE" w:rsidRDefault="002A170A" w:rsidP="00E247C4">
            <w:pPr>
              <w:pStyle w:val="naisc"/>
              <w:rPr>
                <w:b/>
                <w:bCs/>
                <w:sz w:val="22"/>
                <w:szCs w:val="22"/>
              </w:rPr>
            </w:pPr>
            <w:r w:rsidRPr="00E70ADE">
              <w:rPr>
                <w:b/>
                <w:bCs/>
                <w:sz w:val="22"/>
                <w:szCs w:val="22"/>
              </w:rPr>
              <w:t>Iebildums ir 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CD87A58" w14:textId="22226C21" w:rsidR="00E247C4" w:rsidRPr="00E70ADE" w:rsidRDefault="00E247C4" w:rsidP="00E247C4">
            <w:pPr>
              <w:jc w:val="both"/>
              <w:rPr>
                <w:sz w:val="22"/>
                <w:szCs w:val="22"/>
              </w:rPr>
            </w:pPr>
            <w:r w:rsidRPr="00E70ADE">
              <w:rPr>
                <w:sz w:val="22"/>
                <w:szCs w:val="22"/>
              </w:rPr>
              <w:lastRenderedPageBreak/>
              <w:t xml:space="preserve">Noteikumu projekta </w:t>
            </w:r>
            <w:r w:rsidR="002A170A" w:rsidRPr="00E70ADE">
              <w:rPr>
                <w:sz w:val="22"/>
                <w:szCs w:val="22"/>
              </w:rPr>
              <w:t>7</w:t>
            </w:r>
            <w:r w:rsidRPr="00E70ADE">
              <w:rPr>
                <w:sz w:val="22"/>
                <w:szCs w:val="22"/>
              </w:rPr>
              <w:t>.pielikuma 4.punkts</w:t>
            </w:r>
          </w:p>
          <w:p w14:paraId="119EA7BE" w14:textId="77777777" w:rsidR="002A170A" w:rsidRPr="00E70ADE" w:rsidRDefault="002A170A" w:rsidP="00E247C4">
            <w:pPr>
              <w:jc w:val="both"/>
              <w:rPr>
                <w:sz w:val="22"/>
                <w:szCs w:val="22"/>
              </w:rPr>
            </w:pPr>
          </w:p>
          <w:p w14:paraId="3AE4A533" w14:textId="0E95D601" w:rsidR="002A170A" w:rsidRPr="00E70ADE" w:rsidRDefault="002A170A" w:rsidP="00E247C4">
            <w:pPr>
              <w:jc w:val="both"/>
              <w:rPr>
                <w:sz w:val="22"/>
                <w:szCs w:val="22"/>
              </w:rPr>
            </w:pPr>
            <w:r w:rsidRPr="00E70ADE">
              <w:rPr>
                <w:sz w:val="22"/>
                <w:szCs w:val="22"/>
              </w:rPr>
              <w:t xml:space="preserve">ražošanas atkritumu biomasas frakcija, ko nevar izmantot pārtikas vai barības </w:t>
            </w:r>
            <w:r w:rsidRPr="00E70ADE">
              <w:rPr>
                <w:sz w:val="22"/>
                <w:szCs w:val="22"/>
              </w:rPr>
              <w:lastRenderedPageBreak/>
              <w:t>ķēdē, un citi organiskas izcelsmes atkritumi un ražošanas atlikumprodukti, tostarp materiāli no mazumtirdzniecības un vairumtirdzniecības un lauksaimniecības ražošanas un pārtikas ražošanas un pārstrādes, un zvejniecības un akvakultūras nozares</w:t>
            </w:r>
          </w:p>
        </w:tc>
        <w:tc>
          <w:tcPr>
            <w:tcW w:w="1318" w:type="dxa"/>
          </w:tcPr>
          <w:p w14:paraId="70A26B2B" w14:textId="77777777" w:rsidR="00E247C4" w:rsidRPr="00E70ADE" w:rsidRDefault="00E247C4" w:rsidP="00E247C4">
            <w:pPr>
              <w:jc w:val="both"/>
              <w:rPr>
                <w:sz w:val="22"/>
                <w:szCs w:val="22"/>
              </w:rPr>
            </w:pPr>
          </w:p>
        </w:tc>
      </w:tr>
      <w:tr w:rsidR="007E45B2" w:rsidRPr="00E70ADE" w14:paraId="69C869EB"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498E85C" w14:textId="72297520"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16EC9C" w14:textId="77777777" w:rsidR="00E247C4" w:rsidRPr="00E70ADE" w:rsidRDefault="00E247C4" w:rsidP="00E247C4">
            <w:pPr>
              <w:shd w:val="clear" w:color="auto" w:fill="FFFFFF"/>
              <w:spacing w:after="120"/>
              <w:jc w:val="both"/>
              <w:rPr>
                <w:sz w:val="22"/>
                <w:szCs w:val="22"/>
              </w:rPr>
            </w:pPr>
            <w:r w:rsidRPr="00E70ADE">
              <w:rPr>
                <w:sz w:val="22"/>
                <w:szCs w:val="22"/>
              </w:rPr>
              <w:t>Noteikumu projekts</w:t>
            </w:r>
          </w:p>
          <w:p w14:paraId="5F7FF8AF" w14:textId="77777777" w:rsidR="00E247C4" w:rsidRPr="00E70ADE" w:rsidRDefault="00E247C4" w:rsidP="00E247C4">
            <w:pPr>
              <w:shd w:val="clear" w:color="auto" w:fill="FFFFFF"/>
              <w:spacing w:after="120"/>
              <w:jc w:val="both"/>
              <w:rPr>
                <w:sz w:val="22"/>
                <w:szCs w:val="22"/>
              </w:rPr>
            </w:pPr>
          </w:p>
          <w:p w14:paraId="4B742D83"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302CF8F" w14:textId="2251776D" w:rsidR="00E247C4" w:rsidRPr="00E70ADE" w:rsidRDefault="00E247C4" w:rsidP="00E247C4">
            <w:pPr>
              <w:tabs>
                <w:tab w:val="left" w:pos="1134"/>
              </w:tabs>
              <w:spacing w:after="160" w:line="252" w:lineRule="auto"/>
              <w:contextualSpacing/>
              <w:jc w:val="center"/>
              <w:rPr>
                <w:rFonts w:eastAsia="Calibri"/>
                <w:b/>
                <w:bCs/>
                <w:sz w:val="22"/>
                <w:szCs w:val="22"/>
              </w:rPr>
            </w:pPr>
            <w:r w:rsidRPr="00E70ADE">
              <w:rPr>
                <w:rFonts w:eastAsia="Calibri"/>
                <w:b/>
                <w:bCs/>
                <w:sz w:val="22"/>
                <w:szCs w:val="22"/>
              </w:rPr>
              <w:t>Finanšu ministrija (11.08.2020.)</w:t>
            </w:r>
            <w:r w:rsidR="00D440C5" w:rsidRPr="00E70ADE">
              <w:rPr>
                <w:rFonts w:eastAsia="Calibri"/>
                <w:b/>
                <w:bCs/>
                <w:sz w:val="22"/>
                <w:szCs w:val="22"/>
              </w:rPr>
              <w:t xml:space="preserve"> iebildums</w:t>
            </w:r>
          </w:p>
          <w:p w14:paraId="5DE17A0A" w14:textId="77777777" w:rsidR="00E247C4" w:rsidRPr="00E70ADE" w:rsidRDefault="00E247C4" w:rsidP="00E247C4">
            <w:pPr>
              <w:spacing w:after="160" w:line="252" w:lineRule="auto"/>
              <w:contextualSpacing/>
              <w:jc w:val="both"/>
              <w:rPr>
                <w:sz w:val="22"/>
                <w:szCs w:val="22"/>
                <w:highlight w:val="red"/>
              </w:rPr>
            </w:pPr>
            <w:r w:rsidRPr="00E70ADE">
              <w:rPr>
                <w:sz w:val="22"/>
                <w:szCs w:val="22"/>
              </w:rPr>
              <w:t>5.Lai nodrošinātu EK lēmuma lietā SA.43140, kā arī ETL 30.</w:t>
            </w:r>
            <w:r w:rsidRPr="00E70ADE">
              <w:rPr>
                <w:sz w:val="22"/>
                <w:szCs w:val="22"/>
                <w:vertAlign w:val="superscript"/>
              </w:rPr>
              <w:t>4</w:t>
            </w:r>
            <w:r w:rsidRPr="00E70ADE">
              <w:rPr>
                <w:sz w:val="22"/>
                <w:szCs w:val="22"/>
              </w:rPr>
              <w:t xml:space="preserve"> pantā noteikto kopējā atbalsta perioda ierobežojumu ievērošanu, lūdzam attiecīgi precizēt noteikumu projekta 73.2 apakšpunktu, nodrošinot, ka jaudas palielinājuma gadījumā kopējais atbalsta periods nepārsniedz 20 gadus.</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D1B21C6" w14:textId="77777777" w:rsidR="00E247C4" w:rsidRPr="00E70ADE" w:rsidRDefault="000F48D2" w:rsidP="000F48D2">
            <w:pPr>
              <w:pStyle w:val="NormalWeb"/>
              <w:spacing w:before="0" w:beforeAutospacing="0"/>
              <w:jc w:val="center"/>
              <w:rPr>
                <w:b/>
                <w:sz w:val="22"/>
                <w:szCs w:val="22"/>
              </w:rPr>
            </w:pPr>
            <w:r w:rsidRPr="00E70ADE">
              <w:rPr>
                <w:b/>
                <w:sz w:val="22"/>
                <w:szCs w:val="22"/>
              </w:rPr>
              <w:t>Ņemts vērā</w:t>
            </w:r>
          </w:p>
          <w:p w14:paraId="2E13AA59" w14:textId="4C1E3282" w:rsidR="00E247C4" w:rsidRPr="00E70ADE" w:rsidRDefault="004D0F48" w:rsidP="00132A89">
            <w:pPr>
              <w:pStyle w:val="NormalWeb"/>
              <w:spacing w:before="0" w:beforeAutospacing="0" w:after="0" w:afterAutospacing="0"/>
              <w:jc w:val="both"/>
              <w:rPr>
                <w:bCs/>
                <w:sz w:val="22"/>
                <w:szCs w:val="22"/>
              </w:rPr>
            </w:pPr>
            <w:r w:rsidRPr="00E70ADE">
              <w:rPr>
                <w:bCs/>
                <w:sz w:val="22"/>
                <w:szCs w:val="22"/>
              </w:rPr>
              <w:t>E</w:t>
            </w:r>
            <w:r w:rsidR="002D1BB9" w:rsidRPr="00E70ADE">
              <w:rPr>
                <w:bCs/>
                <w:sz w:val="22"/>
                <w:szCs w:val="22"/>
              </w:rPr>
              <w:t>konomikas ministrija</w:t>
            </w:r>
            <w:r w:rsidRPr="00E70ADE">
              <w:rPr>
                <w:bCs/>
                <w:sz w:val="22"/>
                <w:szCs w:val="22"/>
              </w:rPr>
              <w:t xml:space="preserve"> izstrādās </w:t>
            </w:r>
            <w:r w:rsidR="00B25BC0" w:rsidRPr="00E70ADE">
              <w:rPr>
                <w:bCs/>
                <w:sz w:val="22"/>
                <w:szCs w:val="22"/>
              </w:rPr>
              <w:t xml:space="preserve">vienotu kārtību </w:t>
            </w:r>
            <w:r w:rsidR="00934553" w:rsidRPr="00E70ADE">
              <w:rPr>
                <w:bCs/>
                <w:sz w:val="22"/>
                <w:szCs w:val="22"/>
              </w:rPr>
              <w:t xml:space="preserve">valsts </w:t>
            </w:r>
            <w:r w:rsidR="00B25BC0" w:rsidRPr="00E70ADE">
              <w:rPr>
                <w:bCs/>
                <w:sz w:val="22"/>
                <w:szCs w:val="22"/>
              </w:rPr>
              <w:t>atbalsta perioda ierobežošanai</w:t>
            </w:r>
            <w:r w:rsidR="00934553" w:rsidRPr="00E70ADE">
              <w:rPr>
                <w:bCs/>
                <w:sz w:val="22"/>
                <w:szCs w:val="22"/>
              </w:rPr>
              <w:t xml:space="preserve"> atbilstoši ETL </w:t>
            </w:r>
            <w:r w:rsidR="00AB3548" w:rsidRPr="00E70ADE">
              <w:rPr>
                <w:bCs/>
                <w:sz w:val="22"/>
                <w:szCs w:val="22"/>
              </w:rPr>
              <w:t xml:space="preserve">pārejas noteikumu </w:t>
            </w:r>
            <w:r w:rsidR="002D1BB9" w:rsidRPr="00E70ADE">
              <w:rPr>
                <w:bCs/>
                <w:sz w:val="22"/>
                <w:szCs w:val="22"/>
              </w:rPr>
              <w:t>84. punktam – līdz 2021. gada 31. maijam.</w:t>
            </w:r>
            <w:r w:rsidR="00D36F1D" w:rsidRPr="00E70ADE">
              <w:rPr>
                <w:bCs/>
                <w:sz w:val="22"/>
                <w:szCs w:val="22"/>
              </w:rPr>
              <w:t xml:space="preserve"> Vienlaikus vēršam uzmanību uz to, ka</w:t>
            </w:r>
            <w:r w:rsidR="00ED561D" w:rsidRPr="00E70ADE">
              <w:rPr>
                <w:bCs/>
                <w:sz w:val="22"/>
                <w:szCs w:val="22"/>
              </w:rPr>
              <w:t xml:space="preserve"> 20 gadu ierobežojum</w:t>
            </w:r>
            <w:r w:rsidR="001A140D" w:rsidRPr="00E70ADE">
              <w:rPr>
                <w:bCs/>
                <w:sz w:val="22"/>
                <w:szCs w:val="22"/>
              </w:rPr>
              <w:t>s jau šobrīd ir spēkā saskaņā ar</w:t>
            </w:r>
            <w:r w:rsidR="00ED561D" w:rsidRPr="00E70ADE">
              <w:rPr>
                <w:bCs/>
                <w:sz w:val="22"/>
                <w:szCs w:val="22"/>
              </w:rPr>
              <w:t xml:space="preserve"> </w:t>
            </w:r>
            <w:r w:rsidR="000F480A" w:rsidRPr="00E70ADE">
              <w:rPr>
                <w:bCs/>
                <w:sz w:val="22"/>
                <w:szCs w:val="22"/>
              </w:rPr>
              <w:t>ETL 83. pant</w:t>
            </w:r>
            <w:r w:rsidR="001A140D" w:rsidRPr="00E70ADE">
              <w:rPr>
                <w:bCs/>
                <w:sz w:val="22"/>
                <w:szCs w:val="22"/>
              </w:rPr>
              <w:t>u.</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37AF492" w14:textId="7D36AF00" w:rsidR="00E247C4" w:rsidRPr="00E70ADE" w:rsidRDefault="00E247C4" w:rsidP="00E247C4">
            <w:pPr>
              <w:shd w:val="clear" w:color="auto" w:fill="FFFFFF"/>
              <w:spacing w:after="120"/>
              <w:jc w:val="both"/>
              <w:rPr>
                <w:sz w:val="22"/>
                <w:szCs w:val="22"/>
              </w:rPr>
            </w:pPr>
          </w:p>
        </w:tc>
        <w:tc>
          <w:tcPr>
            <w:tcW w:w="1318" w:type="dxa"/>
          </w:tcPr>
          <w:p w14:paraId="5F054F84" w14:textId="77777777" w:rsidR="00E247C4" w:rsidRPr="00E70ADE" w:rsidRDefault="00E247C4" w:rsidP="00E247C4">
            <w:pPr>
              <w:jc w:val="both"/>
              <w:rPr>
                <w:sz w:val="22"/>
                <w:szCs w:val="22"/>
              </w:rPr>
            </w:pPr>
          </w:p>
        </w:tc>
      </w:tr>
      <w:tr w:rsidR="007E45B2" w:rsidRPr="00E70ADE" w14:paraId="014BBD44"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69B52BE" w14:textId="3B7F50E9"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FC2337E" w14:textId="65F0FAC9" w:rsidR="00E247C4" w:rsidRPr="00E70ADE" w:rsidRDefault="00E247C4" w:rsidP="00E247C4">
            <w:pPr>
              <w:shd w:val="clear" w:color="auto" w:fill="FFFFFF"/>
              <w:spacing w:after="120"/>
              <w:jc w:val="both"/>
              <w:rPr>
                <w:sz w:val="22"/>
                <w:szCs w:val="22"/>
              </w:rPr>
            </w:pPr>
            <w:r w:rsidRPr="00E70ADE">
              <w:rPr>
                <w:sz w:val="22"/>
                <w:szCs w:val="22"/>
              </w:rPr>
              <w:t>Noteikumu projekta anotācija</w:t>
            </w:r>
          </w:p>
          <w:p w14:paraId="783E34E6" w14:textId="77777777" w:rsidR="00E247C4" w:rsidRPr="00E70ADE" w:rsidRDefault="00E247C4" w:rsidP="00E247C4">
            <w:pPr>
              <w:shd w:val="clear" w:color="auto" w:fill="FFFFFF"/>
              <w:spacing w:after="120"/>
              <w:jc w:val="both"/>
              <w:rPr>
                <w:sz w:val="22"/>
                <w:szCs w:val="22"/>
              </w:rPr>
            </w:pPr>
          </w:p>
          <w:p w14:paraId="05804A61"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5B2113B" w14:textId="2234A54A" w:rsidR="00E247C4" w:rsidRPr="00E70ADE" w:rsidRDefault="00E247C4" w:rsidP="00E247C4">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AA610B" w:rsidRPr="00E70ADE">
              <w:rPr>
                <w:rFonts w:eastAsia="Calibri"/>
                <w:b/>
                <w:sz w:val="22"/>
                <w:szCs w:val="22"/>
              </w:rPr>
              <w:t xml:space="preserve"> iebildums</w:t>
            </w:r>
          </w:p>
          <w:p w14:paraId="3B4BBB6E" w14:textId="4215BD5D" w:rsidR="00E247C4" w:rsidRPr="00E70ADE" w:rsidRDefault="00E247C4" w:rsidP="00E247C4">
            <w:pPr>
              <w:spacing w:after="160" w:line="252" w:lineRule="auto"/>
              <w:contextualSpacing/>
              <w:jc w:val="both"/>
              <w:rPr>
                <w:sz w:val="22"/>
                <w:szCs w:val="22"/>
                <w:highlight w:val="red"/>
              </w:rPr>
            </w:pPr>
            <w:r w:rsidRPr="00E70ADE">
              <w:rPr>
                <w:sz w:val="22"/>
                <w:szCs w:val="22"/>
              </w:rPr>
              <w:t xml:space="preserve">6.Lai nodrošinātu viennozīmīgu izpratni par noteikumu projektā, tajā skaitā tā 77. un 78. punktā lietotā jēdziena “atbalsta periods” saturu, lūdzam papildināt anotāciju ar attiecīgo skaidrojumu, ievērojot spēkā esošajā ETL 1. panta </w:t>
            </w:r>
            <w:r w:rsidRPr="00E70ADE">
              <w:rPr>
                <w:sz w:val="22"/>
                <w:szCs w:val="22"/>
              </w:rPr>
              <w:lastRenderedPageBreak/>
              <w:t>3.</w:t>
            </w:r>
            <w:r w:rsidRPr="00E70ADE">
              <w:rPr>
                <w:sz w:val="22"/>
                <w:szCs w:val="22"/>
                <w:vertAlign w:val="superscript"/>
              </w:rPr>
              <w:t>1</w:t>
            </w:r>
            <w:r w:rsidRPr="00E70ADE">
              <w:rPr>
                <w:sz w:val="22"/>
                <w:szCs w:val="22"/>
              </w:rPr>
              <w:t xml:space="preserve"> punktā jēdziena “atbalsta periods” lietojumu. </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362513C" w14:textId="02897B99" w:rsidR="00E247C4" w:rsidRPr="00E70ADE" w:rsidRDefault="00E247C4" w:rsidP="00E247C4">
            <w:pPr>
              <w:pStyle w:val="NormalWeb"/>
              <w:spacing w:before="0" w:beforeAutospacing="0"/>
              <w:jc w:val="center"/>
              <w:rPr>
                <w:b/>
                <w:sz w:val="22"/>
                <w:szCs w:val="22"/>
              </w:rPr>
            </w:pPr>
            <w:r w:rsidRPr="00E70ADE">
              <w:rPr>
                <w:b/>
                <w:sz w:val="22"/>
                <w:szCs w:val="22"/>
              </w:rPr>
              <w:lastRenderedPageBreak/>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AD34339" w14:textId="09B535CD" w:rsidR="00E247C4" w:rsidRPr="00E70ADE" w:rsidRDefault="00E247C4" w:rsidP="00E247C4">
            <w:pPr>
              <w:spacing w:before="120"/>
              <w:ind w:right="115"/>
              <w:jc w:val="both"/>
              <w:rPr>
                <w:sz w:val="22"/>
                <w:szCs w:val="22"/>
              </w:rPr>
            </w:pPr>
            <w:r w:rsidRPr="00E70ADE">
              <w:rPr>
                <w:sz w:val="22"/>
                <w:szCs w:val="22"/>
              </w:rPr>
              <w:t xml:space="preserve">Projekta </w:t>
            </w:r>
            <w:r w:rsidR="00965241" w:rsidRPr="00E70ADE">
              <w:rPr>
                <w:sz w:val="22"/>
                <w:szCs w:val="22"/>
              </w:rPr>
              <w:t xml:space="preserve">anotācijas </w:t>
            </w:r>
            <w:r w:rsidRPr="00E70ADE">
              <w:rPr>
                <w:sz w:val="22"/>
                <w:szCs w:val="22"/>
              </w:rPr>
              <w:t>I sadaļas 2. p</w:t>
            </w:r>
            <w:r w:rsidR="00E03C67" w:rsidRPr="00E70ADE">
              <w:rPr>
                <w:sz w:val="22"/>
                <w:szCs w:val="22"/>
              </w:rPr>
              <w:t>u</w:t>
            </w:r>
            <w:r w:rsidRPr="00E70ADE">
              <w:rPr>
                <w:sz w:val="22"/>
                <w:szCs w:val="22"/>
              </w:rPr>
              <w:t>nkts papildināts šādā redakcijā:</w:t>
            </w:r>
          </w:p>
          <w:p w14:paraId="375B3CD7" w14:textId="030F7600" w:rsidR="00E247C4" w:rsidRPr="00E70ADE" w:rsidRDefault="00E247C4" w:rsidP="00E247C4">
            <w:pPr>
              <w:spacing w:before="120"/>
              <w:ind w:right="115"/>
              <w:jc w:val="both"/>
              <w:rPr>
                <w:sz w:val="22"/>
                <w:szCs w:val="22"/>
              </w:rPr>
            </w:pPr>
            <w:r w:rsidRPr="00E70ADE">
              <w:rPr>
                <w:sz w:val="22"/>
                <w:szCs w:val="22"/>
              </w:rPr>
              <w:t xml:space="preserve">“Jēdziens “atbalsta periods” projektā tiek lietots atbilstoši ETL 1. panta otrajā daļā ietvertajai atbalsta perioda definīcijai: atbalsta periods - elektrostacijas dzīves ciklā ietilpstošs periods, kurā elektrostacija saņem valsts atbalstu elektroenerģijas </w:t>
            </w:r>
            <w:r w:rsidRPr="00E70ADE">
              <w:rPr>
                <w:sz w:val="22"/>
                <w:szCs w:val="22"/>
              </w:rPr>
              <w:lastRenderedPageBreak/>
              <w:t>ražošanai no atjaunojamiem energoresursiem vai koģenerācijā vai citu darbības atbalstu elektroenerģijas ražošanai.”</w:t>
            </w:r>
          </w:p>
          <w:p w14:paraId="4DD368AD" w14:textId="77777777" w:rsidR="00E247C4" w:rsidRPr="00E70ADE" w:rsidRDefault="00E247C4" w:rsidP="00E247C4">
            <w:pPr>
              <w:shd w:val="clear" w:color="auto" w:fill="FFFFFF"/>
              <w:spacing w:after="120"/>
              <w:jc w:val="both"/>
              <w:rPr>
                <w:sz w:val="22"/>
                <w:szCs w:val="22"/>
              </w:rPr>
            </w:pPr>
          </w:p>
        </w:tc>
        <w:tc>
          <w:tcPr>
            <w:tcW w:w="1318" w:type="dxa"/>
          </w:tcPr>
          <w:p w14:paraId="426394AE" w14:textId="77777777" w:rsidR="00E247C4" w:rsidRPr="00E70ADE" w:rsidRDefault="00E247C4" w:rsidP="00E247C4">
            <w:pPr>
              <w:jc w:val="both"/>
              <w:rPr>
                <w:sz w:val="22"/>
                <w:szCs w:val="22"/>
              </w:rPr>
            </w:pPr>
          </w:p>
        </w:tc>
      </w:tr>
      <w:tr w:rsidR="007E45B2" w:rsidRPr="00E70ADE" w14:paraId="53A7C214"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C5B4521" w14:textId="1E4FDBAE"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781AA1D" w14:textId="5E496226" w:rsidR="00E247C4" w:rsidRPr="00E70ADE" w:rsidRDefault="00E247C4" w:rsidP="00E247C4">
            <w:pPr>
              <w:shd w:val="clear" w:color="auto" w:fill="FFFFFF"/>
              <w:spacing w:after="120"/>
              <w:jc w:val="both"/>
              <w:rPr>
                <w:sz w:val="22"/>
                <w:szCs w:val="22"/>
              </w:rPr>
            </w:pPr>
            <w:r w:rsidRPr="00E70ADE">
              <w:rPr>
                <w:sz w:val="22"/>
                <w:szCs w:val="22"/>
              </w:rPr>
              <w:t>Noteikumu projekta anotācija</w:t>
            </w:r>
          </w:p>
          <w:p w14:paraId="74680A8D"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669B244" w14:textId="3BD42B44" w:rsidR="00E247C4" w:rsidRPr="00E70ADE" w:rsidRDefault="00E247C4" w:rsidP="00E247C4">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AA610B" w:rsidRPr="00E70ADE">
              <w:rPr>
                <w:rFonts w:eastAsia="Calibri"/>
                <w:b/>
                <w:sz w:val="22"/>
                <w:szCs w:val="22"/>
              </w:rPr>
              <w:t xml:space="preserve"> iebildums</w:t>
            </w:r>
          </w:p>
          <w:p w14:paraId="02100028" w14:textId="492C6E3C" w:rsidR="00E247C4" w:rsidRPr="00E70ADE" w:rsidRDefault="00E247C4" w:rsidP="00E247C4">
            <w:pPr>
              <w:spacing w:after="160" w:line="252" w:lineRule="auto"/>
              <w:contextualSpacing/>
              <w:jc w:val="both"/>
              <w:rPr>
                <w:sz w:val="22"/>
                <w:szCs w:val="22"/>
              </w:rPr>
            </w:pPr>
            <w:r w:rsidRPr="00E70ADE">
              <w:rPr>
                <w:sz w:val="22"/>
                <w:szCs w:val="22"/>
              </w:rPr>
              <w:t>7. Ievērojot, to, ka ETL ietvaros tiek lietots ETL 1. panta 3.</w:t>
            </w:r>
            <w:r w:rsidRPr="00E70ADE">
              <w:rPr>
                <w:sz w:val="22"/>
                <w:szCs w:val="22"/>
                <w:vertAlign w:val="superscript"/>
              </w:rPr>
              <w:t>1</w:t>
            </w:r>
            <w:r w:rsidRPr="00E70ADE">
              <w:rPr>
                <w:sz w:val="22"/>
                <w:szCs w:val="22"/>
              </w:rPr>
              <w:t xml:space="preserve"> punktā noteiktais jēdziens “atbalsta periods”, lūdzam papildināt anotāciju ar skaidrojumu, kas noteikumu projekta 81.3., 81.4.apakšpunktā un 89. punktā tiek saprasts ar “pagātnes periodu” un “nākotnes periodu”. Nepieciešamības gadījumā, lūdzam precizēt pašu noteikumu projektu.</w:t>
            </w:r>
          </w:p>
          <w:p w14:paraId="2FE8BC09" w14:textId="3AE2B6BA" w:rsidR="00E247C4" w:rsidRPr="00E70ADE" w:rsidRDefault="00E247C4" w:rsidP="00E247C4">
            <w:pPr>
              <w:spacing w:after="160" w:line="252" w:lineRule="auto"/>
              <w:contextualSpacing/>
              <w:jc w:val="both"/>
              <w:rPr>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E827D3D" w14:textId="55FF1B25" w:rsidR="00E247C4" w:rsidRPr="00E70ADE" w:rsidRDefault="00E247C4" w:rsidP="00E247C4">
            <w:pPr>
              <w:pStyle w:val="NormalWeb"/>
              <w:spacing w:before="0" w:beforeAutospacing="0"/>
              <w:jc w:val="center"/>
              <w:rPr>
                <w:b/>
                <w:sz w:val="22"/>
                <w:szCs w:val="22"/>
              </w:rPr>
            </w:pPr>
            <w:r w:rsidRPr="00E70ADE">
              <w:rPr>
                <w:b/>
                <w:sz w:val="22"/>
                <w:szCs w:val="22"/>
              </w:rPr>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6EC2851" w14:textId="66CD49B2" w:rsidR="00E247C4" w:rsidRPr="00E70ADE" w:rsidRDefault="00E247C4" w:rsidP="00E247C4">
            <w:pPr>
              <w:spacing w:before="120"/>
              <w:ind w:right="115"/>
              <w:jc w:val="both"/>
              <w:rPr>
                <w:sz w:val="22"/>
                <w:szCs w:val="22"/>
              </w:rPr>
            </w:pPr>
            <w:r w:rsidRPr="00E70ADE">
              <w:rPr>
                <w:sz w:val="22"/>
                <w:szCs w:val="22"/>
              </w:rPr>
              <w:t xml:space="preserve">Projekta </w:t>
            </w:r>
            <w:r w:rsidR="00965241" w:rsidRPr="00E70ADE">
              <w:rPr>
                <w:sz w:val="22"/>
                <w:szCs w:val="22"/>
              </w:rPr>
              <w:t xml:space="preserve">anotācijas </w:t>
            </w:r>
            <w:r w:rsidRPr="00E70ADE">
              <w:rPr>
                <w:sz w:val="22"/>
                <w:szCs w:val="22"/>
              </w:rPr>
              <w:t xml:space="preserve">I sadaļas 2. punkts </w:t>
            </w:r>
            <w:r w:rsidR="00B068CA">
              <w:rPr>
                <w:sz w:val="22"/>
                <w:szCs w:val="22"/>
              </w:rPr>
              <w:t>izteikts</w:t>
            </w:r>
            <w:r w:rsidRPr="00E70ADE">
              <w:rPr>
                <w:sz w:val="22"/>
                <w:szCs w:val="22"/>
              </w:rPr>
              <w:t xml:space="preserve"> šādā redakcijā:</w:t>
            </w:r>
          </w:p>
          <w:p w14:paraId="3F0B4A14" w14:textId="076900F7" w:rsidR="00E247C4" w:rsidRPr="00E70ADE" w:rsidRDefault="00E247C4" w:rsidP="00E247C4">
            <w:pPr>
              <w:shd w:val="clear" w:color="auto" w:fill="FFFFFF"/>
              <w:spacing w:after="120"/>
              <w:jc w:val="both"/>
              <w:rPr>
                <w:sz w:val="22"/>
                <w:szCs w:val="22"/>
              </w:rPr>
            </w:pPr>
            <w:r w:rsidRPr="00E70ADE">
              <w:rPr>
                <w:sz w:val="22"/>
                <w:szCs w:val="22"/>
              </w:rPr>
              <w:t xml:space="preserve"> “Jēdziens “atbalsta periods” projektā tiek lietots atbilstoši ETL 1. panta otrajā daļā ietvertajai atbalsta perioda definīcijai: atbalsta periods - elektrostacijas dzīves ciklā ietilpstošs periods, kurā elektrostacija saņem valsts atbalstu elektroenerģijas ražošanai no atjaunojamiem energoresursiem vai koģenerācijā vai citu darbības atbalstu elektroenerģijas ražošanai. Tādējādi projekta normās, kas nosaka IRR aprēķina regulējumu, minētais “pagātnes periods” un “nākotnes periods” ir jāuzskata kā atbalsta perioda daļa atbilstoši ETL definīcijai, atkarībā no tā, kurā brīdī šī definīcija tiek izmantota.”</w:t>
            </w:r>
          </w:p>
        </w:tc>
        <w:tc>
          <w:tcPr>
            <w:tcW w:w="1318" w:type="dxa"/>
          </w:tcPr>
          <w:p w14:paraId="2F25AE98" w14:textId="77777777" w:rsidR="00E247C4" w:rsidRPr="00E70ADE" w:rsidRDefault="00E247C4" w:rsidP="00E247C4">
            <w:pPr>
              <w:jc w:val="both"/>
              <w:rPr>
                <w:sz w:val="22"/>
                <w:szCs w:val="22"/>
              </w:rPr>
            </w:pPr>
          </w:p>
        </w:tc>
      </w:tr>
      <w:tr w:rsidR="007E45B2" w:rsidRPr="00E70ADE" w14:paraId="07F0D371"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25D6E1E" w14:textId="78AB5E4D"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5565BA1" w14:textId="77777777" w:rsidR="00E247C4" w:rsidRPr="00E70ADE" w:rsidRDefault="00E247C4" w:rsidP="00E247C4">
            <w:pPr>
              <w:shd w:val="clear" w:color="auto" w:fill="FFFFFF"/>
              <w:spacing w:after="120"/>
              <w:jc w:val="both"/>
              <w:rPr>
                <w:sz w:val="22"/>
                <w:szCs w:val="22"/>
              </w:rPr>
            </w:pPr>
            <w:r w:rsidRPr="00E70ADE">
              <w:rPr>
                <w:sz w:val="22"/>
                <w:szCs w:val="22"/>
              </w:rPr>
              <w:t>Noteikumu projekts</w:t>
            </w:r>
          </w:p>
          <w:p w14:paraId="5D05E429" w14:textId="77777777" w:rsidR="00E247C4" w:rsidRPr="00E70ADE" w:rsidRDefault="00E247C4" w:rsidP="00E247C4">
            <w:pPr>
              <w:shd w:val="clear" w:color="auto" w:fill="FFFFFF"/>
              <w:spacing w:after="120"/>
              <w:jc w:val="both"/>
              <w:rPr>
                <w:sz w:val="22"/>
                <w:szCs w:val="22"/>
              </w:rPr>
            </w:pPr>
          </w:p>
          <w:p w14:paraId="460EED55"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5B3BA0F" w14:textId="7581CD39" w:rsidR="00E247C4" w:rsidRPr="00E70ADE" w:rsidRDefault="00E247C4" w:rsidP="00E247C4">
            <w:pPr>
              <w:tabs>
                <w:tab w:val="left" w:pos="1134"/>
              </w:tabs>
              <w:spacing w:after="160" w:line="252" w:lineRule="auto"/>
              <w:contextualSpacing/>
              <w:jc w:val="center"/>
              <w:rPr>
                <w:rFonts w:eastAsia="Calibri"/>
                <w:b/>
                <w:bCs/>
                <w:sz w:val="22"/>
                <w:szCs w:val="22"/>
              </w:rPr>
            </w:pPr>
            <w:r w:rsidRPr="00E70ADE">
              <w:rPr>
                <w:rFonts w:eastAsia="Calibri"/>
                <w:b/>
                <w:bCs/>
                <w:sz w:val="22"/>
                <w:szCs w:val="22"/>
              </w:rPr>
              <w:t>Finanšu ministrija (11.08.2020.)</w:t>
            </w:r>
            <w:r w:rsidR="00052F0F" w:rsidRPr="00E70ADE">
              <w:rPr>
                <w:rFonts w:eastAsia="Calibri"/>
                <w:b/>
                <w:bCs/>
                <w:sz w:val="22"/>
                <w:szCs w:val="22"/>
              </w:rPr>
              <w:t xml:space="preserve"> iebildums</w:t>
            </w:r>
          </w:p>
          <w:p w14:paraId="1AF5A5AC" w14:textId="687B84D4" w:rsidR="00E247C4" w:rsidRPr="00E70ADE" w:rsidRDefault="00E247C4" w:rsidP="001B1765">
            <w:pPr>
              <w:spacing w:after="160" w:line="252" w:lineRule="auto"/>
              <w:contextualSpacing/>
              <w:jc w:val="both"/>
              <w:rPr>
                <w:sz w:val="22"/>
                <w:szCs w:val="22"/>
                <w:highlight w:val="red"/>
              </w:rPr>
            </w:pPr>
            <w:r w:rsidRPr="00E70ADE">
              <w:rPr>
                <w:sz w:val="22"/>
                <w:szCs w:val="22"/>
              </w:rPr>
              <w:t>8.</w:t>
            </w:r>
            <w:r w:rsidRPr="00E70ADE">
              <w:rPr>
                <w:rFonts w:eastAsia="Calibri"/>
                <w:sz w:val="22"/>
                <w:szCs w:val="22"/>
              </w:rPr>
              <w:t>Ņemot vērā, ka noteikumu projekta 96., 97. un 98. punkts dublē noteikumu projekta attiecīgi 78.1., 78.2. un 78.3. apakšpunktu, lūdzam tos pārskatīt un precizēt noteikumu projektu, svītrojot dublējošās normas.</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CE17141" w14:textId="3C4F97BC" w:rsidR="00E247C4" w:rsidRPr="00E70ADE" w:rsidRDefault="005E37ED" w:rsidP="005E37ED">
            <w:pPr>
              <w:pStyle w:val="NormalWeb"/>
              <w:spacing w:before="0" w:beforeAutospacing="0"/>
              <w:jc w:val="center"/>
              <w:rPr>
                <w:b/>
                <w:sz w:val="22"/>
                <w:szCs w:val="22"/>
              </w:rPr>
            </w:pPr>
            <w:r w:rsidRPr="00E70ADE">
              <w:rPr>
                <w:b/>
                <w:sz w:val="22"/>
                <w:szCs w:val="22"/>
              </w:rPr>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FC2A62D" w14:textId="26255BC0" w:rsidR="00E247C4" w:rsidRPr="00E70ADE" w:rsidRDefault="00E01740" w:rsidP="00E247C4">
            <w:pPr>
              <w:shd w:val="clear" w:color="auto" w:fill="FFFFFF"/>
              <w:spacing w:after="120"/>
              <w:jc w:val="both"/>
              <w:rPr>
                <w:sz w:val="22"/>
                <w:szCs w:val="22"/>
              </w:rPr>
            </w:pPr>
            <w:r w:rsidRPr="00E70ADE">
              <w:rPr>
                <w:sz w:val="22"/>
                <w:szCs w:val="22"/>
              </w:rPr>
              <w:t>Precizēts noteikumu projekts, svītrojot dublējošās normas.</w:t>
            </w:r>
          </w:p>
        </w:tc>
        <w:tc>
          <w:tcPr>
            <w:tcW w:w="1318" w:type="dxa"/>
          </w:tcPr>
          <w:p w14:paraId="796DE4D6" w14:textId="77777777" w:rsidR="00E247C4" w:rsidRPr="00E70ADE" w:rsidRDefault="00E247C4" w:rsidP="00E247C4">
            <w:pPr>
              <w:jc w:val="both"/>
              <w:rPr>
                <w:sz w:val="22"/>
                <w:szCs w:val="22"/>
              </w:rPr>
            </w:pPr>
          </w:p>
        </w:tc>
      </w:tr>
      <w:tr w:rsidR="007E45B2" w:rsidRPr="00E70ADE" w14:paraId="50F6A0D0"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7CCC148" w14:textId="614DA3BC"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51FC75E" w14:textId="5528B78A" w:rsidR="00E247C4" w:rsidRPr="00E70ADE" w:rsidRDefault="00E247C4" w:rsidP="00E247C4">
            <w:pPr>
              <w:shd w:val="clear" w:color="auto" w:fill="FFFFFF"/>
              <w:spacing w:after="120"/>
              <w:jc w:val="both"/>
              <w:rPr>
                <w:sz w:val="22"/>
                <w:szCs w:val="22"/>
              </w:rPr>
            </w:pPr>
            <w:r w:rsidRPr="00E70ADE">
              <w:rPr>
                <w:sz w:val="22"/>
                <w:szCs w:val="22"/>
              </w:rPr>
              <w:t>Noteikumu projekta anotācija</w:t>
            </w:r>
          </w:p>
          <w:p w14:paraId="7F301D50" w14:textId="77777777" w:rsidR="00E247C4" w:rsidRPr="00E70ADE" w:rsidRDefault="00E247C4" w:rsidP="00E247C4">
            <w:pPr>
              <w:shd w:val="clear" w:color="auto" w:fill="FFFFFF"/>
              <w:spacing w:after="120"/>
              <w:jc w:val="both"/>
              <w:rPr>
                <w:sz w:val="22"/>
                <w:szCs w:val="22"/>
              </w:rPr>
            </w:pPr>
          </w:p>
          <w:p w14:paraId="73E180CB"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D16D9F8" w14:textId="1CB91FCF" w:rsidR="00E247C4" w:rsidRPr="00E70ADE" w:rsidRDefault="00E247C4" w:rsidP="00E247C4">
            <w:pPr>
              <w:tabs>
                <w:tab w:val="left" w:pos="1134"/>
              </w:tabs>
              <w:spacing w:after="160" w:line="252" w:lineRule="auto"/>
              <w:contextualSpacing/>
              <w:jc w:val="center"/>
              <w:rPr>
                <w:rFonts w:eastAsia="Calibri"/>
                <w:b/>
                <w:sz w:val="22"/>
                <w:szCs w:val="22"/>
              </w:rPr>
            </w:pPr>
            <w:r w:rsidRPr="00E70ADE">
              <w:rPr>
                <w:rFonts w:eastAsia="Calibri"/>
                <w:b/>
                <w:sz w:val="22"/>
                <w:szCs w:val="22"/>
              </w:rPr>
              <w:lastRenderedPageBreak/>
              <w:t>Finanšu ministrija (11.08.2020.)</w:t>
            </w:r>
            <w:r w:rsidR="001B1765" w:rsidRPr="00E70ADE">
              <w:rPr>
                <w:rFonts w:eastAsia="Calibri"/>
                <w:b/>
                <w:sz w:val="22"/>
                <w:szCs w:val="22"/>
              </w:rPr>
              <w:t xml:space="preserve"> iebildums</w:t>
            </w:r>
          </w:p>
          <w:p w14:paraId="40FFE37C" w14:textId="73EE2839" w:rsidR="00E247C4" w:rsidRPr="00E70ADE" w:rsidRDefault="00E247C4" w:rsidP="00E247C4">
            <w:pPr>
              <w:spacing w:after="160" w:line="252" w:lineRule="auto"/>
              <w:contextualSpacing/>
              <w:jc w:val="both"/>
              <w:rPr>
                <w:rFonts w:eastAsia="Calibri"/>
                <w:sz w:val="22"/>
                <w:szCs w:val="22"/>
              </w:rPr>
            </w:pPr>
            <w:r w:rsidRPr="00E70ADE">
              <w:rPr>
                <w:sz w:val="22"/>
                <w:szCs w:val="22"/>
              </w:rPr>
              <w:lastRenderedPageBreak/>
              <w:t>9.</w:t>
            </w:r>
            <w:r w:rsidRPr="00E70ADE">
              <w:rPr>
                <w:rFonts w:eastAsia="Calibri"/>
                <w:sz w:val="22"/>
                <w:szCs w:val="22"/>
              </w:rPr>
              <w:t>Lūdzam anotācijā ietvert skaidrojumu par noteikumu projekta 81.5. apakšpunktā ietvertā gadījuma, kad elektrostacijā saražotā siltumenerģija netiek pārdota un tās vērtībā tiek aprēķināta saskaņā ar šo noteikumu 8. pielikuma 8. punktā minēto formulu, mērķi.</w:t>
            </w:r>
          </w:p>
          <w:p w14:paraId="60B4BA10" w14:textId="33C6DBEC" w:rsidR="00E247C4" w:rsidRPr="00E70ADE" w:rsidRDefault="00E247C4" w:rsidP="00E247C4">
            <w:pPr>
              <w:spacing w:after="160" w:line="252" w:lineRule="auto"/>
              <w:contextualSpacing/>
              <w:jc w:val="both"/>
              <w:rPr>
                <w:sz w:val="22"/>
                <w:szCs w:val="22"/>
              </w:rPr>
            </w:pPr>
          </w:p>
          <w:p w14:paraId="1052CFC8" w14:textId="77777777" w:rsidR="00E247C4" w:rsidRPr="00E70ADE" w:rsidRDefault="00E247C4" w:rsidP="00E247C4">
            <w:pPr>
              <w:spacing w:after="160" w:line="252" w:lineRule="auto"/>
              <w:contextualSpacing/>
              <w:jc w:val="both"/>
              <w:rPr>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3F9E892" w14:textId="04A67031" w:rsidR="00E247C4" w:rsidRPr="00E70ADE" w:rsidRDefault="00E247C4" w:rsidP="00E247C4">
            <w:pPr>
              <w:pStyle w:val="NormalWeb"/>
              <w:spacing w:before="0" w:beforeAutospacing="0"/>
              <w:jc w:val="center"/>
              <w:rPr>
                <w:b/>
                <w:sz w:val="22"/>
                <w:szCs w:val="22"/>
              </w:rPr>
            </w:pPr>
            <w:r w:rsidRPr="00E70ADE">
              <w:rPr>
                <w:b/>
                <w:sz w:val="22"/>
                <w:szCs w:val="22"/>
              </w:rPr>
              <w:lastRenderedPageBreak/>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8068727" w14:textId="27B27B55" w:rsidR="00E247C4" w:rsidRPr="00E70ADE" w:rsidRDefault="00E247C4" w:rsidP="00E247C4">
            <w:pPr>
              <w:spacing w:before="120"/>
              <w:ind w:right="115"/>
              <w:jc w:val="both"/>
              <w:rPr>
                <w:sz w:val="22"/>
                <w:szCs w:val="22"/>
              </w:rPr>
            </w:pPr>
            <w:r w:rsidRPr="00E70ADE">
              <w:rPr>
                <w:sz w:val="22"/>
                <w:szCs w:val="22"/>
              </w:rPr>
              <w:t xml:space="preserve">Projekta </w:t>
            </w:r>
            <w:r w:rsidR="00E03C67" w:rsidRPr="00E70ADE">
              <w:rPr>
                <w:sz w:val="22"/>
                <w:szCs w:val="22"/>
              </w:rPr>
              <w:t xml:space="preserve">anotācijas </w:t>
            </w:r>
            <w:r w:rsidRPr="00E70ADE">
              <w:rPr>
                <w:sz w:val="22"/>
                <w:szCs w:val="22"/>
              </w:rPr>
              <w:t>I sadaļas 2. punkts papildināts šādā redakcijā:</w:t>
            </w:r>
          </w:p>
          <w:p w14:paraId="43DA1AD6" w14:textId="7D1A19D2" w:rsidR="00E247C4" w:rsidRPr="00E70ADE" w:rsidRDefault="00E247C4" w:rsidP="00E247C4">
            <w:pPr>
              <w:spacing w:before="120"/>
              <w:ind w:right="115"/>
              <w:jc w:val="both"/>
              <w:rPr>
                <w:sz w:val="22"/>
                <w:szCs w:val="22"/>
              </w:rPr>
            </w:pPr>
            <w:r w:rsidRPr="00E70ADE">
              <w:rPr>
                <w:sz w:val="22"/>
                <w:szCs w:val="22"/>
              </w:rPr>
              <w:lastRenderedPageBreak/>
              <w:t xml:space="preserve">Projekta </w:t>
            </w:r>
            <w:r w:rsidR="00E03C67" w:rsidRPr="00E70ADE">
              <w:rPr>
                <w:sz w:val="22"/>
                <w:szCs w:val="22"/>
              </w:rPr>
              <w:t xml:space="preserve">anotācijas </w:t>
            </w:r>
            <w:r w:rsidRPr="00E70ADE">
              <w:rPr>
                <w:sz w:val="22"/>
                <w:szCs w:val="22"/>
              </w:rPr>
              <w:t>I sadaļas 2. punkts papildināts šādā redakcijā:</w:t>
            </w:r>
          </w:p>
          <w:p w14:paraId="355C1CBB" w14:textId="21445DE2" w:rsidR="00E247C4" w:rsidRPr="00E70ADE" w:rsidRDefault="00E247C4" w:rsidP="00E247C4">
            <w:pPr>
              <w:spacing w:before="120"/>
              <w:ind w:right="113"/>
              <w:jc w:val="both"/>
              <w:rPr>
                <w:sz w:val="22"/>
                <w:szCs w:val="22"/>
              </w:rPr>
            </w:pPr>
            <w:r w:rsidRPr="00E70ADE">
              <w:rPr>
                <w:sz w:val="22"/>
                <w:szCs w:val="22"/>
              </w:rPr>
              <w:t xml:space="preserve"> “Projektā saglabāta līdzšinējā regulējumā ietvertā norma, ka, ja elektrostacijā saražotā siltumenerģija netiek pārdota, tās vērtība tiek aprēķināta pēc īpašas formulas. Tā kā siltumenerģijai ir vērtība arī tad, ja to izmanto elektrostacijas pašpatēriņam, jo tad tā nav jāiepērk no cita ražotāja, šādas normas mērķis ir elektrostacijas kopējo kapitālieguldījumu iekšējās peļņas normas aprēķinā ietvert siltumenerģijas vērtību, neskatoties uz to, ka tā netiek pārdota. Līdz ar to aprēķinā tiek objektīvi atspoguļota siltumenerģijas vērtība arī tad, ja netiek veikta siltumenerģijas tirdzniecība.”</w:t>
            </w:r>
          </w:p>
        </w:tc>
        <w:tc>
          <w:tcPr>
            <w:tcW w:w="1318" w:type="dxa"/>
          </w:tcPr>
          <w:p w14:paraId="29C6F6CB" w14:textId="77777777" w:rsidR="00E247C4" w:rsidRPr="00E70ADE" w:rsidRDefault="00E247C4" w:rsidP="00E247C4">
            <w:pPr>
              <w:jc w:val="both"/>
              <w:rPr>
                <w:sz w:val="22"/>
                <w:szCs w:val="22"/>
              </w:rPr>
            </w:pPr>
          </w:p>
        </w:tc>
      </w:tr>
      <w:tr w:rsidR="007E45B2" w:rsidRPr="00E70ADE" w14:paraId="082A67B0"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FE07301" w14:textId="7A8F558F"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BF35558" w14:textId="77777777" w:rsidR="00E247C4" w:rsidRPr="00E70ADE" w:rsidRDefault="00E247C4" w:rsidP="00E247C4">
            <w:pPr>
              <w:shd w:val="clear" w:color="auto" w:fill="FFFFFF"/>
              <w:spacing w:after="120"/>
              <w:jc w:val="both"/>
              <w:rPr>
                <w:sz w:val="22"/>
                <w:szCs w:val="22"/>
              </w:rPr>
            </w:pPr>
            <w:r w:rsidRPr="00E70ADE">
              <w:rPr>
                <w:sz w:val="22"/>
                <w:szCs w:val="22"/>
              </w:rPr>
              <w:t xml:space="preserve">Noteikumu projekta anotācija, noteikumu projekts </w:t>
            </w:r>
          </w:p>
          <w:p w14:paraId="30A8B2AC" w14:textId="1E6D2363" w:rsidR="00E247C4" w:rsidRPr="00E70ADE" w:rsidRDefault="00E247C4" w:rsidP="00E247C4">
            <w:pPr>
              <w:shd w:val="clear" w:color="auto" w:fill="FFFFFF"/>
              <w:spacing w:after="120"/>
              <w:jc w:val="both"/>
              <w:rPr>
                <w:sz w:val="22"/>
                <w:szCs w:val="22"/>
              </w:rPr>
            </w:pPr>
          </w:p>
          <w:p w14:paraId="52DB4AFF" w14:textId="77777777" w:rsidR="00E247C4" w:rsidRPr="00E70ADE" w:rsidRDefault="00E247C4" w:rsidP="00E247C4">
            <w:pPr>
              <w:shd w:val="clear" w:color="auto" w:fill="FFFFFF"/>
              <w:spacing w:after="120"/>
              <w:jc w:val="both"/>
              <w:rPr>
                <w:sz w:val="22"/>
                <w:szCs w:val="22"/>
              </w:rPr>
            </w:pPr>
          </w:p>
          <w:p w14:paraId="41D902A9"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D47E80F" w14:textId="1E9E4816" w:rsidR="00E247C4" w:rsidRPr="00E70ADE" w:rsidRDefault="00E247C4" w:rsidP="00E247C4">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067AAF" w:rsidRPr="00E70ADE">
              <w:rPr>
                <w:rFonts w:eastAsia="Calibri"/>
                <w:b/>
                <w:sz w:val="22"/>
                <w:szCs w:val="22"/>
              </w:rPr>
              <w:t xml:space="preserve"> iebildums</w:t>
            </w:r>
          </w:p>
          <w:p w14:paraId="2C2D21C9" w14:textId="2AD8CDE5" w:rsidR="00E247C4" w:rsidRPr="00E70ADE" w:rsidRDefault="00E247C4" w:rsidP="00E247C4">
            <w:pPr>
              <w:spacing w:after="160" w:line="252" w:lineRule="auto"/>
              <w:contextualSpacing/>
              <w:jc w:val="both"/>
              <w:rPr>
                <w:rFonts w:eastAsia="Calibri"/>
                <w:sz w:val="22"/>
                <w:szCs w:val="22"/>
              </w:rPr>
            </w:pPr>
            <w:r w:rsidRPr="00E70ADE">
              <w:rPr>
                <w:sz w:val="22"/>
                <w:szCs w:val="22"/>
              </w:rPr>
              <w:t>10.</w:t>
            </w:r>
            <w:r w:rsidRPr="00E70ADE">
              <w:rPr>
                <w:rFonts w:eastAsia="Calibri"/>
                <w:sz w:val="22"/>
                <w:szCs w:val="22"/>
              </w:rPr>
              <w:t>Lai nodrošinātu noteikumu projekta VIII sadaļā “Nepamatoti vai nelikumīgi saņemta valsts atbalsta atgūšanas nosacījumi un metodika” lietoto jēdzienu “</w:t>
            </w:r>
            <w:r w:rsidRPr="00E70ADE">
              <w:rPr>
                <w:rFonts w:eastAsia="Calibri"/>
                <w:i/>
                <w:sz w:val="22"/>
                <w:szCs w:val="22"/>
              </w:rPr>
              <w:t>nepamatoti saņemts valsts atbalsts</w:t>
            </w:r>
            <w:r w:rsidRPr="00E70ADE">
              <w:rPr>
                <w:rFonts w:eastAsia="Calibri"/>
                <w:sz w:val="22"/>
                <w:szCs w:val="22"/>
              </w:rPr>
              <w:t>” un “</w:t>
            </w:r>
            <w:r w:rsidRPr="00E70ADE">
              <w:rPr>
                <w:rFonts w:eastAsia="Calibri"/>
                <w:i/>
                <w:sz w:val="22"/>
                <w:szCs w:val="22"/>
              </w:rPr>
              <w:t>nelikumīgi saņemts valsts atbalsts</w:t>
            </w:r>
            <w:r w:rsidRPr="00E70ADE">
              <w:rPr>
                <w:rFonts w:eastAsia="Calibri"/>
                <w:sz w:val="22"/>
                <w:szCs w:val="22"/>
              </w:rPr>
              <w:t xml:space="preserve">” viennozīmīgu un korektu izpratni, kā arī lai būtu skaidra procesuālā kārtība nepamatotai un nelikumīgai valsts atbalsta atgūšanai pēc noteikumu projekta 106. punktā minētā gadījuma iestāšanās, lūdzam papildināt anotāciju ar attiecīgu skaidrojumu (skat., piemēram, </w:t>
            </w:r>
            <w:r w:rsidRPr="00E70ADE">
              <w:rPr>
                <w:rFonts w:eastAsia="Calibri"/>
                <w:i/>
                <w:sz w:val="22"/>
                <w:szCs w:val="22"/>
              </w:rPr>
              <w:t xml:space="preserve">Ministru kabineta 2020. gada 12. maija noteikumu Nr. 290 “Grozījumi Ministru kabineta </w:t>
            </w:r>
            <w:r w:rsidRPr="00E70ADE">
              <w:rPr>
                <w:rFonts w:eastAsia="Calibri"/>
                <w:i/>
                <w:sz w:val="22"/>
                <w:szCs w:val="22"/>
              </w:rPr>
              <w:lastRenderedPageBreak/>
              <w:t>2009. gada 10. marta noteikumos Nr. 221 "Noteikumi par elektroenerģijas ražošanu un cenu noteikšanu, ražojot elektroenerģiju koģenerācijā"”</w:t>
            </w:r>
            <w:r w:rsidRPr="00E70ADE">
              <w:rPr>
                <w:rFonts w:eastAsia="Calibri"/>
                <w:sz w:val="22"/>
                <w:szCs w:val="22"/>
              </w:rPr>
              <w:t xml:space="preserve"> anotācijā ietverto skaidrojumu).</w:t>
            </w:r>
          </w:p>
          <w:p w14:paraId="77CAF3C7" w14:textId="5A75E5E6" w:rsidR="00E247C4" w:rsidRPr="00E70ADE" w:rsidRDefault="00E247C4" w:rsidP="00E247C4">
            <w:pPr>
              <w:spacing w:after="160" w:line="252" w:lineRule="auto"/>
              <w:contextualSpacing/>
              <w:jc w:val="both"/>
              <w:rPr>
                <w:sz w:val="22"/>
                <w:szCs w:val="22"/>
                <w:highlight w:val="red"/>
              </w:rPr>
            </w:pPr>
          </w:p>
          <w:p w14:paraId="3FF71201" w14:textId="77777777" w:rsidR="00E247C4" w:rsidRPr="00E70ADE" w:rsidRDefault="00E247C4" w:rsidP="00E247C4">
            <w:pPr>
              <w:spacing w:after="160" w:line="252" w:lineRule="auto"/>
              <w:contextualSpacing/>
              <w:jc w:val="both"/>
              <w:rPr>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47A7BD2" w14:textId="6F7B10AF" w:rsidR="00E247C4" w:rsidRPr="00E70ADE" w:rsidRDefault="00E247C4" w:rsidP="00E247C4">
            <w:pPr>
              <w:pStyle w:val="NormalWeb"/>
              <w:spacing w:before="0" w:beforeAutospacing="0"/>
              <w:jc w:val="center"/>
              <w:rPr>
                <w:b/>
                <w:sz w:val="22"/>
                <w:szCs w:val="22"/>
              </w:rPr>
            </w:pPr>
            <w:r w:rsidRPr="00E70ADE">
              <w:rPr>
                <w:b/>
                <w:sz w:val="22"/>
                <w:szCs w:val="22"/>
              </w:rPr>
              <w:lastRenderedPageBreak/>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A553912" w14:textId="77777777" w:rsidR="00E03C67" w:rsidRPr="00E70ADE" w:rsidRDefault="00E03C67" w:rsidP="00E247C4">
            <w:pPr>
              <w:spacing w:before="120"/>
              <w:ind w:right="113"/>
              <w:jc w:val="both"/>
              <w:rPr>
                <w:sz w:val="22"/>
                <w:szCs w:val="22"/>
              </w:rPr>
            </w:pPr>
            <w:r w:rsidRPr="00E70ADE">
              <w:rPr>
                <w:sz w:val="22"/>
                <w:szCs w:val="22"/>
              </w:rPr>
              <w:t xml:space="preserve">Projekta anotācija: </w:t>
            </w:r>
          </w:p>
          <w:p w14:paraId="270D00A3" w14:textId="792CE4DF" w:rsidR="00E247C4" w:rsidRPr="00E70ADE" w:rsidRDefault="00E247C4" w:rsidP="00E247C4">
            <w:pPr>
              <w:spacing w:before="120"/>
              <w:ind w:right="113"/>
              <w:jc w:val="both"/>
              <w:rPr>
                <w:sz w:val="22"/>
                <w:szCs w:val="22"/>
              </w:rPr>
            </w:pPr>
            <w:r w:rsidRPr="00E70ADE">
              <w:rPr>
                <w:sz w:val="22"/>
                <w:szCs w:val="22"/>
              </w:rPr>
              <w:t xml:space="preserve">“Projekts paredz pārkāpumus, par kuriem BVKB pieņem lēmumu, ar kuru tiek atceltas komersantam piešķirtās tiesības pārdot koģenerācijā saražoto elektroenerģiju obligātā iepirkuma ietvaros vai saņemt maksu par koģenerācijas elektrostacijā uzstādīto elektrisko jaudu (nepamatoti saņemts atbalsts) un noteiktos gadījumos uzliek par pienākumu komersantam atmaksāt publiskajam tirgotājam daļu no saņemtā valsts atbalsta – apmēru, ko tas saņēmis nepamatoti, jo nav nenovērsis iepriekš izteiktu brīdinājumu, kas vienlaikus ir bijis par pamatu minēto tiesību </w:t>
            </w:r>
            <w:r w:rsidRPr="00E70ADE">
              <w:rPr>
                <w:sz w:val="22"/>
                <w:szCs w:val="22"/>
              </w:rPr>
              <w:lastRenderedPageBreak/>
              <w:t>atcelšanai. Projektā ir saglabāta līdzšinējā regulējumā paredzētā kārtība, kādā tiek atgūts nepamatoti vai nelikumīgi saņemts valsts atbalsts.</w:t>
            </w:r>
          </w:p>
          <w:p w14:paraId="38DE3645" w14:textId="77777777" w:rsidR="00E247C4" w:rsidRPr="00E70ADE" w:rsidRDefault="00E247C4" w:rsidP="00E247C4">
            <w:pPr>
              <w:spacing w:before="120"/>
              <w:ind w:right="113"/>
              <w:jc w:val="both"/>
              <w:rPr>
                <w:sz w:val="22"/>
                <w:szCs w:val="22"/>
              </w:rPr>
            </w:pPr>
            <w:r w:rsidRPr="00E70ADE">
              <w:rPr>
                <w:sz w:val="22"/>
                <w:szCs w:val="22"/>
              </w:rPr>
              <w:t>Šajā kontekstā tiek ņemts vērā spēkā esošais Eiropas Savienības un arī nacionālo tiesību ietvars.</w:t>
            </w:r>
          </w:p>
          <w:p w14:paraId="3FD4D2BA" w14:textId="77777777" w:rsidR="00E247C4" w:rsidRPr="00E70ADE" w:rsidRDefault="00E247C4" w:rsidP="00E247C4">
            <w:pPr>
              <w:spacing w:before="120"/>
              <w:jc w:val="both"/>
              <w:rPr>
                <w:sz w:val="22"/>
                <w:szCs w:val="22"/>
              </w:rPr>
            </w:pPr>
            <w:r w:rsidRPr="00E70ADE">
              <w:rPr>
                <w:sz w:val="22"/>
                <w:szCs w:val="22"/>
              </w:rPr>
              <w:t xml:space="preserve">Padomes </w:t>
            </w:r>
            <w:r w:rsidRPr="00E70ADE">
              <w:rPr>
                <w:sz w:val="22"/>
                <w:szCs w:val="22"/>
                <w:shd w:val="clear" w:color="auto" w:fill="FFFFFF"/>
              </w:rPr>
              <w:t>2015. gada 13. jūlija R</w:t>
            </w:r>
            <w:r w:rsidRPr="00E70ADE">
              <w:rPr>
                <w:sz w:val="22"/>
                <w:szCs w:val="22"/>
              </w:rPr>
              <w:t>egulas </w:t>
            </w:r>
            <w:hyperlink r:id="rId25" w:tgtFrame="_blank" w:history="1">
              <w:r w:rsidRPr="00E70ADE">
                <w:rPr>
                  <w:sz w:val="22"/>
                  <w:szCs w:val="22"/>
                </w:rPr>
                <w:t>2015/1589</w:t>
              </w:r>
            </w:hyperlink>
            <w:r w:rsidRPr="00E70ADE">
              <w:rPr>
                <w:sz w:val="22"/>
                <w:szCs w:val="22"/>
              </w:rPr>
              <w:t>,</w:t>
            </w:r>
            <w:r w:rsidRPr="00E70ADE">
              <w:rPr>
                <w:sz w:val="22"/>
                <w:szCs w:val="22"/>
                <w:shd w:val="clear" w:color="auto" w:fill="FFFFFF"/>
              </w:rPr>
              <w:t xml:space="preserve"> ar ko nosaka sīki izstrādātus noteikumus Līguma par Eiropas Savienības darbību (turpmāk – LESD) 108. panta piemērošana (turpmāk – Regula </w:t>
            </w:r>
            <w:hyperlink r:id="rId26" w:tgtFrame="_blank" w:history="1">
              <w:r w:rsidRPr="00E70ADE">
                <w:rPr>
                  <w:sz w:val="22"/>
                  <w:szCs w:val="22"/>
                </w:rPr>
                <w:t>2015/1589</w:t>
              </w:r>
            </w:hyperlink>
            <w:r w:rsidRPr="00E70ADE">
              <w:rPr>
                <w:sz w:val="22"/>
                <w:szCs w:val="22"/>
                <w:shd w:val="clear" w:color="auto" w:fill="FFFFFF"/>
              </w:rPr>
              <w:t>)</w:t>
            </w:r>
            <w:r w:rsidRPr="00E70ADE">
              <w:rPr>
                <w:sz w:val="22"/>
                <w:szCs w:val="22"/>
              </w:rPr>
              <w:t xml:space="preserve"> (Oficiālais Vēstnesis L 248, </w:t>
            </w:r>
            <w:r w:rsidRPr="00E70ADE">
              <w:rPr>
                <w:rStyle w:val="Emphasis"/>
                <w:sz w:val="22"/>
                <w:szCs w:val="22"/>
                <w:shd w:val="clear" w:color="auto" w:fill="FFFFFF"/>
              </w:rPr>
              <w:t>24.09.2015</w:t>
            </w:r>
            <w:r w:rsidRPr="00E70ADE">
              <w:rPr>
                <w:sz w:val="22"/>
                <w:szCs w:val="22"/>
              </w:rPr>
              <w:t>., lpp. 9-29) 1. panta f) punkts nosaka, ka “nelikumīgs atbalsts” ir jauns atbalsts, kas ieviests, pārkāpjot Eiropas Komisijas (turpmāk – EK) līguma 93. panta (konsolidētā EK līguma 88. pants) 3. punktu, proti, dalībvalsts nesāk īstenot pasākumu pirms EK pieņēmusi lēmumu par pasākuma saderību ar kopējo tirgu.</w:t>
            </w:r>
          </w:p>
          <w:p w14:paraId="62A5055B" w14:textId="77777777" w:rsidR="00E247C4" w:rsidRPr="00E70ADE" w:rsidRDefault="00E247C4" w:rsidP="00E247C4">
            <w:pPr>
              <w:spacing w:before="120"/>
              <w:jc w:val="both"/>
              <w:rPr>
                <w:sz w:val="22"/>
                <w:szCs w:val="22"/>
              </w:rPr>
            </w:pPr>
            <w:r w:rsidRPr="00E70ADE">
              <w:rPr>
                <w:sz w:val="22"/>
                <w:szCs w:val="22"/>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valsts (komercdarbības) atbalsta atmaksu, kas komercsabiedrībai piešķirts, neievērojot </w:t>
            </w:r>
            <w:r w:rsidRPr="00E70ADE">
              <w:rPr>
                <w:sz w:val="22"/>
                <w:szCs w:val="22"/>
                <w:shd w:val="clear" w:color="auto" w:fill="FFFFFF"/>
              </w:rPr>
              <w:t>LESD</w:t>
            </w:r>
            <w:r w:rsidRPr="00E70ADE" w:rsidDel="00324F36">
              <w:rPr>
                <w:sz w:val="22"/>
                <w:szCs w:val="22"/>
              </w:rPr>
              <w:t xml:space="preserve"> </w:t>
            </w:r>
            <w:r w:rsidRPr="00E70ADE">
              <w:rPr>
                <w:sz w:val="22"/>
                <w:szCs w:val="22"/>
              </w:rPr>
              <w:t xml:space="preserve">108. panta 3. punktu. Tādējādi, saskaņā ar nacionālajām tiesību normām tiesisks pamats valsts atbalsta izmaksātājam atprasīt valsts </w:t>
            </w:r>
            <w:r w:rsidRPr="00E70ADE">
              <w:rPr>
                <w:sz w:val="22"/>
                <w:szCs w:val="22"/>
              </w:rPr>
              <w:lastRenderedPageBreak/>
              <w:t>atbalstu ir tieši EK lēmums par atbalsta atmaksu.</w:t>
            </w:r>
          </w:p>
          <w:p w14:paraId="6FCB6174" w14:textId="77777777" w:rsidR="00E247C4" w:rsidRPr="00E70ADE" w:rsidRDefault="00E247C4" w:rsidP="00E247C4">
            <w:pPr>
              <w:spacing w:before="120"/>
              <w:jc w:val="both"/>
              <w:rPr>
                <w:sz w:val="22"/>
                <w:szCs w:val="22"/>
              </w:rPr>
            </w:pPr>
            <w:r w:rsidRPr="00E70ADE">
              <w:rPr>
                <w:sz w:val="22"/>
                <w:szCs w:val="22"/>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valsts (komercdarbības) atbalsta atmaksu, kas komercsabiedrībai piešķirts, neievērojot </w:t>
            </w:r>
            <w:r w:rsidRPr="00E70ADE">
              <w:rPr>
                <w:sz w:val="22"/>
                <w:szCs w:val="22"/>
                <w:shd w:val="clear" w:color="auto" w:fill="FFFFFF"/>
              </w:rPr>
              <w:t>LESD</w:t>
            </w:r>
            <w:r w:rsidRPr="00E70ADE" w:rsidDel="00324F36">
              <w:rPr>
                <w:sz w:val="22"/>
                <w:szCs w:val="22"/>
              </w:rPr>
              <w:t xml:space="preserve"> </w:t>
            </w:r>
            <w:r w:rsidRPr="00E70ADE">
              <w:rPr>
                <w:sz w:val="22"/>
                <w:szCs w:val="22"/>
              </w:rPr>
              <w:t>108. panta 3. punktu. Tādējādi, saskaņā ar nacionālajām tiesību normām tiesisks pamats valsts atbalsta izmaksātājam atprasīt valsts atbalstu ir tieši EK lēmums par atbalsta atmaksu.</w:t>
            </w:r>
          </w:p>
          <w:p w14:paraId="68668078" w14:textId="77777777" w:rsidR="00E247C4" w:rsidRPr="00E70ADE" w:rsidRDefault="00E247C4" w:rsidP="00E247C4">
            <w:pPr>
              <w:jc w:val="both"/>
              <w:rPr>
                <w:sz w:val="22"/>
                <w:szCs w:val="22"/>
                <w:shd w:val="clear" w:color="auto" w:fill="FFFFFF"/>
              </w:rPr>
            </w:pPr>
            <w:r w:rsidRPr="00E70ADE">
              <w:rPr>
                <w:sz w:val="22"/>
                <w:szCs w:val="22"/>
              </w:rPr>
              <w:t xml:space="preserve">Vienlaikus jāņem vērā, ka saskaņā ar KAKL 4. pantā noteikto valsts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w:t>
            </w:r>
            <w:r w:rsidRPr="00E70ADE">
              <w:rPr>
                <w:sz w:val="22"/>
                <w:szCs w:val="22"/>
              </w:rPr>
              <w:lastRenderedPageBreak/>
              <w:t xml:space="preserve">KAKL 4. panta. Savukārt KAKL 4. pants nosaka valsts atbalsta tiesisko ietvaru, </w:t>
            </w:r>
            <w:bookmarkStart w:id="9" w:name="_Hlk36554637"/>
            <w:r w:rsidRPr="00E70ADE">
              <w:rPr>
                <w:sz w:val="22"/>
                <w:szCs w:val="22"/>
              </w:rPr>
              <w:t>kas ietver sevī arī ES aktus un judikatūru.</w:t>
            </w:r>
            <w:bookmarkEnd w:id="9"/>
            <w:r w:rsidRPr="00E70ADE">
              <w:rPr>
                <w:sz w:val="22"/>
                <w:szCs w:val="22"/>
              </w:rPr>
              <w:t xml:space="preserve"> Atbilstoši Regulas </w:t>
            </w:r>
            <w:hyperlink r:id="rId27" w:tgtFrame="_blank" w:history="1">
              <w:r w:rsidRPr="00E70ADE">
                <w:rPr>
                  <w:sz w:val="22"/>
                  <w:szCs w:val="22"/>
                </w:rPr>
                <w:t>2015/1589</w:t>
              </w:r>
            </w:hyperlink>
            <w:r w:rsidRPr="00E70ADE">
              <w:rPr>
                <w:sz w:val="22"/>
                <w:szCs w:val="22"/>
              </w:rPr>
              <w:t xml:space="preserve"> 17. panta 1. punktam uz tiesībām atgūt valsts atbalstu attiecas desmit gadu noilguma termiņš. Noilguma periodu sāk skaitīt dienā, kad nelikumīgais valsts atbalsts tiek piešķirts komersantam kā kompensācija elektroenerģijas obligātā iepirkuma ietvaros. Aprēķinot noilguma termiņu, valsts atbalsts jāuzskata par piešķirtu komersantam datumā, kurā tas ir faktiski izmaksāts minētajam saņēmējam (EK 2011. gada 8. decembra Tiesas spriedums Lieta C</w:t>
            </w:r>
            <w:r w:rsidRPr="00E70ADE">
              <w:rPr>
                <w:sz w:val="22"/>
                <w:szCs w:val="22"/>
              </w:rPr>
              <w:noBreakHyphen/>
              <w:t xml:space="preserve">81/10 P </w:t>
            </w:r>
            <w:proofErr w:type="spellStart"/>
            <w:r w:rsidRPr="00E70ADE">
              <w:rPr>
                <w:sz w:val="22"/>
                <w:szCs w:val="22"/>
              </w:rPr>
              <w:t>France</w:t>
            </w:r>
            <w:proofErr w:type="spellEnd"/>
            <w:r w:rsidRPr="00E70ADE">
              <w:rPr>
                <w:sz w:val="22"/>
                <w:szCs w:val="22"/>
              </w:rPr>
              <w:t xml:space="preserve"> </w:t>
            </w:r>
            <w:proofErr w:type="spellStart"/>
            <w:r w:rsidRPr="00E70ADE">
              <w:rPr>
                <w:sz w:val="22"/>
                <w:szCs w:val="22"/>
              </w:rPr>
              <w:t>Télécom</w:t>
            </w:r>
            <w:proofErr w:type="spellEnd"/>
            <w:r w:rsidRPr="00E70ADE">
              <w:rPr>
                <w:sz w:val="22"/>
                <w:szCs w:val="22"/>
              </w:rPr>
              <w:t> SA pret EK, 80.-89. punkts). Noilguma termiņu pārtrauc kompetento iestāžu lēmumi, kas attiecas uz pārkāpumu izmeklēšanu vai iztiesāšanu un kuri konkrētajām personām darīti zināmi. Noilguma termiņš pēc katra pārtraukuma atsākas no jauna</w:t>
            </w:r>
            <w:r w:rsidRPr="00E70ADE">
              <w:rPr>
                <w:sz w:val="22"/>
                <w:szCs w:val="22"/>
                <w:shd w:val="clear" w:color="auto" w:fill="FFFFFF"/>
              </w:rPr>
              <w:t>.</w:t>
            </w:r>
          </w:p>
          <w:p w14:paraId="3F5B7A00" w14:textId="77777777" w:rsidR="00E247C4" w:rsidRPr="00E70ADE" w:rsidRDefault="00E247C4" w:rsidP="00E247C4">
            <w:pPr>
              <w:jc w:val="both"/>
              <w:rPr>
                <w:sz w:val="22"/>
                <w:szCs w:val="22"/>
                <w:shd w:val="clear" w:color="auto" w:fill="FFFFFF"/>
              </w:rPr>
            </w:pPr>
          </w:p>
          <w:p w14:paraId="336415E3" w14:textId="77777777" w:rsidR="00E247C4" w:rsidRPr="00E70ADE" w:rsidRDefault="00E247C4" w:rsidP="00E247C4">
            <w:pPr>
              <w:jc w:val="both"/>
              <w:rPr>
                <w:sz w:val="22"/>
                <w:szCs w:val="22"/>
              </w:rPr>
            </w:pPr>
            <w:r w:rsidRPr="00E70ADE">
              <w:rPr>
                <w:sz w:val="22"/>
                <w:szCs w:val="22"/>
              </w:rPr>
              <w:t>Vēsturiskais atbalsts nav uzskatāms par komercdarbības atbalstu ES likumdošanas nozīmē, tādējādi uz to neattiecas nelikumīga komercdarbības atbalsta regulējums, kā arī tā atgūšanas nosacījumi. Turklāt vēsturiskais atbalsts ir piešķirts un izmaksāts atbilstoši normatīvajiem aktiem, kas šobrīd vairs nav spēkā, tostarp attiecībā uz atbalsta piešķiršanas nosacījumiem, tādējādi nav iespējams konstatēt atbalsta piešķiršanas pārkāpumus.</w:t>
            </w:r>
          </w:p>
          <w:p w14:paraId="21A86EAC" w14:textId="77777777" w:rsidR="00E247C4" w:rsidRPr="00E70ADE" w:rsidRDefault="00E247C4" w:rsidP="00E247C4">
            <w:pPr>
              <w:spacing w:before="120"/>
              <w:jc w:val="both"/>
              <w:rPr>
                <w:sz w:val="22"/>
                <w:szCs w:val="22"/>
              </w:rPr>
            </w:pPr>
            <w:r w:rsidRPr="00E70ADE">
              <w:rPr>
                <w:sz w:val="22"/>
                <w:szCs w:val="22"/>
              </w:rPr>
              <w:lastRenderedPageBreak/>
              <w:t>Projektā ir saglabāts līdzšinējais regulējums kārtībai, kādā atgūst nepamatoti vai nelikumīgi saņemtu valsts atbalstu, t.sk. attiecībā uz nelikumīgi saņemtu valsts atbalstu, ņemot vērā aktuālāko Eiropas Savienības tiesas judikatūru (sk. Eiropas Savienības Tiesas 2019. gada 5. marta spriedumu lietā Nr. C-349/17 (ECLI:EU:C:2019:172)), kas skar jautājumus par valsts atbalsta atgūšanu. Projekta ietvaros komersanta nepamatoti vai nelikumīgi saņemtā valsts atbalsta atgūšanu Administratīvā procesa likumā noteiktajā kārtībā veic BVKB.</w:t>
            </w:r>
          </w:p>
          <w:p w14:paraId="69ECD764" w14:textId="51EC303F" w:rsidR="00E247C4" w:rsidRPr="00E70ADE" w:rsidRDefault="00E247C4" w:rsidP="00E247C4">
            <w:pPr>
              <w:spacing w:before="120"/>
              <w:jc w:val="both"/>
              <w:rPr>
                <w:sz w:val="22"/>
                <w:szCs w:val="22"/>
              </w:rPr>
            </w:pPr>
            <w:r w:rsidRPr="00E70ADE">
              <w:rPr>
                <w:sz w:val="22"/>
                <w:szCs w:val="22"/>
              </w:rPr>
              <w:t xml:space="preserve">Projekts paredz noteiktus gadījumus, kad BVKB nekavējoties pieņem lēmumu par  pienākumu mēneša laikā atmaksāt publiskajam tirgotājam saņemto nelikumīgo valsts atbalstu. Ja BVKB konstatē, ka komersants pārkāpis ETL un projektā minētos valsts atbalsta </w:t>
            </w:r>
            <w:bookmarkStart w:id="10" w:name="_GoBack"/>
            <w:r w:rsidRPr="00E70ADE">
              <w:rPr>
                <w:sz w:val="22"/>
                <w:szCs w:val="22"/>
              </w:rPr>
              <w:t>nosacījumus</w:t>
            </w:r>
            <w:bookmarkEnd w:id="10"/>
            <w:r w:rsidRPr="00E70ADE">
              <w:rPr>
                <w:sz w:val="22"/>
                <w:szCs w:val="22"/>
              </w:rPr>
              <w:t xml:space="preserve"> un saņemtais atbalsts uzskatāms par nelikumīgu valsts atbalstu, BVKB mēneša laikā no fakta konstatēšanas pieņem lēmumu, ar kuru atceļ komersantam piešķirtās obligātā iepirkuma tiesības un komersantam nosaka pienākumu mēneša laikā atmaksāt publiskajam tirgotājam šo noteikumu ietvaros saņemto nelikumīgo valsts atbalstu kopā ar procentiem. Lai nodrošinātu, ka līdz minētā lēmuma spēkā stāšanās brīdim komersants neturpina saņemt valsts </w:t>
            </w:r>
            <w:r w:rsidRPr="00E70ADE">
              <w:rPr>
                <w:sz w:val="22"/>
                <w:szCs w:val="22"/>
              </w:rPr>
              <w:lastRenderedPageBreak/>
              <w:t>atbalstu, publiskais tirgotājs pārtrauc elektroenerģijas obligāto iepirkumu. Šādā gadījumā obligātais iepirkums vairs nevar tikt atsākts.”</w:t>
            </w:r>
          </w:p>
        </w:tc>
        <w:tc>
          <w:tcPr>
            <w:tcW w:w="1318" w:type="dxa"/>
          </w:tcPr>
          <w:p w14:paraId="3E1008B2" w14:textId="77777777" w:rsidR="00E247C4" w:rsidRPr="00E70ADE" w:rsidRDefault="00E247C4" w:rsidP="00E247C4">
            <w:pPr>
              <w:jc w:val="both"/>
              <w:rPr>
                <w:sz w:val="22"/>
                <w:szCs w:val="22"/>
              </w:rPr>
            </w:pPr>
          </w:p>
        </w:tc>
      </w:tr>
      <w:tr w:rsidR="007E45B2" w:rsidRPr="00E70ADE" w14:paraId="0A2C711A"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988A9AC" w14:textId="67D24F39"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519C5C" w14:textId="77777777" w:rsidR="00E247C4" w:rsidRPr="00E70ADE" w:rsidRDefault="00E247C4" w:rsidP="00E247C4">
            <w:pPr>
              <w:shd w:val="clear" w:color="auto" w:fill="FFFFFF"/>
              <w:spacing w:after="120"/>
              <w:jc w:val="both"/>
              <w:rPr>
                <w:sz w:val="22"/>
                <w:szCs w:val="22"/>
              </w:rPr>
            </w:pPr>
            <w:r w:rsidRPr="00E70ADE">
              <w:rPr>
                <w:sz w:val="22"/>
                <w:szCs w:val="22"/>
              </w:rPr>
              <w:t xml:space="preserve">Noteikumu projekta anotācija, noteikumu projekts </w:t>
            </w:r>
          </w:p>
          <w:p w14:paraId="666554C9"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87294FC" w14:textId="6C13BEDA" w:rsidR="00E247C4" w:rsidRPr="00E70ADE" w:rsidRDefault="00E247C4" w:rsidP="00E247C4">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067AAF" w:rsidRPr="00E70ADE">
              <w:rPr>
                <w:rFonts w:eastAsia="Calibri"/>
                <w:b/>
                <w:sz w:val="22"/>
                <w:szCs w:val="22"/>
              </w:rPr>
              <w:t xml:space="preserve"> iebildums</w:t>
            </w:r>
          </w:p>
          <w:p w14:paraId="1671FA18" w14:textId="439D1E30" w:rsidR="00E247C4" w:rsidRPr="00E70ADE" w:rsidRDefault="00E247C4" w:rsidP="00E247C4">
            <w:pPr>
              <w:spacing w:after="160" w:line="252" w:lineRule="auto"/>
              <w:contextualSpacing/>
              <w:jc w:val="both"/>
              <w:rPr>
                <w:sz w:val="22"/>
                <w:szCs w:val="22"/>
              </w:rPr>
            </w:pPr>
            <w:r w:rsidRPr="00E70ADE">
              <w:rPr>
                <w:sz w:val="22"/>
                <w:szCs w:val="22"/>
              </w:rPr>
              <w:t>11.Ņemot vērā ETL 1. panta 3.</w:t>
            </w:r>
            <w:r w:rsidRPr="00E70ADE">
              <w:rPr>
                <w:sz w:val="22"/>
                <w:szCs w:val="22"/>
                <w:vertAlign w:val="superscript"/>
              </w:rPr>
              <w:t>1</w:t>
            </w:r>
            <w:r w:rsidRPr="00E70ADE">
              <w:rPr>
                <w:sz w:val="22"/>
                <w:szCs w:val="22"/>
              </w:rPr>
              <w:t xml:space="preserve"> punktā un 30.</w:t>
            </w:r>
            <w:r w:rsidRPr="00E70ADE">
              <w:rPr>
                <w:sz w:val="22"/>
                <w:szCs w:val="22"/>
                <w:vertAlign w:val="superscript"/>
              </w:rPr>
              <w:t>4</w:t>
            </w:r>
            <w:r w:rsidRPr="00E70ADE">
              <w:rPr>
                <w:sz w:val="22"/>
                <w:szCs w:val="22"/>
              </w:rPr>
              <w:t xml:space="preserve"> pantā ietvertos nosacījumus par kopējo atbalsta periodu, attiecībā uz noteikumu projekta 104. punktu lūdzam papildināt anotāciju ar skaidrojumu, ka ir jāatgūst visu nelikumīgo valsts atbalstu, kas ir saņemts kopējā atbalsta periodā, t.sk. ietverot vēsturisko atbalstu. Gadījumā, ja Ekonomikas ministrija plāno nelikumīga atbalsta atgūšanas gadījumā piemērot citādu pieeju, aicinām iespējami ātri sagatavot un iesniegt jautājumus Eiropas Komisijai.</w:t>
            </w:r>
          </w:p>
          <w:p w14:paraId="7D9BDD58" w14:textId="10903CB1" w:rsidR="007E45B2" w:rsidRPr="00E70ADE" w:rsidRDefault="007E45B2" w:rsidP="00E247C4">
            <w:pPr>
              <w:spacing w:after="160" w:line="252" w:lineRule="auto"/>
              <w:contextualSpacing/>
              <w:jc w:val="both"/>
              <w:rPr>
                <w:sz w:val="22"/>
                <w:szCs w:val="22"/>
              </w:rPr>
            </w:pPr>
          </w:p>
          <w:p w14:paraId="08750734" w14:textId="5F81132C" w:rsidR="007E45B2" w:rsidRPr="00E70ADE" w:rsidRDefault="007E45B2" w:rsidP="007E45B2">
            <w:pPr>
              <w:spacing w:after="160" w:line="252" w:lineRule="auto"/>
              <w:contextualSpacing/>
              <w:jc w:val="center"/>
              <w:rPr>
                <w:sz w:val="22"/>
                <w:szCs w:val="22"/>
              </w:rPr>
            </w:pPr>
            <w:r w:rsidRPr="00E70ADE">
              <w:rPr>
                <w:rFonts w:eastAsia="Calibri"/>
                <w:b/>
                <w:sz w:val="22"/>
                <w:szCs w:val="22"/>
              </w:rPr>
              <w:t>Finanšu ministrija (27.08.2020.)</w:t>
            </w:r>
          </w:p>
          <w:p w14:paraId="0C40120F" w14:textId="77777777" w:rsidR="007E45B2" w:rsidRPr="00E70ADE" w:rsidRDefault="007E45B2" w:rsidP="007E45B2">
            <w:pPr>
              <w:jc w:val="both"/>
              <w:rPr>
                <w:sz w:val="22"/>
                <w:szCs w:val="22"/>
              </w:rPr>
            </w:pPr>
            <w:r w:rsidRPr="00E70ADE">
              <w:rPr>
                <w:sz w:val="22"/>
                <w:szCs w:val="22"/>
              </w:rPr>
              <w:t>Uzturam Finanšu ministrijas iepriekš izteikto iebildumu attiecībā uz nelikumīga atbalsta atgūšanas nosacījumiem. Proti, ETL 1.panta 3.</w:t>
            </w:r>
            <w:r w:rsidRPr="00E70ADE">
              <w:rPr>
                <w:sz w:val="22"/>
                <w:szCs w:val="22"/>
                <w:vertAlign w:val="superscript"/>
              </w:rPr>
              <w:t>1</w:t>
            </w:r>
            <w:r w:rsidRPr="00E70ADE">
              <w:rPr>
                <w:sz w:val="22"/>
                <w:szCs w:val="22"/>
              </w:rPr>
              <w:t xml:space="preserve"> punktā un 30.</w:t>
            </w:r>
            <w:r w:rsidRPr="00E70ADE">
              <w:rPr>
                <w:sz w:val="22"/>
                <w:szCs w:val="22"/>
                <w:vertAlign w:val="superscript"/>
              </w:rPr>
              <w:t>4</w:t>
            </w:r>
            <w:r w:rsidRPr="00E70ADE">
              <w:rPr>
                <w:sz w:val="22"/>
                <w:szCs w:val="22"/>
              </w:rPr>
              <w:t xml:space="preserve"> pantā ir ietverti nosacījumi par kopējo atbalsta periodu, kas tiks ņemts vērā veicot IRR aprēķinu/pārrēķinu. Attiecīgi, gadījumā, ja veicot IRR pārrēķinu, elektrostacijai tiktu konstatēta pārkompensācija, nelikumīgais valsts atbalsta būtu jāatgūst. ETL grozījumu izskatīšanas laikā Saeimas tautsaimniecības komisijas sēdēs Ekonomikas ministrijai tika norādīts un skaidrots par nelikumīga valsta atbalsta </w:t>
            </w:r>
            <w:r w:rsidRPr="00E70ADE">
              <w:rPr>
                <w:sz w:val="22"/>
                <w:szCs w:val="22"/>
              </w:rPr>
              <w:lastRenderedPageBreak/>
              <w:t>piemērošanas pamatprincipiem. Ja Ekonomikas ministrija plāno nelikumīga atbalsta atgūšanas gadījumā piemērot citādu pieeju, tā būtu jāsaskaņo ar Eiropas Komisiju. Ņemot vērā anotācijā ietverto Ekonomikas ministrijas viedokli, ka “</w:t>
            </w:r>
            <w:r w:rsidRPr="00E70ADE">
              <w:rPr>
                <w:i/>
                <w:iCs/>
                <w:sz w:val="22"/>
                <w:szCs w:val="22"/>
              </w:rPr>
              <w:t>vēsturiskais atbalsts nav uzskatāms par komercdarbības atbalstu ES likumdošanas nozīmē, tādējādi uz to neattiecas nelikumīga komercdarbības atbalsta regulējums, kā arī tā atgūšanas nosacījumi</w:t>
            </w:r>
            <w:r w:rsidRPr="00E70ADE">
              <w:rPr>
                <w:sz w:val="22"/>
                <w:szCs w:val="22"/>
              </w:rPr>
              <w:t>” un to, ka saskaņojums par Ekonomikas ministrijas pieeju no Eiropas Komisijas nav saņemts, lūdzam noteikumu projektā skaidri noteikt, ka  BVKB, veicot IRR aprēķinu 20 gadiem kopš elektrostacijas nodošanas ekspluatācijā, ja elektrostacijai tiks konstatēta pārkompensācija, piemēros nelikumīgas atbalsta atgūšanas procedūru, vienlaikus papildinot anotāciju ar skaidrojumu, ka ir jāatgūst visu nelikumīgo valsts atbalstu, kas ir saņemts kopējā atbalsta periodā, t.sk. ietverot vēsturisko atbalstu. Ņemot vērā plānoto deleģējuma termiņu noteikumu izstrādei, lūdzam Ekonomikas ministriju steidzami iesniegt Eiropas Komisijā jautājumus par nelikumīga atbalsta atgūšanas pamatprincipu interpretāciju attiecībā uz sniegto atbalstu pirms 2007.gada.</w:t>
            </w:r>
          </w:p>
          <w:p w14:paraId="769C3266" w14:textId="02CBCEA2" w:rsidR="00E247C4" w:rsidRPr="00E70ADE" w:rsidRDefault="00E247C4" w:rsidP="00E247C4">
            <w:pPr>
              <w:spacing w:after="160" w:line="252" w:lineRule="auto"/>
              <w:contextualSpacing/>
              <w:jc w:val="both"/>
              <w:rPr>
                <w:sz w:val="22"/>
                <w:szCs w:val="22"/>
              </w:rPr>
            </w:pPr>
          </w:p>
          <w:p w14:paraId="61466D30" w14:textId="77777777" w:rsidR="00E247C4" w:rsidRPr="00E70ADE" w:rsidRDefault="00E247C4" w:rsidP="00E247C4">
            <w:pPr>
              <w:spacing w:after="160" w:line="252" w:lineRule="auto"/>
              <w:contextualSpacing/>
              <w:jc w:val="both"/>
              <w:rPr>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22D508C" w14:textId="4F92E57F" w:rsidR="00E247C4" w:rsidRPr="00E70ADE" w:rsidRDefault="00E247C4" w:rsidP="00E247C4">
            <w:pPr>
              <w:pStyle w:val="NormalWeb"/>
              <w:spacing w:before="0" w:beforeAutospacing="0"/>
              <w:jc w:val="center"/>
              <w:rPr>
                <w:b/>
                <w:sz w:val="22"/>
                <w:szCs w:val="22"/>
              </w:rPr>
            </w:pPr>
            <w:r w:rsidRPr="00E70ADE">
              <w:rPr>
                <w:b/>
                <w:sz w:val="22"/>
                <w:szCs w:val="22"/>
              </w:rPr>
              <w:lastRenderedPageBreak/>
              <w:t>Daļēji ņemts vērā</w:t>
            </w:r>
          </w:p>
          <w:p w14:paraId="65D7A746" w14:textId="131F79A9" w:rsidR="00E247C4" w:rsidRPr="00E70ADE" w:rsidRDefault="00E247C4" w:rsidP="00E247C4">
            <w:pPr>
              <w:pStyle w:val="NormalWeb"/>
              <w:spacing w:before="0" w:beforeAutospacing="0"/>
              <w:jc w:val="center"/>
              <w:rPr>
                <w:b/>
                <w:sz w:val="22"/>
                <w:szCs w:val="22"/>
              </w:rPr>
            </w:pP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A72BA8C" w14:textId="77777777" w:rsidR="00E247C4" w:rsidRPr="00E70ADE" w:rsidRDefault="00E247C4" w:rsidP="00E247C4">
            <w:pPr>
              <w:shd w:val="clear" w:color="auto" w:fill="FFFFFF"/>
              <w:spacing w:after="120"/>
              <w:jc w:val="both"/>
              <w:rPr>
                <w:sz w:val="22"/>
                <w:szCs w:val="22"/>
              </w:rPr>
            </w:pPr>
            <w:r w:rsidRPr="00E70ADE">
              <w:rPr>
                <w:sz w:val="22"/>
                <w:szCs w:val="22"/>
              </w:rPr>
              <w:t>Projekta anotācijas I sadaļas 2. punkts papildināts šādā redakcijā:</w:t>
            </w:r>
          </w:p>
          <w:p w14:paraId="554A48E9" w14:textId="77777777" w:rsidR="00F51DB4" w:rsidRPr="00E70ADE" w:rsidRDefault="00E247C4" w:rsidP="00F51DB4">
            <w:pPr>
              <w:spacing w:before="120"/>
              <w:ind w:right="113"/>
              <w:jc w:val="both"/>
              <w:rPr>
                <w:sz w:val="22"/>
                <w:szCs w:val="22"/>
                <w:u w:val="single"/>
              </w:rPr>
            </w:pPr>
            <w:r w:rsidRPr="00E70ADE">
              <w:rPr>
                <w:sz w:val="22"/>
                <w:szCs w:val="22"/>
                <w:u w:val="single"/>
              </w:rPr>
              <w:t>“</w:t>
            </w:r>
            <w:r w:rsidR="00F51DB4" w:rsidRPr="00E70ADE">
              <w:rPr>
                <w:sz w:val="22"/>
                <w:szCs w:val="22"/>
                <w:u w:val="single"/>
              </w:rPr>
              <w:t>Elektrostaciju pārkompensācijas novēršana</w:t>
            </w:r>
          </w:p>
          <w:p w14:paraId="1DDBE97D" w14:textId="77777777" w:rsidR="00F51DB4" w:rsidRPr="00E70ADE" w:rsidRDefault="00F51DB4" w:rsidP="00F51DB4">
            <w:pPr>
              <w:spacing w:before="120"/>
              <w:ind w:right="113"/>
              <w:jc w:val="both"/>
              <w:rPr>
                <w:sz w:val="22"/>
                <w:szCs w:val="22"/>
              </w:rPr>
            </w:pPr>
            <w:r w:rsidRPr="00E70ADE">
              <w:rPr>
                <w:sz w:val="22"/>
                <w:szCs w:val="22"/>
              </w:rPr>
              <w:t>Elektrostaciju, kas darbojas obligātā iepirkuma ietvaros, pārkompensācijas novēršanas mehānisms tika ieviests 2016. gadā, veicot grozījumus MK noteikumos Nr. 221</w:t>
            </w:r>
            <w:r w:rsidRPr="00E70ADE">
              <w:rPr>
                <w:rStyle w:val="FootnoteReference"/>
                <w:sz w:val="22"/>
                <w:szCs w:val="22"/>
              </w:rPr>
              <w:footnoteReference w:id="2"/>
            </w:r>
            <w:r w:rsidRPr="00E70ADE">
              <w:rPr>
                <w:sz w:val="22"/>
                <w:szCs w:val="22"/>
              </w:rPr>
              <w:t>.  Šī mehānisma ieviešana bija priekšnosacījums, lai Eiropas Komisija lemtu par Latvijas iesniegtā valsts atbalsta lietas SA.43140 (2015/NN) “Atbalsts atjaunojamo energoresursu enerģijai un koģenerācijai.” atbilstību ES iekšējā tirgus nosacījumiem.</w:t>
            </w:r>
          </w:p>
          <w:p w14:paraId="189927E5" w14:textId="77777777" w:rsidR="00F51DB4" w:rsidRPr="00E70ADE" w:rsidRDefault="00F51DB4" w:rsidP="00F51DB4">
            <w:pPr>
              <w:spacing w:before="120"/>
              <w:ind w:right="113"/>
              <w:jc w:val="both"/>
              <w:rPr>
                <w:sz w:val="22"/>
                <w:szCs w:val="22"/>
              </w:rPr>
            </w:pPr>
            <w:r w:rsidRPr="00E70ADE">
              <w:rPr>
                <w:sz w:val="22"/>
                <w:szCs w:val="22"/>
              </w:rPr>
              <w:t xml:space="preserve">Lai nodrošinātu vienlīdzīgu pieeju visiem atbalstu saņēmušajiem komersantu projektiem, MK noteikumi Nr. 262 tika papildināti ar normām, kas paredz projektu kopējo kapitālieguldījumu iekšējās peļņas normas (turpmāk – IRR) izvērtēšanu, izmantojot fiksētas līmaņatzīmes. Īstenojot šādu pieeju, tiek veicināta komersantu interese nodrošināt efektīvāku elektrostaciju darbību. </w:t>
            </w:r>
          </w:p>
          <w:p w14:paraId="469C3A9B" w14:textId="77777777" w:rsidR="00F51DB4" w:rsidRPr="00E70ADE" w:rsidRDefault="00F51DB4" w:rsidP="00F51DB4">
            <w:pPr>
              <w:spacing w:before="120"/>
              <w:ind w:right="113"/>
              <w:jc w:val="both"/>
              <w:rPr>
                <w:sz w:val="22"/>
                <w:szCs w:val="22"/>
              </w:rPr>
            </w:pPr>
            <w:r w:rsidRPr="00E70ADE">
              <w:rPr>
                <w:sz w:val="22"/>
                <w:szCs w:val="22"/>
              </w:rPr>
              <w:t xml:space="preserve">Vienlaikus ar minētajiem grozījumiem komersantiem tika noteikta IRR likme 9% apmērā, kuru </w:t>
            </w:r>
            <w:r w:rsidRPr="00E70ADE">
              <w:rPr>
                <w:sz w:val="22"/>
                <w:szCs w:val="22"/>
              </w:rPr>
              <w:lastRenderedPageBreak/>
              <w:t>pārsniedzot, komersanta nākotnes atbalstam tiek piemērots samazinošs koeficients - cenas diferencēšanas koeficients pārkompensācijas novēršanai, nodrošinot, ka projekta kopējais IRR līmenis atbalsta perioda beigās nepārsniedz 9%.</w:t>
            </w:r>
          </w:p>
          <w:p w14:paraId="728131E9" w14:textId="77777777" w:rsidR="00F51DB4" w:rsidRPr="00E70ADE" w:rsidRDefault="00F51DB4" w:rsidP="00F51DB4">
            <w:pPr>
              <w:spacing w:before="120"/>
              <w:ind w:right="113"/>
              <w:jc w:val="both"/>
              <w:rPr>
                <w:sz w:val="22"/>
                <w:szCs w:val="22"/>
              </w:rPr>
            </w:pPr>
            <w:r w:rsidRPr="00E70ADE">
              <w:rPr>
                <w:sz w:val="22"/>
                <w:szCs w:val="22"/>
              </w:rPr>
              <w:t xml:space="preserve">Līdz ar grozījumiem ETL, kas stājās spēkā 2020. gada 15. februārī, pārkompensācijas novēršanas mehānisms tika nostiprināts arī likumā, vienlaikus uzdodot Ministru kabinetam noteikt IRR aprēķina veikšanas kārtību. Minēto kārtību Ekonomikas ministrija plāno izstrādāt pēc tam, kad būs noslēgusies Ekonomikas ministrijas izsludinātā iepirkuma “Priekšlikumu un elektronisku rīku izstrāde kopējo kapitālieguldījumu iekšējās peļņas normas aprēķināšanas un pārkompensācijas novēršanas metodikas pilnveidei elektroenerģijas ražotājiem” rezultātu izvērtēšana, veicot attiecīgus grozījumus šajos ministru kabineta noteikumos. Atbilstoši ETL pārejas noteikumu 77. punktam līdz minētās kārtības spēkā stāšanās dienai BVKB kopējo kapitālieguldījumu IRR izvērtēšanu veiks saskaņā ar kārtību, kādu nosaka MK noteikumi Nr. 221. </w:t>
            </w:r>
          </w:p>
          <w:p w14:paraId="1D39044B" w14:textId="14E8D4BA" w:rsidR="00E247C4" w:rsidRPr="00E70ADE" w:rsidRDefault="00213595" w:rsidP="00F51DB4">
            <w:pPr>
              <w:spacing w:before="120"/>
              <w:jc w:val="both"/>
              <w:rPr>
                <w:sz w:val="22"/>
                <w:szCs w:val="22"/>
              </w:rPr>
            </w:pPr>
            <w:r w:rsidRPr="00E70ADE">
              <w:rPr>
                <w:sz w:val="22"/>
                <w:szCs w:val="22"/>
              </w:rPr>
              <w:t xml:space="preserve">Izstrādājot kopējo kapitālieguldījumu IRR aprēķināšanas kārtību, Ekonomikas ministrija konsultēsies ar Eiropas Komisiju par nelikumīga valsts atbalsta atgūšanas metodoloģiskajiem </w:t>
            </w:r>
            <w:r w:rsidRPr="00E70ADE">
              <w:rPr>
                <w:sz w:val="22"/>
                <w:szCs w:val="22"/>
              </w:rPr>
              <w:lastRenderedPageBreak/>
              <w:t>pamatprincipiem, t.sk. par vēsturiskā atbalsta pirms 2007.gada iekļaušanu pārkompensācijas aprēķinā.</w:t>
            </w:r>
            <w:r w:rsidR="00E247C4" w:rsidRPr="00E70ADE">
              <w:rPr>
                <w:sz w:val="22"/>
                <w:szCs w:val="22"/>
              </w:rPr>
              <w:t>”</w:t>
            </w:r>
          </w:p>
        </w:tc>
        <w:tc>
          <w:tcPr>
            <w:tcW w:w="1318" w:type="dxa"/>
          </w:tcPr>
          <w:p w14:paraId="2F667F3F" w14:textId="77777777" w:rsidR="00E247C4" w:rsidRPr="00E70ADE" w:rsidRDefault="00E247C4" w:rsidP="00E247C4">
            <w:pPr>
              <w:jc w:val="both"/>
              <w:rPr>
                <w:sz w:val="22"/>
                <w:szCs w:val="22"/>
              </w:rPr>
            </w:pPr>
          </w:p>
        </w:tc>
      </w:tr>
      <w:tr w:rsidR="007E45B2" w:rsidRPr="00E70ADE" w14:paraId="75FE6DC5"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09F986C" w14:textId="3BA1361C"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5A719D0" w14:textId="77777777" w:rsidR="00E247C4" w:rsidRPr="00E70ADE" w:rsidRDefault="00E247C4" w:rsidP="00E247C4">
            <w:pPr>
              <w:shd w:val="clear" w:color="auto" w:fill="FFFFFF"/>
              <w:spacing w:after="120"/>
              <w:jc w:val="both"/>
              <w:rPr>
                <w:sz w:val="22"/>
                <w:szCs w:val="22"/>
              </w:rPr>
            </w:pPr>
            <w:r w:rsidRPr="00E70ADE">
              <w:rPr>
                <w:sz w:val="22"/>
                <w:szCs w:val="22"/>
              </w:rPr>
              <w:t xml:space="preserve">Noteikumu projekta anotācija, noteikumu projekts </w:t>
            </w:r>
          </w:p>
          <w:p w14:paraId="06962259"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8B06562" w14:textId="0C60D57F" w:rsidR="00E247C4" w:rsidRPr="00E70ADE" w:rsidRDefault="00E247C4" w:rsidP="00E247C4">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067AAF" w:rsidRPr="00E70ADE">
              <w:rPr>
                <w:rFonts w:eastAsia="Calibri"/>
                <w:b/>
                <w:sz w:val="22"/>
                <w:szCs w:val="22"/>
              </w:rPr>
              <w:t xml:space="preserve"> iebildums</w:t>
            </w:r>
          </w:p>
          <w:p w14:paraId="14027F6D" w14:textId="77777777" w:rsidR="00E247C4" w:rsidRPr="00E70ADE" w:rsidRDefault="00E247C4" w:rsidP="00E247C4">
            <w:pPr>
              <w:spacing w:after="160" w:line="252" w:lineRule="auto"/>
              <w:contextualSpacing/>
              <w:jc w:val="both"/>
              <w:rPr>
                <w:sz w:val="22"/>
                <w:szCs w:val="22"/>
              </w:rPr>
            </w:pPr>
            <w:r w:rsidRPr="00E70ADE">
              <w:rPr>
                <w:sz w:val="22"/>
                <w:szCs w:val="22"/>
              </w:rPr>
              <w:t xml:space="preserve">12.Attiecībā uz noteikumu projekta 105. punktā minēto, ka </w:t>
            </w:r>
            <w:r w:rsidRPr="00E70ADE">
              <w:rPr>
                <w:i/>
                <w:sz w:val="22"/>
                <w:szCs w:val="22"/>
              </w:rPr>
              <w:t xml:space="preserve">publiskais tirgotājs pēc šo noteikumu 103. vai 104. punktā minētā lēmuma stāšanās spēkā </w:t>
            </w:r>
            <w:r w:rsidRPr="00E70ADE">
              <w:rPr>
                <w:i/>
                <w:sz w:val="22"/>
                <w:szCs w:val="22"/>
                <w:u w:val="single"/>
              </w:rPr>
              <w:t>pārtrauc</w:t>
            </w:r>
            <w:r w:rsidRPr="00E70ADE">
              <w:rPr>
                <w:i/>
                <w:sz w:val="22"/>
                <w:szCs w:val="22"/>
              </w:rPr>
              <w:t xml:space="preserve"> elektroenerģijas iepirkumu obligātā iepirkuma ietvaros</w:t>
            </w:r>
            <w:r w:rsidRPr="00E70ADE">
              <w:rPr>
                <w:sz w:val="22"/>
                <w:szCs w:val="22"/>
              </w:rPr>
              <w:t>, nepārprotamai minētās normas izpratnei, lūdzam precizēt, vai elektroenerģijas iepirkums obligātā iepirkuma ietvaros šajā gadījumā tiek pārtraukts pavisam un attiecīgi atsākt to vairs nebūs iespējams, vai arī minēto iepirkumu, izpildoties noteiktiem nosacījumiem, būs iespējams atsākt (šajā gadījumā lūdzam ietvert sasaisti ar attiecīgajiem Noteikumu projekta punktiem). Vienlaikus lūdzam ar attiecīgu skaidrojumu papildināt arī anotāciju.</w:t>
            </w:r>
          </w:p>
          <w:p w14:paraId="4C787AE7" w14:textId="3EDF3836" w:rsidR="00E247C4" w:rsidRPr="00E70ADE" w:rsidRDefault="00E247C4" w:rsidP="00E247C4">
            <w:pPr>
              <w:spacing w:after="160" w:line="252" w:lineRule="auto"/>
              <w:contextualSpacing/>
              <w:jc w:val="both"/>
              <w:rPr>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50FBE71" w14:textId="5B03A9F0" w:rsidR="00E247C4" w:rsidRPr="00E70ADE" w:rsidRDefault="00E247C4" w:rsidP="00E247C4">
            <w:pPr>
              <w:pStyle w:val="NormalWeb"/>
              <w:spacing w:before="0" w:beforeAutospacing="0"/>
              <w:jc w:val="center"/>
              <w:rPr>
                <w:b/>
                <w:sz w:val="22"/>
                <w:szCs w:val="22"/>
              </w:rPr>
            </w:pPr>
            <w:r w:rsidRPr="00E70ADE">
              <w:rPr>
                <w:b/>
                <w:sz w:val="22"/>
                <w:szCs w:val="22"/>
              </w:rPr>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10F0354" w14:textId="6308820C" w:rsidR="008F1E7C" w:rsidRPr="00E70ADE" w:rsidRDefault="008F1E7C" w:rsidP="008F1E7C">
            <w:pPr>
              <w:shd w:val="clear" w:color="auto" w:fill="FFFFFF"/>
              <w:spacing w:after="120"/>
              <w:jc w:val="both"/>
              <w:rPr>
                <w:sz w:val="22"/>
                <w:szCs w:val="22"/>
              </w:rPr>
            </w:pPr>
          </w:p>
          <w:p w14:paraId="0809DCAE" w14:textId="2168CEC8" w:rsidR="00E247C4" w:rsidRPr="00E70ADE" w:rsidRDefault="00E247C4" w:rsidP="00E247C4">
            <w:pPr>
              <w:spacing w:before="120"/>
              <w:jc w:val="both"/>
              <w:rPr>
                <w:sz w:val="22"/>
                <w:szCs w:val="22"/>
              </w:rPr>
            </w:pPr>
          </w:p>
        </w:tc>
        <w:tc>
          <w:tcPr>
            <w:tcW w:w="1318" w:type="dxa"/>
          </w:tcPr>
          <w:p w14:paraId="7D63BAB3" w14:textId="77777777" w:rsidR="00E247C4" w:rsidRPr="00E70ADE" w:rsidRDefault="00E247C4" w:rsidP="00E247C4">
            <w:pPr>
              <w:jc w:val="both"/>
              <w:rPr>
                <w:sz w:val="22"/>
                <w:szCs w:val="22"/>
              </w:rPr>
            </w:pPr>
          </w:p>
        </w:tc>
      </w:tr>
      <w:tr w:rsidR="007E45B2" w:rsidRPr="00E70ADE" w14:paraId="105D240D"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D214EA0" w14:textId="32A599AD"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1D25307" w14:textId="77777777" w:rsidR="00E247C4" w:rsidRPr="00E70ADE" w:rsidRDefault="00E247C4" w:rsidP="00E247C4">
            <w:pPr>
              <w:shd w:val="clear" w:color="auto" w:fill="FFFFFF"/>
              <w:spacing w:after="120"/>
              <w:jc w:val="both"/>
              <w:rPr>
                <w:sz w:val="22"/>
                <w:szCs w:val="22"/>
              </w:rPr>
            </w:pPr>
            <w:r w:rsidRPr="00E70ADE">
              <w:rPr>
                <w:sz w:val="22"/>
                <w:szCs w:val="22"/>
              </w:rPr>
              <w:t xml:space="preserve">Noteikumu projekta anotācija, noteikumu projekts </w:t>
            </w:r>
          </w:p>
          <w:p w14:paraId="7CC7F39A"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DD966C4" w14:textId="181FF149" w:rsidR="00E247C4" w:rsidRPr="00E70ADE" w:rsidRDefault="00E247C4" w:rsidP="00E247C4">
            <w:pPr>
              <w:tabs>
                <w:tab w:val="left" w:pos="1134"/>
              </w:tabs>
              <w:spacing w:after="160" w:line="252" w:lineRule="auto"/>
              <w:contextualSpacing/>
              <w:jc w:val="center"/>
              <w:rPr>
                <w:rFonts w:eastAsia="Calibri"/>
                <w:b/>
                <w:sz w:val="22"/>
                <w:szCs w:val="22"/>
              </w:rPr>
            </w:pPr>
            <w:r w:rsidRPr="00E70ADE">
              <w:rPr>
                <w:rFonts w:eastAsia="Calibri"/>
                <w:b/>
                <w:sz w:val="22"/>
                <w:szCs w:val="22"/>
              </w:rPr>
              <w:t>Finanšu ministrija (11.08.2020.)</w:t>
            </w:r>
            <w:r w:rsidR="00067AAF" w:rsidRPr="00E70ADE">
              <w:rPr>
                <w:rFonts w:eastAsia="Calibri"/>
                <w:b/>
                <w:sz w:val="22"/>
                <w:szCs w:val="22"/>
              </w:rPr>
              <w:t xml:space="preserve"> iebildums</w:t>
            </w:r>
          </w:p>
          <w:p w14:paraId="52454C81" w14:textId="4AB0B998" w:rsidR="00E247C4" w:rsidRPr="00E70ADE" w:rsidRDefault="00E247C4" w:rsidP="00E247C4">
            <w:pPr>
              <w:spacing w:after="160" w:line="252" w:lineRule="auto"/>
              <w:contextualSpacing/>
              <w:jc w:val="both"/>
              <w:rPr>
                <w:sz w:val="22"/>
                <w:szCs w:val="22"/>
              </w:rPr>
            </w:pPr>
            <w:r w:rsidRPr="00E70ADE">
              <w:rPr>
                <w:sz w:val="22"/>
                <w:szCs w:val="22"/>
              </w:rPr>
              <w:t>13.Attiecībā uz noteikumu projekta 8.pielikumu, jo īpaši tā 2. un 3. punktā ietvertajām aprēķinu formulām, lūdzam papildināt anotāciju ar skaidrojumu, ka:</w:t>
            </w:r>
          </w:p>
          <w:p w14:paraId="4794C59B" w14:textId="77777777" w:rsidR="00E247C4" w:rsidRPr="00E70ADE" w:rsidRDefault="00E247C4" w:rsidP="00E247C4">
            <w:pPr>
              <w:numPr>
                <w:ilvl w:val="0"/>
                <w:numId w:val="5"/>
              </w:numPr>
              <w:spacing w:after="160" w:line="252" w:lineRule="auto"/>
              <w:contextualSpacing/>
              <w:rPr>
                <w:sz w:val="22"/>
                <w:szCs w:val="22"/>
              </w:rPr>
            </w:pPr>
            <w:r w:rsidRPr="00E70ADE">
              <w:rPr>
                <w:sz w:val="22"/>
                <w:szCs w:val="22"/>
              </w:rPr>
              <w:t>iekšējās peļņas normas aprēķins tiks veikts visam atbalsta periodam, kas definēts ETL 1. panta 1.</w:t>
            </w:r>
            <w:r w:rsidRPr="00E70ADE">
              <w:rPr>
                <w:sz w:val="22"/>
                <w:szCs w:val="22"/>
                <w:vertAlign w:val="superscript"/>
              </w:rPr>
              <w:t>3</w:t>
            </w:r>
            <w:r w:rsidRPr="00E70ADE">
              <w:rPr>
                <w:sz w:val="22"/>
                <w:szCs w:val="22"/>
              </w:rPr>
              <w:t xml:space="preserve"> punktā un 30.</w:t>
            </w:r>
            <w:r w:rsidRPr="00E70ADE">
              <w:rPr>
                <w:sz w:val="22"/>
                <w:szCs w:val="22"/>
                <w:vertAlign w:val="superscript"/>
              </w:rPr>
              <w:t xml:space="preserve">4 </w:t>
            </w:r>
            <w:r w:rsidRPr="00E70ADE">
              <w:rPr>
                <w:sz w:val="22"/>
                <w:szCs w:val="22"/>
              </w:rPr>
              <w:t>pantā noteiktajam;</w:t>
            </w:r>
          </w:p>
          <w:p w14:paraId="4EDFA918" w14:textId="150707B9" w:rsidR="00E247C4" w:rsidRPr="00E70ADE" w:rsidRDefault="00E247C4" w:rsidP="0054303A">
            <w:pPr>
              <w:numPr>
                <w:ilvl w:val="0"/>
                <w:numId w:val="5"/>
              </w:numPr>
              <w:spacing w:after="160" w:line="252" w:lineRule="auto"/>
              <w:contextualSpacing/>
              <w:jc w:val="both"/>
              <w:rPr>
                <w:sz w:val="22"/>
                <w:szCs w:val="22"/>
              </w:rPr>
            </w:pPr>
            <w:r w:rsidRPr="00E70ADE">
              <w:rPr>
                <w:sz w:val="22"/>
                <w:szCs w:val="22"/>
              </w:rPr>
              <w:t xml:space="preserve">aprēķinot iekšējās peļņas normu, vērā tiks ņemtas visas veiktās investīcijas pilnā apmērā atbilstoši EK lēmuma </w:t>
            </w:r>
            <w:r w:rsidRPr="00E70ADE">
              <w:rPr>
                <w:sz w:val="22"/>
                <w:szCs w:val="22"/>
              </w:rPr>
              <w:lastRenderedPageBreak/>
              <w:t>lietā SA.43140 32.punktam un ETL 31.</w:t>
            </w:r>
            <w:r w:rsidRPr="00E70ADE">
              <w:rPr>
                <w:sz w:val="22"/>
                <w:szCs w:val="22"/>
                <w:vertAlign w:val="superscript"/>
              </w:rPr>
              <w:t>4</w:t>
            </w:r>
            <w:r w:rsidRPr="00E70ADE">
              <w:rPr>
                <w:sz w:val="22"/>
                <w:szCs w:val="22"/>
              </w:rPr>
              <w:t xml:space="preserve"> pantam.</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16437C0" w14:textId="77777777" w:rsidR="00E247C4" w:rsidRPr="00E70ADE" w:rsidRDefault="00E247C4" w:rsidP="00E247C4">
            <w:pPr>
              <w:pStyle w:val="NormalWeb"/>
              <w:spacing w:before="0" w:beforeAutospacing="0"/>
              <w:jc w:val="center"/>
              <w:rPr>
                <w:b/>
                <w:sz w:val="22"/>
                <w:szCs w:val="22"/>
              </w:rPr>
            </w:pPr>
            <w:r w:rsidRPr="00E70ADE">
              <w:rPr>
                <w:b/>
                <w:sz w:val="22"/>
                <w:szCs w:val="22"/>
              </w:rPr>
              <w:lastRenderedPageBreak/>
              <w:t>Ņemts vērā</w:t>
            </w:r>
          </w:p>
          <w:p w14:paraId="7566E75D" w14:textId="5DF67363" w:rsidR="00E247C4" w:rsidRPr="00E70ADE" w:rsidRDefault="00EF5799" w:rsidP="0011717B">
            <w:pPr>
              <w:pStyle w:val="NormalWeb"/>
              <w:spacing w:before="0" w:beforeAutospacing="0"/>
              <w:jc w:val="both"/>
              <w:rPr>
                <w:sz w:val="22"/>
                <w:szCs w:val="22"/>
              </w:rPr>
            </w:pPr>
            <w:r w:rsidRPr="00E70ADE">
              <w:rPr>
                <w:bCs/>
                <w:sz w:val="22"/>
                <w:szCs w:val="22"/>
              </w:rPr>
              <w:t>8. pielikums netiks ietvert</w:t>
            </w:r>
            <w:r w:rsidR="00C4032E" w:rsidRPr="00E70ADE">
              <w:rPr>
                <w:bCs/>
                <w:sz w:val="22"/>
                <w:szCs w:val="22"/>
              </w:rPr>
              <w:t>s</w:t>
            </w:r>
            <w:r w:rsidRPr="00E70ADE">
              <w:rPr>
                <w:bCs/>
                <w:sz w:val="22"/>
                <w:szCs w:val="22"/>
              </w:rPr>
              <w:t xml:space="preserve"> šajā projektā</w:t>
            </w:r>
            <w:r w:rsidR="00C4032E" w:rsidRPr="00E70ADE">
              <w:rPr>
                <w:bCs/>
                <w:sz w:val="22"/>
                <w:szCs w:val="22"/>
              </w:rPr>
              <w:t>.</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7C6DF56" w14:textId="65CBBA74" w:rsidR="00E247C4" w:rsidRPr="00E70ADE" w:rsidRDefault="00E247C4" w:rsidP="00E247C4">
            <w:pPr>
              <w:spacing w:before="120"/>
              <w:ind w:right="113"/>
              <w:jc w:val="both"/>
              <w:rPr>
                <w:sz w:val="22"/>
                <w:szCs w:val="22"/>
              </w:rPr>
            </w:pPr>
          </w:p>
        </w:tc>
        <w:tc>
          <w:tcPr>
            <w:tcW w:w="1318" w:type="dxa"/>
          </w:tcPr>
          <w:p w14:paraId="7372A627" w14:textId="77777777" w:rsidR="00E247C4" w:rsidRPr="00E70ADE" w:rsidRDefault="00E247C4" w:rsidP="00E247C4">
            <w:pPr>
              <w:jc w:val="both"/>
              <w:rPr>
                <w:sz w:val="22"/>
                <w:szCs w:val="22"/>
              </w:rPr>
            </w:pPr>
          </w:p>
        </w:tc>
      </w:tr>
      <w:tr w:rsidR="007E45B2" w:rsidRPr="00E70ADE" w14:paraId="3A67BCEA"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7345FD9" w14:textId="160562F5" w:rsidR="00E247C4" w:rsidRPr="00E70ADE" w:rsidRDefault="00E247C4"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F4DC56D" w14:textId="77777777" w:rsidR="00E247C4" w:rsidRPr="00E70ADE" w:rsidRDefault="00E247C4" w:rsidP="00E247C4">
            <w:pPr>
              <w:shd w:val="clear" w:color="auto" w:fill="FFFFFF"/>
              <w:spacing w:after="120"/>
              <w:jc w:val="both"/>
              <w:rPr>
                <w:sz w:val="22"/>
                <w:szCs w:val="22"/>
              </w:rPr>
            </w:pPr>
            <w:r w:rsidRPr="00E70ADE">
              <w:rPr>
                <w:sz w:val="22"/>
                <w:szCs w:val="22"/>
              </w:rPr>
              <w:t xml:space="preserve">Noteikumu projekta anotācija, noteikumu projekts </w:t>
            </w:r>
          </w:p>
          <w:p w14:paraId="059BA5EA" w14:textId="77777777" w:rsidR="00E247C4" w:rsidRPr="00E70ADE" w:rsidRDefault="00E247C4"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F38C824" w14:textId="3509470D" w:rsidR="00E247C4" w:rsidRPr="00E70ADE" w:rsidRDefault="00E247C4" w:rsidP="00E247C4">
            <w:pPr>
              <w:tabs>
                <w:tab w:val="left" w:pos="1134"/>
              </w:tabs>
              <w:spacing w:after="160" w:line="252" w:lineRule="auto"/>
              <w:contextualSpacing/>
              <w:jc w:val="center"/>
              <w:rPr>
                <w:rFonts w:eastAsia="Calibri"/>
                <w:b/>
                <w:bCs/>
                <w:sz w:val="22"/>
                <w:szCs w:val="22"/>
              </w:rPr>
            </w:pPr>
            <w:r w:rsidRPr="00E70ADE">
              <w:rPr>
                <w:rFonts w:eastAsia="Calibri"/>
                <w:b/>
                <w:bCs/>
                <w:sz w:val="22"/>
                <w:szCs w:val="22"/>
              </w:rPr>
              <w:t>Finanšu ministrija (11.08.2020.)</w:t>
            </w:r>
            <w:r w:rsidR="001125BA" w:rsidRPr="00E70ADE">
              <w:rPr>
                <w:rFonts w:eastAsia="Calibri"/>
                <w:b/>
                <w:bCs/>
                <w:sz w:val="22"/>
                <w:szCs w:val="22"/>
              </w:rPr>
              <w:t xml:space="preserve"> priekšlikums</w:t>
            </w:r>
          </w:p>
          <w:p w14:paraId="331F0CE0" w14:textId="77777777" w:rsidR="00E247C4" w:rsidRPr="00E70ADE" w:rsidRDefault="00E247C4" w:rsidP="00E247C4">
            <w:pPr>
              <w:rPr>
                <w:sz w:val="22"/>
                <w:szCs w:val="22"/>
                <w:u w:val="single"/>
              </w:rPr>
            </w:pPr>
            <w:r w:rsidRPr="00E70ADE">
              <w:rPr>
                <w:sz w:val="22"/>
                <w:szCs w:val="22"/>
                <w:u w:val="single"/>
              </w:rPr>
              <w:t>Priekšlikums:</w:t>
            </w:r>
          </w:p>
          <w:p w14:paraId="4E0CE39F" w14:textId="32E25EE7" w:rsidR="00E247C4" w:rsidRPr="00E70ADE" w:rsidRDefault="00E247C4" w:rsidP="00E247C4">
            <w:pPr>
              <w:ind w:firstLine="720"/>
              <w:rPr>
                <w:sz w:val="22"/>
                <w:szCs w:val="22"/>
                <w:highlight w:val="yellow"/>
              </w:rPr>
            </w:pPr>
            <w:r w:rsidRPr="00E70ADE">
              <w:rPr>
                <w:sz w:val="22"/>
                <w:szCs w:val="22"/>
              </w:rPr>
              <w:t>Lūdzam skaidrot, kāpēc Valsts ieņēmumu dienests anotācijas VII sadaļas 1.punktā ir norādīts kā noteikumu projekta izpildē iesaistītā institūcija.</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F851C95" w14:textId="7A12F77A" w:rsidR="00E247C4" w:rsidRPr="00B068CA" w:rsidRDefault="00B068CA" w:rsidP="00B068CA">
            <w:pPr>
              <w:pStyle w:val="NormalWeb"/>
              <w:spacing w:before="0" w:beforeAutospacing="0"/>
              <w:jc w:val="center"/>
              <w:rPr>
                <w:b/>
                <w:sz w:val="22"/>
                <w:szCs w:val="22"/>
              </w:rPr>
            </w:pPr>
            <w:r w:rsidRPr="00B068CA">
              <w:rPr>
                <w:b/>
                <w:sz w:val="22"/>
                <w:szCs w:val="22"/>
              </w:rPr>
              <w:t>Ņ</w:t>
            </w:r>
            <w:r w:rsidR="0054303A" w:rsidRPr="00B068CA">
              <w:rPr>
                <w:b/>
                <w:sz w:val="22"/>
                <w:szCs w:val="22"/>
              </w:rPr>
              <w:t>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0A66775" w14:textId="03CA933F" w:rsidR="00E247C4" w:rsidRPr="00E70ADE" w:rsidRDefault="0054303A" w:rsidP="00E247C4">
            <w:pPr>
              <w:shd w:val="clear" w:color="auto" w:fill="FFFFFF"/>
              <w:spacing w:after="120"/>
              <w:jc w:val="both"/>
              <w:rPr>
                <w:sz w:val="22"/>
                <w:szCs w:val="22"/>
              </w:rPr>
            </w:pPr>
            <w:r w:rsidRPr="00E70ADE">
              <w:rPr>
                <w:sz w:val="22"/>
                <w:szCs w:val="22"/>
              </w:rPr>
              <w:t>Vārdi “Valsts ieņēmumu dienests” no  anotācijas VII sadaļas 1.punkta svītrots.</w:t>
            </w:r>
          </w:p>
        </w:tc>
        <w:tc>
          <w:tcPr>
            <w:tcW w:w="1318" w:type="dxa"/>
          </w:tcPr>
          <w:p w14:paraId="5ADBB97C" w14:textId="77777777" w:rsidR="00E247C4" w:rsidRPr="00E70ADE" w:rsidRDefault="00E247C4" w:rsidP="00E247C4">
            <w:pPr>
              <w:jc w:val="both"/>
              <w:rPr>
                <w:sz w:val="22"/>
                <w:szCs w:val="22"/>
              </w:rPr>
            </w:pPr>
          </w:p>
        </w:tc>
      </w:tr>
      <w:tr w:rsidR="007E45B2" w:rsidRPr="00E70ADE" w14:paraId="6523AA6C"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E7E3010" w14:textId="77777777" w:rsidR="00FA348E" w:rsidRPr="00E70ADE" w:rsidRDefault="00FA348E"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A06BF62" w14:textId="77777777" w:rsidR="00FA348E" w:rsidRPr="00E70ADE" w:rsidRDefault="00FA348E"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5681147" w14:textId="77777777" w:rsidR="00FA348E" w:rsidRPr="00B068CA" w:rsidRDefault="00FA348E" w:rsidP="00FA348E">
            <w:pPr>
              <w:widowControl w:val="0"/>
              <w:jc w:val="center"/>
              <w:rPr>
                <w:b/>
                <w:color w:val="000000"/>
                <w:sz w:val="22"/>
                <w:szCs w:val="22"/>
              </w:rPr>
            </w:pPr>
            <w:r w:rsidRPr="00B068CA">
              <w:rPr>
                <w:b/>
                <w:color w:val="000000"/>
                <w:sz w:val="22"/>
                <w:szCs w:val="22"/>
              </w:rPr>
              <w:t>Zemkopības ministrija (27.08.2020)</w:t>
            </w:r>
          </w:p>
          <w:p w14:paraId="590F4CDD" w14:textId="77777777" w:rsidR="00FA348E" w:rsidRPr="00B068CA" w:rsidRDefault="00FA348E" w:rsidP="00FA348E">
            <w:pPr>
              <w:tabs>
                <w:tab w:val="left" w:pos="1134"/>
              </w:tabs>
              <w:spacing w:after="160" w:line="252" w:lineRule="auto"/>
              <w:contextualSpacing/>
              <w:rPr>
                <w:rFonts w:eastAsia="Calibri"/>
                <w:b/>
                <w:bCs/>
                <w:sz w:val="22"/>
                <w:szCs w:val="22"/>
              </w:rPr>
            </w:pPr>
          </w:p>
          <w:p w14:paraId="6FE91041" w14:textId="0AD68974" w:rsidR="00FA348E" w:rsidRPr="00B068CA" w:rsidRDefault="00FA348E" w:rsidP="00FA348E">
            <w:pPr>
              <w:jc w:val="both"/>
              <w:rPr>
                <w:sz w:val="22"/>
                <w:szCs w:val="22"/>
              </w:rPr>
            </w:pPr>
            <w:r w:rsidRPr="00B068CA">
              <w:rPr>
                <w:sz w:val="22"/>
                <w:szCs w:val="22"/>
              </w:rPr>
              <w:t xml:space="preserve">Lūdzam precīzi norādīt anotācijā skaidrojumu par biogāzes elektrostacijas vienotā tehnoloģiskā cikla princips neietver dzīvnieku novietnes. </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2A2B018" w14:textId="77777777" w:rsidR="004E391F" w:rsidRPr="00B068CA" w:rsidRDefault="004E391F" w:rsidP="004E391F">
            <w:pPr>
              <w:pStyle w:val="NormalWeb"/>
              <w:spacing w:before="0" w:beforeAutospacing="0" w:after="0" w:afterAutospacing="0"/>
              <w:jc w:val="center"/>
              <w:rPr>
                <w:b/>
                <w:sz w:val="22"/>
                <w:szCs w:val="22"/>
              </w:rPr>
            </w:pPr>
            <w:r w:rsidRPr="00B068CA">
              <w:rPr>
                <w:b/>
                <w:sz w:val="22"/>
                <w:szCs w:val="22"/>
              </w:rPr>
              <w:t>Ņemts vērā</w:t>
            </w:r>
          </w:p>
          <w:p w14:paraId="5B217EFA" w14:textId="2EE5199F" w:rsidR="004E391F" w:rsidRPr="00B068CA" w:rsidRDefault="004E391F" w:rsidP="004E391F">
            <w:pPr>
              <w:pStyle w:val="NormalWeb"/>
              <w:spacing w:before="0" w:beforeAutospacing="0" w:after="0" w:afterAutospacing="0"/>
              <w:jc w:val="both"/>
              <w:rPr>
                <w:bCs/>
                <w:sz w:val="22"/>
                <w:szCs w:val="22"/>
              </w:rPr>
            </w:pPr>
            <w:r w:rsidRPr="00B068CA">
              <w:rPr>
                <w:bCs/>
                <w:sz w:val="22"/>
                <w:szCs w:val="22"/>
              </w:rPr>
              <w:t>Vienotā tehnoloģiskā cikla principa īstenošanas nosacījumi netiks iekļauti šajā projektā. Tie tiks izstrādāti līdz 2021. gada 1. janvārim.</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113648" w14:textId="1F82E2F0" w:rsidR="00FA348E" w:rsidRPr="00E70ADE" w:rsidRDefault="00E70ADE" w:rsidP="00E247C4">
            <w:pPr>
              <w:shd w:val="clear" w:color="auto" w:fill="FFFFFF"/>
              <w:spacing w:after="120"/>
              <w:jc w:val="both"/>
              <w:rPr>
                <w:sz w:val="22"/>
                <w:szCs w:val="22"/>
              </w:rPr>
            </w:pPr>
            <w:r w:rsidRPr="00E70ADE">
              <w:rPr>
                <w:sz w:val="22"/>
                <w:szCs w:val="22"/>
              </w:rPr>
              <w:t>Projekta punkti, kas attiecas uz vienotā tehnoloģiskā cikla principa ievērošanu, svītroti.</w:t>
            </w:r>
          </w:p>
        </w:tc>
        <w:tc>
          <w:tcPr>
            <w:tcW w:w="1318" w:type="dxa"/>
          </w:tcPr>
          <w:p w14:paraId="425C2C7E" w14:textId="77777777" w:rsidR="00FA348E" w:rsidRPr="00E70ADE" w:rsidRDefault="00FA348E" w:rsidP="00E247C4">
            <w:pPr>
              <w:jc w:val="both"/>
              <w:rPr>
                <w:sz w:val="22"/>
                <w:szCs w:val="22"/>
              </w:rPr>
            </w:pPr>
          </w:p>
        </w:tc>
      </w:tr>
      <w:tr w:rsidR="007E45B2" w:rsidRPr="00E70ADE" w14:paraId="61457BEB"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4468D90" w14:textId="77777777" w:rsidR="00FA348E" w:rsidRPr="00E70ADE" w:rsidRDefault="00FA348E"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1B18DAE" w14:textId="77777777" w:rsidR="00FA348E" w:rsidRPr="00E70ADE" w:rsidRDefault="00FA348E" w:rsidP="00E247C4">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1F1BE6" w14:textId="7756F616" w:rsidR="00FA348E" w:rsidRPr="00B068CA" w:rsidRDefault="00FA348E" w:rsidP="00E247C4">
            <w:pPr>
              <w:tabs>
                <w:tab w:val="left" w:pos="1134"/>
              </w:tabs>
              <w:spacing w:after="160" w:line="252" w:lineRule="auto"/>
              <w:contextualSpacing/>
              <w:jc w:val="center"/>
              <w:rPr>
                <w:rFonts w:eastAsia="Calibri"/>
                <w:b/>
                <w:bCs/>
                <w:sz w:val="22"/>
                <w:szCs w:val="22"/>
              </w:rPr>
            </w:pPr>
          </w:p>
          <w:p w14:paraId="5E2B9B82" w14:textId="1516DB01" w:rsidR="007254C3" w:rsidRPr="00B068CA" w:rsidRDefault="007254C3" w:rsidP="00E247C4">
            <w:pPr>
              <w:tabs>
                <w:tab w:val="left" w:pos="1134"/>
              </w:tabs>
              <w:spacing w:after="160" w:line="252" w:lineRule="auto"/>
              <w:contextualSpacing/>
              <w:jc w:val="center"/>
              <w:rPr>
                <w:rFonts w:eastAsia="Calibri"/>
                <w:b/>
                <w:bCs/>
                <w:sz w:val="22"/>
                <w:szCs w:val="22"/>
              </w:rPr>
            </w:pPr>
            <w:r w:rsidRPr="00B068CA">
              <w:rPr>
                <w:rFonts w:eastAsia="Calibri"/>
                <w:b/>
                <w:bCs/>
                <w:sz w:val="22"/>
                <w:szCs w:val="22"/>
              </w:rPr>
              <w:t>Finanšu ministrija (27.08.2020.)</w:t>
            </w:r>
          </w:p>
          <w:p w14:paraId="339500D0" w14:textId="28DC6BC3" w:rsidR="007254C3" w:rsidRPr="00B068CA" w:rsidRDefault="007254C3" w:rsidP="007254C3">
            <w:pPr>
              <w:shd w:val="clear" w:color="auto" w:fill="FFFFFF"/>
              <w:jc w:val="both"/>
              <w:rPr>
                <w:sz w:val="22"/>
                <w:szCs w:val="22"/>
              </w:rPr>
            </w:pPr>
            <w:r w:rsidRPr="00B068CA">
              <w:rPr>
                <w:sz w:val="22"/>
                <w:szCs w:val="22"/>
              </w:rPr>
              <w:t>Noteikumu projektā ietverti nosacījumi attiecībā uz pārkāpumiem, “</w:t>
            </w:r>
            <w:r w:rsidRPr="00B068CA">
              <w:rPr>
                <w:i/>
                <w:iCs/>
                <w:sz w:val="22"/>
                <w:szCs w:val="22"/>
              </w:rPr>
              <w:t>par kuriem atceļamas tiesības pārdot no atjaunojamiem energoresursiem saražoto elektroenerģiju obligātā iepirkuma ietvaros, kā arī kārtību, kādā tās atceļamas</w:t>
            </w:r>
            <w:r w:rsidRPr="00B068CA">
              <w:rPr>
                <w:sz w:val="22"/>
                <w:szCs w:val="22"/>
              </w:rPr>
              <w:t>” (noteikumu projekta 1.10.punkts); un “</w:t>
            </w:r>
            <w:r w:rsidRPr="00B068CA">
              <w:rPr>
                <w:i/>
                <w:iCs/>
                <w:sz w:val="22"/>
                <w:szCs w:val="22"/>
              </w:rPr>
              <w:t>nosacījumus un metodiku nepamatoti vai nelikumīgi saņemtā valsts atbalsta atgūšanai par elektroenerģijas ražošanu no atjaunojamiem energoresursiem</w:t>
            </w:r>
            <w:r w:rsidRPr="00B068CA">
              <w:rPr>
                <w:sz w:val="22"/>
                <w:szCs w:val="22"/>
              </w:rPr>
              <w:t>” (noteikumu projekta 1.12.punkts), taču noteikumi ir par nosacījumiem ražojot elektroenerģiju koģenerācijā, t.sk. ne tikai no atjaunojamiem energoresursiem. Līdz ar to lūdzam precizēt noteikumu projektu.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352629C" w14:textId="77777777" w:rsidR="00FA348E" w:rsidRPr="00B068CA" w:rsidRDefault="00F51DB4" w:rsidP="00F51DB4">
            <w:pPr>
              <w:pStyle w:val="NormalWeb"/>
              <w:spacing w:before="0" w:beforeAutospacing="0"/>
              <w:jc w:val="center"/>
              <w:rPr>
                <w:b/>
                <w:sz w:val="22"/>
                <w:szCs w:val="22"/>
              </w:rPr>
            </w:pPr>
            <w:r w:rsidRPr="00B068CA">
              <w:rPr>
                <w:b/>
                <w:sz w:val="22"/>
                <w:szCs w:val="22"/>
              </w:rPr>
              <w:t>Ņemts vērā</w:t>
            </w:r>
          </w:p>
          <w:p w14:paraId="764CF2AB" w14:textId="2086679F" w:rsidR="004E391F" w:rsidRPr="00B068CA" w:rsidRDefault="004E391F" w:rsidP="004E391F">
            <w:pPr>
              <w:pStyle w:val="NormalWeb"/>
              <w:spacing w:before="0" w:beforeAutospacing="0"/>
              <w:rPr>
                <w:bCs/>
                <w:sz w:val="22"/>
                <w:szCs w:val="22"/>
              </w:rPr>
            </w:pP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946C2A3" w14:textId="77777777" w:rsidR="00FA348E" w:rsidRPr="00E70ADE" w:rsidRDefault="004E391F" w:rsidP="00E8546C">
            <w:pPr>
              <w:spacing w:before="120"/>
              <w:ind w:right="115"/>
              <w:jc w:val="both"/>
              <w:rPr>
                <w:sz w:val="22"/>
                <w:szCs w:val="22"/>
              </w:rPr>
            </w:pPr>
            <w:r w:rsidRPr="00E70ADE">
              <w:rPr>
                <w:sz w:val="22"/>
                <w:szCs w:val="22"/>
              </w:rPr>
              <w:t>Projekta 1.10. un 1.12. apakšpunkts precizēts šādā redakcijā:</w:t>
            </w:r>
          </w:p>
          <w:p w14:paraId="36678B8E" w14:textId="32C39925" w:rsidR="004E391F" w:rsidRPr="00E70ADE" w:rsidRDefault="004E391F" w:rsidP="004E391F">
            <w:pPr>
              <w:shd w:val="clear" w:color="auto" w:fill="FFFFFF"/>
              <w:rPr>
                <w:sz w:val="22"/>
                <w:szCs w:val="22"/>
              </w:rPr>
            </w:pPr>
            <w:r w:rsidRPr="00E70ADE">
              <w:rPr>
                <w:sz w:val="22"/>
                <w:szCs w:val="22"/>
              </w:rPr>
              <w:t>“1.10. pārkāpumus, par kuriem atceļamas obligātā iepirkuma tiesības vai garantētās maksas tiesības, kā arī kārtību, kādā tās atceļamas;</w:t>
            </w:r>
          </w:p>
          <w:p w14:paraId="65ECA06A" w14:textId="0E801D47" w:rsidR="004E391F" w:rsidRPr="00E70ADE" w:rsidRDefault="004E391F" w:rsidP="004E391F">
            <w:pPr>
              <w:shd w:val="clear" w:color="auto" w:fill="FFFFFF"/>
              <w:jc w:val="both"/>
              <w:rPr>
                <w:sz w:val="22"/>
                <w:szCs w:val="22"/>
              </w:rPr>
            </w:pPr>
            <w:r w:rsidRPr="00E70ADE">
              <w:rPr>
                <w:sz w:val="22"/>
                <w:szCs w:val="22"/>
              </w:rPr>
              <w:t xml:space="preserve">1.12. nosacījumus un metodiku nepamatoti vai nelikumīgi saņemtā valsts atbalsta atgūšanai par elektroenerģijas ražošanu </w:t>
            </w:r>
            <w:r w:rsidR="002C593D">
              <w:rPr>
                <w:sz w:val="22"/>
                <w:szCs w:val="22"/>
              </w:rPr>
              <w:t>koģenerācijā</w:t>
            </w:r>
            <w:r w:rsidRPr="00E70ADE">
              <w:rPr>
                <w:sz w:val="22"/>
                <w:szCs w:val="22"/>
              </w:rPr>
              <w:t>.”</w:t>
            </w:r>
          </w:p>
          <w:p w14:paraId="0106726D" w14:textId="735E71F5" w:rsidR="004E391F" w:rsidRPr="00E70ADE" w:rsidRDefault="004E391F" w:rsidP="00E8546C">
            <w:pPr>
              <w:spacing w:before="120"/>
              <w:ind w:right="115"/>
              <w:jc w:val="both"/>
              <w:rPr>
                <w:sz w:val="22"/>
                <w:szCs w:val="22"/>
              </w:rPr>
            </w:pPr>
          </w:p>
        </w:tc>
        <w:tc>
          <w:tcPr>
            <w:tcW w:w="1318" w:type="dxa"/>
          </w:tcPr>
          <w:p w14:paraId="6F606D14" w14:textId="77777777" w:rsidR="00FA348E" w:rsidRPr="00E70ADE" w:rsidRDefault="00FA348E" w:rsidP="00E247C4">
            <w:pPr>
              <w:jc w:val="both"/>
              <w:rPr>
                <w:sz w:val="22"/>
                <w:szCs w:val="22"/>
              </w:rPr>
            </w:pPr>
          </w:p>
        </w:tc>
      </w:tr>
      <w:tr w:rsidR="00E8546C" w:rsidRPr="00E70ADE" w14:paraId="0C892B61"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D02BA84" w14:textId="77777777" w:rsidR="00E8546C" w:rsidRPr="00E70ADE" w:rsidRDefault="00E8546C"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CBA1A9E" w14:textId="77777777" w:rsidR="00E8546C" w:rsidRPr="00E70ADE" w:rsidRDefault="00E8546C" w:rsidP="00E8546C">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A259761" w14:textId="77777777" w:rsidR="00E8546C" w:rsidRPr="00B068CA" w:rsidRDefault="00E8546C" w:rsidP="00E8546C">
            <w:pPr>
              <w:tabs>
                <w:tab w:val="left" w:pos="1134"/>
              </w:tabs>
              <w:spacing w:after="160" w:line="252" w:lineRule="auto"/>
              <w:contextualSpacing/>
              <w:jc w:val="center"/>
              <w:rPr>
                <w:rFonts w:eastAsia="Calibri"/>
                <w:b/>
                <w:bCs/>
                <w:sz w:val="22"/>
                <w:szCs w:val="22"/>
              </w:rPr>
            </w:pPr>
          </w:p>
          <w:p w14:paraId="2B9593A7" w14:textId="244E47CF" w:rsidR="00E8546C" w:rsidRPr="00B068CA" w:rsidRDefault="00E8546C" w:rsidP="00E8546C">
            <w:pPr>
              <w:tabs>
                <w:tab w:val="left" w:pos="1134"/>
              </w:tabs>
              <w:spacing w:after="160" w:line="252" w:lineRule="auto"/>
              <w:contextualSpacing/>
              <w:jc w:val="center"/>
              <w:rPr>
                <w:rFonts w:eastAsia="Calibri"/>
                <w:b/>
                <w:bCs/>
                <w:sz w:val="22"/>
                <w:szCs w:val="22"/>
              </w:rPr>
            </w:pPr>
            <w:r w:rsidRPr="00B068CA">
              <w:rPr>
                <w:rFonts w:eastAsia="Calibri"/>
                <w:b/>
                <w:bCs/>
                <w:sz w:val="22"/>
                <w:szCs w:val="22"/>
              </w:rPr>
              <w:t>Finanšu ministrija (27.08.2020.)</w:t>
            </w:r>
          </w:p>
          <w:p w14:paraId="4798DBED" w14:textId="1C9F3E48" w:rsidR="00E8546C" w:rsidRPr="00B068CA" w:rsidRDefault="00E8546C" w:rsidP="00E8546C">
            <w:pPr>
              <w:shd w:val="clear" w:color="auto" w:fill="FFFFFF"/>
              <w:jc w:val="both"/>
              <w:rPr>
                <w:sz w:val="22"/>
                <w:szCs w:val="22"/>
              </w:rPr>
            </w:pPr>
            <w:r w:rsidRPr="00B068CA">
              <w:rPr>
                <w:sz w:val="22"/>
                <w:szCs w:val="22"/>
                <w:shd w:val="clear" w:color="auto" w:fill="FFFFFF"/>
              </w:rPr>
              <w:lastRenderedPageBreak/>
              <w:t xml:space="preserve">2.Ņemot vērā ETL </w:t>
            </w:r>
            <w:r w:rsidRPr="00B068CA">
              <w:rPr>
                <w:sz w:val="22"/>
                <w:szCs w:val="22"/>
              </w:rPr>
              <w:t xml:space="preserve">noteikto </w:t>
            </w:r>
            <w:r w:rsidRPr="00B068CA">
              <w:rPr>
                <w:sz w:val="22"/>
                <w:szCs w:val="22"/>
                <w:shd w:val="clear" w:color="auto" w:fill="FFFFFF"/>
              </w:rPr>
              <w:t>elektrostacijas dzīves ciklā ietilpstošu atbalsta periodu, kurā tiek ieskaitīts visu veidu atbalsts elektroenerģijas ražošanai, t.sk. gan vēsturiskais atbalsts</w:t>
            </w:r>
            <w:r w:rsidRPr="00B068CA">
              <w:rPr>
                <w:sz w:val="22"/>
                <w:szCs w:val="22"/>
              </w:rPr>
              <w:t xml:space="preserve"> dubultā tarifa veidā</w:t>
            </w:r>
            <w:r w:rsidRPr="00B068CA">
              <w:rPr>
                <w:sz w:val="22"/>
                <w:szCs w:val="22"/>
                <w:shd w:val="clear" w:color="auto" w:fill="FFFFFF"/>
              </w:rPr>
              <w:t xml:space="preserve">, gan atbalsta pasākums saskaņā ar </w:t>
            </w:r>
            <w:r w:rsidRPr="00B068CA">
              <w:rPr>
                <w:sz w:val="22"/>
                <w:szCs w:val="22"/>
              </w:rPr>
              <w:t>EK lēmuma SA.43140, kā arī ETL 31.</w:t>
            </w:r>
            <w:r w:rsidRPr="00B068CA">
              <w:rPr>
                <w:sz w:val="22"/>
                <w:szCs w:val="22"/>
                <w:vertAlign w:val="superscript"/>
              </w:rPr>
              <w:t>4</w:t>
            </w:r>
            <w:r w:rsidRPr="00B068CA">
              <w:rPr>
                <w:sz w:val="22"/>
                <w:szCs w:val="22"/>
              </w:rPr>
              <w:t> pantā noteikto par elektroenerģijas ražotāju pārkompensācijas uzraudzību un novēršanu, kā arī ņemot vērā, ka tiek dzēsts 8.pielikums, lai nodrošinātu, ka BVKB ir skaidri nosacījumi, pēc kādiem uzraudzības procesā ir jāvērtē pasākuma atbilstība valsts atbalsta nosacījumiem, lūdzam noteikumus papildināt ar punktiem, kā BVKB nodrošina, t.sk. kādus dokumentus tas pieprasa komersantam, valsts atbalsta piešķiršanas pamata principu ievērošanu, kā arī pašus valsts atbalsta piešķiršanas pamata principus, proti:</w:t>
            </w:r>
          </w:p>
          <w:p w14:paraId="4E39DDA7" w14:textId="6D1378ED" w:rsidR="00E8546C" w:rsidRPr="00B068CA" w:rsidRDefault="00E8546C" w:rsidP="00E8546C">
            <w:pPr>
              <w:pStyle w:val="tv213"/>
              <w:shd w:val="clear" w:color="auto" w:fill="FFFFFF"/>
              <w:spacing w:before="0" w:beforeAutospacing="0" w:after="0" w:afterAutospacing="0"/>
              <w:jc w:val="both"/>
              <w:rPr>
                <w:sz w:val="22"/>
                <w:szCs w:val="22"/>
              </w:rPr>
            </w:pPr>
            <w:r w:rsidRPr="00B068CA">
              <w:rPr>
                <w:sz w:val="22"/>
                <w:szCs w:val="22"/>
              </w:rPr>
              <w:t>2.1.atbalstu piešķir vienīgi līdz iekārtu pilnīgai amortizācijai saskaņā ar parastajiem grāmatvedības noteikumiem, bet ne ilgāk kā 20 gadus kopš elektrostacijas nodošanas ekspluatācijā (Pamatnostādņu (2008) 109.punts un EK lēmuma SA.43140 81 un 83.punkts);</w:t>
            </w:r>
          </w:p>
          <w:p w14:paraId="4A9BEFDF" w14:textId="563A95E8" w:rsidR="00E8546C" w:rsidRPr="00E70ADE" w:rsidRDefault="00E8546C" w:rsidP="00E8546C">
            <w:pPr>
              <w:pStyle w:val="tv213"/>
              <w:shd w:val="clear" w:color="auto" w:fill="FFFFFF"/>
              <w:spacing w:before="0" w:beforeAutospacing="0" w:after="0" w:afterAutospacing="0"/>
              <w:jc w:val="both"/>
              <w:rPr>
                <w:sz w:val="22"/>
                <w:szCs w:val="22"/>
                <w:highlight w:val="yellow"/>
              </w:rPr>
            </w:pPr>
            <w:r w:rsidRPr="00B068CA">
              <w:rPr>
                <w:sz w:val="22"/>
                <w:szCs w:val="22"/>
              </w:rPr>
              <w:t xml:space="preserve">2.2.elektrostacijas kopējo kapitālieguldījumu iekšējās peļņas norma kopējam atbalsta periodam nepārsniedz Ministru kabineta noteikto kopējo kapitālieguldījumu iekšējās peļņas normas līmeni, kas nav augstāks par deviņiem procentiem. Ja ražotājam pirms minēto tiesību piešķiršanas ir piešķirts cits atbalsts elektroenerģijas ražošanai, to ieskaita elektrostacijas kopējo </w:t>
            </w:r>
            <w:r w:rsidRPr="00B068CA">
              <w:rPr>
                <w:sz w:val="22"/>
                <w:szCs w:val="22"/>
              </w:rPr>
              <w:lastRenderedPageBreak/>
              <w:t>kapitālieguldījumu iekšējās peļņas normas aprēķinā, turklāt šajā aprēķinā ieskaita periodu starp atbalsta periodiem, aprēķinā iekļaujot ieņēmumus, kas gūti no elektroenerģijas ražošanas, siltumenerģijas ražošanas, un ar siltumenerģijas un elektroenerģijas ražošanu saistītos izdevumus, kā arī investīcijas un elektrostacijai piešķirto un faktiski saņemto atbalstu, tostarp investīciju atbalstu elektroenerģijas ražošanai (Pamatnostādņu (2008) 109.punts un EK lēmuma SA.43140 81 un 83.punkts un ETL 31.</w:t>
            </w:r>
            <w:r w:rsidRPr="00B068CA">
              <w:rPr>
                <w:sz w:val="22"/>
                <w:szCs w:val="22"/>
                <w:vertAlign w:val="superscript"/>
              </w:rPr>
              <w:t>4</w:t>
            </w:r>
            <w:r w:rsidRPr="00B068CA">
              <w:rPr>
                <w:sz w:val="22"/>
                <w:szCs w:val="22"/>
              </w:rPr>
              <w:t xml:space="preserve"> pants). </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B4E1AFF" w14:textId="0AC3494F" w:rsidR="00E8546C" w:rsidRPr="00E70ADE" w:rsidRDefault="00E8546C" w:rsidP="00E8546C">
            <w:pPr>
              <w:pStyle w:val="NormalWeb"/>
              <w:spacing w:before="0" w:beforeAutospacing="0"/>
              <w:jc w:val="center"/>
              <w:rPr>
                <w:b/>
                <w:sz w:val="22"/>
                <w:szCs w:val="22"/>
              </w:rPr>
            </w:pPr>
            <w:r w:rsidRPr="00E70ADE">
              <w:rPr>
                <w:b/>
                <w:sz w:val="22"/>
                <w:szCs w:val="22"/>
              </w:rPr>
              <w:lastRenderedPageBreak/>
              <w:t>Daļēji 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0FDA4CB" w14:textId="77777777" w:rsidR="00E8546C" w:rsidRPr="00E70ADE" w:rsidRDefault="00E8546C" w:rsidP="00E8546C">
            <w:pPr>
              <w:shd w:val="clear" w:color="auto" w:fill="FFFFFF"/>
              <w:spacing w:after="120"/>
              <w:jc w:val="both"/>
              <w:rPr>
                <w:sz w:val="22"/>
                <w:szCs w:val="22"/>
              </w:rPr>
            </w:pPr>
          </w:p>
          <w:p w14:paraId="0D018A87" w14:textId="2AEC942F" w:rsidR="00E8546C" w:rsidRPr="00E70ADE" w:rsidRDefault="00E8546C" w:rsidP="00E8546C">
            <w:pPr>
              <w:shd w:val="clear" w:color="auto" w:fill="FFFFFF"/>
              <w:spacing w:after="120"/>
              <w:jc w:val="both"/>
              <w:rPr>
                <w:sz w:val="22"/>
                <w:szCs w:val="22"/>
              </w:rPr>
            </w:pPr>
            <w:r w:rsidRPr="00E70ADE">
              <w:rPr>
                <w:sz w:val="22"/>
                <w:szCs w:val="22"/>
              </w:rPr>
              <w:lastRenderedPageBreak/>
              <w:t>Projekta anotācijas I sadaļas 2. punkts papildināts šādā redakcijā:</w:t>
            </w:r>
          </w:p>
          <w:p w14:paraId="5E6E926F" w14:textId="002DBE54" w:rsidR="00E8546C" w:rsidRPr="00E70ADE" w:rsidRDefault="00E8546C" w:rsidP="00E8546C">
            <w:pPr>
              <w:shd w:val="clear" w:color="auto" w:fill="FFFFFF"/>
              <w:spacing w:after="120"/>
              <w:jc w:val="both"/>
              <w:rPr>
                <w:sz w:val="22"/>
                <w:szCs w:val="22"/>
              </w:rPr>
            </w:pPr>
            <w:r w:rsidRPr="00E70ADE">
              <w:rPr>
                <w:sz w:val="22"/>
                <w:szCs w:val="22"/>
              </w:rPr>
              <w:t>“</w:t>
            </w:r>
            <w:r w:rsidR="00CA166A" w:rsidRPr="00E70ADE">
              <w:rPr>
                <w:sz w:val="22"/>
                <w:szCs w:val="22"/>
              </w:rPr>
              <w:t xml:space="preserve">Projekts paredz, ka komersantiem, kuri ieguvuši obligātā iepirkuma tiesības, atbalstu piešķir atbilstoši projektā minētajiem termiņiem, bet ne ilgāk kā līdz elektrostacijas pamatlīdzekļu pilnam nolietojumam saskaņā ar normatīvajiem aktiem par grāmatvedības prasībām. </w:t>
            </w:r>
            <w:r w:rsidR="00213595" w:rsidRPr="00E70ADE">
              <w:rPr>
                <w:sz w:val="22"/>
                <w:szCs w:val="22"/>
              </w:rPr>
              <w:t>Latvija, saskaņojot atbalstu ar Eiropas Komisiju, ir apstiprinājusi, ka atbalsta kopējais periods nepārsniedz parasto amortizācijas laiku šā veida aktīviem, proti,  atbalsts var tikt piešķirts tikai līdz stacijas pilnīgai amortizācijai.</w:t>
            </w:r>
            <w:r w:rsidRPr="00E70ADE">
              <w:rPr>
                <w:sz w:val="22"/>
                <w:szCs w:val="22"/>
              </w:rPr>
              <w:t>”</w:t>
            </w:r>
          </w:p>
        </w:tc>
        <w:tc>
          <w:tcPr>
            <w:tcW w:w="1318" w:type="dxa"/>
          </w:tcPr>
          <w:p w14:paraId="52F49872" w14:textId="77777777" w:rsidR="00E8546C" w:rsidRPr="00E70ADE" w:rsidRDefault="00E8546C" w:rsidP="00E8546C">
            <w:pPr>
              <w:jc w:val="both"/>
              <w:rPr>
                <w:sz w:val="22"/>
                <w:szCs w:val="22"/>
              </w:rPr>
            </w:pPr>
          </w:p>
        </w:tc>
      </w:tr>
      <w:tr w:rsidR="00E8546C" w:rsidRPr="00E70ADE" w14:paraId="2D7B9136"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846FE97" w14:textId="77777777" w:rsidR="00E8546C" w:rsidRPr="00E70ADE" w:rsidRDefault="00E8546C"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6A1D12F" w14:textId="77777777" w:rsidR="00E8546C" w:rsidRPr="00E70ADE" w:rsidRDefault="00E8546C" w:rsidP="00E8546C">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89956D2" w14:textId="1DA4905B" w:rsidR="00E8546C" w:rsidRPr="00E70ADE" w:rsidRDefault="00E8546C" w:rsidP="00E8546C">
            <w:pPr>
              <w:tabs>
                <w:tab w:val="left" w:pos="1134"/>
              </w:tabs>
              <w:spacing w:after="160" w:line="252" w:lineRule="auto"/>
              <w:contextualSpacing/>
              <w:jc w:val="center"/>
              <w:rPr>
                <w:rFonts w:eastAsia="Calibri"/>
                <w:b/>
                <w:bCs/>
                <w:sz w:val="22"/>
                <w:szCs w:val="22"/>
              </w:rPr>
            </w:pPr>
            <w:r w:rsidRPr="00E70ADE">
              <w:rPr>
                <w:rFonts w:eastAsia="Calibri"/>
                <w:b/>
                <w:bCs/>
                <w:sz w:val="22"/>
                <w:szCs w:val="22"/>
              </w:rPr>
              <w:t>Finanšu ministrija (27.08.2020.)</w:t>
            </w:r>
          </w:p>
          <w:p w14:paraId="08E2A1E3" w14:textId="12E45176" w:rsidR="00E8546C" w:rsidRPr="00E70ADE" w:rsidRDefault="00E8546C" w:rsidP="00E8546C">
            <w:pPr>
              <w:jc w:val="both"/>
              <w:rPr>
                <w:sz w:val="22"/>
                <w:szCs w:val="22"/>
              </w:rPr>
            </w:pPr>
            <w:r w:rsidRPr="00E70ADE">
              <w:rPr>
                <w:sz w:val="22"/>
                <w:szCs w:val="22"/>
              </w:rPr>
              <w:t xml:space="preserve">Anotācijā minēts, ka </w:t>
            </w:r>
            <w:r w:rsidRPr="00E70ADE">
              <w:rPr>
                <w:i/>
                <w:iCs/>
                <w:sz w:val="22"/>
                <w:szCs w:val="22"/>
              </w:rPr>
              <w:t>“tādējādi projekta normās, kas nosaka IRR aprēķina regulējumu, minētais “pagātnes periods” un “nākotnes periods” ir jāuzskata kā atbalsta perioda daļa atbilstoši ETL definīcijai, atkarībā no tā, kurā brīdī šī definīcija tiek izmantota.”</w:t>
            </w:r>
            <w:r w:rsidRPr="00E70ADE">
              <w:rPr>
                <w:sz w:val="22"/>
                <w:szCs w:val="22"/>
              </w:rPr>
              <w:t xml:space="preserve"> Noteikumu projektā nav iekļauts IRR aprēķins, kurā būtu iekļauti termini “pagātnes periods” un “nākotnes periods”, līdz ar to lūdzam noteikumu projektā iekļaujot IRR aprēķinu 20 gadiem kopš elektrostacijas nodošanas ekspluatācijā, lietot ETL lietoto terminoloģiju. Attiecīgi lūdzam precizēt arī anotāciju, dzēšot iepriekš citēto informāciju.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9694293" w14:textId="668F0918" w:rsidR="00E8546C" w:rsidRPr="00E70ADE" w:rsidRDefault="00E8546C" w:rsidP="00E8546C">
            <w:pPr>
              <w:pStyle w:val="NormalWeb"/>
              <w:spacing w:before="0" w:beforeAutospacing="0"/>
              <w:jc w:val="center"/>
              <w:rPr>
                <w:b/>
                <w:sz w:val="22"/>
                <w:szCs w:val="22"/>
              </w:rPr>
            </w:pPr>
            <w:r w:rsidRPr="00E70ADE">
              <w:rPr>
                <w:b/>
                <w:sz w:val="22"/>
                <w:szCs w:val="22"/>
              </w:rPr>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EB9F2DA" w14:textId="120C8794" w:rsidR="00E8546C" w:rsidRPr="00E70ADE" w:rsidRDefault="00E8546C" w:rsidP="00E8546C">
            <w:pPr>
              <w:shd w:val="clear" w:color="auto" w:fill="FFFFFF"/>
              <w:spacing w:after="120"/>
              <w:jc w:val="both"/>
              <w:rPr>
                <w:sz w:val="22"/>
                <w:szCs w:val="22"/>
              </w:rPr>
            </w:pPr>
            <w:r w:rsidRPr="00E70ADE">
              <w:rPr>
                <w:sz w:val="22"/>
                <w:szCs w:val="22"/>
              </w:rPr>
              <w:t xml:space="preserve">Projekta anotācijas I sadaļas 2. punkts </w:t>
            </w:r>
            <w:r w:rsidR="00EA387C" w:rsidRPr="00E70ADE">
              <w:rPr>
                <w:sz w:val="22"/>
                <w:szCs w:val="22"/>
              </w:rPr>
              <w:t>precizēt</w:t>
            </w:r>
            <w:r w:rsidRPr="00E70ADE">
              <w:rPr>
                <w:sz w:val="22"/>
                <w:szCs w:val="22"/>
              </w:rPr>
              <w:t>s šādā redakcijā:</w:t>
            </w:r>
          </w:p>
          <w:p w14:paraId="562BFBAF" w14:textId="3443FB25" w:rsidR="00E8546C" w:rsidRPr="00E70ADE" w:rsidRDefault="00E8546C" w:rsidP="00E8546C">
            <w:pPr>
              <w:shd w:val="clear" w:color="auto" w:fill="FFFFFF"/>
              <w:spacing w:after="120"/>
              <w:jc w:val="both"/>
              <w:rPr>
                <w:sz w:val="22"/>
                <w:szCs w:val="22"/>
              </w:rPr>
            </w:pPr>
            <w:r w:rsidRPr="00E70ADE">
              <w:rPr>
                <w:sz w:val="22"/>
                <w:szCs w:val="22"/>
              </w:rPr>
              <w:t>“Jēdziens “atbalsta periods” projektā tiek lietots atbilstoši ETL 1. panta otrajā daļā ietvertajai atbalsta perioda definīcijai: atbalsta periods - elektrostacijas dzīves ciklā ietilpstošs periods, kurā elektrostacija saņem valsts atbalstu elektroenerģijas ražošanai no atjaunojamiem energoresursiem vai koģenerācijā vai citu darbības atbalstu elektroenerģijas ražošanai.”</w:t>
            </w:r>
          </w:p>
        </w:tc>
        <w:tc>
          <w:tcPr>
            <w:tcW w:w="1318" w:type="dxa"/>
          </w:tcPr>
          <w:p w14:paraId="70635332" w14:textId="77777777" w:rsidR="00E8546C" w:rsidRPr="00E70ADE" w:rsidRDefault="00E8546C" w:rsidP="00E8546C">
            <w:pPr>
              <w:jc w:val="both"/>
              <w:rPr>
                <w:sz w:val="22"/>
                <w:szCs w:val="22"/>
              </w:rPr>
            </w:pPr>
          </w:p>
        </w:tc>
      </w:tr>
      <w:tr w:rsidR="00E8546C" w:rsidRPr="00E70ADE" w14:paraId="287DBF2E" w14:textId="77777777" w:rsidTr="002A170A">
        <w:trPr>
          <w:trHeight w:val="447"/>
          <w:tblCellSpacing w:w="0" w:type="dxa"/>
        </w:trPr>
        <w:tc>
          <w:tcPr>
            <w:tcW w:w="87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EA7B0BA" w14:textId="77777777" w:rsidR="00E8546C" w:rsidRPr="00E70ADE" w:rsidRDefault="00E8546C" w:rsidP="00BF3217">
            <w:pPr>
              <w:pStyle w:val="naisc"/>
              <w:numPr>
                <w:ilvl w:val="0"/>
                <w:numId w:val="47"/>
              </w:numPr>
              <w:spacing w:before="0" w:after="0"/>
              <w:jc w:val="left"/>
              <w:rPr>
                <w:sz w:val="22"/>
                <w:szCs w:val="22"/>
              </w:rPr>
            </w:pPr>
          </w:p>
        </w:tc>
        <w:tc>
          <w:tcPr>
            <w:tcW w:w="33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23397E0" w14:textId="77777777" w:rsidR="00E8546C" w:rsidRPr="00E70ADE" w:rsidRDefault="00E8546C" w:rsidP="00E8546C">
            <w:pPr>
              <w:shd w:val="clear" w:color="auto" w:fill="FFFFFF"/>
              <w:spacing w:after="120"/>
              <w:jc w:val="both"/>
              <w:rPr>
                <w:sz w:val="22"/>
                <w:szCs w:val="22"/>
              </w:rPr>
            </w:pPr>
          </w:p>
        </w:tc>
        <w:tc>
          <w:tcPr>
            <w:tcW w:w="37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C747911" w14:textId="77777777" w:rsidR="00E8546C" w:rsidRPr="00E70ADE" w:rsidRDefault="00E8546C" w:rsidP="00E8546C">
            <w:pPr>
              <w:tabs>
                <w:tab w:val="left" w:pos="1134"/>
              </w:tabs>
              <w:spacing w:after="160" w:line="252" w:lineRule="auto"/>
              <w:contextualSpacing/>
              <w:jc w:val="center"/>
              <w:rPr>
                <w:rFonts w:eastAsia="Calibri"/>
                <w:b/>
                <w:bCs/>
                <w:sz w:val="22"/>
                <w:szCs w:val="22"/>
              </w:rPr>
            </w:pPr>
            <w:r w:rsidRPr="00E70ADE">
              <w:rPr>
                <w:rFonts w:eastAsia="Calibri"/>
                <w:b/>
                <w:bCs/>
                <w:sz w:val="22"/>
                <w:szCs w:val="22"/>
              </w:rPr>
              <w:t>Finanšu ministrija (27.08.2020.)</w:t>
            </w:r>
          </w:p>
          <w:p w14:paraId="2B5570E5" w14:textId="77777777" w:rsidR="00E8546C" w:rsidRPr="00E70ADE" w:rsidRDefault="00E8546C" w:rsidP="00E8546C">
            <w:pPr>
              <w:tabs>
                <w:tab w:val="left" w:pos="1134"/>
              </w:tabs>
              <w:spacing w:after="160" w:line="252" w:lineRule="auto"/>
              <w:contextualSpacing/>
              <w:jc w:val="center"/>
              <w:rPr>
                <w:rFonts w:eastAsia="Calibri"/>
                <w:b/>
                <w:bCs/>
                <w:sz w:val="22"/>
                <w:szCs w:val="22"/>
              </w:rPr>
            </w:pPr>
            <w:r w:rsidRPr="00E70ADE">
              <w:rPr>
                <w:rFonts w:eastAsia="Calibri"/>
                <w:b/>
                <w:bCs/>
                <w:sz w:val="22"/>
                <w:szCs w:val="22"/>
              </w:rPr>
              <w:t>Priekšlikums</w:t>
            </w:r>
          </w:p>
          <w:p w14:paraId="40565114" w14:textId="07D8D45E" w:rsidR="00E8546C" w:rsidRPr="00E70ADE" w:rsidRDefault="00E8546C" w:rsidP="00E8546C">
            <w:pPr>
              <w:shd w:val="clear" w:color="auto" w:fill="FFFFFF"/>
              <w:jc w:val="both"/>
              <w:rPr>
                <w:sz w:val="22"/>
                <w:szCs w:val="22"/>
              </w:rPr>
            </w:pPr>
            <w:r w:rsidRPr="00E70ADE">
              <w:rPr>
                <w:sz w:val="22"/>
                <w:szCs w:val="22"/>
              </w:rPr>
              <w:t xml:space="preserve">Lūdzam Ministru kabineta noteikumu projekta “Noteikumi par elektroenerģijas ražošanu, izmantojot atjaunojamos energoresursus, cenu noteikšanas kārtību un uzraudzību” un Ministru kabineta </w:t>
            </w:r>
            <w:r w:rsidRPr="00E70ADE">
              <w:rPr>
                <w:sz w:val="22"/>
                <w:szCs w:val="22"/>
              </w:rPr>
              <w:lastRenderedPageBreak/>
              <w:t>noteikumu projekta Noteikumi par elektroenerģijas ražošanu, uzraudzību un cenu noteikšanu, ražojot elektroenerģiju koģenerācijā” 42.punkta pēdējo teikumu precizēt redakcionāli, jo brīdinājumu attiecina vai neattiecina uz komersantu, nevis uz nodokļu parādiem.</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A714AE6" w14:textId="53FA1CA0" w:rsidR="00E8546C" w:rsidRPr="00E70ADE" w:rsidRDefault="00753C0D" w:rsidP="00753C0D">
            <w:pPr>
              <w:pStyle w:val="NormalWeb"/>
              <w:spacing w:before="0" w:beforeAutospacing="0"/>
              <w:jc w:val="center"/>
              <w:rPr>
                <w:b/>
                <w:sz w:val="22"/>
                <w:szCs w:val="22"/>
              </w:rPr>
            </w:pPr>
            <w:r w:rsidRPr="00E70ADE">
              <w:rPr>
                <w:b/>
                <w:sz w:val="22"/>
                <w:szCs w:val="22"/>
              </w:rPr>
              <w:lastRenderedPageBreak/>
              <w:t>Ņemts vērā</w:t>
            </w:r>
          </w:p>
        </w:tc>
        <w:tc>
          <w:tcPr>
            <w:tcW w:w="349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10FEF3" w14:textId="0B20A2DD" w:rsidR="00E8546C" w:rsidRPr="00E70ADE" w:rsidRDefault="00753C0D" w:rsidP="00E8546C">
            <w:pPr>
              <w:shd w:val="clear" w:color="auto" w:fill="FFFFFF"/>
              <w:spacing w:after="120"/>
              <w:jc w:val="both"/>
              <w:rPr>
                <w:sz w:val="22"/>
                <w:szCs w:val="22"/>
              </w:rPr>
            </w:pPr>
            <w:r w:rsidRPr="00E70ADE">
              <w:rPr>
                <w:sz w:val="22"/>
                <w:szCs w:val="22"/>
              </w:rPr>
              <w:t>Projekta 41. punkts precizēts šādā redakcijā:</w:t>
            </w:r>
          </w:p>
          <w:p w14:paraId="77534333" w14:textId="797F0DA5" w:rsidR="00753C0D" w:rsidRPr="00E70ADE" w:rsidRDefault="00753C0D" w:rsidP="00E8546C">
            <w:pPr>
              <w:shd w:val="clear" w:color="auto" w:fill="FFFFFF"/>
              <w:spacing w:after="120"/>
              <w:jc w:val="both"/>
              <w:rPr>
                <w:sz w:val="22"/>
                <w:szCs w:val="22"/>
              </w:rPr>
            </w:pPr>
            <w:r w:rsidRPr="00E70ADE">
              <w:rPr>
                <w:sz w:val="22"/>
                <w:szCs w:val="22"/>
              </w:rPr>
              <w:t xml:space="preserve">“[..] Šajā punktā minēto brīdinājumu komersantam neizsaka, ja komersanta nodokļu parādu kopsumma pārsniedz 150 </w:t>
            </w:r>
            <w:proofErr w:type="spellStart"/>
            <w:r w:rsidRPr="00E70ADE">
              <w:rPr>
                <w:i/>
                <w:iCs/>
                <w:sz w:val="22"/>
                <w:szCs w:val="22"/>
              </w:rPr>
              <w:t>euro</w:t>
            </w:r>
            <w:proofErr w:type="spellEnd"/>
            <w:r w:rsidRPr="00E70ADE">
              <w:rPr>
                <w:sz w:val="22"/>
                <w:szCs w:val="22"/>
              </w:rPr>
              <w:t xml:space="preserve">, bet par tiem ir ierosināts </w:t>
            </w:r>
            <w:r w:rsidRPr="00E70ADE">
              <w:rPr>
                <w:sz w:val="22"/>
                <w:szCs w:val="22"/>
              </w:rPr>
              <w:lastRenderedPageBreak/>
              <w:t>tiesiskās aizsardzības process, laika periodā no tiesiskās aizsardzības procesa ierosināšanas līdz izbeigšanas brīdim.”</w:t>
            </w:r>
          </w:p>
        </w:tc>
        <w:tc>
          <w:tcPr>
            <w:tcW w:w="1318" w:type="dxa"/>
          </w:tcPr>
          <w:p w14:paraId="50460013" w14:textId="77777777" w:rsidR="00E8546C" w:rsidRPr="00E70ADE" w:rsidRDefault="00E8546C" w:rsidP="00E8546C">
            <w:pPr>
              <w:jc w:val="both"/>
              <w:rPr>
                <w:sz w:val="22"/>
                <w:szCs w:val="22"/>
              </w:rPr>
            </w:pPr>
          </w:p>
        </w:tc>
      </w:tr>
      <w:tr w:rsidR="00E8546C" w:rsidRPr="00E70ADE" w14:paraId="71DA0CD9" w14:textId="77777777" w:rsidTr="002A170A">
        <w:trPr>
          <w:gridAfter w:val="2"/>
          <w:wAfter w:w="1806" w:type="dxa"/>
          <w:tblCellSpacing w:w="0" w:type="dxa"/>
        </w:trPr>
        <w:tc>
          <w:tcPr>
            <w:tcW w:w="4329" w:type="dxa"/>
            <w:gridSpan w:val="4"/>
            <w:tcBorders>
              <w:top w:val="nil"/>
              <w:left w:val="nil"/>
              <w:bottom w:val="nil"/>
              <w:right w:val="nil"/>
            </w:tcBorders>
            <w:vAlign w:val="center"/>
            <w:hideMark/>
          </w:tcPr>
          <w:p w14:paraId="1F5057A7" w14:textId="77777777" w:rsidR="00E8546C" w:rsidRPr="00E70ADE" w:rsidRDefault="00E8546C" w:rsidP="00E8546C">
            <w:pPr>
              <w:spacing w:before="120" w:after="75"/>
              <w:rPr>
                <w:sz w:val="22"/>
                <w:szCs w:val="22"/>
              </w:rPr>
            </w:pPr>
            <w:r w:rsidRPr="00E70ADE">
              <w:rPr>
                <w:sz w:val="22"/>
                <w:szCs w:val="22"/>
              </w:rPr>
              <w:t>Atbildīgā amatpersona</w:t>
            </w:r>
          </w:p>
        </w:tc>
        <w:tc>
          <w:tcPr>
            <w:tcW w:w="7406" w:type="dxa"/>
            <w:gridSpan w:val="2"/>
            <w:tcBorders>
              <w:top w:val="nil"/>
              <w:left w:val="nil"/>
              <w:bottom w:val="nil"/>
              <w:right w:val="nil"/>
            </w:tcBorders>
            <w:hideMark/>
          </w:tcPr>
          <w:p w14:paraId="683F5B5C" w14:textId="77777777" w:rsidR="00E8546C" w:rsidRPr="00E70ADE" w:rsidRDefault="00E8546C" w:rsidP="00E8546C">
            <w:pPr>
              <w:spacing w:after="120"/>
              <w:jc w:val="both"/>
              <w:rPr>
                <w:b/>
                <w:bCs/>
                <w:sz w:val="22"/>
                <w:szCs w:val="22"/>
              </w:rPr>
            </w:pPr>
          </w:p>
        </w:tc>
        <w:tc>
          <w:tcPr>
            <w:tcW w:w="3007" w:type="dxa"/>
            <w:tcBorders>
              <w:top w:val="nil"/>
              <w:left w:val="nil"/>
              <w:bottom w:val="nil"/>
              <w:right w:val="nil"/>
            </w:tcBorders>
            <w:hideMark/>
          </w:tcPr>
          <w:p w14:paraId="61A0D361" w14:textId="77777777" w:rsidR="00E8546C" w:rsidRPr="00E70ADE" w:rsidRDefault="00E8546C" w:rsidP="00E8546C">
            <w:pPr>
              <w:spacing w:after="120"/>
              <w:jc w:val="both"/>
              <w:rPr>
                <w:b/>
                <w:bCs/>
                <w:sz w:val="22"/>
                <w:szCs w:val="22"/>
              </w:rPr>
            </w:pPr>
          </w:p>
        </w:tc>
      </w:tr>
      <w:tr w:rsidR="00E8546C" w:rsidRPr="00E70ADE" w14:paraId="5D6A1F91" w14:textId="77777777" w:rsidTr="002A170A">
        <w:trPr>
          <w:gridAfter w:val="2"/>
          <w:wAfter w:w="1806" w:type="dxa"/>
          <w:trHeight w:val="237"/>
          <w:tblCellSpacing w:w="0" w:type="dxa"/>
        </w:trPr>
        <w:tc>
          <w:tcPr>
            <w:tcW w:w="4329" w:type="dxa"/>
            <w:gridSpan w:val="4"/>
            <w:tcBorders>
              <w:top w:val="nil"/>
              <w:left w:val="nil"/>
              <w:bottom w:val="nil"/>
              <w:right w:val="nil"/>
            </w:tcBorders>
            <w:vAlign w:val="center"/>
            <w:hideMark/>
          </w:tcPr>
          <w:p w14:paraId="552BCE27" w14:textId="6A9F6E2C" w:rsidR="00E8546C" w:rsidRPr="00E70ADE" w:rsidRDefault="00E8546C" w:rsidP="00E8546C">
            <w:pPr>
              <w:spacing w:before="75" w:after="75"/>
              <w:rPr>
                <w:sz w:val="22"/>
                <w:szCs w:val="22"/>
              </w:rPr>
            </w:pPr>
          </w:p>
        </w:tc>
        <w:tc>
          <w:tcPr>
            <w:tcW w:w="7406" w:type="dxa"/>
            <w:gridSpan w:val="2"/>
            <w:tcBorders>
              <w:top w:val="single" w:sz="8" w:space="0" w:color="000000" w:themeColor="text1"/>
              <w:left w:val="nil"/>
              <w:bottom w:val="nil"/>
              <w:right w:val="nil"/>
            </w:tcBorders>
            <w:vAlign w:val="center"/>
            <w:hideMark/>
          </w:tcPr>
          <w:p w14:paraId="0C90889C" w14:textId="77777777" w:rsidR="00E8546C" w:rsidRPr="00E70ADE" w:rsidRDefault="00E8546C" w:rsidP="00E8546C">
            <w:pPr>
              <w:spacing w:before="75" w:after="75"/>
              <w:jc w:val="both"/>
              <w:rPr>
                <w:sz w:val="22"/>
                <w:szCs w:val="22"/>
              </w:rPr>
            </w:pPr>
            <w:r w:rsidRPr="00E70ADE">
              <w:rPr>
                <w:sz w:val="22"/>
                <w:szCs w:val="22"/>
              </w:rPr>
              <w:t>(paraksts)*</w:t>
            </w:r>
          </w:p>
        </w:tc>
        <w:tc>
          <w:tcPr>
            <w:tcW w:w="3007" w:type="dxa"/>
            <w:tcBorders>
              <w:top w:val="nil"/>
              <w:left w:val="nil"/>
              <w:bottom w:val="nil"/>
              <w:right w:val="nil"/>
            </w:tcBorders>
            <w:vAlign w:val="center"/>
            <w:hideMark/>
          </w:tcPr>
          <w:p w14:paraId="1FD5855E" w14:textId="77777777" w:rsidR="00E8546C" w:rsidRPr="00E70ADE" w:rsidRDefault="00E8546C" w:rsidP="00E8546C">
            <w:pPr>
              <w:spacing w:before="75" w:after="75"/>
              <w:ind w:firstLine="375"/>
              <w:jc w:val="both"/>
              <w:rPr>
                <w:sz w:val="22"/>
                <w:szCs w:val="22"/>
              </w:rPr>
            </w:pPr>
            <w:r w:rsidRPr="00E70ADE">
              <w:rPr>
                <w:sz w:val="22"/>
                <w:szCs w:val="22"/>
              </w:rPr>
              <w:t> </w:t>
            </w:r>
          </w:p>
        </w:tc>
      </w:tr>
    </w:tbl>
    <w:p w14:paraId="4B49F543" w14:textId="77777777" w:rsidR="00BD6FD2" w:rsidRPr="00E70ADE" w:rsidRDefault="00BD6FD2" w:rsidP="00BD6FD2">
      <w:pPr>
        <w:jc w:val="both"/>
        <w:rPr>
          <w:sz w:val="22"/>
          <w:szCs w:val="22"/>
        </w:rPr>
      </w:pPr>
      <w:r w:rsidRPr="00E70ADE">
        <w:rPr>
          <w:sz w:val="22"/>
          <w:szCs w:val="22"/>
        </w:rPr>
        <w:t>Piezīme. * Dokumenta rekvizītu "paraksts" neaizpilda, ja elektroniskais dokuments ir sagatavots atbilstoši normatīvajiem aktiem par elektronisko dokumentu noformēšanu.</w:t>
      </w:r>
    </w:p>
    <w:p w14:paraId="6F52E148" w14:textId="3D3614BC" w:rsidR="00AE6D8E" w:rsidRPr="00E70ADE" w:rsidRDefault="00AE6D8E" w:rsidP="00BD6FD2">
      <w:pPr>
        <w:spacing w:before="75" w:after="75"/>
        <w:ind w:firstLine="375"/>
        <w:jc w:val="both"/>
        <w:rPr>
          <w:sz w:val="22"/>
          <w:szCs w:val="22"/>
        </w:rPr>
      </w:pPr>
    </w:p>
    <w:p w14:paraId="5EC64317" w14:textId="77777777" w:rsidR="00AA5833" w:rsidRPr="00E70ADE" w:rsidRDefault="00AA5833" w:rsidP="00BD6FD2">
      <w:pPr>
        <w:spacing w:before="75" w:after="75"/>
        <w:ind w:firstLine="375"/>
        <w:jc w:val="both"/>
        <w:rPr>
          <w:sz w:val="22"/>
          <w:szCs w:val="22"/>
        </w:rPr>
      </w:pPr>
    </w:p>
    <w:p w14:paraId="3820711B" w14:textId="47926A03" w:rsidR="009647CD" w:rsidRPr="00E70ADE" w:rsidRDefault="00015C9D" w:rsidP="009647CD">
      <w:pPr>
        <w:spacing w:after="75"/>
        <w:ind w:firstLine="374"/>
        <w:jc w:val="both"/>
        <w:rPr>
          <w:sz w:val="22"/>
          <w:szCs w:val="22"/>
        </w:rPr>
      </w:pPr>
      <w:r w:rsidRPr="00E70ADE">
        <w:rPr>
          <w:sz w:val="22"/>
          <w:szCs w:val="22"/>
        </w:rPr>
        <w:t>Aivars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AE739A" w:rsidRPr="00E70ADE" w14:paraId="46B3B5E6" w14:textId="77777777" w:rsidTr="00074BE1">
        <w:trPr>
          <w:tblCellSpacing w:w="0" w:type="dxa"/>
        </w:trPr>
        <w:tc>
          <w:tcPr>
            <w:tcW w:w="8265" w:type="dxa"/>
            <w:tcBorders>
              <w:top w:val="single" w:sz="8" w:space="0" w:color="000000"/>
              <w:left w:val="nil"/>
              <w:bottom w:val="nil"/>
              <w:right w:val="nil"/>
            </w:tcBorders>
            <w:hideMark/>
          </w:tcPr>
          <w:p w14:paraId="4F9FF62B" w14:textId="77777777" w:rsidR="009647CD" w:rsidRPr="00E70ADE" w:rsidRDefault="009647CD" w:rsidP="00074BE1">
            <w:pPr>
              <w:spacing w:before="120"/>
              <w:jc w:val="center"/>
              <w:rPr>
                <w:sz w:val="22"/>
                <w:szCs w:val="22"/>
              </w:rPr>
            </w:pPr>
            <w:r w:rsidRPr="00E70ADE">
              <w:rPr>
                <w:sz w:val="22"/>
                <w:szCs w:val="22"/>
              </w:rPr>
              <w:t>(par projektu atbildīgās amatpersonas vārds un uzvārds)</w:t>
            </w:r>
          </w:p>
        </w:tc>
      </w:tr>
      <w:tr w:rsidR="00AE739A" w:rsidRPr="00E70ADE" w14:paraId="3BB3625F" w14:textId="77777777" w:rsidTr="00074BE1">
        <w:trPr>
          <w:tblCellSpacing w:w="0" w:type="dxa"/>
        </w:trPr>
        <w:tc>
          <w:tcPr>
            <w:tcW w:w="8265" w:type="dxa"/>
            <w:tcBorders>
              <w:top w:val="nil"/>
              <w:left w:val="nil"/>
              <w:bottom w:val="single" w:sz="8" w:space="0" w:color="000000"/>
              <w:right w:val="nil"/>
            </w:tcBorders>
            <w:hideMark/>
          </w:tcPr>
          <w:p w14:paraId="77561011" w14:textId="50CA9554" w:rsidR="009647CD" w:rsidRPr="00E70ADE" w:rsidRDefault="009647CD" w:rsidP="00074BE1">
            <w:pPr>
              <w:spacing w:before="120"/>
              <w:ind w:firstLine="375"/>
              <w:jc w:val="both"/>
              <w:rPr>
                <w:sz w:val="22"/>
                <w:szCs w:val="22"/>
              </w:rPr>
            </w:pPr>
            <w:r w:rsidRPr="00E70ADE">
              <w:rPr>
                <w:sz w:val="22"/>
                <w:szCs w:val="22"/>
              </w:rPr>
              <w:t>Vecāk</w:t>
            </w:r>
            <w:r w:rsidR="00015C9D" w:rsidRPr="00E70ADE">
              <w:rPr>
                <w:sz w:val="22"/>
                <w:szCs w:val="22"/>
              </w:rPr>
              <w:t>ais</w:t>
            </w:r>
            <w:r w:rsidRPr="00E70ADE">
              <w:rPr>
                <w:sz w:val="22"/>
                <w:szCs w:val="22"/>
              </w:rPr>
              <w:t xml:space="preserve"> ekspert</w:t>
            </w:r>
            <w:r w:rsidR="00015C9D" w:rsidRPr="00E70ADE">
              <w:rPr>
                <w:sz w:val="22"/>
                <w:szCs w:val="22"/>
              </w:rPr>
              <w:t>s</w:t>
            </w:r>
          </w:p>
        </w:tc>
      </w:tr>
      <w:tr w:rsidR="00AE739A" w:rsidRPr="00E70ADE" w14:paraId="683EA928" w14:textId="77777777" w:rsidTr="00074BE1">
        <w:trPr>
          <w:tblCellSpacing w:w="0" w:type="dxa"/>
        </w:trPr>
        <w:tc>
          <w:tcPr>
            <w:tcW w:w="8265" w:type="dxa"/>
            <w:tcBorders>
              <w:top w:val="nil"/>
              <w:left w:val="nil"/>
              <w:bottom w:val="single" w:sz="8" w:space="0" w:color="000000"/>
              <w:right w:val="nil"/>
            </w:tcBorders>
            <w:vAlign w:val="center"/>
            <w:hideMark/>
          </w:tcPr>
          <w:p w14:paraId="6BD1BCA3" w14:textId="16BC9077" w:rsidR="009647CD" w:rsidRPr="00E70ADE" w:rsidRDefault="009647CD" w:rsidP="00074BE1">
            <w:pPr>
              <w:ind w:firstLine="374"/>
              <w:jc w:val="both"/>
              <w:rPr>
                <w:sz w:val="22"/>
                <w:szCs w:val="22"/>
              </w:rPr>
            </w:pPr>
            <w:r w:rsidRPr="00E70ADE">
              <w:rPr>
                <w:sz w:val="22"/>
                <w:szCs w:val="22"/>
              </w:rPr>
              <w:t>670132</w:t>
            </w:r>
            <w:r w:rsidR="00015C9D" w:rsidRPr="00E70ADE">
              <w:rPr>
                <w:sz w:val="22"/>
                <w:szCs w:val="22"/>
              </w:rPr>
              <w:t>49</w:t>
            </w:r>
          </w:p>
        </w:tc>
      </w:tr>
      <w:tr w:rsidR="009647CD" w:rsidRPr="00E70ADE" w14:paraId="72231E5A" w14:textId="77777777" w:rsidTr="00074BE1">
        <w:trPr>
          <w:tblCellSpacing w:w="0" w:type="dxa"/>
        </w:trPr>
        <w:tc>
          <w:tcPr>
            <w:tcW w:w="8265" w:type="dxa"/>
            <w:tcBorders>
              <w:top w:val="nil"/>
              <w:left w:val="nil"/>
              <w:bottom w:val="single" w:sz="8" w:space="0" w:color="000000"/>
              <w:right w:val="nil"/>
            </w:tcBorders>
            <w:vAlign w:val="center"/>
            <w:hideMark/>
          </w:tcPr>
          <w:p w14:paraId="46EC4BC2" w14:textId="1FF6DE7C" w:rsidR="009647CD" w:rsidRPr="00E70ADE" w:rsidRDefault="00015C9D" w:rsidP="00074BE1">
            <w:pPr>
              <w:spacing w:before="120"/>
              <w:ind w:firstLine="375"/>
              <w:jc w:val="both"/>
              <w:rPr>
                <w:sz w:val="22"/>
                <w:szCs w:val="22"/>
              </w:rPr>
            </w:pPr>
            <w:r w:rsidRPr="00E70ADE">
              <w:rPr>
                <w:sz w:val="22"/>
                <w:szCs w:val="22"/>
              </w:rPr>
              <w:t>aivars.neimanis</w:t>
            </w:r>
            <w:r w:rsidR="009647CD" w:rsidRPr="00E70ADE">
              <w:rPr>
                <w:sz w:val="22"/>
                <w:szCs w:val="22"/>
              </w:rPr>
              <w:t xml:space="preserve">@em.gov.lv </w:t>
            </w:r>
          </w:p>
        </w:tc>
      </w:tr>
    </w:tbl>
    <w:p w14:paraId="5E5D92EF" w14:textId="56D8040E" w:rsidR="00BD6FD2" w:rsidRPr="00E70ADE" w:rsidRDefault="00BD6FD2" w:rsidP="009647CD">
      <w:pPr>
        <w:spacing w:after="75"/>
        <w:ind w:firstLine="374"/>
        <w:jc w:val="both"/>
        <w:rPr>
          <w:sz w:val="22"/>
          <w:szCs w:val="22"/>
        </w:rPr>
      </w:pPr>
    </w:p>
    <w:sectPr w:rsidR="00BD6FD2" w:rsidRPr="00E70ADE" w:rsidSect="005B7A33">
      <w:headerReference w:type="even" r:id="rId28"/>
      <w:headerReference w:type="default" r:id="rId29"/>
      <w:footerReference w:type="default" r:id="rId30"/>
      <w:footerReference w:type="first" r:id="rId3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DF12" w14:textId="77777777" w:rsidR="00D17799" w:rsidRPr="0076341D" w:rsidRDefault="00D17799" w:rsidP="00667113">
      <w:pPr>
        <w:rPr>
          <w:sz w:val="22"/>
          <w:szCs w:val="22"/>
        </w:rPr>
      </w:pPr>
      <w:r w:rsidRPr="0076341D">
        <w:rPr>
          <w:sz w:val="22"/>
          <w:szCs w:val="22"/>
        </w:rPr>
        <w:separator/>
      </w:r>
    </w:p>
  </w:endnote>
  <w:endnote w:type="continuationSeparator" w:id="0">
    <w:p w14:paraId="02E4C027" w14:textId="77777777" w:rsidR="00D17799" w:rsidRPr="0076341D" w:rsidRDefault="00D17799" w:rsidP="00667113">
      <w:pPr>
        <w:rPr>
          <w:sz w:val="22"/>
          <w:szCs w:val="22"/>
        </w:rPr>
      </w:pPr>
      <w:r w:rsidRPr="0076341D">
        <w:rPr>
          <w:sz w:val="22"/>
          <w:szCs w:val="22"/>
        </w:rPr>
        <w:continuationSeparator/>
      </w:r>
    </w:p>
  </w:endnote>
  <w:endnote w:type="continuationNotice" w:id="1">
    <w:p w14:paraId="1A1DDC43" w14:textId="77777777" w:rsidR="00D17799" w:rsidRDefault="00D17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71AE58DF" w:rsidR="00D17799" w:rsidRPr="009647CD" w:rsidRDefault="00D17799"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EMIzz_280820_kogen.docx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358FE7C1" w:rsidR="00D17799" w:rsidRPr="000C3947" w:rsidRDefault="00D17799"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EMIzz_280820_kogen.docx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7469" w14:textId="77777777" w:rsidR="00D17799" w:rsidRPr="0076341D" w:rsidRDefault="00D17799" w:rsidP="00667113">
      <w:pPr>
        <w:rPr>
          <w:sz w:val="22"/>
          <w:szCs w:val="22"/>
        </w:rPr>
      </w:pPr>
      <w:r w:rsidRPr="0076341D">
        <w:rPr>
          <w:sz w:val="22"/>
          <w:szCs w:val="22"/>
        </w:rPr>
        <w:separator/>
      </w:r>
    </w:p>
  </w:footnote>
  <w:footnote w:type="continuationSeparator" w:id="0">
    <w:p w14:paraId="40F930D1" w14:textId="77777777" w:rsidR="00D17799" w:rsidRPr="0076341D" w:rsidRDefault="00D17799" w:rsidP="00667113">
      <w:pPr>
        <w:rPr>
          <w:sz w:val="22"/>
          <w:szCs w:val="22"/>
        </w:rPr>
      </w:pPr>
      <w:r w:rsidRPr="0076341D">
        <w:rPr>
          <w:sz w:val="22"/>
          <w:szCs w:val="22"/>
        </w:rPr>
        <w:continuationSeparator/>
      </w:r>
    </w:p>
  </w:footnote>
  <w:footnote w:type="continuationNotice" w:id="1">
    <w:p w14:paraId="519DC32E" w14:textId="77777777" w:rsidR="00D17799" w:rsidRDefault="00D17799"/>
  </w:footnote>
  <w:footnote w:id="2">
    <w:p w14:paraId="6BEE7F9E" w14:textId="77777777" w:rsidR="00D17799" w:rsidRDefault="00D17799" w:rsidP="00F51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D17799" w:rsidRPr="0076341D" w:rsidRDefault="00D17799"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D17799" w:rsidRPr="0076341D" w:rsidRDefault="00D17799">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D17799" w:rsidRPr="0076341D" w:rsidRDefault="00D17799"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D17799" w:rsidRPr="0076341D" w:rsidRDefault="00D1779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77E"/>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A285D79"/>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FE589B"/>
    <w:multiLevelType w:val="hybridMultilevel"/>
    <w:tmpl w:val="17765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8C383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0E297318"/>
    <w:multiLevelType w:val="hybridMultilevel"/>
    <w:tmpl w:val="265A8E9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10DB5252"/>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13083C6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75E2A78"/>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1C9F370F"/>
    <w:multiLevelType w:val="multilevel"/>
    <w:tmpl w:val="F3C22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8308FD"/>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42028F9"/>
    <w:multiLevelType w:val="multilevel"/>
    <w:tmpl w:val="4B462BB6"/>
    <w:lvl w:ilvl="0">
      <w:start w:val="1"/>
      <w:numFmt w:val="decimal"/>
      <w:lvlText w:val="%1."/>
      <w:lvlJc w:val="left"/>
      <w:pPr>
        <w:ind w:left="720" w:hanging="360"/>
      </w:pPr>
      <w:rPr>
        <w:rFonts w:eastAsia="Calibri"/>
      </w:r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1" w15:restartNumberingAfterBreak="0">
    <w:nsid w:val="252E051B"/>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DC51F3"/>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15:restartNumberingAfterBreak="0">
    <w:nsid w:val="33601C16"/>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4" w15:restartNumberingAfterBreak="0">
    <w:nsid w:val="350842AC"/>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5" w15:restartNumberingAfterBreak="0">
    <w:nsid w:val="3525111F"/>
    <w:multiLevelType w:val="hybridMultilevel"/>
    <w:tmpl w:val="EE364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D3019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E01D69"/>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E2644A"/>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9" w15:restartNumberingAfterBreak="0">
    <w:nsid w:val="3C3C772C"/>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0" w15:restartNumberingAfterBreak="0">
    <w:nsid w:val="3CC514B1"/>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15:restartNumberingAfterBreak="0">
    <w:nsid w:val="3CEB4F59"/>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2" w15:restartNumberingAfterBreak="0">
    <w:nsid w:val="3DE238C5"/>
    <w:multiLevelType w:val="multilevel"/>
    <w:tmpl w:val="032ADE82"/>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F364ABE"/>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4" w15:restartNumberingAfterBreak="0">
    <w:nsid w:val="43C5230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D47002"/>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937EBD"/>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7" w15:restartNumberingAfterBreak="0">
    <w:nsid w:val="51A74C80"/>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8" w15:restartNumberingAfterBreak="0">
    <w:nsid w:val="564A13B8"/>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9" w15:restartNumberingAfterBreak="0">
    <w:nsid w:val="58A624CA"/>
    <w:multiLevelType w:val="hybridMultilevel"/>
    <w:tmpl w:val="F6082F4A"/>
    <w:lvl w:ilvl="0" w:tplc="B07285BE">
      <w:start w:val="1"/>
      <w:numFmt w:val="decimal"/>
      <w:lvlText w:val="%1."/>
      <w:lvlJc w:val="left"/>
      <w:pPr>
        <w:ind w:left="1080" w:hanging="360"/>
      </w:pPr>
      <w:rPr>
        <w:b w:val="0"/>
        <w:bCs w:val="0"/>
      </w:rPr>
    </w:lvl>
    <w:lvl w:ilvl="1" w:tplc="07B4E4F2">
      <w:start w:val="1"/>
      <w:numFmt w:val="lowerLetter"/>
      <w:lvlText w:val="%2."/>
      <w:lvlJc w:val="left"/>
      <w:pPr>
        <w:ind w:left="1800" w:hanging="360"/>
      </w:pPr>
    </w:lvl>
    <w:lvl w:ilvl="2" w:tplc="975C3314">
      <w:start w:val="1"/>
      <w:numFmt w:val="lowerRoman"/>
      <w:lvlText w:val="%3."/>
      <w:lvlJc w:val="right"/>
      <w:pPr>
        <w:ind w:left="2520" w:hanging="180"/>
      </w:pPr>
    </w:lvl>
    <w:lvl w:ilvl="3" w:tplc="FDB26424">
      <w:start w:val="1"/>
      <w:numFmt w:val="decimal"/>
      <w:lvlText w:val="%4."/>
      <w:lvlJc w:val="left"/>
      <w:pPr>
        <w:ind w:left="3240" w:hanging="360"/>
      </w:pPr>
    </w:lvl>
    <w:lvl w:ilvl="4" w:tplc="3EC0BC30">
      <w:start w:val="1"/>
      <w:numFmt w:val="lowerLetter"/>
      <w:lvlText w:val="%5."/>
      <w:lvlJc w:val="left"/>
      <w:pPr>
        <w:ind w:left="3960" w:hanging="360"/>
      </w:pPr>
    </w:lvl>
    <w:lvl w:ilvl="5" w:tplc="165E5E02">
      <w:start w:val="1"/>
      <w:numFmt w:val="lowerRoman"/>
      <w:lvlText w:val="%6."/>
      <w:lvlJc w:val="right"/>
      <w:pPr>
        <w:ind w:left="4680" w:hanging="180"/>
      </w:pPr>
    </w:lvl>
    <w:lvl w:ilvl="6" w:tplc="0EAC57FC">
      <w:start w:val="1"/>
      <w:numFmt w:val="decimal"/>
      <w:lvlText w:val="%7."/>
      <w:lvlJc w:val="left"/>
      <w:pPr>
        <w:ind w:left="5400" w:hanging="360"/>
      </w:pPr>
    </w:lvl>
    <w:lvl w:ilvl="7" w:tplc="CC64D22E">
      <w:start w:val="1"/>
      <w:numFmt w:val="lowerLetter"/>
      <w:lvlText w:val="%8."/>
      <w:lvlJc w:val="left"/>
      <w:pPr>
        <w:ind w:left="6120" w:hanging="360"/>
      </w:pPr>
    </w:lvl>
    <w:lvl w:ilvl="8" w:tplc="BEC07732">
      <w:start w:val="1"/>
      <w:numFmt w:val="lowerRoman"/>
      <w:lvlText w:val="%9."/>
      <w:lvlJc w:val="right"/>
      <w:pPr>
        <w:ind w:left="6840" w:hanging="180"/>
      </w:pPr>
    </w:lvl>
  </w:abstractNum>
  <w:abstractNum w:abstractNumId="30" w15:restartNumberingAfterBreak="0">
    <w:nsid w:val="5A374005"/>
    <w:multiLevelType w:val="hybridMultilevel"/>
    <w:tmpl w:val="9FD41A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DD756F1"/>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2" w15:restartNumberingAfterBreak="0">
    <w:nsid w:val="5EF516B9"/>
    <w:multiLevelType w:val="hybridMultilevel"/>
    <w:tmpl w:val="0B52B79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A5CE7520">
      <w:start w:val="13"/>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3B15A5"/>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4" w15:restartNumberingAfterBreak="0">
    <w:nsid w:val="61390B12"/>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5" w15:restartNumberingAfterBreak="0">
    <w:nsid w:val="65CC108F"/>
    <w:multiLevelType w:val="hybridMultilevel"/>
    <w:tmpl w:val="AB94DA92"/>
    <w:lvl w:ilvl="0" w:tplc="CBDC31FA">
      <w:start w:val="1"/>
      <w:numFmt w:val="decimal"/>
      <w:lvlText w:val="%1."/>
      <w:lvlJc w:val="left"/>
      <w:pPr>
        <w:ind w:left="927"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6" w15:restartNumberingAfterBreak="0">
    <w:nsid w:val="65FA01DF"/>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7" w15:restartNumberingAfterBreak="1">
    <w:nsid w:val="675878C9"/>
    <w:multiLevelType w:val="hybridMultilevel"/>
    <w:tmpl w:val="074AF92A"/>
    <w:lvl w:ilvl="0" w:tplc="2E4455CC">
      <w:start w:val="1"/>
      <w:numFmt w:val="decimal"/>
      <w:lvlText w:val="%1."/>
      <w:lvlJc w:val="left"/>
      <w:pPr>
        <w:ind w:left="720" w:hanging="360"/>
      </w:pPr>
      <w:rPr>
        <w:rFonts w:hint="default"/>
      </w:rPr>
    </w:lvl>
    <w:lvl w:ilvl="1" w:tplc="DBB08940" w:tentative="1">
      <w:start w:val="1"/>
      <w:numFmt w:val="lowerLetter"/>
      <w:lvlText w:val="%2."/>
      <w:lvlJc w:val="left"/>
      <w:pPr>
        <w:ind w:left="1440" w:hanging="360"/>
      </w:pPr>
    </w:lvl>
    <w:lvl w:ilvl="2" w:tplc="F8349DB4" w:tentative="1">
      <w:start w:val="1"/>
      <w:numFmt w:val="lowerRoman"/>
      <w:lvlText w:val="%3."/>
      <w:lvlJc w:val="right"/>
      <w:pPr>
        <w:ind w:left="2160" w:hanging="180"/>
      </w:pPr>
    </w:lvl>
    <w:lvl w:ilvl="3" w:tplc="8B12BFB0" w:tentative="1">
      <w:start w:val="1"/>
      <w:numFmt w:val="decimal"/>
      <w:lvlText w:val="%4."/>
      <w:lvlJc w:val="left"/>
      <w:pPr>
        <w:ind w:left="2880" w:hanging="360"/>
      </w:pPr>
    </w:lvl>
    <w:lvl w:ilvl="4" w:tplc="3B24464C" w:tentative="1">
      <w:start w:val="1"/>
      <w:numFmt w:val="lowerLetter"/>
      <w:lvlText w:val="%5."/>
      <w:lvlJc w:val="left"/>
      <w:pPr>
        <w:ind w:left="3600" w:hanging="360"/>
      </w:pPr>
    </w:lvl>
    <w:lvl w:ilvl="5" w:tplc="23A4C002" w:tentative="1">
      <w:start w:val="1"/>
      <w:numFmt w:val="lowerRoman"/>
      <w:lvlText w:val="%6."/>
      <w:lvlJc w:val="right"/>
      <w:pPr>
        <w:ind w:left="4320" w:hanging="180"/>
      </w:pPr>
    </w:lvl>
    <w:lvl w:ilvl="6" w:tplc="A31A84B8" w:tentative="1">
      <w:start w:val="1"/>
      <w:numFmt w:val="decimal"/>
      <w:lvlText w:val="%7."/>
      <w:lvlJc w:val="left"/>
      <w:pPr>
        <w:ind w:left="5040" w:hanging="360"/>
      </w:pPr>
    </w:lvl>
    <w:lvl w:ilvl="7" w:tplc="2034E708" w:tentative="1">
      <w:start w:val="1"/>
      <w:numFmt w:val="lowerLetter"/>
      <w:lvlText w:val="%8."/>
      <w:lvlJc w:val="left"/>
      <w:pPr>
        <w:ind w:left="5760" w:hanging="360"/>
      </w:pPr>
    </w:lvl>
    <w:lvl w:ilvl="8" w:tplc="B52E4F2E" w:tentative="1">
      <w:start w:val="1"/>
      <w:numFmt w:val="lowerRoman"/>
      <w:lvlText w:val="%9."/>
      <w:lvlJc w:val="right"/>
      <w:pPr>
        <w:ind w:left="6480" w:hanging="180"/>
      </w:pPr>
    </w:lvl>
  </w:abstractNum>
  <w:abstractNum w:abstractNumId="38" w15:restartNumberingAfterBreak="0">
    <w:nsid w:val="6A2D1088"/>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9" w15:restartNumberingAfterBreak="0">
    <w:nsid w:val="6CD1536A"/>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1F3837"/>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41" w15:restartNumberingAfterBreak="0">
    <w:nsid w:val="76EE5CF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2" w15:restartNumberingAfterBreak="0">
    <w:nsid w:val="798822ED"/>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3" w15:restartNumberingAfterBreak="0">
    <w:nsid w:val="7A5C7226"/>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4" w15:restartNumberingAfterBreak="0">
    <w:nsid w:val="7CA9319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abstractNum w:abstractNumId="46" w15:restartNumberingAfterBreak="0">
    <w:nsid w:val="7FD97F8B"/>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22"/>
  </w:num>
  <w:num w:numId="2">
    <w:abstractNumId w:val="45"/>
  </w:num>
  <w:num w:numId="3">
    <w:abstractNumId w:val="1"/>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0"/>
  </w:num>
  <w:num w:numId="8">
    <w:abstractNumId w:val="34"/>
  </w:num>
  <w:num w:numId="9">
    <w:abstractNumId w:val="27"/>
  </w:num>
  <w:num w:numId="10">
    <w:abstractNumId w:val="35"/>
  </w:num>
  <w:num w:numId="11">
    <w:abstractNumId w:val="21"/>
  </w:num>
  <w:num w:numId="12">
    <w:abstractNumId w:val="9"/>
  </w:num>
  <w:num w:numId="13">
    <w:abstractNumId w:val="31"/>
  </w:num>
  <w:num w:numId="14">
    <w:abstractNumId w:val="36"/>
  </w:num>
  <w:num w:numId="15">
    <w:abstractNumId w:val="20"/>
  </w:num>
  <w:num w:numId="16">
    <w:abstractNumId w:val="33"/>
  </w:num>
  <w:num w:numId="17">
    <w:abstractNumId w:val="12"/>
  </w:num>
  <w:num w:numId="18">
    <w:abstractNumId w:val="26"/>
  </w:num>
  <w:num w:numId="19">
    <w:abstractNumId w:val="14"/>
  </w:num>
  <w:num w:numId="20">
    <w:abstractNumId w:val="43"/>
  </w:num>
  <w:num w:numId="21">
    <w:abstractNumId w:val="42"/>
  </w:num>
  <w:num w:numId="22">
    <w:abstractNumId w:val="44"/>
  </w:num>
  <w:num w:numId="23">
    <w:abstractNumId w:val="32"/>
  </w:num>
  <w:num w:numId="24">
    <w:abstractNumId w:val="5"/>
  </w:num>
  <w:num w:numId="25">
    <w:abstractNumId w:val="6"/>
  </w:num>
  <w:num w:numId="26">
    <w:abstractNumId w:val="28"/>
  </w:num>
  <w:num w:numId="27">
    <w:abstractNumId w:val="7"/>
  </w:num>
  <w:num w:numId="28">
    <w:abstractNumId w:val="23"/>
  </w:num>
  <w:num w:numId="29">
    <w:abstractNumId w:val="46"/>
  </w:num>
  <w:num w:numId="30">
    <w:abstractNumId w:val="18"/>
  </w:num>
  <w:num w:numId="31">
    <w:abstractNumId w:val="3"/>
  </w:num>
  <w:num w:numId="32">
    <w:abstractNumId w:val="13"/>
  </w:num>
  <w:num w:numId="33">
    <w:abstractNumId w:val="38"/>
  </w:num>
  <w:num w:numId="34">
    <w:abstractNumId w:val="19"/>
  </w:num>
  <w:num w:numId="35">
    <w:abstractNumId w:val="25"/>
  </w:num>
  <w:num w:numId="36">
    <w:abstractNumId w:val="17"/>
  </w:num>
  <w:num w:numId="37">
    <w:abstractNumId w:val="11"/>
  </w:num>
  <w:num w:numId="38">
    <w:abstractNumId w:val="39"/>
  </w:num>
  <w:num w:numId="39">
    <w:abstractNumId w:val="24"/>
  </w:num>
  <w:num w:numId="40">
    <w:abstractNumId w:val="16"/>
  </w:num>
  <w:num w:numId="41">
    <w:abstractNumId w:val="3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18ED"/>
    <w:rsid w:val="00001D3E"/>
    <w:rsid w:val="0000290C"/>
    <w:rsid w:val="000029FE"/>
    <w:rsid w:val="00003D15"/>
    <w:rsid w:val="000042FE"/>
    <w:rsid w:val="000044F1"/>
    <w:rsid w:val="000056B6"/>
    <w:rsid w:val="00005A61"/>
    <w:rsid w:val="000063BD"/>
    <w:rsid w:val="000065C8"/>
    <w:rsid w:val="000071E4"/>
    <w:rsid w:val="00007281"/>
    <w:rsid w:val="00010710"/>
    <w:rsid w:val="00010A1D"/>
    <w:rsid w:val="00011433"/>
    <w:rsid w:val="0001157B"/>
    <w:rsid w:val="00011784"/>
    <w:rsid w:val="00011EF1"/>
    <w:rsid w:val="0001271F"/>
    <w:rsid w:val="00012BA1"/>
    <w:rsid w:val="000152EA"/>
    <w:rsid w:val="00015A6B"/>
    <w:rsid w:val="00015BD5"/>
    <w:rsid w:val="00015C9D"/>
    <w:rsid w:val="00015DD8"/>
    <w:rsid w:val="000160F5"/>
    <w:rsid w:val="00016AF0"/>
    <w:rsid w:val="00016B7E"/>
    <w:rsid w:val="00020E37"/>
    <w:rsid w:val="00021F61"/>
    <w:rsid w:val="000220FC"/>
    <w:rsid w:val="000221C5"/>
    <w:rsid w:val="0002252E"/>
    <w:rsid w:val="00022A56"/>
    <w:rsid w:val="00022BC9"/>
    <w:rsid w:val="00023296"/>
    <w:rsid w:val="00023407"/>
    <w:rsid w:val="00023D96"/>
    <w:rsid w:val="0002430A"/>
    <w:rsid w:val="000244A2"/>
    <w:rsid w:val="00025376"/>
    <w:rsid w:val="00025A73"/>
    <w:rsid w:val="000276D4"/>
    <w:rsid w:val="000278E0"/>
    <w:rsid w:val="00027C8F"/>
    <w:rsid w:val="000305D0"/>
    <w:rsid w:val="0003093E"/>
    <w:rsid w:val="00030A96"/>
    <w:rsid w:val="00030D30"/>
    <w:rsid w:val="000315EE"/>
    <w:rsid w:val="000316D3"/>
    <w:rsid w:val="00031918"/>
    <w:rsid w:val="00031ACD"/>
    <w:rsid w:val="00032223"/>
    <w:rsid w:val="00032363"/>
    <w:rsid w:val="00032580"/>
    <w:rsid w:val="00032BEF"/>
    <w:rsid w:val="00032E7E"/>
    <w:rsid w:val="0003346E"/>
    <w:rsid w:val="0003420D"/>
    <w:rsid w:val="00034493"/>
    <w:rsid w:val="00034721"/>
    <w:rsid w:val="00034A65"/>
    <w:rsid w:val="00034B21"/>
    <w:rsid w:val="00034CF3"/>
    <w:rsid w:val="00035569"/>
    <w:rsid w:val="0003557C"/>
    <w:rsid w:val="0003638B"/>
    <w:rsid w:val="00036E3B"/>
    <w:rsid w:val="000370E8"/>
    <w:rsid w:val="00037729"/>
    <w:rsid w:val="0003789B"/>
    <w:rsid w:val="00037FF9"/>
    <w:rsid w:val="00040013"/>
    <w:rsid w:val="00040564"/>
    <w:rsid w:val="00040922"/>
    <w:rsid w:val="000410C8"/>
    <w:rsid w:val="0004188F"/>
    <w:rsid w:val="00041E34"/>
    <w:rsid w:val="00041E9B"/>
    <w:rsid w:val="000421C0"/>
    <w:rsid w:val="000421D6"/>
    <w:rsid w:val="000427EB"/>
    <w:rsid w:val="00044DFE"/>
    <w:rsid w:val="00045003"/>
    <w:rsid w:val="00045185"/>
    <w:rsid w:val="000454D3"/>
    <w:rsid w:val="00045CAD"/>
    <w:rsid w:val="00045EBD"/>
    <w:rsid w:val="00046292"/>
    <w:rsid w:val="00046391"/>
    <w:rsid w:val="000464D8"/>
    <w:rsid w:val="0004757A"/>
    <w:rsid w:val="00047C8E"/>
    <w:rsid w:val="000507B7"/>
    <w:rsid w:val="00050A9B"/>
    <w:rsid w:val="00051CA8"/>
    <w:rsid w:val="00051CB8"/>
    <w:rsid w:val="00052417"/>
    <w:rsid w:val="00052A38"/>
    <w:rsid w:val="00052E70"/>
    <w:rsid w:val="00052F0F"/>
    <w:rsid w:val="00053082"/>
    <w:rsid w:val="00053A27"/>
    <w:rsid w:val="00053A90"/>
    <w:rsid w:val="00053E1A"/>
    <w:rsid w:val="000545B4"/>
    <w:rsid w:val="0005481B"/>
    <w:rsid w:val="00054B4B"/>
    <w:rsid w:val="00055430"/>
    <w:rsid w:val="00055FD6"/>
    <w:rsid w:val="000562FA"/>
    <w:rsid w:val="000568C8"/>
    <w:rsid w:val="00056A1F"/>
    <w:rsid w:val="00056A7D"/>
    <w:rsid w:val="00056D84"/>
    <w:rsid w:val="00057713"/>
    <w:rsid w:val="00057C37"/>
    <w:rsid w:val="00057EFB"/>
    <w:rsid w:val="00060B29"/>
    <w:rsid w:val="00060E17"/>
    <w:rsid w:val="00061DA8"/>
    <w:rsid w:val="000622E1"/>
    <w:rsid w:val="0006259B"/>
    <w:rsid w:val="000625B0"/>
    <w:rsid w:val="00062A8A"/>
    <w:rsid w:val="00062D42"/>
    <w:rsid w:val="00063285"/>
    <w:rsid w:val="00063EF4"/>
    <w:rsid w:val="00063FF1"/>
    <w:rsid w:val="0006578D"/>
    <w:rsid w:val="00066466"/>
    <w:rsid w:val="000668AB"/>
    <w:rsid w:val="00066EA4"/>
    <w:rsid w:val="00067075"/>
    <w:rsid w:val="000673FA"/>
    <w:rsid w:val="00067AAF"/>
    <w:rsid w:val="00070311"/>
    <w:rsid w:val="000703F3"/>
    <w:rsid w:val="00071423"/>
    <w:rsid w:val="00071532"/>
    <w:rsid w:val="00071745"/>
    <w:rsid w:val="000722FD"/>
    <w:rsid w:val="000724A8"/>
    <w:rsid w:val="000725F3"/>
    <w:rsid w:val="00072945"/>
    <w:rsid w:val="00072980"/>
    <w:rsid w:val="00072DF4"/>
    <w:rsid w:val="00072E6C"/>
    <w:rsid w:val="000730AF"/>
    <w:rsid w:val="000743AD"/>
    <w:rsid w:val="000743B4"/>
    <w:rsid w:val="000743EF"/>
    <w:rsid w:val="00074775"/>
    <w:rsid w:val="0007484B"/>
    <w:rsid w:val="00074A6E"/>
    <w:rsid w:val="00074BE1"/>
    <w:rsid w:val="00074FFE"/>
    <w:rsid w:val="00075003"/>
    <w:rsid w:val="00075AC7"/>
    <w:rsid w:val="00075C17"/>
    <w:rsid w:val="0007680E"/>
    <w:rsid w:val="00076F8F"/>
    <w:rsid w:val="0007745A"/>
    <w:rsid w:val="00077D16"/>
    <w:rsid w:val="00080CD0"/>
    <w:rsid w:val="00081FE8"/>
    <w:rsid w:val="00082B44"/>
    <w:rsid w:val="00083495"/>
    <w:rsid w:val="0008399D"/>
    <w:rsid w:val="00083ABE"/>
    <w:rsid w:val="00083CE6"/>
    <w:rsid w:val="00084003"/>
    <w:rsid w:val="0008484B"/>
    <w:rsid w:val="00084D0D"/>
    <w:rsid w:val="00084F5F"/>
    <w:rsid w:val="000851D4"/>
    <w:rsid w:val="000855D7"/>
    <w:rsid w:val="00085998"/>
    <w:rsid w:val="000859C0"/>
    <w:rsid w:val="0008781E"/>
    <w:rsid w:val="0009027F"/>
    <w:rsid w:val="000904BE"/>
    <w:rsid w:val="000904E0"/>
    <w:rsid w:val="000906CF"/>
    <w:rsid w:val="0009070A"/>
    <w:rsid w:val="00090BD4"/>
    <w:rsid w:val="00090ED9"/>
    <w:rsid w:val="00090F8E"/>
    <w:rsid w:val="000911F4"/>
    <w:rsid w:val="00091CD2"/>
    <w:rsid w:val="00091E21"/>
    <w:rsid w:val="00092DAD"/>
    <w:rsid w:val="00093937"/>
    <w:rsid w:val="00094EA6"/>
    <w:rsid w:val="00095512"/>
    <w:rsid w:val="0009597E"/>
    <w:rsid w:val="00095A96"/>
    <w:rsid w:val="00095EC4"/>
    <w:rsid w:val="00096AC8"/>
    <w:rsid w:val="00097687"/>
    <w:rsid w:val="00097B6C"/>
    <w:rsid w:val="000A03FE"/>
    <w:rsid w:val="000A072E"/>
    <w:rsid w:val="000A0D41"/>
    <w:rsid w:val="000A107B"/>
    <w:rsid w:val="000A1577"/>
    <w:rsid w:val="000A1AD5"/>
    <w:rsid w:val="000A1BA6"/>
    <w:rsid w:val="000A1BED"/>
    <w:rsid w:val="000A1D9C"/>
    <w:rsid w:val="000A1DBB"/>
    <w:rsid w:val="000A26A8"/>
    <w:rsid w:val="000A30AD"/>
    <w:rsid w:val="000A3313"/>
    <w:rsid w:val="000A3B50"/>
    <w:rsid w:val="000A4600"/>
    <w:rsid w:val="000A4D6C"/>
    <w:rsid w:val="000A54F1"/>
    <w:rsid w:val="000A566A"/>
    <w:rsid w:val="000A56BC"/>
    <w:rsid w:val="000A604E"/>
    <w:rsid w:val="000A6BED"/>
    <w:rsid w:val="000A7896"/>
    <w:rsid w:val="000B0340"/>
    <w:rsid w:val="000B04F7"/>
    <w:rsid w:val="000B0AE9"/>
    <w:rsid w:val="000B0C75"/>
    <w:rsid w:val="000B0C81"/>
    <w:rsid w:val="000B0FEA"/>
    <w:rsid w:val="000B12B5"/>
    <w:rsid w:val="000B1379"/>
    <w:rsid w:val="000B174A"/>
    <w:rsid w:val="000B1752"/>
    <w:rsid w:val="000B1763"/>
    <w:rsid w:val="000B1EC9"/>
    <w:rsid w:val="000B2E95"/>
    <w:rsid w:val="000B3A3E"/>
    <w:rsid w:val="000B440C"/>
    <w:rsid w:val="000B4ABC"/>
    <w:rsid w:val="000B5851"/>
    <w:rsid w:val="000B62DC"/>
    <w:rsid w:val="000B62FC"/>
    <w:rsid w:val="000B6483"/>
    <w:rsid w:val="000B6FB9"/>
    <w:rsid w:val="000B74F4"/>
    <w:rsid w:val="000C08BF"/>
    <w:rsid w:val="000C1646"/>
    <w:rsid w:val="000C197D"/>
    <w:rsid w:val="000C2148"/>
    <w:rsid w:val="000C22E9"/>
    <w:rsid w:val="000C3040"/>
    <w:rsid w:val="000C30BB"/>
    <w:rsid w:val="000C3268"/>
    <w:rsid w:val="000C3947"/>
    <w:rsid w:val="000C3BE2"/>
    <w:rsid w:val="000C43C7"/>
    <w:rsid w:val="000C470C"/>
    <w:rsid w:val="000C4846"/>
    <w:rsid w:val="000C5170"/>
    <w:rsid w:val="000C6B57"/>
    <w:rsid w:val="000C6BC3"/>
    <w:rsid w:val="000C701D"/>
    <w:rsid w:val="000C7509"/>
    <w:rsid w:val="000C7B51"/>
    <w:rsid w:val="000D12DD"/>
    <w:rsid w:val="000D187D"/>
    <w:rsid w:val="000D220C"/>
    <w:rsid w:val="000D22BD"/>
    <w:rsid w:val="000D4366"/>
    <w:rsid w:val="000D4381"/>
    <w:rsid w:val="000D43DB"/>
    <w:rsid w:val="000D5307"/>
    <w:rsid w:val="000D5C90"/>
    <w:rsid w:val="000D62FB"/>
    <w:rsid w:val="000D635A"/>
    <w:rsid w:val="000D660E"/>
    <w:rsid w:val="000D68B8"/>
    <w:rsid w:val="000D790E"/>
    <w:rsid w:val="000D7E9E"/>
    <w:rsid w:val="000E0178"/>
    <w:rsid w:val="000E0241"/>
    <w:rsid w:val="000E0C23"/>
    <w:rsid w:val="000E1C40"/>
    <w:rsid w:val="000E2A20"/>
    <w:rsid w:val="000E2B30"/>
    <w:rsid w:val="000E2BD0"/>
    <w:rsid w:val="000E4C93"/>
    <w:rsid w:val="000E4E81"/>
    <w:rsid w:val="000E50D9"/>
    <w:rsid w:val="000E52F7"/>
    <w:rsid w:val="000E58FC"/>
    <w:rsid w:val="000E5AE4"/>
    <w:rsid w:val="000E65ED"/>
    <w:rsid w:val="000E6618"/>
    <w:rsid w:val="000E66D7"/>
    <w:rsid w:val="000E6701"/>
    <w:rsid w:val="000E6B04"/>
    <w:rsid w:val="000E6D71"/>
    <w:rsid w:val="000E738C"/>
    <w:rsid w:val="000F03BD"/>
    <w:rsid w:val="000F080E"/>
    <w:rsid w:val="000F0A8E"/>
    <w:rsid w:val="000F1575"/>
    <w:rsid w:val="000F1DD9"/>
    <w:rsid w:val="000F1EB8"/>
    <w:rsid w:val="000F23C6"/>
    <w:rsid w:val="000F4117"/>
    <w:rsid w:val="000F459E"/>
    <w:rsid w:val="000F480A"/>
    <w:rsid w:val="000F48D2"/>
    <w:rsid w:val="000F4C39"/>
    <w:rsid w:val="000F5652"/>
    <w:rsid w:val="000F5A5F"/>
    <w:rsid w:val="000F5B0F"/>
    <w:rsid w:val="000F5E49"/>
    <w:rsid w:val="000F6458"/>
    <w:rsid w:val="000F6A35"/>
    <w:rsid w:val="000F6A78"/>
    <w:rsid w:val="000F72EB"/>
    <w:rsid w:val="000F7801"/>
    <w:rsid w:val="000F7A7A"/>
    <w:rsid w:val="000F7C7D"/>
    <w:rsid w:val="00103956"/>
    <w:rsid w:val="00103D50"/>
    <w:rsid w:val="00103E6A"/>
    <w:rsid w:val="00103F3E"/>
    <w:rsid w:val="001043AB"/>
    <w:rsid w:val="00104816"/>
    <w:rsid w:val="0010501B"/>
    <w:rsid w:val="0010602E"/>
    <w:rsid w:val="00106DAF"/>
    <w:rsid w:val="00106ED8"/>
    <w:rsid w:val="0010781A"/>
    <w:rsid w:val="001100BF"/>
    <w:rsid w:val="00110CFC"/>
    <w:rsid w:val="0011212E"/>
    <w:rsid w:val="001122C2"/>
    <w:rsid w:val="001125BA"/>
    <w:rsid w:val="00112A64"/>
    <w:rsid w:val="001134FB"/>
    <w:rsid w:val="0011396F"/>
    <w:rsid w:val="00114307"/>
    <w:rsid w:val="00114B5B"/>
    <w:rsid w:val="00114CD1"/>
    <w:rsid w:val="00114DE0"/>
    <w:rsid w:val="001151F8"/>
    <w:rsid w:val="001157E9"/>
    <w:rsid w:val="0011640E"/>
    <w:rsid w:val="001169A2"/>
    <w:rsid w:val="0011717B"/>
    <w:rsid w:val="0011742B"/>
    <w:rsid w:val="00117E34"/>
    <w:rsid w:val="00117FEA"/>
    <w:rsid w:val="00120068"/>
    <w:rsid w:val="0012019C"/>
    <w:rsid w:val="0012099B"/>
    <w:rsid w:val="001211FD"/>
    <w:rsid w:val="00122873"/>
    <w:rsid w:val="00122E78"/>
    <w:rsid w:val="00123148"/>
    <w:rsid w:val="00123A33"/>
    <w:rsid w:val="0012469D"/>
    <w:rsid w:val="00124852"/>
    <w:rsid w:val="001255C6"/>
    <w:rsid w:val="0012589F"/>
    <w:rsid w:val="00125A65"/>
    <w:rsid w:val="00125E67"/>
    <w:rsid w:val="00126B36"/>
    <w:rsid w:val="00126D5B"/>
    <w:rsid w:val="0012758E"/>
    <w:rsid w:val="0012759F"/>
    <w:rsid w:val="00130C68"/>
    <w:rsid w:val="00131657"/>
    <w:rsid w:val="00131BFB"/>
    <w:rsid w:val="00131D37"/>
    <w:rsid w:val="001323FF"/>
    <w:rsid w:val="0013245A"/>
    <w:rsid w:val="00132A89"/>
    <w:rsid w:val="00133648"/>
    <w:rsid w:val="00133794"/>
    <w:rsid w:val="00133F8C"/>
    <w:rsid w:val="001341B3"/>
    <w:rsid w:val="00134877"/>
    <w:rsid w:val="0013501C"/>
    <w:rsid w:val="00135246"/>
    <w:rsid w:val="00136611"/>
    <w:rsid w:val="001366C5"/>
    <w:rsid w:val="00137001"/>
    <w:rsid w:val="0013724A"/>
    <w:rsid w:val="001377D1"/>
    <w:rsid w:val="001377EA"/>
    <w:rsid w:val="00137A20"/>
    <w:rsid w:val="00140871"/>
    <w:rsid w:val="001410E9"/>
    <w:rsid w:val="001410F2"/>
    <w:rsid w:val="00141965"/>
    <w:rsid w:val="00142004"/>
    <w:rsid w:val="001424D0"/>
    <w:rsid w:val="00142545"/>
    <w:rsid w:val="0014329A"/>
    <w:rsid w:val="00143684"/>
    <w:rsid w:val="00143921"/>
    <w:rsid w:val="001439BA"/>
    <w:rsid w:val="00143BC7"/>
    <w:rsid w:val="00143DFF"/>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52D"/>
    <w:rsid w:val="00151B22"/>
    <w:rsid w:val="00151C10"/>
    <w:rsid w:val="00152682"/>
    <w:rsid w:val="00152CC3"/>
    <w:rsid w:val="00153275"/>
    <w:rsid w:val="00154098"/>
    <w:rsid w:val="0015486D"/>
    <w:rsid w:val="0015534F"/>
    <w:rsid w:val="00155DB4"/>
    <w:rsid w:val="001562A1"/>
    <w:rsid w:val="001563D0"/>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1E3"/>
    <w:rsid w:val="001736E0"/>
    <w:rsid w:val="0017392A"/>
    <w:rsid w:val="001740EC"/>
    <w:rsid w:val="001743A5"/>
    <w:rsid w:val="00174A2B"/>
    <w:rsid w:val="00175340"/>
    <w:rsid w:val="0017553F"/>
    <w:rsid w:val="0017554B"/>
    <w:rsid w:val="00175729"/>
    <w:rsid w:val="00175FAF"/>
    <w:rsid w:val="00176163"/>
    <w:rsid w:val="00177432"/>
    <w:rsid w:val="0017752B"/>
    <w:rsid w:val="00177769"/>
    <w:rsid w:val="00177DD2"/>
    <w:rsid w:val="00180102"/>
    <w:rsid w:val="00181370"/>
    <w:rsid w:val="001830D3"/>
    <w:rsid w:val="0018323E"/>
    <w:rsid w:val="0018347D"/>
    <w:rsid w:val="00184EE0"/>
    <w:rsid w:val="001855A4"/>
    <w:rsid w:val="001857E4"/>
    <w:rsid w:val="00185BA8"/>
    <w:rsid w:val="00185C29"/>
    <w:rsid w:val="00186BA5"/>
    <w:rsid w:val="00186FAA"/>
    <w:rsid w:val="00186FBD"/>
    <w:rsid w:val="00186FD6"/>
    <w:rsid w:val="00187B60"/>
    <w:rsid w:val="00187D95"/>
    <w:rsid w:val="001910FA"/>
    <w:rsid w:val="001917EB"/>
    <w:rsid w:val="00191964"/>
    <w:rsid w:val="00191A9D"/>
    <w:rsid w:val="001922DC"/>
    <w:rsid w:val="001923A2"/>
    <w:rsid w:val="001926F8"/>
    <w:rsid w:val="00193561"/>
    <w:rsid w:val="001947DD"/>
    <w:rsid w:val="00194F8D"/>
    <w:rsid w:val="001952FA"/>
    <w:rsid w:val="001953C8"/>
    <w:rsid w:val="00195995"/>
    <w:rsid w:val="00195BA3"/>
    <w:rsid w:val="0019612C"/>
    <w:rsid w:val="00196384"/>
    <w:rsid w:val="0019688A"/>
    <w:rsid w:val="00196AA0"/>
    <w:rsid w:val="00196ACD"/>
    <w:rsid w:val="00197080"/>
    <w:rsid w:val="001971F0"/>
    <w:rsid w:val="0019764D"/>
    <w:rsid w:val="00197EB7"/>
    <w:rsid w:val="001A09E8"/>
    <w:rsid w:val="001A128C"/>
    <w:rsid w:val="001A140D"/>
    <w:rsid w:val="001A187B"/>
    <w:rsid w:val="001A199F"/>
    <w:rsid w:val="001A33E3"/>
    <w:rsid w:val="001A4968"/>
    <w:rsid w:val="001A58F7"/>
    <w:rsid w:val="001A673A"/>
    <w:rsid w:val="001A68B6"/>
    <w:rsid w:val="001A7051"/>
    <w:rsid w:val="001A76E1"/>
    <w:rsid w:val="001A7957"/>
    <w:rsid w:val="001A7BDD"/>
    <w:rsid w:val="001A7CDD"/>
    <w:rsid w:val="001A7FC0"/>
    <w:rsid w:val="001B060C"/>
    <w:rsid w:val="001B1342"/>
    <w:rsid w:val="001B1545"/>
    <w:rsid w:val="001B1765"/>
    <w:rsid w:val="001B218D"/>
    <w:rsid w:val="001B2986"/>
    <w:rsid w:val="001B347B"/>
    <w:rsid w:val="001B5129"/>
    <w:rsid w:val="001B5A32"/>
    <w:rsid w:val="001B5E2F"/>
    <w:rsid w:val="001B776F"/>
    <w:rsid w:val="001B7CED"/>
    <w:rsid w:val="001C05D9"/>
    <w:rsid w:val="001C08A6"/>
    <w:rsid w:val="001C1A5D"/>
    <w:rsid w:val="001C262C"/>
    <w:rsid w:val="001C2901"/>
    <w:rsid w:val="001C292E"/>
    <w:rsid w:val="001C428D"/>
    <w:rsid w:val="001C499A"/>
    <w:rsid w:val="001C4A80"/>
    <w:rsid w:val="001C4FD5"/>
    <w:rsid w:val="001C55C3"/>
    <w:rsid w:val="001C6C3F"/>
    <w:rsid w:val="001C6EE9"/>
    <w:rsid w:val="001C7ED2"/>
    <w:rsid w:val="001D0A14"/>
    <w:rsid w:val="001D0DAA"/>
    <w:rsid w:val="001D162A"/>
    <w:rsid w:val="001D197C"/>
    <w:rsid w:val="001D1986"/>
    <w:rsid w:val="001D1A3E"/>
    <w:rsid w:val="001D23F8"/>
    <w:rsid w:val="001D2778"/>
    <w:rsid w:val="001D32DA"/>
    <w:rsid w:val="001D38E5"/>
    <w:rsid w:val="001D3EA5"/>
    <w:rsid w:val="001D3F1A"/>
    <w:rsid w:val="001D46F6"/>
    <w:rsid w:val="001D47A4"/>
    <w:rsid w:val="001D4AB1"/>
    <w:rsid w:val="001D5CCD"/>
    <w:rsid w:val="001D5E35"/>
    <w:rsid w:val="001D66DB"/>
    <w:rsid w:val="001E119E"/>
    <w:rsid w:val="001E176F"/>
    <w:rsid w:val="001E1A78"/>
    <w:rsid w:val="001E1C91"/>
    <w:rsid w:val="001E2109"/>
    <w:rsid w:val="001E22D7"/>
    <w:rsid w:val="001E293A"/>
    <w:rsid w:val="001E3DB1"/>
    <w:rsid w:val="001E4949"/>
    <w:rsid w:val="001E53D1"/>
    <w:rsid w:val="001E5C70"/>
    <w:rsid w:val="001E6065"/>
    <w:rsid w:val="001E6C51"/>
    <w:rsid w:val="001E71AB"/>
    <w:rsid w:val="001F0580"/>
    <w:rsid w:val="001F07A3"/>
    <w:rsid w:val="001F0804"/>
    <w:rsid w:val="001F08E0"/>
    <w:rsid w:val="001F096A"/>
    <w:rsid w:val="001F0BCD"/>
    <w:rsid w:val="001F0EB3"/>
    <w:rsid w:val="001F12E9"/>
    <w:rsid w:val="001F20DD"/>
    <w:rsid w:val="001F2F49"/>
    <w:rsid w:val="001F39C8"/>
    <w:rsid w:val="001F3BF8"/>
    <w:rsid w:val="001F3D2F"/>
    <w:rsid w:val="001F4585"/>
    <w:rsid w:val="001F499B"/>
    <w:rsid w:val="001F4E36"/>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00"/>
    <w:rsid w:val="0020631D"/>
    <w:rsid w:val="00206523"/>
    <w:rsid w:val="00210267"/>
    <w:rsid w:val="002104A8"/>
    <w:rsid w:val="002106A6"/>
    <w:rsid w:val="00210F6C"/>
    <w:rsid w:val="002116BF"/>
    <w:rsid w:val="00211761"/>
    <w:rsid w:val="00211797"/>
    <w:rsid w:val="00211B10"/>
    <w:rsid w:val="00211BCA"/>
    <w:rsid w:val="00211C85"/>
    <w:rsid w:val="00212497"/>
    <w:rsid w:val="002124F9"/>
    <w:rsid w:val="00212582"/>
    <w:rsid w:val="00212819"/>
    <w:rsid w:val="00212A6A"/>
    <w:rsid w:val="00213595"/>
    <w:rsid w:val="002138FA"/>
    <w:rsid w:val="002143A1"/>
    <w:rsid w:val="0021446E"/>
    <w:rsid w:val="0021470C"/>
    <w:rsid w:val="002152AB"/>
    <w:rsid w:val="002152E9"/>
    <w:rsid w:val="002154E3"/>
    <w:rsid w:val="00216246"/>
    <w:rsid w:val="00216353"/>
    <w:rsid w:val="00216743"/>
    <w:rsid w:val="00216E3F"/>
    <w:rsid w:val="0021711E"/>
    <w:rsid w:val="00217122"/>
    <w:rsid w:val="00217618"/>
    <w:rsid w:val="00217694"/>
    <w:rsid w:val="0021787A"/>
    <w:rsid w:val="00220515"/>
    <w:rsid w:val="00221091"/>
    <w:rsid w:val="00221477"/>
    <w:rsid w:val="00221736"/>
    <w:rsid w:val="00222255"/>
    <w:rsid w:val="00222D2A"/>
    <w:rsid w:val="00223609"/>
    <w:rsid w:val="00223957"/>
    <w:rsid w:val="0022497B"/>
    <w:rsid w:val="00224CB2"/>
    <w:rsid w:val="00225C3D"/>
    <w:rsid w:val="00225E15"/>
    <w:rsid w:val="00226670"/>
    <w:rsid w:val="00226D23"/>
    <w:rsid w:val="00226F81"/>
    <w:rsid w:val="002270AF"/>
    <w:rsid w:val="002271E3"/>
    <w:rsid w:val="0022754A"/>
    <w:rsid w:val="00227F27"/>
    <w:rsid w:val="002306C9"/>
    <w:rsid w:val="00230B92"/>
    <w:rsid w:val="00230B9D"/>
    <w:rsid w:val="00230C51"/>
    <w:rsid w:val="00230CEF"/>
    <w:rsid w:val="00230E29"/>
    <w:rsid w:val="0023313B"/>
    <w:rsid w:val="002342A8"/>
    <w:rsid w:val="00234EE6"/>
    <w:rsid w:val="00235020"/>
    <w:rsid w:val="00235306"/>
    <w:rsid w:val="00235720"/>
    <w:rsid w:val="0023618A"/>
    <w:rsid w:val="00236265"/>
    <w:rsid w:val="00236EB2"/>
    <w:rsid w:val="00237095"/>
    <w:rsid w:val="002370E1"/>
    <w:rsid w:val="00237D01"/>
    <w:rsid w:val="0024054A"/>
    <w:rsid w:val="002406A8"/>
    <w:rsid w:val="00240C17"/>
    <w:rsid w:val="00241045"/>
    <w:rsid w:val="00241D03"/>
    <w:rsid w:val="00241FBC"/>
    <w:rsid w:val="00242044"/>
    <w:rsid w:val="0024261F"/>
    <w:rsid w:val="0024335E"/>
    <w:rsid w:val="0024367B"/>
    <w:rsid w:val="00244233"/>
    <w:rsid w:val="00244E04"/>
    <w:rsid w:val="002461AB"/>
    <w:rsid w:val="00246377"/>
    <w:rsid w:val="0024639B"/>
    <w:rsid w:val="002464F4"/>
    <w:rsid w:val="00246E86"/>
    <w:rsid w:val="00246FF3"/>
    <w:rsid w:val="00247E02"/>
    <w:rsid w:val="0025027E"/>
    <w:rsid w:val="002503D8"/>
    <w:rsid w:val="00250632"/>
    <w:rsid w:val="0025134B"/>
    <w:rsid w:val="00251553"/>
    <w:rsid w:val="002516DD"/>
    <w:rsid w:val="00251D27"/>
    <w:rsid w:val="00252574"/>
    <w:rsid w:val="002528D3"/>
    <w:rsid w:val="00252CB6"/>
    <w:rsid w:val="002533D0"/>
    <w:rsid w:val="0025560C"/>
    <w:rsid w:val="002567E1"/>
    <w:rsid w:val="00256F80"/>
    <w:rsid w:val="0025746C"/>
    <w:rsid w:val="0025768D"/>
    <w:rsid w:val="00257D4F"/>
    <w:rsid w:val="0026062C"/>
    <w:rsid w:val="00261C23"/>
    <w:rsid w:val="00261CFA"/>
    <w:rsid w:val="002620DB"/>
    <w:rsid w:val="00262207"/>
    <w:rsid w:val="002625DF"/>
    <w:rsid w:val="0026278D"/>
    <w:rsid w:val="0026403B"/>
    <w:rsid w:val="00264560"/>
    <w:rsid w:val="0026493D"/>
    <w:rsid w:val="00264F21"/>
    <w:rsid w:val="00265644"/>
    <w:rsid w:val="00265F7E"/>
    <w:rsid w:val="00266A15"/>
    <w:rsid w:val="00270392"/>
    <w:rsid w:val="002709A7"/>
    <w:rsid w:val="00270CF2"/>
    <w:rsid w:val="002712A3"/>
    <w:rsid w:val="00271415"/>
    <w:rsid w:val="00271452"/>
    <w:rsid w:val="00271997"/>
    <w:rsid w:val="00271CD4"/>
    <w:rsid w:val="002720EE"/>
    <w:rsid w:val="00272281"/>
    <w:rsid w:val="002725FF"/>
    <w:rsid w:val="00272C44"/>
    <w:rsid w:val="00272EC2"/>
    <w:rsid w:val="00275F05"/>
    <w:rsid w:val="002764F5"/>
    <w:rsid w:val="00276889"/>
    <w:rsid w:val="00277AAA"/>
    <w:rsid w:val="00280EF1"/>
    <w:rsid w:val="002815FC"/>
    <w:rsid w:val="00281757"/>
    <w:rsid w:val="00281AE1"/>
    <w:rsid w:val="00281FC9"/>
    <w:rsid w:val="00282F14"/>
    <w:rsid w:val="0028361F"/>
    <w:rsid w:val="0028396E"/>
    <w:rsid w:val="00284A99"/>
    <w:rsid w:val="00284B4B"/>
    <w:rsid w:val="00284CCF"/>
    <w:rsid w:val="0028583A"/>
    <w:rsid w:val="00285947"/>
    <w:rsid w:val="00285B56"/>
    <w:rsid w:val="00286550"/>
    <w:rsid w:val="00287113"/>
    <w:rsid w:val="0029034E"/>
    <w:rsid w:val="00290772"/>
    <w:rsid w:val="00290A80"/>
    <w:rsid w:val="00290C90"/>
    <w:rsid w:val="0029148B"/>
    <w:rsid w:val="00291F0C"/>
    <w:rsid w:val="00292075"/>
    <w:rsid w:val="00292D0D"/>
    <w:rsid w:val="00292D22"/>
    <w:rsid w:val="00293200"/>
    <w:rsid w:val="00294EAA"/>
    <w:rsid w:val="0029515F"/>
    <w:rsid w:val="002962E0"/>
    <w:rsid w:val="0029642E"/>
    <w:rsid w:val="00296EC4"/>
    <w:rsid w:val="00297E3C"/>
    <w:rsid w:val="002A0088"/>
    <w:rsid w:val="002A0168"/>
    <w:rsid w:val="002A1273"/>
    <w:rsid w:val="002A127E"/>
    <w:rsid w:val="002A170A"/>
    <w:rsid w:val="002A1CB8"/>
    <w:rsid w:val="002A2881"/>
    <w:rsid w:val="002A2BF9"/>
    <w:rsid w:val="002A3469"/>
    <w:rsid w:val="002A3BC5"/>
    <w:rsid w:val="002A404C"/>
    <w:rsid w:val="002A4DEE"/>
    <w:rsid w:val="002A517A"/>
    <w:rsid w:val="002A5338"/>
    <w:rsid w:val="002A6450"/>
    <w:rsid w:val="002A64A2"/>
    <w:rsid w:val="002A6945"/>
    <w:rsid w:val="002A6E62"/>
    <w:rsid w:val="002A702C"/>
    <w:rsid w:val="002A7D7F"/>
    <w:rsid w:val="002A7F48"/>
    <w:rsid w:val="002B05A3"/>
    <w:rsid w:val="002B0B9A"/>
    <w:rsid w:val="002B18C5"/>
    <w:rsid w:val="002B19B4"/>
    <w:rsid w:val="002B1A68"/>
    <w:rsid w:val="002B2275"/>
    <w:rsid w:val="002B2373"/>
    <w:rsid w:val="002B32BF"/>
    <w:rsid w:val="002B36E9"/>
    <w:rsid w:val="002B380E"/>
    <w:rsid w:val="002B4070"/>
    <w:rsid w:val="002B46AC"/>
    <w:rsid w:val="002B4EB2"/>
    <w:rsid w:val="002B5A9C"/>
    <w:rsid w:val="002B6102"/>
    <w:rsid w:val="002B6525"/>
    <w:rsid w:val="002B7452"/>
    <w:rsid w:val="002B7AA8"/>
    <w:rsid w:val="002C0420"/>
    <w:rsid w:val="002C0460"/>
    <w:rsid w:val="002C04EB"/>
    <w:rsid w:val="002C1943"/>
    <w:rsid w:val="002C1CCF"/>
    <w:rsid w:val="002C1F81"/>
    <w:rsid w:val="002C2345"/>
    <w:rsid w:val="002C275C"/>
    <w:rsid w:val="002C27D0"/>
    <w:rsid w:val="002C37D1"/>
    <w:rsid w:val="002C3D56"/>
    <w:rsid w:val="002C3E86"/>
    <w:rsid w:val="002C4503"/>
    <w:rsid w:val="002C490A"/>
    <w:rsid w:val="002C51BF"/>
    <w:rsid w:val="002C567F"/>
    <w:rsid w:val="002C593D"/>
    <w:rsid w:val="002C6604"/>
    <w:rsid w:val="002C6B02"/>
    <w:rsid w:val="002C6C3D"/>
    <w:rsid w:val="002C6CA6"/>
    <w:rsid w:val="002C7BD0"/>
    <w:rsid w:val="002C7EA8"/>
    <w:rsid w:val="002D1099"/>
    <w:rsid w:val="002D1ADF"/>
    <w:rsid w:val="002D1BB9"/>
    <w:rsid w:val="002D1CF4"/>
    <w:rsid w:val="002D1E75"/>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6402"/>
    <w:rsid w:val="002E7149"/>
    <w:rsid w:val="002E75B1"/>
    <w:rsid w:val="002E7863"/>
    <w:rsid w:val="002E78CB"/>
    <w:rsid w:val="002F04FB"/>
    <w:rsid w:val="002F06C8"/>
    <w:rsid w:val="002F0C50"/>
    <w:rsid w:val="002F148E"/>
    <w:rsid w:val="002F20BA"/>
    <w:rsid w:val="002F27C3"/>
    <w:rsid w:val="002F307A"/>
    <w:rsid w:val="002F40AE"/>
    <w:rsid w:val="002F45B7"/>
    <w:rsid w:val="002F4A66"/>
    <w:rsid w:val="002F4C3C"/>
    <w:rsid w:val="002F564E"/>
    <w:rsid w:val="002F5B6A"/>
    <w:rsid w:val="002F5D5B"/>
    <w:rsid w:val="002F648E"/>
    <w:rsid w:val="002F6894"/>
    <w:rsid w:val="002F69FD"/>
    <w:rsid w:val="002F6EC7"/>
    <w:rsid w:val="002F71A7"/>
    <w:rsid w:val="002F74B7"/>
    <w:rsid w:val="002F7CDF"/>
    <w:rsid w:val="003007AF"/>
    <w:rsid w:val="003007BD"/>
    <w:rsid w:val="00300963"/>
    <w:rsid w:val="0030127A"/>
    <w:rsid w:val="00301DB6"/>
    <w:rsid w:val="0030203A"/>
    <w:rsid w:val="00302379"/>
    <w:rsid w:val="00303DA8"/>
    <w:rsid w:val="003046E8"/>
    <w:rsid w:val="00305DED"/>
    <w:rsid w:val="003060F8"/>
    <w:rsid w:val="00306D82"/>
    <w:rsid w:val="00307FF8"/>
    <w:rsid w:val="00310167"/>
    <w:rsid w:val="003101FC"/>
    <w:rsid w:val="003103B3"/>
    <w:rsid w:val="0031042E"/>
    <w:rsid w:val="00310A91"/>
    <w:rsid w:val="003111C7"/>
    <w:rsid w:val="003114BB"/>
    <w:rsid w:val="00312493"/>
    <w:rsid w:val="003124CC"/>
    <w:rsid w:val="0031277A"/>
    <w:rsid w:val="00313B8D"/>
    <w:rsid w:val="003140C0"/>
    <w:rsid w:val="00314150"/>
    <w:rsid w:val="003142C7"/>
    <w:rsid w:val="003142E5"/>
    <w:rsid w:val="00314D88"/>
    <w:rsid w:val="003154BE"/>
    <w:rsid w:val="003160C2"/>
    <w:rsid w:val="00316A8A"/>
    <w:rsid w:val="003177F7"/>
    <w:rsid w:val="00317D67"/>
    <w:rsid w:val="0032071D"/>
    <w:rsid w:val="003207C9"/>
    <w:rsid w:val="003218C4"/>
    <w:rsid w:val="00321F69"/>
    <w:rsid w:val="003220D8"/>
    <w:rsid w:val="003225A3"/>
    <w:rsid w:val="00322750"/>
    <w:rsid w:val="003229FA"/>
    <w:rsid w:val="003234E1"/>
    <w:rsid w:val="0032374A"/>
    <w:rsid w:val="0032455F"/>
    <w:rsid w:val="00325CA5"/>
    <w:rsid w:val="003262D0"/>
    <w:rsid w:val="0032694D"/>
    <w:rsid w:val="00326DD3"/>
    <w:rsid w:val="00327817"/>
    <w:rsid w:val="0033007F"/>
    <w:rsid w:val="003325BB"/>
    <w:rsid w:val="00332B0E"/>
    <w:rsid w:val="00333841"/>
    <w:rsid w:val="003348AC"/>
    <w:rsid w:val="00334A5B"/>
    <w:rsid w:val="0033598D"/>
    <w:rsid w:val="00336977"/>
    <w:rsid w:val="003408DA"/>
    <w:rsid w:val="00340944"/>
    <w:rsid w:val="003412DC"/>
    <w:rsid w:val="00341A49"/>
    <w:rsid w:val="00342420"/>
    <w:rsid w:val="00342D7C"/>
    <w:rsid w:val="00343991"/>
    <w:rsid w:val="00343FAE"/>
    <w:rsid w:val="0034466E"/>
    <w:rsid w:val="003455BF"/>
    <w:rsid w:val="00346C62"/>
    <w:rsid w:val="003472F6"/>
    <w:rsid w:val="00347DA6"/>
    <w:rsid w:val="00350025"/>
    <w:rsid w:val="0035024C"/>
    <w:rsid w:val="00350896"/>
    <w:rsid w:val="00350D07"/>
    <w:rsid w:val="00350FBA"/>
    <w:rsid w:val="003512A3"/>
    <w:rsid w:val="0035130C"/>
    <w:rsid w:val="0035188C"/>
    <w:rsid w:val="003531C3"/>
    <w:rsid w:val="003533F3"/>
    <w:rsid w:val="00353C80"/>
    <w:rsid w:val="00353D7E"/>
    <w:rsid w:val="00354F83"/>
    <w:rsid w:val="003553D1"/>
    <w:rsid w:val="003554C2"/>
    <w:rsid w:val="0035581C"/>
    <w:rsid w:val="00355AA0"/>
    <w:rsid w:val="00355C0D"/>
    <w:rsid w:val="00356C90"/>
    <w:rsid w:val="00356F69"/>
    <w:rsid w:val="00360254"/>
    <w:rsid w:val="00360453"/>
    <w:rsid w:val="00360E68"/>
    <w:rsid w:val="0036289E"/>
    <w:rsid w:val="00362995"/>
    <w:rsid w:val="00362E3C"/>
    <w:rsid w:val="0036327A"/>
    <w:rsid w:val="003635D5"/>
    <w:rsid w:val="00364678"/>
    <w:rsid w:val="003647DA"/>
    <w:rsid w:val="003648BB"/>
    <w:rsid w:val="003655FD"/>
    <w:rsid w:val="00365AE4"/>
    <w:rsid w:val="00365E9D"/>
    <w:rsid w:val="00366CA7"/>
    <w:rsid w:val="0036730E"/>
    <w:rsid w:val="00367372"/>
    <w:rsid w:val="00370324"/>
    <w:rsid w:val="00370388"/>
    <w:rsid w:val="003706E5"/>
    <w:rsid w:val="003719E9"/>
    <w:rsid w:val="00371CD9"/>
    <w:rsid w:val="00372304"/>
    <w:rsid w:val="00372360"/>
    <w:rsid w:val="003727D0"/>
    <w:rsid w:val="003735B4"/>
    <w:rsid w:val="00373B89"/>
    <w:rsid w:val="003746AA"/>
    <w:rsid w:val="003749C3"/>
    <w:rsid w:val="00374FA3"/>
    <w:rsid w:val="00375043"/>
    <w:rsid w:val="003754D1"/>
    <w:rsid w:val="00375644"/>
    <w:rsid w:val="003768E0"/>
    <w:rsid w:val="003778DB"/>
    <w:rsid w:val="00380D7F"/>
    <w:rsid w:val="00381C5E"/>
    <w:rsid w:val="0038233A"/>
    <w:rsid w:val="003827E9"/>
    <w:rsid w:val="003828DA"/>
    <w:rsid w:val="00382F73"/>
    <w:rsid w:val="00383407"/>
    <w:rsid w:val="003841E0"/>
    <w:rsid w:val="003854EE"/>
    <w:rsid w:val="00385A72"/>
    <w:rsid w:val="00385A8A"/>
    <w:rsid w:val="0038628B"/>
    <w:rsid w:val="003866C1"/>
    <w:rsid w:val="0038695B"/>
    <w:rsid w:val="00387285"/>
    <w:rsid w:val="003873F5"/>
    <w:rsid w:val="00387B0F"/>
    <w:rsid w:val="00387B1C"/>
    <w:rsid w:val="00387FBD"/>
    <w:rsid w:val="00390089"/>
    <w:rsid w:val="00390DEF"/>
    <w:rsid w:val="0039223B"/>
    <w:rsid w:val="00392274"/>
    <w:rsid w:val="00393ABB"/>
    <w:rsid w:val="00393FCA"/>
    <w:rsid w:val="00394EEB"/>
    <w:rsid w:val="00395845"/>
    <w:rsid w:val="003960CC"/>
    <w:rsid w:val="00397CCD"/>
    <w:rsid w:val="003A13DE"/>
    <w:rsid w:val="003A1916"/>
    <w:rsid w:val="003A1EF2"/>
    <w:rsid w:val="003A27C8"/>
    <w:rsid w:val="003A30C5"/>
    <w:rsid w:val="003A32F9"/>
    <w:rsid w:val="003A3781"/>
    <w:rsid w:val="003A43FF"/>
    <w:rsid w:val="003A4506"/>
    <w:rsid w:val="003A4E04"/>
    <w:rsid w:val="003A5502"/>
    <w:rsid w:val="003A57F5"/>
    <w:rsid w:val="003A6AA8"/>
    <w:rsid w:val="003A6C4F"/>
    <w:rsid w:val="003B053C"/>
    <w:rsid w:val="003B1BF9"/>
    <w:rsid w:val="003B2526"/>
    <w:rsid w:val="003B2BD1"/>
    <w:rsid w:val="003B5DF2"/>
    <w:rsid w:val="003B5EBD"/>
    <w:rsid w:val="003B6006"/>
    <w:rsid w:val="003B635D"/>
    <w:rsid w:val="003B6519"/>
    <w:rsid w:val="003B6EC4"/>
    <w:rsid w:val="003B7DB0"/>
    <w:rsid w:val="003B7EFB"/>
    <w:rsid w:val="003C0F2C"/>
    <w:rsid w:val="003C1BB2"/>
    <w:rsid w:val="003C3103"/>
    <w:rsid w:val="003C3CCD"/>
    <w:rsid w:val="003C3E21"/>
    <w:rsid w:val="003C42A6"/>
    <w:rsid w:val="003C44FD"/>
    <w:rsid w:val="003C4D4E"/>
    <w:rsid w:val="003C4DC3"/>
    <w:rsid w:val="003C5288"/>
    <w:rsid w:val="003C5447"/>
    <w:rsid w:val="003C5564"/>
    <w:rsid w:val="003C560C"/>
    <w:rsid w:val="003C56D9"/>
    <w:rsid w:val="003C5A2A"/>
    <w:rsid w:val="003C5A6B"/>
    <w:rsid w:val="003C7BC8"/>
    <w:rsid w:val="003C7E93"/>
    <w:rsid w:val="003D0131"/>
    <w:rsid w:val="003D0434"/>
    <w:rsid w:val="003D05AA"/>
    <w:rsid w:val="003D1B95"/>
    <w:rsid w:val="003D1FC4"/>
    <w:rsid w:val="003D2543"/>
    <w:rsid w:val="003D2A37"/>
    <w:rsid w:val="003D311E"/>
    <w:rsid w:val="003D3569"/>
    <w:rsid w:val="003D40FE"/>
    <w:rsid w:val="003D44DA"/>
    <w:rsid w:val="003D4561"/>
    <w:rsid w:val="003D47E5"/>
    <w:rsid w:val="003D4D21"/>
    <w:rsid w:val="003D4DD3"/>
    <w:rsid w:val="003D53E8"/>
    <w:rsid w:val="003D5A82"/>
    <w:rsid w:val="003D61C2"/>
    <w:rsid w:val="003D6412"/>
    <w:rsid w:val="003D6450"/>
    <w:rsid w:val="003D6EC0"/>
    <w:rsid w:val="003E0946"/>
    <w:rsid w:val="003E0A6C"/>
    <w:rsid w:val="003E2334"/>
    <w:rsid w:val="003E2CB2"/>
    <w:rsid w:val="003E3E44"/>
    <w:rsid w:val="003E458A"/>
    <w:rsid w:val="003E4A80"/>
    <w:rsid w:val="003E4E36"/>
    <w:rsid w:val="003E6B99"/>
    <w:rsid w:val="003E6FB9"/>
    <w:rsid w:val="003E70E7"/>
    <w:rsid w:val="003E733D"/>
    <w:rsid w:val="003F00FD"/>
    <w:rsid w:val="003F02B6"/>
    <w:rsid w:val="003F054A"/>
    <w:rsid w:val="003F0A8D"/>
    <w:rsid w:val="003F0B74"/>
    <w:rsid w:val="003F1A52"/>
    <w:rsid w:val="003F1D4E"/>
    <w:rsid w:val="003F1F0E"/>
    <w:rsid w:val="003F2132"/>
    <w:rsid w:val="003F2A21"/>
    <w:rsid w:val="003F33CA"/>
    <w:rsid w:val="003F3760"/>
    <w:rsid w:val="003F3809"/>
    <w:rsid w:val="003F3E7C"/>
    <w:rsid w:val="003F3F89"/>
    <w:rsid w:val="003F40E1"/>
    <w:rsid w:val="003F4215"/>
    <w:rsid w:val="003F450F"/>
    <w:rsid w:val="003F488F"/>
    <w:rsid w:val="003F6342"/>
    <w:rsid w:val="003F648D"/>
    <w:rsid w:val="003F6754"/>
    <w:rsid w:val="003F69C1"/>
    <w:rsid w:val="003F7F55"/>
    <w:rsid w:val="0040070B"/>
    <w:rsid w:val="00400A88"/>
    <w:rsid w:val="00401584"/>
    <w:rsid w:val="00401DBB"/>
    <w:rsid w:val="00401EA7"/>
    <w:rsid w:val="004023E2"/>
    <w:rsid w:val="004026A8"/>
    <w:rsid w:val="00403717"/>
    <w:rsid w:val="0040396C"/>
    <w:rsid w:val="00403F42"/>
    <w:rsid w:val="00404477"/>
    <w:rsid w:val="00404CCE"/>
    <w:rsid w:val="0040535E"/>
    <w:rsid w:val="00405F98"/>
    <w:rsid w:val="00407580"/>
    <w:rsid w:val="0040766A"/>
    <w:rsid w:val="00407804"/>
    <w:rsid w:val="00407B18"/>
    <w:rsid w:val="00410B56"/>
    <w:rsid w:val="00411DDF"/>
    <w:rsid w:val="00411F13"/>
    <w:rsid w:val="00412207"/>
    <w:rsid w:val="00412572"/>
    <w:rsid w:val="0041340D"/>
    <w:rsid w:val="00413901"/>
    <w:rsid w:val="004143F3"/>
    <w:rsid w:val="00416443"/>
    <w:rsid w:val="004164B8"/>
    <w:rsid w:val="00416FCB"/>
    <w:rsid w:val="0041701E"/>
    <w:rsid w:val="004174DB"/>
    <w:rsid w:val="00417B9A"/>
    <w:rsid w:val="004201AF"/>
    <w:rsid w:val="00420E29"/>
    <w:rsid w:val="0042238E"/>
    <w:rsid w:val="00422FC2"/>
    <w:rsid w:val="00423958"/>
    <w:rsid w:val="00423B4E"/>
    <w:rsid w:val="0042471E"/>
    <w:rsid w:val="00424BD3"/>
    <w:rsid w:val="004251E0"/>
    <w:rsid w:val="00425693"/>
    <w:rsid w:val="00425C8E"/>
    <w:rsid w:val="00425CC3"/>
    <w:rsid w:val="004278FD"/>
    <w:rsid w:val="00427994"/>
    <w:rsid w:val="00427D3B"/>
    <w:rsid w:val="00427D5A"/>
    <w:rsid w:val="00427F16"/>
    <w:rsid w:val="00430783"/>
    <w:rsid w:val="00430D2B"/>
    <w:rsid w:val="00430D3E"/>
    <w:rsid w:val="00431133"/>
    <w:rsid w:val="004318F5"/>
    <w:rsid w:val="0043203F"/>
    <w:rsid w:val="00432D53"/>
    <w:rsid w:val="00432FE1"/>
    <w:rsid w:val="004333F9"/>
    <w:rsid w:val="00433C22"/>
    <w:rsid w:val="00434085"/>
    <w:rsid w:val="00434914"/>
    <w:rsid w:val="00434CB4"/>
    <w:rsid w:val="004354C2"/>
    <w:rsid w:val="0043576C"/>
    <w:rsid w:val="00436514"/>
    <w:rsid w:val="00436AE4"/>
    <w:rsid w:val="00436AF0"/>
    <w:rsid w:val="00437161"/>
    <w:rsid w:val="0043730D"/>
    <w:rsid w:val="00437C9C"/>
    <w:rsid w:val="0044065A"/>
    <w:rsid w:val="00440F06"/>
    <w:rsid w:val="0044119C"/>
    <w:rsid w:val="0044156A"/>
    <w:rsid w:val="004417FF"/>
    <w:rsid w:val="0044236E"/>
    <w:rsid w:val="00442682"/>
    <w:rsid w:val="004459F3"/>
    <w:rsid w:val="00445C25"/>
    <w:rsid w:val="00445CE8"/>
    <w:rsid w:val="0044657B"/>
    <w:rsid w:val="00446742"/>
    <w:rsid w:val="00446EE6"/>
    <w:rsid w:val="00447512"/>
    <w:rsid w:val="004505B3"/>
    <w:rsid w:val="004518AD"/>
    <w:rsid w:val="004519B3"/>
    <w:rsid w:val="00451B26"/>
    <w:rsid w:val="00451C3D"/>
    <w:rsid w:val="00451FBB"/>
    <w:rsid w:val="0045360A"/>
    <w:rsid w:val="00453CDF"/>
    <w:rsid w:val="00454090"/>
    <w:rsid w:val="00455159"/>
    <w:rsid w:val="004551E0"/>
    <w:rsid w:val="00455E60"/>
    <w:rsid w:val="00456826"/>
    <w:rsid w:val="0045699A"/>
    <w:rsid w:val="004574CA"/>
    <w:rsid w:val="0045797D"/>
    <w:rsid w:val="004579B3"/>
    <w:rsid w:val="004605D2"/>
    <w:rsid w:val="0046088A"/>
    <w:rsid w:val="004616B1"/>
    <w:rsid w:val="00461DD6"/>
    <w:rsid w:val="00462127"/>
    <w:rsid w:val="004624E9"/>
    <w:rsid w:val="004628F8"/>
    <w:rsid w:val="00463E8A"/>
    <w:rsid w:val="00464BDC"/>
    <w:rsid w:val="00464DB1"/>
    <w:rsid w:val="004654BE"/>
    <w:rsid w:val="004661C4"/>
    <w:rsid w:val="00466238"/>
    <w:rsid w:val="00467DD1"/>
    <w:rsid w:val="00467F2A"/>
    <w:rsid w:val="00470127"/>
    <w:rsid w:val="004707C5"/>
    <w:rsid w:val="004716D0"/>
    <w:rsid w:val="0047178F"/>
    <w:rsid w:val="0047184D"/>
    <w:rsid w:val="00471CF6"/>
    <w:rsid w:val="00471EAC"/>
    <w:rsid w:val="00472341"/>
    <w:rsid w:val="0047357E"/>
    <w:rsid w:val="004745CF"/>
    <w:rsid w:val="00474638"/>
    <w:rsid w:val="0047465B"/>
    <w:rsid w:val="004763F6"/>
    <w:rsid w:val="004770F3"/>
    <w:rsid w:val="004771CF"/>
    <w:rsid w:val="00477DA5"/>
    <w:rsid w:val="00480211"/>
    <w:rsid w:val="004808D5"/>
    <w:rsid w:val="004811B6"/>
    <w:rsid w:val="004819EC"/>
    <w:rsid w:val="00481C19"/>
    <w:rsid w:val="00481FD8"/>
    <w:rsid w:val="00482180"/>
    <w:rsid w:val="004821E6"/>
    <w:rsid w:val="00482A5E"/>
    <w:rsid w:val="00483061"/>
    <w:rsid w:val="0048331B"/>
    <w:rsid w:val="00483AA2"/>
    <w:rsid w:val="0048429A"/>
    <w:rsid w:val="004853FC"/>
    <w:rsid w:val="00485AC3"/>
    <w:rsid w:val="00486014"/>
    <w:rsid w:val="00486674"/>
    <w:rsid w:val="004866A2"/>
    <w:rsid w:val="00486885"/>
    <w:rsid w:val="00486B54"/>
    <w:rsid w:val="00486B55"/>
    <w:rsid w:val="00486C67"/>
    <w:rsid w:val="00487AB1"/>
    <w:rsid w:val="00487DDE"/>
    <w:rsid w:val="0049084E"/>
    <w:rsid w:val="00491A7C"/>
    <w:rsid w:val="00493795"/>
    <w:rsid w:val="00493C8D"/>
    <w:rsid w:val="00494CD6"/>
    <w:rsid w:val="00495318"/>
    <w:rsid w:val="00495660"/>
    <w:rsid w:val="00495716"/>
    <w:rsid w:val="004958F7"/>
    <w:rsid w:val="004960C8"/>
    <w:rsid w:val="00496D0A"/>
    <w:rsid w:val="004975D7"/>
    <w:rsid w:val="00497660"/>
    <w:rsid w:val="004976D3"/>
    <w:rsid w:val="00497BFD"/>
    <w:rsid w:val="00497C06"/>
    <w:rsid w:val="004A0093"/>
    <w:rsid w:val="004A1CA0"/>
    <w:rsid w:val="004A1DD6"/>
    <w:rsid w:val="004A2909"/>
    <w:rsid w:val="004A2CDC"/>
    <w:rsid w:val="004A3666"/>
    <w:rsid w:val="004A3DB8"/>
    <w:rsid w:val="004A44D2"/>
    <w:rsid w:val="004A4CB7"/>
    <w:rsid w:val="004A5005"/>
    <w:rsid w:val="004A5587"/>
    <w:rsid w:val="004A591D"/>
    <w:rsid w:val="004A6284"/>
    <w:rsid w:val="004A6F10"/>
    <w:rsid w:val="004B005F"/>
    <w:rsid w:val="004B056E"/>
    <w:rsid w:val="004B093B"/>
    <w:rsid w:val="004B0F1C"/>
    <w:rsid w:val="004B17B7"/>
    <w:rsid w:val="004B2EE5"/>
    <w:rsid w:val="004B3DA3"/>
    <w:rsid w:val="004B432A"/>
    <w:rsid w:val="004B4512"/>
    <w:rsid w:val="004B4F2A"/>
    <w:rsid w:val="004B5B81"/>
    <w:rsid w:val="004B612B"/>
    <w:rsid w:val="004B73D7"/>
    <w:rsid w:val="004B7440"/>
    <w:rsid w:val="004B78D1"/>
    <w:rsid w:val="004B79B4"/>
    <w:rsid w:val="004C0234"/>
    <w:rsid w:val="004C0601"/>
    <w:rsid w:val="004C1043"/>
    <w:rsid w:val="004C1C68"/>
    <w:rsid w:val="004C1E38"/>
    <w:rsid w:val="004C1F3C"/>
    <w:rsid w:val="004C1FCB"/>
    <w:rsid w:val="004C23BC"/>
    <w:rsid w:val="004C2DD7"/>
    <w:rsid w:val="004C316E"/>
    <w:rsid w:val="004C39D2"/>
    <w:rsid w:val="004C3AFB"/>
    <w:rsid w:val="004C3B1A"/>
    <w:rsid w:val="004C4243"/>
    <w:rsid w:val="004C446B"/>
    <w:rsid w:val="004C4A79"/>
    <w:rsid w:val="004C5322"/>
    <w:rsid w:val="004C5724"/>
    <w:rsid w:val="004C5F7C"/>
    <w:rsid w:val="004C61DA"/>
    <w:rsid w:val="004C6B11"/>
    <w:rsid w:val="004C6EEA"/>
    <w:rsid w:val="004D0059"/>
    <w:rsid w:val="004D014D"/>
    <w:rsid w:val="004D0226"/>
    <w:rsid w:val="004D0300"/>
    <w:rsid w:val="004D0418"/>
    <w:rsid w:val="004D0431"/>
    <w:rsid w:val="004D0AD9"/>
    <w:rsid w:val="004D0F48"/>
    <w:rsid w:val="004D14C2"/>
    <w:rsid w:val="004D18B0"/>
    <w:rsid w:val="004D193B"/>
    <w:rsid w:val="004D3203"/>
    <w:rsid w:val="004D37AF"/>
    <w:rsid w:val="004D421D"/>
    <w:rsid w:val="004D4A0F"/>
    <w:rsid w:val="004D71D5"/>
    <w:rsid w:val="004E036B"/>
    <w:rsid w:val="004E098E"/>
    <w:rsid w:val="004E09A6"/>
    <w:rsid w:val="004E153E"/>
    <w:rsid w:val="004E25CF"/>
    <w:rsid w:val="004E295C"/>
    <w:rsid w:val="004E2976"/>
    <w:rsid w:val="004E3053"/>
    <w:rsid w:val="004E36E7"/>
    <w:rsid w:val="004E391F"/>
    <w:rsid w:val="004E44B3"/>
    <w:rsid w:val="004E487A"/>
    <w:rsid w:val="004E5442"/>
    <w:rsid w:val="004E5655"/>
    <w:rsid w:val="004E5BAA"/>
    <w:rsid w:val="004E68F4"/>
    <w:rsid w:val="004E6A97"/>
    <w:rsid w:val="004E7BA2"/>
    <w:rsid w:val="004F160E"/>
    <w:rsid w:val="004F1A30"/>
    <w:rsid w:val="004F21F7"/>
    <w:rsid w:val="004F2311"/>
    <w:rsid w:val="004F26D8"/>
    <w:rsid w:val="004F2A03"/>
    <w:rsid w:val="004F2CF2"/>
    <w:rsid w:val="004F2FAE"/>
    <w:rsid w:val="004F332A"/>
    <w:rsid w:val="004F3501"/>
    <w:rsid w:val="004F3587"/>
    <w:rsid w:val="004F38D8"/>
    <w:rsid w:val="004F3A6D"/>
    <w:rsid w:val="004F3ECF"/>
    <w:rsid w:val="004F3EDC"/>
    <w:rsid w:val="004F3F84"/>
    <w:rsid w:val="004F521E"/>
    <w:rsid w:val="004F54E2"/>
    <w:rsid w:val="004F56D8"/>
    <w:rsid w:val="004F595F"/>
    <w:rsid w:val="004F6C8F"/>
    <w:rsid w:val="004F75C1"/>
    <w:rsid w:val="004F75E4"/>
    <w:rsid w:val="004F7619"/>
    <w:rsid w:val="004F76D9"/>
    <w:rsid w:val="00500139"/>
    <w:rsid w:val="00500339"/>
    <w:rsid w:val="00500416"/>
    <w:rsid w:val="0050067A"/>
    <w:rsid w:val="00500817"/>
    <w:rsid w:val="0050118B"/>
    <w:rsid w:val="00501627"/>
    <w:rsid w:val="00501A65"/>
    <w:rsid w:val="00501B62"/>
    <w:rsid w:val="00501E32"/>
    <w:rsid w:val="005037BA"/>
    <w:rsid w:val="00503921"/>
    <w:rsid w:val="00503A14"/>
    <w:rsid w:val="00503DD8"/>
    <w:rsid w:val="00504BF3"/>
    <w:rsid w:val="00505039"/>
    <w:rsid w:val="0050503B"/>
    <w:rsid w:val="00505286"/>
    <w:rsid w:val="005063C9"/>
    <w:rsid w:val="0050733B"/>
    <w:rsid w:val="005074F6"/>
    <w:rsid w:val="00507AC0"/>
    <w:rsid w:val="00510414"/>
    <w:rsid w:val="005109FD"/>
    <w:rsid w:val="00511202"/>
    <w:rsid w:val="00511575"/>
    <w:rsid w:val="005115FE"/>
    <w:rsid w:val="0051172B"/>
    <w:rsid w:val="00511A9B"/>
    <w:rsid w:val="00511E73"/>
    <w:rsid w:val="00512164"/>
    <w:rsid w:val="005123AA"/>
    <w:rsid w:val="005138FB"/>
    <w:rsid w:val="0051451C"/>
    <w:rsid w:val="00514D8C"/>
    <w:rsid w:val="00515D27"/>
    <w:rsid w:val="00516086"/>
    <w:rsid w:val="00516598"/>
    <w:rsid w:val="00516FC0"/>
    <w:rsid w:val="005174B1"/>
    <w:rsid w:val="0052013B"/>
    <w:rsid w:val="005201B1"/>
    <w:rsid w:val="00522039"/>
    <w:rsid w:val="00522878"/>
    <w:rsid w:val="00522FEB"/>
    <w:rsid w:val="005259DD"/>
    <w:rsid w:val="00526132"/>
    <w:rsid w:val="00526559"/>
    <w:rsid w:val="00527787"/>
    <w:rsid w:val="00527A2A"/>
    <w:rsid w:val="00527A64"/>
    <w:rsid w:val="00530093"/>
    <w:rsid w:val="00530894"/>
    <w:rsid w:val="00531015"/>
    <w:rsid w:val="005311E4"/>
    <w:rsid w:val="005316B9"/>
    <w:rsid w:val="00531827"/>
    <w:rsid w:val="00531CFA"/>
    <w:rsid w:val="00531D8E"/>
    <w:rsid w:val="00531FB5"/>
    <w:rsid w:val="0053216C"/>
    <w:rsid w:val="005327B0"/>
    <w:rsid w:val="00532946"/>
    <w:rsid w:val="0053431F"/>
    <w:rsid w:val="0053475C"/>
    <w:rsid w:val="0053511B"/>
    <w:rsid w:val="005354D7"/>
    <w:rsid w:val="00535984"/>
    <w:rsid w:val="00535A5F"/>
    <w:rsid w:val="00535B01"/>
    <w:rsid w:val="0053616F"/>
    <w:rsid w:val="00536495"/>
    <w:rsid w:val="00536F9A"/>
    <w:rsid w:val="005371F4"/>
    <w:rsid w:val="005375C7"/>
    <w:rsid w:val="0053763C"/>
    <w:rsid w:val="00537AAF"/>
    <w:rsid w:val="00537BFC"/>
    <w:rsid w:val="005414F8"/>
    <w:rsid w:val="00541635"/>
    <w:rsid w:val="0054184F"/>
    <w:rsid w:val="00541980"/>
    <w:rsid w:val="005421AB"/>
    <w:rsid w:val="00542254"/>
    <w:rsid w:val="00542458"/>
    <w:rsid w:val="0054298D"/>
    <w:rsid w:val="00542F44"/>
    <w:rsid w:val="0054303A"/>
    <w:rsid w:val="00543455"/>
    <w:rsid w:val="005435C9"/>
    <w:rsid w:val="00543F72"/>
    <w:rsid w:val="005447A1"/>
    <w:rsid w:val="0054507D"/>
    <w:rsid w:val="005465CF"/>
    <w:rsid w:val="0054742B"/>
    <w:rsid w:val="00547A08"/>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2D8"/>
    <w:rsid w:val="005577DE"/>
    <w:rsid w:val="00557869"/>
    <w:rsid w:val="00561182"/>
    <w:rsid w:val="00562DA6"/>
    <w:rsid w:val="00563729"/>
    <w:rsid w:val="00563968"/>
    <w:rsid w:val="00563B0C"/>
    <w:rsid w:val="00563D7D"/>
    <w:rsid w:val="0056458B"/>
    <w:rsid w:val="00564A0D"/>
    <w:rsid w:val="00564BE6"/>
    <w:rsid w:val="00565DE9"/>
    <w:rsid w:val="00565F10"/>
    <w:rsid w:val="005661E3"/>
    <w:rsid w:val="0056688D"/>
    <w:rsid w:val="00567A51"/>
    <w:rsid w:val="00567D15"/>
    <w:rsid w:val="00567D5D"/>
    <w:rsid w:val="005701CC"/>
    <w:rsid w:val="0057033B"/>
    <w:rsid w:val="00570442"/>
    <w:rsid w:val="00571228"/>
    <w:rsid w:val="00571ACA"/>
    <w:rsid w:val="00572661"/>
    <w:rsid w:val="0057295A"/>
    <w:rsid w:val="00572DCB"/>
    <w:rsid w:val="00574A36"/>
    <w:rsid w:val="005751EC"/>
    <w:rsid w:val="00576995"/>
    <w:rsid w:val="00576ECB"/>
    <w:rsid w:val="00576FEF"/>
    <w:rsid w:val="005771D3"/>
    <w:rsid w:val="0057799F"/>
    <w:rsid w:val="00577D6F"/>
    <w:rsid w:val="00577DF4"/>
    <w:rsid w:val="00577EAB"/>
    <w:rsid w:val="005800FF"/>
    <w:rsid w:val="00580752"/>
    <w:rsid w:val="00580875"/>
    <w:rsid w:val="00580B9E"/>
    <w:rsid w:val="00580BE3"/>
    <w:rsid w:val="00581874"/>
    <w:rsid w:val="00581AE2"/>
    <w:rsid w:val="00581C55"/>
    <w:rsid w:val="0058257E"/>
    <w:rsid w:val="00584CE8"/>
    <w:rsid w:val="00585CDF"/>
    <w:rsid w:val="005865E4"/>
    <w:rsid w:val="00586713"/>
    <w:rsid w:val="00586C51"/>
    <w:rsid w:val="005875F6"/>
    <w:rsid w:val="00587A23"/>
    <w:rsid w:val="00587A73"/>
    <w:rsid w:val="00587CDD"/>
    <w:rsid w:val="00587FCF"/>
    <w:rsid w:val="0059028D"/>
    <w:rsid w:val="005904AD"/>
    <w:rsid w:val="0059099A"/>
    <w:rsid w:val="005927CB"/>
    <w:rsid w:val="00592BE8"/>
    <w:rsid w:val="00592CEB"/>
    <w:rsid w:val="00593B4E"/>
    <w:rsid w:val="00593BAD"/>
    <w:rsid w:val="00594C12"/>
    <w:rsid w:val="00595227"/>
    <w:rsid w:val="00596ECF"/>
    <w:rsid w:val="005976A8"/>
    <w:rsid w:val="0059797A"/>
    <w:rsid w:val="005A169E"/>
    <w:rsid w:val="005A198C"/>
    <w:rsid w:val="005A2962"/>
    <w:rsid w:val="005A33EE"/>
    <w:rsid w:val="005A3581"/>
    <w:rsid w:val="005A3651"/>
    <w:rsid w:val="005A3724"/>
    <w:rsid w:val="005A38BB"/>
    <w:rsid w:val="005A3B81"/>
    <w:rsid w:val="005A3C2A"/>
    <w:rsid w:val="005A3C79"/>
    <w:rsid w:val="005A3CE2"/>
    <w:rsid w:val="005A42C2"/>
    <w:rsid w:val="005A4672"/>
    <w:rsid w:val="005A4936"/>
    <w:rsid w:val="005A4F2F"/>
    <w:rsid w:val="005A5326"/>
    <w:rsid w:val="005A5685"/>
    <w:rsid w:val="005A5D94"/>
    <w:rsid w:val="005A67FC"/>
    <w:rsid w:val="005A6BBB"/>
    <w:rsid w:val="005A7DDC"/>
    <w:rsid w:val="005B230F"/>
    <w:rsid w:val="005B234B"/>
    <w:rsid w:val="005B265A"/>
    <w:rsid w:val="005B2816"/>
    <w:rsid w:val="005B28BE"/>
    <w:rsid w:val="005B379E"/>
    <w:rsid w:val="005B3816"/>
    <w:rsid w:val="005B39EE"/>
    <w:rsid w:val="005B3E57"/>
    <w:rsid w:val="005B41FD"/>
    <w:rsid w:val="005B4C26"/>
    <w:rsid w:val="005B4F26"/>
    <w:rsid w:val="005B4F96"/>
    <w:rsid w:val="005B51A7"/>
    <w:rsid w:val="005B5767"/>
    <w:rsid w:val="005B587A"/>
    <w:rsid w:val="005B66F0"/>
    <w:rsid w:val="005B6C86"/>
    <w:rsid w:val="005B73E7"/>
    <w:rsid w:val="005B7951"/>
    <w:rsid w:val="005B7A33"/>
    <w:rsid w:val="005C13BB"/>
    <w:rsid w:val="005C16C0"/>
    <w:rsid w:val="005C2728"/>
    <w:rsid w:val="005C34A0"/>
    <w:rsid w:val="005C3718"/>
    <w:rsid w:val="005C4E81"/>
    <w:rsid w:val="005C4F3E"/>
    <w:rsid w:val="005C50EA"/>
    <w:rsid w:val="005C5106"/>
    <w:rsid w:val="005C5339"/>
    <w:rsid w:val="005C5862"/>
    <w:rsid w:val="005C68FF"/>
    <w:rsid w:val="005C6C9C"/>
    <w:rsid w:val="005C7FDC"/>
    <w:rsid w:val="005D01D1"/>
    <w:rsid w:val="005D027D"/>
    <w:rsid w:val="005D0FC6"/>
    <w:rsid w:val="005D1AEB"/>
    <w:rsid w:val="005D2690"/>
    <w:rsid w:val="005D26E0"/>
    <w:rsid w:val="005D3085"/>
    <w:rsid w:val="005D3771"/>
    <w:rsid w:val="005D39A3"/>
    <w:rsid w:val="005D3F3D"/>
    <w:rsid w:val="005D483F"/>
    <w:rsid w:val="005D4965"/>
    <w:rsid w:val="005D4E5B"/>
    <w:rsid w:val="005D4EEB"/>
    <w:rsid w:val="005D606D"/>
    <w:rsid w:val="005D623B"/>
    <w:rsid w:val="005D62DC"/>
    <w:rsid w:val="005D6380"/>
    <w:rsid w:val="005D71BF"/>
    <w:rsid w:val="005E03E3"/>
    <w:rsid w:val="005E08E0"/>
    <w:rsid w:val="005E09D3"/>
    <w:rsid w:val="005E0FB8"/>
    <w:rsid w:val="005E10C5"/>
    <w:rsid w:val="005E1BC9"/>
    <w:rsid w:val="005E1CA7"/>
    <w:rsid w:val="005E214F"/>
    <w:rsid w:val="005E27A8"/>
    <w:rsid w:val="005E2883"/>
    <w:rsid w:val="005E3796"/>
    <w:rsid w:val="005E37ED"/>
    <w:rsid w:val="005E3DB3"/>
    <w:rsid w:val="005E3EFD"/>
    <w:rsid w:val="005E4115"/>
    <w:rsid w:val="005E5603"/>
    <w:rsid w:val="005E56E0"/>
    <w:rsid w:val="005E585E"/>
    <w:rsid w:val="005E5BA5"/>
    <w:rsid w:val="005E69DC"/>
    <w:rsid w:val="005E7985"/>
    <w:rsid w:val="005E7BBC"/>
    <w:rsid w:val="005E7D26"/>
    <w:rsid w:val="005F03A6"/>
    <w:rsid w:val="005F092F"/>
    <w:rsid w:val="005F11B5"/>
    <w:rsid w:val="005F11D3"/>
    <w:rsid w:val="005F1519"/>
    <w:rsid w:val="005F1561"/>
    <w:rsid w:val="005F17EF"/>
    <w:rsid w:val="005F1C7A"/>
    <w:rsid w:val="005F2029"/>
    <w:rsid w:val="005F2CF3"/>
    <w:rsid w:val="005F30BE"/>
    <w:rsid w:val="005F3835"/>
    <w:rsid w:val="005F389C"/>
    <w:rsid w:val="005F4181"/>
    <w:rsid w:val="005F4AE5"/>
    <w:rsid w:val="005F53E3"/>
    <w:rsid w:val="005F671B"/>
    <w:rsid w:val="005F6B93"/>
    <w:rsid w:val="005F7163"/>
    <w:rsid w:val="005F7B22"/>
    <w:rsid w:val="00600C9B"/>
    <w:rsid w:val="006018D5"/>
    <w:rsid w:val="00601A8A"/>
    <w:rsid w:val="00601F2B"/>
    <w:rsid w:val="00602541"/>
    <w:rsid w:val="00605755"/>
    <w:rsid w:val="00605BDB"/>
    <w:rsid w:val="0060783C"/>
    <w:rsid w:val="00607A93"/>
    <w:rsid w:val="00610312"/>
    <w:rsid w:val="00610AEB"/>
    <w:rsid w:val="00610F04"/>
    <w:rsid w:val="00611189"/>
    <w:rsid w:val="0061168D"/>
    <w:rsid w:val="00611C15"/>
    <w:rsid w:val="0061265F"/>
    <w:rsid w:val="0061281C"/>
    <w:rsid w:val="0061284E"/>
    <w:rsid w:val="00612FAF"/>
    <w:rsid w:val="006137B9"/>
    <w:rsid w:val="006149DB"/>
    <w:rsid w:val="0061557D"/>
    <w:rsid w:val="0061584F"/>
    <w:rsid w:val="00615C87"/>
    <w:rsid w:val="00616217"/>
    <w:rsid w:val="006175DE"/>
    <w:rsid w:val="0061795F"/>
    <w:rsid w:val="0062152A"/>
    <w:rsid w:val="006221AE"/>
    <w:rsid w:val="0062265E"/>
    <w:rsid w:val="0062269C"/>
    <w:rsid w:val="00624ADA"/>
    <w:rsid w:val="0062512A"/>
    <w:rsid w:val="00625EC4"/>
    <w:rsid w:val="00625F09"/>
    <w:rsid w:val="00626040"/>
    <w:rsid w:val="00626609"/>
    <w:rsid w:val="006278D8"/>
    <w:rsid w:val="00627DEA"/>
    <w:rsid w:val="006301BB"/>
    <w:rsid w:val="00630973"/>
    <w:rsid w:val="006314CA"/>
    <w:rsid w:val="006321BF"/>
    <w:rsid w:val="00632D7C"/>
    <w:rsid w:val="0063420E"/>
    <w:rsid w:val="00634851"/>
    <w:rsid w:val="00634C20"/>
    <w:rsid w:val="00635012"/>
    <w:rsid w:val="0063505B"/>
    <w:rsid w:val="00635177"/>
    <w:rsid w:val="00636397"/>
    <w:rsid w:val="00636AC3"/>
    <w:rsid w:val="00637706"/>
    <w:rsid w:val="00640A53"/>
    <w:rsid w:val="006415D1"/>
    <w:rsid w:val="00641A80"/>
    <w:rsid w:val="00641DB0"/>
    <w:rsid w:val="0064203C"/>
    <w:rsid w:val="006435BA"/>
    <w:rsid w:val="00643DD8"/>
    <w:rsid w:val="00643F46"/>
    <w:rsid w:val="0064423F"/>
    <w:rsid w:val="00644436"/>
    <w:rsid w:val="00645301"/>
    <w:rsid w:val="006456F8"/>
    <w:rsid w:val="0064587C"/>
    <w:rsid w:val="00646634"/>
    <w:rsid w:val="00646744"/>
    <w:rsid w:val="00646B3C"/>
    <w:rsid w:val="00646BF8"/>
    <w:rsid w:val="0064777E"/>
    <w:rsid w:val="00647BF8"/>
    <w:rsid w:val="00650420"/>
    <w:rsid w:val="006509BF"/>
    <w:rsid w:val="00650B76"/>
    <w:rsid w:val="00650FA2"/>
    <w:rsid w:val="0065163F"/>
    <w:rsid w:val="00651BAD"/>
    <w:rsid w:val="00652572"/>
    <w:rsid w:val="00652718"/>
    <w:rsid w:val="006529BC"/>
    <w:rsid w:val="00652E94"/>
    <w:rsid w:val="00652FCF"/>
    <w:rsid w:val="006530B8"/>
    <w:rsid w:val="006531B3"/>
    <w:rsid w:val="006534CC"/>
    <w:rsid w:val="00653B6E"/>
    <w:rsid w:val="00653D2F"/>
    <w:rsid w:val="00655ABF"/>
    <w:rsid w:val="00655BC7"/>
    <w:rsid w:val="00655DFF"/>
    <w:rsid w:val="00656140"/>
    <w:rsid w:val="006572FD"/>
    <w:rsid w:val="00657A95"/>
    <w:rsid w:val="006600C5"/>
    <w:rsid w:val="0066070D"/>
    <w:rsid w:val="00660A25"/>
    <w:rsid w:val="00660B67"/>
    <w:rsid w:val="00660E24"/>
    <w:rsid w:val="0066142A"/>
    <w:rsid w:val="006616CB"/>
    <w:rsid w:val="00661E95"/>
    <w:rsid w:val="00662123"/>
    <w:rsid w:val="0066238D"/>
    <w:rsid w:val="0066348D"/>
    <w:rsid w:val="00663637"/>
    <w:rsid w:val="00663710"/>
    <w:rsid w:val="00663C5A"/>
    <w:rsid w:val="00664CFC"/>
    <w:rsid w:val="0066513F"/>
    <w:rsid w:val="00667113"/>
    <w:rsid w:val="00667B06"/>
    <w:rsid w:val="00667F0A"/>
    <w:rsid w:val="00670094"/>
    <w:rsid w:val="006702CA"/>
    <w:rsid w:val="00670DAB"/>
    <w:rsid w:val="00671246"/>
    <w:rsid w:val="00671313"/>
    <w:rsid w:val="0067153B"/>
    <w:rsid w:val="006719CD"/>
    <w:rsid w:val="00671EAC"/>
    <w:rsid w:val="00672032"/>
    <w:rsid w:val="0067256E"/>
    <w:rsid w:val="006739C8"/>
    <w:rsid w:val="006741E9"/>
    <w:rsid w:val="006742E6"/>
    <w:rsid w:val="006748F1"/>
    <w:rsid w:val="006755EE"/>
    <w:rsid w:val="00675EA6"/>
    <w:rsid w:val="0067615D"/>
    <w:rsid w:val="006762A1"/>
    <w:rsid w:val="006763FD"/>
    <w:rsid w:val="006765BA"/>
    <w:rsid w:val="00676AB3"/>
    <w:rsid w:val="0068027D"/>
    <w:rsid w:val="00680D9A"/>
    <w:rsid w:val="00680F2C"/>
    <w:rsid w:val="0068106E"/>
    <w:rsid w:val="006813D0"/>
    <w:rsid w:val="00681AFC"/>
    <w:rsid w:val="00682123"/>
    <w:rsid w:val="0068259D"/>
    <w:rsid w:val="0068297C"/>
    <w:rsid w:val="006857B0"/>
    <w:rsid w:val="0068589D"/>
    <w:rsid w:val="006858AB"/>
    <w:rsid w:val="00685C36"/>
    <w:rsid w:val="00686B5B"/>
    <w:rsid w:val="006871A8"/>
    <w:rsid w:val="00687277"/>
    <w:rsid w:val="00687C67"/>
    <w:rsid w:val="00687CB5"/>
    <w:rsid w:val="006901B4"/>
    <w:rsid w:val="00690B2A"/>
    <w:rsid w:val="006914E3"/>
    <w:rsid w:val="00691A5E"/>
    <w:rsid w:val="00691B7B"/>
    <w:rsid w:val="00691B82"/>
    <w:rsid w:val="006927B8"/>
    <w:rsid w:val="0069310B"/>
    <w:rsid w:val="00693752"/>
    <w:rsid w:val="0069395B"/>
    <w:rsid w:val="006944AF"/>
    <w:rsid w:val="006945C1"/>
    <w:rsid w:val="006950AC"/>
    <w:rsid w:val="00695A30"/>
    <w:rsid w:val="00696B28"/>
    <w:rsid w:val="00697166"/>
    <w:rsid w:val="006978F0"/>
    <w:rsid w:val="00697A7C"/>
    <w:rsid w:val="00697DCC"/>
    <w:rsid w:val="00697FE0"/>
    <w:rsid w:val="006A054A"/>
    <w:rsid w:val="006A05D5"/>
    <w:rsid w:val="006A0963"/>
    <w:rsid w:val="006A0C86"/>
    <w:rsid w:val="006A0F86"/>
    <w:rsid w:val="006A2784"/>
    <w:rsid w:val="006A2DA4"/>
    <w:rsid w:val="006A33D0"/>
    <w:rsid w:val="006A3744"/>
    <w:rsid w:val="006A413B"/>
    <w:rsid w:val="006A4B42"/>
    <w:rsid w:val="006A55B9"/>
    <w:rsid w:val="006A5779"/>
    <w:rsid w:val="006A5E34"/>
    <w:rsid w:val="006A691C"/>
    <w:rsid w:val="006A7620"/>
    <w:rsid w:val="006A7800"/>
    <w:rsid w:val="006A7A47"/>
    <w:rsid w:val="006A7BB4"/>
    <w:rsid w:val="006A7BCE"/>
    <w:rsid w:val="006B09D9"/>
    <w:rsid w:val="006B0C9E"/>
    <w:rsid w:val="006B1830"/>
    <w:rsid w:val="006B2628"/>
    <w:rsid w:val="006B265B"/>
    <w:rsid w:val="006B2D17"/>
    <w:rsid w:val="006B363A"/>
    <w:rsid w:val="006B3905"/>
    <w:rsid w:val="006B4435"/>
    <w:rsid w:val="006B4A62"/>
    <w:rsid w:val="006B4C64"/>
    <w:rsid w:val="006B6046"/>
    <w:rsid w:val="006B69BA"/>
    <w:rsid w:val="006B6C73"/>
    <w:rsid w:val="006B6CC7"/>
    <w:rsid w:val="006B6D21"/>
    <w:rsid w:val="006B74B2"/>
    <w:rsid w:val="006B7B3F"/>
    <w:rsid w:val="006B7DC5"/>
    <w:rsid w:val="006C0741"/>
    <w:rsid w:val="006C0ACB"/>
    <w:rsid w:val="006C0C6C"/>
    <w:rsid w:val="006C28BA"/>
    <w:rsid w:val="006C314B"/>
    <w:rsid w:val="006C36FA"/>
    <w:rsid w:val="006C37E9"/>
    <w:rsid w:val="006C3945"/>
    <w:rsid w:val="006C3DFC"/>
    <w:rsid w:val="006C4293"/>
    <w:rsid w:val="006C4854"/>
    <w:rsid w:val="006C4922"/>
    <w:rsid w:val="006C4B14"/>
    <w:rsid w:val="006C4D05"/>
    <w:rsid w:val="006C4E8A"/>
    <w:rsid w:val="006C5937"/>
    <w:rsid w:val="006C59A3"/>
    <w:rsid w:val="006C5CF6"/>
    <w:rsid w:val="006C648F"/>
    <w:rsid w:val="006C70D0"/>
    <w:rsid w:val="006C7B9A"/>
    <w:rsid w:val="006D04FD"/>
    <w:rsid w:val="006D076C"/>
    <w:rsid w:val="006D0D5E"/>
    <w:rsid w:val="006D1391"/>
    <w:rsid w:val="006D17BB"/>
    <w:rsid w:val="006D1914"/>
    <w:rsid w:val="006D1EA3"/>
    <w:rsid w:val="006D242F"/>
    <w:rsid w:val="006D246A"/>
    <w:rsid w:val="006D286F"/>
    <w:rsid w:val="006D2D25"/>
    <w:rsid w:val="006D33C1"/>
    <w:rsid w:val="006D382A"/>
    <w:rsid w:val="006D4079"/>
    <w:rsid w:val="006D40B4"/>
    <w:rsid w:val="006D4F50"/>
    <w:rsid w:val="006D5252"/>
    <w:rsid w:val="006D5579"/>
    <w:rsid w:val="006D5AF0"/>
    <w:rsid w:val="006D601F"/>
    <w:rsid w:val="006D609C"/>
    <w:rsid w:val="006D67DB"/>
    <w:rsid w:val="006D6929"/>
    <w:rsid w:val="006D76B4"/>
    <w:rsid w:val="006D7AD3"/>
    <w:rsid w:val="006E014B"/>
    <w:rsid w:val="006E0246"/>
    <w:rsid w:val="006E0498"/>
    <w:rsid w:val="006E1657"/>
    <w:rsid w:val="006E18E9"/>
    <w:rsid w:val="006E1A16"/>
    <w:rsid w:val="006E1B67"/>
    <w:rsid w:val="006E1C18"/>
    <w:rsid w:val="006E1D96"/>
    <w:rsid w:val="006E218B"/>
    <w:rsid w:val="006E2C74"/>
    <w:rsid w:val="006E30E8"/>
    <w:rsid w:val="006E39A7"/>
    <w:rsid w:val="006E4088"/>
    <w:rsid w:val="006E4FF1"/>
    <w:rsid w:val="006E6956"/>
    <w:rsid w:val="006E6A6C"/>
    <w:rsid w:val="006E6AC0"/>
    <w:rsid w:val="006E6B1F"/>
    <w:rsid w:val="006E6DD9"/>
    <w:rsid w:val="006E70BA"/>
    <w:rsid w:val="006E77B3"/>
    <w:rsid w:val="006E7812"/>
    <w:rsid w:val="006F0107"/>
    <w:rsid w:val="006F03D2"/>
    <w:rsid w:val="006F0B27"/>
    <w:rsid w:val="006F0F4E"/>
    <w:rsid w:val="006F10A5"/>
    <w:rsid w:val="006F146D"/>
    <w:rsid w:val="006F1A7F"/>
    <w:rsid w:val="006F1C35"/>
    <w:rsid w:val="006F24EF"/>
    <w:rsid w:val="006F254A"/>
    <w:rsid w:val="006F2B06"/>
    <w:rsid w:val="006F2F52"/>
    <w:rsid w:val="006F31E2"/>
    <w:rsid w:val="006F395C"/>
    <w:rsid w:val="006F3B3F"/>
    <w:rsid w:val="006F3C83"/>
    <w:rsid w:val="006F4019"/>
    <w:rsid w:val="006F4959"/>
    <w:rsid w:val="006F4B08"/>
    <w:rsid w:val="006F52C6"/>
    <w:rsid w:val="006F53EE"/>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6D0"/>
    <w:rsid w:val="00706E7E"/>
    <w:rsid w:val="00707527"/>
    <w:rsid w:val="007077C2"/>
    <w:rsid w:val="0071072A"/>
    <w:rsid w:val="00710C01"/>
    <w:rsid w:val="00711235"/>
    <w:rsid w:val="00711A1D"/>
    <w:rsid w:val="00711A7E"/>
    <w:rsid w:val="007124B1"/>
    <w:rsid w:val="0071282F"/>
    <w:rsid w:val="007133E1"/>
    <w:rsid w:val="0071415D"/>
    <w:rsid w:val="0071466C"/>
    <w:rsid w:val="00714CCD"/>
    <w:rsid w:val="00715732"/>
    <w:rsid w:val="0071577E"/>
    <w:rsid w:val="007163F6"/>
    <w:rsid w:val="00716D62"/>
    <w:rsid w:val="00716D8E"/>
    <w:rsid w:val="00716F8C"/>
    <w:rsid w:val="007175C3"/>
    <w:rsid w:val="00717812"/>
    <w:rsid w:val="00717EFC"/>
    <w:rsid w:val="00720129"/>
    <w:rsid w:val="00720EF3"/>
    <w:rsid w:val="00722D11"/>
    <w:rsid w:val="007233D6"/>
    <w:rsid w:val="007239BA"/>
    <w:rsid w:val="00723F4F"/>
    <w:rsid w:val="00724587"/>
    <w:rsid w:val="007252A8"/>
    <w:rsid w:val="007254C3"/>
    <w:rsid w:val="00725CD2"/>
    <w:rsid w:val="0072704C"/>
    <w:rsid w:val="00727AFB"/>
    <w:rsid w:val="0073095D"/>
    <w:rsid w:val="00730F08"/>
    <w:rsid w:val="0073141B"/>
    <w:rsid w:val="0073141F"/>
    <w:rsid w:val="0073211D"/>
    <w:rsid w:val="00732306"/>
    <w:rsid w:val="00733847"/>
    <w:rsid w:val="007338CD"/>
    <w:rsid w:val="00733DCE"/>
    <w:rsid w:val="00733FA1"/>
    <w:rsid w:val="00734885"/>
    <w:rsid w:val="00734A8B"/>
    <w:rsid w:val="00734E4D"/>
    <w:rsid w:val="00734FDC"/>
    <w:rsid w:val="007351DD"/>
    <w:rsid w:val="00736275"/>
    <w:rsid w:val="0073636F"/>
    <w:rsid w:val="00736373"/>
    <w:rsid w:val="00736A5C"/>
    <w:rsid w:val="00736B82"/>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055C"/>
    <w:rsid w:val="00750F7D"/>
    <w:rsid w:val="00751392"/>
    <w:rsid w:val="007519D0"/>
    <w:rsid w:val="00752241"/>
    <w:rsid w:val="00752426"/>
    <w:rsid w:val="007539AA"/>
    <w:rsid w:val="00753C0D"/>
    <w:rsid w:val="00753F35"/>
    <w:rsid w:val="00753F4C"/>
    <w:rsid w:val="0075412E"/>
    <w:rsid w:val="00755222"/>
    <w:rsid w:val="0075538E"/>
    <w:rsid w:val="00755E57"/>
    <w:rsid w:val="007562ED"/>
    <w:rsid w:val="007563BD"/>
    <w:rsid w:val="00756517"/>
    <w:rsid w:val="0075760A"/>
    <w:rsid w:val="00760221"/>
    <w:rsid w:val="007614EC"/>
    <w:rsid w:val="007628E4"/>
    <w:rsid w:val="00762D05"/>
    <w:rsid w:val="0076341D"/>
    <w:rsid w:val="00763933"/>
    <w:rsid w:val="00763F4E"/>
    <w:rsid w:val="007644E8"/>
    <w:rsid w:val="007647B9"/>
    <w:rsid w:val="0076494A"/>
    <w:rsid w:val="00764A1E"/>
    <w:rsid w:val="0076548F"/>
    <w:rsid w:val="0076577F"/>
    <w:rsid w:val="00765B63"/>
    <w:rsid w:val="00765C74"/>
    <w:rsid w:val="00765D54"/>
    <w:rsid w:val="00766134"/>
    <w:rsid w:val="00766198"/>
    <w:rsid w:val="0076627D"/>
    <w:rsid w:val="007701A2"/>
    <w:rsid w:val="00770DA4"/>
    <w:rsid w:val="00770E92"/>
    <w:rsid w:val="00771034"/>
    <w:rsid w:val="007712D9"/>
    <w:rsid w:val="00771470"/>
    <w:rsid w:val="0077230D"/>
    <w:rsid w:val="00773070"/>
    <w:rsid w:val="00773C7E"/>
    <w:rsid w:val="00773E6F"/>
    <w:rsid w:val="0077475C"/>
    <w:rsid w:val="00774AE7"/>
    <w:rsid w:val="00774B60"/>
    <w:rsid w:val="00775184"/>
    <w:rsid w:val="007757E9"/>
    <w:rsid w:val="00775E02"/>
    <w:rsid w:val="007764F1"/>
    <w:rsid w:val="00777A33"/>
    <w:rsid w:val="0078019E"/>
    <w:rsid w:val="007808CB"/>
    <w:rsid w:val="007809D3"/>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287F"/>
    <w:rsid w:val="007931CB"/>
    <w:rsid w:val="00793AA8"/>
    <w:rsid w:val="00793BB7"/>
    <w:rsid w:val="00794745"/>
    <w:rsid w:val="00794D4C"/>
    <w:rsid w:val="007951CE"/>
    <w:rsid w:val="007956CD"/>
    <w:rsid w:val="00795A05"/>
    <w:rsid w:val="007964DA"/>
    <w:rsid w:val="0079680C"/>
    <w:rsid w:val="00796911"/>
    <w:rsid w:val="00796AE2"/>
    <w:rsid w:val="00796F27"/>
    <w:rsid w:val="00797333"/>
    <w:rsid w:val="00797A43"/>
    <w:rsid w:val="00797F27"/>
    <w:rsid w:val="007A0BCD"/>
    <w:rsid w:val="007A1730"/>
    <w:rsid w:val="007A28F3"/>
    <w:rsid w:val="007A2E79"/>
    <w:rsid w:val="007A34A6"/>
    <w:rsid w:val="007A3A56"/>
    <w:rsid w:val="007A40F5"/>
    <w:rsid w:val="007A43B8"/>
    <w:rsid w:val="007A45E6"/>
    <w:rsid w:val="007A6B49"/>
    <w:rsid w:val="007A7134"/>
    <w:rsid w:val="007A7422"/>
    <w:rsid w:val="007A76B1"/>
    <w:rsid w:val="007A7B9C"/>
    <w:rsid w:val="007B0126"/>
    <w:rsid w:val="007B0F5B"/>
    <w:rsid w:val="007B1EF4"/>
    <w:rsid w:val="007B2C5C"/>
    <w:rsid w:val="007B3511"/>
    <w:rsid w:val="007B6029"/>
    <w:rsid w:val="007B669B"/>
    <w:rsid w:val="007B68F8"/>
    <w:rsid w:val="007B6CD3"/>
    <w:rsid w:val="007B7033"/>
    <w:rsid w:val="007B73D2"/>
    <w:rsid w:val="007B7E48"/>
    <w:rsid w:val="007C0C7B"/>
    <w:rsid w:val="007C107B"/>
    <w:rsid w:val="007C1E46"/>
    <w:rsid w:val="007C27D6"/>
    <w:rsid w:val="007C302C"/>
    <w:rsid w:val="007C30F7"/>
    <w:rsid w:val="007C31AA"/>
    <w:rsid w:val="007C33BE"/>
    <w:rsid w:val="007C3A40"/>
    <w:rsid w:val="007C3DB1"/>
    <w:rsid w:val="007C3F65"/>
    <w:rsid w:val="007C48C3"/>
    <w:rsid w:val="007C4E88"/>
    <w:rsid w:val="007C5D8F"/>
    <w:rsid w:val="007C7270"/>
    <w:rsid w:val="007C7329"/>
    <w:rsid w:val="007C78AE"/>
    <w:rsid w:val="007C7A7E"/>
    <w:rsid w:val="007C7BAB"/>
    <w:rsid w:val="007C7D79"/>
    <w:rsid w:val="007D0286"/>
    <w:rsid w:val="007D02E0"/>
    <w:rsid w:val="007D0BF2"/>
    <w:rsid w:val="007D1036"/>
    <w:rsid w:val="007D1076"/>
    <w:rsid w:val="007D16D8"/>
    <w:rsid w:val="007D16DC"/>
    <w:rsid w:val="007D1C6E"/>
    <w:rsid w:val="007D1EC8"/>
    <w:rsid w:val="007D2CB0"/>
    <w:rsid w:val="007D393D"/>
    <w:rsid w:val="007D55D1"/>
    <w:rsid w:val="007D6422"/>
    <w:rsid w:val="007D6B25"/>
    <w:rsid w:val="007D6B38"/>
    <w:rsid w:val="007D6D97"/>
    <w:rsid w:val="007D7291"/>
    <w:rsid w:val="007D767F"/>
    <w:rsid w:val="007E051C"/>
    <w:rsid w:val="007E0D40"/>
    <w:rsid w:val="007E2054"/>
    <w:rsid w:val="007E28C6"/>
    <w:rsid w:val="007E2907"/>
    <w:rsid w:val="007E2AFC"/>
    <w:rsid w:val="007E3D8F"/>
    <w:rsid w:val="007E4462"/>
    <w:rsid w:val="007E447C"/>
    <w:rsid w:val="007E451A"/>
    <w:rsid w:val="007E45B2"/>
    <w:rsid w:val="007E4FF1"/>
    <w:rsid w:val="007E509C"/>
    <w:rsid w:val="007E5439"/>
    <w:rsid w:val="007E588D"/>
    <w:rsid w:val="007E617A"/>
    <w:rsid w:val="007E6590"/>
    <w:rsid w:val="007E72D1"/>
    <w:rsid w:val="007E7CB4"/>
    <w:rsid w:val="007F0AAC"/>
    <w:rsid w:val="007F0E04"/>
    <w:rsid w:val="007F0E85"/>
    <w:rsid w:val="007F19E8"/>
    <w:rsid w:val="007F25FD"/>
    <w:rsid w:val="007F2768"/>
    <w:rsid w:val="007F2AB0"/>
    <w:rsid w:val="007F3590"/>
    <w:rsid w:val="007F3869"/>
    <w:rsid w:val="007F4AB4"/>
    <w:rsid w:val="007F56BA"/>
    <w:rsid w:val="007F5893"/>
    <w:rsid w:val="007F5D2F"/>
    <w:rsid w:val="007F5D8C"/>
    <w:rsid w:val="007F5F12"/>
    <w:rsid w:val="007F6996"/>
    <w:rsid w:val="00800480"/>
    <w:rsid w:val="008009A8"/>
    <w:rsid w:val="00800D25"/>
    <w:rsid w:val="008019D3"/>
    <w:rsid w:val="008024FB"/>
    <w:rsid w:val="0080273F"/>
    <w:rsid w:val="00805342"/>
    <w:rsid w:val="00805420"/>
    <w:rsid w:val="00805D5F"/>
    <w:rsid w:val="00805F81"/>
    <w:rsid w:val="008068E1"/>
    <w:rsid w:val="00807B7F"/>
    <w:rsid w:val="0081138A"/>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3DF"/>
    <w:rsid w:val="00821F81"/>
    <w:rsid w:val="00822562"/>
    <w:rsid w:val="00822A61"/>
    <w:rsid w:val="00822AFD"/>
    <w:rsid w:val="00822BA7"/>
    <w:rsid w:val="00823C0D"/>
    <w:rsid w:val="00823E27"/>
    <w:rsid w:val="008244ED"/>
    <w:rsid w:val="00824DB2"/>
    <w:rsid w:val="00824FB3"/>
    <w:rsid w:val="008253ED"/>
    <w:rsid w:val="00825E47"/>
    <w:rsid w:val="00825E87"/>
    <w:rsid w:val="00826949"/>
    <w:rsid w:val="00826E68"/>
    <w:rsid w:val="00827C7D"/>
    <w:rsid w:val="00830330"/>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787"/>
    <w:rsid w:val="00836B63"/>
    <w:rsid w:val="00836BAF"/>
    <w:rsid w:val="00836F20"/>
    <w:rsid w:val="008370C1"/>
    <w:rsid w:val="00837256"/>
    <w:rsid w:val="00840144"/>
    <w:rsid w:val="00841932"/>
    <w:rsid w:val="00841A41"/>
    <w:rsid w:val="00841A63"/>
    <w:rsid w:val="00841B03"/>
    <w:rsid w:val="00842380"/>
    <w:rsid w:val="00842448"/>
    <w:rsid w:val="00842882"/>
    <w:rsid w:val="008434B8"/>
    <w:rsid w:val="00843DB5"/>
    <w:rsid w:val="00844497"/>
    <w:rsid w:val="0084476B"/>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177"/>
    <w:rsid w:val="008534B5"/>
    <w:rsid w:val="00854478"/>
    <w:rsid w:val="00854638"/>
    <w:rsid w:val="00854A1D"/>
    <w:rsid w:val="00854D8C"/>
    <w:rsid w:val="00854ECD"/>
    <w:rsid w:val="00855DED"/>
    <w:rsid w:val="0085668D"/>
    <w:rsid w:val="00857245"/>
    <w:rsid w:val="0085752A"/>
    <w:rsid w:val="00857638"/>
    <w:rsid w:val="00857AFF"/>
    <w:rsid w:val="00860157"/>
    <w:rsid w:val="00860601"/>
    <w:rsid w:val="0086142F"/>
    <w:rsid w:val="0086169F"/>
    <w:rsid w:val="00862691"/>
    <w:rsid w:val="00862973"/>
    <w:rsid w:val="00862A46"/>
    <w:rsid w:val="00862DF9"/>
    <w:rsid w:val="00862EBC"/>
    <w:rsid w:val="008632F2"/>
    <w:rsid w:val="00864889"/>
    <w:rsid w:val="00864A6B"/>
    <w:rsid w:val="00864CB6"/>
    <w:rsid w:val="00865666"/>
    <w:rsid w:val="00865E34"/>
    <w:rsid w:val="0086638A"/>
    <w:rsid w:val="008675DA"/>
    <w:rsid w:val="00867E9F"/>
    <w:rsid w:val="0087034E"/>
    <w:rsid w:val="00870A78"/>
    <w:rsid w:val="00870A8B"/>
    <w:rsid w:val="0087140F"/>
    <w:rsid w:val="00871C2C"/>
    <w:rsid w:val="00871D7A"/>
    <w:rsid w:val="008720D3"/>
    <w:rsid w:val="00872632"/>
    <w:rsid w:val="00872CF6"/>
    <w:rsid w:val="00873623"/>
    <w:rsid w:val="00874064"/>
    <w:rsid w:val="00874CD7"/>
    <w:rsid w:val="008757D8"/>
    <w:rsid w:val="00875897"/>
    <w:rsid w:val="0087592E"/>
    <w:rsid w:val="0087659D"/>
    <w:rsid w:val="008766C7"/>
    <w:rsid w:val="00876946"/>
    <w:rsid w:val="008778F7"/>
    <w:rsid w:val="00877A29"/>
    <w:rsid w:val="00880F5F"/>
    <w:rsid w:val="008813B9"/>
    <w:rsid w:val="00881611"/>
    <w:rsid w:val="0088163D"/>
    <w:rsid w:val="00881739"/>
    <w:rsid w:val="00881B61"/>
    <w:rsid w:val="00881C80"/>
    <w:rsid w:val="00881F3B"/>
    <w:rsid w:val="0088201A"/>
    <w:rsid w:val="008828D8"/>
    <w:rsid w:val="00883268"/>
    <w:rsid w:val="008837FF"/>
    <w:rsid w:val="008839F1"/>
    <w:rsid w:val="00884622"/>
    <w:rsid w:val="00884D12"/>
    <w:rsid w:val="00884EE5"/>
    <w:rsid w:val="00885613"/>
    <w:rsid w:val="00885C5F"/>
    <w:rsid w:val="0088602E"/>
    <w:rsid w:val="00886482"/>
    <w:rsid w:val="0088667D"/>
    <w:rsid w:val="00886B84"/>
    <w:rsid w:val="00886EB4"/>
    <w:rsid w:val="008873D3"/>
    <w:rsid w:val="00890987"/>
    <w:rsid w:val="00890BC5"/>
    <w:rsid w:val="00891414"/>
    <w:rsid w:val="00891C5B"/>
    <w:rsid w:val="008929B1"/>
    <w:rsid w:val="00892A42"/>
    <w:rsid w:val="00893125"/>
    <w:rsid w:val="00893628"/>
    <w:rsid w:val="008936EF"/>
    <w:rsid w:val="00893C97"/>
    <w:rsid w:val="0089421B"/>
    <w:rsid w:val="00894354"/>
    <w:rsid w:val="008946E4"/>
    <w:rsid w:val="00894F66"/>
    <w:rsid w:val="008950E7"/>
    <w:rsid w:val="00895A5D"/>
    <w:rsid w:val="0089701B"/>
    <w:rsid w:val="00897438"/>
    <w:rsid w:val="00897A72"/>
    <w:rsid w:val="008A011C"/>
    <w:rsid w:val="008A06C7"/>
    <w:rsid w:val="008A07A1"/>
    <w:rsid w:val="008A1005"/>
    <w:rsid w:val="008A1D80"/>
    <w:rsid w:val="008A20F9"/>
    <w:rsid w:val="008A3309"/>
    <w:rsid w:val="008A3385"/>
    <w:rsid w:val="008A3677"/>
    <w:rsid w:val="008A443A"/>
    <w:rsid w:val="008A461C"/>
    <w:rsid w:val="008A4927"/>
    <w:rsid w:val="008A4B4E"/>
    <w:rsid w:val="008A5872"/>
    <w:rsid w:val="008A58B1"/>
    <w:rsid w:val="008A5A47"/>
    <w:rsid w:val="008A620A"/>
    <w:rsid w:val="008A7749"/>
    <w:rsid w:val="008A7A8D"/>
    <w:rsid w:val="008B04D8"/>
    <w:rsid w:val="008B0705"/>
    <w:rsid w:val="008B0979"/>
    <w:rsid w:val="008B0AA4"/>
    <w:rsid w:val="008B14E3"/>
    <w:rsid w:val="008B1754"/>
    <w:rsid w:val="008B23EC"/>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2852"/>
    <w:rsid w:val="008D33CC"/>
    <w:rsid w:val="008D3487"/>
    <w:rsid w:val="008D38FE"/>
    <w:rsid w:val="008D3CF4"/>
    <w:rsid w:val="008D3DA8"/>
    <w:rsid w:val="008D4AC4"/>
    <w:rsid w:val="008D4E27"/>
    <w:rsid w:val="008D5035"/>
    <w:rsid w:val="008D5157"/>
    <w:rsid w:val="008D53C1"/>
    <w:rsid w:val="008D5C2A"/>
    <w:rsid w:val="008D6341"/>
    <w:rsid w:val="008D653C"/>
    <w:rsid w:val="008D6EB6"/>
    <w:rsid w:val="008E014D"/>
    <w:rsid w:val="008E111A"/>
    <w:rsid w:val="008E1F78"/>
    <w:rsid w:val="008E21E3"/>
    <w:rsid w:val="008E26A1"/>
    <w:rsid w:val="008E3274"/>
    <w:rsid w:val="008E3470"/>
    <w:rsid w:val="008E3741"/>
    <w:rsid w:val="008E390F"/>
    <w:rsid w:val="008E4084"/>
    <w:rsid w:val="008E4634"/>
    <w:rsid w:val="008E48D1"/>
    <w:rsid w:val="008E4AF4"/>
    <w:rsid w:val="008E4B43"/>
    <w:rsid w:val="008E562B"/>
    <w:rsid w:val="008E59FC"/>
    <w:rsid w:val="008E7E84"/>
    <w:rsid w:val="008F0B14"/>
    <w:rsid w:val="008F13C7"/>
    <w:rsid w:val="008F172B"/>
    <w:rsid w:val="008F1B6A"/>
    <w:rsid w:val="008F1BEA"/>
    <w:rsid w:val="008F1E7C"/>
    <w:rsid w:val="008F2158"/>
    <w:rsid w:val="008F2462"/>
    <w:rsid w:val="008F2E1B"/>
    <w:rsid w:val="008F31A8"/>
    <w:rsid w:val="008F34CF"/>
    <w:rsid w:val="008F4909"/>
    <w:rsid w:val="008F4C08"/>
    <w:rsid w:val="008F4FEB"/>
    <w:rsid w:val="008F57C8"/>
    <w:rsid w:val="008F6C62"/>
    <w:rsid w:val="008F7116"/>
    <w:rsid w:val="008F75C2"/>
    <w:rsid w:val="008F7824"/>
    <w:rsid w:val="008F795F"/>
    <w:rsid w:val="008F7C9D"/>
    <w:rsid w:val="009017AE"/>
    <w:rsid w:val="00901880"/>
    <w:rsid w:val="00903469"/>
    <w:rsid w:val="009036D8"/>
    <w:rsid w:val="00903CFB"/>
    <w:rsid w:val="00903FCE"/>
    <w:rsid w:val="009044B5"/>
    <w:rsid w:val="0090511F"/>
    <w:rsid w:val="00905412"/>
    <w:rsid w:val="00905955"/>
    <w:rsid w:val="00905D92"/>
    <w:rsid w:val="00905DFA"/>
    <w:rsid w:val="00905ED0"/>
    <w:rsid w:val="0090680B"/>
    <w:rsid w:val="009070E6"/>
    <w:rsid w:val="0090783D"/>
    <w:rsid w:val="009079C1"/>
    <w:rsid w:val="0091015A"/>
    <w:rsid w:val="009109B5"/>
    <w:rsid w:val="009111E2"/>
    <w:rsid w:val="00911CB0"/>
    <w:rsid w:val="00912418"/>
    <w:rsid w:val="00912B05"/>
    <w:rsid w:val="009138EE"/>
    <w:rsid w:val="00913D64"/>
    <w:rsid w:val="00913F52"/>
    <w:rsid w:val="00913F59"/>
    <w:rsid w:val="0091410B"/>
    <w:rsid w:val="00914674"/>
    <w:rsid w:val="0091482B"/>
    <w:rsid w:val="00914F9C"/>
    <w:rsid w:val="009151DC"/>
    <w:rsid w:val="00915C20"/>
    <w:rsid w:val="00916824"/>
    <w:rsid w:val="00920552"/>
    <w:rsid w:val="00921755"/>
    <w:rsid w:val="00921987"/>
    <w:rsid w:val="00922438"/>
    <w:rsid w:val="0092373C"/>
    <w:rsid w:val="009237AB"/>
    <w:rsid w:val="00923C90"/>
    <w:rsid w:val="00923D75"/>
    <w:rsid w:val="009240D8"/>
    <w:rsid w:val="00924ACC"/>
    <w:rsid w:val="009256CE"/>
    <w:rsid w:val="00925C24"/>
    <w:rsid w:val="00926903"/>
    <w:rsid w:val="00927234"/>
    <w:rsid w:val="00927C61"/>
    <w:rsid w:val="00927DB5"/>
    <w:rsid w:val="009301C3"/>
    <w:rsid w:val="009305DF"/>
    <w:rsid w:val="00930829"/>
    <w:rsid w:val="00930DA7"/>
    <w:rsid w:val="00930F81"/>
    <w:rsid w:val="0093132B"/>
    <w:rsid w:val="0093144D"/>
    <w:rsid w:val="00931638"/>
    <w:rsid w:val="00931996"/>
    <w:rsid w:val="0093248E"/>
    <w:rsid w:val="00932EEE"/>
    <w:rsid w:val="0093338D"/>
    <w:rsid w:val="00934456"/>
    <w:rsid w:val="00934553"/>
    <w:rsid w:val="00934C29"/>
    <w:rsid w:val="00935697"/>
    <w:rsid w:val="00935A03"/>
    <w:rsid w:val="009369D1"/>
    <w:rsid w:val="00937831"/>
    <w:rsid w:val="00940703"/>
    <w:rsid w:val="00940B60"/>
    <w:rsid w:val="00941317"/>
    <w:rsid w:val="00941490"/>
    <w:rsid w:val="00942407"/>
    <w:rsid w:val="00942747"/>
    <w:rsid w:val="0094367C"/>
    <w:rsid w:val="00943845"/>
    <w:rsid w:val="00944587"/>
    <w:rsid w:val="00944F7B"/>
    <w:rsid w:val="00944FA6"/>
    <w:rsid w:val="00945034"/>
    <w:rsid w:val="0094559A"/>
    <w:rsid w:val="009461B0"/>
    <w:rsid w:val="00946380"/>
    <w:rsid w:val="00946796"/>
    <w:rsid w:val="00947042"/>
    <w:rsid w:val="0094744D"/>
    <w:rsid w:val="0094767D"/>
    <w:rsid w:val="00950574"/>
    <w:rsid w:val="00950666"/>
    <w:rsid w:val="00950ABC"/>
    <w:rsid w:val="00950C49"/>
    <w:rsid w:val="0095100D"/>
    <w:rsid w:val="009510A2"/>
    <w:rsid w:val="00952962"/>
    <w:rsid w:val="0095377E"/>
    <w:rsid w:val="00953DD2"/>
    <w:rsid w:val="00954608"/>
    <w:rsid w:val="00954934"/>
    <w:rsid w:val="009552E9"/>
    <w:rsid w:val="009559E1"/>
    <w:rsid w:val="00955A13"/>
    <w:rsid w:val="00955B0B"/>
    <w:rsid w:val="00956189"/>
    <w:rsid w:val="00956396"/>
    <w:rsid w:val="0095643C"/>
    <w:rsid w:val="00956DFE"/>
    <w:rsid w:val="0095797A"/>
    <w:rsid w:val="00957C66"/>
    <w:rsid w:val="00960A98"/>
    <w:rsid w:val="00960EE3"/>
    <w:rsid w:val="00961A82"/>
    <w:rsid w:val="00962313"/>
    <w:rsid w:val="009625FC"/>
    <w:rsid w:val="00962698"/>
    <w:rsid w:val="00962CD5"/>
    <w:rsid w:val="009647CD"/>
    <w:rsid w:val="00965241"/>
    <w:rsid w:val="0096525C"/>
    <w:rsid w:val="00965F29"/>
    <w:rsid w:val="00966187"/>
    <w:rsid w:val="00966C58"/>
    <w:rsid w:val="00966D00"/>
    <w:rsid w:val="00966D82"/>
    <w:rsid w:val="00966DD3"/>
    <w:rsid w:val="00966F15"/>
    <w:rsid w:val="00967541"/>
    <w:rsid w:val="00970069"/>
    <w:rsid w:val="0097040C"/>
    <w:rsid w:val="00970C0B"/>
    <w:rsid w:val="009712AD"/>
    <w:rsid w:val="00972B59"/>
    <w:rsid w:val="00973171"/>
    <w:rsid w:val="00973A08"/>
    <w:rsid w:val="00973E91"/>
    <w:rsid w:val="00973F53"/>
    <w:rsid w:val="00973F6A"/>
    <w:rsid w:val="00973FEA"/>
    <w:rsid w:val="0097438F"/>
    <w:rsid w:val="00974580"/>
    <w:rsid w:val="00975C20"/>
    <w:rsid w:val="0097602D"/>
    <w:rsid w:val="0097664C"/>
    <w:rsid w:val="00976969"/>
    <w:rsid w:val="00976BC1"/>
    <w:rsid w:val="00976CBE"/>
    <w:rsid w:val="00976CE8"/>
    <w:rsid w:val="00977194"/>
    <w:rsid w:val="00977E3C"/>
    <w:rsid w:val="00977FFC"/>
    <w:rsid w:val="009805D3"/>
    <w:rsid w:val="00980E0C"/>
    <w:rsid w:val="00981AE3"/>
    <w:rsid w:val="00982014"/>
    <w:rsid w:val="0098289E"/>
    <w:rsid w:val="00982CD8"/>
    <w:rsid w:val="00982DFA"/>
    <w:rsid w:val="00982E8C"/>
    <w:rsid w:val="00984858"/>
    <w:rsid w:val="00984886"/>
    <w:rsid w:val="00985379"/>
    <w:rsid w:val="009858D9"/>
    <w:rsid w:val="00986F0C"/>
    <w:rsid w:val="0098707C"/>
    <w:rsid w:val="00987441"/>
    <w:rsid w:val="00987DAC"/>
    <w:rsid w:val="00990239"/>
    <w:rsid w:val="00992252"/>
    <w:rsid w:val="009938E2"/>
    <w:rsid w:val="009942E7"/>
    <w:rsid w:val="00994D29"/>
    <w:rsid w:val="00994EC1"/>
    <w:rsid w:val="009952E2"/>
    <w:rsid w:val="00995CEE"/>
    <w:rsid w:val="009970B2"/>
    <w:rsid w:val="009971EC"/>
    <w:rsid w:val="009974E3"/>
    <w:rsid w:val="009977CA"/>
    <w:rsid w:val="009977D7"/>
    <w:rsid w:val="009A05A5"/>
    <w:rsid w:val="009A1080"/>
    <w:rsid w:val="009A15E6"/>
    <w:rsid w:val="009A1EB2"/>
    <w:rsid w:val="009A2A08"/>
    <w:rsid w:val="009A30B9"/>
    <w:rsid w:val="009A4142"/>
    <w:rsid w:val="009A4B19"/>
    <w:rsid w:val="009A4BBE"/>
    <w:rsid w:val="009A4E53"/>
    <w:rsid w:val="009A4F81"/>
    <w:rsid w:val="009A5120"/>
    <w:rsid w:val="009A5ED6"/>
    <w:rsid w:val="009A6E57"/>
    <w:rsid w:val="009A6E93"/>
    <w:rsid w:val="009A75D3"/>
    <w:rsid w:val="009B04FA"/>
    <w:rsid w:val="009B1E42"/>
    <w:rsid w:val="009B219B"/>
    <w:rsid w:val="009B3144"/>
    <w:rsid w:val="009B3156"/>
    <w:rsid w:val="009B3E1B"/>
    <w:rsid w:val="009B3E3A"/>
    <w:rsid w:val="009B4550"/>
    <w:rsid w:val="009B4624"/>
    <w:rsid w:val="009B4990"/>
    <w:rsid w:val="009B4F81"/>
    <w:rsid w:val="009B57DB"/>
    <w:rsid w:val="009B5EDA"/>
    <w:rsid w:val="009B6A2E"/>
    <w:rsid w:val="009B6E64"/>
    <w:rsid w:val="009B6EAA"/>
    <w:rsid w:val="009B7511"/>
    <w:rsid w:val="009C1216"/>
    <w:rsid w:val="009C1306"/>
    <w:rsid w:val="009C1CCB"/>
    <w:rsid w:val="009C20DE"/>
    <w:rsid w:val="009C2478"/>
    <w:rsid w:val="009C28FF"/>
    <w:rsid w:val="009C2C62"/>
    <w:rsid w:val="009C3DC9"/>
    <w:rsid w:val="009C3EA8"/>
    <w:rsid w:val="009C40EF"/>
    <w:rsid w:val="009C42A6"/>
    <w:rsid w:val="009C4B27"/>
    <w:rsid w:val="009C4B5F"/>
    <w:rsid w:val="009C5AA5"/>
    <w:rsid w:val="009C68E9"/>
    <w:rsid w:val="009C6D86"/>
    <w:rsid w:val="009C7653"/>
    <w:rsid w:val="009C78B6"/>
    <w:rsid w:val="009D0371"/>
    <w:rsid w:val="009D0407"/>
    <w:rsid w:val="009D1088"/>
    <w:rsid w:val="009D14FA"/>
    <w:rsid w:val="009D2113"/>
    <w:rsid w:val="009D25A6"/>
    <w:rsid w:val="009D283C"/>
    <w:rsid w:val="009D311D"/>
    <w:rsid w:val="009D34CB"/>
    <w:rsid w:val="009D384B"/>
    <w:rsid w:val="009D3F54"/>
    <w:rsid w:val="009D4776"/>
    <w:rsid w:val="009D47B3"/>
    <w:rsid w:val="009D486C"/>
    <w:rsid w:val="009D4B8B"/>
    <w:rsid w:val="009D4C4E"/>
    <w:rsid w:val="009D4C50"/>
    <w:rsid w:val="009D52D9"/>
    <w:rsid w:val="009D55D1"/>
    <w:rsid w:val="009D5ABD"/>
    <w:rsid w:val="009D5B68"/>
    <w:rsid w:val="009D6B28"/>
    <w:rsid w:val="009D7468"/>
    <w:rsid w:val="009D7C5E"/>
    <w:rsid w:val="009E0FC9"/>
    <w:rsid w:val="009E1A58"/>
    <w:rsid w:val="009E1AB5"/>
    <w:rsid w:val="009E227D"/>
    <w:rsid w:val="009E2CFC"/>
    <w:rsid w:val="009E2DEB"/>
    <w:rsid w:val="009E3197"/>
    <w:rsid w:val="009E3F06"/>
    <w:rsid w:val="009E4A22"/>
    <w:rsid w:val="009E59AF"/>
    <w:rsid w:val="009E60CD"/>
    <w:rsid w:val="009E6211"/>
    <w:rsid w:val="009E6E37"/>
    <w:rsid w:val="009E735F"/>
    <w:rsid w:val="009E74A6"/>
    <w:rsid w:val="009E7631"/>
    <w:rsid w:val="009E785D"/>
    <w:rsid w:val="009E7F17"/>
    <w:rsid w:val="009F04C7"/>
    <w:rsid w:val="009F0908"/>
    <w:rsid w:val="009F168D"/>
    <w:rsid w:val="009F16C5"/>
    <w:rsid w:val="009F16F1"/>
    <w:rsid w:val="009F16FB"/>
    <w:rsid w:val="009F171F"/>
    <w:rsid w:val="009F1B9B"/>
    <w:rsid w:val="009F1E58"/>
    <w:rsid w:val="009F1EE1"/>
    <w:rsid w:val="009F35F8"/>
    <w:rsid w:val="009F3ADF"/>
    <w:rsid w:val="009F4F5F"/>
    <w:rsid w:val="009F52C6"/>
    <w:rsid w:val="009F5CCD"/>
    <w:rsid w:val="009F615E"/>
    <w:rsid w:val="009F648B"/>
    <w:rsid w:val="009F6C2A"/>
    <w:rsid w:val="009F7C8A"/>
    <w:rsid w:val="00A0062C"/>
    <w:rsid w:val="00A0066B"/>
    <w:rsid w:val="00A00925"/>
    <w:rsid w:val="00A00A5F"/>
    <w:rsid w:val="00A00A6E"/>
    <w:rsid w:val="00A00BFF"/>
    <w:rsid w:val="00A00F2C"/>
    <w:rsid w:val="00A011A4"/>
    <w:rsid w:val="00A011F5"/>
    <w:rsid w:val="00A0181B"/>
    <w:rsid w:val="00A02398"/>
    <w:rsid w:val="00A026C0"/>
    <w:rsid w:val="00A026D0"/>
    <w:rsid w:val="00A02B37"/>
    <w:rsid w:val="00A02E79"/>
    <w:rsid w:val="00A02F23"/>
    <w:rsid w:val="00A036E3"/>
    <w:rsid w:val="00A038C6"/>
    <w:rsid w:val="00A038D9"/>
    <w:rsid w:val="00A03D46"/>
    <w:rsid w:val="00A03E1C"/>
    <w:rsid w:val="00A041E5"/>
    <w:rsid w:val="00A042F3"/>
    <w:rsid w:val="00A043EC"/>
    <w:rsid w:val="00A0581A"/>
    <w:rsid w:val="00A05872"/>
    <w:rsid w:val="00A0591E"/>
    <w:rsid w:val="00A061DB"/>
    <w:rsid w:val="00A06303"/>
    <w:rsid w:val="00A065D1"/>
    <w:rsid w:val="00A0771C"/>
    <w:rsid w:val="00A10D2C"/>
    <w:rsid w:val="00A11236"/>
    <w:rsid w:val="00A11904"/>
    <w:rsid w:val="00A11A22"/>
    <w:rsid w:val="00A1334D"/>
    <w:rsid w:val="00A1512A"/>
    <w:rsid w:val="00A15513"/>
    <w:rsid w:val="00A15A88"/>
    <w:rsid w:val="00A16276"/>
    <w:rsid w:val="00A17757"/>
    <w:rsid w:val="00A219CF"/>
    <w:rsid w:val="00A21DEE"/>
    <w:rsid w:val="00A22B3E"/>
    <w:rsid w:val="00A22FB2"/>
    <w:rsid w:val="00A2321C"/>
    <w:rsid w:val="00A232BF"/>
    <w:rsid w:val="00A23647"/>
    <w:rsid w:val="00A23657"/>
    <w:rsid w:val="00A23BC4"/>
    <w:rsid w:val="00A23CFF"/>
    <w:rsid w:val="00A241B2"/>
    <w:rsid w:val="00A25BE1"/>
    <w:rsid w:val="00A26447"/>
    <w:rsid w:val="00A268AD"/>
    <w:rsid w:val="00A276C9"/>
    <w:rsid w:val="00A27884"/>
    <w:rsid w:val="00A27BF4"/>
    <w:rsid w:val="00A30867"/>
    <w:rsid w:val="00A30BB8"/>
    <w:rsid w:val="00A30EDB"/>
    <w:rsid w:val="00A30F52"/>
    <w:rsid w:val="00A31635"/>
    <w:rsid w:val="00A31B68"/>
    <w:rsid w:val="00A32005"/>
    <w:rsid w:val="00A32602"/>
    <w:rsid w:val="00A32A38"/>
    <w:rsid w:val="00A339E1"/>
    <w:rsid w:val="00A33C94"/>
    <w:rsid w:val="00A33FEF"/>
    <w:rsid w:val="00A35263"/>
    <w:rsid w:val="00A35520"/>
    <w:rsid w:val="00A3557C"/>
    <w:rsid w:val="00A358CB"/>
    <w:rsid w:val="00A36440"/>
    <w:rsid w:val="00A36B6E"/>
    <w:rsid w:val="00A36EF1"/>
    <w:rsid w:val="00A37547"/>
    <w:rsid w:val="00A377F3"/>
    <w:rsid w:val="00A415E8"/>
    <w:rsid w:val="00A426CE"/>
    <w:rsid w:val="00A428DE"/>
    <w:rsid w:val="00A4315F"/>
    <w:rsid w:val="00A4357D"/>
    <w:rsid w:val="00A44191"/>
    <w:rsid w:val="00A44573"/>
    <w:rsid w:val="00A44804"/>
    <w:rsid w:val="00A44A08"/>
    <w:rsid w:val="00A44DD9"/>
    <w:rsid w:val="00A45543"/>
    <w:rsid w:val="00A4561E"/>
    <w:rsid w:val="00A457B3"/>
    <w:rsid w:val="00A46D67"/>
    <w:rsid w:val="00A470BC"/>
    <w:rsid w:val="00A47F1F"/>
    <w:rsid w:val="00A50A65"/>
    <w:rsid w:val="00A5156B"/>
    <w:rsid w:val="00A51EB1"/>
    <w:rsid w:val="00A52435"/>
    <w:rsid w:val="00A547D4"/>
    <w:rsid w:val="00A551BC"/>
    <w:rsid w:val="00A552EE"/>
    <w:rsid w:val="00A56556"/>
    <w:rsid w:val="00A568A4"/>
    <w:rsid w:val="00A57472"/>
    <w:rsid w:val="00A5748E"/>
    <w:rsid w:val="00A578BC"/>
    <w:rsid w:val="00A579A2"/>
    <w:rsid w:val="00A57BC2"/>
    <w:rsid w:val="00A608B5"/>
    <w:rsid w:val="00A62A84"/>
    <w:rsid w:val="00A62CF2"/>
    <w:rsid w:val="00A630F0"/>
    <w:rsid w:val="00A646A8"/>
    <w:rsid w:val="00A6491A"/>
    <w:rsid w:val="00A652E0"/>
    <w:rsid w:val="00A65D39"/>
    <w:rsid w:val="00A661C8"/>
    <w:rsid w:val="00A66B4E"/>
    <w:rsid w:val="00A6724D"/>
    <w:rsid w:val="00A6786E"/>
    <w:rsid w:val="00A67DF7"/>
    <w:rsid w:val="00A70D80"/>
    <w:rsid w:val="00A71183"/>
    <w:rsid w:val="00A723B9"/>
    <w:rsid w:val="00A72FA8"/>
    <w:rsid w:val="00A7480A"/>
    <w:rsid w:val="00A74985"/>
    <w:rsid w:val="00A75063"/>
    <w:rsid w:val="00A77649"/>
    <w:rsid w:val="00A77773"/>
    <w:rsid w:val="00A803BB"/>
    <w:rsid w:val="00A812D8"/>
    <w:rsid w:val="00A81FF6"/>
    <w:rsid w:val="00A82020"/>
    <w:rsid w:val="00A82079"/>
    <w:rsid w:val="00A82151"/>
    <w:rsid w:val="00A8236A"/>
    <w:rsid w:val="00A825FD"/>
    <w:rsid w:val="00A83281"/>
    <w:rsid w:val="00A837B4"/>
    <w:rsid w:val="00A838FB"/>
    <w:rsid w:val="00A847B7"/>
    <w:rsid w:val="00A849D7"/>
    <w:rsid w:val="00A84DD8"/>
    <w:rsid w:val="00A84E15"/>
    <w:rsid w:val="00A85E04"/>
    <w:rsid w:val="00A863F2"/>
    <w:rsid w:val="00A86767"/>
    <w:rsid w:val="00A867F8"/>
    <w:rsid w:val="00A871EB"/>
    <w:rsid w:val="00A87715"/>
    <w:rsid w:val="00A877DF"/>
    <w:rsid w:val="00A87ADF"/>
    <w:rsid w:val="00A90331"/>
    <w:rsid w:val="00A9039A"/>
    <w:rsid w:val="00A90D09"/>
    <w:rsid w:val="00A91C0A"/>
    <w:rsid w:val="00A924E1"/>
    <w:rsid w:val="00A9406E"/>
    <w:rsid w:val="00A940E6"/>
    <w:rsid w:val="00A94AC5"/>
    <w:rsid w:val="00A94D64"/>
    <w:rsid w:val="00A94DCD"/>
    <w:rsid w:val="00A97CF4"/>
    <w:rsid w:val="00AA106E"/>
    <w:rsid w:val="00AA1BF9"/>
    <w:rsid w:val="00AA253F"/>
    <w:rsid w:val="00AA2814"/>
    <w:rsid w:val="00AA2998"/>
    <w:rsid w:val="00AA2D13"/>
    <w:rsid w:val="00AA3216"/>
    <w:rsid w:val="00AA4954"/>
    <w:rsid w:val="00AA4D2B"/>
    <w:rsid w:val="00AA5833"/>
    <w:rsid w:val="00AA5BBD"/>
    <w:rsid w:val="00AA610B"/>
    <w:rsid w:val="00AA66A7"/>
    <w:rsid w:val="00AA6B9F"/>
    <w:rsid w:val="00AA72A7"/>
    <w:rsid w:val="00AB0330"/>
    <w:rsid w:val="00AB0935"/>
    <w:rsid w:val="00AB0AF0"/>
    <w:rsid w:val="00AB1033"/>
    <w:rsid w:val="00AB1D27"/>
    <w:rsid w:val="00AB233C"/>
    <w:rsid w:val="00AB2BDF"/>
    <w:rsid w:val="00AB315B"/>
    <w:rsid w:val="00AB3423"/>
    <w:rsid w:val="00AB3548"/>
    <w:rsid w:val="00AB36F9"/>
    <w:rsid w:val="00AB3A66"/>
    <w:rsid w:val="00AB43AF"/>
    <w:rsid w:val="00AB4D8F"/>
    <w:rsid w:val="00AB4FDD"/>
    <w:rsid w:val="00AB54EC"/>
    <w:rsid w:val="00AB59F2"/>
    <w:rsid w:val="00AB612C"/>
    <w:rsid w:val="00AB62EC"/>
    <w:rsid w:val="00AB72D0"/>
    <w:rsid w:val="00AB7BAF"/>
    <w:rsid w:val="00AB7E54"/>
    <w:rsid w:val="00AC1413"/>
    <w:rsid w:val="00AC1E43"/>
    <w:rsid w:val="00AC2CB8"/>
    <w:rsid w:val="00AC2DDE"/>
    <w:rsid w:val="00AC4249"/>
    <w:rsid w:val="00AC4510"/>
    <w:rsid w:val="00AC4BE6"/>
    <w:rsid w:val="00AC4D57"/>
    <w:rsid w:val="00AC5356"/>
    <w:rsid w:val="00AC6B44"/>
    <w:rsid w:val="00AC6E87"/>
    <w:rsid w:val="00AC7325"/>
    <w:rsid w:val="00AD040D"/>
    <w:rsid w:val="00AD0671"/>
    <w:rsid w:val="00AD1935"/>
    <w:rsid w:val="00AD2184"/>
    <w:rsid w:val="00AD23ED"/>
    <w:rsid w:val="00AD2870"/>
    <w:rsid w:val="00AD2D4F"/>
    <w:rsid w:val="00AD36A2"/>
    <w:rsid w:val="00AD3800"/>
    <w:rsid w:val="00AD3BA3"/>
    <w:rsid w:val="00AD403C"/>
    <w:rsid w:val="00AD419E"/>
    <w:rsid w:val="00AD421F"/>
    <w:rsid w:val="00AD4A1F"/>
    <w:rsid w:val="00AD4EBF"/>
    <w:rsid w:val="00AD5F8C"/>
    <w:rsid w:val="00AD612E"/>
    <w:rsid w:val="00AD670D"/>
    <w:rsid w:val="00AD71D5"/>
    <w:rsid w:val="00AE07EE"/>
    <w:rsid w:val="00AE0CDE"/>
    <w:rsid w:val="00AE119F"/>
    <w:rsid w:val="00AE15E1"/>
    <w:rsid w:val="00AE19E9"/>
    <w:rsid w:val="00AE1C53"/>
    <w:rsid w:val="00AE22BD"/>
    <w:rsid w:val="00AE4CEB"/>
    <w:rsid w:val="00AE563F"/>
    <w:rsid w:val="00AE5BAC"/>
    <w:rsid w:val="00AE6143"/>
    <w:rsid w:val="00AE6488"/>
    <w:rsid w:val="00AE655E"/>
    <w:rsid w:val="00AE6D8E"/>
    <w:rsid w:val="00AE739A"/>
    <w:rsid w:val="00AE7871"/>
    <w:rsid w:val="00AE7A80"/>
    <w:rsid w:val="00AE7B29"/>
    <w:rsid w:val="00AE7C94"/>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2225"/>
    <w:rsid w:val="00B034EE"/>
    <w:rsid w:val="00B0355C"/>
    <w:rsid w:val="00B03836"/>
    <w:rsid w:val="00B03C16"/>
    <w:rsid w:val="00B03C17"/>
    <w:rsid w:val="00B03E5B"/>
    <w:rsid w:val="00B03F6A"/>
    <w:rsid w:val="00B0401E"/>
    <w:rsid w:val="00B0457F"/>
    <w:rsid w:val="00B048C0"/>
    <w:rsid w:val="00B04B6E"/>
    <w:rsid w:val="00B04D83"/>
    <w:rsid w:val="00B0501A"/>
    <w:rsid w:val="00B051BA"/>
    <w:rsid w:val="00B05538"/>
    <w:rsid w:val="00B05748"/>
    <w:rsid w:val="00B068CA"/>
    <w:rsid w:val="00B06C2F"/>
    <w:rsid w:val="00B0761D"/>
    <w:rsid w:val="00B07846"/>
    <w:rsid w:val="00B07B53"/>
    <w:rsid w:val="00B10D4F"/>
    <w:rsid w:val="00B112D4"/>
    <w:rsid w:val="00B11C31"/>
    <w:rsid w:val="00B137F3"/>
    <w:rsid w:val="00B15461"/>
    <w:rsid w:val="00B15572"/>
    <w:rsid w:val="00B15FD2"/>
    <w:rsid w:val="00B1626B"/>
    <w:rsid w:val="00B179CF"/>
    <w:rsid w:val="00B203ED"/>
    <w:rsid w:val="00B20DAB"/>
    <w:rsid w:val="00B21037"/>
    <w:rsid w:val="00B2182B"/>
    <w:rsid w:val="00B21F02"/>
    <w:rsid w:val="00B238C6"/>
    <w:rsid w:val="00B23E1D"/>
    <w:rsid w:val="00B249D1"/>
    <w:rsid w:val="00B24D32"/>
    <w:rsid w:val="00B25B53"/>
    <w:rsid w:val="00B25BC0"/>
    <w:rsid w:val="00B261FE"/>
    <w:rsid w:val="00B26D34"/>
    <w:rsid w:val="00B271F9"/>
    <w:rsid w:val="00B279E3"/>
    <w:rsid w:val="00B30368"/>
    <w:rsid w:val="00B308F1"/>
    <w:rsid w:val="00B31336"/>
    <w:rsid w:val="00B31537"/>
    <w:rsid w:val="00B3243C"/>
    <w:rsid w:val="00B325F8"/>
    <w:rsid w:val="00B32631"/>
    <w:rsid w:val="00B32779"/>
    <w:rsid w:val="00B32908"/>
    <w:rsid w:val="00B333BA"/>
    <w:rsid w:val="00B33468"/>
    <w:rsid w:val="00B344D9"/>
    <w:rsid w:val="00B34A45"/>
    <w:rsid w:val="00B34B38"/>
    <w:rsid w:val="00B36CBE"/>
    <w:rsid w:val="00B37120"/>
    <w:rsid w:val="00B372E3"/>
    <w:rsid w:val="00B37546"/>
    <w:rsid w:val="00B403A4"/>
    <w:rsid w:val="00B412E6"/>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1FC"/>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0D8F"/>
    <w:rsid w:val="00B616B2"/>
    <w:rsid w:val="00B6220B"/>
    <w:rsid w:val="00B625B8"/>
    <w:rsid w:val="00B630DB"/>
    <w:rsid w:val="00B633B1"/>
    <w:rsid w:val="00B634AB"/>
    <w:rsid w:val="00B63E1F"/>
    <w:rsid w:val="00B6461F"/>
    <w:rsid w:val="00B64626"/>
    <w:rsid w:val="00B64858"/>
    <w:rsid w:val="00B64F88"/>
    <w:rsid w:val="00B65633"/>
    <w:rsid w:val="00B65C47"/>
    <w:rsid w:val="00B670C5"/>
    <w:rsid w:val="00B671D3"/>
    <w:rsid w:val="00B67A17"/>
    <w:rsid w:val="00B72B1F"/>
    <w:rsid w:val="00B745E7"/>
    <w:rsid w:val="00B746B0"/>
    <w:rsid w:val="00B752C5"/>
    <w:rsid w:val="00B75F00"/>
    <w:rsid w:val="00B7602A"/>
    <w:rsid w:val="00B7621A"/>
    <w:rsid w:val="00B77209"/>
    <w:rsid w:val="00B77961"/>
    <w:rsid w:val="00B82A96"/>
    <w:rsid w:val="00B82E21"/>
    <w:rsid w:val="00B83087"/>
    <w:rsid w:val="00B833D4"/>
    <w:rsid w:val="00B83403"/>
    <w:rsid w:val="00B83640"/>
    <w:rsid w:val="00B836FF"/>
    <w:rsid w:val="00B84396"/>
    <w:rsid w:val="00B8474E"/>
    <w:rsid w:val="00B84EFD"/>
    <w:rsid w:val="00B85044"/>
    <w:rsid w:val="00B862A0"/>
    <w:rsid w:val="00B86DE5"/>
    <w:rsid w:val="00B8731A"/>
    <w:rsid w:val="00B87C02"/>
    <w:rsid w:val="00B87DD8"/>
    <w:rsid w:val="00B90584"/>
    <w:rsid w:val="00B90721"/>
    <w:rsid w:val="00B91880"/>
    <w:rsid w:val="00B92CD7"/>
    <w:rsid w:val="00B93747"/>
    <w:rsid w:val="00B93ED3"/>
    <w:rsid w:val="00B944B8"/>
    <w:rsid w:val="00B94730"/>
    <w:rsid w:val="00B9476F"/>
    <w:rsid w:val="00B948CC"/>
    <w:rsid w:val="00B948DD"/>
    <w:rsid w:val="00B94F74"/>
    <w:rsid w:val="00B95D45"/>
    <w:rsid w:val="00B9628D"/>
    <w:rsid w:val="00B96586"/>
    <w:rsid w:val="00B96FBB"/>
    <w:rsid w:val="00B97261"/>
    <w:rsid w:val="00BA0CD5"/>
    <w:rsid w:val="00BA0E5A"/>
    <w:rsid w:val="00BA1322"/>
    <w:rsid w:val="00BA16E6"/>
    <w:rsid w:val="00BA2447"/>
    <w:rsid w:val="00BA27FC"/>
    <w:rsid w:val="00BA3F08"/>
    <w:rsid w:val="00BA50A0"/>
    <w:rsid w:val="00BA5674"/>
    <w:rsid w:val="00BA6172"/>
    <w:rsid w:val="00BA6C85"/>
    <w:rsid w:val="00BA707E"/>
    <w:rsid w:val="00BA77EB"/>
    <w:rsid w:val="00BA77F4"/>
    <w:rsid w:val="00BA7CBF"/>
    <w:rsid w:val="00BB0972"/>
    <w:rsid w:val="00BB0A44"/>
    <w:rsid w:val="00BB1369"/>
    <w:rsid w:val="00BB15F6"/>
    <w:rsid w:val="00BB174B"/>
    <w:rsid w:val="00BB1BB0"/>
    <w:rsid w:val="00BB256D"/>
    <w:rsid w:val="00BB329D"/>
    <w:rsid w:val="00BB34C3"/>
    <w:rsid w:val="00BB3613"/>
    <w:rsid w:val="00BB3C6E"/>
    <w:rsid w:val="00BB3C89"/>
    <w:rsid w:val="00BB3DCE"/>
    <w:rsid w:val="00BB4455"/>
    <w:rsid w:val="00BB4542"/>
    <w:rsid w:val="00BB4AA2"/>
    <w:rsid w:val="00BB4ECD"/>
    <w:rsid w:val="00BB59FA"/>
    <w:rsid w:val="00BB5D46"/>
    <w:rsid w:val="00BB5DD2"/>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12AC"/>
    <w:rsid w:val="00BD1720"/>
    <w:rsid w:val="00BD2CFB"/>
    <w:rsid w:val="00BD4151"/>
    <w:rsid w:val="00BD491E"/>
    <w:rsid w:val="00BD4EB4"/>
    <w:rsid w:val="00BD568B"/>
    <w:rsid w:val="00BD6FD2"/>
    <w:rsid w:val="00BD722F"/>
    <w:rsid w:val="00BD751E"/>
    <w:rsid w:val="00BE01C0"/>
    <w:rsid w:val="00BE05E2"/>
    <w:rsid w:val="00BE0DFD"/>
    <w:rsid w:val="00BE10D5"/>
    <w:rsid w:val="00BE1FA8"/>
    <w:rsid w:val="00BE2094"/>
    <w:rsid w:val="00BE249C"/>
    <w:rsid w:val="00BE2BFB"/>
    <w:rsid w:val="00BE2F8F"/>
    <w:rsid w:val="00BE3058"/>
    <w:rsid w:val="00BE318C"/>
    <w:rsid w:val="00BE3F2E"/>
    <w:rsid w:val="00BE40BB"/>
    <w:rsid w:val="00BE4314"/>
    <w:rsid w:val="00BE453F"/>
    <w:rsid w:val="00BE5ACA"/>
    <w:rsid w:val="00BE6952"/>
    <w:rsid w:val="00BE6AA4"/>
    <w:rsid w:val="00BE7A18"/>
    <w:rsid w:val="00BE7D90"/>
    <w:rsid w:val="00BF1C28"/>
    <w:rsid w:val="00BF2448"/>
    <w:rsid w:val="00BF2839"/>
    <w:rsid w:val="00BF2938"/>
    <w:rsid w:val="00BF3101"/>
    <w:rsid w:val="00BF3217"/>
    <w:rsid w:val="00BF41A9"/>
    <w:rsid w:val="00BF4B1E"/>
    <w:rsid w:val="00BF4CA8"/>
    <w:rsid w:val="00BF5138"/>
    <w:rsid w:val="00BF55C9"/>
    <w:rsid w:val="00BF5618"/>
    <w:rsid w:val="00BF564C"/>
    <w:rsid w:val="00BF5843"/>
    <w:rsid w:val="00BF5DA6"/>
    <w:rsid w:val="00BF6070"/>
    <w:rsid w:val="00BF6321"/>
    <w:rsid w:val="00BF6A1C"/>
    <w:rsid w:val="00BF6C35"/>
    <w:rsid w:val="00BF7FDA"/>
    <w:rsid w:val="00C017C5"/>
    <w:rsid w:val="00C01940"/>
    <w:rsid w:val="00C0199D"/>
    <w:rsid w:val="00C01A80"/>
    <w:rsid w:val="00C01E17"/>
    <w:rsid w:val="00C033C2"/>
    <w:rsid w:val="00C037F5"/>
    <w:rsid w:val="00C04261"/>
    <w:rsid w:val="00C05455"/>
    <w:rsid w:val="00C057CE"/>
    <w:rsid w:val="00C05B7B"/>
    <w:rsid w:val="00C05BDE"/>
    <w:rsid w:val="00C05D1D"/>
    <w:rsid w:val="00C06532"/>
    <w:rsid w:val="00C06EC5"/>
    <w:rsid w:val="00C07115"/>
    <w:rsid w:val="00C07D18"/>
    <w:rsid w:val="00C07D55"/>
    <w:rsid w:val="00C105FA"/>
    <w:rsid w:val="00C1091C"/>
    <w:rsid w:val="00C10B86"/>
    <w:rsid w:val="00C11E4A"/>
    <w:rsid w:val="00C11FE4"/>
    <w:rsid w:val="00C1265F"/>
    <w:rsid w:val="00C1267A"/>
    <w:rsid w:val="00C12CC8"/>
    <w:rsid w:val="00C1338E"/>
    <w:rsid w:val="00C146BF"/>
    <w:rsid w:val="00C14A5D"/>
    <w:rsid w:val="00C14E10"/>
    <w:rsid w:val="00C15B82"/>
    <w:rsid w:val="00C15F54"/>
    <w:rsid w:val="00C16098"/>
    <w:rsid w:val="00C16756"/>
    <w:rsid w:val="00C17418"/>
    <w:rsid w:val="00C177F1"/>
    <w:rsid w:val="00C1795C"/>
    <w:rsid w:val="00C17D19"/>
    <w:rsid w:val="00C17E63"/>
    <w:rsid w:val="00C20278"/>
    <w:rsid w:val="00C20748"/>
    <w:rsid w:val="00C209FE"/>
    <w:rsid w:val="00C20B33"/>
    <w:rsid w:val="00C20F99"/>
    <w:rsid w:val="00C210F9"/>
    <w:rsid w:val="00C214E8"/>
    <w:rsid w:val="00C219AE"/>
    <w:rsid w:val="00C21C55"/>
    <w:rsid w:val="00C22C10"/>
    <w:rsid w:val="00C23250"/>
    <w:rsid w:val="00C23EDB"/>
    <w:rsid w:val="00C24001"/>
    <w:rsid w:val="00C259B5"/>
    <w:rsid w:val="00C25F39"/>
    <w:rsid w:val="00C26B5D"/>
    <w:rsid w:val="00C275D4"/>
    <w:rsid w:val="00C27FEF"/>
    <w:rsid w:val="00C30559"/>
    <w:rsid w:val="00C3108E"/>
    <w:rsid w:val="00C31557"/>
    <w:rsid w:val="00C3157F"/>
    <w:rsid w:val="00C31809"/>
    <w:rsid w:val="00C31E80"/>
    <w:rsid w:val="00C32357"/>
    <w:rsid w:val="00C3316B"/>
    <w:rsid w:val="00C34201"/>
    <w:rsid w:val="00C34453"/>
    <w:rsid w:val="00C34F1C"/>
    <w:rsid w:val="00C350D4"/>
    <w:rsid w:val="00C35817"/>
    <w:rsid w:val="00C36139"/>
    <w:rsid w:val="00C3712B"/>
    <w:rsid w:val="00C37636"/>
    <w:rsid w:val="00C4032E"/>
    <w:rsid w:val="00C4042C"/>
    <w:rsid w:val="00C40C82"/>
    <w:rsid w:val="00C4133A"/>
    <w:rsid w:val="00C4191A"/>
    <w:rsid w:val="00C41988"/>
    <w:rsid w:val="00C41F38"/>
    <w:rsid w:val="00C427D6"/>
    <w:rsid w:val="00C42A95"/>
    <w:rsid w:val="00C42D63"/>
    <w:rsid w:val="00C43AF0"/>
    <w:rsid w:val="00C43C4B"/>
    <w:rsid w:val="00C44323"/>
    <w:rsid w:val="00C44422"/>
    <w:rsid w:val="00C45458"/>
    <w:rsid w:val="00C455A5"/>
    <w:rsid w:val="00C46B06"/>
    <w:rsid w:val="00C47498"/>
    <w:rsid w:val="00C47524"/>
    <w:rsid w:val="00C47CF6"/>
    <w:rsid w:val="00C50934"/>
    <w:rsid w:val="00C5111D"/>
    <w:rsid w:val="00C51151"/>
    <w:rsid w:val="00C511E4"/>
    <w:rsid w:val="00C51FA3"/>
    <w:rsid w:val="00C529A8"/>
    <w:rsid w:val="00C52ED3"/>
    <w:rsid w:val="00C53936"/>
    <w:rsid w:val="00C53B19"/>
    <w:rsid w:val="00C544F4"/>
    <w:rsid w:val="00C5459B"/>
    <w:rsid w:val="00C54ABD"/>
    <w:rsid w:val="00C54DE1"/>
    <w:rsid w:val="00C55060"/>
    <w:rsid w:val="00C55BCD"/>
    <w:rsid w:val="00C55CEE"/>
    <w:rsid w:val="00C55FC6"/>
    <w:rsid w:val="00C565C1"/>
    <w:rsid w:val="00C575C2"/>
    <w:rsid w:val="00C57771"/>
    <w:rsid w:val="00C60687"/>
    <w:rsid w:val="00C60967"/>
    <w:rsid w:val="00C614BC"/>
    <w:rsid w:val="00C61702"/>
    <w:rsid w:val="00C620C6"/>
    <w:rsid w:val="00C620D5"/>
    <w:rsid w:val="00C62B7B"/>
    <w:rsid w:val="00C62CAE"/>
    <w:rsid w:val="00C62E5E"/>
    <w:rsid w:val="00C630D0"/>
    <w:rsid w:val="00C6370D"/>
    <w:rsid w:val="00C63765"/>
    <w:rsid w:val="00C63FA0"/>
    <w:rsid w:val="00C6436B"/>
    <w:rsid w:val="00C646D5"/>
    <w:rsid w:val="00C648F7"/>
    <w:rsid w:val="00C6573C"/>
    <w:rsid w:val="00C667E4"/>
    <w:rsid w:val="00C674D0"/>
    <w:rsid w:val="00C70740"/>
    <w:rsid w:val="00C7096F"/>
    <w:rsid w:val="00C7217A"/>
    <w:rsid w:val="00C729A4"/>
    <w:rsid w:val="00C73036"/>
    <w:rsid w:val="00C7360C"/>
    <w:rsid w:val="00C737FA"/>
    <w:rsid w:val="00C73F3E"/>
    <w:rsid w:val="00C74086"/>
    <w:rsid w:val="00C740A3"/>
    <w:rsid w:val="00C742E1"/>
    <w:rsid w:val="00C74753"/>
    <w:rsid w:val="00C74AAB"/>
    <w:rsid w:val="00C74C6D"/>
    <w:rsid w:val="00C76236"/>
    <w:rsid w:val="00C76873"/>
    <w:rsid w:val="00C76AC9"/>
    <w:rsid w:val="00C76FC5"/>
    <w:rsid w:val="00C77090"/>
    <w:rsid w:val="00C77326"/>
    <w:rsid w:val="00C77601"/>
    <w:rsid w:val="00C80859"/>
    <w:rsid w:val="00C80A03"/>
    <w:rsid w:val="00C80C1F"/>
    <w:rsid w:val="00C816C3"/>
    <w:rsid w:val="00C822FB"/>
    <w:rsid w:val="00C83381"/>
    <w:rsid w:val="00C848A7"/>
    <w:rsid w:val="00C84CC1"/>
    <w:rsid w:val="00C84CD4"/>
    <w:rsid w:val="00C854A6"/>
    <w:rsid w:val="00C85539"/>
    <w:rsid w:val="00C85B9F"/>
    <w:rsid w:val="00C860FF"/>
    <w:rsid w:val="00C868E7"/>
    <w:rsid w:val="00C86B30"/>
    <w:rsid w:val="00C8715F"/>
    <w:rsid w:val="00C87533"/>
    <w:rsid w:val="00C90080"/>
    <w:rsid w:val="00C905C0"/>
    <w:rsid w:val="00C90CE1"/>
    <w:rsid w:val="00C90E03"/>
    <w:rsid w:val="00C90EBD"/>
    <w:rsid w:val="00C91328"/>
    <w:rsid w:val="00C917B5"/>
    <w:rsid w:val="00C925B6"/>
    <w:rsid w:val="00C92C4E"/>
    <w:rsid w:val="00C92D94"/>
    <w:rsid w:val="00C92DBA"/>
    <w:rsid w:val="00C93041"/>
    <w:rsid w:val="00C93666"/>
    <w:rsid w:val="00C93F9F"/>
    <w:rsid w:val="00C948A2"/>
    <w:rsid w:val="00C95100"/>
    <w:rsid w:val="00C95676"/>
    <w:rsid w:val="00C9582E"/>
    <w:rsid w:val="00C95C87"/>
    <w:rsid w:val="00C962D0"/>
    <w:rsid w:val="00C96ECD"/>
    <w:rsid w:val="00C96FB4"/>
    <w:rsid w:val="00C9744B"/>
    <w:rsid w:val="00CA0086"/>
    <w:rsid w:val="00CA0A52"/>
    <w:rsid w:val="00CA12F2"/>
    <w:rsid w:val="00CA166A"/>
    <w:rsid w:val="00CA1A09"/>
    <w:rsid w:val="00CA2336"/>
    <w:rsid w:val="00CA2DCA"/>
    <w:rsid w:val="00CA318D"/>
    <w:rsid w:val="00CA373A"/>
    <w:rsid w:val="00CA3B4C"/>
    <w:rsid w:val="00CA3CA8"/>
    <w:rsid w:val="00CA49B3"/>
    <w:rsid w:val="00CA5D86"/>
    <w:rsid w:val="00CA5D8F"/>
    <w:rsid w:val="00CA5DA4"/>
    <w:rsid w:val="00CA5EFC"/>
    <w:rsid w:val="00CA638C"/>
    <w:rsid w:val="00CA691F"/>
    <w:rsid w:val="00CA6C07"/>
    <w:rsid w:val="00CA70CD"/>
    <w:rsid w:val="00CA75D5"/>
    <w:rsid w:val="00CA7A64"/>
    <w:rsid w:val="00CA7EFD"/>
    <w:rsid w:val="00CB001C"/>
    <w:rsid w:val="00CB034D"/>
    <w:rsid w:val="00CB06D9"/>
    <w:rsid w:val="00CB06E5"/>
    <w:rsid w:val="00CB081E"/>
    <w:rsid w:val="00CB0E54"/>
    <w:rsid w:val="00CB1145"/>
    <w:rsid w:val="00CB202E"/>
    <w:rsid w:val="00CB3730"/>
    <w:rsid w:val="00CB3895"/>
    <w:rsid w:val="00CB556A"/>
    <w:rsid w:val="00CB67A1"/>
    <w:rsid w:val="00CB6FF8"/>
    <w:rsid w:val="00CB7027"/>
    <w:rsid w:val="00CC03DE"/>
    <w:rsid w:val="00CC040B"/>
    <w:rsid w:val="00CC0DEE"/>
    <w:rsid w:val="00CC10F1"/>
    <w:rsid w:val="00CC197D"/>
    <w:rsid w:val="00CC1F5A"/>
    <w:rsid w:val="00CC22F9"/>
    <w:rsid w:val="00CC2934"/>
    <w:rsid w:val="00CC2E09"/>
    <w:rsid w:val="00CC2E3A"/>
    <w:rsid w:val="00CC3124"/>
    <w:rsid w:val="00CC3772"/>
    <w:rsid w:val="00CC3AC4"/>
    <w:rsid w:val="00CC41B0"/>
    <w:rsid w:val="00CC4EA5"/>
    <w:rsid w:val="00CC5261"/>
    <w:rsid w:val="00CC60BD"/>
    <w:rsid w:val="00CC6798"/>
    <w:rsid w:val="00CC7360"/>
    <w:rsid w:val="00CC736A"/>
    <w:rsid w:val="00CC7416"/>
    <w:rsid w:val="00CD1374"/>
    <w:rsid w:val="00CD1EA9"/>
    <w:rsid w:val="00CD1F9E"/>
    <w:rsid w:val="00CD205C"/>
    <w:rsid w:val="00CD26D4"/>
    <w:rsid w:val="00CD2D93"/>
    <w:rsid w:val="00CD3B25"/>
    <w:rsid w:val="00CD3EC9"/>
    <w:rsid w:val="00CD4E84"/>
    <w:rsid w:val="00CD5654"/>
    <w:rsid w:val="00CD5D67"/>
    <w:rsid w:val="00CD6159"/>
    <w:rsid w:val="00CD66CF"/>
    <w:rsid w:val="00CD72E4"/>
    <w:rsid w:val="00CD772F"/>
    <w:rsid w:val="00CD7DF2"/>
    <w:rsid w:val="00CD7FF5"/>
    <w:rsid w:val="00CE00C0"/>
    <w:rsid w:val="00CE05EE"/>
    <w:rsid w:val="00CE0F21"/>
    <w:rsid w:val="00CE11A5"/>
    <w:rsid w:val="00CE1CDB"/>
    <w:rsid w:val="00CE1F1D"/>
    <w:rsid w:val="00CE2271"/>
    <w:rsid w:val="00CE2AE3"/>
    <w:rsid w:val="00CE2BE2"/>
    <w:rsid w:val="00CE341C"/>
    <w:rsid w:val="00CE3491"/>
    <w:rsid w:val="00CE350D"/>
    <w:rsid w:val="00CE3A01"/>
    <w:rsid w:val="00CE3BA5"/>
    <w:rsid w:val="00CE3D3A"/>
    <w:rsid w:val="00CE4098"/>
    <w:rsid w:val="00CE40F2"/>
    <w:rsid w:val="00CE418E"/>
    <w:rsid w:val="00CE41A7"/>
    <w:rsid w:val="00CE493C"/>
    <w:rsid w:val="00CE5AD5"/>
    <w:rsid w:val="00CE65C7"/>
    <w:rsid w:val="00CE6687"/>
    <w:rsid w:val="00CE6693"/>
    <w:rsid w:val="00CE70C5"/>
    <w:rsid w:val="00CE7359"/>
    <w:rsid w:val="00CE7458"/>
    <w:rsid w:val="00CE7837"/>
    <w:rsid w:val="00CF02B7"/>
    <w:rsid w:val="00CF089C"/>
    <w:rsid w:val="00CF0A21"/>
    <w:rsid w:val="00CF0EE7"/>
    <w:rsid w:val="00CF19D5"/>
    <w:rsid w:val="00CF3846"/>
    <w:rsid w:val="00CF3A18"/>
    <w:rsid w:val="00CF43B9"/>
    <w:rsid w:val="00CF4879"/>
    <w:rsid w:val="00CF4B2D"/>
    <w:rsid w:val="00CF4D84"/>
    <w:rsid w:val="00CF576F"/>
    <w:rsid w:val="00CF7056"/>
    <w:rsid w:val="00CF70FD"/>
    <w:rsid w:val="00CF7F65"/>
    <w:rsid w:val="00D005FA"/>
    <w:rsid w:val="00D011E1"/>
    <w:rsid w:val="00D014EE"/>
    <w:rsid w:val="00D01C67"/>
    <w:rsid w:val="00D01FE5"/>
    <w:rsid w:val="00D024B0"/>
    <w:rsid w:val="00D02E9F"/>
    <w:rsid w:val="00D032B1"/>
    <w:rsid w:val="00D043E4"/>
    <w:rsid w:val="00D0444D"/>
    <w:rsid w:val="00D047C4"/>
    <w:rsid w:val="00D0596C"/>
    <w:rsid w:val="00D06191"/>
    <w:rsid w:val="00D07110"/>
    <w:rsid w:val="00D07149"/>
    <w:rsid w:val="00D078E6"/>
    <w:rsid w:val="00D10103"/>
    <w:rsid w:val="00D107BF"/>
    <w:rsid w:val="00D10C6E"/>
    <w:rsid w:val="00D11082"/>
    <w:rsid w:val="00D1208A"/>
    <w:rsid w:val="00D13D3D"/>
    <w:rsid w:val="00D14256"/>
    <w:rsid w:val="00D14561"/>
    <w:rsid w:val="00D1517D"/>
    <w:rsid w:val="00D159BD"/>
    <w:rsid w:val="00D15B87"/>
    <w:rsid w:val="00D16092"/>
    <w:rsid w:val="00D17799"/>
    <w:rsid w:val="00D17BDA"/>
    <w:rsid w:val="00D20158"/>
    <w:rsid w:val="00D210B1"/>
    <w:rsid w:val="00D213F4"/>
    <w:rsid w:val="00D2147A"/>
    <w:rsid w:val="00D2154A"/>
    <w:rsid w:val="00D21A0A"/>
    <w:rsid w:val="00D21E38"/>
    <w:rsid w:val="00D23004"/>
    <w:rsid w:val="00D23BDC"/>
    <w:rsid w:val="00D24ABB"/>
    <w:rsid w:val="00D25B2B"/>
    <w:rsid w:val="00D25D2D"/>
    <w:rsid w:val="00D26F93"/>
    <w:rsid w:val="00D2757E"/>
    <w:rsid w:val="00D278C7"/>
    <w:rsid w:val="00D278E2"/>
    <w:rsid w:val="00D27E96"/>
    <w:rsid w:val="00D30050"/>
    <w:rsid w:val="00D301F7"/>
    <w:rsid w:val="00D30AE2"/>
    <w:rsid w:val="00D30AEE"/>
    <w:rsid w:val="00D310E5"/>
    <w:rsid w:val="00D31304"/>
    <w:rsid w:val="00D315A9"/>
    <w:rsid w:val="00D32B9B"/>
    <w:rsid w:val="00D32ECA"/>
    <w:rsid w:val="00D33196"/>
    <w:rsid w:val="00D337AA"/>
    <w:rsid w:val="00D33FC2"/>
    <w:rsid w:val="00D344F9"/>
    <w:rsid w:val="00D35597"/>
    <w:rsid w:val="00D36F1D"/>
    <w:rsid w:val="00D3706E"/>
    <w:rsid w:val="00D377A0"/>
    <w:rsid w:val="00D37F67"/>
    <w:rsid w:val="00D40127"/>
    <w:rsid w:val="00D401F8"/>
    <w:rsid w:val="00D40A96"/>
    <w:rsid w:val="00D40AF9"/>
    <w:rsid w:val="00D40E04"/>
    <w:rsid w:val="00D40E2A"/>
    <w:rsid w:val="00D40EC1"/>
    <w:rsid w:val="00D4259E"/>
    <w:rsid w:val="00D427EC"/>
    <w:rsid w:val="00D42E47"/>
    <w:rsid w:val="00D4304A"/>
    <w:rsid w:val="00D43D71"/>
    <w:rsid w:val="00D440C5"/>
    <w:rsid w:val="00D44AD6"/>
    <w:rsid w:val="00D45139"/>
    <w:rsid w:val="00D459C0"/>
    <w:rsid w:val="00D45AE2"/>
    <w:rsid w:val="00D45D51"/>
    <w:rsid w:val="00D45E33"/>
    <w:rsid w:val="00D4627D"/>
    <w:rsid w:val="00D46733"/>
    <w:rsid w:val="00D46B44"/>
    <w:rsid w:val="00D46D21"/>
    <w:rsid w:val="00D46DC8"/>
    <w:rsid w:val="00D46EA7"/>
    <w:rsid w:val="00D47505"/>
    <w:rsid w:val="00D47DD1"/>
    <w:rsid w:val="00D47F24"/>
    <w:rsid w:val="00D50180"/>
    <w:rsid w:val="00D50A39"/>
    <w:rsid w:val="00D51D00"/>
    <w:rsid w:val="00D51F9F"/>
    <w:rsid w:val="00D52074"/>
    <w:rsid w:val="00D53056"/>
    <w:rsid w:val="00D53597"/>
    <w:rsid w:val="00D53E6A"/>
    <w:rsid w:val="00D54930"/>
    <w:rsid w:val="00D54D32"/>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4474"/>
    <w:rsid w:val="00D65041"/>
    <w:rsid w:val="00D66451"/>
    <w:rsid w:val="00D667F8"/>
    <w:rsid w:val="00D668CA"/>
    <w:rsid w:val="00D67089"/>
    <w:rsid w:val="00D672F3"/>
    <w:rsid w:val="00D7064C"/>
    <w:rsid w:val="00D7075C"/>
    <w:rsid w:val="00D708AE"/>
    <w:rsid w:val="00D70AD2"/>
    <w:rsid w:val="00D70ED6"/>
    <w:rsid w:val="00D71B60"/>
    <w:rsid w:val="00D71D84"/>
    <w:rsid w:val="00D74724"/>
    <w:rsid w:val="00D7499D"/>
    <w:rsid w:val="00D75115"/>
    <w:rsid w:val="00D751B1"/>
    <w:rsid w:val="00D751C5"/>
    <w:rsid w:val="00D76215"/>
    <w:rsid w:val="00D76655"/>
    <w:rsid w:val="00D76705"/>
    <w:rsid w:val="00D777A5"/>
    <w:rsid w:val="00D804E4"/>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9A7"/>
    <w:rsid w:val="00D91B50"/>
    <w:rsid w:val="00D920DD"/>
    <w:rsid w:val="00D92AFF"/>
    <w:rsid w:val="00D93468"/>
    <w:rsid w:val="00D9374A"/>
    <w:rsid w:val="00D949C6"/>
    <w:rsid w:val="00D95A44"/>
    <w:rsid w:val="00D9642A"/>
    <w:rsid w:val="00D96C97"/>
    <w:rsid w:val="00D96DB9"/>
    <w:rsid w:val="00D9746B"/>
    <w:rsid w:val="00DA061B"/>
    <w:rsid w:val="00DA090E"/>
    <w:rsid w:val="00DA133A"/>
    <w:rsid w:val="00DA151C"/>
    <w:rsid w:val="00DA15DF"/>
    <w:rsid w:val="00DA1995"/>
    <w:rsid w:val="00DA221A"/>
    <w:rsid w:val="00DA2B01"/>
    <w:rsid w:val="00DA2CC0"/>
    <w:rsid w:val="00DA2DFD"/>
    <w:rsid w:val="00DA30E6"/>
    <w:rsid w:val="00DA31C8"/>
    <w:rsid w:val="00DA3C3C"/>
    <w:rsid w:val="00DA3D35"/>
    <w:rsid w:val="00DA4B59"/>
    <w:rsid w:val="00DA4B96"/>
    <w:rsid w:val="00DA4C59"/>
    <w:rsid w:val="00DA51A6"/>
    <w:rsid w:val="00DA63CA"/>
    <w:rsid w:val="00DA6C5B"/>
    <w:rsid w:val="00DA77C1"/>
    <w:rsid w:val="00DB0CC4"/>
    <w:rsid w:val="00DB0F24"/>
    <w:rsid w:val="00DB105A"/>
    <w:rsid w:val="00DB27F6"/>
    <w:rsid w:val="00DB2D68"/>
    <w:rsid w:val="00DB3162"/>
    <w:rsid w:val="00DB3801"/>
    <w:rsid w:val="00DB3976"/>
    <w:rsid w:val="00DB4113"/>
    <w:rsid w:val="00DB50A3"/>
    <w:rsid w:val="00DB6CA6"/>
    <w:rsid w:val="00DB6F1A"/>
    <w:rsid w:val="00DB7EFC"/>
    <w:rsid w:val="00DC01B3"/>
    <w:rsid w:val="00DC06E1"/>
    <w:rsid w:val="00DC0760"/>
    <w:rsid w:val="00DC12FD"/>
    <w:rsid w:val="00DC1DAF"/>
    <w:rsid w:val="00DC2013"/>
    <w:rsid w:val="00DC42ED"/>
    <w:rsid w:val="00DC52DC"/>
    <w:rsid w:val="00DC5AB1"/>
    <w:rsid w:val="00DC650D"/>
    <w:rsid w:val="00DC6A81"/>
    <w:rsid w:val="00DC748B"/>
    <w:rsid w:val="00DD026D"/>
    <w:rsid w:val="00DD1A41"/>
    <w:rsid w:val="00DD2BC0"/>
    <w:rsid w:val="00DD2DCC"/>
    <w:rsid w:val="00DD32AB"/>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1E4"/>
    <w:rsid w:val="00DE1249"/>
    <w:rsid w:val="00DE1764"/>
    <w:rsid w:val="00DE17B6"/>
    <w:rsid w:val="00DE1B4B"/>
    <w:rsid w:val="00DE2177"/>
    <w:rsid w:val="00DE29C9"/>
    <w:rsid w:val="00DE2BB1"/>
    <w:rsid w:val="00DE3559"/>
    <w:rsid w:val="00DE3F9E"/>
    <w:rsid w:val="00DE4167"/>
    <w:rsid w:val="00DE4322"/>
    <w:rsid w:val="00DE4CF9"/>
    <w:rsid w:val="00DE50B2"/>
    <w:rsid w:val="00DE5CDB"/>
    <w:rsid w:val="00DE60B0"/>
    <w:rsid w:val="00DE66B6"/>
    <w:rsid w:val="00DE6CB7"/>
    <w:rsid w:val="00DE7309"/>
    <w:rsid w:val="00DE7791"/>
    <w:rsid w:val="00DF15A9"/>
    <w:rsid w:val="00DF1709"/>
    <w:rsid w:val="00DF1B92"/>
    <w:rsid w:val="00DF2286"/>
    <w:rsid w:val="00DF232B"/>
    <w:rsid w:val="00DF2BB8"/>
    <w:rsid w:val="00DF3D36"/>
    <w:rsid w:val="00DF5F1F"/>
    <w:rsid w:val="00DF613F"/>
    <w:rsid w:val="00DF6918"/>
    <w:rsid w:val="00DF6ACB"/>
    <w:rsid w:val="00DF6DFC"/>
    <w:rsid w:val="00DF6E60"/>
    <w:rsid w:val="00E0068D"/>
    <w:rsid w:val="00E0128D"/>
    <w:rsid w:val="00E01740"/>
    <w:rsid w:val="00E020BB"/>
    <w:rsid w:val="00E020EE"/>
    <w:rsid w:val="00E024D6"/>
    <w:rsid w:val="00E02668"/>
    <w:rsid w:val="00E02C53"/>
    <w:rsid w:val="00E034DD"/>
    <w:rsid w:val="00E0354D"/>
    <w:rsid w:val="00E03C67"/>
    <w:rsid w:val="00E06201"/>
    <w:rsid w:val="00E0673A"/>
    <w:rsid w:val="00E068AC"/>
    <w:rsid w:val="00E0725A"/>
    <w:rsid w:val="00E0734D"/>
    <w:rsid w:val="00E07B35"/>
    <w:rsid w:val="00E1052C"/>
    <w:rsid w:val="00E10588"/>
    <w:rsid w:val="00E10D11"/>
    <w:rsid w:val="00E11858"/>
    <w:rsid w:val="00E11C6B"/>
    <w:rsid w:val="00E11FFE"/>
    <w:rsid w:val="00E120BF"/>
    <w:rsid w:val="00E128F9"/>
    <w:rsid w:val="00E12B90"/>
    <w:rsid w:val="00E12CB5"/>
    <w:rsid w:val="00E136F7"/>
    <w:rsid w:val="00E13AC5"/>
    <w:rsid w:val="00E1471D"/>
    <w:rsid w:val="00E15115"/>
    <w:rsid w:val="00E15E95"/>
    <w:rsid w:val="00E168DE"/>
    <w:rsid w:val="00E17926"/>
    <w:rsid w:val="00E21B87"/>
    <w:rsid w:val="00E21E0F"/>
    <w:rsid w:val="00E22673"/>
    <w:rsid w:val="00E22798"/>
    <w:rsid w:val="00E22C09"/>
    <w:rsid w:val="00E22D4C"/>
    <w:rsid w:val="00E23E61"/>
    <w:rsid w:val="00E247C4"/>
    <w:rsid w:val="00E249C9"/>
    <w:rsid w:val="00E24B96"/>
    <w:rsid w:val="00E24DA5"/>
    <w:rsid w:val="00E26D67"/>
    <w:rsid w:val="00E27098"/>
    <w:rsid w:val="00E27827"/>
    <w:rsid w:val="00E2793F"/>
    <w:rsid w:val="00E27F99"/>
    <w:rsid w:val="00E301E6"/>
    <w:rsid w:val="00E30800"/>
    <w:rsid w:val="00E30DC0"/>
    <w:rsid w:val="00E3102D"/>
    <w:rsid w:val="00E3115A"/>
    <w:rsid w:val="00E318AF"/>
    <w:rsid w:val="00E31BD7"/>
    <w:rsid w:val="00E32197"/>
    <w:rsid w:val="00E323A0"/>
    <w:rsid w:val="00E33738"/>
    <w:rsid w:val="00E33900"/>
    <w:rsid w:val="00E340E5"/>
    <w:rsid w:val="00E34348"/>
    <w:rsid w:val="00E34427"/>
    <w:rsid w:val="00E34F33"/>
    <w:rsid w:val="00E35137"/>
    <w:rsid w:val="00E351AC"/>
    <w:rsid w:val="00E35A57"/>
    <w:rsid w:val="00E364DF"/>
    <w:rsid w:val="00E40374"/>
    <w:rsid w:val="00E40881"/>
    <w:rsid w:val="00E40ED3"/>
    <w:rsid w:val="00E41956"/>
    <w:rsid w:val="00E41C3D"/>
    <w:rsid w:val="00E42597"/>
    <w:rsid w:val="00E43525"/>
    <w:rsid w:val="00E4354A"/>
    <w:rsid w:val="00E4390B"/>
    <w:rsid w:val="00E43BE8"/>
    <w:rsid w:val="00E44229"/>
    <w:rsid w:val="00E44F3B"/>
    <w:rsid w:val="00E45679"/>
    <w:rsid w:val="00E45939"/>
    <w:rsid w:val="00E45B70"/>
    <w:rsid w:val="00E45F14"/>
    <w:rsid w:val="00E46328"/>
    <w:rsid w:val="00E463FD"/>
    <w:rsid w:val="00E464B0"/>
    <w:rsid w:val="00E46D1F"/>
    <w:rsid w:val="00E475AC"/>
    <w:rsid w:val="00E502D5"/>
    <w:rsid w:val="00E50423"/>
    <w:rsid w:val="00E5113A"/>
    <w:rsid w:val="00E51232"/>
    <w:rsid w:val="00E51E43"/>
    <w:rsid w:val="00E522EF"/>
    <w:rsid w:val="00E52BA3"/>
    <w:rsid w:val="00E5375E"/>
    <w:rsid w:val="00E53FF9"/>
    <w:rsid w:val="00E54E4D"/>
    <w:rsid w:val="00E552EB"/>
    <w:rsid w:val="00E56135"/>
    <w:rsid w:val="00E5634A"/>
    <w:rsid w:val="00E563FB"/>
    <w:rsid w:val="00E56990"/>
    <w:rsid w:val="00E573B3"/>
    <w:rsid w:val="00E57A3E"/>
    <w:rsid w:val="00E610AE"/>
    <w:rsid w:val="00E61105"/>
    <w:rsid w:val="00E619B8"/>
    <w:rsid w:val="00E61B22"/>
    <w:rsid w:val="00E61FD3"/>
    <w:rsid w:val="00E62BD5"/>
    <w:rsid w:val="00E62D23"/>
    <w:rsid w:val="00E633E8"/>
    <w:rsid w:val="00E64A16"/>
    <w:rsid w:val="00E64A1E"/>
    <w:rsid w:val="00E64B90"/>
    <w:rsid w:val="00E656D7"/>
    <w:rsid w:val="00E65BAC"/>
    <w:rsid w:val="00E65C13"/>
    <w:rsid w:val="00E65F21"/>
    <w:rsid w:val="00E661DC"/>
    <w:rsid w:val="00E6712D"/>
    <w:rsid w:val="00E67244"/>
    <w:rsid w:val="00E6785B"/>
    <w:rsid w:val="00E67EFE"/>
    <w:rsid w:val="00E700A2"/>
    <w:rsid w:val="00E7035F"/>
    <w:rsid w:val="00E70361"/>
    <w:rsid w:val="00E704BE"/>
    <w:rsid w:val="00E70ADE"/>
    <w:rsid w:val="00E73198"/>
    <w:rsid w:val="00E7352E"/>
    <w:rsid w:val="00E735D2"/>
    <w:rsid w:val="00E7393D"/>
    <w:rsid w:val="00E73997"/>
    <w:rsid w:val="00E73CEA"/>
    <w:rsid w:val="00E74231"/>
    <w:rsid w:val="00E74463"/>
    <w:rsid w:val="00E744DF"/>
    <w:rsid w:val="00E74829"/>
    <w:rsid w:val="00E748E5"/>
    <w:rsid w:val="00E75361"/>
    <w:rsid w:val="00E75935"/>
    <w:rsid w:val="00E767D4"/>
    <w:rsid w:val="00E76E59"/>
    <w:rsid w:val="00E779D2"/>
    <w:rsid w:val="00E77C12"/>
    <w:rsid w:val="00E77DD7"/>
    <w:rsid w:val="00E8011A"/>
    <w:rsid w:val="00E80195"/>
    <w:rsid w:val="00E80ED0"/>
    <w:rsid w:val="00E816DE"/>
    <w:rsid w:val="00E82196"/>
    <w:rsid w:val="00E83AB9"/>
    <w:rsid w:val="00E83DAD"/>
    <w:rsid w:val="00E83F9B"/>
    <w:rsid w:val="00E85276"/>
    <w:rsid w:val="00E8546C"/>
    <w:rsid w:val="00E85505"/>
    <w:rsid w:val="00E86A7B"/>
    <w:rsid w:val="00E87F28"/>
    <w:rsid w:val="00E912FF"/>
    <w:rsid w:val="00E919F2"/>
    <w:rsid w:val="00E91E61"/>
    <w:rsid w:val="00E91E7F"/>
    <w:rsid w:val="00E935F9"/>
    <w:rsid w:val="00E94D72"/>
    <w:rsid w:val="00E9577C"/>
    <w:rsid w:val="00E9605A"/>
    <w:rsid w:val="00E96E9E"/>
    <w:rsid w:val="00E97631"/>
    <w:rsid w:val="00E97CBC"/>
    <w:rsid w:val="00EA0163"/>
    <w:rsid w:val="00EA0948"/>
    <w:rsid w:val="00EA0A3D"/>
    <w:rsid w:val="00EA0B31"/>
    <w:rsid w:val="00EA1BEF"/>
    <w:rsid w:val="00EA1DEE"/>
    <w:rsid w:val="00EA228F"/>
    <w:rsid w:val="00EA2430"/>
    <w:rsid w:val="00EA29E0"/>
    <w:rsid w:val="00EA384B"/>
    <w:rsid w:val="00EA387C"/>
    <w:rsid w:val="00EA3C04"/>
    <w:rsid w:val="00EA40D1"/>
    <w:rsid w:val="00EA4E20"/>
    <w:rsid w:val="00EA527E"/>
    <w:rsid w:val="00EA5948"/>
    <w:rsid w:val="00EA5A62"/>
    <w:rsid w:val="00EA639C"/>
    <w:rsid w:val="00EA6AE9"/>
    <w:rsid w:val="00EA7125"/>
    <w:rsid w:val="00EA7AE2"/>
    <w:rsid w:val="00EA7D08"/>
    <w:rsid w:val="00EA7DD7"/>
    <w:rsid w:val="00EB0BF5"/>
    <w:rsid w:val="00EB2323"/>
    <w:rsid w:val="00EB26E8"/>
    <w:rsid w:val="00EB28D7"/>
    <w:rsid w:val="00EB2B3C"/>
    <w:rsid w:val="00EB2BB3"/>
    <w:rsid w:val="00EB3151"/>
    <w:rsid w:val="00EB3F38"/>
    <w:rsid w:val="00EB3FBF"/>
    <w:rsid w:val="00EB41D4"/>
    <w:rsid w:val="00EB497B"/>
    <w:rsid w:val="00EB50C1"/>
    <w:rsid w:val="00EB68E8"/>
    <w:rsid w:val="00EB6B26"/>
    <w:rsid w:val="00EB7E70"/>
    <w:rsid w:val="00EB7FFD"/>
    <w:rsid w:val="00EC0771"/>
    <w:rsid w:val="00EC0D3E"/>
    <w:rsid w:val="00EC1385"/>
    <w:rsid w:val="00EC14E0"/>
    <w:rsid w:val="00EC1C6C"/>
    <w:rsid w:val="00EC1D16"/>
    <w:rsid w:val="00EC2023"/>
    <w:rsid w:val="00EC2977"/>
    <w:rsid w:val="00EC2B30"/>
    <w:rsid w:val="00EC2C7C"/>
    <w:rsid w:val="00EC2EBF"/>
    <w:rsid w:val="00EC302E"/>
    <w:rsid w:val="00EC35E6"/>
    <w:rsid w:val="00EC365C"/>
    <w:rsid w:val="00EC3F55"/>
    <w:rsid w:val="00EC4100"/>
    <w:rsid w:val="00EC41AF"/>
    <w:rsid w:val="00EC41C1"/>
    <w:rsid w:val="00EC4534"/>
    <w:rsid w:val="00EC474C"/>
    <w:rsid w:val="00EC49AF"/>
    <w:rsid w:val="00EC525E"/>
    <w:rsid w:val="00EC590A"/>
    <w:rsid w:val="00EC5E08"/>
    <w:rsid w:val="00EC6836"/>
    <w:rsid w:val="00EC6EAA"/>
    <w:rsid w:val="00EC6F35"/>
    <w:rsid w:val="00EC705C"/>
    <w:rsid w:val="00EC779F"/>
    <w:rsid w:val="00ED011F"/>
    <w:rsid w:val="00ED0F8C"/>
    <w:rsid w:val="00ED1811"/>
    <w:rsid w:val="00ED2426"/>
    <w:rsid w:val="00ED3204"/>
    <w:rsid w:val="00ED3D2C"/>
    <w:rsid w:val="00ED428B"/>
    <w:rsid w:val="00ED44F4"/>
    <w:rsid w:val="00ED4930"/>
    <w:rsid w:val="00ED4998"/>
    <w:rsid w:val="00ED4EB7"/>
    <w:rsid w:val="00ED561D"/>
    <w:rsid w:val="00ED5F69"/>
    <w:rsid w:val="00ED6457"/>
    <w:rsid w:val="00ED6921"/>
    <w:rsid w:val="00ED6BA8"/>
    <w:rsid w:val="00ED6FD5"/>
    <w:rsid w:val="00ED72EF"/>
    <w:rsid w:val="00EE00D3"/>
    <w:rsid w:val="00EE010F"/>
    <w:rsid w:val="00EE0E46"/>
    <w:rsid w:val="00EE0E9B"/>
    <w:rsid w:val="00EE159A"/>
    <w:rsid w:val="00EE316D"/>
    <w:rsid w:val="00EE46CE"/>
    <w:rsid w:val="00EE4899"/>
    <w:rsid w:val="00EE51C6"/>
    <w:rsid w:val="00EE5B2D"/>
    <w:rsid w:val="00EE5D75"/>
    <w:rsid w:val="00EE5F27"/>
    <w:rsid w:val="00EE65B5"/>
    <w:rsid w:val="00EE65BD"/>
    <w:rsid w:val="00EE6CDA"/>
    <w:rsid w:val="00EE6EF9"/>
    <w:rsid w:val="00EE787C"/>
    <w:rsid w:val="00EF04DD"/>
    <w:rsid w:val="00EF140F"/>
    <w:rsid w:val="00EF170E"/>
    <w:rsid w:val="00EF1D50"/>
    <w:rsid w:val="00EF1F7E"/>
    <w:rsid w:val="00EF2778"/>
    <w:rsid w:val="00EF2A99"/>
    <w:rsid w:val="00EF2D0B"/>
    <w:rsid w:val="00EF3015"/>
    <w:rsid w:val="00EF3A70"/>
    <w:rsid w:val="00EF3B38"/>
    <w:rsid w:val="00EF4EFC"/>
    <w:rsid w:val="00EF4FDB"/>
    <w:rsid w:val="00EF5799"/>
    <w:rsid w:val="00EF6319"/>
    <w:rsid w:val="00EF6396"/>
    <w:rsid w:val="00EF68C7"/>
    <w:rsid w:val="00EF6A03"/>
    <w:rsid w:val="00EF7161"/>
    <w:rsid w:val="00F00064"/>
    <w:rsid w:val="00F00DB3"/>
    <w:rsid w:val="00F014B6"/>
    <w:rsid w:val="00F01A5C"/>
    <w:rsid w:val="00F01B6D"/>
    <w:rsid w:val="00F02522"/>
    <w:rsid w:val="00F02957"/>
    <w:rsid w:val="00F037E8"/>
    <w:rsid w:val="00F037E9"/>
    <w:rsid w:val="00F03935"/>
    <w:rsid w:val="00F03B18"/>
    <w:rsid w:val="00F04247"/>
    <w:rsid w:val="00F043C9"/>
    <w:rsid w:val="00F05667"/>
    <w:rsid w:val="00F056C4"/>
    <w:rsid w:val="00F058A2"/>
    <w:rsid w:val="00F0599D"/>
    <w:rsid w:val="00F05A30"/>
    <w:rsid w:val="00F07558"/>
    <w:rsid w:val="00F1128F"/>
    <w:rsid w:val="00F112EF"/>
    <w:rsid w:val="00F1164A"/>
    <w:rsid w:val="00F117CE"/>
    <w:rsid w:val="00F11B44"/>
    <w:rsid w:val="00F12621"/>
    <w:rsid w:val="00F12703"/>
    <w:rsid w:val="00F12E60"/>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9"/>
    <w:rsid w:val="00F1786F"/>
    <w:rsid w:val="00F17D2F"/>
    <w:rsid w:val="00F2040C"/>
    <w:rsid w:val="00F20A93"/>
    <w:rsid w:val="00F234DA"/>
    <w:rsid w:val="00F236A1"/>
    <w:rsid w:val="00F23F06"/>
    <w:rsid w:val="00F24A1D"/>
    <w:rsid w:val="00F24E11"/>
    <w:rsid w:val="00F2573E"/>
    <w:rsid w:val="00F26429"/>
    <w:rsid w:val="00F267D8"/>
    <w:rsid w:val="00F26B02"/>
    <w:rsid w:val="00F27156"/>
    <w:rsid w:val="00F27218"/>
    <w:rsid w:val="00F274B9"/>
    <w:rsid w:val="00F275FB"/>
    <w:rsid w:val="00F27611"/>
    <w:rsid w:val="00F27ACE"/>
    <w:rsid w:val="00F3005D"/>
    <w:rsid w:val="00F305C7"/>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4E04"/>
    <w:rsid w:val="00F45172"/>
    <w:rsid w:val="00F453A7"/>
    <w:rsid w:val="00F463D9"/>
    <w:rsid w:val="00F47B58"/>
    <w:rsid w:val="00F51262"/>
    <w:rsid w:val="00F51DB4"/>
    <w:rsid w:val="00F52041"/>
    <w:rsid w:val="00F52182"/>
    <w:rsid w:val="00F5219C"/>
    <w:rsid w:val="00F522DE"/>
    <w:rsid w:val="00F523F0"/>
    <w:rsid w:val="00F52743"/>
    <w:rsid w:val="00F52E8F"/>
    <w:rsid w:val="00F53680"/>
    <w:rsid w:val="00F53BC3"/>
    <w:rsid w:val="00F54C10"/>
    <w:rsid w:val="00F55601"/>
    <w:rsid w:val="00F55FA7"/>
    <w:rsid w:val="00F55FF1"/>
    <w:rsid w:val="00F5630E"/>
    <w:rsid w:val="00F57D6D"/>
    <w:rsid w:val="00F57D9E"/>
    <w:rsid w:val="00F57FE1"/>
    <w:rsid w:val="00F60410"/>
    <w:rsid w:val="00F61E5A"/>
    <w:rsid w:val="00F62368"/>
    <w:rsid w:val="00F624A6"/>
    <w:rsid w:val="00F62B20"/>
    <w:rsid w:val="00F63CCF"/>
    <w:rsid w:val="00F643F1"/>
    <w:rsid w:val="00F64D60"/>
    <w:rsid w:val="00F65BE1"/>
    <w:rsid w:val="00F66A6F"/>
    <w:rsid w:val="00F66DB0"/>
    <w:rsid w:val="00F67060"/>
    <w:rsid w:val="00F67141"/>
    <w:rsid w:val="00F6736A"/>
    <w:rsid w:val="00F67DB4"/>
    <w:rsid w:val="00F707AE"/>
    <w:rsid w:val="00F70A97"/>
    <w:rsid w:val="00F71035"/>
    <w:rsid w:val="00F71BDE"/>
    <w:rsid w:val="00F722E3"/>
    <w:rsid w:val="00F7335E"/>
    <w:rsid w:val="00F74EF9"/>
    <w:rsid w:val="00F768E8"/>
    <w:rsid w:val="00F76D75"/>
    <w:rsid w:val="00F76EFC"/>
    <w:rsid w:val="00F7742A"/>
    <w:rsid w:val="00F77858"/>
    <w:rsid w:val="00F77A82"/>
    <w:rsid w:val="00F77ECC"/>
    <w:rsid w:val="00F8108F"/>
    <w:rsid w:val="00F81E02"/>
    <w:rsid w:val="00F82B13"/>
    <w:rsid w:val="00F831E0"/>
    <w:rsid w:val="00F833C6"/>
    <w:rsid w:val="00F838C6"/>
    <w:rsid w:val="00F83D63"/>
    <w:rsid w:val="00F84F31"/>
    <w:rsid w:val="00F8561D"/>
    <w:rsid w:val="00F85FDE"/>
    <w:rsid w:val="00F86413"/>
    <w:rsid w:val="00F866F3"/>
    <w:rsid w:val="00F87302"/>
    <w:rsid w:val="00F873D2"/>
    <w:rsid w:val="00F8758B"/>
    <w:rsid w:val="00F87812"/>
    <w:rsid w:val="00F91415"/>
    <w:rsid w:val="00F91860"/>
    <w:rsid w:val="00F9187F"/>
    <w:rsid w:val="00F918BD"/>
    <w:rsid w:val="00F91E83"/>
    <w:rsid w:val="00F9225B"/>
    <w:rsid w:val="00F92710"/>
    <w:rsid w:val="00F92C29"/>
    <w:rsid w:val="00F932FE"/>
    <w:rsid w:val="00F941B2"/>
    <w:rsid w:val="00F9468C"/>
    <w:rsid w:val="00F94A78"/>
    <w:rsid w:val="00F94DA8"/>
    <w:rsid w:val="00F94F04"/>
    <w:rsid w:val="00F956AD"/>
    <w:rsid w:val="00F95E9F"/>
    <w:rsid w:val="00F95ED4"/>
    <w:rsid w:val="00F963B9"/>
    <w:rsid w:val="00F9653A"/>
    <w:rsid w:val="00F96599"/>
    <w:rsid w:val="00F965CC"/>
    <w:rsid w:val="00F9715A"/>
    <w:rsid w:val="00F97168"/>
    <w:rsid w:val="00F974B9"/>
    <w:rsid w:val="00F97B7D"/>
    <w:rsid w:val="00FA0095"/>
    <w:rsid w:val="00FA03E4"/>
    <w:rsid w:val="00FA0718"/>
    <w:rsid w:val="00FA1040"/>
    <w:rsid w:val="00FA12D0"/>
    <w:rsid w:val="00FA1365"/>
    <w:rsid w:val="00FA1AC5"/>
    <w:rsid w:val="00FA1E1C"/>
    <w:rsid w:val="00FA2AAA"/>
    <w:rsid w:val="00FA323C"/>
    <w:rsid w:val="00FA348E"/>
    <w:rsid w:val="00FA3CBB"/>
    <w:rsid w:val="00FA4238"/>
    <w:rsid w:val="00FA423F"/>
    <w:rsid w:val="00FA4E22"/>
    <w:rsid w:val="00FA5416"/>
    <w:rsid w:val="00FA55A4"/>
    <w:rsid w:val="00FA6F9A"/>
    <w:rsid w:val="00FA7573"/>
    <w:rsid w:val="00FA7A61"/>
    <w:rsid w:val="00FB0368"/>
    <w:rsid w:val="00FB0532"/>
    <w:rsid w:val="00FB0E89"/>
    <w:rsid w:val="00FB19F4"/>
    <w:rsid w:val="00FB1C26"/>
    <w:rsid w:val="00FB259B"/>
    <w:rsid w:val="00FB396A"/>
    <w:rsid w:val="00FB4058"/>
    <w:rsid w:val="00FB5401"/>
    <w:rsid w:val="00FB5FAC"/>
    <w:rsid w:val="00FB601A"/>
    <w:rsid w:val="00FB6A75"/>
    <w:rsid w:val="00FB70F2"/>
    <w:rsid w:val="00FB72EF"/>
    <w:rsid w:val="00FB74F2"/>
    <w:rsid w:val="00FB791A"/>
    <w:rsid w:val="00FC0224"/>
    <w:rsid w:val="00FC04C0"/>
    <w:rsid w:val="00FC13E2"/>
    <w:rsid w:val="00FC1788"/>
    <w:rsid w:val="00FC17F0"/>
    <w:rsid w:val="00FC1933"/>
    <w:rsid w:val="00FC3E04"/>
    <w:rsid w:val="00FC4024"/>
    <w:rsid w:val="00FC420A"/>
    <w:rsid w:val="00FC4658"/>
    <w:rsid w:val="00FC47B2"/>
    <w:rsid w:val="00FC521E"/>
    <w:rsid w:val="00FC55B4"/>
    <w:rsid w:val="00FC569E"/>
    <w:rsid w:val="00FC7270"/>
    <w:rsid w:val="00FC78FE"/>
    <w:rsid w:val="00FC7CAA"/>
    <w:rsid w:val="00FD10C9"/>
    <w:rsid w:val="00FD11C0"/>
    <w:rsid w:val="00FD12D2"/>
    <w:rsid w:val="00FD14D6"/>
    <w:rsid w:val="00FD185C"/>
    <w:rsid w:val="00FD2B78"/>
    <w:rsid w:val="00FD2DD4"/>
    <w:rsid w:val="00FD33A7"/>
    <w:rsid w:val="00FD3566"/>
    <w:rsid w:val="00FD35C4"/>
    <w:rsid w:val="00FD3E2B"/>
    <w:rsid w:val="00FD3E85"/>
    <w:rsid w:val="00FD60EA"/>
    <w:rsid w:val="00FD61B3"/>
    <w:rsid w:val="00FD639E"/>
    <w:rsid w:val="00FD64A9"/>
    <w:rsid w:val="00FD795F"/>
    <w:rsid w:val="00FE0FBA"/>
    <w:rsid w:val="00FE192E"/>
    <w:rsid w:val="00FE2638"/>
    <w:rsid w:val="00FE26E6"/>
    <w:rsid w:val="00FE2BC8"/>
    <w:rsid w:val="00FE31B3"/>
    <w:rsid w:val="00FE3A57"/>
    <w:rsid w:val="00FE3DBC"/>
    <w:rsid w:val="00FE3DE9"/>
    <w:rsid w:val="00FE4282"/>
    <w:rsid w:val="00FE5F69"/>
    <w:rsid w:val="00FE6059"/>
    <w:rsid w:val="00FE6594"/>
    <w:rsid w:val="00FE6926"/>
    <w:rsid w:val="00FE798D"/>
    <w:rsid w:val="00FE7BF3"/>
    <w:rsid w:val="00FF0285"/>
    <w:rsid w:val="00FF032D"/>
    <w:rsid w:val="00FF0766"/>
    <w:rsid w:val="00FF0BBD"/>
    <w:rsid w:val="00FF0CCF"/>
    <w:rsid w:val="00FF1245"/>
    <w:rsid w:val="00FF1D46"/>
    <w:rsid w:val="00FF2DC8"/>
    <w:rsid w:val="00FF3065"/>
    <w:rsid w:val="00FF387A"/>
    <w:rsid w:val="00FF4A3B"/>
    <w:rsid w:val="00FF4C82"/>
    <w:rsid w:val="00FF4E7C"/>
    <w:rsid w:val="00FF51AF"/>
    <w:rsid w:val="00FF52F3"/>
    <w:rsid w:val="00FF611A"/>
    <w:rsid w:val="00FF66B7"/>
    <w:rsid w:val="00FF69B0"/>
    <w:rsid w:val="00FF7B27"/>
    <w:rsid w:val="00FF7B7A"/>
    <w:rsid w:val="00FF7CBA"/>
    <w:rsid w:val="0191BB78"/>
    <w:rsid w:val="03AEBCA0"/>
    <w:rsid w:val="06820678"/>
    <w:rsid w:val="06BBE80A"/>
    <w:rsid w:val="06CA1683"/>
    <w:rsid w:val="077C1414"/>
    <w:rsid w:val="07D0FF5C"/>
    <w:rsid w:val="08653349"/>
    <w:rsid w:val="08ED0EE2"/>
    <w:rsid w:val="0943FCD2"/>
    <w:rsid w:val="09C3D5E3"/>
    <w:rsid w:val="0AABF405"/>
    <w:rsid w:val="0D176922"/>
    <w:rsid w:val="1021FA6A"/>
    <w:rsid w:val="115F91D5"/>
    <w:rsid w:val="11FB08C4"/>
    <w:rsid w:val="13ACA334"/>
    <w:rsid w:val="152FFD45"/>
    <w:rsid w:val="15C4DF0A"/>
    <w:rsid w:val="166CD071"/>
    <w:rsid w:val="166DC8D2"/>
    <w:rsid w:val="176E80F0"/>
    <w:rsid w:val="189F71AA"/>
    <w:rsid w:val="1976AE24"/>
    <w:rsid w:val="1B23921E"/>
    <w:rsid w:val="1C24C6AA"/>
    <w:rsid w:val="1CF02375"/>
    <w:rsid w:val="1EB6E829"/>
    <w:rsid w:val="1EC5B33A"/>
    <w:rsid w:val="1ED9B2F6"/>
    <w:rsid w:val="20389B5C"/>
    <w:rsid w:val="207AFD34"/>
    <w:rsid w:val="2136C8D0"/>
    <w:rsid w:val="227E4468"/>
    <w:rsid w:val="22B01CC2"/>
    <w:rsid w:val="24BB062D"/>
    <w:rsid w:val="25EEBB4A"/>
    <w:rsid w:val="2662EC11"/>
    <w:rsid w:val="26E2B767"/>
    <w:rsid w:val="26F4E542"/>
    <w:rsid w:val="2A248970"/>
    <w:rsid w:val="2AD72AC8"/>
    <w:rsid w:val="2B142F37"/>
    <w:rsid w:val="2BAB0849"/>
    <w:rsid w:val="2F18CE7C"/>
    <w:rsid w:val="30EFAF27"/>
    <w:rsid w:val="319EAF1C"/>
    <w:rsid w:val="32367A81"/>
    <w:rsid w:val="328AA97C"/>
    <w:rsid w:val="3306381F"/>
    <w:rsid w:val="368A5917"/>
    <w:rsid w:val="374E7A55"/>
    <w:rsid w:val="381A3646"/>
    <w:rsid w:val="391E9C98"/>
    <w:rsid w:val="3B8D5503"/>
    <w:rsid w:val="3C09E0F1"/>
    <w:rsid w:val="3C41110C"/>
    <w:rsid w:val="3C93842C"/>
    <w:rsid w:val="3E8C1C8B"/>
    <w:rsid w:val="3EA7FB5E"/>
    <w:rsid w:val="406861D7"/>
    <w:rsid w:val="40EADEAC"/>
    <w:rsid w:val="415B5C1F"/>
    <w:rsid w:val="41F10690"/>
    <w:rsid w:val="4291B82E"/>
    <w:rsid w:val="42D16295"/>
    <w:rsid w:val="42D6B2B7"/>
    <w:rsid w:val="443A3C22"/>
    <w:rsid w:val="444BD9A1"/>
    <w:rsid w:val="445A55FA"/>
    <w:rsid w:val="44EC9051"/>
    <w:rsid w:val="45854869"/>
    <w:rsid w:val="469A5622"/>
    <w:rsid w:val="47C20124"/>
    <w:rsid w:val="48D1784E"/>
    <w:rsid w:val="4BC28789"/>
    <w:rsid w:val="4E51E6F0"/>
    <w:rsid w:val="4ED80268"/>
    <w:rsid w:val="4F5CBF25"/>
    <w:rsid w:val="50630466"/>
    <w:rsid w:val="5112AEAC"/>
    <w:rsid w:val="512FBD1C"/>
    <w:rsid w:val="51868E39"/>
    <w:rsid w:val="52740A4B"/>
    <w:rsid w:val="528C6B07"/>
    <w:rsid w:val="5327F740"/>
    <w:rsid w:val="54A0A372"/>
    <w:rsid w:val="597AB4C5"/>
    <w:rsid w:val="5980C840"/>
    <w:rsid w:val="5A553052"/>
    <w:rsid w:val="5A9B7DF9"/>
    <w:rsid w:val="5BA2A6A9"/>
    <w:rsid w:val="5C014C39"/>
    <w:rsid w:val="5FF074B5"/>
    <w:rsid w:val="619C3915"/>
    <w:rsid w:val="63B2BD29"/>
    <w:rsid w:val="64727853"/>
    <w:rsid w:val="650543E7"/>
    <w:rsid w:val="65F7147B"/>
    <w:rsid w:val="66D78595"/>
    <w:rsid w:val="67EBA209"/>
    <w:rsid w:val="69FD1027"/>
    <w:rsid w:val="6AFF8C26"/>
    <w:rsid w:val="6B4D850F"/>
    <w:rsid w:val="6D1DD8C0"/>
    <w:rsid w:val="6DB6EA46"/>
    <w:rsid w:val="6EF325A9"/>
    <w:rsid w:val="6FCB9261"/>
    <w:rsid w:val="702B07A4"/>
    <w:rsid w:val="70C8746D"/>
    <w:rsid w:val="70F73788"/>
    <w:rsid w:val="719E0A19"/>
    <w:rsid w:val="72138B71"/>
    <w:rsid w:val="7376AB82"/>
    <w:rsid w:val="768BACE2"/>
    <w:rsid w:val="77466129"/>
    <w:rsid w:val="793597BD"/>
    <w:rsid w:val="7A05E1F0"/>
    <w:rsid w:val="7A6225AA"/>
    <w:rsid w:val="7AD6880A"/>
    <w:rsid w:val="7D96977A"/>
    <w:rsid w:val="7E7E452C"/>
    <w:rsid w:val="7FF82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EC8B1F"/>
  <w15:docId w15:val="{91BE222D-018C-402F-A9D8-7906478A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uiPriority w:val="99"/>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paragraph" w:styleId="Revision">
    <w:name w:val="Revision"/>
    <w:hidden/>
    <w:uiPriority w:val="99"/>
    <w:semiHidden/>
    <w:rsid w:val="00A1334D"/>
    <w:pPr>
      <w:spacing w:after="0"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46634"/>
  </w:style>
  <w:style w:type="paragraph" w:customStyle="1" w:styleId="paragraph">
    <w:name w:val="paragraph"/>
    <w:basedOn w:val="Normal"/>
    <w:rsid w:val="00646634"/>
    <w:pPr>
      <w:spacing w:before="100" w:beforeAutospacing="1" w:after="100" w:afterAutospacing="1"/>
    </w:pPr>
  </w:style>
  <w:style w:type="character" w:customStyle="1" w:styleId="findhit">
    <w:name w:val="findhit"/>
    <w:basedOn w:val="DefaultParagraphFont"/>
    <w:rsid w:val="00646634"/>
  </w:style>
  <w:style w:type="character" w:customStyle="1" w:styleId="eop">
    <w:name w:val="eop"/>
    <w:basedOn w:val="DefaultParagraphFont"/>
    <w:rsid w:val="00646634"/>
  </w:style>
  <w:style w:type="character" w:customStyle="1" w:styleId="spellingerror">
    <w:name w:val="spellingerror"/>
    <w:basedOn w:val="DefaultParagraphFont"/>
    <w:rsid w:val="0064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40834312">
      <w:bodyDiv w:val="1"/>
      <w:marLeft w:val="0"/>
      <w:marRight w:val="0"/>
      <w:marTop w:val="0"/>
      <w:marBottom w:val="0"/>
      <w:divBdr>
        <w:top w:val="none" w:sz="0" w:space="0" w:color="auto"/>
        <w:left w:val="none" w:sz="0" w:space="0" w:color="auto"/>
        <w:bottom w:val="none" w:sz="0" w:space="0" w:color="auto"/>
        <w:right w:val="none" w:sz="0" w:space="0" w:color="auto"/>
      </w:divBdr>
    </w:div>
    <w:div w:id="88164915">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99224365">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288049942">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53452525">
      <w:bodyDiv w:val="1"/>
      <w:marLeft w:val="0"/>
      <w:marRight w:val="0"/>
      <w:marTop w:val="0"/>
      <w:marBottom w:val="0"/>
      <w:divBdr>
        <w:top w:val="none" w:sz="0" w:space="0" w:color="auto"/>
        <w:left w:val="none" w:sz="0" w:space="0" w:color="auto"/>
        <w:bottom w:val="none" w:sz="0" w:space="0" w:color="auto"/>
        <w:right w:val="none" w:sz="0" w:space="0" w:color="auto"/>
      </w:divBdr>
    </w:div>
    <w:div w:id="453836855">
      <w:bodyDiv w:val="1"/>
      <w:marLeft w:val="0"/>
      <w:marRight w:val="0"/>
      <w:marTop w:val="0"/>
      <w:marBottom w:val="0"/>
      <w:divBdr>
        <w:top w:val="none" w:sz="0" w:space="0" w:color="auto"/>
        <w:left w:val="none" w:sz="0" w:space="0" w:color="auto"/>
        <w:bottom w:val="none" w:sz="0" w:space="0" w:color="auto"/>
        <w:right w:val="none" w:sz="0" w:space="0" w:color="auto"/>
      </w:divBdr>
    </w:div>
    <w:div w:id="473568734">
      <w:bodyDiv w:val="1"/>
      <w:marLeft w:val="0"/>
      <w:marRight w:val="0"/>
      <w:marTop w:val="0"/>
      <w:marBottom w:val="0"/>
      <w:divBdr>
        <w:top w:val="none" w:sz="0" w:space="0" w:color="auto"/>
        <w:left w:val="none" w:sz="0" w:space="0" w:color="auto"/>
        <w:bottom w:val="none" w:sz="0" w:space="0" w:color="auto"/>
        <w:right w:val="none" w:sz="0" w:space="0" w:color="auto"/>
      </w:divBdr>
    </w:div>
    <w:div w:id="497768896">
      <w:bodyDiv w:val="1"/>
      <w:marLeft w:val="0"/>
      <w:marRight w:val="0"/>
      <w:marTop w:val="0"/>
      <w:marBottom w:val="0"/>
      <w:divBdr>
        <w:top w:val="none" w:sz="0" w:space="0" w:color="auto"/>
        <w:left w:val="none" w:sz="0" w:space="0" w:color="auto"/>
        <w:bottom w:val="none" w:sz="0" w:space="0" w:color="auto"/>
        <w:right w:val="none" w:sz="0" w:space="0" w:color="auto"/>
      </w:divBdr>
    </w:div>
    <w:div w:id="514151089">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46645250">
      <w:bodyDiv w:val="1"/>
      <w:marLeft w:val="0"/>
      <w:marRight w:val="0"/>
      <w:marTop w:val="0"/>
      <w:marBottom w:val="0"/>
      <w:divBdr>
        <w:top w:val="none" w:sz="0" w:space="0" w:color="auto"/>
        <w:left w:val="none" w:sz="0" w:space="0" w:color="auto"/>
        <w:bottom w:val="none" w:sz="0" w:space="0" w:color="auto"/>
        <w:right w:val="none" w:sz="0" w:space="0" w:color="auto"/>
      </w:divBdr>
      <w:divsChild>
        <w:div w:id="575939430">
          <w:marLeft w:val="0"/>
          <w:marRight w:val="0"/>
          <w:marTop w:val="0"/>
          <w:marBottom w:val="0"/>
          <w:divBdr>
            <w:top w:val="none" w:sz="0" w:space="0" w:color="auto"/>
            <w:left w:val="none" w:sz="0" w:space="0" w:color="auto"/>
            <w:bottom w:val="none" w:sz="0" w:space="0" w:color="auto"/>
            <w:right w:val="none" w:sz="0" w:space="0" w:color="auto"/>
          </w:divBdr>
          <w:divsChild>
            <w:div w:id="69348137">
              <w:marLeft w:val="0"/>
              <w:marRight w:val="0"/>
              <w:marTop w:val="0"/>
              <w:marBottom w:val="0"/>
              <w:divBdr>
                <w:top w:val="none" w:sz="0" w:space="0" w:color="auto"/>
                <w:left w:val="none" w:sz="0" w:space="0" w:color="auto"/>
                <w:bottom w:val="none" w:sz="0" w:space="0" w:color="auto"/>
                <w:right w:val="none" w:sz="0" w:space="0" w:color="auto"/>
              </w:divBdr>
            </w:div>
            <w:div w:id="339430502">
              <w:marLeft w:val="0"/>
              <w:marRight w:val="0"/>
              <w:marTop w:val="0"/>
              <w:marBottom w:val="0"/>
              <w:divBdr>
                <w:top w:val="none" w:sz="0" w:space="0" w:color="auto"/>
                <w:left w:val="none" w:sz="0" w:space="0" w:color="auto"/>
                <w:bottom w:val="none" w:sz="0" w:space="0" w:color="auto"/>
                <w:right w:val="none" w:sz="0" w:space="0" w:color="auto"/>
              </w:divBdr>
              <w:divsChild>
                <w:div w:id="341510322">
                  <w:marLeft w:val="0"/>
                  <w:marRight w:val="0"/>
                  <w:marTop w:val="0"/>
                  <w:marBottom w:val="0"/>
                  <w:divBdr>
                    <w:top w:val="none" w:sz="0" w:space="0" w:color="auto"/>
                    <w:left w:val="none" w:sz="0" w:space="0" w:color="auto"/>
                    <w:bottom w:val="none" w:sz="0" w:space="0" w:color="auto"/>
                    <w:right w:val="none" w:sz="0" w:space="0" w:color="auto"/>
                  </w:divBdr>
                  <w:divsChild>
                    <w:div w:id="1738354812">
                      <w:marLeft w:val="0"/>
                      <w:marRight w:val="0"/>
                      <w:marTop w:val="0"/>
                      <w:marBottom w:val="0"/>
                      <w:divBdr>
                        <w:top w:val="none" w:sz="0" w:space="0" w:color="auto"/>
                        <w:left w:val="none" w:sz="0" w:space="0" w:color="auto"/>
                        <w:bottom w:val="none" w:sz="0" w:space="0" w:color="auto"/>
                        <w:right w:val="none" w:sz="0" w:space="0" w:color="auto"/>
                      </w:divBdr>
                      <w:divsChild>
                        <w:div w:id="786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5595">
              <w:marLeft w:val="0"/>
              <w:marRight w:val="0"/>
              <w:marTop w:val="0"/>
              <w:marBottom w:val="0"/>
              <w:divBdr>
                <w:top w:val="none" w:sz="0" w:space="0" w:color="auto"/>
                <w:left w:val="none" w:sz="0" w:space="0" w:color="auto"/>
                <w:bottom w:val="none" w:sz="0" w:space="0" w:color="auto"/>
                <w:right w:val="none" w:sz="0" w:space="0" w:color="auto"/>
              </w:divBdr>
            </w:div>
            <w:div w:id="762147619">
              <w:marLeft w:val="0"/>
              <w:marRight w:val="0"/>
              <w:marTop w:val="0"/>
              <w:marBottom w:val="0"/>
              <w:divBdr>
                <w:top w:val="none" w:sz="0" w:space="0" w:color="auto"/>
                <w:left w:val="none" w:sz="0" w:space="0" w:color="auto"/>
                <w:bottom w:val="none" w:sz="0" w:space="0" w:color="auto"/>
                <w:right w:val="none" w:sz="0" w:space="0" w:color="auto"/>
              </w:divBdr>
              <w:divsChild>
                <w:div w:id="101924996">
                  <w:marLeft w:val="0"/>
                  <w:marRight w:val="0"/>
                  <w:marTop w:val="0"/>
                  <w:marBottom w:val="0"/>
                  <w:divBdr>
                    <w:top w:val="none" w:sz="0" w:space="0" w:color="auto"/>
                    <w:left w:val="none" w:sz="0" w:space="0" w:color="auto"/>
                    <w:bottom w:val="none" w:sz="0" w:space="0" w:color="auto"/>
                    <w:right w:val="none" w:sz="0" w:space="0" w:color="auto"/>
                  </w:divBdr>
                  <w:divsChild>
                    <w:div w:id="237902450">
                      <w:marLeft w:val="0"/>
                      <w:marRight w:val="0"/>
                      <w:marTop w:val="0"/>
                      <w:marBottom w:val="0"/>
                      <w:divBdr>
                        <w:top w:val="none" w:sz="0" w:space="0" w:color="auto"/>
                        <w:left w:val="none" w:sz="0" w:space="0" w:color="auto"/>
                        <w:bottom w:val="none" w:sz="0" w:space="0" w:color="auto"/>
                        <w:right w:val="none" w:sz="0" w:space="0" w:color="auto"/>
                      </w:divBdr>
                      <w:divsChild>
                        <w:div w:id="572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69667">
              <w:marLeft w:val="0"/>
              <w:marRight w:val="0"/>
              <w:marTop w:val="0"/>
              <w:marBottom w:val="0"/>
              <w:divBdr>
                <w:top w:val="none" w:sz="0" w:space="0" w:color="auto"/>
                <w:left w:val="none" w:sz="0" w:space="0" w:color="auto"/>
                <w:bottom w:val="none" w:sz="0" w:space="0" w:color="auto"/>
                <w:right w:val="none" w:sz="0" w:space="0" w:color="auto"/>
              </w:divBdr>
              <w:divsChild>
                <w:div w:id="2117358696">
                  <w:marLeft w:val="0"/>
                  <w:marRight w:val="0"/>
                  <w:marTop w:val="0"/>
                  <w:marBottom w:val="0"/>
                  <w:divBdr>
                    <w:top w:val="none" w:sz="0" w:space="0" w:color="auto"/>
                    <w:left w:val="none" w:sz="0" w:space="0" w:color="auto"/>
                    <w:bottom w:val="none" w:sz="0" w:space="0" w:color="auto"/>
                    <w:right w:val="none" w:sz="0" w:space="0" w:color="auto"/>
                  </w:divBdr>
                  <w:divsChild>
                    <w:div w:id="978999479">
                      <w:marLeft w:val="0"/>
                      <w:marRight w:val="0"/>
                      <w:marTop w:val="0"/>
                      <w:marBottom w:val="0"/>
                      <w:divBdr>
                        <w:top w:val="none" w:sz="0" w:space="0" w:color="auto"/>
                        <w:left w:val="none" w:sz="0" w:space="0" w:color="auto"/>
                        <w:bottom w:val="none" w:sz="0" w:space="0" w:color="auto"/>
                        <w:right w:val="none" w:sz="0" w:space="0" w:color="auto"/>
                      </w:divBdr>
                      <w:divsChild>
                        <w:div w:id="1636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471">
              <w:marLeft w:val="0"/>
              <w:marRight w:val="0"/>
              <w:marTop w:val="0"/>
              <w:marBottom w:val="0"/>
              <w:divBdr>
                <w:top w:val="none" w:sz="0" w:space="0" w:color="auto"/>
                <w:left w:val="none" w:sz="0" w:space="0" w:color="auto"/>
                <w:bottom w:val="none" w:sz="0" w:space="0" w:color="auto"/>
                <w:right w:val="none" w:sz="0" w:space="0" w:color="auto"/>
              </w:divBdr>
              <w:divsChild>
                <w:div w:id="892544394">
                  <w:marLeft w:val="0"/>
                  <w:marRight w:val="0"/>
                  <w:marTop w:val="0"/>
                  <w:marBottom w:val="0"/>
                  <w:divBdr>
                    <w:top w:val="none" w:sz="0" w:space="0" w:color="auto"/>
                    <w:left w:val="none" w:sz="0" w:space="0" w:color="auto"/>
                    <w:bottom w:val="none" w:sz="0" w:space="0" w:color="auto"/>
                    <w:right w:val="none" w:sz="0" w:space="0" w:color="auto"/>
                  </w:divBdr>
                  <w:divsChild>
                    <w:div w:id="731390002">
                      <w:marLeft w:val="0"/>
                      <w:marRight w:val="0"/>
                      <w:marTop w:val="0"/>
                      <w:marBottom w:val="0"/>
                      <w:divBdr>
                        <w:top w:val="none" w:sz="0" w:space="0" w:color="auto"/>
                        <w:left w:val="none" w:sz="0" w:space="0" w:color="auto"/>
                        <w:bottom w:val="none" w:sz="0" w:space="0" w:color="auto"/>
                        <w:right w:val="none" w:sz="0" w:space="0" w:color="auto"/>
                      </w:divBdr>
                      <w:divsChild>
                        <w:div w:id="224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877">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574319281">
      <w:bodyDiv w:val="1"/>
      <w:marLeft w:val="0"/>
      <w:marRight w:val="0"/>
      <w:marTop w:val="0"/>
      <w:marBottom w:val="0"/>
      <w:divBdr>
        <w:top w:val="none" w:sz="0" w:space="0" w:color="auto"/>
        <w:left w:val="none" w:sz="0" w:space="0" w:color="auto"/>
        <w:bottom w:val="none" w:sz="0" w:space="0" w:color="auto"/>
        <w:right w:val="none" w:sz="0" w:space="0" w:color="auto"/>
      </w:divBdr>
    </w:div>
    <w:div w:id="588005301">
      <w:bodyDiv w:val="1"/>
      <w:marLeft w:val="0"/>
      <w:marRight w:val="0"/>
      <w:marTop w:val="0"/>
      <w:marBottom w:val="0"/>
      <w:divBdr>
        <w:top w:val="none" w:sz="0" w:space="0" w:color="auto"/>
        <w:left w:val="none" w:sz="0" w:space="0" w:color="auto"/>
        <w:bottom w:val="none" w:sz="0" w:space="0" w:color="auto"/>
        <w:right w:val="none" w:sz="0" w:space="0" w:color="auto"/>
      </w:divBdr>
    </w:div>
    <w:div w:id="623148881">
      <w:bodyDiv w:val="1"/>
      <w:marLeft w:val="0"/>
      <w:marRight w:val="0"/>
      <w:marTop w:val="0"/>
      <w:marBottom w:val="0"/>
      <w:divBdr>
        <w:top w:val="none" w:sz="0" w:space="0" w:color="auto"/>
        <w:left w:val="none" w:sz="0" w:space="0" w:color="auto"/>
        <w:bottom w:val="none" w:sz="0" w:space="0" w:color="auto"/>
        <w:right w:val="none" w:sz="0" w:space="0" w:color="auto"/>
      </w:divBdr>
    </w:div>
    <w:div w:id="649864891">
      <w:bodyDiv w:val="1"/>
      <w:marLeft w:val="0"/>
      <w:marRight w:val="0"/>
      <w:marTop w:val="0"/>
      <w:marBottom w:val="0"/>
      <w:divBdr>
        <w:top w:val="none" w:sz="0" w:space="0" w:color="auto"/>
        <w:left w:val="none" w:sz="0" w:space="0" w:color="auto"/>
        <w:bottom w:val="none" w:sz="0" w:space="0" w:color="auto"/>
        <w:right w:val="none" w:sz="0" w:space="0" w:color="auto"/>
      </w:divBdr>
    </w:div>
    <w:div w:id="715085010">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3658546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800418415">
      <w:bodyDiv w:val="1"/>
      <w:marLeft w:val="0"/>
      <w:marRight w:val="0"/>
      <w:marTop w:val="0"/>
      <w:marBottom w:val="0"/>
      <w:divBdr>
        <w:top w:val="none" w:sz="0" w:space="0" w:color="auto"/>
        <w:left w:val="none" w:sz="0" w:space="0" w:color="auto"/>
        <w:bottom w:val="none" w:sz="0" w:space="0" w:color="auto"/>
        <w:right w:val="none" w:sz="0" w:space="0" w:color="auto"/>
      </w:divBdr>
    </w:div>
    <w:div w:id="805782840">
      <w:bodyDiv w:val="1"/>
      <w:marLeft w:val="0"/>
      <w:marRight w:val="0"/>
      <w:marTop w:val="0"/>
      <w:marBottom w:val="0"/>
      <w:divBdr>
        <w:top w:val="none" w:sz="0" w:space="0" w:color="auto"/>
        <w:left w:val="none" w:sz="0" w:space="0" w:color="auto"/>
        <w:bottom w:val="none" w:sz="0" w:space="0" w:color="auto"/>
        <w:right w:val="none" w:sz="0" w:space="0" w:color="auto"/>
      </w:divBdr>
    </w:div>
    <w:div w:id="809834058">
      <w:bodyDiv w:val="1"/>
      <w:marLeft w:val="0"/>
      <w:marRight w:val="0"/>
      <w:marTop w:val="0"/>
      <w:marBottom w:val="0"/>
      <w:divBdr>
        <w:top w:val="none" w:sz="0" w:space="0" w:color="auto"/>
        <w:left w:val="none" w:sz="0" w:space="0" w:color="auto"/>
        <w:bottom w:val="none" w:sz="0" w:space="0" w:color="auto"/>
        <w:right w:val="none" w:sz="0" w:space="0" w:color="auto"/>
      </w:divBdr>
    </w:div>
    <w:div w:id="863052481">
      <w:bodyDiv w:val="1"/>
      <w:marLeft w:val="0"/>
      <w:marRight w:val="0"/>
      <w:marTop w:val="0"/>
      <w:marBottom w:val="0"/>
      <w:divBdr>
        <w:top w:val="none" w:sz="0" w:space="0" w:color="auto"/>
        <w:left w:val="none" w:sz="0" w:space="0" w:color="auto"/>
        <w:bottom w:val="none" w:sz="0" w:space="0" w:color="auto"/>
        <w:right w:val="none" w:sz="0" w:space="0" w:color="auto"/>
      </w:divBdr>
    </w:div>
    <w:div w:id="918909358">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64516238">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252394809">
      <w:bodyDiv w:val="1"/>
      <w:marLeft w:val="0"/>
      <w:marRight w:val="0"/>
      <w:marTop w:val="0"/>
      <w:marBottom w:val="0"/>
      <w:divBdr>
        <w:top w:val="none" w:sz="0" w:space="0" w:color="auto"/>
        <w:left w:val="none" w:sz="0" w:space="0" w:color="auto"/>
        <w:bottom w:val="none" w:sz="0" w:space="0" w:color="auto"/>
        <w:right w:val="none" w:sz="0" w:space="0" w:color="auto"/>
      </w:divBdr>
    </w:div>
    <w:div w:id="1319920642">
      <w:bodyDiv w:val="1"/>
      <w:marLeft w:val="0"/>
      <w:marRight w:val="0"/>
      <w:marTop w:val="0"/>
      <w:marBottom w:val="0"/>
      <w:divBdr>
        <w:top w:val="none" w:sz="0" w:space="0" w:color="auto"/>
        <w:left w:val="none" w:sz="0" w:space="0" w:color="auto"/>
        <w:bottom w:val="none" w:sz="0" w:space="0" w:color="auto"/>
        <w:right w:val="none" w:sz="0" w:space="0" w:color="auto"/>
      </w:divBdr>
    </w:div>
    <w:div w:id="1337000781">
      <w:bodyDiv w:val="1"/>
      <w:marLeft w:val="0"/>
      <w:marRight w:val="0"/>
      <w:marTop w:val="0"/>
      <w:marBottom w:val="0"/>
      <w:divBdr>
        <w:top w:val="none" w:sz="0" w:space="0" w:color="auto"/>
        <w:left w:val="none" w:sz="0" w:space="0" w:color="auto"/>
        <w:bottom w:val="none" w:sz="0" w:space="0" w:color="auto"/>
        <w:right w:val="none" w:sz="0" w:space="0" w:color="auto"/>
      </w:divBdr>
    </w:div>
    <w:div w:id="1367830598">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03408589">
      <w:bodyDiv w:val="1"/>
      <w:marLeft w:val="0"/>
      <w:marRight w:val="0"/>
      <w:marTop w:val="0"/>
      <w:marBottom w:val="0"/>
      <w:divBdr>
        <w:top w:val="none" w:sz="0" w:space="0" w:color="auto"/>
        <w:left w:val="none" w:sz="0" w:space="0" w:color="auto"/>
        <w:bottom w:val="none" w:sz="0" w:space="0" w:color="auto"/>
        <w:right w:val="none" w:sz="0" w:space="0" w:color="auto"/>
      </w:divBdr>
    </w:div>
    <w:div w:id="1407801359">
      <w:bodyDiv w:val="1"/>
      <w:marLeft w:val="0"/>
      <w:marRight w:val="0"/>
      <w:marTop w:val="0"/>
      <w:marBottom w:val="0"/>
      <w:divBdr>
        <w:top w:val="none" w:sz="0" w:space="0" w:color="auto"/>
        <w:left w:val="none" w:sz="0" w:space="0" w:color="auto"/>
        <w:bottom w:val="none" w:sz="0" w:space="0" w:color="auto"/>
        <w:right w:val="none" w:sz="0" w:space="0" w:color="auto"/>
      </w:divBdr>
    </w:div>
    <w:div w:id="1416972892">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1558363">
      <w:bodyDiv w:val="1"/>
      <w:marLeft w:val="0"/>
      <w:marRight w:val="0"/>
      <w:marTop w:val="0"/>
      <w:marBottom w:val="0"/>
      <w:divBdr>
        <w:top w:val="none" w:sz="0" w:space="0" w:color="auto"/>
        <w:left w:val="none" w:sz="0" w:space="0" w:color="auto"/>
        <w:bottom w:val="none" w:sz="0" w:space="0" w:color="auto"/>
        <w:right w:val="none" w:sz="0" w:space="0" w:color="auto"/>
      </w:divBdr>
    </w:div>
    <w:div w:id="1503274763">
      <w:bodyDiv w:val="1"/>
      <w:marLeft w:val="0"/>
      <w:marRight w:val="0"/>
      <w:marTop w:val="0"/>
      <w:marBottom w:val="0"/>
      <w:divBdr>
        <w:top w:val="none" w:sz="0" w:space="0" w:color="auto"/>
        <w:left w:val="none" w:sz="0" w:space="0" w:color="auto"/>
        <w:bottom w:val="none" w:sz="0" w:space="0" w:color="auto"/>
        <w:right w:val="none" w:sz="0" w:space="0" w:color="auto"/>
      </w:divBdr>
    </w:div>
    <w:div w:id="1530754667">
      <w:bodyDiv w:val="1"/>
      <w:marLeft w:val="0"/>
      <w:marRight w:val="0"/>
      <w:marTop w:val="0"/>
      <w:marBottom w:val="0"/>
      <w:divBdr>
        <w:top w:val="none" w:sz="0" w:space="0" w:color="auto"/>
        <w:left w:val="none" w:sz="0" w:space="0" w:color="auto"/>
        <w:bottom w:val="none" w:sz="0" w:space="0" w:color="auto"/>
        <w:right w:val="none" w:sz="0" w:space="0" w:color="auto"/>
      </w:divBdr>
    </w:div>
    <w:div w:id="1547838592">
      <w:bodyDiv w:val="1"/>
      <w:marLeft w:val="0"/>
      <w:marRight w:val="0"/>
      <w:marTop w:val="0"/>
      <w:marBottom w:val="0"/>
      <w:divBdr>
        <w:top w:val="none" w:sz="0" w:space="0" w:color="auto"/>
        <w:left w:val="none" w:sz="0" w:space="0" w:color="auto"/>
        <w:bottom w:val="none" w:sz="0" w:space="0" w:color="auto"/>
        <w:right w:val="none" w:sz="0" w:space="0" w:color="auto"/>
      </w:divBdr>
    </w:div>
    <w:div w:id="1561362306">
      <w:bodyDiv w:val="1"/>
      <w:marLeft w:val="0"/>
      <w:marRight w:val="0"/>
      <w:marTop w:val="0"/>
      <w:marBottom w:val="0"/>
      <w:divBdr>
        <w:top w:val="none" w:sz="0" w:space="0" w:color="auto"/>
        <w:left w:val="none" w:sz="0" w:space="0" w:color="auto"/>
        <w:bottom w:val="none" w:sz="0" w:space="0" w:color="auto"/>
        <w:right w:val="none" w:sz="0" w:space="0" w:color="auto"/>
      </w:divBdr>
    </w:div>
    <w:div w:id="1578057905">
      <w:bodyDiv w:val="1"/>
      <w:marLeft w:val="0"/>
      <w:marRight w:val="0"/>
      <w:marTop w:val="0"/>
      <w:marBottom w:val="0"/>
      <w:divBdr>
        <w:top w:val="none" w:sz="0" w:space="0" w:color="auto"/>
        <w:left w:val="none" w:sz="0" w:space="0" w:color="auto"/>
        <w:bottom w:val="none" w:sz="0" w:space="0" w:color="auto"/>
        <w:right w:val="none" w:sz="0" w:space="0" w:color="auto"/>
      </w:divBdr>
    </w:div>
    <w:div w:id="1598979221">
      <w:bodyDiv w:val="1"/>
      <w:marLeft w:val="0"/>
      <w:marRight w:val="0"/>
      <w:marTop w:val="0"/>
      <w:marBottom w:val="0"/>
      <w:divBdr>
        <w:top w:val="none" w:sz="0" w:space="0" w:color="auto"/>
        <w:left w:val="none" w:sz="0" w:space="0" w:color="auto"/>
        <w:bottom w:val="none" w:sz="0" w:space="0" w:color="auto"/>
        <w:right w:val="none" w:sz="0" w:space="0" w:color="auto"/>
      </w:divBdr>
    </w:div>
    <w:div w:id="1612012987">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3115728">
      <w:bodyDiv w:val="1"/>
      <w:marLeft w:val="0"/>
      <w:marRight w:val="0"/>
      <w:marTop w:val="0"/>
      <w:marBottom w:val="0"/>
      <w:divBdr>
        <w:top w:val="none" w:sz="0" w:space="0" w:color="auto"/>
        <w:left w:val="none" w:sz="0" w:space="0" w:color="auto"/>
        <w:bottom w:val="none" w:sz="0" w:space="0" w:color="auto"/>
        <w:right w:val="none" w:sz="0" w:space="0" w:color="auto"/>
      </w:divBdr>
    </w:div>
    <w:div w:id="1670329752">
      <w:bodyDiv w:val="1"/>
      <w:marLeft w:val="0"/>
      <w:marRight w:val="0"/>
      <w:marTop w:val="0"/>
      <w:marBottom w:val="0"/>
      <w:divBdr>
        <w:top w:val="none" w:sz="0" w:space="0" w:color="auto"/>
        <w:left w:val="none" w:sz="0" w:space="0" w:color="auto"/>
        <w:bottom w:val="none" w:sz="0" w:space="0" w:color="auto"/>
        <w:right w:val="none" w:sz="0" w:space="0" w:color="auto"/>
      </w:divBdr>
    </w:div>
    <w:div w:id="1757945920">
      <w:bodyDiv w:val="1"/>
      <w:marLeft w:val="0"/>
      <w:marRight w:val="0"/>
      <w:marTop w:val="0"/>
      <w:marBottom w:val="0"/>
      <w:divBdr>
        <w:top w:val="none" w:sz="0" w:space="0" w:color="auto"/>
        <w:left w:val="none" w:sz="0" w:space="0" w:color="auto"/>
        <w:bottom w:val="none" w:sz="0" w:space="0" w:color="auto"/>
        <w:right w:val="none" w:sz="0" w:space="0" w:color="auto"/>
      </w:divBdr>
    </w:div>
    <w:div w:id="1758940436">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24732319">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12503462">
      <w:bodyDiv w:val="1"/>
      <w:marLeft w:val="0"/>
      <w:marRight w:val="0"/>
      <w:marTop w:val="0"/>
      <w:marBottom w:val="0"/>
      <w:divBdr>
        <w:top w:val="none" w:sz="0" w:space="0" w:color="auto"/>
        <w:left w:val="none" w:sz="0" w:space="0" w:color="auto"/>
        <w:bottom w:val="none" w:sz="0" w:space="0" w:color="auto"/>
        <w:right w:val="none" w:sz="0" w:space="0" w:color="auto"/>
      </w:divBdr>
    </w:div>
    <w:div w:id="2021081740">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084184427">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 w:id="21404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8834-elektroenergijas-tirgus-likums" TargetMode="External"/><Relationship Id="rId13" Type="http://schemas.openxmlformats.org/officeDocument/2006/relationships/hyperlink" Target="https://m.likumi.lv/ta/id/108834-elektroenergijas-tirgus-likums" TargetMode="External"/><Relationship Id="rId18" Type="http://schemas.openxmlformats.org/officeDocument/2006/relationships/hyperlink" Target="https://m.likumi.lv/ta/id/108834-elektroenergijas-tirgus-likums" TargetMode="External"/><Relationship Id="rId26" Type="http://schemas.openxmlformats.org/officeDocument/2006/relationships/hyperlink" Target="http://eur-lex.europa.eu/eli/reg/1999/659/oj/?locale=LV" TargetMode="External"/><Relationship Id="rId3" Type="http://schemas.openxmlformats.org/officeDocument/2006/relationships/styles" Target="styles.xml"/><Relationship Id="rId21" Type="http://schemas.openxmlformats.org/officeDocument/2006/relationships/hyperlink" Target="https://m.likumi.lv/ta/id/189260" TargetMode="External"/><Relationship Id="rId7" Type="http://schemas.openxmlformats.org/officeDocument/2006/relationships/endnotes" Target="endnotes.xml"/><Relationship Id="rId12" Type="http://schemas.openxmlformats.org/officeDocument/2006/relationships/hyperlink" Target="https://m.likumi.lv/ta/id/108834-elektroenergijas-tirgus-likums" TargetMode="External"/><Relationship Id="rId17" Type="http://schemas.openxmlformats.org/officeDocument/2006/relationships/hyperlink" Target="https://m.likumi.lv/ta/id/108834-elektroenergijas-tirgus-likums" TargetMode="External"/><Relationship Id="rId25" Type="http://schemas.openxmlformats.org/officeDocument/2006/relationships/hyperlink" Target="http://eur-lex.europa.eu/eli/reg/1999/659/oj/?locale=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likumi.lv/ta/id/108834-elektroenergijas-tirgus-likums" TargetMode="External"/><Relationship Id="rId20" Type="http://schemas.openxmlformats.org/officeDocument/2006/relationships/hyperlink" Target="https://m.likumi.lv/ta/id/20745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08834-elektroenergijas-tirgus-likums" TargetMode="External"/><Relationship Id="rId24" Type="http://schemas.openxmlformats.org/officeDocument/2006/relationships/hyperlink" Target="https://likumi.lv/ta/id/189260-noteikumi-par-elektroenergijas-razosanu-un-cenu-noteiksanu-razojot-elektroenergiju-kogeneracij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likumi.lv/ta/id/108834-elektroenergijas-tirgus-likums" TargetMode="External"/><Relationship Id="rId23" Type="http://schemas.openxmlformats.org/officeDocument/2006/relationships/hyperlink" Target="https://m.likumi.lv/ta/id/207458" TargetMode="External"/><Relationship Id="rId28" Type="http://schemas.openxmlformats.org/officeDocument/2006/relationships/header" Target="header1.xml"/><Relationship Id="rId10" Type="http://schemas.openxmlformats.org/officeDocument/2006/relationships/hyperlink" Target="https://m.likumi.lv/ta/id/108834-elektroenergijas-tirgus-likums" TargetMode="External"/><Relationship Id="rId19" Type="http://schemas.openxmlformats.org/officeDocument/2006/relationships/hyperlink" Target="https://m.likumi.lv/ta/id/108834-elektroenergijas-tirgus-likum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likumi.lv/ta/id/108834-elektroenergijas-tirgus-likums" TargetMode="External"/><Relationship Id="rId14" Type="http://schemas.openxmlformats.org/officeDocument/2006/relationships/hyperlink" Target="https://m.likumi.lv/ta/id/108834-elektroenergijas-tirgus-likums" TargetMode="External"/><Relationship Id="rId22" Type="http://schemas.openxmlformats.org/officeDocument/2006/relationships/hyperlink" Target="http://eur-lex.europa.eu/eli/dir/2004/8/oj/?locale=LV" TargetMode="External"/><Relationship Id="rId27" Type="http://schemas.openxmlformats.org/officeDocument/2006/relationships/hyperlink" Target="http://eur-lex.europa.eu/eli/reg/1999/659/oj/?locale=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02B2-11C2-4ECD-8978-7138DC59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29</Pages>
  <Words>38847</Words>
  <Characters>22143</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60869</CharactersWithSpaces>
  <SharedDoc>false</SharedDoc>
  <HLinks>
    <vt:vector size="78" baseType="variant">
      <vt:variant>
        <vt:i4>6422579</vt:i4>
      </vt:variant>
      <vt:variant>
        <vt:i4>36</vt:i4>
      </vt:variant>
      <vt:variant>
        <vt:i4>0</vt:i4>
      </vt:variant>
      <vt:variant>
        <vt:i4>5</vt:i4>
      </vt:variant>
      <vt:variant>
        <vt:lpwstr>http://eur-lex.europa.eu/eli/reg/1999/659/oj/?locale=LV</vt:lpwstr>
      </vt:variant>
      <vt:variant>
        <vt:lpwstr/>
      </vt:variant>
      <vt:variant>
        <vt:i4>6422579</vt:i4>
      </vt:variant>
      <vt:variant>
        <vt:i4>33</vt:i4>
      </vt:variant>
      <vt:variant>
        <vt:i4>0</vt:i4>
      </vt:variant>
      <vt:variant>
        <vt:i4>5</vt:i4>
      </vt:variant>
      <vt:variant>
        <vt:lpwstr>http://eur-lex.europa.eu/eli/reg/1999/659/oj/?locale=LV</vt:lpwstr>
      </vt:variant>
      <vt:variant>
        <vt:lpwstr/>
      </vt:variant>
      <vt:variant>
        <vt:i4>6422579</vt:i4>
      </vt:variant>
      <vt:variant>
        <vt:i4>30</vt:i4>
      </vt:variant>
      <vt:variant>
        <vt:i4>0</vt:i4>
      </vt:variant>
      <vt:variant>
        <vt:i4>5</vt:i4>
      </vt:variant>
      <vt:variant>
        <vt:lpwstr>http://eur-lex.europa.eu/eli/reg/1999/659/oj/?locale=LV</vt:lpwstr>
      </vt:variant>
      <vt:variant>
        <vt:lpwstr/>
      </vt:variant>
      <vt:variant>
        <vt:i4>6422579</vt:i4>
      </vt:variant>
      <vt:variant>
        <vt:i4>27</vt:i4>
      </vt:variant>
      <vt:variant>
        <vt:i4>0</vt:i4>
      </vt:variant>
      <vt:variant>
        <vt:i4>5</vt:i4>
      </vt:variant>
      <vt:variant>
        <vt:lpwstr>http://eur-lex.europa.eu/eli/reg/1999/659/oj/?locale=LV</vt:lpwstr>
      </vt:variant>
      <vt:variant>
        <vt:lpwstr/>
      </vt:variant>
      <vt:variant>
        <vt:i4>6422579</vt:i4>
      </vt:variant>
      <vt:variant>
        <vt:i4>24</vt:i4>
      </vt:variant>
      <vt:variant>
        <vt:i4>0</vt:i4>
      </vt:variant>
      <vt:variant>
        <vt:i4>5</vt:i4>
      </vt:variant>
      <vt:variant>
        <vt:lpwstr>http://eur-lex.europa.eu/eli/reg/1999/659/oj/?locale=LV</vt:lpwstr>
      </vt:variant>
      <vt:variant>
        <vt:lpwstr/>
      </vt:variant>
      <vt:variant>
        <vt:i4>6422579</vt:i4>
      </vt:variant>
      <vt:variant>
        <vt:i4>21</vt:i4>
      </vt:variant>
      <vt:variant>
        <vt:i4>0</vt:i4>
      </vt:variant>
      <vt:variant>
        <vt:i4>5</vt:i4>
      </vt:variant>
      <vt:variant>
        <vt:lpwstr>http://eur-lex.europa.eu/eli/reg/1999/659/oj/?locale=LV</vt:lpwstr>
      </vt:variant>
      <vt:variant>
        <vt:lpwstr/>
      </vt:variant>
      <vt:variant>
        <vt:i4>8323106</vt:i4>
      </vt:variant>
      <vt:variant>
        <vt:i4>18</vt:i4>
      </vt:variant>
      <vt:variant>
        <vt:i4>0</vt:i4>
      </vt:variant>
      <vt:variant>
        <vt:i4>5</vt:i4>
      </vt:variant>
      <vt:variant>
        <vt:lpwstr>https://m.likumi.lv/ta/id/207458</vt:lpwstr>
      </vt:variant>
      <vt:variant>
        <vt:lpwstr>p56.2%C2%A0</vt:lpwstr>
      </vt:variant>
      <vt:variant>
        <vt:i4>8323106</vt:i4>
      </vt:variant>
      <vt:variant>
        <vt:i4>15</vt:i4>
      </vt:variant>
      <vt:variant>
        <vt:i4>0</vt:i4>
      </vt:variant>
      <vt:variant>
        <vt:i4>5</vt:i4>
      </vt:variant>
      <vt:variant>
        <vt:lpwstr>https://m.likumi.lv/ta/id/207458</vt:lpwstr>
      </vt:variant>
      <vt:variant>
        <vt:lpwstr>p56.2%C2%A0</vt:lpwstr>
      </vt:variant>
      <vt:variant>
        <vt:i4>8323106</vt:i4>
      </vt:variant>
      <vt:variant>
        <vt:i4>12</vt:i4>
      </vt:variant>
      <vt:variant>
        <vt:i4>0</vt:i4>
      </vt:variant>
      <vt:variant>
        <vt:i4>5</vt:i4>
      </vt:variant>
      <vt:variant>
        <vt:lpwstr>https://m.likumi.lv/ta/id/207458</vt:lpwstr>
      </vt:variant>
      <vt:variant>
        <vt:lpwstr>p56.2%C2%A0</vt:lpwstr>
      </vt:variant>
      <vt:variant>
        <vt:i4>8323106</vt:i4>
      </vt:variant>
      <vt:variant>
        <vt:i4>9</vt:i4>
      </vt:variant>
      <vt:variant>
        <vt:i4>0</vt:i4>
      </vt:variant>
      <vt:variant>
        <vt:i4>5</vt:i4>
      </vt:variant>
      <vt:variant>
        <vt:lpwstr>https://m.likumi.lv/ta/id/207458</vt:lpwstr>
      </vt:variant>
      <vt:variant>
        <vt:lpwstr>p56.2%C2%A0</vt:lpwstr>
      </vt:variant>
      <vt:variant>
        <vt:i4>8323106</vt:i4>
      </vt:variant>
      <vt:variant>
        <vt:i4>6</vt:i4>
      </vt:variant>
      <vt:variant>
        <vt:i4>0</vt:i4>
      </vt:variant>
      <vt:variant>
        <vt:i4>5</vt:i4>
      </vt:variant>
      <vt:variant>
        <vt:lpwstr>https://m.likumi.lv/ta/id/207458</vt:lpwstr>
      </vt:variant>
      <vt:variant>
        <vt:lpwstr>p56.2%C2%A0</vt:lpwstr>
      </vt:variant>
      <vt:variant>
        <vt:i4>2097262</vt:i4>
      </vt:variant>
      <vt:variant>
        <vt:i4>3</vt:i4>
      </vt:variant>
      <vt:variant>
        <vt:i4>0</vt:i4>
      </vt:variant>
      <vt:variant>
        <vt:i4>5</vt:i4>
      </vt:variant>
      <vt:variant>
        <vt:lpwstr>https://m.likumi.lv/ta/id/189260</vt:lpwstr>
      </vt:variant>
      <vt:variant>
        <vt:lpwstr>p40</vt:lpwstr>
      </vt:variant>
      <vt:variant>
        <vt:i4>2555956</vt:i4>
      </vt:variant>
      <vt:variant>
        <vt:i4>0</vt:i4>
      </vt:variant>
      <vt:variant>
        <vt:i4>0</vt:i4>
      </vt:variant>
      <vt:variant>
        <vt:i4>5</vt:i4>
      </vt:variant>
      <vt:variant>
        <vt:lpwstr>https://m.likumi.lv/ta/id/207458</vt:lpwstr>
      </vt:variant>
      <vt:variant>
        <vt:lpwstr>piel10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cp:keywords/>
  <dc:description/>
  <cp:lastModifiedBy>Aivars Neimanis</cp:lastModifiedBy>
  <cp:revision>18</cp:revision>
  <cp:lastPrinted>2020-03-05T06:38:00Z</cp:lastPrinted>
  <dcterms:created xsi:type="dcterms:W3CDTF">2020-08-28T08:36:00Z</dcterms:created>
  <dcterms:modified xsi:type="dcterms:W3CDTF">2020-08-29T22:48:00Z</dcterms:modified>
</cp:coreProperties>
</file>