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8.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D4DF3" w14:textId="77777777" w:rsidR="000A0BBA" w:rsidRPr="0083510D" w:rsidRDefault="000A0BBA" w:rsidP="00264D49">
      <w:pPr>
        <w:jc w:val="center"/>
        <w:rPr>
          <w:rFonts w:cs="Times New Roman"/>
          <w:b/>
          <w:bCs/>
          <w:sz w:val="24"/>
          <w:szCs w:val="24"/>
        </w:rPr>
      </w:pPr>
    </w:p>
    <w:p w14:paraId="150A49AA" w14:textId="40B6808F" w:rsidR="4FC8F869" w:rsidRPr="0083510D" w:rsidRDefault="4FC8F869" w:rsidP="00264D49">
      <w:pPr>
        <w:jc w:val="center"/>
        <w:rPr>
          <w:rFonts w:cs="Times New Roman"/>
          <w:b/>
          <w:bCs/>
          <w:sz w:val="24"/>
          <w:szCs w:val="24"/>
        </w:rPr>
      </w:pPr>
    </w:p>
    <w:p w14:paraId="2CF42A50" w14:textId="77777777" w:rsidR="000A0BBA" w:rsidRPr="0083510D" w:rsidRDefault="000A0BBA" w:rsidP="00264D49">
      <w:pPr>
        <w:jc w:val="center"/>
        <w:rPr>
          <w:rFonts w:cs="Times New Roman"/>
          <w:b/>
          <w:sz w:val="24"/>
          <w:szCs w:val="24"/>
        </w:rPr>
      </w:pPr>
    </w:p>
    <w:p w14:paraId="2E07FA08" w14:textId="77777777" w:rsidR="000A0BBA" w:rsidRPr="0083510D" w:rsidRDefault="000A0BBA" w:rsidP="00264D49">
      <w:pPr>
        <w:jc w:val="center"/>
        <w:rPr>
          <w:rFonts w:cs="Times New Roman"/>
          <w:b/>
          <w:sz w:val="24"/>
          <w:szCs w:val="24"/>
        </w:rPr>
      </w:pPr>
    </w:p>
    <w:p w14:paraId="030FDCE0" w14:textId="77777777" w:rsidR="000A0BBA" w:rsidRPr="0083510D" w:rsidRDefault="000A0BBA" w:rsidP="00264D49">
      <w:pPr>
        <w:jc w:val="center"/>
        <w:rPr>
          <w:rFonts w:cs="Times New Roman"/>
          <w:b/>
          <w:sz w:val="24"/>
          <w:szCs w:val="24"/>
        </w:rPr>
      </w:pPr>
    </w:p>
    <w:p w14:paraId="12993A4B" w14:textId="77777777" w:rsidR="000A0BBA" w:rsidRPr="0083510D" w:rsidRDefault="000A0BBA" w:rsidP="00264D49">
      <w:pPr>
        <w:jc w:val="center"/>
        <w:rPr>
          <w:rFonts w:cs="Times New Roman"/>
          <w:b/>
          <w:sz w:val="24"/>
          <w:szCs w:val="24"/>
        </w:rPr>
      </w:pPr>
    </w:p>
    <w:p w14:paraId="1B5E1C94" w14:textId="77777777" w:rsidR="000A0BBA" w:rsidRPr="0083510D" w:rsidRDefault="000A0BBA" w:rsidP="00264D49">
      <w:pPr>
        <w:jc w:val="center"/>
        <w:rPr>
          <w:rFonts w:cs="Times New Roman"/>
          <w:b/>
          <w:sz w:val="24"/>
          <w:szCs w:val="24"/>
        </w:rPr>
      </w:pPr>
    </w:p>
    <w:p w14:paraId="047B0F45" w14:textId="77777777" w:rsidR="000A0BBA" w:rsidRPr="0083510D" w:rsidRDefault="000A0BBA" w:rsidP="00264D49">
      <w:pPr>
        <w:jc w:val="center"/>
        <w:rPr>
          <w:rFonts w:cs="Times New Roman"/>
          <w:b/>
          <w:sz w:val="24"/>
          <w:szCs w:val="24"/>
        </w:rPr>
      </w:pPr>
    </w:p>
    <w:p w14:paraId="000571B5" w14:textId="77777777" w:rsidR="000A0BBA" w:rsidRPr="0083510D" w:rsidRDefault="000A0BBA" w:rsidP="00264D49">
      <w:pPr>
        <w:jc w:val="center"/>
        <w:rPr>
          <w:rFonts w:cs="Times New Roman"/>
          <w:b/>
          <w:sz w:val="24"/>
          <w:szCs w:val="24"/>
        </w:rPr>
      </w:pPr>
    </w:p>
    <w:p w14:paraId="6BE7E399" w14:textId="77777777" w:rsidR="000A0BBA" w:rsidRPr="0083510D" w:rsidRDefault="000A0BBA" w:rsidP="00264D49">
      <w:pPr>
        <w:jc w:val="center"/>
        <w:rPr>
          <w:rFonts w:cs="Times New Roman"/>
          <w:b/>
          <w:sz w:val="24"/>
          <w:szCs w:val="24"/>
        </w:rPr>
      </w:pPr>
    </w:p>
    <w:p w14:paraId="3A13634A" w14:textId="77777777" w:rsidR="000A0BBA" w:rsidRPr="0083510D" w:rsidRDefault="000A0BBA" w:rsidP="00264D49">
      <w:pPr>
        <w:jc w:val="center"/>
        <w:rPr>
          <w:rFonts w:cs="Times New Roman"/>
          <w:b/>
          <w:sz w:val="24"/>
          <w:szCs w:val="24"/>
        </w:rPr>
      </w:pPr>
    </w:p>
    <w:p w14:paraId="14D4D525" w14:textId="77777777" w:rsidR="000A0BBA" w:rsidRPr="0083510D" w:rsidRDefault="000A0BBA" w:rsidP="00264D49">
      <w:pPr>
        <w:jc w:val="center"/>
        <w:rPr>
          <w:rFonts w:cs="Times New Roman"/>
          <w:b/>
          <w:sz w:val="24"/>
          <w:szCs w:val="24"/>
        </w:rPr>
      </w:pPr>
    </w:p>
    <w:p w14:paraId="440195F4" w14:textId="77777777" w:rsidR="000A0BBA" w:rsidRPr="0083510D" w:rsidRDefault="000A0BBA" w:rsidP="00264D49">
      <w:pPr>
        <w:jc w:val="center"/>
        <w:rPr>
          <w:rFonts w:cs="Times New Roman"/>
          <w:b/>
          <w:sz w:val="24"/>
          <w:szCs w:val="24"/>
        </w:rPr>
      </w:pPr>
    </w:p>
    <w:p w14:paraId="0BE27D3F" w14:textId="77777777" w:rsidR="000A0BBA" w:rsidRPr="0083510D" w:rsidRDefault="000A0BBA" w:rsidP="00264D49">
      <w:pPr>
        <w:jc w:val="center"/>
        <w:rPr>
          <w:rFonts w:cs="Times New Roman"/>
          <w:b/>
          <w:sz w:val="24"/>
          <w:szCs w:val="24"/>
        </w:rPr>
      </w:pPr>
    </w:p>
    <w:p w14:paraId="0AEB97EE" w14:textId="77777777" w:rsidR="000A0BBA" w:rsidRPr="0083510D" w:rsidRDefault="000A0BBA" w:rsidP="00264D49">
      <w:pPr>
        <w:jc w:val="center"/>
        <w:rPr>
          <w:rFonts w:cs="Times New Roman"/>
          <w:b/>
          <w:sz w:val="24"/>
          <w:szCs w:val="24"/>
        </w:rPr>
      </w:pPr>
    </w:p>
    <w:p w14:paraId="0B30483A" w14:textId="77777777" w:rsidR="000A0BBA" w:rsidRPr="0083510D" w:rsidRDefault="000A0BBA" w:rsidP="00264D49">
      <w:pPr>
        <w:jc w:val="center"/>
        <w:rPr>
          <w:rFonts w:cs="Times New Roman"/>
          <w:b/>
          <w:sz w:val="24"/>
          <w:szCs w:val="24"/>
        </w:rPr>
      </w:pPr>
    </w:p>
    <w:p w14:paraId="564F867A" w14:textId="77777777" w:rsidR="000A0BBA" w:rsidRPr="0083510D" w:rsidRDefault="000A0BBA" w:rsidP="00264D49">
      <w:pPr>
        <w:jc w:val="center"/>
        <w:rPr>
          <w:rFonts w:cs="Times New Roman"/>
          <w:b/>
          <w:sz w:val="24"/>
          <w:szCs w:val="24"/>
        </w:rPr>
      </w:pPr>
    </w:p>
    <w:p w14:paraId="43E6D302" w14:textId="77777777" w:rsidR="000A0BBA" w:rsidRPr="0083510D" w:rsidRDefault="000A0BBA" w:rsidP="00264D49">
      <w:pPr>
        <w:jc w:val="center"/>
        <w:rPr>
          <w:rFonts w:cs="Times New Roman"/>
          <w:b/>
          <w:sz w:val="24"/>
          <w:szCs w:val="24"/>
        </w:rPr>
      </w:pPr>
    </w:p>
    <w:p w14:paraId="0939C1A8" w14:textId="77777777" w:rsidR="000A0BBA" w:rsidRPr="0083510D" w:rsidRDefault="000A0BBA" w:rsidP="00264D49">
      <w:pPr>
        <w:jc w:val="center"/>
        <w:rPr>
          <w:rFonts w:cs="Times New Roman"/>
          <w:b/>
          <w:sz w:val="24"/>
          <w:szCs w:val="24"/>
        </w:rPr>
      </w:pPr>
    </w:p>
    <w:p w14:paraId="07C6F9EA" w14:textId="77777777" w:rsidR="000A0BBA" w:rsidRPr="0083510D" w:rsidRDefault="000A0BBA" w:rsidP="00264D49">
      <w:pPr>
        <w:jc w:val="center"/>
        <w:rPr>
          <w:rFonts w:cs="Times New Roman"/>
          <w:b/>
          <w:szCs w:val="24"/>
        </w:rPr>
      </w:pPr>
      <w:r w:rsidRPr="0083510D">
        <w:rPr>
          <w:rFonts w:cs="Times New Roman"/>
          <w:b/>
          <w:szCs w:val="24"/>
        </w:rPr>
        <w:t>Informatīvais ziņojums</w:t>
      </w:r>
    </w:p>
    <w:p w14:paraId="776E3C1A" w14:textId="77777777" w:rsidR="000A0BBA" w:rsidRPr="0083510D" w:rsidRDefault="000A0BBA" w:rsidP="00264D49">
      <w:pPr>
        <w:jc w:val="center"/>
        <w:rPr>
          <w:rFonts w:cs="Times New Roman"/>
          <w:b/>
          <w:szCs w:val="24"/>
        </w:rPr>
      </w:pPr>
    </w:p>
    <w:p w14:paraId="5B04B731" w14:textId="5A24C12E" w:rsidR="000A0BBA" w:rsidRPr="0083510D" w:rsidRDefault="00080A18" w:rsidP="00264D49">
      <w:pPr>
        <w:jc w:val="center"/>
        <w:rPr>
          <w:rFonts w:cs="Times New Roman"/>
          <w:b/>
          <w:szCs w:val="24"/>
        </w:rPr>
      </w:pPr>
      <w:bookmarkStart w:id="0" w:name="_Hlk45195488"/>
      <w:r w:rsidRPr="0083510D">
        <w:rPr>
          <w:rFonts w:cs="Times New Roman"/>
          <w:b/>
          <w:szCs w:val="24"/>
        </w:rPr>
        <w:t xml:space="preserve">Par </w:t>
      </w:r>
      <w:r w:rsidR="000A0BBA" w:rsidRPr="0083510D">
        <w:rPr>
          <w:rFonts w:cs="Times New Roman"/>
          <w:b/>
          <w:szCs w:val="24"/>
        </w:rPr>
        <w:t>Latvijas preču un pakalpojumu eksporta veicināšanas un ārvalstu investīciju piesaistes</w:t>
      </w:r>
      <w:r w:rsidRPr="0083510D">
        <w:rPr>
          <w:rFonts w:cs="Times New Roman"/>
          <w:b/>
          <w:szCs w:val="24"/>
        </w:rPr>
        <w:t xml:space="preserve"> pamatnostādņu 2013.-2019.gadam</w:t>
      </w:r>
      <w:r w:rsidR="000A0BBA" w:rsidRPr="0083510D">
        <w:rPr>
          <w:rFonts w:cs="Times New Roman"/>
          <w:b/>
          <w:szCs w:val="24"/>
        </w:rPr>
        <w:t xml:space="preserve"> </w:t>
      </w:r>
      <w:r w:rsidR="00807003" w:rsidRPr="0083510D">
        <w:rPr>
          <w:rFonts w:cs="Times New Roman"/>
          <w:b/>
          <w:szCs w:val="24"/>
        </w:rPr>
        <w:t>gala</w:t>
      </w:r>
      <w:r w:rsidRPr="0083510D">
        <w:rPr>
          <w:rFonts w:cs="Times New Roman"/>
          <w:b/>
          <w:szCs w:val="24"/>
        </w:rPr>
        <w:t xml:space="preserve"> </w:t>
      </w:r>
      <w:r w:rsidR="000A0BBA" w:rsidRPr="0083510D">
        <w:rPr>
          <w:rFonts w:cs="Times New Roman"/>
          <w:b/>
          <w:szCs w:val="24"/>
        </w:rPr>
        <w:t>novērtējumu</w:t>
      </w:r>
    </w:p>
    <w:bookmarkEnd w:id="0"/>
    <w:p w14:paraId="5EF4B57B" w14:textId="77777777" w:rsidR="000A0BBA" w:rsidRPr="0083510D" w:rsidRDefault="000A0BBA" w:rsidP="00264D49">
      <w:pPr>
        <w:jc w:val="center"/>
        <w:rPr>
          <w:rFonts w:cs="Times New Roman"/>
          <w:b/>
          <w:sz w:val="24"/>
          <w:szCs w:val="24"/>
        </w:rPr>
      </w:pPr>
    </w:p>
    <w:p w14:paraId="6CE311FD" w14:textId="77777777" w:rsidR="00FA718D" w:rsidRPr="0083510D" w:rsidRDefault="00FA718D" w:rsidP="00264D49">
      <w:pPr>
        <w:jc w:val="center"/>
        <w:rPr>
          <w:rFonts w:cs="Times New Roman"/>
          <w:sz w:val="26"/>
          <w:szCs w:val="26"/>
        </w:rPr>
      </w:pPr>
    </w:p>
    <w:p w14:paraId="5E35FCBC" w14:textId="77777777" w:rsidR="00FA718D" w:rsidRPr="0083510D" w:rsidRDefault="00FA718D" w:rsidP="00264D49">
      <w:pPr>
        <w:jc w:val="center"/>
        <w:rPr>
          <w:rFonts w:cs="Times New Roman"/>
          <w:sz w:val="26"/>
          <w:szCs w:val="26"/>
        </w:rPr>
      </w:pPr>
    </w:p>
    <w:p w14:paraId="582DB2CE" w14:textId="77777777" w:rsidR="00FA718D" w:rsidRPr="0083510D" w:rsidRDefault="00FA718D" w:rsidP="00264D49">
      <w:pPr>
        <w:jc w:val="center"/>
        <w:rPr>
          <w:rFonts w:cs="Times New Roman"/>
          <w:sz w:val="26"/>
          <w:szCs w:val="26"/>
        </w:rPr>
      </w:pPr>
    </w:p>
    <w:p w14:paraId="6C316200" w14:textId="77777777" w:rsidR="00FA718D" w:rsidRPr="0083510D" w:rsidRDefault="00FA718D" w:rsidP="00264D49">
      <w:pPr>
        <w:jc w:val="center"/>
        <w:rPr>
          <w:rFonts w:cs="Times New Roman"/>
          <w:sz w:val="26"/>
          <w:szCs w:val="26"/>
        </w:rPr>
      </w:pPr>
    </w:p>
    <w:p w14:paraId="3D8979AF" w14:textId="77777777" w:rsidR="00FA718D" w:rsidRPr="0083510D" w:rsidRDefault="00FA718D" w:rsidP="00264D49">
      <w:pPr>
        <w:jc w:val="center"/>
        <w:rPr>
          <w:rFonts w:cs="Times New Roman"/>
          <w:sz w:val="26"/>
          <w:szCs w:val="26"/>
        </w:rPr>
      </w:pPr>
    </w:p>
    <w:p w14:paraId="5E0E06C3" w14:textId="77777777" w:rsidR="00FA718D" w:rsidRPr="0083510D" w:rsidRDefault="00FA718D" w:rsidP="00264D49">
      <w:pPr>
        <w:jc w:val="center"/>
        <w:rPr>
          <w:rFonts w:cs="Times New Roman"/>
          <w:sz w:val="26"/>
          <w:szCs w:val="26"/>
        </w:rPr>
      </w:pPr>
    </w:p>
    <w:p w14:paraId="5B265F06" w14:textId="77777777" w:rsidR="00FA718D" w:rsidRPr="0083510D" w:rsidRDefault="00FA718D" w:rsidP="00264D49">
      <w:pPr>
        <w:jc w:val="center"/>
        <w:rPr>
          <w:rFonts w:cs="Times New Roman"/>
          <w:sz w:val="26"/>
          <w:szCs w:val="26"/>
        </w:rPr>
      </w:pPr>
    </w:p>
    <w:p w14:paraId="6A185081" w14:textId="77777777" w:rsidR="00FA718D" w:rsidRPr="0083510D" w:rsidRDefault="00FA718D" w:rsidP="00264D49">
      <w:pPr>
        <w:jc w:val="center"/>
        <w:rPr>
          <w:rFonts w:cs="Times New Roman"/>
          <w:sz w:val="26"/>
          <w:szCs w:val="26"/>
        </w:rPr>
      </w:pPr>
    </w:p>
    <w:p w14:paraId="41D55136" w14:textId="77777777" w:rsidR="00FA718D" w:rsidRPr="0083510D" w:rsidRDefault="00FA718D" w:rsidP="00264D49">
      <w:pPr>
        <w:jc w:val="center"/>
        <w:rPr>
          <w:rFonts w:cs="Times New Roman"/>
          <w:sz w:val="26"/>
          <w:szCs w:val="26"/>
        </w:rPr>
      </w:pPr>
    </w:p>
    <w:p w14:paraId="2F99511F" w14:textId="77777777" w:rsidR="00FA718D" w:rsidRPr="0083510D" w:rsidRDefault="00FA718D" w:rsidP="00264D49">
      <w:pPr>
        <w:jc w:val="center"/>
        <w:rPr>
          <w:rFonts w:cs="Times New Roman"/>
          <w:sz w:val="26"/>
          <w:szCs w:val="26"/>
        </w:rPr>
      </w:pPr>
    </w:p>
    <w:p w14:paraId="27C9D733" w14:textId="77777777" w:rsidR="00FA718D" w:rsidRPr="0083510D" w:rsidRDefault="00FA718D" w:rsidP="00264D49">
      <w:pPr>
        <w:jc w:val="center"/>
        <w:rPr>
          <w:rFonts w:cs="Times New Roman"/>
          <w:sz w:val="26"/>
          <w:szCs w:val="26"/>
        </w:rPr>
      </w:pPr>
    </w:p>
    <w:p w14:paraId="05517734" w14:textId="77777777" w:rsidR="00FA718D" w:rsidRPr="0083510D" w:rsidRDefault="00FA718D" w:rsidP="00264D49">
      <w:pPr>
        <w:jc w:val="center"/>
        <w:rPr>
          <w:rFonts w:cs="Times New Roman"/>
          <w:sz w:val="26"/>
          <w:szCs w:val="26"/>
        </w:rPr>
      </w:pPr>
    </w:p>
    <w:p w14:paraId="2156B7CC" w14:textId="77777777" w:rsidR="00FA718D" w:rsidRPr="0083510D" w:rsidRDefault="00FA718D" w:rsidP="00264D49">
      <w:pPr>
        <w:jc w:val="center"/>
        <w:rPr>
          <w:rFonts w:cs="Times New Roman"/>
          <w:sz w:val="26"/>
          <w:szCs w:val="26"/>
        </w:rPr>
      </w:pPr>
    </w:p>
    <w:p w14:paraId="16D5BF8A" w14:textId="77777777" w:rsidR="00FA718D" w:rsidRPr="0083510D" w:rsidRDefault="00FA718D" w:rsidP="00264D49">
      <w:pPr>
        <w:jc w:val="center"/>
        <w:rPr>
          <w:rFonts w:cs="Times New Roman"/>
          <w:sz w:val="26"/>
          <w:szCs w:val="26"/>
        </w:rPr>
      </w:pPr>
    </w:p>
    <w:p w14:paraId="2121CDFA" w14:textId="77777777" w:rsidR="00FA718D" w:rsidRPr="0083510D" w:rsidRDefault="00FA718D" w:rsidP="00264D49">
      <w:pPr>
        <w:jc w:val="center"/>
        <w:rPr>
          <w:rFonts w:cs="Times New Roman"/>
          <w:sz w:val="26"/>
          <w:szCs w:val="26"/>
        </w:rPr>
      </w:pPr>
    </w:p>
    <w:p w14:paraId="28E7B62E" w14:textId="77777777" w:rsidR="00FA718D" w:rsidRPr="0083510D" w:rsidRDefault="00FA718D" w:rsidP="00264D49">
      <w:pPr>
        <w:jc w:val="center"/>
        <w:rPr>
          <w:rFonts w:cs="Times New Roman"/>
          <w:sz w:val="26"/>
          <w:szCs w:val="26"/>
        </w:rPr>
      </w:pPr>
    </w:p>
    <w:p w14:paraId="5C44CBB1" w14:textId="77777777" w:rsidR="00FA718D" w:rsidRPr="0083510D" w:rsidRDefault="00FA718D" w:rsidP="00264D49">
      <w:pPr>
        <w:jc w:val="center"/>
        <w:rPr>
          <w:rFonts w:cs="Times New Roman"/>
          <w:sz w:val="26"/>
          <w:szCs w:val="26"/>
        </w:rPr>
      </w:pPr>
    </w:p>
    <w:p w14:paraId="56471BFE" w14:textId="77777777" w:rsidR="00FA718D" w:rsidRPr="0083510D" w:rsidRDefault="00FA718D" w:rsidP="00264D49">
      <w:pPr>
        <w:jc w:val="center"/>
        <w:rPr>
          <w:rFonts w:cs="Times New Roman"/>
          <w:sz w:val="26"/>
          <w:szCs w:val="26"/>
        </w:rPr>
      </w:pPr>
    </w:p>
    <w:p w14:paraId="0109BF30" w14:textId="77777777" w:rsidR="00FA718D" w:rsidRPr="0083510D" w:rsidRDefault="00FA718D" w:rsidP="00264D49">
      <w:pPr>
        <w:jc w:val="center"/>
        <w:rPr>
          <w:rFonts w:cs="Times New Roman"/>
          <w:sz w:val="26"/>
          <w:szCs w:val="26"/>
        </w:rPr>
      </w:pPr>
    </w:p>
    <w:p w14:paraId="6DF834BB" w14:textId="77777777" w:rsidR="00FA718D" w:rsidRPr="0083510D" w:rsidRDefault="00FA718D" w:rsidP="00264D49">
      <w:pPr>
        <w:jc w:val="center"/>
        <w:rPr>
          <w:rFonts w:cs="Times New Roman"/>
          <w:sz w:val="26"/>
          <w:szCs w:val="26"/>
        </w:rPr>
      </w:pPr>
    </w:p>
    <w:p w14:paraId="660BCEC9" w14:textId="77777777" w:rsidR="00FA718D" w:rsidRPr="0083510D" w:rsidRDefault="00FA718D" w:rsidP="00264D49">
      <w:pPr>
        <w:jc w:val="center"/>
        <w:rPr>
          <w:rFonts w:cs="Times New Roman"/>
          <w:sz w:val="26"/>
          <w:szCs w:val="26"/>
        </w:rPr>
      </w:pPr>
    </w:p>
    <w:p w14:paraId="6E08ED21" w14:textId="77777777" w:rsidR="00FA718D" w:rsidRPr="0083510D" w:rsidRDefault="00FA718D" w:rsidP="00264D49">
      <w:pPr>
        <w:jc w:val="center"/>
        <w:rPr>
          <w:rFonts w:cs="Times New Roman"/>
          <w:sz w:val="26"/>
          <w:szCs w:val="26"/>
        </w:rPr>
      </w:pPr>
    </w:p>
    <w:p w14:paraId="677DEB58" w14:textId="77777777" w:rsidR="00FA718D" w:rsidRPr="0083510D" w:rsidRDefault="00FA718D" w:rsidP="00264D49">
      <w:pPr>
        <w:jc w:val="center"/>
        <w:rPr>
          <w:rFonts w:cs="Times New Roman"/>
          <w:sz w:val="26"/>
          <w:szCs w:val="26"/>
        </w:rPr>
      </w:pPr>
    </w:p>
    <w:p w14:paraId="64BA7F96" w14:textId="77777777" w:rsidR="00FA718D" w:rsidRPr="0083510D" w:rsidRDefault="00FA718D" w:rsidP="00264D49">
      <w:pPr>
        <w:jc w:val="center"/>
        <w:rPr>
          <w:rFonts w:cs="Times New Roman"/>
          <w:sz w:val="26"/>
          <w:szCs w:val="26"/>
        </w:rPr>
      </w:pPr>
      <w:r w:rsidRPr="0083510D">
        <w:rPr>
          <w:rFonts w:cs="Times New Roman"/>
          <w:sz w:val="26"/>
          <w:szCs w:val="26"/>
        </w:rPr>
        <w:t>RĪGA</w:t>
      </w:r>
    </w:p>
    <w:p w14:paraId="61BD778E" w14:textId="2E73D5D7" w:rsidR="00FC287C" w:rsidRPr="0083510D" w:rsidRDefault="00807003" w:rsidP="00264D49">
      <w:pPr>
        <w:jc w:val="center"/>
        <w:rPr>
          <w:rFonts w:cs="Times New Roman"/>
          <w:sz w:val="26"/>
          <w:szCs w:val="26"/>
        </w:rPr>
      </w:pPr>
      <w:r w:rsidRPr="0083510D">
        <w:rPr>
          <w:rFonts w:cs="Times New Roman"/>
          <w:sz w:val="26"/>
          <w:szCs w:val="26"/>
        </w:rPr>
        <w:t>2020</w:t>
      </w:r>
      <w:r w:rsidR="00FA718D" w:rsidRPr="0083510D">
        <w:rPr>
          <w:rFonts w:cs="Times New Roman"/>
          <w:sz w:val="26"/>
          <w:szCs w:val="26"/>
        </w:rPr>
        <w:t xml:space="preserve">.gada </w:t>
      </w:r>
      <w:r w:rsidRPr="0083510D">
        <w:rPr>
          <w:rFonts w:cs="Times New Roman"/>
          <w:sz w:val="26"/>
          <w:szCs w:val="26"/>
        </w:rPr>
        <w:t>augusts</w:t>
      </w:r>
    </w:p>
    <w:p w14:paraId="75BC096E" w14:textId="71339F42" w:rsidR="44BEA37C" w:rsidRPr="0083510D" w:rsidRDefault="44BEA37C" w:rsidP="00264D49">
      <w:pPr>
        <w:jc w:val="center"/>
        <w:rPr>
          <w:rFonts w:cs="Times New Roman"/>
          <w:sz w:val="26"/>
          <w:szCs w:val="26"/>
        </w:rPr>
      </w:pPr>
    </w:p>
    <w:p w14:paraId="7613BA9E" w14:textId="182B62F9" w:rsidR="44BEA37C" w:rsidRPr="0083510D" w:rsidRDefault="44BEA37C" w:rsidP="00264D49">
      <w:pPr>
        <w:jc w:val="center"/>
        <w:rPr>
          <w:rFonts w:cs="Times New Roman"/>
          <w:sz w:val="26"/>
          <w:szCs w:val="26"/>
        </w:rPr>
      </w:pPr>
    </w:p>
    <w:p w14:paraId="2CDF5978" w14:textId="77777777" w:rsidR="00807003" w:rsidRPr="0083510D" w:rsidRDefault="00807003" w:rsidP="00264D49">
      <w:pPr>
        <w:jc w:val="center"/>
        <w:rPr>
          <w:rFonts w:cs="Times New Roman"/>
          <w:sz w:val="26"/>
          <w:szCs w:val="26"/>
        </w:rPr>
      </w:pPr>
    </w:p>
    <w:p w14:paraId="3CA0692A" w14:textId="77777777" w:rsidR="00FC287C" w:rsidRPr="0083510D" w:rsidRDefault="00FC287C" w:rsidP="00264D49">
      <w:pPr>
        <w:jc w:val="center"/>
        <w:rPr>
          <w:rFonts w:cs="Times New Roman"/>
          <w:sz w:val="26"/>
          <w:szCs w:val="26"/>
        </w:rPr>
      </w:pPr>
    </w:p>
    <w:p w14:paraId="70EF3D48" w14:textId="77777777" w:rsidR="00FC287C" w:rsidRPr="0083510D" w:rsidRDefault="00FC287C" w:rsidP="00264D49">
      <w:pPr>
        <w:shd w:val="clear" w:color="auto" w:fill="1DA0A7"/>
        <w:jc w:val="center"/>
        <w:rPr>
          <w:rFonts w:cs="Times New Roman"/>
          <w:b/>
          <w:bCs/>
          <w:color w:val="FFFFFF" w:themeColor="background1"/>
          <w:szCs w:val="36"/>
        </w:rPr>
      </w:pPr>
      <w:r w:rsidRPr="0083510D">
        <w:rPr>
          <w:rFonts w:cs="Times New Roman"/>
          <w:b/>
          <w:bCs/>
          <w:color w:val="FFFFFF" w:themeColor="background1"/>
          <w:szCs w:val="36"/>
        </w:rPr>
        <w:t>Saturs</w:t>
      </w:r>
    </w:p>
    <w:p w14:paraId="250EE8DF" w14:textId="77777777" w:rsidR="00FC287C" w:rsidRPr="0083510D" w:rsidRDefault="00FC287C" w:rsidP="00264D49">
      <w:pPr>
        <w:jc w:val="center"/>
        <w:rPr>
          <w:rFonts w:cs="Times New Roman"/>
          <w:sz w:val="8"/>
          <w:szCs w:val="32"/>
        </w:rPr>
      </w:pPr>
    </w:p>
    <w:p w14:paraId="48087446" w14:textId="77777777" w:rsidR="00FC287C" w:rsidRPr="0083510D" w:rsidRDefault="00FC287C" w:rsidP="00264D49">
      <w:pPr>
        <w:jc w:val="center"/>
        <w:rPr>
          <w:rFonts w:cs="Times New Roman"/>
          <w:szCs w:val="32"/>
        </w:rPr>
      </w:pPr>
    </w:p>
    <w:sdt>
      <w:sdtPr>
        <w:rPr>
          <w:rFonts w:ascii="Times New Roman" w:eastAsiaTheme="minorHAnsi" w:hAnsi="Times New Roman" w:cs="Times New Roman"/>
          <w:color w:val="auto"/>
          <w:sz w:val="28"/>
          <w:szCs w:val="22"/>
          <w:lang w:val="lv-LV"/>
        </w:rPr>
        <w:id w:val="1130984410"/>
        <w:docPartObj>
          <w:docPartGallery w:val="Table of Contents"/>
          <w:docPartUnique/>
        </w:docPartObj>
      </w:sdtPr>
      <w:sdtEndPr>
        <w:rPr>
          <w:b/>
          <w:bCs/>
          <w:noProof/>
        </w:rPr>
      </w:sdtEndPr>
      <w:sdtContent>
        <w:p w14:paraId="0761834A" w14:textId="77777777" w:rsidR="00DE0F41" w:rsidRPr="0083510D" w:rsidRDefault="00DE0F41" w:rsidP="00C568D4">
          <w:pPr>
            <w:pStyle w:val="TOCHeading"/>
            <w:spacing w:before="0"/>
            <w:rPr>
              <w:rFonts w:ascii="Times New Roman" w:hAnsi="Times New Roman" w:cs="Times New Roman"/>
            </w:rPr>
          </w:pPr>
        </w:p>
        <w:p w14:paraId="64106DB6" w14:textId="4496C04B" w:rsidR="0000518F" w:rsidRDefault="00DE0F41">
          <w:pPr>
            <w:pStyle w:val="TOC1"/>
            <w:tabs>
              <w:tab w:val="right" w:leader="dot" w:pos="9771"/>
            </w:tabs>
            <w:rPr>
              <w:rFonts w:asciiTheme="minorHAnsi" w:eastAsiaTheme="minorEastAsia" w:hAnsiTheme="minorHAnsi"/>
              <w:noProof/>
              <w:sz w:val="22"/>
              <w:lang w:eastAsia="lv-LV"/>
            </w:rPr>
          </w:pPr>
          <w:r w:rsidRPr="0083510D">
            <w:rPr>
              <w:rFonts w:cs="Times New Roman"/>
            </w:rPr>
            <w:fldChar w:fldCharType="begin"/>
          </w:r>
          <w:r w:rsidRPr="0083510D">
            <w:rPr>
              <w:rFonts w:cs="Times New Roman"/>
            </w:rPr>
            <w:instrText xml:space="preserve"> TOC \o "1-3" \h \z \u </w:instrText>
          </w:r>
          <w:r w:rsidRPr="0083510D">
            <w:rPr>
              <w:rFonts w:cs="Times New Roman"/>
            </w:rPr>
            <w:fldChar w:fldCharType="separate"/>
          </w:r>
          <w:hyperlink w:anchor="_Toc47359867" w:history="1">
            <w:r w:rsidR="0000518F" w:rsidRPr="00815528">
              <w:rPr>
                <w:rStyle w:val="Hyperlink"/>
                <w:noProof/>
                <w:shd w:val="clear" w:color="auto" w:fill="009999"/>
              </w:rPr>
              <w:t>Ievads</w:t>
            </w:r>
            <w:r w:rsidR="0000518F">
              <w:rPr>
                <w:noProof/>
                <w:webHidden/>
              </w:rPr>
              <w:tab/>
            </w:r>
            <w:r w:rsidR="0000518F">
              <w:rPr>
                <w:noProof/>
                <w:webHidden/>
              </w:rPr>
              <w:fldChar w:fldCharType="begin"/>
            </w:r>
            <w:r w:rsidR="0000518F">
              <w:rPr>
                <w:noProof/>
                <w:webHidden/>
              </w:rPr>
              <w:instrText xml:space="preserve"> PAGEREF _Toc47359867 \h </w:instrText>
            </w:r>
            <w:r w:rsidR="0000518F">
              <w:rPr>
                <w:noProof/>
                <w:webHidden/>
              </w:rPr>
            </w:r>
            <w:r w:rsidR="0000518F">
              <w:rPr>
                <w:noProof/>
                <w:webHidden/>
              </w:rPr>
              <w:fldChar w:fldCharType="separate"/>
            </w:r>
            <w:r w:rsidR="0000518F">
              <w:rPr>
                <w:noProof/>
                <w:webHidden/>
              </w:rPr>
              <w:t>3</w:t>
            </w:r>
            <w:r w:rsidR="0000518F">
              <w:rPr>
                <w:noProof/>
                <w:webHidden/>
              </w:rPr>
              <w:fldChar w:fldCharType="end"/>
            </w:r>
          </w:hyperlink>
        </w:p>
        <w:p w14:paraId="654DC8D7" w14:textId="5C332FEF" w:rsidR="0000518F" w:rsidRDefault="000D3F91">
          <w:pPr>
            <w:pStyle w:val="TOC1"/>
            <w:tabs>
              <w:tab w:val="right" w:leader="dot" w:pos="9771"/>
            </w:tabs>
            <w:rPr>
              <w:rFonts w:asciiTheme="minorHAnsi" w:eastAsiaTheme="minorEastAsia" w:hAnsiTheme="minorHAnsi"/>
              <w:noProof/>
              <w:sz w:val="22"/>
              <w:lang w:eastAsia="lv-LV"/>
            </w:rPr>
          </w:pPr>
          <w:hyperlink w:anchor="_Toc47359868" w:history="1">
            <w:r w:rsidR="0000518F" w:rsidRPr="00815528">
              <w:rPr>
                <w:rStyle w:val="Hyperlink"/>
                <w:noProof/>
              </w:rPr>
              <w:t>1. Makroekonomiskais apskats</w:t>
            </w:r>
            <w:r w:rsidR="0000518F">
              <w:rPr>
                <w:noProof/>
                <w:webHidden/>
              </w:rPr>
              <w:tab/>
            </w:r>
            <w:r w:rsidR="0000518F">
              <w:rPr>
                <w:noProof/>
                <w:webHidden/>
              </w:rPr>
              <w:fldChar w:fldCharType="begin"/>
            </w:r>
            <w:r w:rsidR="0000518F">
              <w:rPr>
                <w:noProof/>
                <w:webHidden/>
              </w:rPr>
              <w:instrText xml:space="preserve"> PAGEREF _Toc47359868 \h </w:instrText>
            </w:r>
            <w:r w:rsidR="0000518F">
              <w:rPr>
                <w:noProof/>
                <w:webHidden/>
              </w:rPr>
            </w:r>
            <w:r w:rsidR="0000518F">
              <w:rPr>
                <w:noProof/>
                <w:webHidden/>
              </w:rPr>
              <w:fldChar w:fldCharType="separate"/>
            </w:r>
            <w:r w:rsidR="0000518F">
              <w:rPr>
                <w:noProof/>
                <w:webHidden/>
              </w:rPr>
              <w:t>5</w:t>
            </w:r>
            <w:r w:rsidR="0000518F">
              <w:rPr>
                <w:noProof/>
                <w:webHidden/>
              </w:rPr>
              <w:fldChar w:fldCharType="end"/>
            </w:r>
          </w:hyperlink>
        </w:p>
        <w:p w14:paraId="741EC541" w14:textId="54A88A88" w:rsidR="0000518F" w:rsidRDefault="000D3F91">
          <w:pPr>
            <w:pStyle w:val="TOC2"/>
            <w:tabs>
              <w:tab w:val="right" w:leader="dot" w:pos="9771"/>
            </w:tabs>
            <w:rPr>
              <w:rFonts w:asciiTheme="minorHAnsi" w:eastAsiaTheme="minorEastAsia" w:hAnsiTheme="minorHAnsi"/>
              <w:noProof/>
              <w:sz w:val="22"/>
              <w:lang w:eastAsia="lv-LV"/>
            </w:rPr>
          </w:pPr>
          <w:hyperlink w:anchor="_Toc47359869" w:history="1">
            <w:r w:rsidR="0000518F" w:rsidRPr="00815528">
              <w:rPr>
                <w:rStyle w:val="Hyperlink"/>
                <w:rFonts w:cs="Times New Roman"/>
                <w:b/>
                <w:noProof/>
              </w:rPr>
              <w:t>1.1.Eksports</w:t>
            </w:r>
            <w:r w:rsidR="0000518F">
              <w:rPr>
                <w:noProof/>
                <w:webHidden/>
              </w:rPr>
              <w:tab/>
            </w:r>
            <w:r w:rsidR="0000518F">
              <w:rPr>
                <w:noProof/>
                <w:webHidden/>
              </w:rPr>
              <w:fldChar w:fldCharType="begin"/>
            </w:r>
            <w:r w:rsidR="0000518F">
              <w:rPr>
                <w:noProof/>
                <w:webHidden/>
              </w:rPr>
              <w:instrText xml:space="preserve"> PAGEREF _Toc47359869 \h </w:instrText>
            </w:r>
            <w:r w:rsidR="0000518F">
              <w:rPr>
                <w:noProof/>
                <w:webHidden/>
              </w:rPr>
            </w:r>
            <w:r w:rsidR="0000518F">
              <w:rPr>
                <w:noProof/>
                <w:webHidden/>
              </w:rPr>
              <w:fldChar w:fldCharType="separate"/>
            </w:r>
            <w:r w:rsidR="0000518F">
              <w:rPr>
                <w:noProof/>
                <w:webHidden/>
              </w:rPr>
              <w:t>6</w:t>
            </w:r>
            <w:r w:rsidR="0000518F">
              <w:rPr>
                <w:noProof/>
                <w:webHidden/>
              </w:rPr>
              <w:fldChar w:fldCharType="end"/>
            </w:r>
          </w:hyperlink>
        </w:p>
        <w:p w14:paraId="5B82570E" w14:textId="20FFF103" w:rsidR="0000518F" w:rsidRDefault="000D3F91">
          <w:pPr>
            <w:pStyle w:val="TOC2"/>
            <w:tabs>
              <w:tab w:val="right" w:leader="dot" w:pos="9771"/>
            </w:tabs>
            <w:rPr>
              <w:rFonts w:asciiTheme="minorHAnsi" w:eastAsiaTheme="minorEastAsia" w:hAnsiTheme="minorHAnsi"/>
              <w:noProof/>
              <w:sz w:val="22"/>
              <w:lang w:eastAsia="lv-LV"/>
            </w:rPr>
          </w:pPr>
          <w:hyperlink w:anchor="_Toc47359870" w:history="1">
            <w:r w:rsidR="0000518F" w:rsidRPr="00815528">
              <w:rPr>
                <w:rStyle w:val="Hyperlink"/>
                <w:rFonts w:cs="Times New Roman"/>
                <w:b/>
                <w:noProof/>
              </w:rPr>
              <w:t>1.2. Produktivitātes un konkurētspējas raksturojums</w:t>
            </w:r>
            <w:r w:rsidR="0000518F">
              <w:rPr>
                <w:noProof/>
                <w:webHidden/>
              </w:rPr>
              <w:tab/>
            </w:r>
            <w:r w:rsidR="0000518F">
              <w:rPr>
                <w:noProof/>
                <w:webHidden/>
              </w:rPr>
              <w:fldChar w:fldCharType="begin"/>
            </w:r>
            <w:r w:rsidR="0000518F">
              <w:rPr>
                <w:noProof/>
                <w:webHidden/>
              </w:rPr>
              <w:instrText xml:space="preserve"> PAGEREF _Toc47359870 \h </w:instrText>
            </w:r>
            <w:r w:rsidR="0000518F">
              <w:rPr>
                <w:noProof/>
                <w:webHidden/>
              </w:rPr>
            </w:r>
            <w:r w:rsidR="0000518F">
              <w:rPr>
                <w:noProof/>
                <w:webHidden/>
              </w:rPr>
              <w:fldChar w:fldCharType="separate"/>
            </w:r>
            <w:r w:rsidR="0000518F">
              <w:rPr>
                <w:noProof/>
                <w:webHidden/>
              </w:rPr>
              <w:t>7</w:t>
            </w:r>
            <w:r w:rsidR="0000518F">
              <w:rPr>
                <w:noProof/>
                <w:webHidden/>
              </w:rPr>
              <w:fldChar w:fldCharType="end"/>
            </w:r>
          </w:hyperlink>
        </w:p>
        <w:p w14:paraId="3252AB73" w14:textId="7DD4C9E9" w:rsidR="0000518F" w:rsidRDefault="000D3F91">
          <w:pPr>
            <w:pStyle w:val="TOC2"/>
            <w:tabs>
              <w:tab w:val="right" w:leader="dot" w:pos="9771"/>
            </w:tabs>
            <w:rPr>
              <w:rFonts w:asciiTheme="minorHAnsi" w:eastAsiaTheme="minorEastAsia" w:hAnsiTheme="minorHAnsi"/>
              <w:noProof/>
              <w:sz w:val="22"/>
              <w:lang w:eastAsia="lv-LV"/>
            </w:rPr>
          </w:pPr>
          <w:hyperlink w:anchor="_Toc47359871" w:history="1">
            <w:r w:rsidR="0000518F" w:rsidRPr="00815528">
              <w:rPr>
                <w:rStyle w:val="Hyperlink"/>
                <w:rFonts w:cs="Times New Roman"/>
                <w:b/>
                <w:noProof/>
              </w:rPr>
              <w:t>1.3. Ārvalstu tiešās investīcijas</w:t>
            </w:r>
            <w:r w:rsidR="0000518F">
              <w:rPr>
                <w:noProof/>
                <w:webHidden/>
              </w:rPr>
              <w:tab/>
            </w:r>
            <w:r w:rsidR="0000518F">
              <w:rPr>
                <w:noProof/>
                <w:webHidden/>
              </w:rPr>
              <w:fldChar w:fldCharType="begin"/>
            </w:r>
            <w:r w:rsidR="0000518F">
              <w:rPr>
                <w:noProof/>
                <w:webHidden/>
              </w:rPr>
              <w:instrText xml:space="preserve"> PAGEREF _Toc47359871 \h </w:instrText>
            </w:r>
            <w:r w:rsidR="0000518F">
              <w:rPr>
                <w:noProof/>
                <w:webHidden/>
              </w:rPr>
            </w:r>
            <w:r w:rsidR="0000518F">
              <w:rPr>
                <w:noProof/>
                <w:webHidden/>
              </w:rPr>
              <w:fldChar w:fldCharType="separate"/>
            </w:r>
            <w:r w:rsidR="0000518F">
              <w:rPr>
                <w:noProof/>
                <w:webHidden/>
              </w:rPr>
              <w:t>8</w:t>
            </w:r>
            <w:r w:rsidR="0000518F">
              <w:rPr>
                <w:noProof/>
                <w:webHidden/>
              </w:rPr>
              <w:fldChar w:fldCharType="end"/>
            </w:r>
          </w:hyperlink>
        </w:p>
        <w:p w14:paraId="28881BD1" w14:textId="620358AA" w:rsidR="0000518F" w:rsidRDefault="000D3F91">
          <w:pPr>
            <w:pStyle w:val="TOC2"/>
            <w:tabs>
              <w:tab w:val="right" w:leader="dot" w:pos="9771"/>
            </w:tabs>
            <w:rPr>
              <w:rFonts w:asciiTheme="minorHAnsi" w:eastAsiaTheme="minorEastAsia" w:hAnsiTheme="minorHAnsi"/>
              <w:noProof/>
              <w:sz w:val="22"/>
              <w:lang w:eastAsia="lv-LV"/>
            </w:rPr>
          </w:pPr>
          <w:hyperlink w:anchor="_Toc47359872" w:history="1">
            <w:r w:rsidR="0000518F" w:rsidRPr="00815528">
              <w:rPr>
                <w:rStyle w:val="Hyperlink"/>
                <w:rFonts w:cs="Times New Roman"/>
                <w:b/>
                <w:noProof/>
              </w:rPr>
              <w:t>1.4. Šķēršļi, kas kavē ārvalstu investīciju ienākšanu Latvijā</w:t>
            </w:r>
            <w:r w:rsidR="0000518F">
              <w:rPr>
                <w:noProof/>
                <w:webHidden/>
              </w:rPr>
              <w:tab/>
            </w:r>
            <w:r w:rsidR="0000518F">
              <w:rPr>
                <w:noProof/>
                <w:webHidden/>
              </w:rPr>
              <w:fldChar w:fldCharType="begin"/>
            </w:r>
            <w:r w:rsidR="0000518F">
              <w:rPr>
                <w:noProof/>
                <w:webHidden/>
              </w:rPr>
              <w:instrText xml:space="preserve"> PAGEREF _Toc47359872 \h </w:instrText>
            </w:r>
            <w:r w:rsidR="0000518F">
              <w:rPr>
                <w:noProof/>
                <w:webHidden/>
              </w:rPr>
            </w:r>
            <w:r w:rsidR="0000518F">
              <w:rPr>
                <w:noProof/>
                <w:webHidden/>
              </w:rPr>
              <w:fldChar w:fldCharType="separate"/>
            </w:r>
            <w:r w:rsidR="0000518F">
              <w:rPr>
                <w:noProof/>
                <w:webHidden/>
              </w:rPr>
              <w:t>9</w:t>
            </w:r>
            <w:r w:rsidR="0000518F">
              <w:rPr>
                <w:noProof/>
                <w:webHidden/>
              </w:rPr>
              <w:fldChar w:fldCharType="end"/>
            </w:r>
          </w:hyperlink>
        </w:p>
        <w:p w14:paraId="089FEDE1" w14:textId="44FCAB48" w:rsidR="0000518F" w:rsidRDefault="000D3F91">
          <w:pPr>
            <w:pStyle w:val="TOC1"/>
            <w:tabs>
              <w:tab w:val="right" w:leader="dot" w:pos="9771"/>
            </w:tabs>
            <w:rPr>
              <w:rFonts w:asciiTheme="minorHAnsi" w:eastAsiaTheme="minorEastAsia" w:hAnsiTheme="minorHAnsi"/>
              <w:noProof/>
              <w:sz w:val="22"/>
              <w:lang w:eastAsia="lv-LV"/>
            </w:rPr>
          </w:pPr>
          <w:hyperlink w:anchor="_Toc47359873" w:history="1">
            <w:r w:rsidR="0000518F" w:rsidRPr="00815528">
              <w:rPr>
                <w:rStyle w:val="Hyperlink"/>
                <w:noProof/>
              </w:rPr>
              <w:t>2. Pamatnostādnēs noteikto rezultatīvo rādītāju izpildes novērtējums</w:t>
            </w:r>
            <w:r w:rsidR="0000518F">
              <w:rPr>
                <w:noProof/>
                <w:webHidden/>
              </w:rPr>
              <w:tab/>
            </w:r>
            <w:r w:rsidR="0000518F">
              <w:rPr>
                <w:noProof/>
                <w:webHidden/>
              </w:rPr>
              <w:fldChar w:fldCharType="begin"/>
            </w:r>
            <w:r w:rsidR="0000518F">
              <w:rPr>
                <w:noProof/>
                <w:webHidden/>
              </w:rPr>
              <w:instrText xml:space="preserve"> PAGEREF _Toc47359873 \h </w:instrText>
            </w:r>
            <w:r w:rsidR="0000518F">
              <w:rPr>
                <w:noProof/>
                <w:webHidden/>
              </w:rPr>
            </w:r>
            <w:r w:rsidR="0000518F">
              <w:rPr>
                <w:noProof/>
                <w:webHidden/>
              </w:rPr>
              <w:fldChar w:fldCharType="separate"/>
            </w:r>
            <w:r w:rsidR="0000518F">
              <w:rPr>
                <w:noProof/>
                <w:webHidden/>
              </w:rPr>
              <w:t>13</w:t>
            </w:r>
            <w:r w:rsidR="0000518F">
              <w:rPr>
                <w:noProof/>
                <w:webHidden/>
              </w:rPr>
              <w:fldChar w:fldCharType="end"/>
            </w:r>
          </w:hyperlink>
        </w:p>
        <w:p w14:paraId="7A75991E" w14:textId="23C472E0" w:rsidR="0000518F" w:rsidRDefault="000D3F91">
          <w:pPr>
            <w:pStyle w:val="TOC1"/>
            <w:tabs>
              <w:tab w:val="right" w:leader="dot" w:pos="9771"/>
            </w:tabs>
            <w:rPr>
              <w:rFonts w:asciiTheme="minorHAnsi" w:eastAsiaTheme="minorEastAsia" w:hAnsiTheme="minorHAnsi"/>
              <w:noProof/>
              <w:sz w:val="22"/>
              <w:lang w:eastAsia="lv-LV"/>
            </w:rPr>
          </w:pPr>
          <w:hyperlink w:anchor="_Toc47359874" w:history="1">
            <w:r w:rsidR="0000518F" w:rsidRPr="00815528">
              <w:rPr>
                <w:rStyle w:val="Hyperlink"/>
                <w:noProof/>
              </w:rPr>
              <w:t>3. Investīciju veicināšanas un eksporta piesaistes politika</w:t>
            </w:r>
            <w:r w:rsidR="0000518F">
              <w:rPr>
                <w:noProof/>
                <w:webHidden/>
              </w:rPr>
              <w:tab/>
            </w:r>
            <w:r w:rsidR="0000518F">
              <w:rPr>
                <w:noProof/>
                <w:webHidden/>
              </w:rPr>
              <w:fldChar w:fldCharType="begin"/>
            </w:r>
            <w:r w:rsidR="0000518F">
              <w:rPr>
                <w:noProof/>
                <w:webHidden/>
              </w:rPr>
              <w:instrText xml:space="preserve"> PAGEREF _Toc47359874 \h </w:instrText>
            </w:r>
            <w:r w:rsidR="0000518F">
              <w:rPr>
                <w:noProof/>
                <w:webHidden/>
              </w:rPr>
            </w:r>
            <w:r w:rsidR="0000518F">
              <w:rPr>
                <w:noProof/>
                <w:webHidden/>
              </w:rPr>
              <w:fldChar w:fldCharType="separate"/>
            </w:r>
            <w:r w:rsidR="0000518F">
              <w:rPr>
                <w:noProof/>
                <w:webHidden/>
              </w:rPr>
              <w:t>17</w:t>
            </w:r>
            <w:r w:rsidR="0000518F">
              <w:rPr>
                <w:noProof/>
                <w:webHidden/>
              </w:rPr>
              <w:fldChar w:fldCharType="end"/>
            </w:r>
          </w:hyperlink>
        </w:p>
        <w:p w14:paraId="0C7FFF93" w14:textId="00C1AE39" w:rsidR="0000518F" w:rsidRDefault="000D3F91">
          <w:pPr>
            <w:pStyle w:val="TOC2"/>
            <w:tabs>
              <w:tab w:val="right" w:leader="dot" w:pos="9771"/>
            </w:tabs>
            <w:rPr>
              <w:rFonts w:asciiTheme="minorHAnsi" w:eastAsiaTheme="minorEastAsia" w:hAnsiTheme="minorHAnsi"/>
              <w:noProof/>
              <w:sz w:val="22"/>
              <w:lang w:eastAsia="lv-LV"/>
            </w:rPr>
          </w:pPr>
          <w:hyperlink w:anchor="_Toc47359875" w:history="1">
            <w:r w:rsidR="0000518F" w:rsidRPr="00815528">
              <w:rPr>
                <w:rStyle w:val="Hyperlink"/>
                <w:rFonts w:cs="Times New Roman"/>
                <w:b/>
                <w:noProof/>
              </w:rPr>
              <w:t>3.</w:t>
            </w:r>
            <w:r w:rsidR="0000518F" w:rsidRPr="00815528">
              <w:rPr>
                <w:rStyle w:val="Hyperlink"/>
                <w:rFonts w:cs="Times New Roman"/>
                <w:b/>
                <w:bCs/>
                <w:noProof/>
              </w:rPr>
              <w:t>1</w:t>
            </w:r>
            <w:r w:rsidR="0000518F" w:rsidRPr="00815528">
              <w:rPr>
                <w:rStyle w:val="Hyperlink"/>
                <w:rFonts w:cs="Times New Roman"/>
                <w:b/>
                <w:noProof/>
              </w:rPr>
              <w:t>. Eksporta atbalsta instrumenti</w:t>
            </w:r>
            <w:r w:rsidR="0000518F">
              <w:rPr>
                <w:noProof/>
                <w:webHidden/>
              </w:rPr>
              <w:tab/>
            </w:r>
            <w:r w:rsidR="0000518F">
              <w:rPr>
                <w:noProof/>
                <w:webHidden/>
              </w:rPr>
              <w:fldChar w:fldCharType="begin"/>
            </w:r>
            <w:r w:rsidR="0000518F">
              <w:rPr>
                <w:noProof/>
                <w:webHidden/>
              </w:rPr>
              <w:instrText xml:space="preserve"> PAGEREF _Toc47359875 \h </w:instrText>
            </w:r>
            <w:r w:rsidR="0000518F">
              <w:rPr>
                <w:noProof/>
                <w:webHidden/>
              </w:rPr>
            </w:r>
            <w:r w:rsidR="0000518F">
              <w:rPr>
                <w:noProof/>
                <w:webHidden/>
              </w:rPr>
              <w:fldChar w:fldCharType="separate"/>
            </w:r>
            <w:r w:rsidR="0000518F">
              <w:rPr>
                <w:noProof/>
                <w:webHidden/>
              </w:rPr>
              <w:t>18</w:t>
            </w:r>
            <w:r w:rsidR="0000518F">
              <w:rPr>
                <w:noProof/>
                <w:webHidden/>
              </w:rPr>
              <w:fldChar w:fldCharType="end"/>
            </w:r>
          </w:hyperlink>
        </w:p>
        <w:p w14:paraId="257C5EA1" w14:textId="6CE3B434" w:rsidR="0000518F" w:rsidRDefault="000D3F91">
          <w:pPr>
            <w:pStyle w:val="TOC2"/>
            <w:tabs>
              <w:tab w:val="right" w:leader="dot" w:pos="9771"/>
            </w:tabs>
            <w:rPr>
              <w:rFonts w:asciiTheme="minorHAnsi" w:eastAsiaTheme="minorEastAsia" w:hAnsiTheme="minorHAnsi"/>
              <w:noProof/>
              <w:sz w:val="22"/>
              <w:lang w:eastAsia="lv-LV"/>
            </w:rPr>
          </w:pPr>
          <w:hyperlink w:anchor="_Toc47359876" w:history="1">
            <w:r w:rsidR="0000518F" w:rsidRPr="00815528">
              <w:rPr>
                <w:rStyle w:val="Hyperlink"/>
                <w:rFonts w:cs="Times New Roman"/>
                <w:b/>
                <w:noProof/>
              </w:rPr>
              <w:t>3.</w:t>
            </w:r>
            <w:r w:rsidR="0000518F" w:rsidRPr="00815528">
              <w:rPr>
                <w:rStyle w:val="Hyperlink"/>
                <w:rFonts w:cs="Times New Roman"/>
                <w:b/>
                <w:bCs/>
                <w:noProof/>
              </w:rPr>
              <w:t>2</w:t>
            </w:r>
            <w:r w:rsidR="0000518F" w:rsidRPr="00815528">
              <w:rPr>
                <w:rStyle w:val="Hyperlink"/>
                <w:rFonts w:cs="Times New Roman"/>
                <w:b/>
                <w:noProof/>
              </w:rPr>
              <w:t>. Ārvalstu investīciju piesaistes mērķa nozares</w:t>
            </w:r>
            <w:r w:rsidR="0000518F">
              <w:rPr>
                <w:noProof/>
                <w:webHidden/>
              </w:rPr>
              <w:tab/>
            </w:r>
            <w:r w:rsidR="0000518F">
              <w:rPr>
                <w:noProof/>
                <w:webHidden/>
              </w:rPr>
              <w:fldChar w:fldCharType="begin"/>
            </w:r>
            <w:r w:rsidR="0000518F">
              <w:rPr>
                <w:noProof/>
                <w:webHidden/>
              </w:rPr>
              <w:instrText xml:space="preserve"> PAGEREF _Toc47359876 \h </w:instrText>
            </w:r>
            <w:r w:rsidR="0000518F">
              <w:rPr>
                <w:noProof/>
                <w:webHidden/>
              </w:rPr>
            </w:r>
            <w:r w:rsidR="0000518F">
              <w:rPr>
                <w:noProof/>
                <w:webHidden/>
              </w:rPr>
              <w:fldChar w:fldCharType="separate"/>
            </w:r>
            <w:r w:rsidR="0000518F">
              <w:rPr>
                <w:noProof/>
                <w:webHidden/>
              </w:rPr>
              <w:t>18</w:t>
            </w:r>
            <w:r w:rsidR="0000518F">
              <w:rPr>
                <w:noProof/>
                <w:webHidden/>
              </w:rPr>
              <w:fldChar w:fldCharType="end"/>
            </w:r>
          </w:hyperlink>
        </w:p>
        <w:p w14:paraId="2F47111E" w14:textId="74A09CE3" w:rsidR="0000518F" w:rsidRDefault="000D3F91">
          <w:pPr>
            <w:pStyle w:val="TOC2"/>
            <w:tabs>
              <w:tab w:val="right" w:leader="dot" w:pos="9771"/>
            </w:tabs>
            <w:rPr>
              <w:rFonts w:asciiTheme="minorHAnsi" w:eastAsiaTheme="minorEastAsia" w:hAnsiTheme="minorHAnsi"/>
              <w:noProof/>
              <w:sz w:val="22"/>
              <w:lang w:eastAsia="lv-LV"/>
            </w:rPr>
          </w:pPr>
          <w:hyperlink w:anchor="_Toc47359877" w:history="1">
            <w:r w:rsidR="0000518F" w:rsidRPr="00815528">
              <w:rPr>
                <w:rStyle w:val="Hyperlink"/>
                <w:rFonts w:cs="Times New Roman"/>
                <w:b/>
                <w:noProof/>
              </w:rPr>
              <w:t>3.</w:t>
            </w:r>
            <w:r w:rsidR="0000518F" w:rsidRPr="00815528">
              <w:rPr>
                <w:rStyle w:val="Hyperlink"/>
                <w:rFonts w:cs="Times New Roman"/>
                <w:b/>
                <w:bCs/>
                <w:noProof/>
              </w:rPr>
              <w:t>3</w:t>
            </w:r>
            <w:r w:rsidR="0000518F" w:rsidRPr="00815528">
              <w:rPr>
                <w:rStyle w:val="Hyperlink"/>
                <w:rFonts w:cs="Times New Roman"/>
                <w:b/>
                <w:noProof/>
              </w:rPr>
              <w:t>. Turpmākie rīcības virzieni ārvalstu tiešo investīciju piesaistē</w:t>
            </w:r>
            <w:r w:rsidR="0000518F">
              <w:rPr>
                <w:noProof/>
                <w:webHidden/>
              </w:rPr>
              <w:tab/>
            </w:r>
            <w:r w:rsidR="0000518F">
              <w:rPr>
                <w:noProof/>
                <w:webHidden/>
              </w:rPr>
              <w:fldChar w:fldCharType="begin"/>
            </w:r>
            <w:r w:rsidR="0000518F">
              <w:rPr>
                <w:noProof/>
                <w:webHidden/>
              </w:rPr>
              <w:instrText xml:space="preserve"> PAGEREF _Toc47359877 \h </w:instrText>
            </w:r>
            <w:r w:rsidR="0000518F">
              <w:rPr>
                <w:noProof/>
                <w:webHidden/>
              </w:rPr>
            </w:r>
            <w:r w:rsidR="0000518F">
              <w:rPr>
                <w:noProof/>
                <w:webHidden/>
              </w:rPr>
              <w:fldChar w:fldCharType="separate"/>
            </w:r>
            <w:r w:rsidR="0000518F">
              <w:rPr>
                <w:noProof/>
                <w:webHidden/>
              </w:rPr>
              <w:t>19</w:t>
            </w:r>
            <w:r w:rsidR="0000518F">
              <w:rPr>
                <w:noProof/>
                <w:webHidden/>
              </w:rPr>
              <w:fldChar w:fldCharType="end"/>
            </w:r>
          </w:hyperlink>
        </w:p>
        <w:p w14:paraId="54688271" w14:textId="6EE5C95A" w:rsidR="0000518F" w:rsidRDefault="000D3F91">
          <w:pPr>
            <w:pStyle w:val="TOC2"/>
            <w:tabs>
              <w:tab w:val="right" w:leader="dot" w:pos="9771"/>
            </w:tabs>
            <w:rPr>
              <w:rFonts w:asciiTheme="minorHAnsi" w:eastAsiaTheme="minorEastAsia" w:hAnsiTheme="minorHAnsi"/>
              <w:noProof/>
              <w:sz w:val="22"/>
              <w:lang w:eastAsia="lv-LV"/>
            </w:rPr>
          </w:pPr>
          <w:hyperlink w:anchor="_Toc47359878" w:history="1">
            <w:r w:rsidR="0000518F" w:rsidRPr="00815528">
              <w:rPr>
                <w:rStyle w:val="Hyperlink"/>
                <w:rFonts w:cs="Times New Roman"/>
                <w:b/>
                <w:noProof/>
              </w:rPr>
              <w:t>3.</w:t>
            </w:r>
            <w:r w:rsidR="0000518F" w:rsidRPr="00815528">
              <w:rPr>
                <w:rStyle w:val="Hyperlink"/>
                <w:rFonts w:cs="Times New Roman"/>
                <w:b/>
                <w:bCs/>
                <w:noProof/>
              </w:rPr>
              <w:t>4.</w:t>
            </w:r>
            <w:r w:rsidR="0000518F" w:rsidRPr="00815528">
              <w:rPr>
                <w:rStyle w:val="Hyperlink"/>
                <w:rFonts w:cs="Times New Roman"/>
                <w:b/>
                <w:noProof/>
              </w:rPr>
              <w:t xml:space="preserve"> Investīciju stimuli un investīciju piesaistes instrumenti</w:t>
            </w:r>
            <w:r w:rsidR="0000518F">
              <w:rPr>
                <w:noProof/>
                <w:webHidden/>
              </w:rPr>
              <w:tab/>
            </w:r>
            <w:r w:rsidR="0000518F">
              <w:rPr>
                <w:noProof/>
                <w:webHidden/>
              </w:rPr>
              <w:fldChar w:fldCharType="begin"/>
            </w:r>
            <w:r w:rsidR="0000518F">
              <w:rPr>
                <w:noProof/>
                <w:webHidden/>
              </w:rPr>
              <w:instrText xml:space="preserve"> PAGEREF _Toc47359878 \h </w:instrText>
            </w:r>
            <w:r w:rsidR="0000518F">
              <w:rPr>
                <w:noProof/>
                <w:webHidden/>
              </w:rPr>
            </w:r>
            <w:r w:rsidR="0000518F">
              <w:rPr>
                <w:noProof/>
                <w:webHidden/>
              </w:rPr>
              <w:fldChar w:fldCharType="separate"/>
            </w:r>
            <w:r w:rsidR="0000518F">
              <w:rPr>
                <w:noProof/>
                <w:webHidden/>
              </w:rPr>
              <w:t>21</w:t>
            </w:r>
            <w:r w:rsidR="0000518F">
              <w:rPr>
                <w:noProof/>
                <w:webHidden/>
              </w:rPr>
              <w:fldChar w:fldCharType="end"/>
            </w:r>
          </w:hyperlink>
        </w:p>
        <w:p w14:paraId="4860FB06" w14:textId="51D50F3C" w:rsidR="0000518F" w:rsidRDefault="000D3F91">
          <w:pPr>
            <w:pStyle w:val="TOC1"/>
            <w:tabs>
              <w:tab w:val="right" w:leader="dot" w:pos="9771"/>
            </w:tabs>
            <w:rPr>
              <w:rFonts w:asciiTheme="minorHAnsi" w:eastAsiaTheme="minorEastAsia" w:hAnsiTheme="minorHAnsi"/>
              <w:noProof/>
              <w:sz w:val="22"/>
              <w:lang w:eastAsia="lv-LV"/>
            </w:rPr>
          </w:pPr>
          <w:hyperlink w:anchor="_Toc47359879" w:history="1">
            <w:r w:rsidR="0000518F" w:rsidRPr="00815528">
              <w:rPr>
                <w:rStyle w:val="Hyperlink"/>
                <w:noProof/>
              </w:rPr>
              <w:t>4. Turpmākā rīcība, politikas plānošana</w:t>
            </w:r>
            <w:r w:rsidR="0000518F">
              <w:rPr>
                <w:noProof/>
                <w:webHidden/>
              </w:rPr>
              <w:tab/>
            </w:r>
            <w:r w:rsidR="0000518F">
              <w:rPr>
                <w:noProof/>
                <w:webHidden/>
              </w:rPr>
              <w:fldChar w:fldCharType="begin"/>
            </w:r>
            <w:r w:rsidR="0000518F">
              <w:rPr>
                <w:noProof/>
                <w:webHidden/>
              </w:rPr>
              <w:instrText xml:space="preserve"> PAGEREF _Toc47359879 \h </w:instrText>
            </w:r>
            <w:r w:rsidR="0000518F">
              <w:rPr>
                <w:noProof/>
                <w:webHidden/>
              </w:rPr>
            </w:r>
            <w:r w:rsidR="0000518F">
              <w:rPr>
                <w:noProof/>
                <w:webHidden/>
              </w:rPr>
              <w:fldChar w:fldCharType="separate"/>
            </w:r>
            <w:r w:rsidR="0000518F">
              <w:rPr>
                <w:noProof/>
                <w:webHidden/>
              </w:rPr>
              <w:t>22</w:t>
            </w:r>
            <w:r w:rsidR="0000518F">
              <w:rPr>
                <w:noProof/>
                <w:webHidden/>
              </w:rPr>
              <w:fldChar w:fldCharType="end"/>
            </w:r>
          </w:hyperlink>
        </w:p>
        <w:p w14:paraId="71AE77D7" w14:textId="4B8AE414" w:rsidR="00DE0F41" w:rsidRPr="0083510D" w:rsidRDefault="00DE0F41">
          <w:pPr>
            <w:rPr>
              <w:rFonts w:cs="Times New Roman"/>
            </w:rPr>
          </w:pPr>
          <w:r w:rsidRPr="0083510D">
            <w:rPr>
              <w:rFonts w:cs="Times New Roman"/>
              <w:b/>
              <w:bCs/>
              <w:noProof/>
            </w:rPr>
            <w:fldChar w:fldCharType="end"/>
          </w:r>
        </w:p>
      </w:sdtContent>
    </w:sdt>
    <w:p w14:paraId="4D3866CB" w14:textId="77777777" w:rsidR="00FC287C" w:rsidRPr="0083510D" w:rsidRDefault="00FC287C">
      <w:pPr>
        <w:jc w:val="center"/>
        <w:rPr>
          <w:rFonts w:cs="Times New Roman"/>
          <w:szCs w:val="32"/>
        </w:rPr>
      </w:pPr>
    </w:p>
    <w:p w14:paraId="7358147C" w14:textId="77777777" w:rsidR="007B0483" w:rsidRPr="0083510D" w:rsidRDefault="007B0483">
      <w:pPr>
        <w:rPr>
          <w:rFonts w:cs="Times New Roman"/>
          <w:lang w:val="x-none" w:eastAsia="x-none"/>
        </w:rPr>
      </w:pPr>
    </w:p>
    <w:p w14:paraId="27124F96" w14:textId="77777777" w:rsidR="007B0483" w:rsidRPr="0083510D" w:rsidRDefault="007B0483">
      <w:pPr>
        <w:rPr>
          <w:rFonts w:cs="Times New Roman"/>
          <w:lang w:val="x-none" w:eastAsia="x-none"/>
        </w:rPr>
      </w:pPr>
    </w:p>
    <w:p w14:paraId="24DB615A" w14:textId="77777777" w:rsidR="007B0483" w:rsidRPr="0083510D" w:rsidRDefault="007B0483">
      <w:pPr>
        <w:rPr>
          <w:rFonts w:cs="Times New Roman"/>
          <w:lang w:val="x-none" w:eastAsia="x-none"/>
        </w:rPr>
      </w:pPr>
    </w:p>
    <w:p w14:paraId="1C9CAE12" w14:textId="77777777" w:rsidR="007B0483" w:rsidRPr="0083510D" w:rsidRDefault="007B0483">
      <w:pPr>
        <w:rPr>
          <w:rFonts w:cs="Times New Roman"/>
          <w:lang w:val="x-none" w:eastAsia="x-none"/>
        </w:rPr>
      </w:pPr>
    </w:p>
    <w:p w14:paraId="2BF2BCC9" w14:textId="77777777" w:rsidR="007B0483" w:rsidRPr="0083510D" w:rsidRDefault="007B0483">
      <w:pPr>
        <w:rPr>
          <w:rFonts w:cs="Times New Roman"/>
          <w:lang w:val="x-none" w:eastAsia="x-none"/>
        </w:rPr>
      </w:pPr>
    </w:p>
    <w:p w14:paraId="503CD2A9" w14:textId="781D0080" w:rsidR="007B0483" w:rsidRPr="0083510D" w:rsidRDefault="007B0483">
      <w:pPr>
        <w:rPr>
          <w:rFonts w:cs="Times New Roman"/>
          <w:lang w:val="x-none" w:eastAsia="x-none"/>
        </w:rPr>
      </w:pPr>
    </w:p>
    <w:p w14:paraId="0BA91AB3" w14:textId="71720397" w:rsidR="00C568D4" w:rsidRPr="0083510D" w:rsidRDefault="00C568D4">
      <w:pPr>
        <w:rPr>
          <w:rFonts w:cs="Times New Roman"/>
          <w:lang w:val="x-none" w:eastAsia="x-none"/>
        </w:rPr>
      </w:pPr>
    </w:p>
    <w:p w14:paraId="3E00AB65" w14:textId="3ABC1F21" w:rsidR="00C568D4" w:rsidRPr="0083510D" w:rsidRDefault="00C568D4">
      <w:pPr>
        <w:rPr>
          <w:rFonts w:cs="Times New Roman"/>
          <w:lang w:val="x-none" w:eastAsia="x-none"/>
        </w:rPr>
      </w:pPr>
    </w:p>
    <w:p w14:paraId="5E02FBDE" w14:textId="33856D68" w:rsidR="00C568D4" w:rsidRPr="0083510D" w:rsidRDefault="00C568D4">
      <w:pPr>
        <w:rPr>
          <w:rFonts w:cs="Times New Roman"/>
          <w:lang w:val="x-none" w:eastAsia="x-none"/>
        </w:rPr>
      </w:pPr>
    </w:p>
    <w:p w14:paraId="20C30EFE" w14:textId="7622E270" w:rsidR="00C568D4" w:rsidRPr="0083510D" w:rsidRDefault="00C568D4">
      <w:pPr>
        <w:rPr>
          <w:rFonts w:cs="Times New Roman"/>
          <w:lang w:val="x-none" w:eastAsia="x-none"/>
        </w:rPr>
      </w:pPr>
    </w:p>
    <w:p w14:paraId="3355DD6C" w14:textId="001C4018" w:rsidR="00C568D4" w:rsidRPr="0083510D" w:rsidRDefault="00C568D4">
      <w:pPr>
        <w:rPr>
          <w:rFonts w:cs="Times New Roman"/>
          <w:lang w:val="x-none" w:eastAsia="x-none"/>
        </w:rPr>
      </w:pPr>
    </w:p>
    <w:p w14:paraId="56D3939C" w14:textId="3B5C2A19" w:rsidR="00C568D4" w:rsidRPr="0083510D" w:rsidRDefault="00C568D4">
      <w:pPr>
        <w:rPr>
          <w:rFonts w:cs="Times New Roman"/>
          <w:lang w:val="x-none" w:eastAsia="x-none"/>
        </w:rPr>
      </w:pPr>
    </w:p>
    <w:p w14:paraId="59C7D872" w14:textId="77777777" w:rsidR="0007496B" w:rsidRPr="0083510D" w:rsidRDefault="0007496B">
      <w:pPr>
        <w:rPr>
          <w:rFonts w:cs="Times New Roman"/>
          <w:lang w:val="x-none" w:eastAsia="x-none"/>
        </w:rPr>
      </w:pPr>
    </w:p>
    <w:p w14:paraId="68F78BB1" w14:textId="7BB6F3D1" w:rsidR="00C568D4" w:rsidRPr="0083510D" w:rsidRDefault="00C568D4">
      <w:pPr>
        <w:rPr>
          <w:rFonts w:cs="Times New Roman"/>
          <w:lang w:val="x-none" w:eastAsia="x-none"/>
        </w:rPr>
      </w:pPr>
    </w:p>
    <w:p w14:paraId="34B4960F" w14:textId="0EED7E1E" w:rsidR="00C568D4" w:rsidRPr="0083510D" w:rsidRDefault="00C568D4">
      <w:pPr>
        <w:rPr>
          <w:rFonts w:cs="Times New Roman"/>
          <w:lang w:val="x-none" w:eastAsia="x-none"/>
        </w:rPr>
      </w:pPr>
    </w:p>
    <w:p w14:paraId="480BEF02" w14:textId="77777777" w:rsidR="00C568D4" w:rsidRPr="0083510D" w:rsidRDefault="00C568D4">
      <w:pPr>
        <w:rPr>
          <w:rFonts w:cs="Times New Roman"/>
          <w:lang w:val="x-none" w:eastAsia="x-none"/>
        </w:rPr>
      </w:pPr>
    </w:p>
    <w:p w14:paraId="63564CFD" w14:textId="77777777" w:rsidR="007B0483" w:rsidRPr="0083510D" w:rsidRDefault="007B0483">
      <w:pPr>
        <w:rPr>
          <w:rFonts w:cs="Times New Roman"/>
          <w:lang w:val="x-none" w:eastAsia="x-none"/>
        </w:rPr>
      </w:pPr>
    </w:p>
    <w:p w14:paraId="456B76FF" w14:textId="77777777" w:rsidR="007B0483" w:rsidRPr="0083510D" w:rsidRDefault="007B0483" w:rsidP="00C568D4">
      <w:pPr>
        <w:rPr>
          <w:rFonts w:cs="Times New Roman"/>
          <w:b/>
        </w:rPr>
      </w:pPr>
    </w:p>
    <w:p w14:paraId="396F6BE4" w14:textId="77777777" w:rsidR="007B0483" w:rsidRPr="0083510D" w:rsidRDefault="007B0483">
      <w:pPr>
        <w:rPr>
          <w:rFonts w:cs="Times New Roman"/>
          <w:lang w:val="x-none" w:eastAsia="x-none"/>
        </w:rPr>
      </w:pPr>
    </w:p>
    <w:p w14:paraId="259D652C" w14:textId="77777777" w:rsidR="007B0483" w:rsidRPr="0083510D" w:rsidRDefault="007B0483" w:rsidP="00C568D4">
      <w:pPr>
        <w:rPr>
          <w:rFonts w:cs="Times New Roman"/>
        </w:rPr>
      </w:pPr>
    </w:p>
    <w:p w14:paraId="2B7D5C05" w14:textId="77777777" w:rsidR="00FC287C" w:rsidRPr="0083510D" w:rsidRDefault="00FC287C" w:rsidP="00C568D4">
      <w:pPr>
        <w:pStyle w:val="Heading1"/>
        <w:tabs>
          <w:tab w:val="right" w:leader="dot" w:pos="8789"/>
          <w:tab w:val="right" w:leader="dot" w:pos="9072"/>
          <w:tab w:val="right" w:leader="dot" w:pos="9356"/>
        </w:tabs>
        <w:spacing w:before="0"/>
        <w:rPr>
          <w:szCs w:val="24"/>
        </w:rPr>
      </w:pPr>
    </w:p>
    <w:p w14:paraId="2CEC277C" w14:textId="77777777" w:rsidR="00D06054" w:rsidRPr="0083510D" w:rsidRDefault="00FA718D" w:rsidP="00C568D4">
      <w:pPr>
        <w:pStyle w:val="Heading1"/>
        <w:shd w:val="clear" w:color="auto" w:fill="009999"/>
        <w:spacing w:before="0"/>
        <w:rPr>
          <w:color w:val="FFFFFF" w:themeColor="background1"/>
          <w:sz w:val="28"/>
        </w:rPr>
      </w:pPr>
      <w:bookmarkStart w:id="1" w:name="_Toc47359867"/>
      <w:r w:rsidRPr="0083510D">
        <w:rPr>
          <w:color w:val="FFFFFF" w:themeColor="background1"/>
          <w:sz w:val="28"/>
          <w:shd w:val="clear" w:color="auto" w:fill="009999"/>
        </w:rPr>
        <w:t>Ievads</w:t>
      </w:r>
      <w:bookmarkEnd w:id="1"/>
      <w:r w:rsidR="00694F03" w:rsidRPr="0083510D">
        <w:rPr>
          <w:color w:val="FFFFFF" w:themeColor="background1"/>
          <w:sz w:val="28"/>
        </w:rPr>
        <w:tab/>
      </w:r>
    </w:p>
    <w:p w14:paraId="7AB37B9D" w14:textId="77777777" w:rsidR="00FA718D" w:rsidRPr="0083510D" w:rsidRDefault="00FA718D">
      <w:pPr>
        <w:ind w:firstLine="426"/>
        <w:jc w:val="both"/>
        <w:rPr>
          <w:rFonts w:cs="Times New Roman"/>
          <w:sz w:val="23"/>
          <w:szCs w:val="23"/>
        </w:rPr>
      </w:pPr>
    </w:p>
    <w:p w14:paraId="529A1F62" w14:textId="68B0A9AC" w:rsidR="00CF3350" w:rsidRPr="0083510D" w:rsidRDefault="00CF3350">
      <w:pPr>
        <w:ind w:firstLine="426"/>
        <w:jc w:val="both"/>
        <w:rPr>
          <w:rFonts w:cs="Times New Roman"/>
          <w:sz w:val="24"/>
          <w:szCs w:val="24"/>
        </w:rPr>
      </w:pPr>
      <w:r w:rsidRPr="0083510D">
        <w:rPr>
          <w:rFonts w:cs="Times New Roman"/>
          <w:sz w:val="24"/>
          <w:szCs w:val="24"/>
        </w:rPr>
        <w:t>Informatīvais ziņojums “</w:t>
      </w:r>
      <w:r w:rsidR="00D26755" w:rsidRPr="0083510D">
        <w:rPr>
          <w:rFonts w:cs="Times New Roman"/>
          <w:sz w:val="24"/>
          <w:szCs w:val="24"/>
        </w:rPr>
        <w:t>Par Latvijas preču un pakalpojumu eksporta veicināšanas un ārvalstu investīciju piesaistes pamatnostādņu 2013.-2019.gadam gala novērtējumu</w:t>
      </w:r>
      <w:r w:rsidRPr="0083510D">
        <w:rPr>
          <w:rFonts w:cs="Times New Roman"/>
          <w:sz w:val="24"/>
          <w:szCs w:val="24"/>
        </w:rPr>
        <w:t xml:space="preserve">” </w:t>
      </w:r>
      <w:r w:rsidR="003E3484" w:rsidRPr="0083510D">
        <w:rPr>
          <w:rFonts w:cs="Times New Roman"/>
          <w:sz w:val="24"/>
          <w:szCs w:val="24"/>
        </w:rPr>
        <w:t xml:space="preserve">(turpmāk – </w:t>
      </w:r>
      <w:r w:rsidR="00AD23D6" w:rsidRPr="0083510D">
        <w:rPr>
          <w:rFonts w:cs="Times New Roman"/>
          <w:sz w:val="24"/>
          <w:szCs w:val="24"/>
        </w:rPr>
        <w:t>I</w:t>
      </w:r>
      <w:r w:rsidR="003E3484" w:rsidRPr="0083510D">
        <w:rPr>
          <w:rFonts w:cs="Times New Roman"/>
          <w:sz w:val="24"/>
          <w:szCs w:val="24"/>
        </w:rPr>
        <w:t xml:space="preserve">nformatīvais ziņojums) </w:t>
      </w:r>
      <w:r w:rsidRPr="0083510D">
        <w:rPr>
          <w:rFonts w:cs="Times New Roman"/>
          <w:sz w:val="24"/>
          <w:szCs w:val="24"/>
        </w:rPr>
        <w:t xml:space="preserve">sagatavots saskaņā ar </w:t>
      </w:r>
      <w:r w:rsidR="006A7EF9" w:rsidRPr="0083510D">
        <w:rPr>
          <w:rFonts w:cs="Times New Roman"/>
          <w:sz w:val="24"/>
          <w:szCs w:val="24"/>
        </w:rPr>
        <w:t xml:space="preserve">Ministru kabineta 2013.gada 17.jūnija rīkojuma Nr.249 “Par Latvijas preču un pakalpojumu eksporta veicināšanas un ārvalstu investīciju piesaistes pamatnostādnēm 2013.-2019.gadam” </w:t>
      </w:r>
      <w:r w:rsidR="0013543C" w:rsidRPr="0083510D">
        <w:rPr>
          <w:rFonts w:cs="Times New Roman"/>
          <w:sz w:val="24"/>
          <w:szCs w:val="24"/>
        </w:rPr>
        <w:t>4.2</w:t>
      </w:r>
      <w:r w:rsidR="006A7EF9" w:rsidRPr="0083510D">
        <w:rPr>
          <w:rFonts w:cs="Times New Roman"/>
          <w:sz w:val="24"/>
          <w:szCs w:val="24"/>
        </w:rPr>
        <w:t>.</w:t>
      </w:r>
      <w:r w:rsidR="0013543C" w:rsidRPr="0083510D">
        <w:rPr>
          <w:rFonts w:cs="Times New Roman"/>
          <w:sz w:val="24"/>
          <w:szCs w:val="24"/>
        </w:rPr>
        <w:t>apakš</w:t>
      </w:r>
      <w:r w:rsidR="006A7EF9" w:rsidRPr="0083510D">
        <w:rPr>
          <w:rFonts w:cs="Times New Roman"/>
          <w:sz w:val="24"/>
          <w:szCs w:val="24"/>
        </w:rPr>
        <w:t xml:space="preserve">punktā doto uzdevumu Ekonomikas ministrijai </w:t>
      </w:r>
      <w:r w:rsidR="00CA48E5" w:rsidRPr="0083510D">
        <w:rPr>
          <w:rFonts w:cs="Times New Roman"/>
          <w:sz w:val="24"/>
          <w:szCs w:val="24"/>
        </w:rPr>
        <w:t xml:space="preserve"> līdz 2020.gada 1.augustam </w:t>
      </w:r>
      <w:r w:rsidR="003E3484" w:rsidRPr="0083510D">
        <w:rPr>
          <w:rFonts w:cs="Times New Roman"/>
          <w:sz w:val="24"/>
          <w:szCs w:val="24"/>
        </w:rPr>
        <w:t xml:space="preserve">iesniegt </w:t>
      </w:r>
      <w:r w:rsidR="006A7EF9" w:rsidRPr="0083510D">
        <w:rPr>
          <w:rFonts w:cs="Times New Roman"/>
          <w:sz w:val="24"/>
          <w:szCs w:val="24"/>
        </w:rPr>
        <w:t xml:space="preserve">Ministru kabinetā informatīvo ziņojumu par </w:t>
      </w:r>
      <w:r w:rsidR="003E3484" w:rsidRPr="0083510D">
        <w:rPr>
          <w:rFonts w:cs="Times New Roman"/>
          <w:sz w:val="24"/>
          <w:szCs w:val="24"/>
        </w:rPr>
        <w:t>“</w:t>
      </w:r>
      <w:r w:rsidR="006A7EF9" w:rsidRPr="0083510D">
        <w:rPr>
          <w:rFonts w:cs="Times New Roman"/>
          <w:sz w:val="24"/>
          <w:szCs w:val="24"/>
        </w:rPr>
        <w:t>Latvijas preču un pakalpojumu eksporta veicināšanas un ārvalstu investīciju piesaistes politikas pamatnostādņu 2013.-2019.gadam</w:t>
      </w:r>
      <w:r w:rsidR="003E3484" w:rsidRPr="0083510D">
        <w:rPr>
          <w:rFonts w:cs="Times New Roman"/>
          <w:sz w:val="24"/>
          <w:szCs w:val="24"/>
        </w:rPr>
        <w:t>”</w:t>
      </w:r>
      <w:r w:rsidR="006A7EF9" w:rsidRPr="0083510D">
        <w:rPr>
          <w:rFonts w:cs="Times New Roman"/>
          <w:sz w:val="24"/>
          <w:szCs w:val="24"/>
        </w:rPr>
        <w:t xml:space="preserve"> (turpmāk – </w:t>
      </w:r>
      <w:r w:rsidR="00AD23D6" w:rsidRPr="0083510D">
        <w:rPr>
          <w:rFonts w:cs="Times New Roman"/>
          <w:sz w:val="24"/>
          <w:szCs w:val="24"/>
        </w:rPr>
        <w:t>P</w:t>
      </w:r>
      <w:r w:rsidR="006A7EF9" w:rsidRPr="0083510D">
        <w:rPr>
          <w:rFonts w:cs="Times New Roman"/>
          <w:sz w:val="24"/>
          <w:szCs w:val="24"/>
        </w:rPr>
        <w:t xml:space="preserve">amatnostādnes) </w:t>
      </w:r>
      <w:r w:rsidR="00585ACF" w:rsidRPr="0083510D">
        <w:rPr>
          <w:rFonts w:cs="Times New Roman"/>
          <w:sz w:val="24"/>
          <w:szCs w:val="24"/>
        </w:rPr>
        <w:t>gala novērtējumu</w:t>
      </w:r>
      <w:r w:rsidR="006A7EF9" w:rsidRPr="0083510D">
        <w:rPr>
          <w:rFonts w:cs="Times New Roman"/>
          <w:sz w:val="24"/>
          <w:szCs w:val="24"/>
        </w:rPr>
        <w:t xml:space="preserve">. </w:t>
      </w:r>
    </w:p>
    <w:p w14:paraId="6222F392" w14:textId="55662F3E" w:rsidR="005C7DCD" w:rsidRPr="0083510D" w:rsidRDefault="005C7DCD">
      <w:pPr>
        <w:ind w:firstLine="426"/>
        <w:jc w:val="both"/>
        <w:rPr>
          <w:rFonts w:cs="Times New Roman"/>
          <w:sz w:val="24"/>
          <w:szCs w:val="24"/>
        </w:rPr>
      </w:pPr>
      <w:r w:rsidRPr="0083510D">
        <w:rPr>
          <w:rFonts w:cs="Times New Roman"/>
          <w:sz w:val="24"/>
          <w:szCs w:val="24"/>
        </w:rPr>
        <w:t xml:space="preserve">Ņemot vārā to, ka </w:t>
      </w:r>
      <w:r w:rsidR="00BD1F15" w:rsidRPr="0083510D">
        <w:rPr>
          <w:rFonts w:cs="Times New Roman"/>
          <w:sz w:val="24"/>
          <w:szCs w:val="24"/>
        </w:rPr>
        <w:t xml:space="preserve">2017.gada </w:t>
      </w:r>
      <w:r w:rsidR="00CD1B91" w:rsidRPr="0083510D">
        <w:rPr>
          <w:rFonts w:cs="Times New Roman"/>
          <w:sz w:val="24"/>
          <w:szCs w:val="24"/>
        </w:rPr>
        <w:t xml:space="preserve">14.martā Ministru kabinetā izskatīts informatīvais ziņojums </w:t>
      </w:r>
      <w:r w:rsidR="00C437E3" w:rsidRPr="0083510D">
        <w:rPr>
          <w:rFonts w:cs="Times New Roman"/>
          <w:sz w:val="24"/>
          <w:szCs w:val="24"/>
        </w:rPr>
        <w:t>“Par Latvijas preču un pakalpojumu eksporta veicināšanas un ārvalstu investīciju piesaistes pamatnostādņu 2013.-2019.gadam īstenošanas 2013.-2015.gadā starpposma novērtējumu” (</w:t>
      </w:r>
      <w:r w:rsidR="006B3AE4" w:rsidRPr="0083510D">
        <w:rPr>
          <w:rFonts w:cs="Times New Roman"/>
          <w:sz w:val="24"/>
          <w:szCs w:val="24"/>
        </w:rPr>
        <w:t>turpmāk – starpposma novērtējums</w:t>
      </w:r>
      <w:r w:rsidR="00C437E3" w:rsidRPr="0083510D">
        <w:rPr>
          <w:rFonts w:cs="Times New Roman"/>
          <w:sz w:val="24"/>
          <w:szCs w:val="24"/>
        </w:rPr>
        <w:t>)</w:t>
      </w:r>
      <w:r w:rsidR="00A351D4" w:rsidRPr="0083510D">
        <w:rPr>
          <w:rFonts w:cs="Times New Roman"/>
          <w:sz w:val="24"/>
          <w:szCs w:val="24"/>
        </w:rPr>
        <w:t xml:space="preserve">, kurā izvērtēta </w:t>
      </w:r>
      <w:r w:rsidR="00F50ADE" w:rsidRPr="0083510D">
        <w:rPr>
          <w:rFonts w:cs="Times New Roman"/>
          <w:sz w:val="24"/>
          <w:szCs w:val="24"/>
        </w:rPr>
        <w:t>Pamatnostādņu</w:t>
      </w:r>
      <w:r w:rsidR="00A351D4" w:rsidRPr="0083510D">
        <w:rPr>
          <w:rFonts w:cs="Times New Roman"/>
          <w:sz w:val="24"/>
          <w:szCs w:val="24"/>
        </w:rPr>
        <w:t xml:space="preserve"> izpilde 2013.-2015.gada periodā, šajā informatīvajā z</w:t>
      </w:r>
      <w:r w:rsidR="00F50ADE" w:rsidRPr="0083510D">
        <w:rPr>
          <w:rFonts w:cs="Times New Roman"/>
          <w:sz w:val="24"/>
          <w:szCs w:val="24"/>
        </w:rPr>
        <w:t xml:space="preserve">iņojumā izvērtēta Pamatnostādņu izpilde par </w:t>
      </w:r>
      <w:r w:rsidR="008D7DEF" w:rsidRPr="0083510D">
        <w:rPr>
          <w:rFonts w:cs="Times New Roman"/>
          <w:sz w:val="24"/>
          <w:szCs w:val="24"/>
        </w:rPr>
        <w:t xml:space="preserve">periodu </w:t>
      </w:r>
      <w:r w:rsidR="00F50ADE" w:rsidRPr="0083510D">
        <w:rPr>
          <w:rFonts w:cs="Times New Roman"/>
          <w:sz w:val="24"/>
          <w:szCs w:val="24"/>
        </w:rPr>
        <w:t>2015.gad</w:t>
      </w:r>
      <w:r w:rsidR="008D7DEF" w:rsidRPr="0083510D">
        <w:rPr>
          <w:rFonts w:cs="Times New Roman"/>
          <w:sz w:val="24"/>
          <w:szCs w:val="24"/>
        </w:rPr>
        <w:t>a līdz 2020.gada</w:t>
      </w:r>
      <w:r w:rsidR="0026659A" w:rsidRPr="0083510D">
        <w:rPr>
          <w:rFonts w:cs="Times New Roman"/>
          <w:sz w:val="24"/>
          <w:szCs w:val="24"/>
        </w:rPr>
        <w:t xml:space="preserve"> pirmajiem mēnešiem</w:t>
      </w:r>
      <w:r w:rsidR="00965E8D" w:rsidRPr="0083510D">
        <w:rPr>
          <w:rFonts w:cs="Times New Roman"/>
          <w:sz w:val="24"/>
          <w:szCs w:val="24"/>
        </w:rPr>
        <w:t xml:space="preserve">, par atskaites punktu ņemot </w:t>
      </w:r>
      <w:r w:rsidR="00525431" w:rsidRPr="0083510D">
        <w:rPr>
          <w:rFonts w:cs="Times New Roman"/>
          <w:sz w:val="24"/>
          <w:szCs w:val="24"/>
        </w:rPr>
        <w:t>Pamatnostādņu darbības beigu termiņu, proti 2019.gadu un 2020.gada sākumu</w:t>
      </w:r>
      <w:r w:rsidR="008D7DEF" w:rsidRPr="0083510D">
        <w:rPr>
          <w:rFonts w:cs="Times New Roman"/>
          <w:sz w:val="24"/>
          <w:szCs w:val="24"/>
        </w:rPr>
        <w:t>.</w:t>
      </w:r>
    </w:p>
    <w:p w14:paraId="7DB2DB6C" w14:textId="04B90306" w:rsidR="00F446D6" w:rsidRPr="0083510D" w:rsidRDefault="003E3484">
      <w:pPr>
        <w:ind w:firstLine="426"/>
        <w:jc w:val="both"/>
        <w:rPr>
          <w:rFonts w:cs="Times New Roman"/>
          <w:sz w:val="24"/>
          <w:szCs w:val="24"/>
        </w:rPr>
      </w:pPr>
      <w:r w:rsidRPr="0083510D">
        <w:rPr>
          <w:rFonts w:cs="Times New Roman"/>
          <w:sz w:val="24"/>
          <w:szCs w:val="24"/>
        </w:rPr>
        <w:t>Pamatnostād</w:t>
      </w:r>
      <w:r w:rsidR="00E565F5" w:rsidRPr="0083510D">
        <w:rPr>
          <w:rFonts w:cs="Times New Roman"/>
          <w:sz w:val="24"/>
          <w:szCs w:val="24"/>
        </w:rPr>
        <w:t>nes</w:t>
      </w:r>
      <w:r w:rsidRPr="0083510D">
        <w:rPr>
          <w:rFonts w:cs="Times New Roman"/>
          <w:sz w:val="24"/>
          <w:szCs w:val="24"/>
        </w:rPr>
        <w:t xml:space="preserve"> </w:t>
      </w:r>
      <w:r w:rsidR="00EE2228" w:rsidRPr="0083510D">
        <w:rPr>
          <w:rFonts w:cs="Times New Roman"/>
          <w:sz w:val="24"/>
          <w:szCs w:val="24"/>
        </w:rPr>
        <w:t>tika noteikti</w:t>
      </w:r>
      <w:r w:rsidR="0083561C" w:rsidRPr="0083510D">
        <w:rPr>
          <w:rFonts w:cs="Times New Roman"/>
          <w:sz w:val="24"/>
          <w:szCs w:val="24"/>
        </w:rPr>
        <w:t xml:space="preserve"> </w:t>
      </w:r>
      <w:r w:rsidR="00E565F5" w:rsidRPr="0083510D">
        <w:rPr>
          <w:rFonts w:cs="Times New Roman"/>
          <w:sz w:val="24"/>
          <w:szCs w:val="24"/>
        </w:rPr>
        <w:t xml:space="preserve">eksporta un ārvalstu tiešo </w:t>
      </w:r>
      <w:r w:rsidR="00F446D6" w:rsidRPr="0083510D">
        <w:rPr>
          <w:rFonts w:cs="Times New Roman"/>
          <w:sz w:val="24"/>
          <w:szCs w:val="24"/>
        </w:rPr>
        <w:t>investīciju</w:t>
      </w:r>
      <w:r w:rsidR="00E565F5" w:rsidRPr="0083510D">
        <w:rPr>
          <w:rFonts w:cs="Times New Roman"/>
          <w:sz w:val="24"/>
          <w:szCs w:val="24"/>
        </w:rPr>
        <w:t xml:space="preserve"> piesaistes veicināšanas politikas </w:t>
      </w:r>
      <w:r w:rsidR="00EE2228" w:rsidRPr="0083510D">
        <w:rPr>
          <w:rFonts w:cs="Times New Roman"/>
          <w:sz w:val="24"/>
          <w:szCs w:val="24"/>
        </w:rPr>
        <w:t>galvenie mērķi</w:t>
      </w:r>
      <w:r w:rsidR="00E565F5" w:rsidRPr="0083510D">
        <w:rPr>
          <w:rFonts w:cs="Times New Roman"/>
          <w:sz w:val="24"/>
          <w:szCs w:val="24"/>
        </w:rPr>
        <w:t xml:space="preserve">, </w:t>
      </w:r>
      <w:r w:rsidR="00EE2228" w:rsidRPr="0083510D">
        <w:rPr>
          <w:rFonts w:cs="Times New Roman"/>
          <w:sz w:val="24"/>
          <w:szCs w:val="24"/>
        </w:rPr>
        <w:t xml:space="preserve">principi </w:t>
      </w:r>
      <w:r w:rsidR="00E565F5" w:rsidRPr="0083510D">
        <w:rPr>
          <w:rFonts w:cs="Times New Roman"/>
          <w:sz w:val="24"/>
          <w:szCs w:val="24"/>
        </w:rPr>
        <w:t xml:space="preserve">un rīcības </w:t>
      </w:r>
      <w:r w:rsidR="00EE2228" w:rsidRPr="0083510D">
        <w:rPr>
          <w:rFonts w:cs="Times New Roman"/>
          <w:sz w:val="24"/>
          <w:szCs w:val="24"/>
        </w:rPr>
        <w:t>virzieni</w:t>
      </w:r>
      <w:r w:rsidR="00E565F5" w:rsidRPr="0083510D">
        <w:rPr>
          <w:rFonts w:cs="Times New Roman"/>
          <w:sz w:val="24"/>
          <w:szCs w:val="24"/>
        </w:rPr>
        <w:t>, veidojot</w:t>
      </w:r>
      <w:r w:rsidRPr="0083510D">
        <w:rPr>
          <w:rFonts w:cs="Times New Roman"/>
          <w:sz w:val="24"/>
          <w:szCs w:val="24"/>
        </w:rPr>
        <w:t xml:space="preserve"> vienotu, dinamisku, uz ciešu sadarbību balstītu eksporta veicināšanas un investīciju piesaistes procesu, kurā ar noteiktu atbildību un kompetenci darbojas visas iesaistītās puses – valsts institūcijas, privātais sektors, pašvaldības un zinātniskās institūcijas.</w:t>
      </w:r>
      <w:r w:rsidR="00AD23D6" w:rsidRPr="0083510D">
        <w:rPr>
          <w:rFonts w:cs="Times New Roman"/>
          <w:sz w:val="24"/>
          <w:szCs w:val="24"/>
        </w:rPr>
        <w:t xml:space="preserve"> </w:t>
      </w:r>
    </w:p>
    <w:p w14:paraId="5198C2DB" w14:textId="77777777" w:rsidR="003E3484" w:rsidRPr="0083510D" w:rsidRDefault="00AD23D6">
      <w:pPr>
        <w:ind w:firstLine="426"/>
        <w:jc w:val="both"/>
        <w:rPr>
          <w:rFonts w:cs="Times New Roman"/>
          <w:sz w:val="24"/>
          <w:szCs w:val="24"/>
        </w:rPr>
      </w:pPr>
      <w:r w:rsidRPr="0083510D">
        <w:rPr>
          <w:rFonts w:cs="Times New Roman"/>
          <w:sz w:val="24"/>
          <w:szCs w:val="24"/>
        </w:rPr>
        <w:t>No tā izriet P</w:t>
      </w:r>
      <w:r w:rsidR="00E565F5" w:rsidRPr="0083510D">
        <w:rPr>
          <w:rFonts w:cs="Times New Roman"/>
          <w:sz w:val="24"/>
          <w:szCs w:val="24"/>
        </w:rPr>
        <w:t>amatnostādņu mērķis: uzlabot Latvijas tautsaimniecības konkurētspēju atvērtos produktu tirgos</w:t>
      </w:r>
      <w:r w:rsidR="00E45CD5" w:rsidRPr="0083510D">
        <w:rPr>
          <w:rFonts w:cs="Times New Roman"/>
          <w:sz w:val="24"/>
          <w:szCs w:val="24"/>
        </w:rPr>
        <w:t xml:space="preserve">, pirmkārt, sekmējot augsto un vidēji augsto tehnoloģiju nozaru </w:t>
      </w:r>
      <w:r w:rsidR="001112A0" w:rsidRPr="0083510D">
        <w:rPr>
          <w:rFonts w:cs="Times New Roman"/>
          <w:sz w:val="24"/>
          <w:szCs w:val="24"/>
        </w:rPr>
        <w:t xml:space="preserve">produkcijas </w:t>
      </w:r>
      <w:r w:rsidR="00E45CD5" w:rsidRPr="0083510D">
        <w:rPr>
          <w:rFonts w:cs="Times New Roman"/>
          <w:sz w:val="24"/>
          <w:szCs w:val="24"/>
        </w:rPr>
        <w:t>pieaugumu Latvijas eksportā, un, o</w:t>
      </w:r>
      <w:r w:rsidR="00D06054" w:rsidRPr="0083510D">
        <w:rPr>
          <w:rFonts w:cs="Times New Roman"/>
          <w:sz w:val="24"/>
          <w:szCs w:val="24"/>
        </w:rPr>
        <w:t xml:space="preserve">trkārt, ĀTI </w:t>
      </w:r>
      <w:r w:rsidR="00E45CD5" w:rsidRPr="0083510D">
        <w:rPr>
          <w:rFonts w:cs="Times New Roman"/>
          <w:sz w:val="24"/>
          <w:szCs w:val="24"/>
        </w:rPr>
        <w:t xml:space="preserve">piesaistē fokusējoties uz ārējo pieprasījumu orientētajām nozarēm. </w:t>
      </w:r>
    </w:p>
    <w:p w14:paraId="6C7838E0" w14:textId="0A3D6B68" w:rsidR="003C5618" w:rsidRPr="0083510D" w:rsidRDefault="003C5618">
      <w:pPr>
        <w:ind w:firstLine="426"/>
        <w:jc w:val="both"/>
        <w:rPr>
          <w:rFonts w:cs="Times New Roman"/>
          <w:sz w:val="24"/>
          <w:szCs w:val="24"/>
        </w:rPr>
      </w:pPr>
      <w:r w:rsidRPr="0083510D">
        <w:rPr>
          <w:rFonts w:cs="Times New Roman"/>
          <w:sz w:val="24"/>
          <w:szCs w:val="24"/>
        </w:rPr>
        <w:t xml:space="preserve">Lai novērtētu eksporta veicināšanas un ĀTI piesaistes politikas īstenošanu, </w:t>
      </w:r>
      <w:r w:rsidR="00AD23D6" w:rsidRPr="0083510D">
        <w:rPr>
          <w:rFonts w:cs="Times New Roman"/>
          <w:sz w:val="24"/>
          <w:szCs w:val="24"/>
        </w:rPr>
        <w:t>P</w:t>
      </w:r>
      <w:r w:rsidRPr="0083510D">
        <w:rPr>
          <w:rFonts w:cs="Times New Roman"/>
          <w:sz w:val="24"/>
          <w:szCs w:val="24"/>
        </w:rPr>
        <w:t>amatnostādnēs</w:t>
      </w:r>
      <w:r w:rsidR="009521EA" w:rsidRPr="0083510D">
        <w:rPr>
          <w:rFonts w:cs="Times New Roman"/>
          <w:sz w:val="24"/>
          <w:szCs w:val="24"/>
        </w:rPr>
        <w:t xml:space="preserve"> sākotnēji</w:t>
      </w:r>
      <w:r w:rsidRPr="0083510D">
        <w:rPr>
          <w:rFonts w:cs="Times New Roman"/>
          <w:sz w:val="24"/>
          <w:szCs w:val="24"/>
        </w:rPr>
        <w:t xml:space="preserve"> </w:t>
      </w:r>
      <w:r w:rsidR="009B7ED5" w:rsidRPr="0083510D">
        <w:rPr>
          <w:rFonts w:cs="Times New Roman"/>
          <w:sz w:val="24"/>
          <w:szCs w:val="24"/>
        </w:rPr>
        <w:t xml:space="preserve">tika </w:t>
      </w:r>
      <w:r w:rsidRPr="0083510D">
        <w:rPr>
          <w:rFonts w:cs="Times New Roman"/>
          <w:sz w:val="24"/>
          <w:szCs w:val="24"/>
        </w:rPr>
        <w:t>definēti šādi rezultatīvie rādītāji</w:t>
      </w:r>
      <w:r w:rsidR="001112A0" w:rsidRPr="0083510D">
        <w:rPr>
          <w:rFonts w:cs="Times New Roman"/>
          <w:sz w:val="24"/>
          <w:szCs w:val="24"/>
        </w:rPr>
        <w:t xml:space="preserve"> un to sasniedzamās rezultatīvās vērtības</w:t>
      </w:r>
      <w:r w:rsidRPr="0083510D">
        <w:rPr>
          <w:rFonts w:cs="Times New Roman"/>
          <w:sz w:val="24"/>
          <w:szCs w:val="24"/>
        </w:rPr>
        <w:t>:</w:t>
      </w:r>
    </w:p>
    <w:p w14:paraId="5B2AEA1A" w14:textId="77777777" w:rsidR="003C5618" w:rsidRPr="0083510D" w:rsidRDefault="003C5618" w:rsidP="00C568D4">
      <w:pPr>
        <w:pStyle w:val="ListParagraph"/>
        <w:numPr>
          <w:ilvl w:val="0"/>
          <w:numId w:val="2"/>
        </w:numPr>
        <w:ind w:left="0"/>
        <w:jc w:val="both"/>
        <w:rPr>
          <w:rFonts w:ascii="Times New Roman" w:hAnsi="Times New Roman"/>
          <w:sz w:val="24"/>
          <w:szCs w:val="24"/>
        </w:rPr>
      </w:pPr>
      <w:r w:rsidRPr="0083510D">
        <w:rPr>
          <w:rFonts w:ascii="Times New Roman" w:hAnsi="Times New Roman"/>
          <w:sz w:val="24"/>
          <w:szCs w:val="24"/>
        </w:rPr>
        <w:t>augsto un vidēji augs</w:t>
      </w:r>
      <w:r w:rsidR="00763CD4" w:rsidRPr="0083510D">
        <w:rPr>
          <w:rFonts w:ascii="Times New Roman" w:hAnsi="Times New Roman"/>
          <w:sz w:val="24"/>
          <w:szCs w:val="24"/>
        </w:rPr>
        <w:t xml:space="preserve">to tehnoloģiju nozaru īpatsvars </w:t>
      </w:r>
      <w:r w:rsidRPr="0083510D">
        <w:rPr>
          <w:rFonts w:ascii="Times New Roman" w:hAnsi="Times New Roman"/>
          <w:sz w:val="24"/>
          <w:szCs w:val="24"/>
        </w:rPr>
        <w:t xml:space="preserve">Latvijas preču eksportā (2012.gadā – 23,8%, 2015.gadā – 27,5%, 2019.gadā – 31%); </w:t>
      </w:r>
    </w:p>
    <w:p w14:paraId="1863C3AF" w14:textId="77777777" w:rsidR="003C5618" w:rsidRPr="0083510D" w:rsidRDefault="003C5618" w:rsidP="00C568D4">
      <w:pPr>
        <w:pStyle w:val="ListParagraph"/>
        <w:numPr>
          <w:ilvl w:val="0"/>
          <w:numId w:val="2"/>
        </w:numPr>
        <w:ind w:left="0"/>
        <w:jc w:val="both"/>
        <w:rPr>
          <w:rFonts w:ascii="Times New Roman" w:hAnsi="Times New Roman"/>
          <w:sz w:val="24"/>
          <w:szCs w:val="24"/>
        </w:rPr>
      </w:pPr>
      <w:r w:rsidRPr="0083510D">
        <w:rPr>
          <w:rFonts w:ascii="Times New Roman" w:hAnsi="Times New Roman"/>
          <w:sz w:val="24"/>
          <w:szCs w:val="24"/>
        </w:rPr>
        <w:t>vidējais eksporta pieauguma temps (salīdzināmajās cenās, %) (2011.gadā – 7,1%, 2013.-2019.gadā ik gadu pieaugums par 4,5%);</w:t>
      </w:r>
    </w:p>
    <w:p w14:paraId="4656DB0E" w14:textId="77777777" w:rsidR="003C5618" w:rsidRPr="0083510D" w:rsidRDefault="003C5618" w:rsidP="00C568D4">
      <w:pPr>
        <w:pStyle w:val="ListParagraph"/>
        <w:numPr>
          <w:ilvl w:val="0"/>
          <w:numId w:val="2"/>
        </w:numPr>
        <w:ind w:left="0"/>
        <w:jc w:val="both"/>
        <w:rPr>
          <w:rFonts w:ascii="Times New Roman" w:hAnsi="Times New Roman"/>
          <w:sz w:val="24"/>
          <w:szCs w:val="24"/>
        </w:rPr>
      </w:pPr>
      <w:r w:rsidRPr="0083510D">
        <w:rPr>
          <w:rFonts w:ascii="Times New Roman" w:hAnsi="Times New Roman"/>
          <w:sz w:val="24"/>
          <w:szCs w:val="24"/>
        </w:rPr>
        <w:t xml:space="preserve">ĀTI uz ārējo pieprasījumu orientētajās nozarēs (% no </w:t>
      </w:r>
      <w:r w:rsidR="00CE67AB" w:rsidRPr="0083510D">
        <w:rPr>
          <w:rFonts w:ascii="Times New Roman" w:hAnsi="Times New Roman"/>
          <w:sz w:val="24"/>
          <w:szCs w:val="24"/>
        </w:rPr>
        <w:t>piesaistītām</w:t>
      </w:r>
      <w:r w:rsidRPr="0083510D">
        <w:rPr>
          <w:rFonts w:ascii="Times New Roman" w:hAnsi="Times New Roman"/>
          <w:sz w:val="24"/>
          <w:szCs w:val="24"/>
        </w:rPr>
        <w:t xml:space="preserve"> ĀTI</w:t>
      </w:r>
      <w:r w:rsidR="00CE67AB" w:rsidRPr="0083510D">
        <w:rPr>
          <w:rFonts w:ascii="Times New Roman" w:hAnsi="Times New Roman"/>
          <w:sz w:val="24"/>
          <w:szCs w:val="24"/>
        </w:rPr>
        <w:t xml:space="preserve"> plūsmām</w:t>
      </w:r>
      <w:r w:rsidRPr="0083510D">
        <w:rPr>
          <w:rFonts w:ascii="Times New Roman" w:hAnsi="Times New Roman"/>
          <w:sz w:val="24"/>
          <w:szCs w:val="24"/>
        </w:rPr>
        <w:t>) (2012.gadā – 17,5%, 2015.gadā – 20,0%; 2019.gadā – 22,0%);</w:t>
      </w:r>
    </w:p>
    <w:p w14:paraId="5D6E4907" w14:textId="6633BACF" w:rsidR="009521EA" w:rsidRPr="0083510D" w:rsidRDefault="003C5618" w:rsidP="00C568D4">
      <w:pPr>
        <w:pStyle w:val="ListParagraph"/>
        <w:numPr>
          <w:ilvl w:val="0"/>
          <w:numId w:val="2"/>
        </w:numPr>
        <w:ind w:left="0"/>
        <w:jc w:val="both"/>
        <w:rPr>
          <w:rFonts w:ascii="Times New Roman" w:hAnsi="Times New Roman"/>
          <w:sz w:val="24"/>
          <w:szCs w:val="24"/>
        </w:rPr>
      </w:pPr>
      <w:r w:rsidRPr="0083510D">
        <w:rPr>
          <w:rFonts w:ascii="Times New Roman" w:hAnsi="Times New Roman"/>
          <w:sz w:val="24"/>
          <w:szCs w:val="24"/>
        </w:rPr>
        <w:t>ĀTI plūsmas Latvijā uz ārējo pieprasījumu orientētajās nozarēs %  pret IKP (trīs gadu vidējais rādītājs) (2010.-2012.gadā – 0,9% un 2013.-2015.gadā – 1,5%, 2016.-2019.gadā – 1,5%).</w:t>
      </w:r>
    </w:p>
    <w:p w14:paraId="413C5BDA" w14:textId="5F4979EE" w:rsidR="009521EA" w:rsidRPr="0083510D" w:rsidRDefault="009521EA">
      <w:pPr>
        <w:ind w:firstLine="426"/>
        <w:jc w:val="both"/>
        <w:rPr>
          <w:rFonts w:cs="Times New Roman"/>
          <w:sz w:val="24"/>
          <w:szCs w:val="24"/>
        </w:rPr>
      </w:pPr>
      <w:r w:rsidRPr="0083510D">
        <w:rPr>
          <w:rFonts w:cs="Times New Roman"/>
          <w:sz w:val="24"/>
          <w:szCs w:val="24"/>
        </w:rPr>
        <w:t>Veicot Pamatnostādņu starpposma novērtējumu, tika secināts, ka Pamatnostādnēs noteiktie ĀTI piesaistes mērķa rādītāji pēc būtības neatspoguļo īstenotas ĀTI piesaistes politikas efektivitāti un ĀTI sniegumu. Vienlaikus pastāv būtiskas metodoloģiskas nepilnības minēto rādītāju izvēlē - ikgadējām ĀTI plūsmām ir raksturīga nenoturīga dinamika un liels svārstību diapazons, kā arī vienreizēju darījumu būtiska ietekme uz kopējo ĀTI vērtību. Vienlaikus var tikt identificētas būtiskas problēmas datu konfidencialitātē, kas neļauj turpmāk izmantot definētos mērķa rādītājus.</w:t>
      </w:r>
    </w:p>
    <w:p w14:paraId="439C99F4" w14:textId="6EA9A899" w:rsidR="009521EA" w:rsidRPr="0083510D" w:rsidRDefault="009521EA">
      <w:pPr>
        <w:ind w:firstLine="426"/>
        <w:jc w:val="both"/>
        <w:rPr>
          <w:rFonts w:cs="Times New Roman"/>
          <w:sz w:val="24"/>
          <w:szCs w:val="24"/>
        </w:rPr>
      </w:pPr>
      <w:r w:rsidRPr="0083510D">
        <w:rPr>
          <w:rFonts w:cs="Times New Roman"/>
          <w:sz w:val="24"/>
          <w:szCs w:val="24"/>
        </w:rPr>
        <w:t>Ievērojot iepriekšminēto, turpmākā Pamatnostādņu īstenošanas periodā ĀTI politikas rezultātu mērīšanai tik</w:t>
      </w:r>
      <w:r w:rsidR="00BC1FBB" w:rsidRPr="0083510D">
        <w:rPr>
          <w:rFonts w:cs="Times New Roman"/>
          <w:sz w:val="24"/>
          <w:szCs w:val="24"/>
        </w:rPr>
        <w:t>a</w:t>
      </w:r>
      <w:r w:rsidRPr="0083510D">
        <w:rPr>
          <w:rFonts w:cs="Times New Roman"/>
          <w:sz w:val="24"/>
          <w:szCs w:val="24"/>
        </w:rPr>
        <w:t xml:space="preserve"> izmantots ĀTI snieguma indekss, kas sniegumu ĀTI piesaistē vērtē, pamatojoties uz ĀTI piesaistes potenciālu atbilstoši ekonomikas lielumam attiecīgajā reģionā, nosakot sasniedzamo rezultatīvo radītāju ne mazāk kā 1,2 2018.-2020.gadā.</w:t>
      </w:r>
    </w:p>
    <w:p w14:paraId="7108B217" w14:textId="0D6F8A69" w:rsidR="00BC1FBB" w:rsidRPr="0083510D" w:rsidRDefault="00BC1FBB">
      <w:pPr>
        <w:ind w:firstLine="426"/>
        <w:jc w:val="both"/>
        <w:rPr>
          <w:rFonts w:cs="Times New Roman"/>
          <w:sz w:val="24"/>
          <w:szCs w:val="24"/>
        </w:rPr>
      </w:pPr>
      <w:r w:rsidRPr="0083510D">
        <w:rPr>
          <w:rFonts w:cs="Times New Roman"/>
          <w:sz w:val="24"/>
          <w:szCs w:val="24"/>
        </w:rPr>
        <w:t>Tādejādi ti</w:t>
      </w:r>
      <w:r w:rsidR="007B0483" w:rsidRPr="0083510D">
        <w:rPr>
          <w:rFonts w:cs="Times New Roman"/>
          <w:sz w:val="24"/>
          <w:szCs w:val="24"/>
        </w:rPr>
        <w:t>ka</w:t>
      </w:r>
      <w:r w:rsidRPr="0083510D">
        <w:rPr>
          <w:rFonts w:cs="Times New Roman"/>
          <w:sz w:val="24"/>
          <w:szCs w:val="24"/>
        </w:rPr>
        <w:t xml:space="preserve"> koriģēti un noteikti jauni sasniedzamie rezultatīvie rādītāji un to rezultatīvas vērtības Pamatnostādnēs definēto mērķu sasniegšanai.</w:t>
      </w:r>
    </w:p>
    <w:p w14:paraId="75A51523" w14:textId="63AAA5E5" w:rsidR="00BC1FBB" w:rsidRPr="0083510D" w:rsidRDefault="00BC1FBB" w:rsidP="00C568D4">
      <w:pPr>
        <w:pStyle w:val="ListParagraph"/>
        <w:ind w:left="0"/>
        <w:jc w:val="both"/>
        <w:rPr>
          <w:rFonts w:ascii="Times New Roman" w:hAnsi="Times New Roman"/>
          <w:b/>
          <w:bCs/>
          <w:sz w:val="24"/>
          <w:szCs w:val="24"/>
        </w:rPr>
      </w:pPr>
      <w:r w:rsidRPr="0083510D">
        <w:rPr>
          <w:rFonts w:ascii="Times New Roman" w:hAnsi="Times New Roman"/>
          <w:b/>
          <w:bCs/>
          <w:sz w:val="24"/>
          <w:szCs w:val="24"/>
        </w:rPr>
        <w:t>1.</w:t>
      </w:r>
      <w:r w:rsidR="00FA5BB8" w:rsidRPr="0083510D">
        <w:rPr>
          <w:rFonts w:ascii="Times New Roman" w:hAnsi="Times New Roman"/>
          <w:b/>
          <w:bCs/>
          <w:sz w:val="24"/>
          <w:szCs w:val="24"/>
        </w:rPr>
        <w:t> </w:t>
      </w:r>
      <w:r w:rsidRPr="0083510D">
        <w:rPr>
          <w:rFonts w:ascii="Times New Roman" w:hAnsi="Times New Roman"/>
          <w:b/>
          <w:bCs/>
          <w:sz w:val="24"/>
          <w:szCs w:val="24"/>
        </w:rPr>
        <w:t>Eksporta pieaugums, salīdzināmajās cenās, % (2016.gadā: -1%, 2017.gadā: 2,4%, no 2018.-2020.gadam vidēji 5% gadā);</w:t>
      </w:r>
    </w:p>
    <w:p w14:paraId="5928D86C" w14:textId="54D7BFA3" w:rsidR="00BC1FBB" w:rsidRPr="0083510D" w:rsidRDefault="00BC1FBB" w:rsidP="00C568D4">
      <w:pPr>
        <w:pStyle w:val="ListParagraph"/>
        <w:ind w:left="0"/>
        <w:jc w:val="both"/>
        <w:rPr>
          <w:rFonts w:ascii="Times New Roman" w:hAnsi="Times New Roman"/>
          <w:b/>
          <w:bCs/>
          <w:sz w:val="24"/>
          <w:szCs w:val="24"/>
        </w:rPr>
      </w:pPr>
      <w:r w:rsidRPr="0083510D">
        <w:rPr>
          <w:rFonts w:ascii="Times New Roman" w:hAnsi="Times New Roman"/>
          <w:b/>
          <w:bCs/>
          <w:sz w:val="24"/>
          <w:szCs w:val="24"/>
        </w:rPr>
        <w:lastRenderedPageBreak/>
        <w:t>2.</w:t>
      </w:r>
      <w:r w:rsidR="00FA5BB8" w:rsidRPr="0083510D">
        <w:rPr>
          <w:rFonts w:ascii="Times New Roman" w:hAnsi="Times New Roman"/>
          <w:b/>
          <w:bCs/>
          <w:sz w:val="24"/>
          <w:szCs w:val="24"/>
        </w:rPr>
        <w:t> </w:t>
      </w:r>
      <w:r w:rsidRPr="0083510D">
        <w:rPr>
          <w:rFonts w:ascii="Times New Roman" w:hAnsi="Times New Roman"/>
          <w:b/>
          <w:bCs/>
          <w:sz w:val="24"/>
          <w:szCs w:val="24"/>
        </w:rPr>
        <w:t>Augsto tehnoloģiju produktu eksporta īpatsvars kopējā eksportā (2016.gadā 9,9%, 2017.gadā 10%, no 2018.-2020.gada vidēji 11%).</w:t>
      </w:r>
    </w:p>
    <w:p w14:paraId="0F03990E" w14:textId="66101251" w:rsidR="00BC1FBB" w:rsidRPr="0083510D" w:rsidRDefault="00BC1FBB" w:rsidP="00C568D4">
      <w:pPr>
        <w:pStyle w:val="ListParagraph"/>
        <w:ind w:left="0"/>
        <w:jc w:val="both"/>
        <w:rPr>
          <w:rFonts w:ascii="Times New Roman" w:hAnsi="Times New Roman"/>
          <w:b/>
          <w:bCs/>
          <w:sz w:val="24"/>
          <w:szCs w:val="24"/>
        </w:rPr>
      </w:pPr>
      <w:r w:rsidRPr="0083510D">
        <w:rPr>
          <w:rFonts w:ascii="Times New Roman" w:hAnsi="Times New Roman"/>
          <w:b/>
          <w:bCs/>
          <w:sz w:val="24"/>
          <w:szCs w:val="24"/>
        </w:rPr>
        <w:t>3.</w:t>
      </w:r>
      <w:r w:rsidR="00FA5BB8" w:rsidRPr="0083510D">
        <w:rPr>
          <w:rFonts w:ascii="Times New Roman" w:hAnsi="Times New Roman"/>
          <w:b/>
          <w:bCs/>
          <w:sz w:val="24"/>
          <w:szCs w:val="24"/>
        </w:rPr>
        <w:t> </w:t>
      </w:r>
      <w:r w:rsidRPr="0083510D">
        <w:rPr>
          <w:rFonts w:ascii="Times New Roman" w:hAnsi="Times New Roman"/>
          <w:b/>
          <w:bCs/>
          <w:sz w:val="24"/>
          <w:szCs w:val="24"/>
        </w:rPr>
        <w:t>ĀTI snieguma indekss (ne mazāk kā 1,2 laika posmā no  2018. līdz 2020.gadam).</w:t>
      </w:r>
    </w:p>
    <w:p w14:paraId="1953BF29" w14:textId="2829DB38" w:rsidR="009521EA" w:rsidRPr="0083510D" w:rsidRDefault="007B0483">
      <w:pPr>
        <w:ind w:firstLine="426"/>
        <w:jc w:val="both"/>
        <w:rPr>
          <w:rFonts w:cs="Times New Roman"/>
          <w:sz w:val="24"/>
          <w:szCs w:val="24"/>
        </w:rPr>
      </w:pPr>
      <w:r w:rsidRPr="0083510D">
        <w:rPr>
          <w:rFonts w:cs="Times New Roman"/>
          <w:sz w:val="24"/>
          <w:szCs w:val="24"/>
        </w:rPr>
        <w:t>Šo rādītāju izpilde tiek atspoguļota tālākajā šā informatīvā ziņojuma tekstā.</w:t>
      </w:r>
    </w:p>
    <w:p w14:paraId="2644661B" w14:textId="4319FB8E" w:rsidR="00F446D6" w:rsidRPr="0083510D" w:rsidRDefault="00A561BD">
      <w:pPr>
        <w:ind w:firstLine="426"/>
        <w:jc w:val="both"/>
        <w:rPr>
          <w:rFonts w:cs="Times New Roman"/>
          <w:sz w:val="24"/>
          <w:szCs w:val="24"/>
        </w:rPr>
      </w:pPr>
      <w:r w:rsidRPr="0083510D">
        <w:rPr>
          <w:rFonts w:cs="Times New Roman"/>
          <w:sz w:val="24"/>
          <w:szCs w:val="24"/>
        </w:rPr>
        <w:t xml:space="preserve">Saskaņā ar </w:t>
      </w:r>
      <w:r w:rsidR="00392237" w:rsidRPr="0083510D">
        <w:rPr>
          <w:rFonts w:cs="Times New Roman"/>
          <w:sz w:val="24"/>
          <w:szCs w:val="24"/>
        </w:rPr>
        <w:t xml:space="preserve">Ministru kabineta </w:t>
      </w:r>
      <w:r w:rsidRPr="0083510D">
        <w:rPr>
          <w:rFonts w:cs="Times New Roman"/>
          <w:sz w:val="24"/>
          <w:szCs w:val="24"/>
        </w:rPr>
        <w:t>2014.gada 2.decemb</w:t>
      </w:r>
      <w:r w:rsidR="001112A0" w:rsidRPr="0083510D">
        <w:rPr>
          <w:rFonts w:cs="Times New Roman"/>
          <w:sz w:val="24"/>
          <w:szCs w:val="24"/>
        </w:rPr>
        <w:t xml:space="preserve">ra noteikumu Nr.737 </w:t>
      </w:r>
      <w:r w:rsidRPr="0083510D">
        <w:rPr>
          <w:rFonts w:cs="Times New Roman"/>
          <w:sz w:val="24"/>
          <w:szCs w:val="24"/>
        </w:rPr>
        <w:t>“Attīstības plānošanas dokumentu izstrādes un ietekmes izvērtēšanas noteikumi” 4</w:t>
      </w:r>
      <w:r w:rsidR="00392237" w:rsidRPr="0083510D">
        <w:rPr>
          <w:rFonts w:cs="Times New Roman"/>
          <w:sz w:val="24"/>
          <w:szCs w:val="24"/>
        </w:rPr>
        <w:t>3</w:t>
      </w:r>
      <w:r w:rsidRPr="0083510D">
        <w:rPr>
          <w:rFonts w:cs="Times New Roman"/>
          <w:sz w:val="24"/>
          <w:szCs w:val="24"/>
        </w:rPr>
        <w:t>.punktā noteikto kārtību, i</w:t>
      </w:r>
      <w:r w:rsidR="00E565F5" w:rsidRPr="0083510D">
        <w:rPr>
          <w:rFonts w:cs="Times New Roman"/>
          <w:sz w:val="24"/>
          <w:szCs w:val="24"/>
        </w:rPr>
        <w:t xml:space="preserve">nformatīvajā ziņojumā </w:t>
      </w:r>
      <w:r w:rsidR="00AD23D6" w:rsidRPr="0083510D">
        <w:rPr>
          <w:rFonts w:cs="Times New Roman"/>
          <w:sz w:val="24"/>
          <w:szCs w:val="24"/>
        </w:rPr>
        <w:t>analizēta P</w:t>
      </w:r>
      <w:r w:rsidR="0083233C" w:rsidRPr="0083510D">
        <w:rPr>
          <w:rFonts w:cs="Times New Roman"/>
          <w:sz w:val="24"/>
          <w:szCs w:val="24"/>
        </w:rPr>
        <w:t>amatnostādnēs izvirzīto mērķu un plānoto rezultātu sasniegšan</w:t>
      </w:r>
      <w:r w:rsidR="00AD23D6" w:rsidRPr="0083510D">
        <w:rPr>
          <w:rFonts w:cs="Times New Roman"/>
          <w:sz w:val="24"/>
          <w:szCs w:val="24"/>
        </w:rPr>
        <w:t>a</w:t>
      </w:r>
      <w:r w:rsidR="003F24BD" w:rsidRPr="0083510D">
        <w:rPr>
          <w:rFonts w:cs="Times New Roman"/>
          <w:sz w:val="24"/>
          <w:szCs w:val="24"/>
        </w:rPr>
        <w:t xml:space="preserve"> attiecīgajā periodā</w:t>
      </w:r>
      <w:r w:rsidR="0083233C" w:rsidRPr="0083510D">
        <w:rPr>
          <w:rFonts w:cs="Times New Roman"/>
          <w:sz w:val="24"/>
          <w:szCs w:val="24"/>
        </w:rPr>
        <w:t xml:space="preserve">, vērtējot </w:t>
      </w:r>
      <w:r w:rsidR="00E45CD5" w:rsidRPr="0083510D">
        <w:rPr>
          <w:rFonts w:cs="Times New Roman"/>
          <w:sz w:val="24"/>
          <w:szCs w:val="24"/>
        </w:rPr>
        <w:t>noteikto rezultatīvo rādītāju izpild</w:t>
      </w:r>
      <w:r w:rsidR="0083233C" w:rsidRPr="0083510D">
        <w:rPr>
          <w:rFonts w:cs="Times New Roman"/>
          <w:sz w:val="24"/>
          <w:szCs w:val="24"/>
        </w:rPr>
        <w:t>i</w:t>
      </w:r>
      <w:r w:rsidRPr="0083510D">
        <w:rPr>
          <w:rFonts w:cs="Times New Roman"/>
          <w:sz w:val="24"/>
          <w:szCs w:val="24"/>
        </w:rPr>
        <w:t xml:space="preserve">, </w:t>
      </w:r>
      <w:r w:rsidR="003949FA" w:rsidRPr="0083510D">
        <w:rPr>
          <w:rFonts w:cs="Times New Roman"/>
          <w:sz w:val="24"/>
          <w:szCs w:val="24"/>
        </w:rPr>
        <w:t xml:space="preserve">uzsvaru liekot uz </w:t>
      </w:r>
      <w:r w:rsidRPr="0083510D">
        <w:rPr>
          <w:rFonts w:cs="Times New Roman"/>
          <w:sz w:val="24"/>
          <w:szCs w:val="24"/>
        </w:rPr>
        <w:t>ārējās vides izmaiņu ietekm</w:t>
      </w:r>
      <w:r w:rsidR="003949FA" w:rsidRPr="0083510D">
        <w:rPr>
          <w:rFonts w:cs="Times New Roman"/>
          <w:sz w:val="24"/>
          <w:szCs w:val="24"/>
        </w:rPr>
        <w:t>i</w:t>
      </w:r>
      <w:r w:rsidRPr="0083510D">
        <w:rPr>
          <w:rFonts w:cs="Times New Roman"/>
          <w:sz w:val="24"/>
          <w:szCs w:val="24"/>
        </w:rPr>
        <w:t xml:space="preserve"> uz rezultātu sasniegšanu.</w:t>
      </w:r>
      <w:r w:rsidR="003C5618" w:rsidRPr="0083510D">
        <w:rPr>
          <w:rFonts w:cs="Times New Roman"/>
          <w:sz w:val="24"/>
          <w:szCs w:val="24"/>
        </w:rPr>
        <w:t xml:space="preserve"> </w:t>
      </w:r>
    </w:p>
    <w:p w14:paraId="290DDE98" w14:textId="7C0BA5FC" w:rsidR="00FA718D" w:rsidRPr="0083510D" w:rsidRDefault="003C5618">
      <w:pPr>
        <w:ind w:firstLine="426"/>
        <w:jc w:val="both"/>
        <w:rPr>
          <w:rFonts w:cs="Times New Roman"/>
          <w:sz w:val="24"/>
          <w:szCs w:val="24"/>
        </w:rPr>
      </w:pPr>
      <w:r w:rsidRPr="0083510D">
        <w:rPr>
          <w:rFonts w:cs="Times New Roman"/>
          <w:sz w:val="24"/>
          <w:szCs w:val="24"/>
        </w:rPr>
        <w:t xml:space="preserve">Pamatnostādņu mērķu un politikas rezultātu sasniegšanai īstenojamie uzdevumi un to darbības rezultāti noteikti rīcības plānā </w:t>
      </w:r>
      <w:r w:rsidR="00AD23D6" w:rsidRPr="0083510D">
        <w:rPr>
          <w:rFonts w:cs="Times New Roman"/>
          <w:sz w:val="24"/>
          <w:szCs w:val="24"/>
        </w:rPr>
        <w:t>P</w:t>
      </w:r>
      <w:r w:rsidRPr="0083510D">
        <w:rPr>
          <w:rFonts w:cs="Times New Roman"/>
          <w:sz w:val="24"/>
          <w:szCs w:val="24"/>
        </w:rPr>
        <w:t>amatnostādņu īstenošanai</w:t>
      </w:r>
      <w:r w:rsidR="00AD23D6" w:rsidRPr="0083510D">
        <w:rPr>
          <w:rFonts w:cs="Times New Roman"/>
          <w:sz w:val="24"/>
          <w:szCs w:val="24"/>
        </w:rPr>
        <w:t xml:space="preserve"> </w:t>
      </w:r>
      <w:r w:rsidRPr="0083510D">
        <w:rPr>
          <w:rFonts w:cs="Times New Roman"/>
          <w:sz w:val="24"/>
          <w:szCs w:val="24"/>
        </w:rPr>
        <w:t xml:space="preserve"> – informatīvajā ziņojumā tiks vērtēta plāna izpilde</w:t>
      </w:r>
      <w:r w:rsidR="00EE043E" w:rsidRPr="0083510D">
        <w:rPr>
          <w:rFonts w:cs="Times New Roman"/>
          <w:sz w:val="24"/>
          <w:szCs w:val="24"/>
        </w:rPr>
        <w:t xml:space="preserve"> (informatīvā ziņojuma pielikums)</w:t>
      </w:r>
      <w:r w:rsidRPr="0083510D">
        <w:rPr>
          <w:rFonts w:cs="Times New Roman"/>
          <w:sz w:val="24"/>
          <w:szCs w:val="24"/>
        </w:rPr>
        <w:t xml:space="preserve">, vērtējot </w:t>
      </w:r>
      <w:r w:rsidR="00AD23D6" w:rsidRPr="0083510D">
        <w:rPr>
          <w:rFonts w:cs="Times New Roman"/>
          <w:sz w:val="24"/>
          <w:szCs w:val="24"/>
        </w:rPr>
        <w:t>P</w:t>
      </w:r>
      <w:r w:rsidR="0083233C" w:rsidRPr="0083510D">
        <w:rPr>
          <w:rFonts w:cs="Times New Roman"/>
          <w:sz w:val="24"/>
          <w:szCs w:val="24"/>
        </w:rPr>
        <w:t>amatnostādņu īstenošanā iesaistīto institūciju paveikt</w:t>
      </w:r>
      <w:r w:rsidR="001112A0" w:rsidRPr="0083510D">
        <w:rPr>
          <w:rFonts w:cs="Times New Roman"/>
          <w:sz w:val="24"/>
          <w:szCs w:val="24"/>
        </w:rPr>
        <w:t xml:space="preserve">o. </w:t>
      </w:r>
      <w:r w:rsidR="00525431" w:rsidRPr="0083510D">
        <w:rPr>
          <w:rFonts w:cs="Times New Roman"/>
          <w:sz w:val="24"/>
          <w:szCs w:val="24"/>
        </w:rPr>
        <w:t>Šajā ziņojumā iekļauta arī iesaistīto institūciju sniegtā informācija.</w:t>
      </w:r>
    </w:p>
    <w:p w14:paraId="1DBBCE79" w14:textId="26DE3D88" w:rsidR="00C95289" w:rsidRPr="0083510D" w:rsidRDefault="00C95289">
      <w:pPr>
        <w:ind w:firstLine="426"/>
        <w:jc w:val="both"/>
        <w:rPr>
          <w:rFonts w:cs="Times New Roman"/>
          <w:sz w:val="24"/>
          <w:szCs w:val="24"/>
        </w:rPr>
      </w:pPr>
      <w:r w:rsidRPr="0083510D">
        <w:rPr>
          <w:rFonts w:cs="Times New Roman"/>
          <w:sz w:val="24"/>
          <w:szCs w:val="24"/>
        </w:rPr>
        <w:t xml:space="preserve">Ņemot vērā šo pamatnostādņu sinerģiju ar  Ministru kabineta 2013.gada 28.jūnija rīkojumu Nr.282 “Nacionālās industriālās politikas pamatnostādnes 2014.-2020.gadam” noteiktajiem mērķiem, rīcības virzieniem, kā arī mērķa grupām, </w:t>
      </w:r>
      <w:r w:rsidR="009E1E37" w:rsidRPr="0083510D">
        <w:rPr>
          <w:rFonts w:cs="Times New Roman"/>
          <w:sz w:val="24"/>
          <w:szCs w:val="24"/>
        </w:rPr>
        <w:t>nākamajā periodā</w:t>
      </w:r>
      <w:r w:rsidRPr="0083510D">
        <w:rPr>
          <w:rFonts w:cs="Times New Roman"/>
          <w:sz w:val="24"/>
          <w:szCs w:val="24"/>
        </w:rPr>
        <w:t xml:space="preserve"> eksporta un investīciju pamatnostādnes plānots konsolidēt ar</w:t>
      </w:r>
      <w:r w:rsidR="009E1E37" w:rsidRPr="0083510D">
        <w:rPr>
          <w:rFonts w:cs="Times New Roman"/>
          <w:sz w:val="24"/>
          <w:szCs w:val="24"/>
        </w:rPr>
        <w:t xml:space="preserve"> šobrīd izstrādes procesā esošajām</w:t>
      </w:r>
      <w:r w:rsidRPr="0083510D">
        <w:rPr>
          <w:rFonts w:cs="Times New Roman"/>
          <w:sz w:val="24"/>
          <w:szCs w:val="24"/>
        </w:rPr>
        <w:t xml:space="preserve"> Nacionālās industriālās politikas pamatnostādnēm.</w:t>
      </w:r>
    </w:p>
    <w:p w14:paraId="48ECC967" w14:textId="77777777" w:rsidR="00C95289" w:rsidRPr="0083510D" w:rsidRDefault="00C95289">
      <w:pPr>
        <w:ind w:firstLine="426"/>
        <w:jc w:val="both"/>
        <w:rPr>
          <w:rFonts w:cs="Times New Roman"/>
          <w:sz w:val="23"/>
          <w:szCs w:val="23"/>
        </w:rPr>
      </w:pPr>
    </w:p>
    <w:p w14:paraId="14213D52" w14:textId="77777777" w:rsidR="00FA718D" w:rsidRPr="0083510D" w:rsidRDefault="00FA718D">
      <w:pPr>
        <w:rPr>
          <w:rFonts w:cs="Times New Roman"/>
          <w:sz w:val="23"/>
          <w:szCs w:val="23"/>
        </w:rPr>
      </w:pPr>
      <w:r w:rsidRPr="0083510D">
        <w:rPr>
          <w:rFonts w:cs="Times New Roman"/>
          <w:sz w:val="23"/>
          <w:szCs w:val="23"/>
        </w:rPr>
        <w:br w:type="page"/>
      </w:r>
    </w:p>
    <w:p w14:paraId="5A3A2CEF" w14:textId="77777777" w:rsidR="00E92A1C" w:rsidRPr="0083510D" w:rsidRDefault="00026D6E" w:rsidP="00C568D4">
      <w:pPr>
        <w:pStyle w:val="Heading1"/>
        <w:shd w:val="clear" w:color="auto" w:fill="1DA0A7"/>
        <w:spacing w:before="0"/>
        <w:rPr>
          <w:rStyle w:val="longtext1"/>
          <w:rFonts w:eastAsiaTheme="minorHAnsi"/>
          <w:b w:val="0"/>
          <w:bCs w:val="0"/>
          <w:color w:val="FFFFFF" w:themeColor="background1"/>
          <w:sz w:val="28"/>
          <w:szCs w:val="28"/>
          <w:lang w:val="lv-LV" w:eastAsia="en-US"/>
        </w:rPr>
      </w:pPr>
      <w:bookmarkStart w:id="2" w:name="_Toc462739794"/>
      <w:bookmarkStart w:id="3" w:name="_Toc47359868"/>
      <w:r w:rsidRPr="0083510D">
        <w:rPr>
          <w:rStyle w:val="longtext1"/>
          <w:color w:val="FFFFFF" w:themeColor="background1"/>
          <w:sz w:val="28"/>
          <w:szCs w:val="28"/>
        </w:rPr>
        <w:lastRenderedPageBreak/>
        <w:t xml:space="preserve">1. </w:t>
      </w:r>
      <w:r w:rsidR="00ED5B12" w:rsidRPr="0083510D">
        <w:rPr>
          <w:rStyle w:val="longtext1"/>
          <w:color w:val="FFFFFF" w:themeColor="background1"/>
          <w:sz w:val="28"/>
          <w:szCs w:val="28"/>
        </w:rPr>
        <w:t>Makroe</w:t>
      </w:r>
      <w:r w:rsidR="00241D38" w:rsidRPr="0083510D">
        <w:rPr>
          <w:rStyle w:val="longtext1"/>
          <w:color w:val="FFFFFF" w:themeColor="background1"/>
          <w:sz w:val="28"/>
          <w:szCs w:val="28"/>
        </w:rPr>
        <w:t>konomisk</w:t>
      </w:r>
      <w:r w:rsidR="00E92A1C" w:rsidRPr="0083510D">
        <w:rPr>
          <w:rStyle w:val="longtext1"/>
          <w:color w:val="FFFFFF" w:themeColor="background1"/>
          <w:sz w:val="28"/>
          <w:szCs w:val="28"/>
        </w:rPr>
        <w:t>ais apskats</w:t>
      </w:r>
      <w:bookmarkEnd w:id="2"/>
      <w:bookmarkEnd w:id="3"/>
    </w:p>
    <w:p w14:paraId="6740B247" w14:textId="77777777" w:rsidR="00B974DF" w:rsidRPr="0083510D" w:rsidRDefault="00B974DF" w:rsidP="00C568D4">
      <w:pPr>
        <w:ind w:firstLine="426"/>
        <w:jc w:val="both"/>
        <w:rPr>
          <w:rFonts w:cs="Times New Roman"/>
          <w:sz w:val="24"/>
        </w:rPr>
      </w:pPr>
    </w:p>
    <w:p w14:paraId="156261A5" w14:textId="00B9E1BB" w:rsidR="00B974DF" w:rsidRPr="0083510D" w:rsidRDefault="00B974DF" w:rsidP="00C568D4">
      <w:pPr>
        <w:ind w:firstLine="426"/>
        <w:jc w:val="both"/>
        <w:rPr>
          <w:rFonts w:cs="Times New Roman"/>
          <w:sz w:val="24"/>
        </w:rPr>
      </w:pPr>
      <w:r w:rsidRPr="0083510D">
        <w:rPr>
          <w:rFonts w:cs="Times New Roman"/>
          <w:sz w:val="24"/>
        </w:rPr>
        <w:t>Latvijā līdz 2019.gadam saglabājās stabila ekonomiskā izaugsme, kuras tempi pārsniedza ES vidējos rādītājus. No 2011. līdz 2019.gadam IKP vidēji pieauga par 3,3% ik gadu. 2017.-2018.gadā izaugsmes temps paātrinājās. IKP pieauga, attiecīgi, par 3,8% un 4,3%. Izaugsmes paātrināšanos sekmēja situācijas uzlabošanās ārējā vidē, intensīvāka ES struktūrfondu apgūšana, nodarbinātības un darba samaksas pieaugums. 2019.gadā ekonomikas kāpums kļuva mērenāks. IKP pieauga par 2,2%. Izaugsmes tempu sabremzēšanos noteica gan iekšējie faktori (ES fondu investīcijas sasniegušas maksimumu, norises finanšu sektorā u.c.), gan arī ārējie faktori (globālo tirdzniecības attiecību pārskatīšana, Brexit, lēnāka izaugsme ES valstīs). Latvijas ekonomikas perspektīvas 2020.gadā ir ļoti neskaidras. COVID-19 epidēmija ļoti būtiski ietekmē pasaules un arī Latvijas ekonomiku, bet ietekmes amplitūda ir neskaidra. Vēl 2020.gada februāra beigās dažādas starptautiskas organizācijas par pamatscenāriju prognozēja V-tipa scenāriju, t.i., izteikta, bet īslaicīga lejupslīde, kurai sekos strauja atkopšanās. Šobrīd ticamāks izskatās U tipa scenārijs, kas nozīmētu, ka samazināšanās fāze būs ilgstošāka, vismaz pusgadu, bet netiek izslēgta COVID 19 izraisīta vēl ilgstošāka lejupslīde. Atbilstoši Ekonomikas ministrijas novērtējumam COVID-19 epidēmijas kopējā ietekme uz IKP varētu sastādīt no 4 līdz 8 procentpunktiem salīdzinājumā ar 2020.gada sākumā prognozēto. Tas nozīmē, ka IKP 2020.gadā varētu sarukt pat par 6%, salīdzinot ar 2019.gadu. Bet, ja vīrusa iedarbība pasaulē būs ilgāka par pusgadu, tad negatīvā ietekme uz Latvijas ekonomiku būs vēl lielāka un ekonomikai ir risks nonākt vēl dziļākā recesijā.</w:t>
      </w:r>
    </w:p>
    <w:p w14:paraId="34D9B99C" w14:textId="4059A606" w:rsidR="00B974DF" w:rsidRPr="0083510D" w:rsidRDefault="54F3E546" w:rsidP="00C568D4">
      <w:pPr>
        <w:ind w:firstLine="426"/>
        <w:jc w:val="both"/>
        <w:rPr>
          <w:rFonts w:cs="Times New Roman"/>
          <w:sz w:val="24"/>
        </w:rPr>
      </w:pPr>
      <w:r w:rsidRPr="0083510D">
        <w:rPr>
          <w:rFonts w:cs="Times New Roman"/>
          <w:noProof/>
        </w:rPr>
        <w:drawing>
          <wp:inline distT="0" distB="0" distL="0" distR="0" wp14:anchorId="60EC7E6C" wp14:editId="034A5CC3">
            <wp:extent cx="5991226" cy="3190875"/>
            <wp:effectExtent l="0" t="0" r="9525" b="9525"/>
            <wp:docPr id="13420120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991226" cy="3190875"/>
                    </a:xfrm>
                    <a:prstGeom prst="rect">
                      <a:avLst/>
                    </a:prstGeom>
                  </pic:spPr>
                </pic:pic>
              </a:graphicData>
            </a:graphic>
          </wp:inline>
        </w:drawing>
      </w:r>
    </w:p>
    <w:p w14:paraId="4A43046D" w14:textId="580F2BDD" w:rsidR="00D8150B" w:rsidRPr="0083510D" w:rsidRDefault="00D8150B" w:rsidP="00C568D4">
      <w:pPr>
        <w:ind w:firstLine="426"/>
        <w:jc w:val="both"/>
        <w:rPr>
          <w:rFonts w:cs="Times New Roman"/>
          <w:sz w:val="24"/>
        </w:rPr>
      </w:pPr>
      <w:r w:rsidRPr="0083510D">
        <w:rPr>
          <w:rFonts w:cs="Times New Roman"/>
          <w:sz w:val="24"/>
        </w:rPr>
        <w:t>Nozīmīgs ieguldījums izaugsmē pēdējos gados ir investīciju kāpumam, kas 2018.gadā pieauga par 15,8%. ES fondu investīcijām esošā plānošanas perioda ietvaros sasniedzot savu maksimumu, 2019.gadā investīciju temps ir samazinājies, pieaugot vairs tikai par 3,1%. 2019.gadā ieguldījumi mājokļos, ēkās un būvēs pieauga par 2,8%, mašīnās un iekārtās, kā arī transportlīdzekļos – par 2%. Straujāk ieguldījumu apjomi 2019.gadā palielinājās intelektuālā īpašuma produktos – par 11,6 procentiem.</w:t>
      </w:r>
    </w:p>
    <w:p w14:paraId="591299AC" w14:textId="573B32EF" w:rsidR="00D8150B" w:rsidRPr="0083510D" w:rsidRDefault="00D8150B" w:rsidP="00C568D4">
      <w:pPr>
        <w:ind w:firstLine="426"/>
        <w:jc w:val="both"/>
        <w:rPr>
          <w:rFonts w:cs="Times New Roman"/>
          <w:sz w:val="24"/>
        </w:rPr>
      </w:pPr>
      <w:r w:rsidRPr="0083510D">
        <w:rPr>
          <w:rFonts w:cs="Times New Roman"/>
          <w:sz w:val="24"/>
        </w:rPr>
        <w:t xml:space="preserve">Turpina augt arī preču un pakalpojumu eksports. Tomēr pieauguma tempi palēninās. 2018.gadā eksports pieauga par 4%, bet 2019.gadā – par 2%. 2019.gadā straujāk pieauga pakalpojumu eksports (par 5,7%), kamēr preču eksporta kāpums sasniedza vien 0,4%. Pakalpojumu eksportā pieaugumu galvenokārt nodrošināja ienākumi no autotransporta, informācijas un komunikācijas pakalpojumu un citu komercpakalpojumu eksporta. Savukārt, preču eksporta izaugsmē lielāko ieguldījumu deva koksnes un tās izstrādājumu, elektroierīču un iekārtu eksports, kā arī graudaugu kultūru, alkoholisko un bezalkoholisko dzērienu un farmācijas produktu eksporta vērtības pieaugums. Negatīvi eksporta attīstību 2019.gadā ietekmēja mehānismu un ierīču eksports. Kopš 2011.gada Latvijā ir vērojams zems </w:t>
      </w:r>
      <w:r w:rsidRPr="0083510D">
        <w:rPr>
          <w:rFonts w:cs="Times New Roman"/>
          <w:sz w:val="24"/>
        </w:rPr>
        <w:lastRenderedPageBreak/>
        <w:t>maksājuma bilances tekošā konta deficīts, kas liecina par Latvijas ekonomikas ārējo sabalansētību. 2019.gadā tekošais konts bija ar nelielu deficītu 0,5% apjomā no IKP. Arī turpmākajos gados sagaidāms, ka tekošais konts būs ar nelielu deficītu, neapdraudot Latvijas ekonomikas ārējo sabalansētību.</w:t>
      </w:r>
    </w:p>
    <w:p w14:paraId="115A4DCC" w14:textId="77777777" w:rsidR="00D8150B" w:rsidRPr="0083510D" w:rsidRDefault="00D8150B" w:rsidP="00C568D4">
      <w:pPr>
        <w:ind w:firstLine="426"/>
        <w:jc w:val="both"/>
        <w:rPr>
          <w:rFonts w:cs="Times New Roman"/>
          <w:sz w:val="24"/>
        </w:rPr>
      </w:pPr>
    </w:p>
    <w:p w14:paraId="346098AE" w14:textId="67E8E0DA" w:rsidR="00245E5D" w:rsidRPr="0083510D" w:rsidRDefault="00ED5B12" w:rsidP="00C568D4">
      <w:pPr>
        <w:pStyle w:val="Heading2"/>
        <w:shd w:val="clear" w:color="auto" w:fill="1DA0A7"/>
        <w:spacing w:before="0"/>
        <w:rPr>
          <w:rFonts w:cs="Times New Roman"/>
          <w:b/>
          <w:color w:val="FFFFFF" w:themeColor="background1"/>
        </w:rPr>
      </w:pPr>
      <w:bookmarkStart w:id="4" w:name="_Toc47359869"/>
      <w:r w:rsidRPr="0083510D">
        <w:rPr>
          <w:rFonts w:cs="Times New Roman"/>
          <w:b/>
          <w:color w:val="FFFFFF" w:themeColor="background1"/>
          <w:szCs w:val="24"/>
        </w:rPr>
        <w:t>1.1.</w:t>
      </w:r>
      <w:r w:rsidR="00E413C2" w:rsidRPr="0083510D">
        <w:rPr>
          <w:rFonts w:cs="Times New Roman"/>
          <w:b/>
          <w:color w:val="FFFFFF" w:themeColor="background1"/>
        </w:rPr>
        <w:t>Eksport</w:t>
      </w:r>
      <w:r w:rsidR="00B974DF" w:rsidRPr="0083510D">
        <w:rPr>
          <w:rFonts w:cs="Times New Roman"/>
          <w:b/>
          <w:color w:val="FFFFFF" w:themeColor="background1"/>
        </w:rPr>
        <w:t>s</w:t>
      </w:r>
      <w:bookmarkEnd w:id="4"/>
    </w:p>
    <w:p w14:paraId="2DA95C28" w14:textId="22BA8607" w:rsidR="004B19FD" w:rsidRPr="0083510D" w:rsidRDefault="004B19FD">
      <w:pPr>
        <w:rPr>
          <w:rFonts w:cs="Times New Roman"/>
        </w:rPr>
      </w:pPr>
    </w:p>
    <w:p w14:paraId="3CB6F83D" w14:textId="68E21D89" w:rsidR="00CE1BC0" w:rsidRPr="0083510D" w:rsidRDefault="0046183D" w:rsidP="00C568D4">
      <w:pPr>
        <w:ind w:firstLine="426"/>
        <w:jc w:val="both"/>
        <w:rPr>
          <w:rFonts w:cs="Times New Roman"/>
          <w:sz w:val="24"/>
        </w:rPr>
      </w:pPr>
      <w:r w:rsidRPr="0083510D">
        <w:rPr>
          <w:rFonts w:cs="Times New Roman"/>
          <w:sz w:val="24"/>
        </w:rPr>
        <w:t xml:space="preserve">Eksports pieaug un ir viens no galvenajiem tautsaimniecības attīstības dzinuļiem. Eksporta izaugsme ir cieši saistīta ar ārējo pieprasījumu un galveno partnervalstu ekonomiskās attīstības tempiem. </w:t>
      </w:r>
    </w:p>
    <w:p w14:paraId="4593ED9B" w14:textId="77777777" w:rsidR="00032723" w:rsidRPr="0083510D" w:rsidRDefault="00032723">
      <w:pPr>
        <w:jc w:val="both"/>
        <w:rPr>
          <w:rFonts w:cs="Times New Roman"/>
        </w:rPr>
      </w:pPr>
    </w:p>
    <w:p w14:paraId="3C1D42D1" w14:textId="00196377" w:rsidR="00032723" w:rsidRPr="0083510D" w:rsidRDefault="5976FD58">
      <w:pPr>
        <w:jc w:val="both"/>
        <w:rPr>
          <w:rFonts w:cs="Times New Roman"/>
        </w:rPr>
      </w:pPr>
      <w:r w:rsidRPr="0083510D">
        <w:rPr>
          <w:rFonts w:cs="Times New Roman"/>
          <w:noProof/>
        </w:rPr>
        <w:drawing>
          <wp:inline distT="0" distB="0" distL="0" distR="0" wp14:anchorId="21F7D84E" wp14:editId="10AA76C0">
            <wp:extent cx="2962275" cy="2466975"/>
            <wp:effectExtent l="0" t="0" r="9525" b="9525"/>
            <wp:docPr id="6589141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962275" cy="2466975"/>
                    </a:xfrm>
                    <a:prstGeom prst="rect">
                      <a:avLst/>
                    </a:prstGeom>
                  </pic:spPr>
                </pic:pic>
              </a:graphicData>
            </a:graphic>
          </wp:inline>
        </w:drawing>
      </w:r>
      <w:r w:rsidR="67BBBAAD" w:rsidRPr="0083510D">
        <w:rPr>
          <w:rFonts w:cs="Times New Roman"/>
          <w:noProof/>
        </w:rPr>
        <w:t xml:space="preserve"> </w:t>
      </w:r>
      <w:r w:rsidR="67BBBAAD" w:rsidRPr="0083510D">
        <w:rPr>
          <w:rFonts w:cs="Times New Roman"/>
          <w:noProof/>
        </w:rPr>
        <w:drawing>
          <wp:inline distT="0" distB="0" distL="0" distR="0" wp14:anchorId="5A273AED" wp14:editId="01887730">
            <wp:extent cx="2924175" cy="2686050"/>
            <wp:effectExtent l="0" t="0" r="9525" b="0"/>
            <wp:docPr id="2571409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2924175" cy="2686050"/>
                    </a:xfrm>
                    <a:prstGeom prst="rect">
                      <a:avLst/>
                    </a:prstGeom>
                  </pic:spPr>
                </pic:pic>
              </a:graphicData>
            </a:graphic>
          </wp:inline>
        </w:drawing>
      </w:r>
    </w:p>
    <w:p w14:paraId="6DEA4671" w14:textId="1C199979" w:rsidR="00D8150B" w:rsidRPr="0083510D" w:rsidRDefault="00CA5AC6" w:rsidP="00C568D4">
      <w:pPr>
        <w:ind w:firstLine="426"/>
        <w:jc w:val="both"/>
        <w:rPr>
          <w:rFonts w:cs="Times New Roman"/>
          <w:sz w:val="24"/>
        </w:rPr>
      </w:pPr>
      <w:r w:rsidRPr="0083510D">
        <w:rPr>
          <w:rFonts w:cs="Times New Roman"/>
          <w:sz w:val="24"/>
        </w:rPr>
        <w:t>2019.gadā preču un pakalpojumu eksporta apjomi pieauga, taču mērenāk nekā pirms gada. Eksportu veicināja straujāka ekonomikas izaugsme Lietuvā un Igaunijā, kā arī ekonomiskās situācijas stabilizēšanās Krievijā un citās NVS valstīs.</w:t>
      </w:r>
    </w:p>
    <w:p w14:paraId="561D32EE" w14:textId="77777777" w:rsidR="00CA5AC6" w:rsidRPr="0083510D" w:rsidRDefault="00CA5AC6" w:rsidP="00C568D4">
      <w:pPr>
        <w:ind w:firstLine="426"/>
        <w:jc w:val="both"/>
        <w:rPr>
          <w:rFonts w:cs="Times New Roman"/>
          <w:sz w:val="24"/>
        </w:rPr>
      </w:pPr>
      <w:r w:rsidRPr="0083510D">
        <w:rPr>
          <w:rFonts w:cs="Times New Roman"/>
          <w:sz w:val="24"/>
        </w:rPr>
        <w:t xml:space="preserve">2014.-2018.gadā eksporta pieaugumu pamatā noteica ārējais pieprasījums, savukārt cenu konkurētspējas loma eksporta pieaugumā bija mazāka vai pat negatīva. Savukārt 2019.gadā eksporta izaugsmi vairāk ietekmē konkurētspējas efekts, kas saistīts ar veiksmīgu jaunu tirgu apgūšanu. </w:t>
      </w:r>
    </w:p>
    <w:p w14:paraId="4F60C555" w14:textId="3080D312" w:rsidR="00864A1F" w:rsidRPr="0083510D" w:rsidRDefault="00CA5AC6" w:rsidP="00C568D4">
      <w:pPr>
        <w:ind w:firstLine="426"/>
        <w:jc w:val="both"/>
        <w:rPr>
          <w:rFonts w:cs="Times New Roman"/>
          <w:sz w:val="24"/>
        </w:rPr>
      </w:pPr>
      <w:r w:rsidRPr="0083510D">
        <w:rPr>
          <w:rFonts w:cs="Times New Roman"/>
          <w:sz w:val="24"/>
        </w:rPr>
        <w:t>Straujas</w:t>
      </w:r>
      <w:r w:rsidR="00B418E5" w:rsidRPr="0083510D">
        <w:rPr>
          <w:rFonts w:cs="Times New Roman"/>
          <w:sz w:val="24"/>
        </w:rPr>
        <w:t xml:space="preserve"> izaugsmes gados preču eksporta izaugsmē dominēja dažas lielākās eksporta preču grupas, tādas kā koksne un tās izstrādājumi un metāli. Krīzes laikā eksporta apjomi samazinājās visās preču grupās, tomēr straujāk saruka tieši lielāko eksporta grupu apjomi. Pēckrīzes periodā, atsākoties izaugsmei, eksporta apjomu pieaugumi preču grupu griezumā ir līdzīgāki, kas nosaka augstāku eksporta diversifikācijas pakāpi.</w:t>
      </w:r>
    </w:p>
    <w:p w14:paraId="1D2165DD" w14:textId="1D9A9C09" w:rsidR="00CA5AC6" w:rsidRPr="0083510D" w:rsidRDefault="00B418E5" w:rsidP="00C568D4">
      <w:pPr>
        <w:ind w:firstLine="426"/>
        <w:jc w:val="both"/>
        <w:rPr>
          <w:rFonts w:cs="Times New Roman"/>
          <w:sz w:val="24"/>
        </w:rPr>
      </w:pPr>
      <w:r w:rsidRPr="0083510D">
        <w:rPr>
          <w:rFonts w:cs="Times New Roman"/>
          <w:sz w:val="24"/>
        </w:rPr>
        <w:t>Latvijā pēdējos gados eksporta diversifikācijas rādītājs atbilst ES-15 valstu vidējam līmenim.</w:t>
      </w:r>
    </w:p>
    <w:p w14:paraId="313BAF05" w14:textId="0AE14EC1" w:rsidR="00B418E5" w:rsidRPr="0083510D" w:rsidRDefault="00CE1BC0" w:rsidP="00C568D4">
      <w:pPr>
        <w:ind w:firstLine="426"/>
        <w:jc w:val="both"/>
        <w:rPr>
          <w:rFonts w:cs="Times New Roman"/>
          <w:sz w:val="24"/>
        </w:rPr>
      </w:pPr>
      <w:r w:rsidRPr="0083510D">
        <w:rPr>
          <w:rFonts w:cs="Times New Roman"/>
          <w:sz w:val="24"/>
        </w:rPr>
        <w:t>Latvijas eksporta daļa pasaules tirgū pieaug, kas liecina ka Latvijas uzņēmēji saglabā konkurētspēju, neraugoties uz strauju darbaspēka izmaksu pieaugumu.</w:t>
      </w:r>
    </w:p>
    <w:p w14:paraId="1EC2FEF4" w14:textId="6BFBC2A9" w:rsidR="00D8150B" w:rsidRPr="0083510D" w:rsidRDefault="317A627E">
      <w:pPr>
        <w:rPr>
          <w:rFonts w:cs="Times New Roman"/>
        </w:rPr>
      </w:pPr>
      <w:r w:rsidRPr="0083510D">
        <w:rPr>
          <w:rFonts w:cs="Times New Roman"/>
          <w:noProof/>
        </w:rPr>
        <w:lastRenderedPageBreak/>
        <w:drawing>
          <wp:inline distT="0" distB="0" distL="0" distR="0" wp14:anchorId="6E1AB644" wp14:editId="3AB06B89">
            <wp:extent cx="3038475" cy="2733675"/>
            <wp:effectExtent l="0" t="0" r="9525" b="9525"/>
            <wp:docPr id="10241034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3038475" cy="2733675"/>
                    </a:xfrm>
                    <a:prstGeom prst="rect">
                      <a:avLst/>
                    </a:prstGeom>
                  </pic:spPr>
                </pic:pic>
              </a:graphicData>
            </a:graphic>
          </wp:inline>
        </w:drawing>
      </w:r>
      <w:r w:rsidR="2635CB1E" w:rsidRPr="0083510D">
        <w:rPr>
          <w:rFonts w:cs="Times New Roman"/>
          <w:noProof/>
        </w:rPr>
        <w:t xml:space="preserve"> </w:t>
      </w:r>
      <w:r w:rsidR="2635CB1E" w:rsidRPr="0083510D">
        <w:rPr>
          <w:rFonts w:cs="Times New Roman"/>
          <w:noProof/>
        </w:rPr>
        <w:drawing>
          <wp:inline distT="0" distB="0" distL="0" distR="0" wp14:anchorId="5F2A10B6" wp14:editId="0E566852">
            <wp:extent cx="3019425" cy="2705100"/>
            <wp:effectExtent l="0" t="0" r="9525" b="0"/>
            <wp:docPr id="2836487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3019425" cy="2705100"/>
                    </a:xfrm>
                    <a:prstGeom prst="rect">
                      <a:avLst/>
                    </a:prstGeom>
                  </pic:spPr>
                </pic:pic>
              </a:graphicData>
            </a:graphic>
          </wp:inline>
        </w:drawing>
      </w:r>
    </w:p>
    <w:p w14:paraId="7473690C" w14:textId="6E4C9F61" w:rsidR="00D46FBB" w:rsidRPr="0083510D" w:rsidRDefault="00B44EF8" w:rsidP="00C568D4">
      <w:pPr>
        <w:pStyle w:val="Heading2"/>
        <w:shd w:val="clear" w:color="auto" w:fill="1DA0A7"/>
        <w:spacing w:before="0"/>
        <w:rPr>
          <w:rFonts w:cs="Times New Roman"/>
        </w:rPr>
      </w:pPr>
      <w:bookmarkStart w:id="5" w:name="_Toc47359870"/>
      <w:r w:rsidRPr="0083510D">
        <w:rPr>
          <w:rFonts w:cs="Times New Roman"/>
          <w:b/>
          <w:color w:val="FFFFFF" w:themeColor="background1"/>
        </w:rPr>
        <w:t xml:space="preserve">1.2. </w:t>
      </w:r>
      <w:r w:rsidR="00175959" w:rsidRPr="0083510D">
        <w:rPr>
          <w:rFonts w:cs="Times New Roman"/>
          <w:b/>
          <w:color w:val="FFFFFF" w:themeColor="background1"/>
        </w:rPr>
        <w:t>Produktivitātes un k</w:t>
      </w:r>
      <w:r w:rsidR="00237CF4" w:rsidRPr="0083510D">
        <w:rPr>
          <w:rFonts w:cs="Times New Roman"/>
          <w:b/>
          <w:color w:val="FFFFFF" w:themeColor="background1"/>
        </w:rPr>
        <w:t>onkurētspējas raksturojums</w:t>
      </w:r>
      <w:bookmarkEnd w:id="5"/>
    </w:p>
    <w:p w14:paraId="33920368" w14:textId="039972C5" w:rsidR="00D8150B" w:rsidRPr="0083510D" w:rsidRDefault="00D8150B">
      <w:pPr>
        <w:rPr>
          <w:rFonts w:cs="Times New Roman"/>
          <w:sz w:val="18"/>
        </w:rPr>
      </w:pPr>
      <w:bookmarkStart w:id="6" w:name="_Hlk41399718"/>
    </w:p>
    <w:p w14:paraId="272C4F6A" w14:textId="77777777" w:rsidR="00BA6E6D" w:rsidRPr="0083510D" w:rsidRDefault="00246274" w:rsidP="00C568D4">
      <w:pPr>
        <w:ind w:firstLine="426"/>
        <w:jc w:val="both"/>
        <w:rPr>
          <w:rFonts w:cs="Times New Roman"/>
          <w:sz w:val="24"/>
        </w:rPr>
      </w:pPr>
      <w:r w:rsidRPr="0083510D">
        <w:rPr>
          <w:rFonts w:cs="Times New Roman"/>
          <w:sz w:val="24"/>
        </w:rPr>
        <w:t xml:space="preserve">Produktivitātes dinamika Latvijā pēdējos gados ir bijusi straujāka nekā vidēji ES. 2019.gadā IKP uz vienu nodarbināto (produktivitāte) Latvijas tautsaimniecībā kopumā, sasniedza 49,8% (gandrīz 70% pēc PPS) no vidējā ES līmeņa. Laika periodā no 2010. līdz 2019.gadam produktivitātes plaisa ar ES vidējo līmeni samazinājās par 12,4% punktiem, tai skaitā pēdējos trīs gados – par gandrīz 6% punktiem. </w:t>
      </w:r>
    </w:p>
    <w:p w14:paraId="39D8F50B" w14:textId="249C9C7E" w:rsidR="00BA6E6D" w:rsidRPr="0083510D" w:rsidRDefault="00BA6E6D" w:rsidP="00C568D4">
      <w:pPr>
        <w:ind w:firstLine="426"/>
        <w:jc w:val="both"/>
        <w:rPr>
          <w:rFonts w:cs="Times New Roman"/>
          <w:sz w:val="24"/>
        </w:rPr>
      </w:pPr>
      <w:r w:rsidRPr="0083510D">
        <w:rPr>
          <w:rFonts w:cs="Times New Roman"/>
          <w:sz w:val="24"/>
        </w:rPr>
        <w:t xml:space="preserve">Tomēr darbaspēka izmaksas ir augušas straujāk nekā produktivitāte, vājinot Latvijas uzņēmēju konkurētspēju izmaksu jomā. Par izmaksu konkurētspējas mazināšanās  pieaugušiem riskiem liecina arī nominālās darbaspēka vienības izmaksu (ULC) pieaugums. Pēdējos trīs gados (2017.-2019.gadā) produktivitāte vidēji gadā pieauga par 3%, kamēr darbaspēka izmaksas palielinājās par 7,8%, t.i., gandrīz 2,5 reizes straujāk.  </w:t>
      </w:r>
    </w:p>
    <w:p w14:paraId="5E9117FF" w14:textId="5FBB80AC" w:rsidR="00D8150B" w:rsidRPr="0083510D" w:rsidRDefault="4B29A2FE" w:rsidP="00C568D4">
      <w:pPr>
        <w:ind w:firstLine="426"/>
        <w:jc w:val="both"/>
        <w:rPr>
          <w:rFonts w:cs="Times New Roman"/>
          <w:sz w:val="24"/>
        </w:rPr>
      </w:pPr>
      <w:r w:rsidRPr="0083510D">
        <w:rPr>
          <w:rFonts w:cs="Times New Roman"/>
          <w:noProof/>
        </w:rPr>
        <w:drawing>
          <wp:inline distT="0" distB="0" distL="0" distR="0" wp14:anchorId="6C051102" wp14:editId="72D519DD">
            <wp:extent cx="2775006" cy="2405005"/>
            <wp:effectExtent l="0" t="0" r="6350" b="0"/>
            <wp:docPr id="5097658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2776718" cy="2406489"/>
                    </a:xfrm>
                    <a:prstGeom prst="rect">
                      <a:avLst/>
                    </a:prstGeom>
                  </pic:spPr>
                </pic:pic>
              </a:graphicData>
            </a:graphic>
          </wp:inline>
        </w:drawing>
      </w:r>
      <w:r w:rsidR="5160C82E" w:rsidRPr="0083510D">
        <w:rPr>
          <w:rFonts w:cs="Times New Roman"/>
          <w:noProof/>
        </w:rPr>
        <w:t xml:space="preserve"> </w:t>
      </w:r>
      <w:r w:rsidR="5160C82E" w:rsidRPr="0083510D">
        <w:rPr>
          <w:rFonts w:cs="Times New Roman"/>
          <w:noProof/>
        </w:rPr>
        <w:drawing>
          <wp:inline distT="0" distB="0" distL="0" distR="0" wp14:anchorId="0DDF7126" wp14:editId="6F66EF47">
            <wp:extent cx="2746501" cy="2377440"/>
            <wp:effectExtent l="0" t="0" r="0" b="3810"/>
            <wp:docPr id="55649097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2753168" cy="2383211"/>
                    </a:xfrm>
                    <a:prstGeom prst="rect">
                      <a:avLst/>
                    </a:prstGeom>
                  </pic:spPr>
                </pic:pic>
              </a:graphicData>
            </a:graphic>
          </wp:inline>
        </w:drawing>
      </w:r>
      <w:r w:rsidR="0073082B" w:rsidRPr="0083510D" w:rsidDel="00175959">
        <w:rPr>
          <w:rFonts w:cs="Times New Roman"/>
        </w:rPr>
        <w:t xml:space="preserve"> </w:t>
      </w:r>
      <w:r w:rsidR="00625BC0" w:rsidRPr="0083510D">
        <w:rPr>
          <w:rFonts w:cs="Times New Roman"/>
          <w:sz w:val="24"/>
        </w:rPr>
        <w:t>Darbaspēka izmaksu spēcīgu kāpumu ietekmēja gan algu konverģences procesi integrētajā ES darba tirgū, gan saspīlētāka situācija iekšzemes darba tirgū. Pēdējos gados nominālā ULC īpaši spēcīga dinamika bija vērojama visās Baltijas valstīs. Laika periodā no 2017. līdz 2019.gadam nominālais ULC Latvijā pieauga par 16,5%, Igaunijā – par 15,7% un Lietuvā – par 16,3%, kas ir daudz straujāk nekā vidēji ES (4,1%) un šim rādītājam ir pārsniegts ES brīdināšanas mehānisma (MIP) noteiktais slieksnis (9%).</w:t>
      </w:r>
      <w:bookmarkEnd w:id="6"/>
      <w:r w:rsidR="00DC6475" w:rsidRPr="0083510D">
        <w:rPr>
          <w:rFonts w:cs="Times New Roman"/>
          <w:sz w:val="24"/>
        </w:rPr>
        <w:t xml:space="preserve">Lai arī izmaksu konkurētspējas rādītājam (ULC) ir negatīvās tendences, Latvijas daļa eksporta tirgos pieaug. Laikā no 2014.gada līdz 2018.gadam Latvijas eksporta daļa pasaules preču un pakalpojumu tirgos pieauga par 8,6%, kas ir vairāk nekā Baltijas kaimiņvalstīm. Tas nozīmē, ka Latvija saglabā savu konkurētspēju ārējos tirgos. Tomēr dati par gada tirgus daļas izmaiņām liecina, ka pozitīvās tendences kļūst arvien mērenākas. Reālais efektīvas valūtas kursa (REER) pieaug. Uz patēriņa cenu indeksa (PCI) balstīts REER pret 42 tirdzniecības partnervalstīm pēdējos trīs gados (2017.-2019.) pieauga par 3,7% (t.sk. pret eirozonas partnervalstīm – par 2,8%), kas ir tuvu MIP slieksnim. Darbaspēka izmaksu pieaugums, kas netiek kompensēts ar atbilstošu produktivitātes </w:t>
      </w:r>
      <w:r w:rsidR="00DC6475" w:rsidRPr="0083510D">
        <w:rPr>
          <w:rFonts w:cs="Times New Roman"/>
          <w:sz w:val="24"/>
        </w:rPr>
        <w:lastRenderedPageBreak/>
        <w:t>kāpumu var radīt spiedienu uz peļņas normas samazināšanos, lai saglabātu cenu konkurētspēju ārējos tirgos. Bez tam, ilgstoši pozitīva ULC dinamika palielina valsts ārējās nesabalansētības draudus.</w:t>
      </w:r>
    </w:p>
    <w:p w14:paraId="272AECCF" w14:textId="07E2EC38" w:rsidR="00801735" w:rsidRPr="0083510D" w:rsidRDefault="6D9A83D2" w:rsidP="00C568D4">
      <w:pPr>
        <w:jc w:val="both"/>
        <w:rPr>
          <w:rFonts w:cs="Times New Roman"/>
        </w:rPr>
      </w:pPr>
      <w:r w:rsidRPr="0083510D">
        <w:rPr>
          <w:rFonts w:cs="Times New Roman"/>
          <w:noProof/>
        </w:rPr>
        <w:drawing>
          <wp:inline distT="0" distB="0" distL="0" distR="0" wp14:anchorId="71304CC5" wp14:editId="3C3561E4">
            <wp:extent cx="2886075" cy="3400425"/>
            <wp:effectExtent l="0" t="0" r="9525" b="9525"/>
            <wp:docPr id="11721446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5">
                      <a:extLst>
                        <a:ext uri="{28A0092B-C50C-407E-A947-70E740481C1C}">
                          <a14:useLocalDpi xmlns:a14="http://schemas.microsoft.com/office/drawing/2010/main" val="0"/>
                        </a:ext>
                      </a:extLst>
                    </a:blip>
                    <a:stretch>
                      <a:fillRect/>
                    </a:stretch>
                  </pic:blipFill>
                  <pic:spPr>
                    <a:xfrm>
                      <a:off x="0" y="0"/>
                      <a:ext cx="2886075" cy="3400425"/>
                    </a:xfrm>
                    <a:prstGeom prst="rect">
                      <a:avLst/>
                    </a:prstGeom>
                  </pic:spPr>
                </pic:pic>
              </a:graphicData>
            </a:graphic>
          </wp:inline>
        </w:drawing>
      </w:r>
    </w:p>
    <w:p w14:paraId="66AD5500" w14:textId="77777777" w:rsidR="00E413C2" w:rsidRPr="0083510D" w:rsidRDefault="00B44EF8" w:rsidP="00C568D4">
      <w:pPr>
        <w:pStyle w:val="Heading2"/>
        <w:shd w:val="clear" w:color="auto" w:fill="1DA0A7"/>
        <w:spacing w:before="0"/>
        <w:rPr>
          <w:rFonts w:cs="Times New Roman"/>
          <w:b/>
          <w:color w:val="FFFFFF" w:themeColor="background1"/>
        </w:rPr>
      </w:pPr>
      <w:bookmarkStart w:id="7" w:name="_Toc47359871"/>
      <w:r w:rsidRPr="0083510D">
        <w:rPr>
          <w:rFonts w:cs="Times New Roman"/>
          <w:b/>
          <w:color w:val="FFFFFF" w:themeColor="background1"/>
        </w:rPr>
        <w:t>1.3</w:t>
      </w:r>
      <w:r w:rsidR="00ED5B12" w:rsidRPr="0083510D">
        <w:rPr>
          <w:rFonts w:cs="Times New Roman"/>
          <w:b/>
          <w:color w:val="FFFFFF" w:themeColor="background1"/>
        </w:rPr>
        <w:t xml:space="preserve">. </w:t>
      </w:r>
      <w:r w:rsidR="00E413C2" w:rsidRPr="0083510D">
        <w:rPr>
          <w:rFonts w:cs="Times New Roman"/>
          <w:b/>
          <w:color w:val="FFFFFF" w:themeColor="background1"/>
        </w:rPr>
        <w:t>Ārvalstu tiešās investīcijas</w:t>
      </w:r>
      <w:bookmarkEnd w:id="7"/>
    </w:p>
    <w:p w14:paraId="37BC609E" w14:textId="17A72A60" w:rsidR="00EF08FC" w:rsidRPr="0083510D" w:rsidRDefault="00DE0F41" w:rsidP="00C568D4">
      <w:pPr>
        <w:tabs>
          <w:tab w:val="left" w:pos="2816"/>
        </w:tabs>
        <w:ind w:firstLine="284"/>
        <w:jc w:val="both"/>
        <w:rPr>
          <w:rFonts w:cs="Times New Roman"/>
          <w:sz w:val="18"/>
        </w:rPr>
      </w:pPr>
      <w:r w:rsidRPr="0083510D">
        <w:rPr>
          <w:rFonts w:eastAsia="Times New Roman" w:cs="Times New Roman"/>
          <w:sz w:val="12"/>
          <w:szCs w:val="12"/>
        </w:rPr>
        <w:tab/>
      </w:r>
    </w:p>
    <w:p w14:paraId="08CC14C6" w14:textId="5CF3B1EF" w:rsidR="00EF08FC" w:rsidRPr="0083510D" w:rsidRDefault="00842734" w:rsidP="00C568D4">
      <w:pPr>
        <w:ind w:firstLine="426"/>
        <w:jc w:val="both"/>
        <w:rPr>
          <w:rFonts w:cs="Times New Roman"/>
          <w:sz w:val="24"/>
        </w:rPr>
      </w:pPr>
      <w:r w:rsidRPr="0083510D">
        <w:rPr>
          <w:rFonts w:cs="Times New Roman"/>
          <w:sz w:val="24"/>
        </w:rPr>
        <w:t>Ārvalstu tiešo investīciju (</w:t>
      </w:r>
      <w:r w:rsidR="004B0830" w:rsidRPr="0083510D">
        <w:rPr>
          <w:rFonts w:cs="Times New Roman"/>
          <w:sz w:val="24"/>
        </w:rPr>
        <w:t xml:space="preserve">turpmāk - </w:t>
      </w:r>
      <w:r w:rsidRPr="0083510D">
        <w:rPr>
          <w:rFonts w:cs="Times New Roman"/>
          <w:sz w:val="24"/>
        </w:rPr>
        <w:t>ĀTI) plūsmu intensitāte Latvijā, kā arī citās Baltijas valstīs ir mērena. Tas skaidrojams ar nestabilitāti pasaules ekonomikā un pieaugušiem ģeopolitiskiem riskiem</w:t>
      </w:r>
      <w:r w:rsidR="009E6256" w:rsidRPr="0083510D">
        <w:rPr>
          <w:rFonts w:cs="Times New Roman"/>
          <w:sz w:val="24"/>
        </w:rPr>
        <w:t>. Jāatzīmē, ka pasaulē kopumā tiešo investīciju pārrobežu plūsmu intensitātes ir mērenāka nekā pirms globālās finanšu krīzes. Kopš 2017.gada ārvalstu investoru aktivitāte Baltijas valstīs palielinājās, sasniedzot gandrīz 3% no IKP līmeni, kur lielākā daļa no ĀTI plūsmām bija Igaunijas ekonomikā.  2019.gadā Baltijas valstīs kopumā piesaistītās ĀTI neto plūsmas bija gandrīz 4,5 miljardi eiro, un Latvija piesaistīja 16% no visām ĀTI Baltijas valstīs, Igaunija – 62% un Lietuva – 22 procenti.</w:t>
      </w:r>
    </w:p>
    <w:p w14:paraId="1260D562" w14:textId="77777777" w:rsidR="009A5E93" w:rsidRPr="0083510D" w:rsidRDefault="009A5E93" w:rsidP="00C568D4">
      <w:pPr>
        <w:tabs>
          <w:tab w:val="left" w:pos="2816"/>
        </w:tabs>
        <w:jc w:val="both"/>
        <w:rPr>
          <w:rFonts w:cs="Times New Roman"/>
        </w:rPr>
      </w:pPr>
    </w:p>
    <w:p w14:paraId="5984843F" w14:textId="33A15090" w:rsidR="009A5E93" w:rsidRPr="0083510D" w:rsidRDefault="009A5E93" w:rsidP="00C568D4">
      <w:pPr>
        <w:tabs>
          <w:tab w:val="left" w:pos="2816"/>
        </w:tabs>
        <w:jc w:val="both"/>
        <w:rPr>
          <w:rFonts w:cs="Times New Roman"/>
          <w:noProof/>
        </w:rPr>
      </w:pPr>
      <w:r w:rsidRPr="0083510D">
        <w:rPr>
          <w:rFonts w:cs="Times New Roman"/>
          <w:noProof/>
        </w:rPr>
        <w:drawing>
          <wp:inline distT="0" distB="0" distL="0" distR="0" wp14:anchorId="2EFB8505" wp14:editId="2E910146">
            <wp:extent cx="2894275" cy="2353172"/>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51346" cy="2399573"/>
                    </a:xfrm>
                    <a:prstGeom prst="rect">
                      <a:avLst/>
                    </a:prstGeom>
                  </pic:spPr>
                </pic:pic>
              </a:graphicData>
            </a:graphic>
          </wp:inline>
        </w:drawing>
      </w:r>
      <w:r w:rsidR="00730AC4" w:rsidRPr="0083510D">
        <w:rPr>
          <w:rFonts w:cs="Times New Roman"/>
          <w:noProof/>
        </w:rPr>
        <w:t xml:space="preserve"> </w:t>
      </w:r>
      <w:r w:rsidR="00730AC4" w:rsidRPr="0083510D">
        <w:rPr>
          <w:rFonts w:cs="Times New Roman"/>
          <w:noProof/>
        </w:rPr>
        <w:drawing>
          <wp:inline distT="0" distB="0" distL="0" distR="0" wp14:anchorId="4E5D0261" wp14:editId="05B7C281">
            <wp:extent cx="3220278" cy="26120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243836" cy="2631111"/>
                    </a:xfrm>
                    <a:prstGeom prst="rect">
                      <a:avLst/>
                    </a:prstGeom>
                  </pic:spPr>
                </pic:pic>
              </a:graphicData>
            </a:graphic>
          </wp:inline>
        </w:drawing>
      </w:r>
    </w:p>
    <w:p w14:paraId="68B5CC89" w14:textId="77777777" w:rsidR="00BD1140" w:rsidRPr="0083510D" w:rsidRDefault="005C1B11" w:rsidP="00C568D4">
      <w:pPr>
        <w:ind w:firstLine="426"/>
        <w:jc w:val="both"/>
        <w:rPr>
          <w:rFonts w:cs="Times New Roman"/>
          <w:sz w:val="24"/>
        </w:rPr>
      </w:pPr>
      <w:r w:rsidRPr="0083510D">
        <w:rPr>
          <w:rFonts w:cs="Times New Roman"/>
          <w:sz w:val="24"/>
        </w:rPr>
        <w:t xml:space="preserve">2019.gadā piesaistīto ĀTI plūsmas bija svārstīgas. 1.pusgadā tās sastādīja 110 milj. eiro, saglabājoties 2018.gada līmenī. Savukārt gada otrajā pusē ĀTI neto plūsmas bija ievērojami lielākā apjomā (595 milj. eiro). ĀTI plūsmu svārstības lielā mērā ietekmēja dividenžu izmaksas ārvalstu investoriem 2019.gada 2.ceturksnī. </w:t>
      </w:r>
    </w:p>
    <w:p w14:paraId="1DB5C689" w14:textId="08A7EAD9" w:rsidR="00730AC4" w:rsidRPr="0083510D" w:rsidRDefault="005C1B11" w:rsidP="00C568D4">
      <w:pPr>
        <w:ind w:firstLine="426"/>
        <w:jc w:val="both"/>
        <w:rPr>
          <w:rFonts w:cs="Times New Roman"/>
          <w:sz w:val="24"/>
        </w:rPr>
      </w:pPr>
      <w:r w:rsidRPr="0083510D">
        <w:rPr>
          <w:rFonts w:cs="Times New Roman"/>
          <w:sz w:val="24"/>
        </w:rPr>
        <w:t xml:space="preserve">Kopumā piesaistīto ĀTI plūsmas 2019.gadā bija par 16,3% mazākas nekā pirms gada un veidoja 2,3% no IKP. Uzkrātās ĀTI Latvijas ekonomikā 2019.gada beigās sasniedza gandrīz 16 mljrd. eiro (52,4% no IKP). Gada laikā tās pieauga par 5,1%. Lielākā ieguldītājvalsts Latvijas ekonomikā ir </w:t>
      </w:r>
      <w:r w:rsidRPr="0083510D">
        <w:rPr>
          <w:rFonts w:cs="Times New Roman"/>
          <w:sz w:val="24"/>
        </w:rPr>
        <w:lastRenderedPageBreak/>
        <w:t>Zviedrija. Tās uzņēmēju investīcijas 2019.gada beigās veidoja 14,7% no kopējām uzkrātajām ĀTI. Pārsvarā tās ir investīcijas finanšu starpniecībā. Lieli ir arī Igaunijas, Krievijas, Nīderlandes, Kipras, Lietuvas un Vācijas uzņēmēju ieguldījumi. Šo valstu investīcijas Latvijas ekonomikā 2019.gada beigās veidoja 65% no kopējām uzkrātām ĀTI.</w:t>
      </w:r>
    </w:p>
    <w:p w14:paraId="5843B1E0" w14:textId="49809C0F" w:rsidR="00BD1140" w:rsidRPr="0083510D" w:rsidRDefault="00BD1140" w:rsidP="00C568D4">
      <w:pPr>
        <w:ind w:firstLine="426"/>
        <w:jc w:val="both"/>
        <w:rPr>
          <w:rFonts w:cs="Times New Roman"/>
          <w:sz w:val="24"/>
        </w:rPr>
      </w:pPr>
      <w:r w:rsidRPr="0083510D">
        <w:rPr>
          <w:rFonts w:cs="Times New Roman"/>
          <w:sz w:val="24"/>
        </w:rPr>
        <w:t>Nozaru struktūrā lielāks uzkrāto ĀTI īpatsvars ir ieguldījumiem finanšu starpniecībā (23% no kopējām uzkrātām ĀTI), tirdzniecībā (15%), darījumos ar nekustamo īpašumu (16%) un apstrādes rūpniecībā (12%).</w:t>
      </w:r>
    </w:p>
    <w:p w14:paraId="1D861E48" w14:textId="149C8303" w:rsidR="009E6256" w:rsidRPr="0083510D" w:rsidRDefault="002439A1" w:rsidP="00C568D4">
      <w:pPr>
        <w:jc w:val="both"/>
        <w:rPr>
          <w:rFonts w:cs="Times New Roman"/>
          <w:sz w:val="24"/>
        </w:rPr>
      </w:pPr>
      <w:r w:rsidRPr="0083510D">
        <w:rPr>
          <w:rFonts w:cs="Times New Roman"/>
          <w:noProof/>
        </w:rPr>
        <w:drawing>
          <wp:inline distT="0" distB="0" distL="0" distR="0" wp14:anchorId="4B2E5BC7" wp14:editId="2A9A5816">
            <wp:extent cx="2957886" cy="264686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84383" cy="2670575"/>
                    </a:xfrm>
                    <a:prstGeom prst="rect">
                      <a:avLst/>
                    </a:prstGeom>
                  </pic:spPr>
                </pic:pic>
              </a:graphicData>
            </a:graphic>
          </wp:inline>
        </w:drawing>
      </w:r>
      <w:r w:rsidR="00A35CA4" w:rsidRPr="0083510D">
        <w:rPr>
          <w:rFonts w:cs="Times New Roman"/>
          <w:noProof/>
        </w:rPr>
        <w:t xml:space="preserve"> </w:t>
      </w:r>
      <w:r w:rsidR="00A35CA4" w:rsidRPr="0083510D">
        <w:rPr>
          <w:rFonts w:cs="Times New Roman"/>
          <w:noProof/>
        </w:rPr>
        <w:drawing>
          <wp:inline distT="0" distB="0" distL="0" distR="0" wp14:anchorId="5B4F667E" wp14:editId="687BBFB1">
            <wp:extent cx="2790908" cy="2936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97761" cy="2943414"/>
                    </a:xfrm>
                    <a:prstGeom prst="rect">
                      <a:avLst/>
                    </a:prstGeom>
                  </pic:spPr>
                </pic:pic>
              </a:graphicData>
            </a:graphic>
          </wp:inline>
        </w:drawing>
      </w:r>
    </w:p>
    <w:p w14:paraId="39CEA2F9" w14:textId="77777777" w:rsidR="00EF08FC" w:rsidRPr="0083510D" w:rsidRDefault="00EF08FC" w:rsidP="00C568D4">
      <w:pPr>
        <w:ind w:firstLine="426"/>
        <w:jc w:val="both"/>
        <w:rPr>
          <w:rFonts w:cs="Times New Roman"/>
          <w:sz w:val="24"/>
        </w:rPr>
      </w:pPr>
    </w:p>
    <w:p w14:paraId="7AA4850E" w14:textId="77777777" w:rsidR="008B71CF" w:rsidRPr="0083510D" w:rsidRDefault="00B44EF8" w:rsidP="00C568D4">
      <w:pPr>
        <w:pStyle w:val="Heading2"/>
        <w:shd w:val="clear" w:color="auto" w:fill="009999"/>
        <w:spacing w:before="0"/>
        <w:rPr>
          <w:rFonts w:cs="Times New Roman"/>
          <w:b/>
          <w:color w:val="FFFFFF" w:themeColor="background1"/>
        </w:rPr>
      </w:pPr>
      <w:bookmarkStart w:id="8" w:name="_Toc47359872"/>
      <w:r w:rsidRPr="0083510D">
        <w:rPr>
          <w:rFonts w:cs="Times New Roman"/>
          <w:b/>
          <w:color w:val="FFFFFF" w:themeColor="background1"/>
        </w:rPr>
        <w:t xml:space="preserve">1.4. </w:t>
      </w:r>
      <w:r w:rsidR="008B71CF" w:rsidRPr="0083510D">
        <w:rPr>
          <w:rFonts w:cs="Times New Roman"/>
          <w:b/>
          <w:color w:val="FFFFFF" w:themeColor="background1"/>
        </w:rPr>
        <w:t>Šķēršļi, kas kavē ārvalstu investīciju ienākšanu Latvijā</w:t>
      </w:r>
      <w:bookmarkEnd w:id="8"/>
    </w:p>
    <w:p w14:paraId="14915370" w14:textId="77777777" w:rsidR="00A0664A" w:rsidRPr="0083510D" w:rsidRDefault="00A0664A" w:rsidP="00C568D4">
      <w:pPr>
        <w:jc w:val="both"/>
        <w:rPr>
          <w:rFonts w:cs="Times New Roman"/>
          <w:b/>
          <w:sz w:val="10"/>
          <w:szCs w:val="24"/>
        </w:rPr>
      </w:pPr>
    </w:p>
    <w:p w14:paraId="3302BC20" w14:textId="1ADFD892" w:rsidR="0064037A" w:rsidRPr="0083510D" w:rsidRDefault="626E7200" w:rsidP="00C568D4">
      <w:pPr>
        <w:ind w:firstLine="426"/>
        <w:jc w:val="both"/>
        <w:rPr>
          <w:rFonts w:cs="Times New Roman"/>
          <w:sz w:val="24"/>
        </w:rPr>
      </w:pPr>
      <w:r w:rsidRPr="0083510D">
        <w:rPr>
          <w:rFonts w:cs="Times New Roman"/>
          <w:sz w:val="24"/>
        </w:rPr>
        <w:t>Viens no priekšnosacījumiem investīciju piesaistē ir stabila un investoriem labvēlīga uzņēmējdarbības vide.</w:t>
      </w:r>
    </w:p>
    <w:p w14:paraId="7FF8631E" w14:textId="0D2997EC" w:rsidR="00D51813" w:rsidRPr="0083510D" w:rsidRDefault="626E7200" w:rsidP="00D51813">
      <w:pPr>
        <w:ind w:firstLine="426"/>
        <w:jc w:val="both"/>
        <w:rPr>
          <w:rFonts w:cs="Times New Roman"/>
          <w:sz w:val="24"/>
        </w:rPr>
      </w:pPr>
      <w:r w:rsidRPr="0083510D">
        <w:rPr>
          <w:rFonts w:cs="Times New Roman"/>
          <w:sz w:val="24"/>
        </w:rPr>
        <w:t xml:space="preserve"> </w:t>
      </w:r>
      <w:r w:rsidR="0047485F" w:rsidRPr="0083510D">
        <w:rPr>
          <w:rFonts w:cs="Times New Roman"/>
          <w:sz w:val="24"/>
        </w:rPr>
        <w:t>Var tikt identificēti vairāki faktori, kas kavē ārvalstu ti</w:t>
      </w:r>
      <w:r w:rsidR="009764F9" w:rsidRPr="0083510D">
        <w:rPr>
          <w:rFonts w:cs="Times New Roman"/>
          <w:sz w:val="24"/>
        </w:rPr>
        <w:t xml:space="preserve">ešo investīciju ieplūdi Latvijā – </w:t>
      </w:r>
      <w:r w:rsidR="0C81B327" w:rsidRPr="0083510D">
        <w:rPr>
          <w:rFonts w:cs="Times New Roman"/>
          <w:sz w:val="24"/>
        </w:rPr>
        <w:t>izglītības un zinātnes kvalitāte un darbaspēka pieejamība, veselības aprūpes un sociālās aizsardzības kvalitāte</w:t>
      </w:r>
      <w:r w:rsidR="6D43F787" w:rsidRPr="0083510D">
        <w:rPr>
          <w:rFonts w:cs="Times New Roman"/>
          <w:sz w:val="24"/>
        </w:rPr>
        <w:t>,</w:t>
      </w:r>
      <w:r w:rsidR="6A1199D5" w:rsidRPr="0083510D">
        <w:rPr>
          <w:rFonts w:cs="Times New Roman"/>
          <w:sz w:val="24"/>
        </w:rPr>
        <w:t xml:space="preserve"> finanšu pakalpojumu pieejamība un procedūru ilgums, </w:t>
      </w:r>
      <w:r w:rsidR="6394EF2D" w:rsidRPr="0083510D">
        <w:rPr>
          <w:rFonts w:cs="Times New Roman"/>
          <w:sz w:val="24"/>
        </w:rPr>
        <w:t>digitalizācijas līmenis, energoresursu izmaksas</w:t>
      </w:r>
      <w:r w:rsidR="4242EB9C" w:rsidRPr="0083510D">
        <w:rPr>
          <w:rFonts w:cs="Times New Roman"/>
          <w:sz w:val="24"/>
        </w:rPr>
        <w:t>, atba</w:t>
      </w:r>
      <w:r w:rsidR="09A8B265" w:rsidRPr="0083510D">
        <w:rPr>
          <w:rFonts w:cs="Times New Roman"/>
          <w:sz w:val="24"/>
        </w:rPr>
        <w:t>lsta instrumentu konkurētspēja salīdzinājumā ar citām lokācijas vietām</w:t>
      </w:r>
      <w:r w:rsidR="7F32CF16" w:rsidRPr="0083510D">
        <w:rPr>
          <w:rFonts w:cs="Times New Roman"/>
          <w:sz w:val="24"/>
        </w:rPr>
        <w:t>, administratīvais slogs nepieciešamo publisko pakalpojumu saņemšanā.</w:t>
      </w:r>
    </w:p>
    <w:p w14:paraId="7C1E79BF" w14:textId="0640BEF1" w:rsidR="00204D20" w:rsidRPr="0083510D" w:rsidRDefault="1FDA6B59" w:rsidP="00F308B0">
      <w:pPr>
        <w:ind w:firstLine="426"/>
        <w:jc w:val="both"/>
        <w:rPr>
          <w:rFonts w:eastAsia="Times New Roman" w:cs="Times New Roman"/>
          <w:sz w:val="24"/>
          <w:szCs w:val="24"/>
        </w:rPr>
      </w:pPr>
      <w:r w:rsidRPr="0083510D">
        <w:rPr>
          <w:rFonts w:eastAsia="Times New Roman" w:cs="Times New Roman"/>
          <w:sz w:val="24"/>
          <w:szCs w:val="24"/>
        </w:rPr>
        <w:t>Attiecībā uz būtiskākajiem faktoriem</w:t>
      </w:r>
      <w:r w:rsidR="148AAF0D" w:rsidRPr="0083510D">
        <w:rPr>
          <w:rFonts w:eastAsia="Times New Roman" w:cs="Times New Roman"/>
          <w:sz w:val="24"/>
          <w:szCs w:val="24"/>
        </w:rPr>
        <w:t xml:space="preserve"> un kavēkļiem ar ko sastopas LIAA klienti,</w:t>
      </w:r>
      <w:r w:rsidRPr="0083510D">
        <w:rPr>
          <w:rFonts w:eastAsia="Times New Roman" w:cs="Times New Roman"/>
          <w:sz w:val="24"/>
          <w:szCs w:val="24"/>
        </w:rPr>
        <w:t xml:space="preserve"> būtu </w:t>
      </w:r>
      <w:r w:rsidR="00204D20" w:rsidRPr="0083510D">
        <w:rPr>
          <w:rFonts w:eastAsia="Times New Roman" w:cs="Times New Roman"/>
          <w:sz w:val="24"/>
          <w:szCs w:val="24"/>
        </w:rPr>
        <w:t>j</w:t>
      </w:r>
      <w:r w:rsidR="00F32BCC" w:rsidRPr="0083510D">
        <w:rPr>
          <w:rFonts w:eastAsia="Times New Roman" w:cs="Times New Roman"/>
          <w:sz w:val="24"/>
          <w:szCs w:val="24"/>
        </w:rPr>
        <w:t>ā</w:t>
      </w:r>
      <w:r w:rsidR="00204D20" w:rsidRPr="0083510D">
        <w:rPr>
          <w:rFonts w:eastAsia="Times New Roman" w:cs="Times New Roman"/>
          <w:sz w:val="24"/>
          <w:szCs w:val="24"/>
        </w:rPr>
        <w:t>min</w:t>
      </w:r>
      <w:r w:rsidRPr="0083510D">
        <w:rPr>
          <w:rFonts w:eastAsia="Times New Roman" w:cs="Times New Roman"/>
          <w:sz w:val="24"/>
          <w:szCs w:val="24"/>
        </w:rPr>
        <w:t>:</w:t>
      </w:r>
    </w:p>
    <w:p w14:paraId="116D3774" w14:textId="0AC7EA25" w:rsidR="0064037A" w:rsidRPr="0083510D" w:rsidRDefault="75A172BF" w:rsidP="00F308B0">
      <w:pPr>
        <w:pStyle w:val="ListParagraph"/>
        <w:numPr>
          <w:ilvl w:val="0"/>
          <w:numId w:val="19"/>
        </w:numPr>
        <w:spacing w:line="240" w:lineRule="auto"/>
        <w:ind w:left="0"/>
        <w:rPr>
          <w:rFonts w:ascii="Times New Roman" w:eastAsia="Times New Roman" w:hAnsi="Times New Roman"/>
          <w:sz w:val="24"/>
          <w:szCs w:val="24"/>
        </w:rPr>
      </w:pPr>
      <w:r w:rsidRPr="0083510D">
        <w:rPr>
          <w:rFonts w:ascii="Times New Roman" w:eastAsia="Times New Roman" w:hAnsi="Times New Roman"/>
          <w:sz w:val="24"/>
          <w:szCs w:val="24"/>
        </w:rPr>
        <w:t>Kvalificēta darba spēka pieejamība prioritārajos sektoros</w:t>
      </w:r>
      <w:r w:rsidR="048D4AB6" w:rsidRPr="0083510D">
        <w:rPr>
          <w:rFonts w:ascii="Times New Roman" w:eastAsia="Times New Roman" w:hAnsi="Times New Roman"/>
          <w:sz w:val="24"/>
          <w:szCs w:val="24"/>
        </w:rPr>
        <w:t>;</w:t>
      </w:r>
    </w:p>
    <w:p w14:paraId="5009B88E" w14:textId="4521A9D8" w:rsidR="0064037A" w:rsidRPr="0083510D" w:rsidRDefault="1FDA6B59" w:rsidP="00F308B0">
      <w:pPr>
        <w:pStyle w:val="ListParagraph"/>
        <w:numPr>
          <w:ilvl w:val="0"/>
          <w:numId w:val="19"/>
        </w:numPr>
        <w:spacing w:line="240" w:lineRule="auto"/>
        <w:ind w:left="0"/>
        <w:rPr>
          <w:rFonts w:ascii="Times New Roman" w:hAnsi="Times New Roman"/>
          <w:sz w:val="24"/>
          <w:szCs w:val="24"/>
        </w:rPr>
      </w:pPr>
      <w:r w:rsidRPr="0083510D">
        <w:rPr>
          <w:rFonts w:ascii="Times New Roman" w:eastAsia="Times New Roman" w:hAnsi="Times New Roman"/>
          <w:sz w:val="24"/>
          <w:szCs w:val="24"/>
        </w:rPr>
        <w:t>TUA atļauju izsniegšanas process</w:t>
      </w:r>
      <w:r w:rsidR="28B14A62" w:rsidRPr="0083510D">
        <w:rPr>
          <w:rFonts w:ascii="Times New Roman" w:eastAsia="Times New Roman" w:hAnsi="Times New Roman"/>
          <w:sz w:val="24"/>
          <w:szCs w:val="24"/>
        </w:rPr>
        <w:t>;</w:t>
      </w:r>
    </w:p>
    <w:p w14:paraId="186DF5CE" w14:textId="3BBE3796" w:rsidR="0064037A" w:rsidRPr="0083510D" w:rsidRDefault="1FDA6B59" w:rsidP="00F308B0">
      <w:pPr>
        <w:pStyle w:val="ListParagraph"/>
        <w:numPr>
          <w:ilvl w:val="0"/>
          <w:numId w:val="19"/>
        </w:numPr>
        <w:spacing w:line="240" w:lineRule="auto"/>
        <w:ind w:left="0"/>
        <w:rPr>
          <w:rFonts w:ascii="Times New Roman" w:eastAsia="Times New Roman" w:hAnsi="Times New Roman"/>
          <w:sz w:val="24"/>
          <w:szCs w:val="24"/>
        </w:rPr>
      </w:pPr>
      <w:r w:rsidRPr="0083510D">
        <w:rPr>
          <w:rFonts w:ascii="Times New Roman" w:eastAsia="Times New Roman" w:hAnsi="Times New Roman"/>
          <w:sz w:val="24"/>
          <w:szCs w:val="24"/>
        </w:rPr>
        <w:t>Vienveidīgas normu piemērošanas process attiecībā uz dokumentu īstuma pārbaudi (IeM, PMLP, Konsulārais dienests) pārceļot darbiniekus (un ģimenes locekļus) uzņēmuma ietvaros un piesaistot darbiniekus no valstīm, kas nav EU;</w:t>
      </w:r>
    </w:p>
    <w:p w14:paraId="23784F1B" w14:textId="3727C28C" w:rsidR="0064037A" w:rsidRPr="0083510D" w:rsidRDefault="1FDA6B59" w:rsidP="00F308B0">
      <w:pPr>
        <w:pStyle w:val="ListParagraph"/>
        <w:numPr>
          <w:ilvl w:val="0"/>
          <w:numId w:val="19"/>
        </w:numPr>
        <w:spacing w:line="240" w:lineRule="auto"/>
        <w:ind w:left="0"/>
        <w:rPr>
          <w:rFonts w:ascii="Times New Roman" w:eastAsia="Times New Roman" w:hAnsi="Times New Roman"/>
          <w:sz w:val="24"/>
          <w:szCs w:val="24"/>
        </w:rPr>
      </w:pPr>
      <w:r w:rsidRPr="0083510D">
        <w:rPr>
          <w:rFonts w:ascii="Times New Roman" w:eastAsia="Times New Roman" w:hAnsi="Times New Roman"/>
          <w:sz w:val="24"/>
          <w:szCs w:val="24"/>
        </w:rPr>
        <w:t>TUA atļauju pagarināšana uzņēmumu vadītajiem un to ģimenes locekļiem.</w:t>
      </w:r>
    </w:p>
    <w:p w14:paraId="75DB3507" w14:textId="4957D117" w:rsidR="0064037A" w:rsidRPr="0083510D" w:rsidRDefault="1FDA6B59" w:rsidP="00F308B0">
      <w:pPr>
        <w:pStyle w:val="ListParagraph"/>
        <w:numPr>
          <w:ilvl w:val="0"/>
          <w:numId w:val="19"/>
        </w:numPr>
        <w:spacing w:line="240" w:lineRule="auto"/>
        <w:ind w:left="0"/>
        <w:rPr>
          <w:rFonts w:ascii="Times New Roman" w:eastAsia="Times New Roman" w:hAnsi="Times New Roman"/>
          <w:sz w:val="24"/>
          <w:szCs w:val="24"/>
        </w:rPr>
      </w:pPr>
      <w:r w:rsidRPr="0083510D">
        <w:rPr>
          <w:rFonts w:ascii="Times New Roman" w:eastAsia="Times New Roman" w:hAnsi="Times New Roman"/>
          <w:sz w:val="24"/>
          <w:szCs w:val="24"/>
        </w:rPr>
        <w:t>Vienkārša atbalsta instrumentu pieejamība granta veidā par darba vietu radīšanu prioritārajos sektoros (līdzīgi kā Lietuvā un Polijā).</w:t>
      </w:r>
    </w:p>
    <w:p w14:paraId="47BC08A8" w14:textId="64724883" w:rsidR="0064037A" w:rsidRPr="0083510D" w:rsidRDefault="1FDA6B59" w:rsidP="00F308B0">
      <w:pPr>
        <w:pStyle w:val="ListParagraph"/>
        <w:numPr>
          <w:ilvl w:val="0"/>
          <w:numId w:val="19"/>
        </w:numPr>
        <w:spacing w:line="240" w:lineRule="auto"/>
        <w:ind w:left="0"/>
        <w:rPr>
          <w:rFonts w:ascii="Times New Roman" w:eastAsia="Times New Roman" w:hAnsi="Times New Roman"/>
          <w:sz w:val="24"/>
          <w:szCs w:val="24"/>
        </w:rPr>
      </w:pPr>
      <w:r w:rsidRPr="0083510D">
        <w:rPr>
          <w:rFonts w:ascii="Times New Roman" w:eastAsia="Times New Roman" w:hAnsi="Times New Roman"/>
          <w:sz w:val="24"/>
          <w:szCs w:val="24"/>
        </w:rPr>
        <w:t>Vienas pieturas kontaktpunkta (platformas) pieejamība attiecībā uz PMLP, NVA un Konsulārā dienesta pakalpojumiem formalitāšu kārtošanai attiecībā uz TUA.</w:t>
      </w:r>
    </w:p>
    <w:p w14:paraId="53A143F1" w14:textId="429EDF91" w:rsidR="0064037A" w:rsidRPr="0083510D" w:rsidRDefault="1FDA6B59" w:rsidP="00F308B0">
      <w:pPr>
        <w:pStyle w:val="ListParagraph"/>
        <w:numPr>
          <w:ilvl w:val="0"/>
          <w:numId w:val="19"/>
        </w:numPr>
        <w:spacing w:line="240" w:lineRule="auto"/>
        <w:ind w:left="0"/>
        <w:rPr>
          <w:rFonts w:ascii="Times New Roman" w:eastAsia="Times New Roman" w:hAnsi="Times New Roman"/>
          <w:sz w:val="24"/>
          <w:szCs w:val="24"/>
        </w:rPr>
      </w:pPr>
      <w:r w:rsidRPr="0083510D">
        <w:rPr>
          <w:rFonts w:ascii="Times New Roman" w:eastAsia="Times New Roman" w:hAnsi="Times New Roman"/>
          <w:sz w:val="24"/>
          <w:szCs w:val="24"/>
        </w:rPr>
        <w:t>Izglītības sistēmas spēja un kapacitāte nodrošināt kompetenču un prasmju kopumu kas ir un kas nākotnē tiks pieprasīts darba tirgū.</w:t>
      </w:r>
    </w:p>
    <w:p w14:paraId="5A340F99" w14:textId="034E9F7B" w:rsidR="0064037A" w:rsidRPr="0083510D" w:rsidRDefault="3B39FC7E" w:rsidP="00F308B0">
      <w:pPr>
        <w:pStyle w:val="ListParagraph"/>
        <w:numPr>
          <w:ilvl w:val="0"/>
          <w:numId w:val="19"/>
        </w:numPr>
        <w:spacing w:line="240" w:lineRule="auto"/>
        <w:ind w:left="0"/>
        <w:rPr>
          <w:rFonts w:ascii="Times New Roman" w:eastAsia="Times New Roman" w:hAnsi="Times New Roman"/>
          <w:sz w:val="24"/>
          <w:szCs w:val="24"/>
        </w:rPr>
      </w:pPr>
      <w:r w:rsidRPr="0083510D">
        <w:rPr>
          <w:rFonts w:ascii="Times New Roman" w:eastAsia="Times New Roman" w:hAnsi="Times New Roman"/>
          <w:sz w:val="24"/>
          <w:szCs w:val="24"/>
        </w:rPr>
        <w:t>Brīvo ražošanas/industriālo telpu pieejamība SEZ un Brīvostās</w:t>
      </w:r>
    </w:p>
    <w:p w14:paraId="61E8537A" w14:textId="70E6586B" w:rsidR="0064037A" w:rsidRPr="0083510D" w:rsidRDefault="3B39FC7E" w:rsidP="00F308B0">
      <w:pPr>
        <w:pStyle w:val="ListParagraph"/>
        <w:numPr>
          <w:ilvl w:val="0"/>
          <w:numId w:val="19"/>
        </w:numPr>
        <w:spacing w:line="240" w:lineRule="auto"/>
        <w:ind w:left="0"/>
        <w:rPr>
          <w:rFonts w:ascii="Times New Roman" w:eastAsia="Times New Roman" w:hAnsi="Times New Roman"/>
          <w:sz w:val="24"/>
          <w:szCs w:val="24"/>
        </w:rPr>
      </w:pPr>
      <w:r w:rsidRPr="0083510D">
        <w:rPr>
          <w:rFonts w:ascii="Times New Roman" w:eastAsia="Times New Roman" w:hAnsi="Times New Roman"/>
          <w:sz w:val="24"/>
          <w:szCs w:val="24"/>
        </w:rPr>
        <w:t>Reputācijas risku novēršana (sankciju saraksti un nozaru karteļi)</w:t>
      </w:r>
    </w:p>
    <w:p w14:paraId="353AEAB9" w14:textId="5CE412BE" w:rsidR="0064037A" w:rsidRPr="0083510D" w:rsidRDefault="3B39FC7E" w:rsidP="00F308B0">
      <w:pPr>
        <w:pStyle w:val="ListParagraph"/>
        <w:numPr>
          <w:ilvl w:val="0"/>
          <w:numId w:val="19"/>
        </w:numPr>
        <w:spacing w:line="240" w:lineRule="auto"/>
        <w:ind w:left="0"/>
        <w:rPr>
          <w:rFonts w:ascii="Times New Roman" w:eastAsia="Times New Roman" w:hAnsi="Times New Roman"/>
          <w:sz w:val="24"/>
          <w:szCs w:val="24"/>
        </w:rPr>
      </w:pPr>
      <w:r w:rsidRPr="0083510D">
        <w:rPr>
          <w:rFonts w:ascii="Times New Roman" w:eastAsia="Times New Roman" w:hAnsi="Times New Roman"/>
          <w:sz w:val="24"/>
          <w:szCs w:val="24"/>
        </w:rPr>
        <w:t>Darba spēka mobilitātes risinājumi starp pašvaldībām</w:t>
      </w:r>
    </w:p>
    <w:p w14:paraId="600880BC" w14:textId="39DAAF3B" w:rsidR="0064037A" w:rsidRPr="0083510D" w:rsidRDefault="3B39FC7E" w:rsidP="00F308B0">
      <w:pPr>
        <w:pStyle w:val="ListParagraph"/>
        <w:numPr>
          <w:ilvl w:val="0"/>
          <w:numId w:val="19"/>
        </w:numPr>
        <w:spacing w:line="240" w:lineRule="auto"/>
        <w:ind w:left="0"/>
        <w:rPr>
          <w:rFonts w:ascii="Times New Roman" w:eastAsia="Times New Roman" w:hAnsi="Times New Roman"/>
          <w:sz w:val="24"/>
          <w:szCs w:val="24"/>
        </w:rPr>
      </w:pPr>
      <w:r w:rsidRPr="0083510D">
        <w:rPr>
          <w:rFonts w:ascii="Times New Roman" w:eastAsia="Times New Roman" w:hAnsi="Times New Roman"/>
          <w:sz w:val="24"/>
          <w:szCs w:val="24"/>
        </w:rPr>
        <w:t>Investoru ieguldījumu publiskā infrastruktūrā tiesiskais regulējums un pārņemšanas prakses vienādošana pašvaldībās</w:t>
      </w:r>
    </w:p>
    <w:p w14:paraId="73750BEE" w14:textId="04353933" w:rsidR="0064037A" w:rsidRPr="0083510D" w:rsidRDefault="3B39FC7E" w:rsidP="00F308B0">
      <w:pPr>
        <w:pStyle w:val="ListParagraph"/>
        <w:numPr>
          <w:ilvl w:val="0"/>
          <w:numId w:val="19"/>
        </w:numPr>
        <w:spacing w:line="240" w:lineRule="auto"/>
        <w:ind w:left="0"/>
        <w:rPr>
          <w:rFonts w:ascii="Times New Roman" w:eastAsia="Times New Roman" w:hAnsi="Times New Roman"/>
          <w:sz w:val="24"/>
          <w:szCs w:val="24"/>
        </w:rPr>
      </w:pPr>
      <w:r w:rsidRPr="0083510D">
        <w:rPr>
          <w:rFonts w:ascii="Times New Roman" w:eastAsia="Times New Roman" w:hAnsi="Times New Roman"/>
          <w:sz w:val="24"/>
          <w:szCs w:val="24"/>
        </w:rPr>
        <w:t>Attīstības teritoriju pieejamība ar atbilstošu zonējumu</w:t>
      </w:r>
    </w:p>
    <w:p w14:paraId="3ACE5615" w14:textId="3FD4CC48" w:rsidR="0064037A" w:rsidRPr="0083510D" w:rsidRDefault="3B39FC7E" w:rsidP="00F308B0">
      <w:pPr>
        <w:pStyle w:val="ListParagraph"/>
        <w:numPr>
          <w:ilvl w:val="0"/>
          <w:numId w:val="19"/>
        </w:numPr>
        <w:spacing w:line="240" w:lineRule="auto"/>
        <w:ind w:left="0"/>
        <w:rPr>
          <w:rFonts w:ascii="Times New Roman" w:eastAsia="Times New Roman" w:hAnsi="Times New Roman"/>
          <w:sz w:val="24"/>
          <w:szCs w:val="24"/>
        </w:rPr>
      </w:pPr>
      <w:r w:rsidRPr="0083510D">
        <w:rPr>
          <w:rFonts w:ascii="Times New Roman" w:eastAsia="Times New Roman" w:hAnsi="Times New Roman"/>
          <w:sz w:val="24"/>
          <w:szCs w:val="24"/>
        </w:rPr>
        <w:lastRenderedPageBreak/>
        <w:t>Bankas konta atvēršanas procedūru ilgums (2-7 mēneši)</w:t>
      </w:r>
    </w:p>
    <w:p w14:paraId="1A959EDF" w14:textId="08208D1B" w:rsidR="0064037A" w:rsidRPr="0083510D" w:rsidRDefault="3B39FC7E" w:rsidP="00F308B0">
      <w:pPr>
        <w:pStyle w:val="ListParagraph"/>
        <w:numPr>
          <w:ilvl w:val="0"/>
          <w:numId w:val="19"/>
        </w:numPr>
        <w:spacing w:line="240" w:lineRule="auto"/>
        <w:ind w:left="0"/>
        <w:rPr>
          <w:rFonts w:ascii="Times New Roman" w:eastAsia="Times New Roman" w:hAnsi="Times New Roman"/>
          <w:sz w:val="24"/>
          <w:szCs w:val="24"/>
        </w:rPr>
      </w:pPr>
      <w:r w:rsidRPr="0083510D">
        <w:rPr>
          <w:rFonts w:ascii="Times New Roman" w:eastAsia="Times New Roman" w:hAnsi="Times New Roman"/>
          <w:sz w:val="24"/>
          <w:szCs w:val="24"/>
        </w:rPr>
        <w:t>PVN atmaksa un nodokļu režīmu atbilstība atsevišķu sektoru biznesa modelim (piemēram, kokrūpniecība)</w:t>
      </w:r>
    </w:p>
    <w:p w14:paraId="6956A8D0" w14:textId="5C6E92D0" w:rsidR="0064037A" w:rsidRPr="0083510D" w:rsidRDefault="3B39FC7E" w:rsidP="00F308B0">
      <w:pPr>
        <w:pStyle w:val="ListParagraph"/>
        <w:numPr>
          <w:ilvl w:val="0"/>
          <w:numId w:val="19"/>
        </w:numPr>
        <w:spacing w:line="240" w:lineRule="auto"/>
        <w:ind w:left="0"/>
        <w:rPr>
          <w:rFonts w:ascii="Times New Roman" w:eastAsia="Times New Roman" w:hAnsi="Times New Roman"/>
          <w:sz w:val="24"/>
          <w:szCs w:val="24"/>
        </w:rPr>
      </w:pPr>
      <w:r w:rsidRPr="0083510D">
        <w:rPr>
          <w:rFonts w:ascii="Times New Roman" w:eastAsia="Times New Roman" w:hAnsi="Times New Roman"/>
          <w:sz w:val="24"/>
          <w:szCs w:val="24"/>
        </w:rPr>
        <w:t>Uzņēmumu gatavības līmenis AML risku un savu sadarbības partneru novērtēšanai, pieejamu rīku neesamība</w:t>
      </w:r>
    </w:p>
    <w:p w14:paraId="38415E8F" w14:textId="511AD859" w:rsidR="0064037A" w:rsidRPr="0083510D" w:rsidRDefault="5FE2228B" w:rsidP="00F308B0">
      <w:pPr>
        <w:pStyle w:val="ListParagraph"/>
        <w:numPr>
          <w:ilvl w:val="0"/>
          <w:numId w:val="19"/>
        </w:numPr>
        <w:spacing w:line="240" w:lineRule="auto"/>
        <w:ind w:left="0"/>
        <w:rPr>
          <w:rFonts w:ascii="Times New Roman" w:eastAsia="Times New Roman" w:hAnsi="Times New Roman"/>
          <w:sz w:val="24"/>
          <w:szCs w:val="24"/>
        </w:rPr>
      </w:pPr>
      <w:r w:rsidRPr="0083510D">
        <w:rPr>
          <w:rFonts w:ascii="Times New Roman" w:eastAsia="Times New Roman" w:hAnsi="Times New Roman"/>
          <w:sz w:val="24"/>
          <w:szCs w:val="24"/>
        </w:rPr>
        <w:t>Buvvalžu kapaciāte pašvaldībās un pieņemto lēmumu kvalitāte/procedūru ilgums</w:t>
      </w:r>
    </w:p>
    <w:p w14:paraId="0CB8319D" w14:textId="6F3BEF60" w:rsidR="0064037A" w:rsidRPr="0083510D" w:rsidRDefault="5FE2228B" w:rsidP="00F308B0">
      <w:pPr>
        <w:pStyle w:val="ListParagraph"/>
        <w:numPr>
          <w:ilvl w:val="0"/>
          <w:numId w:val="19"/>
        </w:numPr>
        <w:spacing w:line="240" w:lineRule="auto"/>
        <w:ind w:left="0"/>
        <w:rPr>
          <w:rFonts w:ascii="Times New Roman" w:eastAsia="Times New Roman" w:hAnsi="Times New Roman"/>
          <w:sz w:val="24"/>
          <w:szCs w:val="24"/>
        </w:rPr>
      </w:pPr>
      <w:r w:rsidRPr="0083510D">
        <w:rPr>
          <w:rFonts w:ascii="Times New Roman" w:eastAsia="Times New Roman" w:hAnsi="Times New Roman"/>
          <w:sz w:val="24"/>
          <w:szCs w:val="24"/>
        </w:rPr>
        <w:t>Ceļu infrastruktūras plānošanas process</w:t>
      </w:r>
    </w:p>
    <w:p w14:paraId="373DCE1C" w14:textId="47E95C4C" w:rsidR="0064037A" w:rsidRPr="0083510D" w:rsidRDefault="0064037A">
      <w:pPr>
        <w:rPr>
          <w:rFonts w:cs="Times New Roman"/>
          <w:sz w:val="24"/>
          <w:szCs w:val="24"/>
        </w:rPr>
      </w:pPr>
    </w:p>
    <w:p w14:paraId="36672FC5" w14:textId="77777777" w:rsidR="00627584" w:rsidRPr="0083510D" w:rsidRDefault="00627584" w:rsidP="00627584">
      <w:pPr>
        <w:ind w:firstLine="425"/>
        <w:jc w:val="both"/>
        <w:rPr>
          <w:rFonts w:cs="Times New Roman"/>
          <w:b/>
          <w:bCs/>
          <w:sz w:val="24"/>
        </w:rPr>
      </w:pPr>
      <w:r w:rsidRPr="0083510D">
        <w:rPr>
          <w:rFonts w:cs="Times New Roman"/>
          <w:b/>
          <w:bCs/>
          <w:sz w:val="24"/>
        </w:rPr>
        <w:t>Uzņēmējdarbības vide.</w:t>
      </w:r>
    </w:p>
    <w:p w14:paraId="2FA05FC0" w14:textId="77777777" w:rsidR="00627584" w:rsidRPr="0083510D" w:rsidRDefault="00627584" w:rsidP="00627584">
      <w:pPr>
        <w:ind w:firstLine="425"/>
        <w:jc w:val="both"/>
        <w:rPr>
          <w:rFonts w:cs="Times New Roman"/>
          <w:sz w:val="24"/>
        </w:rPr>
      </w:pPr>
      <w:r w:rsidRPr="0083510D">
        <w:rPr>
          <w:rFonts w:cs="Times New Roman"/>
          <w:sz w:val="24"/>
        </w:rPr>
        <w:t xml:space="preserve">Lai sakārtotu uzņēmējdarbības normatīvo regulējumu, Latvijā kopš 1999.gada tiek veikts darbs pie mērķtiecīgu pasākumu izstrādes un īstenošanas, kā rezultātā Ekonomikas ministrija, sadarbojoties gan ar valsts iestāžu augstākajām amatpersonām, gan LDDK, LTRK, gan ĀIPL ekspertiem izstrādā Uzņēmējdarbības vides uzlabošanas pasākuma plānu. </w:t>
      </w:r>
    </w:p>
    <w:p w14:paraId="368611A8" w14:textId="77777777" w:rsidR="00627584" w:rsidRPr="0083510D" w:rsidRDefault="00627584" w:rsidP="00627584">
      <w:pPr>
        <w:ind w:firstLine="425"/>
        <w:jc w:val="both"/>
        <w:rPr>
          <w:rFonts w:cs="Times New Roman"/>
          <w:sz w:val="24"/>
        </w:rPr>
      </w:pPr>
      <w:r w:rsidRPr="0083510D">
        <w:rPr>
          <w:rFonts w:cs="Times New Roman"/>
          <w:sz w:val="24"/>
        </w:rPr>
        <w:t>Uzņēmējdarbības vides pilnveidošanas pasākumu plāns 2019.-2022. ietvertie pamatprincipi:</w:t>
      </w:r>
    </w:p>
    <w:p w14:paraId="506029C1" w14:textId="77777777" w:rsidR="00627584" w:rsidRPr="0083510D" w:rsidRDefault="00627584" w:rsidP="00627584">
      <w:pPr>
        <w:ind w:firstLine="425"/>
        <w:jc w:val="both"/>
        <w:rPr>
          <w:rFonts w:cs="Times New Roman"/>
          <w:sz w:val="24"/>
        </w:rPr>
      </w:pPr>
      <w:r w:rsidRPr="0083510D">
        <w:rPr>
          <w:rFonts w:cs="Times New Roman"/>
          <w:sz w:val="24"/>
        </w:rPr>
        <w:t>- Uz klientu orientēta valsts pārvalde;</w:t>
      </w:r>
    </w:p>
    <w:p w14:paraId="142EB525" w14:textId="77777777" w:rsidR="00627584" w:rsidRPr="0083510D" w:rsidRDefault="00627584" w:rsidP="00627584">
      <w:pPr>
        <w:ind w:firstLine="425"/>
        <w:jc w:val="both"/>
        <w:rPr>
          <w:rFonts w:cs="Times New Roman"/>
          <w:sz w:val="24"/>
        </w:rPr>
      </w:pPr>
      <w:r w:rsidRPr="0083510D">
        <w:rPr>
          <w:rFonts w:cs="Times New Roman"/>
          <w:sz w:val="24"/>
        </w:rPr>
        <w:t>- Pakalpojumu digitalizācija;</w:t>
      </w:r>
    </w:p>
    <w:p w14:paraId="5EE812B9" w14:textId="77777777" w:rsidR="00627584" w:rsidRPr="0083510D" w:rsidRDefault="00627584" w:rsidP="00627584">
      <w:pPr>
        <w:ind w:firstLine="425"/>
        <w:jc w:val="both"/>
        <w:rPr>
          <w:rFonts w:cs="Times New Roman"/>
          <w:sz w:val="24"/>
        </w:rPr>
      </w:pPr>
      <w:r w:rsidRPr="0083510D">
        <w:rPr>
          <w:rFonts w:cs="Times New Roman"/>
          <w:sz w:val="24"/>
        </w:rPr>
        <w:t>- Nodokļu sistēmas konkurētspēja;</w:t>
      </w:r>
    </w:p>
    <w:p w14:paraId="08232B96" w14:textId="77777777" w:rsidR="00627584" w:rsidRPr="0083510D" w:rsidRDefault="00627584" w:rsidP="00627584">
      <w:pPr>
        <w:ind w:firstLine="425"/>
        <w:jc w:val="both"/>
        <w:rPr>
          <w:rFonts w:cs="Times New Roman"/>
          <w:sz w:val="24"/>
        </w:rPr>
      </w:pPr>
      <w:r w:rsidRPr="0083510D">
        <w:rPr>
          <w:rFonts w:cs="Times New Roman"/>
          <w:sz w:val="24"/>
        </w:rPr>
        <w:t>- Uzņēmējdarbības vides atvērtība;</w:t>
      </w:r>
    </w:p>
    <w:p w14:paraId="484BCDF1" w14:textId="77777777" w:rsidR="00627584" w:rsidRPr="0083510D" w:rsidRDefault="00627584" w:rsidP="00627584">
      <w:pPr>
        <w:ind w:firstLine="425"/>
        <w:jc w:val="both"/>
        <w:rPr>
          <w:rFonts w:cs="Times New Roman"/>
          <w:sz w:val="24"/>
        </w:rPr>
      </w:pPr>
      <w:r w:rsidRPr="0083510D">
        <w:rPr>
          <w:rFonts w:cs="Times New Roman"/>
          <w:sz w:val="24"/>
        </w:rPr>
        <w:t>- Tiesiskums;</w:t>
      </w:r>
    </w:p>
    <w:p w14:paraId="1F287616" w14:textId="77777777" w:rsidR="00627584" w:rsidRPr="0083510D" w:rsidRDefault="00627584" w:rsidP="00627584">
      <w:pPr>
        <w:ind w:firstLine="425"/>
        <w:jc w:val="both"/>
        <w:rPr>
          <w:rFonts w:cs="Times New Roman"/>
          <w:sz w:val="24"/>
        </w:rPr>
      </w:pPr>
      <w:r w:rsidRPr="0083510D">
        <w:rPr>
          <w:rFonts w:cs="Times New Roman"/>
          <w:sz w:val="24"/>
        </w:rPr>
        <w:t>- Inovācijas veicināšana.</w:t>
      </w:r>
    </w:p>
    <w:p w14:paraId="6E46F42B" w14:textId="77777777" w:rsidR="00627584" w:rsidRPr="0083510D" w:rsidRDefault="00627584" w:rsidP="00627584">
      <w:pPr>
        <w:ind w:firstLine="425"/>
        <w:jc w:val="both"/>
        <w:rPr>
          <w:rFonts w:cs="Times New Roman"/>
          <w:sz w:val="24"/>
        </w:rPr>
      </w:pPr>
      <w:r w:rsidRPr="0083510D">
        <w:rPr>
          <w:rFonts w:cs="Times New Roman"/>
          <w:sz w:val="24"/>
        </w:rPr>
        <w:t>Uzņēmējdarbības plāna mērķis ir - Uzņēmējiem pievilcīga uzņēmējdarbības vide: pieejami un saprotami pakalpojumi, mazāks administratīvais slogs.</w:t>
      </w:r>
    </w:p>
    <w:p w14:paraId="33120F15" w14:textId="77777777" w:rsidR="00627584" w:rsidRPr="0083510D" w:rsidRDefault="00627584" w:rsidP="00627584">
      <w:pPr>
        <w:ind w:firstLine="425"/>
        <w:jc w:val="both"/>
        <w:rPr>
          <w:rFonts w:cs="Times New Roman"/>
          <w:sz w:val="24"/>
        </w:rPr>
      </w:pPr>
      <w:r w:rsidRPr="0083510D">
        <w:rPr>
          <w:rFonts w:cs="Times New Roman"/>
          <w:sz w:val="24"/>
        </w:rPr>
        <w:t>Plānā ietvertas 12 uzņēmējdarbības videi būtiskas sadaļas:</w:t>
      </w:r>
    </w:p>
    <w:p w14:paraId="56D95D0A" w14:textId="77777777" w:rsidR="00627584" w:rsidRPr="0083510D" w:rsidRDefault="00627584" w:rsidP="00627584">
      <w:pPr>
        <w:ind w:firstLine="425"/>
        <w:jc w:val="both"/>
        <w:rPr>
          <w:rFonts w:cs="Times New Roman"/>
          <w:sz w:val="24"/>
        </w:rPr>
      </w:pPr>
      <w:r w:rsidRPr="0083510D">
        <w:rPr>
          <w:rFonts w:cs="Times New Roman"/>
          <w:sz w:val="24"/>
        </w:rPr>
        <w:t>1. Uzņēmējdarbības uzsākšana</w:t>
      </w:r>
    </w:p>
    <w:p w14:paraId="6BD31C40" w14:textId="77777777" w:rsidR="00627584" w:rsidRPr="0083510D" w:rsidRDefault="00627584" w:rsidP="00627584">
      <w:pPr>
        <w:ind w:firstLine="425"/>
        <w:jc w:val="both"/>
        <w:rPr>
          <w:rFonts w:cs="Times New Roman"/>
          <w:sz w:val="24"/>
        </w:rPr>
      </w:pPr>
      <w:r w:rsidRPr="0083510D">
        <w:rPr>
          <w:rFonts w:cs="Times New Roman"/>
          <w:sz w:val="24"/>
        </w:rPr>
        <w:t>2. Būvniecības process</w:t>
      </w:r>
    </w:p>
    <w:p w14:paraId="1CEFB85E" w14:textId="77777777" w:rsidR="00627584" w:rsidRPr="0083510D" w:rsidRDefault="00627584" w:rsidP="00627584">
      <w:pPr>
        <w:ind w:firstLine="425"/>
        <w:jc w:val="both"/>
        <w:rPr>
          <w:rFonts w:cs="Times New Roman"/>
          <w:sz w:val="24"/>
        </w:rPr>
      </w:pPr>
      <w:r w:rsidRPr="0083510D">
        <w:rPr>
          <w:rFonts w:cs="Times New Roman"/>
          <w:sz w:val="24"/>
        </w:rPr>
        <w:t>3. Nekustamā īpašuma reģistrācija</w:t>
      </w:r>
    </w:p>
    <w:p w14:paraId="33809E07" w14:textId="77777777" w:rsidR="00627584" w:rsidRPr="0083510D" w:rsidRDefault="00627584" w:rsidP="00627584">
      <w:pPr>
        <w:ind w:firstLine="425"/>
        <w:jc w:val="both"/>
        <w:rPr>
          <w:rFonts w:cs="Times New Roman"/>
          <w:sz w:val="24"/>
        </w:rPr>
      </w:pPr>
      <w:r w:rsidRPr="0083510D">
        <w:rPr>
          <w:rFonts w:cs="Times New Roman"/>
          <w:sz w:val="24"/>
        </w:rPr>
        <w:t>4. Investoru tiesību aizsardzība</w:t>
      </w:r>
    </w:p>
    <w:p w14:paraId="683B4F01" w14:textId="77777777" w:rsidR="00627584" w:rsidRPr="0083510D" w:rsidRDefault="00627584" w:rsidP="00627584">
      <w:pPr>
        <w:ind w:firstLine="425"/>
        <w:jc w:val="both"/>
        <w:rPr>
          <w:rFonts w:cs="Times New Roman"/>
          <w:sz w:val="24"/>
        </w:rPr>
      </w:pPr>
      <w:r w:rsidRPr="0083510D">
        <w:rPr>
          <w:rFonts w:cs="Times New Roman"/>
          <w:sz w:val="24"/>
        </w:rPr>
        <w:t>5. Grāmatvedība un nodokļi</w:t>
      </w:r>
    </w:p>
    <w:p w14:paraId="4652B8BF" w14:textId="77777777" w:rsidR="00627584" w:rsidRPr="0083510D" w:rsidRDefault="00627584" w:rsidP="00627584">
      <w:pPr>
        <w:ind w:firstLine="425"/>
        <w:jc w:val="both"/>
        <w:rPr>
          <w:rFonts w:cs="Times New Roman"/>
          <w:sz w:val="24"/>
        </w:rPr>
      </w:pPr>
      <w:r w:rsidRPr="0083510D">
        <w:rPr>
          <w:rFonts w:cs="Times New Roman"/>
          <w:sz w:val="24"/>
        </w:rPr>
        <w:t>6. Pārrobežu tirdzniecība - muita</w:t>
      </w:r>
    </w:p>
    <w:p w14:paraId="6E8659FD" w14:textId="77777777" w:rsidR="00627584" w:rsidRPr="0083510D" w:rsidRDefault="00627584" w:rsidP="00627584">
      <w:pPr>
        <w:ind w:firstLine="425"/>
        <w:jc w:val="both"/>
        <w:rPr>
          <w:rFonts w:cs="Times New Roman"/>
          <w:sz w:val="24"/>
        </w:rPr>
      </w:pPr>
      <w:r w:rsidRPr="0083510D">
        <w:rPr>
          <w:rFonts w:cs="Times New Roman"/>
          <w:sz w:val="24"/>
        </w:rPr>
        <w:t>7. Līgumsaistību izpilde</w:t>
      </w:r>
    </w:p>
    <w:p w14:paraId="3337409D" w14:textId="77777777" w:rsidR="00627584" w:rsidRPr="0083510D" w:rsidRDefault="00627584" w:rsidP="00627584">
      <w:pPr>
        <w:ind w:firstLine="425"/>
        <w:jc w:val="both"/>
        <w:rPr>
          <w:rFonts w:cs="Times New Roman"/>
          <w:sz w:val="24"/>
        </w:rPr>
      </w:pPr>
      <w:r w:rsidRPr="0083510D">
        <w:rPr>
          <w:rFonts w:cs="Times New Roman"/>
          <w:sz w:val="24"/>
        </w:rPr>
        <w:t>8. Elektrības pieslēgums</w:t>
      </w:r>
    </w:p>
    <w:p w14:paraId="69B68AB1" w14:textId="77777777" w:rsidR="00627584" w:rsidRPr="0083510D" w:rsidRDefault="00627584" w:rsidP="00627584">
      <w:pPr>
        <w:ind w:firstLine="425"/>
        <w:jc w:val="both"/>
        <w:rPr>
          <w:rFonts w:cs="Times New Roman"/>
          <w:sz w:val="24"/>
        </w:rPr>
      </w:pPr>
      <w:r w:rsidRPr="0083510D">
        <w:rPr>
          <w:rFonts w:cs="Times New Roman"/>
          <w:sz w:val="24"/>
        </w:rPr>
        <w:t>9. Restrukturizācija</w:t>
      </w:r>
    </w:p>
    <w:p w14:paraId="1AF3A954" w14:textId="77777777" w:rsidR="00627584" w:rsidRPr="0083510D" w:rsidRDefault="00627584" w:rsidP="00627584">
      <w:pPr>
        <w:ind w:firstLine="425"/>
        <w:jc w:val="both"/>
        <w:rPr>
          <w:rFonts w:cs="Times New Roman"/>
          <w:sz w:val="24"/>
        </w:rPr>
      </w:pPr>
      <w:r w:rsidRPr="0083510D">
        <w:rPr>
          <w:rFonts w:cs="Times New Roman"/>
          <w:sz w:val="24"/>
        </w:rPr>
        <w:t>10. Cilvēkkapitāls</w:t>
      </w:r>
    </w:p>
    <w:p w14:paraId="10B3CD1E" w14:textId="77777777" w:rsidR="00627584" w:rsidRPr="0083510D" w:rsidRDefault="00627584" w:rsidP="00627584">
      <w:pPr>
        <w:ind w:firstLine="425"/>
        <w:jc w:val="both"/>
        <w:rPr>
          <w:rFonts w:cs="Times New Roman"/>
          <w:sz w:val="24"/>
        </w:rPr>
      </w:pPr>
      <w:r w:rsidRPr="0083510D">
        <w:rPr>
          <w:rFonts w:cs="Times New Roman"/>
          <w:sz w:val="24"/>
        </w:rPr>
        <w:t>11. Valsts pakalpojumu digitalizācija un pieejamība.</w:t>
      </w:r>
    </w:p>
    <w:p w14:paraId="5CD0A3F4" w14:textId="77777777" w:rsidR="00627584" w:rsidRPr="0083510D" w:rsidRDefault="00627584" w:rsidP="00627584">
      <w:pPr>
        <w:ind w:firstLine="425"/>
        <w:jc w:val="both"/>
        <w:rPr>
          <w:rFonts w:cs="Times New Roman"/>
          <w:sz w:val="24"/>
        </w:rPr>
      </w:pPr>
    </w:p>
    <w:p w14:paraId="4B2EC05A" w14:textId="77777777" w:rsidR="00627584" w:rsidRPr="0083510D" w:rsidRDefault="00627584" w:rsidP="00627584">
      <w:pPr>
        <w:ind w:firstLine="425"/>
        <w:jc w:val="both"/>
        <w:rPr>
          <w:rFonts w:cs="Times New Roman"/>
          <w:sz w:val="24"/>
        </w:rPr>
      </w:pPr>
      <w:r w:rsidRPr="0083510D">
        <w:rPr>
          <w:rFonts w:cs="Times New Roman"/>
          <w:sz w:val="24"/>
        </w:rPr>
        <w:t>Mērķtiecīgas reformas un cieša sadarbība ar uzņēmējiem ļāvusi Latvijai sasniegt augstus rezultātus arī starptautiskajos reitingos, proti, Pasaules Bankas Doing Business 2019 reitingā 190 valstu konkurencē Latvija ierindota 19.vietā.</w:t>
      </w:r>
    </w:p>
    <w:p w14:paraId="5B960812" w14:textId="77777777" w:rsidR="00627584" w:rsidRPr="0083510D" w:rsidRDefault="00627584" w:rsidP="00627584">
      <w:pPr>
        <w:ind w:firstLine="425"/>
        <w:jc w:val="both"/>
        <w:rPr>
          <w:rFonts w:cs="Times New Roman"/>
          <w:sz w:val="24"/>
        </w:rPr>
      </w:pPr>
      <w:r w:rsidRPr="0083510D">
        <w:rPr>
          <w:rFonts w:cs="Times New Roman"/>
          <w:sz w:val="24"/>
        </w:rPr>
        <w:t>Uzņēmējiem labvēlīgas vides novērtējumā Latvija atrodas 7.vietā ES dalībvalstu vidū, kas ir par vienu pozīciju augstāk nekā iepriekšējā gadā, novērtējumā piekāpjoties Somijai (12.vieta), Igaunijai (16.vieta), Lietuvai (14.vieta), Zviedrijai (12.vieta), Apvienotajai Karalistei (9.vieta) un Dānijai (3.vieta).</w:t>
      </w:r>
    </w:p>
    <w:p w14:paraId="25C09067" w14:textId="77777777" w:rsidR="00627584" w:rsidRPr="0083510D" w:rsidRDefault="00627584" w:rsidP="00627584">
      <w:pPr>
        <w:jc w:val="both"/>
        <w:rPr>
          <w:rFonts w:cs="Times New Roman"/>
          <w:sz w:val="24"/>
        </w:rPr>
      </w:pPr>
      <w:r w:rsidRPr="0083510D">
        <w:rPr>
          <w:rFonts w:cs="Times New Roman"/>
          <w:noProof/>
        </w:rPr>
        <w:lastRenderedPageBreak/>
        <w:drawing>
          <wp:inline distT="0" distB="0" distL="0" distR="0" wp14:anchorId="390A499B" wp14:editId="5AB685D1">
            <wp:extent cx="6210935" cy="33039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10935" cy="3303905"/>
                    </a:xfrm>
                    <a:prstGeom prst="rect">
                      <a:avLst/>
                    </a:prstGeom>
                  </pic:spPr>
                </pic:pic>
              </a:graphicData>
            </a:graphic>
          </wp:inline>
        </w:drawing>
      </w:r>
    </w:p>
    <w:p w14:paraId="67708E8A" w14:textId="77777777" w:rsidR="00627584" w:rsidRPr="0083510D" w:rsidRDefault="00627584" w:rsidP="00627584">
      <w:pPr>
        <w:spacing w:line="293" w:lineRule="exact"/>
        <w:ind w:firstLine="300"/>
        <w:jc w:val="both"/>
        <w:rPr>
          <w:rFonts w:eastAsia="Times New Roman" w:cs="Times New Roman"/>
          <w:color w:val="0D0D0D" w:themeColor="text1" w:themeTint="F2"/>
          <w:sz w:val="24"/>
          <w:szCs w:val="24"/>
        </w:rPr>
      </w:pPr>
    </w:p>
    <w:p w14:paraId="64193D24" w14:textId="77777777" w:rsidR="00627584" w:rsidRPr="0083510D" w:rsidRDefault="00627584" w:rsidP="00627584">
      <w:pPr>
        <w:ind w:firstLine="425"/>
        <w:jc w:val="both"/>
        <w:rPr>
          <w:rFonts w:cs="Times New Roman"/>
          <w:sz w:val="24"/>
        </w:rPr>
      </w:pPr>
      <w:r w:rsidRPr="0083510D">
        <w:rPr>
          <w:rFonts w:cs="Times New Roman"/>
          <w:sz w:val="24"/>
        </w:rPr>
        <w:t>Ņemot vērā ar starptautisko konkurētspēju saistītos izaicinājumus, ka arī uzņēmumu identificētās problēmas, nepieciešams turpināt reformu ciklu un īstenot uz tautsaimniecības attīstību ilgtermiņā vērstus pasākumus, tādējādi veidojot konkurētspējīgu Latvijas uzņēmējdarbības vidi, kas tiek atbilstoši novērtēta arī no investoru puses. Vienlaikus šajā periodā īpaša uzmanība ir pievērsta inovācijas veicināšanai, cilvēkkapitālam un investoru tiesību aizsardzībai, kas ir būtiskas attīstītas uzņēmējdarbības vides sastāvdaļas.</w:t>
      </w:r>
    </w:p>
    <w:p w14:paraId="64E0FCE4" w14:textId="77777777" w:rsidR="00627584" w:rsidRPr="0083510D" w:rsidRDefault="00627584" w:rsidP="00627584">
      <w:pPr>
        <w:spacing w:line="293" w:lineRule="exact"/>
        <w:ind w:firstLine="300"/>
        <w:jc w:val="both"/>
        <w:rPr>
          <w:rFonts w:eastAsia="Calibri" w:cs="Times New Roman"/>
          <w:sz w:val="24"/>
          <w:szCs w:val="24"/>
        </w:rPr>
      </w:pPr>
      <w:r w:rsidRPr="0083510D">
        <w:rPr>
          <w:rFonts w:eastAsia="Calibri" w:cs="Times New Roman"/>
          <w:sz w:val="24"/>
          <w:szCs w:val="24"/>
        </w:rPr>
        <w:t>Eiropas Komisijas ikgadēji publicētajā Eiropas inovācijas rezultātu pārskatā 2019 (European Innovation Scoreboard 2019) Latvija 28 ES valstu vidū ir ierindojusies 24.vietā un ceturto gadu pēc kārtas ir iekļauta mēreno novatoru valstu grupā. Finanses un atbalsts, ietekme uz nodarbinātību un inovācijai draudzīga vide ir Latvijas spēcīgākās inovācijas dimensijas. Inovatori, pētniecības sistēmas un uzņēmumu investīcijas ir visvājākās inovācijas dimensijas.</w:t>
      </w:r>
    </w:p>
    <w:p w14:paraId="2652ADD1" w14:textId="77777777" w:rsidR="00627584" w:rsidRPr="0083510D" w:rsidRDefault="00627584" w:rsidP="00627584">
      <w:pPr>
        <w:spacing w:line="293" w:lineRule="exact"/>
        <w:ind w:firstLine="300"/>
        <w:jc w:val="both"/>
        <w:rPr>
          <w:rFonts w:eastAsia="Calibri" w:cs="Times New Roman"/>
          <w:sz w:val="24"/>
          <w:szCs w:val="24"/>
        </w:rPr>
      </w:pPr>
      <w:r w:rsidRPr="0083510D">
        <w:rPr>
          <w:rFonts w:eastAsia="Calibri" w:cs="Times New Roman"/>
          <w:sz w:val="24"/>
          <w:szCs w:val="24"/>
        </w:rPr>
        <w:t>Pasaules Inovācijas indeksā 2019 (Global Innovation Index 2019) Latvija ir ierindojusies 34.vietā starp 129 apsekotajām valstīm. Kā Latvijas stiprās puses ir izcelti: skolēnu un skolotāju attiecība vidējās izglītības iestādēs, augstskolā uzņemto vidējo izglītību ieguvušo īpatsvars, atbilstība vides vadības sistēmas standartiem, kredītu saņemšanas vieglums, sieviešu ar augstāko izglītību īpatsvars,</w:t>
      </w:r>
      <w:r w:rsidRPr="0083510D">
        <w:rPr>
          <w:rFonts w:cs="Times New Roman"/>
        </w:rPr>
        <w:t xml:space="preserve"> </w:t>
      </w:r>
      <w:r w:rsidRPr="0083510D">
        <w:rPr>
          <w:rFonts w:eastAsia="Calibri" w:cs="Times New Roman"/>
          <w:sz w:val="24"/>
          <w:szCs w:val="24"/>
        </w:rPr>
        <w:t>iekšzemes kopējie izdevumi pētniecībai un attīstībai, ko finansē ārzemes, iekšzemes kopprodukta pieaugums uz vienu strādājošo pēc pirktspējas paritātes, ka arī radošo industriju produktu apjoma pieaugums.</w:t>
      </w:r>
    </w:p>
    <w:p w14:paraId="5E869C7C" w14:textId="77777777" w:rsidR="00627584" w:rsidRPr="0083510D" w:rsidRDefault="00627584">
      <w:pPr>
        <w:rPr>
          <w:rFonts w:cs="Times New Roman"/>
          <w:sz w:val="24"/>
          <w:szCs w:val="24"/>
        </w:rPr>
      </w:pPr>
    </w:p>
    <w:p w14:paraId="34177502" w14:textId="6CE97536" w:rsidR="00F32BCC" w:rsidRPr="0083510D" w:rsidRDefault="0047485F" w:rsidP="00F32BCC">
      <w:pPr>
        <w:jc w:val="both"/>
        <w:rPr>
          <w:rFonts w:eastAsia="Times New Roman" w:cs="Times New Roman"/>
          <w:b/>
          <w:bCs/>
          <w:sz w:val="24"/>
          <w:szCs w:val="24"/>
        </w:rPr>
      </w:pPr>
      <w:r w:rsidRPr="0083510D">
        <w:rPr>
          <w:rFonts w:eastAsia="Times New Roman" w:cs="Times New Roman"/>
          <w:sz w:val="24"/>
          <w:szCs w:val="24"/>
        </w:rPr>
        <w:t xml:space="preserve">  </w:t>
      </w:r>
      <w:r w:rsidR="0064037A" w:rsidRPr="0083510D">
        <w:rPr>
          <w:rFonts w:eastAsia="Times New Roman" w:cs="Times New Roman"/>
          <w:sz w:val="24"/>
          <w:szCs w:val="24"/>
        </w:rPr>
        <w:t xml:space="preserve"> </w:t>
      </w:r>
      <w:r w:rsidR="040CAA98" w:rsidRPr="0083510D">
        <w:rPr>
          <w:rFonts w:eastAsia="Times New Roman" w:cs="Times New Roman"/>
          <w:b/>
          <w:bCs/>
          <w:sz w:val="24"/>
          <w:szCs w:val="24"/>
        </w:rPr>
        <w:t>Ārvalstu investoru vērtējums par situāciju tautsaimniecībā pēc Covid-19</w:t>
      </w:r>
      <w:r w:rsidR="088266DC" w:rsidRPr="0083510D">
        <w:rPr>
          <w:rFonts w:eastAsia="Times New Roman" w:cs="Times New Roman"/>
          <w:b/>
          <w:bCs/>
          <w:sz w:val="24"/>
          <w:szCs w:val="24"/>
        </w:rPr>
        <w:t xml:space="preserve"> ārkārtas situācijas beigām</w:t>
      </w:r>
      <w:r w:rsidR="040CAA98" w:rsidRPr="0083510D">
        <w:rPr>
          <w:rFonts w:eastAsia="Times New Roman" w:cs="Times New Roman"/>
          <w:b/>
          <w:bCs/>
          <w:sz w:val="24"/>
          <w:szCs w:val="24"/>
        </w:rPr>
        <w:t>:</w:t>
      </w:r>
    </w:p>
    <w:p w14:paraId="21229CA0" w14:textId="42C774F5" w:rsidR="0064037A" w:rsidRPr="0083510D" w:rsidRDefault="040CAA98" w:rsidP="00C568D4">
      <w:pPr>
        <w:jc w:val="both"/>
        <w:rPr>
          <w:rFonts w:eastAsia="Times New Roman" w:cs="Times New Roman"/>
          <w:sz w:val="24"/>
          <w:szCs w:val="24"/>
        </w:rPr>
      </w:pPr>
      <w:r w:rsidRPr="0083510D">
        <w:rPr>
          <w:rFonts w:eastAsia="Times New Roman" w:cs="Times New Roman"/>
          <w:b/>
          <w:bCs/>
          <w:i/>
          <w:iCs/>
          <w:sz w:val="24"/>
          <w:szCs w:val="24"/>
        </w:rPr>
        <w:t>Kokapstrāde</w:t>
      </w:r>
    </w:p>
    <w:p w14:paraId="23E19A7B" w14:textId="58A39ADB" w:rsidR="0064037A" w:rsidRPr="0083510D" w:rsidRDefault="040CAA98" w:rsidP="00C568D4">
      <w:pPr>
        <w:ind w:firstLine="426"/>
        <w:jc w:val="both"/>
        <w:rPr>
          <w:rFonts w:cs="Times New Roman"/>
          <w:sz w:val="24"/>
        </w:rPr>
      </w:pPr>
      <w:r w:rsidRPr="0083510D">
        <w:rPr>
          <w:rFonts w:cs="Times New Roman"/>
          <w:sz w:val="24"/>
        </w:rPr>
        <w:t xml:space="preserve">Kopumā nozare samazinājusi savu fizisko izlaidi aprīlī, maijā un jūnijā par 10% līdz 15%, taču par krīzi nozarē ir pāragri runāt, jo tiek prognozēts, ka gads varētu noslēgties bez izmaiņām, tas ir, bet kopējā gada krituma. Šeit arī nozare būtu jāizdala smalkāk, kā, piemēram, apaļkoku nozarē vērojams būtisks kritums cenā, līdz ar to privātie mežu īpašnieki nesteidzās pārdot cirsmas par zemām cenām, kas, savukārt, ietekmē mežistrādes uzņēmumus. Iespējams, ka nozare makro rādītājos nespēs pārsniegt iepriekšējā gada rādītājus, taču lielāku kritumu uzņēmumi arīdzan nav plānojuši. </w:t>
      </w:r>
    </w:p>
    <w:p w14:paraId="7B3515F7" w14:textId="055B04F8" w:rsidR="0064037A" w:rsidRPr="0083510D" w:rsidRDefault="040CAA98" w:rsidP="00C568D4">
      <w:pPr>
        <w:ind w:firstLine="426"/>
        <w:jc w:val="both"/>
        <w:rPr>
          <w:rFonts w:cs="Times New Roman"/>
          <w:sz w:val="24"/>
        </w:rPr>
      </w:pPr>
      <w:r w:rsidRPr="0083510D">
        <w:rPr>
          <w:rFonts w:cs="Times New Roman"/>
          <w:sz w:val="24"/>
        </w:rPr>
        <w:t xml:space="preserve">Neraugoties uz to, “Covid-19” ietekme būs jūtama dažādās jomās. Piemēram, uzņēmumu investīciju projektos, kur šobrīd vēl noris iepriekšējie projekti, taču nākamajā gadā būs vērojams kritums jaunu investīciju realizācijā. Bieži pamatproduktiem nav vidēja termiņa plānošanas laika. Ja iepriekš bija iespējams prognozēt situāciju divus līdz trīs mēnešus uz priekšu, tad šobrīd plānošanas </w:t>
      </w:r>
      <w:r w:rsidRPr="0083510D">
        <w:rPr>
          <w:rFonts w:cs="Times New Roman"/>
          <w:sz w:val="24"/>
        </w:rPr>
        <w:lastRenderedPageBreak/>
        <w:t>periods nav lielāks par vienu mēnesi. Spēcīgi ir mainījies dienas ritms uzņēmumos, tiekot ievērotām lielākām pauzēm starp maiņām, lai samazinātu cilvēku kontaktu, kas ietekmē ražošanas darba stundas.  Pārdošanā vairs nav komandējum</w:t>
      </w:r>
      <w:r w:rsidR="006A2C4D">
        <w:rPr>
          <w:rFonts w:cs="Times New Roman"/>
          <w:sz w:val="24"/>
        </w:rPr>
        <w:t>u</w:t>
      </w:r>
      <w:r w:rsidRPr="0083510D">
        <w:rPr>
          <w:rFonts w:cs="Times New Roman"/>
          <w:sz w:val="24"/>
        </w:rPr>
        <w:t xml:space="preserve">, viss pāriet uz attālināto darbu par ko gan nozarē strādājošie darbinieki ir neitrāli vai drīzāk negatīvi noskaņoti. Būs jūtams kritums investīcijās un, iespējams, daļa mazo uzņēmumu nebūs spējuši pārvarēt šo situāciju, taču kopumā nozare pēc uzņēmēju un asociāciju teiktā nav būtiski ietekmēta. </w:t>
      </w:r>
    </w:p>
    <w:p w14:paraId="4ABC9D53" w14:textId="4AD1B032" w:rsidR="0064037A" w:rsidRPr="0083510D" w:rsidRDefault="0064037A" w:rsidP="00C568D4">
      <w:pPr>
        <w:ind w:firstLine="426"/>
        <w:jc w:val="both"/>
        <w:rPr>
          <w:rFonts w:cs="Times New Roman"/>
          <w:b/>
          <w:bCs/>
          <w:i/>
          <w:iCs/>
          <w:sz w:val="24"/>
        </w:rPr>
      </w:pPr>
    </w:p>
    <w:p w14:paraId="652222AD" w14:textId="6D15AAAC" w:rsidR="0064037A" w:rsidRPr="0083510D" w:rsidRDefault="040CAA98" w:rsidP="00C568D4">
      <w:pPr>
        <w:ind w:firstLine="426"/>
        <w:jc w:val="both"/>
        <w:rPr>
          <w:rFonts w:cs="Times New Roman"/>
          <w:b/>
          <w:bCs/>
          <w:i/>
          <w:iCs/>
          <w:sz w:val="24"/>
        </w:rPr>
      </w:pPr>
      <w:r w:rsidRPr="0083510D">
        <w:rPr>
          <w:rFonts w:cs="Times New Roman"/>
          <w:b/>
          <w:bCs/>
          <w:i/>
          <w:iCs/>
          <w:sz w:val="24"/>
        </w:rPr>
        <w:t>Dzīvības zinātņu sektors</w:t>
      </w:r>
    </w:p>
    <w:p w14:paraId="11A811DB" w14:textId="19E1A6E7" w:rsidR="0064037A" w:rsidRPr="0083510D" w:rsidRDefault="040CAA98" w:rsidP="00F308B0">
      <w:pPr>
        <w:ind w:firstLine="426"/>
        <w:jc w:val="both"/>
        <w:rPr>
          <w:rFonts w:cs="Times New Roman"/>
          <w:sz w:val="24"/>
        </w:rPr>
      </w:pPr>
      <w:r w:rsidRPr="0083510D">
        <w:rPr>
          <w:rFonts w:cs="Times New Roman"/>
          <w:sz w:val="24"/>
        </w:rPr>
        <w:t xml:space="preserve">Balstoties uz nozares pārstāvju secinājumiem, nozare šajā laikā piedzīvo izaugsmi un situācija tiek vērtēta kā pozitīva. Pieprasījums pēc sektora ražotajām precēm un pakalpojumiem nav tik ļoti “Covid-19” ietekmēts, un ir iespējams elastīgi pārorientēties uz citu produktu ražošanu. Piemēram, “Beijing Genomics Institute” ir mainījis fokusu no gēnu sekvencēšanas uz automātisko paraugu testēšanas iekārtu ražošanu. Atsevišķas problēmas ir saistītas ar kavētu preču piegādi, kurām uzņēmumi ir vairāk vai mazāk pielāgojušies. Pieprasījumi un dažādi pasūtījumi turpina ienākt, un ar maija beigām ikdienas procesi ir atgriezušies ierastajā kārtībā. Nozares pārstāvji paredz, ka sektora nozīmība ekonomikā pieaugs, jo “Covid-19” situācija ir veicinājusi nozares atpazīstamību un likusi cilvēkiem vairāk domāt par </w:t>
      </w:r>
      <w:r w:rsidR="006A2C4D">
        <w:rPr>
          <w:rFonts w:cs="Times New Roman"/>
          <w:sz w:val="24"/>
        </w:rPr>
        <w:t>veselības aprūpi</w:t>
      </w:r>
      <w:r w:rsidRPr="0083510D">
        <w:rPr>
          <w:rFonts w:cs="Times New Roman"/>
          <w:sz w:val="24"/>
        </w:rPr>
        <w:t xml:space="preserve">. </w:t>
      </w:r>
    </w:p>
    <w:p w14:paraId="7825DF83" w14:textId="27FAC5F7" w:rsidR="0064037A" w:rsidRPr="0083510D" w:rsidRDefault="0064037A" w:rsidP="00C568D4">
      <w:pPr>
        <w:ind w:firstLine="426"/>
        <w:jc w:val="both"/>
        <w:rPr>
          <w:rFonts w:cs="Times New Roman"/>
          <w:sz w:val="24"/>
        </w:rPr>
      </w:pPr>
    </w:p>
    <w:p w14:paraId="59FCAE78" w14:textId="16F32442" w:rsidR="0064037A" w:rsidRPr="0083510D" w:rsidRDefault="040CAA98" w:rsidP="00C568D4">
      <w:pPr>
        <w:ind w:firstLine="426"/>
        <w:jc w:val="both"/>
        <w:rPr>
          <w:rFonts w:cs="Times New Roman"/>
          <w:b/>
          <w:bCs/>
          <w:i/>
          <w:iCs/>
          <w:sz w:val="24"/>
        </w:rPr>
      </w:pPr>
      <w:r w:rsidRPr="0083510D">
        <w:rPr>
          <w:rFonts w:cs="Times New Roman"/>
          <w:b/>
          <w:bCs/>
          <w:i/>
          <w:iCs/>
          <w:sz w:val="24"/>
        </w:rPr>
        <w:t>GBS</w:t>
      </w:r>
      <w:r w:rsidR="00C451A2" w:rsidRPr="0083510D">
        <w:rPr>
          <w:rFonts w:cs="Times New Roman"/>
          <w:b/>
          <w:bCs/>
          <w:i/>
          <w:iCs/>
          <w:sz w:val="24"/>
        </w:rPr>
        <w:t xml:space="preserve"> (globālie biznesa pakalpojumi)</w:t>
      </w:r>
      <w:r w:rsidRPr="0083510D">
        <w:rPr>
          <w:rFonts w:cs="Times New Roman"/>
          <w:b/>
          <w:bCs/>
          <w:i/>
          <w:iCs/>
          <w:sz w:val="24"/>
        </w:rPr>
        <w:t xml:space="preserve"> un IT</w:t>
      </w:r>
      <w:r w:rsidR="00C451A2" w:rsidRPr="0083510D">
        <w:rPr>
          <w:rFonts w:cs="Times New Roman"/>
          <w:b/>
          <w:bCs/>
          <w:i/>
          <w:iCs/>
          <w:sz w:val="24"/>
        </w:rPr>
        <w:t xml:space="preserve"> (informāciju tehnoloģijas)</w:t>
      </w:r>
    </w:p>
    <w:p w14:paraId="37D25606" w14:textId="00CC9FEC" w:rsidR="0064037A" w:rsidRPr="0083510D" w:rsidRDefault="040CAA98" w:rsidP="00C568D4">
      <w:pPr>
        <w:ind w:firstLine="426"/>
        <w:jc w:val="both"/>
        <w:rPr>
          <w:rFonts w:cs="Times New Roman"/>
          <w:sz w:val="24"/>
        </w:rPr>
      </w:pPr>
      <w:r w:rsidRPr="0083510D">
        <w:rPr>
          <w:rFonts w:cs="Times New Roman"/>
          <w:sz w:val="24"/>
        </w:rPr>
        <w:t xml:space="preserve">Sarunās ar nozares lielākajiem pārstāvjiem un ABSL Latvia asociāciju var secināt, ka situācija nozarē uzņēmumiem ir ļoti līdzīga ar atsevišķiem izņēmumiem. GBS nozare ir saistīta mātes uzņēmumu sniegtajiem pamatpakalpojumiem. Var novērot, ka GBS uzņēmumi ir ar augstu korporatīvās atbildības līmeni - lielākā daļa joprojām nepieņem viesus, kā arī darbinieki neatgriežas birojā, bet strādā no mājām. Piemēram, “Solway” birojs ir pilnībā slēgts, citos ir noteikts darbinieku skaits, cik darbiniekiem vienlaicīgi ir atļauts atrasties birojā. Nozarē virmo idejas par darba turpināšanu ar nefiksētu darbavietu, taču pašlaik nav indikāciju, ka kāds plānotu samazināt īrētā biroja platību. </w:t>
      </w:r>
    </w:p>
    <w:p w14:paraId="2B3CAAA8" w14:textId="77777777" w:rsidR="00431533" w:rsidRPr="0083510D" w:rsidRDefault="00431533" w:rsidP="00627584">
      <w:pPr>
        <w:jc w:val="both"/>
        <w:rPr>
          <w:rFonts w:cs="Times New Roman"/>
          <w:b/>
          <w:bCs/>
          <w:i/>
          <w:iCs/>
          <w:sz w:val="24"/>
        </w:rPr>
      </w:pPr>
    </w:p>
    <w:p w14:paraId="63A7A4E1" w14:textId="69C0F9D1" w:rsidR="0064037A" w:rsidRPr="0083510D" w:rsidRDefault="040CAA98" w:rsidP="00C568D4">
      <w:pPr>
        <w:ind w:firstLine="426"/>
        <w:jc w:val="both"/>
        <w:rPr>
          <w:rFonts w:cs="Times New Roman"/>
          <w:b/>
          <w:bCs/>
          <w:i/>
          <w:iCs/>
          <w:sz w:val="24"/>
        </w:rPr>
      </w:pPr>
      <w:r w:rsidRPr="0083510D">
        <w:rPr>
          <w:rFonts w:cs="Times New Roman"/>
          <w:b/>
          <w:bCs/>
          <w:i/>
          <w:iCs/>
          <w:sz w:val="24"/>
        </w:rPr>
        <w:t>Tekstilrūpniecība</w:t>
      </w:r>
    </w:p>
    <w:p w14:paraId="4E18AB73" w14:textId="135D2CBA" w:rsidR="0064037A" w:rsidRPr="0083510D" w:rsidRDefault="040CAA98" w:rsidP="00C568D4">
      <w:pPr>
        <w:ind w:firstLine="426"/>
        <w:jc w:val="both"/>
        <w:rPr>
          <w:rFonts w:cs="Times New Roman"/>
          <w:sz w:val="24"/>
        </w:rPr>
      </w:pPr>
      <w:r w:rsidRPr="0083510D">
        <w:rPr>
          <w:rFonts w:cs="Times New Roman"/>
          <w:sz w:val="24"/>
        </w:rPr>
        <w:t xml:space="preserve">Nozare ir spilgts pierādījums uzņēmumu nepieciešamībai </w:t>
      </w:r>
      <w:r w:rsidR="006A2C4D">
        <w:rPr>
          <w:rFonts w:cs="Times New Roman"/>
          <w:sz w:val="24"/>
        </w:rPr>
        <w:t xml:space="preserve">pārorientēt procesus uz </w:t>
      </w:r>
      <w:r w:rsidRPr="0083510D">
        <w:rPr>
          <w:rFonts w:cs="Times New Roman"/>
          <w:sz w:val="24"/>
        </w:rPr>
        <w:t>digitalizācij</w:t>
      </w:r>
      <w:r w:rsidR="006A2C4D">
        <w:rPr>
          <w:rFonts w:cs="Times New Roman"/>
          <w:sz w:val="24"/>
        </w:rPr>
        <w:t>u, lai nodrošinātu pakalpojumu nepārtrauktību</w:t>
      </w:r>
      <w:r w:rsidRPr="0083510D">
        <w:rPr>
          <w:rFonts w:cs="Times New Roman"/>
          <w:sz w:val="24"/>
        </w:rPr>
        <w:t xml:space="preserve"> arī krīzes situācijās. “Covid-19” stratēģijā ietvertais digitālās transformācijas virziens, pielāgojot valsts atbalsta mehānismus, var būt nozīmīgs stūrakmens uzņēmumu ilgtspējībai. Nozares dzīvotspēja ir atkarīga no līdzšinējiem noieta tirgiem</w:t>
      </w:r>
      <w:r w:rsidR="006A2C4D">
        <w:rPr>
          <w:rFonts w:cs="Times New Roman"/>
          <w:sz w:val="24"/>
        </w:rPr>
        <w:t>, kas lielākoties ir NVS valstis</w:t>
      </w:r>
      <w:r w:rsidRPr="0083510D">
        <w:rPr>
          <w:rFonts w:cs="Times New Roman"/>
          <w:sz w:val="24"/>
        </w:rPr>
        <w:t xml:space="preserve">. Pandēmijas dēļ mazumtirdzniecība NVS valstīs bija pilnībā aizvērta un valdību atbalsts biznesam </w:t>
      </w:r>
      <w:r w:rsidR="006A2C4D">
        <w:rPr>
          <w:rFonts w:cs="Times New Roman"/>
          <w:sz w:val="24"/>
        </w:rPr>
        <w:t>netika nodrošināts</w:t>
      </w:r>
      <w:r w:rsidRPr="0083510D">
        <w:rPr>
          <w:rFonts w:cs="Times New Roman"/>
          <w:sz w:val="24"/>
        </w:rPr>
        <w:t>. Uzņēmēji ar distribūcijas kanāliem rietumu virzienā krīzi ir pārdzīvojuši, reizēm pat uzlabojot tirdzniecības rādītājus. Uzņēmēji elastīgi pielāgojās citu produktu ražošanai pandēmijas laikā – piemēram, halāti, maskas, cepures, tomēr uzņēmēji atgriežas pie ierastajām precēm.</w:t>
      </w:r>
    </w:p>
    <w:p w14:paraId="1929B463" w14:textId="4AF9EF66" w:rsidR="0064037A" w:rsidRPr="0083510D" w:rsidRDefault="040CAA98" w:rsidP="00C568D4">
      <w:pPr>
        <w:ind w:firstLine="426"/>
        <w:jc w:val="both"/>
        <w:rPr>
          <w:rFonts w:cs="Times New Roman"/>
          <w:sz w:val="24"/>
        </w:rPr>
      </w:pPr>
      <w:r w:rsidRPr="0083510D">
        <w:rPr>
          <w:rFonts w:cs="Times New Roman"/>
          <w:sz w:val="24"/>
        </w:rPr>
        <w:t xml:space="preserve">Uzņēmumi, kas krīzi pārdzīvoja ar uzviju, mainījuši savus noieta kanālus ar digitializācijas palīdzību. Piemēram, SIA “New Rosme” atverot sieviešu veļas e-veikalu ar piegādi Baltijas valstīs, ir </w:t>
      </w:r>
      <w:r w:rsidR="00975A99" w:rsidRPr="0083510D">
        <w:rPr>
          <w:rFonts w:cs="Times New Roman"/>
          <w:sz w:val="24"/>
        </w:rPr>
        <w:t xml:space="preserve">pārdevuši </w:t>
      </w:r>
      <w:r w:rsidRPr="0083510D">
        <w:rPr>
          <w:rFonts w:cs="Times New Roman"/>
          <w:sz w:val="24"/>
        </w:rPr>
        <w:t xml:space="preserve">divreiz vairāk par plānoto pāris mēnešu posmā. Līdz ar to novērojams, ka pat precei, ko šķietami pērķ tikai fiziski un ar to iepazīstoties, digitalizācijas virziens ir izrādījies veiksmīgs. Digitalizācijas rezultātā arī mainās izmaksu bāze pret izdevumiem – nav pārdevēju, nav reklāmas, samazinās komunālie izdevumi un citas priekšrocības. </w:t>
      </w:r>
    </w:p>
    <w:p w14:paraId="4DC840F5" w14:textId="1230BDD2" w:rsidR="0064037A" w:rsidRPr="0083510D" w:rsidRDefault="0064037A" w:rsidP="00C568D4">
      <w:pPr>
        <w:jc w:val="both"/>
        <w:rPr>
          <w:rFonts w:cs="Times New Roman"/>
          <w:b/>
          <w:bCs/>
          <w:i/>
          <w:iCs/>
          <w:sz w:val="24"/>
        </w:rPr>
      </w:pPr>
    </w:p>
    <w:p w14:paraId="26C1D2A5" w14:textId="1DA288D4" w:rsidR="0064037A" w:rsidRPr="0083510D" w:rsidRDefault="040CAA98" w:rsidP="00C568D4">
      <w:pPr>
        <w:ind w:firstLine="426"/>
        <w:jc w:val="both"/>
        <w:rPr>
          <w:rFonts w:cs="Times New Roman"/>
          <w:b/>
          <w:bCs/>
          <w:i/>
          <w:iCs/>
          <w:sz w:val="24"/>
        </w:rPr>
      </w:pPr>
      <w:r w:rsidRPr="0083510D">
        <w:rPr>
          <w:rFonts w:cs="Times New Roman"/>
          <w:b/>
          <w:bCs/>
          <w:i/>
          <w:iCs/>
          <w:sz w:val="24"/>
        </w:rPr>
        <w:t>Metālapstrāde un mašīnbūve</w:t>
      </w:r>
    </w:p>
    <w:p w14:paraId="646BBACE" w14:textId="54AE3DD7" w:rsidR="0064037A" w:rsidRPr="0083510D" w:rsidRDefault="00975A99" w:rsidP="00C568D4">
      <w:pPr>
        <w:ind w:firstLine="426"/>
        <w:jc w:val="both"/>
        <w:rPr>
          <w:rFonts w:cs="Times New Roman"/>
          <w:sz w:val="24"/>
        </w:rPr>
      </w:pPr>
      <w:r>
        <w:rPr>
          <w:rFonts w:cs="Times New Roman"/>
          <w:sz w:val="24"/>
        </w:rPr>
        <w:t>Šajā nozarē vērojama neviennozīmīga situācija</w:t>
      </w:r>
      <w:r w:rsidR="040CAA98" w:rsidRPr="0083510D">
        <w:rPr>
          <w:rFonts w:cs="Times New Roman"/>
          <w:sz w:val="24"/>
        </w:rPr>
        <w:t xml:space="preserve"> - ir uzņēmumi, kas cietuši ļoti smagi, taču ir uzņēmumi, kuriem izdevies uzrādīt pat labākus darbības rezultātus kā iepriekš. Pēc uzņēmēju un asociācijas sacītā paredzams, ka visdziļākā krīze nozarē būs šī augustā un septembrī. Inerce uz tūlītējām izmaiņām šajā nozarē ir samērā lēna un problēmas netiek izjustas uzreiz.</w:t>
      </w:r>
    </w:p>
    <w:p w14:paraId="19DFAF77" w14:textId="25112C4B" w:rsidR="0064037A" w:rsidRPr="0083510D" w:rsidRDefault="040CAA98" w:rsidP="00C568D4">
      <w:pPr>
        <w:ind w:firstLine="426"/>
        <w:jc w:val="both"/>
        <w:rPr>
          <w:rFonts w:cs="Times New Roman"/>
          <w:sz w:val="24"/>
        </w:rPr>
      </w:pPr>
      <w:r w:rsidRPr="0083510D">
        <w:rPr>
          <w:rFonts w:cs="Times New Roman"/>
          <w:sz w:val="24"/>
        </w:rPr>
        <w:t xml:space="preserve">“Covid-19” nozari ietekmējis spēcīgi, darba spēka ziņā </w:t>
      </w:r>
      <w:r w:rsidR="00975A99">
        <w:rPr>
          <w:rFonts w:cs="Times New Roman"/>
          <w:sz w:val="24"/>
        </w:rPr>
        <w:t>smagāk</w:t>
      </w:r>
      <w:r w:rsidRPr="0083510D">
        <w:rPr>
          <w:rFonts w:cs="Times New Roman"/>
          <w:sz w:val="24"/>
        </w:rPr>
        <w:t xml:space="preserve"> tiek izjustas </w:t>
      </w:r>
      <w:r w:rsidR="00975A99">
        <w:rPr>
          <w:rFonts w:cs="Times New Roman"/>
          <w:sz w:val="24"/>
        </w:rPr>
        <w:t>jau iepriekš esošās</w:t>
      </w:r>
      <w:r w:rsidRPr="0083510D">
        <w:rPr>
          <w:rFonts w:cs="Times New Roman"/>
          <w:sz w:val="24"/>
        </w:rPr>
        <w:t xml:space="preserve"> nozares problēmas, kā piemēram, speciālistu trūkums. Vairāki nozares uzņēmumi izjutuši apgrozījuma kritumu, kas kopējā griezumā varētu atstāt samērā nozīmīgu ietekmi. Vairāki uzņēmumi nevar nodrošināt darbu saviem darbiniekiem, laižot tos dīkstāvē, atvaļinājumos vai pat atlaižot. </w:t>
      </w:r>
    </w:p>
    <w:p w14:paraId="1DE0B9C0" w14:textId="211E1115" w:rsidR="0064037A" w:rsidRPr="0083510D" w:rsidRDefault="040CAA98" w:rsidP="00C568D4">
      <w:pPr>
        <w:ind w:firstLine="426"/>
        <w:jc w:val="both"/>
        <w:rPr>
          <w:rFonts w:cs="Times New Roman"/>
          <w:sz w:val="24"/>
        </w:rPr>
      </w:pPr>
      <w:r w:rsidRPr="0083510D">
        <w:rPr>
          <w:rFonts w:cs="Times New Roman"/>
          <w:sz w:val="24"/>
        </w:rPr>
        <w:lastRenderedPageBreak/>
        <w:t xml:space="preserve">Nelielā mērā “Covid-19” seku dēļ uzņēmumi palielina digitalizācijas ieviešanu uzņēmumos, taču ne ļoti būtiski. Tiek ieviesti vairāk metināšanas roboti. Savukārt daudzos uzņēmumos investīcijas ir apturētas. Viss ir atkarīgs no katra uzņēmuma specializācijas un noieta tirgiem. Vidējo mediānu nozarē nav iespējams noteikt. </w:t>
      </w:r>
    </w:p>
    <w:p w14:paraId="7F0BF6DC" w14:textId="417CFB82" w:rsidR="0064037A" w:rsidRPr="0083510D" w:rsidRDefault="0064037A" w:rsidP="00C568D4">
      <w:pPr>
        <w:ind w:firstLine="426"/>
        <w:jc w:val="both"/>
        <w:rPr>
          <w:rFonts w:cs="Times New Roman"/>
          <w:sz w:val="24"/>
        </w:rPr>
      </w:pPr>
    </w:p>
    <w:p w14:paraId="30FF64EE" w14:textId="021447C2" w:rsidR="0064037A" w:rsidRPr="0083510D" w:rsidRDefault="040CAA98" w:rsidP="00C568D4">
      <w:pPr>
        <w:ind w:firstLine="426"/>
        <w:jc w:val="both"/>
        <w:rPr>
          <w:rFonts w:cs="Times New Roman"/>
          <w:b/>
          <w:bCs/>
          <w:i/>
          <w:iCs/>
          <w:sz w:val="24"/>
        </w:rPr>
      </w:pPr>
      <w:r w:rsidRPr="0083510D">
        <w:rPr>
          <w:rFonts w:cs="Times New Roman"/>
          <w:b/>
          <w:bCs/>
          <w:i/>
          <w:iCs/>
          <w:sz w:val="24"/>
        </w:rPr>
        <w:t>Pārtikas ražošana</w:t>
      </w:r>
    </w:p>
    <w:p w14:paraId="1D141B0D" w14:textId="24421A1F" w:rsidR="0064037A" w:rsidRPr="0083510D" w:rsidRDefault="040CAA98" w:rsidP="00C568D4">
      <w:pPr>
        <w:ind w:firstLine="426"/>
        <w:jc w:val="both"/>
        <w:rPr>
          <w:rFonts w:cs="Times New Roman"/>
          <w:sz w:val="24"/>
        </w:rPr>
      </w:pPr>
      <w:r w:rsidRPr="0083510D">
        <w:rPr>
          <w:rFonts w:cs="Times New Roman"/>
          <w:sz w:val="24"/>
        </w:rPr>
        <w:t>Kopēj</w:t>
      </w:r>
      <w:r w:rsidR="00975A99">
        <w:rPr>
          <w:rFonts w:cs="Times New Roman"/>
          <w:sz w:val="24"/>
        </w:rPr>
        <w:t xml:space="preserve">ā situācija nozarē </w:t>
      </w:r>
      <w:r w:rsidRPr="0083510D">
        <w:rPr>
          <w:rFonts w:cs="Times New Roman"/>
          <w:sz w:val="24"/>
        </w:rPr>
        <w:t>dalām</w:t>
      </w:r>
      <w:r w:rsidR="00975A99">
        <w:rPr>
          <w:rFonts w:cs="Times New Roman"/>
          <w:sz w:val="24"/>
        </w:rPr>
        <w:t>a</w:t>
      </w:r>
      <w:r w:rsidRPr="0083510D">
        <w:rPr>
          <w:rFonts w:cs="Times New Roman"/>
          <w:sz w:val="24"/>
        </w:rPr>
        <w:t xml:space="preserve"> pa segmentiem līdzīgi kā metālapstrādē un mašīnbūvē. Ir segmenti, kur vērojams pieaugums un ir segmenti, kuros vērojams būtisks kritums, piemēram, HORECA segments. Jaunas problēmas nav novērotas pēdējo mēnešu laikā, taču noteikti ir pastiprinājušās jau iepriekšējās problēmas - ārzemju darba spēka piesaiste, vietējie iedzīvotāji neizvēlās strādāt šajā nozarē.</w:t>
      </w:r>
    </w:p>
    <w:p w14:paraId="1CDE3CD0" w14:textId="174E6400" w:rsidR="0064037A" w:rsidRPr="0083510D" w:rsidRDefault="040CAA98" w:rsidP="00C568D4">
      <w:pPr>
        <w:ind w:firstLine="426"/>
        <w:jc w:val="both"/>
        <w:rPr>
          <w:rFonts w:cs="Times New Roman"/>
          <w:sz w:val="24"/>
        </w:rPr>
      </w:pPr>
      <w:r w:rsidRPr="0083510D">
        <w:rPr>
          <w:rFonts w:cs="Times New Roman"/>
          <w:sz w:val="24"/>
        </w:rPr>
        <w:t>Darba procesi būtiski nav mainījušies, ievēroti visi piesardzības pasākumi,  patstāvīgas pārmaiņas nav vērojamas. Būtisks nozarē ir eksporta atbalsts, īpaši lielo uzņēmumu eksporta spējas palielināšanai.</w:t>
      </w:r>
    </w:p>
    <w:p w14:paraId="12357015" w14:textId="77777777" w:rsidR="00754A41" w:rsidRPr="0083510D" w:rsidRDefault="00754A41" w:rsidP="00C568D4">
      <w:pPr>
        <w:ind w:firstLine="426"/>
        <w:jc w:val="both"/>
        <w:rPr>
          <w:rFonts w:cs="Times New Roman"/>
          <w:sz w:val="24"/>
        </w:rPr>
      </w:pPr>
    </w:p>
    <w:p w14:paraId="431571F2" w14:textId="77777777" w:rsidR="00B906C9" w:rsidRPr="0083510D" w:rsidRDefault="00B906C9" w:rsidP="00B906C9">
      <w:pPr>
        <w:ind w:firstLine="426"/>
        <w:jc w:val="both"/>
        <w:rPr>
          <w:rFonts w:eastAsia="Calibri" w:cs="Times New Roman"/>
          <w:b/>
          <w:bCs/>
          <w:i/>
          <w:iCs/>
          <w:sz w:val="24"/>
        </w:rPr>
      </w:pPr>
      <w:r w:rsidRPr="0083510D">
        <w:rPr>
          <w:rFonts w:eastAsia="Calibri" w:cs="Times New Roman"/>
          <w:b/>
          <w:bCs/>
          <w:i/>
          <w:iCs/>
          <w:sz w:val="24"/>
        </w:rPr>
        <w:t>Transports un loģistika</w:t>
      </w:r>
    </w:p>
    <w:p w14:paraId="28C13911" w14:textId="01FD0D76" w:rsidR="00B906C9" w:rsidRPr="0083510D" w:rsidRDefault="00B906C9" w:rsidP="00B906C9">
      <w:pPr>
        <w:ind w:firstLine="426"/>
        <w:jc w:val="both"/>
        <w:rPr>
          <w:rFonts w:eastAsia="Calibri" w:cs="Times New Roman"/>
          <w:sz w:val="24"/>
        </w:rPr>
      </w:pPr>
      <w:r w:rsidRPr="0083510D">
        <w:rPr>
          <w:rFonts w:eastAsia="Calibri" w:cs="Times New Roman"/>
          <w:sz w:val="24"/>
        </w:rPr>
        <w:t>Transporta un loģistikas nozarē ir divi nozīmīgākie problēmu bloki: viens saistībā ar “COVID 19” epidēmijas izplatību un otrs saistībā ar strauju tranzīta kravu samazinājumu no Krievijas. COVID 19 būtiski ietekmēja starptautiskos pasažieru pārvadājumus visos pārvadājumu veidos – aviopārvadājumos, dzelzceļa pārvadājumos, pārvadājumos ar autobusiem un jūras pārvadājumos. Tie ir cieši saistīti ar tūrisma nozari, kura arī ir viena no visvairāk ietekmētajām. Savukārt kravu pārvadājum</w:t>
      </w:r>
      <w:r w:rsidR="00F3375F">
        <w:rPr>
          <w:rFonts w:eastAsia="Calibri" w:cs="Times New Roman"/>
          <w:sz w:val="24"/>
        </w:rPr>
        <w:t>us</w:t>
      </w:r>
      <w:r w:rsidRPr="0083510D">
        <w:rPr>
          <w:rFonts w:eastAsia="Calibri" w:cs="Times New Roman"/>
          <w:sz w:val="24"/>
        </w:rPr>
        <w:t xml:space="preserve"> “COVID 19” ietekmējis daudz mazāk. Tie ir nedaudz samazinājušies atbilstoši vispārējam globālās tirdzniecības un ražošanas samazinājumam. </w:t>
      </w:r>
    </w:p>
    <w:p w14:paraId="17B70716" w14:textId="6720A63F" w:rsidR="00B906C9" w:rsidRPr="0083510D" w:rsidRDefault="00B906C9" w:rsidP="00B906C9">
      <w:pPr>
        <w:ind w:firstLine="426"/>
        <w:jc w:val="both"/>
        <w:rPr>
          <w:rFonts w:eastAsia="Calibri" w:cs="Times New Roman"/>
          <w:sz w:val="24"/>
        </w:rPr>
      </w:pPr>
      <w:r w:rsidRPr="0083510D">
        <w:rPr>
          <w:rFonts w:eastAsia="Calibri" w:cs="Times New Roman"/>
          <w:sz w:val="24"/>
        </w:rPr>
        <w:t>Otrs būtiskais aspekts, kas negatīvi ietekmējis Latvijas loģistikas nozari ir tranzīta kravu samazinājums no Krievijas. Eiropā notiek enerģētikas pārorientācija uz atjaunojam</w:t>
      </w:r>
      <w:r w:rsidR="000E279A">
        <w:rPr>
          <w:rFonts w:eastAsia="Calibri" w:cs="Times New Roman"/>
          <w:sz w:val="24"/>
        </w:rPr>
        <w:t>ajiem</w:t>
      </w:r>
      <w:r w:rsidRPr="0083510D">
        <w:rPr>
          <w:rFonts w:eastAsia="Calibri" w:cs="Times New Roman"/>
          <w:sz w:val="24"/>
        </w:rPr>
        <w:t xml:space="preserve"> energoresursiem un atteikšanās no fosilajām degvielām, tai skaitā akmeņogļu un naftas produktu izmatošanas. Līdz ar to šo kravu tranzīts caur Latviju ir strauji samazinājies. Krievijas kravu apjomu samazinājumu caur Latviju sekmēja arī dažādi ģeopolitiski procesi, ierobežojumi finanšu sektoram, problēmas saistībā ar banku kontu atvēršanu uzņēmējiem no Krievijas un NVS valstīm un 2019.gada nogalē ieviestās ASV Ārvalstu aktīvu kontroles biroja sankcijas pret Ventspils Brīvostu un tajā strādājošiem uzņēmumiem, kā arī pašas Krievijas veiktās investīcijas un jaudas kāpināšana savā ostu un transporta sektorā.</w:t>
      </w:r>
    </w:p>
    <w:p w14:paraId="63979C86" w14:textId="2F1A41D3" w:rsidR="00B906C9" w:rsidRPr="0083510D" w:rsidRDefault="00B906C9" w:rsidP="00B906C9">
      <w:pPr>
        <w:ind w:firstLine="426"/>
        <w:jc w:val="both"/>
        <w:rPr>
          <w:rFonts w:eastAsia="Calibri" w:cs="Times New Roman"/>
          <w:sz w:val="24"/>
        </w:rPr>
      </w:pPr>
      <w:r w:rsidRPr="0083510D">
        <w:rPr>
          <w:rFonts w:eastAsia="Calibri" w:cs="Times New Roman"/>
          <w:sz w:val="24"/>
        </w:rPr>
        <w:t xml:space="preserve">Tranzīta un loģistikas nozares attīstībai, diversifikācijai un risku mazināšanai Latvijas ostas pēdējos gados aktīvi strādā pie jaunu klientu un jaunu tirgu apgūšanas, attīsta industriālus projektus un pievienotās vērtības celšanu ostās un SEZ, kas sekmē nodarbinātību. Piemēram, Ventspils brīvostā un Liepājas SEZ industriālajos uzņēmumos nodarbināti jau vairāk par divām trešdaļām nodarbināto. </w:t>
      </w:r>
    </w:p>
    <w:p w14:paraId="03250BBA" w14:textId="77777777" w:rsidR="00105CBD" w:rsidRPr="0083510D" w:rsidRDefault="00105CBD" w:rsidP="00C568D4">
      <w:pPr>
        <w:ind w:firstLine="425"/>
        <w:jc w:val="both"/>
        <w:rPr>
          <w:rFonts w:cs="Times New Roman"/>
          <w:sz w:val="24"/>
        </w:rPr>
      </w:pPr>
    </w:p>
    <w:p w14:paraId="1ACDC802" w14:textId="3A98DAC8" w:rsidR="007111B1" w:rsidRPr="0083510D" w:rsidRDefault="007111B1">
      <w:pPr>
        <w:ind w:firstLine="720"/>
        <w:jc w:val="both"/>
        <w:rPr>
          <w:rFonts w:eastAsia="Times New Roman" w:cs="Times New Roman"/>
          <w:sz w:val="8"/>
          <w:szCs w:val="8"/>
        </w:rPr>
      </w:pPr>
    </w:p>
    <w:p w14:paraId="37BCC4A1" w14:textId="5C5B165C" w:rsidR="00992773" w:rsidRPr="0083510D" w:rsidRDefault="00DF336B" w:rsidP="00992773">
      <w:pPr>
        <w:pStyle w:val="Heading1"/>
        <w:shd w:val="clear" w:color="auto" w:fill="1DA0A7"/>
        <w:spacing w:before="0"/>
        <w:rPr>
          <w:color w:val="FFFFFF" w:themeColor="background1"/>
          <w:sz w:val="28"/>
        </w:rPr>
      </w:pPr>
      <w:bookmarkStart w:id="9" w:name="_Toc462739795"/>
      <w:bookmarkStart w:id="10" w:name="_Toc47359873"/>
      <w:bookmarkStart w:id="11" w:name="_Toc448154073"/>
      <w:bookmarkStart w:id="12" w:name="_Toc448154074"/>
      <w:r w:rsidRPr="0083510D">
        <w:rPr>
          <w:color w:val="FFFFFF" w:themeColor="background1"/>
          <w:sz w:val="28"/>
        </w:rPr>
        <w:t xml:space="preserve">2. </w:t>
      </w:r>
      <w:r w:rsidR="009F76A1" w:rsidRPr="0083510D">
        <w:rPr>
          <w:color w:val="FFFFFF" w:themeColor="background1"/>
          <w:sz w:val="28"/>
        </w:rPr>
        <w:t>Pamatnostādnēs noteikto rezultatīvo rādītāju izpildes novērtējums</w:t>
      </w:r>
      <w:bookmarkEnd w:id="9"/>
      <w:bookmarkEnd w:id="10"/>
      <w:r w:rsidR="009F76A1" w:rsidRPr="0083510D">
        <w:rPr>
          <w:color w:val="FFFFFF" w:themeColor="background1"/>
          <w:sz w:val="28"/>
        </w:rPr>
        <w:t xml:space="preserve"> </w:t>
      </w:r>
      <w:bookmarkEnd w:id="11"/>
    </w:p>
    <w:p w14:paraId="4F5D6BE5" w14:textId="41627B1E" w:rsidR="00992773" w:rsidRPr="0083510D" w:rsidRDefault="00992773" w:rsidP="00C568D4">
      <w:pPr>
        <w:ind w:firstLine="360"/>
        <w:jc w:val="both"/>
        <w:rPr>
          <w:rFonts w:cs="Times New Roman"/>
          <w:sz w:val="24"/>
          <w:szCs w:val="24"/>
        </w:rPr>
      </w:pPr>
    </w:p>
    <w:p w14:paraId="11B8901E" w14:textId="5FD02662" w:rsidR="00EF08FC" w:rsidRPr="000E279A" w:rsidRDefault="00DF336B" w:rsidP="00C568D4">
      <w:pPr>
        <w:ind w:firstLine="360"/>
        <w:jc w:val="both"/>
        <w:rPr>
          <w:rFonts w:cs="Times New Roman"/>
          <w:sz w:val="24"/>
          <w:szCs w:val="24"/>
        </w:rPr>
      </w:pPr>
      <w:r w:rsidRPr="000E279A">
        <w:rPr>
          <w:rFonts w:cs="Times New Roman"/>
          <w:sz w:val="24"/>
          <w:szCs w:val="24"/>
        </w:rPr>
        <w:t xml:space="preserve">Pamatnostādnēs noteikti 4 rezultatīvie rādītāji, kas atspoguļo eksporta veicināšanas un investīciju piesaistes politikas mērķus – veicināt augsto un vidēji augsto tehnoloģiju produkcijas eksporta pieaugumu kopējā preču un pakalpojumu eksportā, kā arī sekmēt ārvalstu investīciju piesaisti uz ārējo pieprasījumu orientētajās nozarēs. </w:t>
      </w:r>
    </w:p>
    <w:p w14:paraId="3FBA2C74" w14:textId="77777777" w:rsidR="00EF08FC" w:rsidRPr="000E279A" w:rsidRDefault="00EF08FC" w:rsidP="006308C0">
      <w:pPr>
        <w:ind w:firstLine="360"/>
        <w:jc w:val="both"/>
        <w:rPr>
          <w:rFonts w:cs="Times New Roman"/>
          <w:sz w:val="24"/>
          <w:szCs w:val="24"/>
        </w:rPr>
      </w:pPr>
      <w:r w:rsidRPr="000E279A">
        <w:rPr>
          <w:rFonts w:cs="Times New Roman"/>
          <w:sz w:val="24"/>
          <w:szCs w:val="24"/>
        </w:rPr>
        <w:t>Lai novērtētu eksporta veicināšanas un ĀTI piesaistes politikas īstenošanu, tiek noteikti šādi sasniedzamie rezultatīvie rādītāji:</w:t>
      </w:r>
    </w:p>
    <w:p w14:paraId="64482CD0" w14:textId="77777777" w:rsidR="00EF08FC" w:rsidRPr="000E279A" w:rsidRDefault="00EF08FC">
      <w:pPr>
        <w:ind w:firstLine="709"/>
        <w:jc w:val="both"/>
        <w:rPr>
          <w:rFonts w:eastAsia="Calibri" w:cs="Times New Roman"/>
          <w:sz w:val="24"/>
          <w:szCs w:val="24"/>
        </w:rPr>
      </w:pPr>
      <w:r w:rsidRPr="000E279A">
        <w:rPr>
          <w:rFonts w:eastAsia="Calibri" w:cs="Times New Roman"/>
          <w:sz w:val="24"/>
          <w:szCs w:val="24"/>
        </w:rPr>
        <w:t xml:space="preserve">– augsto tehnoloģiju produktu īpatsvars kopējā eksportā (2013. gadā 8 %, 2016. gadā 9,9 %, 2017. gadā 10 % un no 2018. līdz 2020. gadam vidēji 11 %); </w:t>
      </w:r>
    </w:p>
    <w:p w14:paraId="3FEC1D20" w14:textId="77777777" w:rsidR="00EF08FC" w:rsidRPr="000E279A" w:rsidRDefault="00EF08FC">
      <w:pPr>
        <w:ind w:firstLine="709"/>
        <w:jc w:val="both"/>
        <w:rPr>
          <w:rFonts w:eastAsia="Calibri" w:cs="Times New Roman"/>
          <w:sz w:val="24"/>
          <w:szCs w:val="24"/>
        </w:rPr>
      </w:pPr>
      <w:r w:rsidRPr="000E279A">
        <w:rPr>
          <w:rFonts w:eastAsia="Calibri" w:cs="Times New Roman"/>
          <w:sz w:val="24"/>
          <w:szCs w:val="24"/>
        </w:rPr>
        <w:t>– vidējais preču un pakalpojumu eksporta pieauguma temps (salīdzināmajās cenās, %) (2013. gadā 1,1 %, 2016. gadā 1 %, 2017. gadā 2,4 % un no 2018. līdz 2020. gadam vidēji 5 % gadā);</w:t>
      </w:r>
    </w:p>
    <w:p w14:paraId="60262E3D" w14:textId="77777777" w:rsidR="00EF08FC" w:rsidRPr="000E279A" w:rsidRDefault="00EF08FC">
      <w:pPr>
        <w:ind w:firstLine="709"/>
        <w:jc w:val="both"/>
        <w:rPr>
          <w:rFonts w:eastAsia="Calibri" w:cs="Times New Roman"/>
          <w:sz w:val="24"/>
          <w:szCs w:val="24"/>
        </w:rPr>
      </w:pPr>
      <w:r w:rsidRPr="000E279A">
        <w:rPr>
          <w:rFonts w:eastAsia="Calibri" w:cs="Times New Roman"/>
          <w:sz w:val="24"/>
          <w:szCs w:val="24"/>
        </w:rPr>
        <w:t>– ĀTI snieguma indekss (2013. gadā 1,2, 2015. gadā 1,5 un no 2018. gada līdz 2020. gadam ne mazāk kā 1,2).</w:t>
      </w:r>
    </w:p>
    <w:p w14:paraId="185041F3" w14:textId="404C99E1" w:rsidR="00EF08FC" w:rsidRPr="000E279A" w:rsidRDefault="00604B9D" w:rsidP="006308C0">
      <w:pPr>
        <w:ind w:firstLine="360"/>
        <w:jc w:val="both"/>
        <w:rPr>
          <w:rFonts w:cs="Times New Roman"/>
          <w:b/>
          <w:bCs/>
          <w:sz w:val="24"/>
          <w:szCs w:val="24"/>
        </w:rPr>
      </w:pPr>
      <w:r w:rsidRPr="000E279A">
        <w:rPr>
          <w:rFonts w:cs="Times New Roman"/>
          <w:b/>
          <w:bCs/>
          <w:sz w:val="24"/>
          <w:szCs w:val="24"/>
        </w:rPr>
        <w:lastRenderedPageBreak/>
        <w:t>Lai pilnvērtīgāk atspoguļotu Pamatnostādnēs definēto mērķu sasniegšanas progresu, kā arī nodrošinātu korektu rādītāju salīdzināmību, veicot starpposma izvērtējumu attiecīgie rādītāji tika koriģēti un noteikti šādi:</w:t>
      </w:r>
    </w:p>
    <w:p w14:paraId="2CED837A" w14:textId="77777777" w:rsidR="00604B9D" w:rsidRPr="000E279A" w:rsidRDefault="00604B9D" w:rsidP="00C568D4">
      <w:pPr>
        <w:pStyle w:val="ListParagraph"/>
        <w:numPr>
          <w:ilvl w:val="0"/>
          <w:numId w:val="5"/>
        </w:numPr>
        <w:spacing w:line="240" w:lineRule="auto"/>
        <w:ind w:left="0"/>
        <w:jc w:val="both"/>
        <w:rPr>
          <w:rFonts w:ascii="Times New Roman" w:hAnsi="Times New Roman"/>
          <w:sz w:val="24"/>
          <w:szCs w:val="24"/>
        </w:rPr>
      </w:pPr>
      <w:r w:rsidRPr="000E279A">
        <w:rPr>
          <w:rFonts w:ascii="Times New Roman" w:hAnsi="Times New Roman"/>
          <w:sz w:val="24"/>
          <w:szCs w:val="24"/>
        </w:rPr>
        <w:t xml:space="preserve">Vērtējot </w:t>
      </w:r>
      <w:r w:rsidRPr="000E279A">
        <w:rPr>
          <w:rFonts w:ascii="Times New Roman" w:hAnsi="Times New Roman"/>
          <w:b/>
          <w:sz w:val="24"/>
          <w:szCs w:val="24"/>
        </w:rPr>
        <w:t>preču un</w:t>
      </w:r>
      <w:r w:rsidRPr="000E279A">
        <w:rPr>
          <w:rFonts w:ascii="Times New Roman" w:hAnsi="Times New Roman"/>
          <w:sz w:val="24"/>
          <w:szCs w:val="24"/>
        </w:rPr>
        <w:t xml:space="preserve"> </w:t>
      </w:r>
      <w:r w:rsidRPr="000E279A">
        <w:rPr>
          <w:rFonts w:ascii="Times New Roman" w:hAnsi="Times New Roman"/>
          <w:b/>
          <w:sz w:val="24"/>
          <w:szCs w:val="24"/>
        </w:rPr>
        <w:t>pakalpojumu eksporta pieaugumu salīdzināmajās cenās</w:t>
      </w:r>
      <w:r w:rsidRPr="000E279A">
        <w:rPr>
          <w:rFonts w:ascii="Times New Roman" w:hAnsi="Times New Roman"/>
          <w:sz w:val="24"/>
          <w:szCs w:val="24"/>
        </w:rPr>
        <w:t xml:space="preserve"> laika posmā no 2016. līdz 2019.gadam tiek koriģēta rezultatīvā rādītāja skaitliskā vērtība – attiecīgi paredzot 1% kritumu 2016.gadā, 2,4% pieaugumu 2017.gadā, kā arī plānojot vidēji 5% eksporta pieaugumu laika posmā no 2018.-2020.gadam.</w:t>
      </w:r>
    </w:p>
    <w:p w14:paraId="2ED9AC46" w14:textId="77777777" w:rsidR="00604B9D" w:rsidRPr="000E279A" w:rsidRDefault="00604B9D" w:rsidP="00C568D4">
      <w:pPr>
        <w:pStyle w:val="ListParagraph"/>
        <w:numPr>
          <w:ilvl w:val="0"/>
          <w:numId w:val="5"/>
        </w:numPr>
        <w:spacing w:line="240" w:lineRule="auto"/>
        <w:ind w:left="0"/>
        <w:jc w:val="both"/>
        <w:rPr>
          <w:rFonts w:ascii="Times New Roman" w:hAnsi="Times New Roman"/>
          <w:sz w:val="24"/>
          <w:szCs w:val="24"/>
        </w:rPr>
      </w:pPr>
      <w:r w:rsidRPr="000E279A">
        <w:rPr>
          <w:rFonts w:ascii="Times New Roman" w:hAnsi="Times New Roman"/>
          <w:b/>
          <w:sz w:val="24"/>
          <w:szCs w:val="24"/>
        </w:rPr>
        <w:t>Augsto tehnoloģiju produktu eksporta īpatsvara</w:t>
      </w:r>
      <w:r w:rsidRPr="000E279A">
        <w:rPr>
          <w:rFonts w:ascii="Times New Roman" w:hAnsi="Times New Roman"/>
          <w:sz w:val="24"/>
          <w:szCs w:val="24"/>
        </w:rPr>
        <w:t xml:space="preserve"> novērtēšanai kopējā eksportā turpmāk tiks izmantota EUROSTAT metodoloģija, kas </w:t>
      </w:r>
      <w:r w:rsidRPr="000E279A">
        <w:rPr>
          <w:rFonts w:ascii="Times New Roman" w:hAnsi="Times New Roman"/>
          <w:i/>
          <w:sz w:val="24"/>
          <w:szCs w:val="24"/>
        </w:rPr>
        <w:t>high-tech</w:t>
      </w:r>
      <w:r w:rsidRPr="000E279A">
        <w:rPr>
          <w:rFonts w:ascii="Times New Roman" w:hAnsi="Times New Roman"/>
          <w:sz w:val="24"/>
          <w:szCs w:val="24"/>
        </w:rPr>
        <w:t xml:space="preserve"> produktu eksportu vērtē pēc produktu grupām, nevis uzņēmumu pamatdarbības veidiem, tādejādi objektīvāk atspoguļojot faktiskā augsto tehnoloģiju produktu daļu kopējā eksportā.</w:t>
      </w:r>
    </w:p>
    <w:p w14:paraId="6FB2C1CF" w14:textId="77777777" w:rsidR="00604B9D" w:rsidRPr="000E279A" w:rsidRDefault="00604B9D" w:rsidP="00C568D4">
      <w:pPr>
        <w:pStyle w:val="ListParagraph"/>
        <w:numPr>
          <w:ilvl w:val="0"/>
          <w:numId w:val="5"/>
        </w:numPr>
        <w:spacing w:line="240" w:lineRule="auto"/>
        <w:ind w:left="0"/>
        <w:jc w:val="both"/>
        <w:rPr>
          <w:rFonts w:ascii="Times New Roman" w:hAnsi="Times New Roman"/>
          <w:sz w:val="24"/>
          <w:szCs w:val="24"/>
        </w:rPr>
      </w:pPr>
      <w:r w:rsidRPr="000E279A">
        <w:rPr>
          <w:rFonts w:ascii="Times New Roman" w:hAnsi="Times New Roman"/>
          <w:sz w:val="24"/>
          <w:szCs w:val="24"/>
        </w:rPr>
        <w:t xml:space="preserve">  </w:t>
      </w:r>
      <w:r w:rsidRPr="000E279A">
        <w:rPr>
          <w:rFonts w:ascii="Times New Roman" w:hAnsi="Times New Roman"/>
          <w:b/>
          <w:sz w:val="24"/>
          <w:szCs w:val="24"/>
        </w:rPr>
        <w:t>ĀTI politikas rezultātu mērīšanai</w:t>
      </w:r>
      <w:r w:rsidRPr="000E279A">
        <w:rPr>
          <w:rFonts w:ascii="Times New Roman" w:hAnsi="Times New Roman"/>
          <w:sz w:val="24"/>
          <w:szCs w:val="24"/>
        </w:rPr>
        <w:t xml:space="preserve"> tiks izmantots </w:t>
      </w:r>
      <w:r w:rsidRPr="000E279A">
        <w:rPr>
          <w:rFonts w:ascii="Times New Roman" w:hAnsi="Times New Roman"/>
          <w:b/>
          <w:sz w:val="24"/>
          <w:szCs w:val="24"/>
        </w:rPr>
        <w:t>ĀTI snieguma indekss</w:t>
      </w:r>
      <w:r w:rsidRPr="000E279A">
        <w:rPr>
          <w:rFonts w:ascii="Times New Roman" w:hAnsi="Times New Roman"/>
          <w:sz w:val="24"/>
          <w:szCs w:val="24"/>
        </w:rPr>
        <w:t xml:space="preserve">, kas sniegumu ĀTI piesaistē vērtē, pamatojoties uz ĀTI piesaistes potenciālu atbilstoši ekonomikas lielumam attiecīgajā reģionā, attiecīgi nosakot </w:t>
      </w:r>
      <w:r w:rsidRPr="000E279A">
        <w:rPr>
          <w:rFonts w:ascii="Times New Roman" w:hAnsi="Times New Roman"/>
          <w:b/>
          <w:sz w:val="24"/>
          <w:szCs w:val="24"/>
        </w:rPr>
        <w:t>sasniedzamo rezultatīvo radītāju</w:t>
      </w:r>
      <w:r w:rsidRPr="000E279A">
        <w:rPr>
          <w:rFonts w:ascii="Times New Roman" w:hAnsi="Times New Roman"/>
          <w:sz w:val="24"/>
          <w:szCs w:val="24"/>
        </w:rPr>
        <w:t xml:space="preserve"> </w:t>
      </w:r>
      <w:r w:rsidRPr="000E279A">
        <w:rPr>
          <w:rFonts w:ascii="Times New Roman" w:hAnsi="Times New Roman"/>
          <w:b/>
          <w:sz w:val="24"/>
          <w:szCs w:val="24"/>
        </w:rPr>
        <w:t>ne mazāk kā 1,2 laika posmā no  2018. līdz 2020.gadam</w:t>
      </w:r>
      <w:r w:rsidRPr="000E279A">
        <w:rPr>
          <w:rFonts w:ascii="Times New Roman" w:hAnsi="Times New Roman"/>
          <w:sz w:val="24"/>
          <w:szCs w:val="24"/>
        </w:rPr>
        <w:t>.</w:t>
      </w:r>
    </w:p>
    <w:p w14:paraId="6D9887E2" w14:textId="77777777" w:rsidR="000E279A" w:rsidRDefault="000E279A" w:rsidP="00C568D4">
      <w:pPr>
        <w:ind w:firstLine="360"/>
        <w:jc w:val="both"/>
        <w:rPr>
          <w:rFonts w:cs="Times New Roman"/>
          <w:i/>
          <w:iCs/>
          <w:sz w:val="24"/>
          <w:szCs w:val="24"/>
        </w:rPr>
      </w:pPr>
    </w:p>
    <w:p w14:paraId="37C20DDF" w14:textId="4FD0FA7B" w:rsidR="00604B9D" w:rsidRPr="000E279A" w:rsidRDefault="00604B9D" w:rsidP="00C568D4">
      <w:pPr>
        <w:ind w:firstLine="360"/>
        <w:jc w:val="both"/>
        <w:rPr>
          <w:rFonts w:cs="Times New Roman"/>
          <w:i/>
          <w:iCs/>
          <w:sz w:val="24"/>
          <w:szCs w:val="24"/>
        </w:rPr>
      </w:pPr>
      <w:r w:rsidRPr="000E279A">
        <w:rPr>
          <w:rFonts w:cs="Times New Roman"/>
          <w:i/>
          <w:iCs/>
          <w:sz w:val="24"/>
          <w:szCs w:val="24"/>
        </w:rPr>
        <w:t>Rezultatīvie rādītāji un to sasniedzamās rezultatīvās vērtības atspoguļotas tabulā</w:t>
      </w:r>
      <w:r w:rsidR="000E279A">
        <w:rPr>
          <w:rFonts w:cs="Times New Roman"/>
          <w:i/>
          <w:iCs/>
          <w:sz w:val="24"/>
          <w:szCs w:val="24"/>
        </w:rPr>
        <w:t>:</w:t>
      </w:r>
    </w:p>
    <w:p w14:paraId="5D28F48B" w14:textId="77777777" w:rsidR="00DA7557" w:rsidRPr="0083510D" w:rsidRDefault="00DA7557" w:rsidP="00DA7557">
      <w:pPr>
        <w:rPr>
          <w:rFonts w:eastAsia="Calibri" w:cs="Times New Roman"/>
          <w:sz w:val="24"/>
          <w:szCs w:val="24"/>
        </w:rPr>
      </w:pPr>
    </w:p>
    <w:tbl>
      <w:tblPr>
        <w:tblW w:w="8647" w:type="dxa"/>
        <w:jc w:val="center"/>
        <w:tblCellMar>
          <w:left w:w="0" w:type="dxa"/>
          <w:right w:w="0" w:type="dxa"/>
        </w:tblCellMar>
        <w:tblLook w:val="04A0" w:firstRow="1" w:lastRow="0" w:firstColumn="1" w:lastColumn="0" w:noHBand="0" w:noVBand="1"/>
      </w:tblPr>
      <w:tblGrid>
        <w:gridCol w:w="3544"/>
        <w:gridCol w:w="1134"/>
        <w:gridCol w:w="1554"/>
        <w:gridCol w:w="2415"/>
      </w:tblGrid>
      <w:tr w:rsidR="00DA7557" w:rsidRPr="0083510D" w14:paraId="2D648A90" w14:textId="77777777" w:rsidTr="0069767E">
        <w:trPr>
          <w:trHeight w:val="150"/>
          <w:jc w:val="center"/>
        </w:trPr>
        <w:tc>
          <w:tcPr>
            <w:tcW w:w="3544" w:type="dxa"/>
            <w:vMerge w:val="restart"/>
            <w:tcBorders>
              <w:top w:val="nil"/>
              <w:left w:val="nil"/>
              <w:bottom w:val="single" w:sz="8" w:space="0" w:color="5B9BD5"/>
              <w:right w:val="nil"/>
            </w:tcBorders>
            <w:shd w:val="clear" w:color="auto" w:fill="5B9BD5"/>
            <w:tcMar>
              <w:top w:w="0" w:type="dxa"/>
              <w:left w:w="108" w:type="dxa"/>
              <w:bottom w:w="0" w:type="dxa"/>
              <w:right w:w="108" w:type="dxa"/>
            </w:tcMar>
            <w:hideMark/>
          </w:tcPr>
          <w:p w14:paraId="073A5F60" w14:textId="77777777" w:rsidR="00DA7557" w:rsidRPr="0083510D" w:rsidRDefault="00DA7557" w:rsidP="00DA7557">
            <w:pPr>
              <w:jc w:val="center"/>
              <w:rPr>
                <w:rFonts w:eastAsia="Calibri" w:cs="Times New Roman"/>
                <w:b/>
                <w:bCs/>
                <w:color w:val="FFFFFF"/>
                <w:sz w:val="18"/>
                <w:szCs w:val="18"/>
              </w:rPr>
            </w:pPr>
            <w:r w:rsidRPr="0083510D">
              <w:rPr>
                <w:rFonts w:eastAsia="Calibri" w:cs="Times New Roman"/>
                <w:b/>
                <w:bCs/>
                <w:color w:val="FFFFFF"/>
                <w:sz w:val="18"/>
                <w:szCs w:val="18"/>
              </w:rPr>
              <w:t>Rezultatīvie rādītāji</w:t>
            </w:r>
          </w:p>
        </w:tc>
        <w:tc>
          <w:tcPr>
            <w:tcW w:w="1134" w:type="dxa"/>
            <w:shd w:val="clear" w:color="auto" w:fill="5B9BD5"/>
            <w:tcMar>
              <w:top w:w="0" w:type="dxa"/>
              <w:left w:w="108" w:type="dxa"/>
              <w:bottom w:w="0" w:type="dxa"/>
              <w:right w:w="108" w:type="dxa"/>
            </w:tcMar>
          </w:tcPr>
          <w:p w14:paraId="6569A869" w14:textId="77777777" w:rsidR="00DA7557" w:rsidRPr="0083510D" w:rsidRDefault="00DA7557" w:rsidP="00DA7557">
            <w:pPr>
              <w:jc w:val="center"/>
              <w:rPr>
                <w:rFonts w:eastAsia="Calibri" w:cs="Times New Roman"/>
                <w:b/>
                <w:bCs/>
                <w:color w:val="FFFFFF"/>
                <w:sz w:val="18"/>
                <w:szCs w:val="18"/>
              </w:rPr>
            </w:pPr>
          </w:p>
        </w:tc>
        <w:tc>
          <w:tcPr>
            <w:tcW w:w="3969" w:type="dxa"/>
            <w:gridSpan w:val="2"/>
            <w:shd w:val="clear" w:color="auto" w:fill="5B9BD5"/>
            <w:tcMar>
              <w:top w:w="0" w:type="dxa"/>
              <w:left w:w="108" w:type="dxa"/>
              <w:bottom w:w="0" w:type="dxa"/>
              <w:right w:w="108" w:type="dxa"/>
            </w:tcMar>
            <w:hideMark/>
          </w:tcPr>
          <w:p w14:paraId="216EA960" w14:textId="77777777" w:rsidR="00DA7557" w:rsidRPr="0083510D" w:rsidRDefault="00DA7557" w:rsidP="00DA7557">
            <w:pPr>
              <w:jc w:val="center"/>
              <w:rPr>
                <w:rFonts w:eastAsia="Calibri" w:cs="Times New Roman"/>
                <w:b/>
                <w:bCs/>
                <w:color w:val="FFFFFF"/>
                <w:sz w:val="18"/>
                <w:szCs w:val="18"/>
              </w:rPr>
            </w:pPr>
            <w:r w:rsidRPr="0083510D">
              <w:rPr>
                <w:rFonts w:eastAsia="Calibri" w:cs="Times New Roman"/>
                <w:b/>
                <w:bCs/>
                <w:color w:val="FFFFFF"/>
                <w:sz w:val="18"/>
                <w:szCs w:val="18"/>
              </w:rPr>
              <w:t>Mērķis</w:t>
            </w:r>
          </w:p>
        </w:tc>
      </w:tr>
      <w:tr w:rsidR="00DA7557" w:rsidRPr="0083510D" w14:paraId="483B4D55" w14:textId="77777777" w:rsidTr="0069767E">
        <w:trPr>
          <w:trHeight w:val="53"/>
          <w:jc w:val="center"/>
        </w:trPr>
        <w:tc>
          <w:tcPr>
            <w:tcW w:w="3544" w:type="dxa"/>
            <w:vMerge/>
            <w:tcBorders>
              <w:top w:val="nil"/>
              <w:left w:val="nil"/>
              <w:bottom w:val="single" w:sz="8" w:space="0" w:color="5B9BD5"/>
              <w:right w:val="nil"/>
            </w:tcBorders>
            <w:vAlign w:val="center"/>
            <w:hideMark/>
          </w:tcPr>
          <w:p w14:paraId="0524831E" w14:textId="77777777" w:rsidR="00DA7557" w:rsidRPr="0083510D" w:rsidRDefault="00DA7557" w:rsidP="00DA7557">
            <w:pPr>
              <w:rPr>
                <w:rFonts w:eastAsia="Calibri" w:cs="Times New Roman"/>
                <w:b/>
                <w:bCs/>
                <w:color w:val="FFFFFF"/>
                <w:sz w:val="18"/>
                <w:szCs w:val="18"/>
              </w:rPr>
            </w:pPr>
          </w:p>
        </w:tc>
        <w:tc>
          <w:tcPr>
            <w:tcW w:w="1134"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hideMark/>
          </w:tcPr>
          <w:p w14:paraId="64C6D057" w14:textId="77777777" w:rsidR="00DA7557" w:rsidRPr="0083510D" w:rsidRDefault="00DA7557" w:rsidP="00DA7557">
            <w:pPr>
              <w:jc w:val="center"/>
              <w:rPr>
                <w:rFonts w:eastAsia="Calibri" w:cs="Times New Roman"/>
                <w:color w:val="FFFFFF"/>
                <w:sz w:val="18"/>
                <w:szCs w:val="18"/>
              </w:rPr>
            </w:pPr>
            <w:r w:rsidRPr="0083510D">
              <w:rPr>
                <w:rFonts w:eastAsia="Calibri" w:cs="Times New Roman"/>
                <w:color w:val="FFFFFF"/>
                <w:sz w:val="18"/>
                <w:szCs w:val="18"/>
              </w:rPr>
              <w:t>2015</w:t>
            </w:r>
          </w:p>
        </w:tc>
        <w:tc>
          <w:tcPr>
            <w:tcW w:w="1554"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hideMark/>
          </w:tcPr>
          <w:p w14:paraId="3A338D85" w14:textId="77777777" w:rsidR="00DA7557" w:rsidRPr="0083510D" w:rsidRDefault="00DA7557" w:rsidP="00DA7557">
            <w:pPr>
              <w:jc w:val="center"/>
              <w:rPr>
                <w:rFonts w:eastAsia="Calibri" w:cs="Times New Roman"/>
                <w:color w:val="FFFFFF"/>
                <w:sz w:val="18"/>
                <w:szCs w:val="18"/>
              </w:rPr>
            </w:pPr>
            <w:r w:rsidRPr="0083510D">
              <w:rPr>
                <w:rFonts w:eastAsia="Calibri" w:cs="Times New Roman"/>
                <w:color w:val="FFFFFF"/>
                <w:sz w:val="18"/>
                <w:szCs w:val="18"/>
              </w:rPr>
              <w:t>2018</w:t>
            </w:r>
          </w:p>
        </w:tc>
        <w:tc>
          <w:tcPr>
            <w:tcW w:w="2415"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hideMark/>
          </w:tcPr>
          <w:p w14:paraId="66C90114" w14:textId="77777777" w:rsidR="00DA7557" w:rsidRPr="0083510D" w:rsidRDefault="00DA7557" w:rsidP="00DA7557">
            <w:pPr>
              <w:jc w:val="center"/>
              <w:rPr>
                <w:rFonts w:eastAsia="Calibri" w:cs="Times New Roman"/>
                <w:color w:val="FFFFFF"/>
                <w:sz w:val="18"/>
                <w:szCs w:val="18"/>
              </w:rPr>
            </w:pPr>
            <w:r w:rsidRPr="0083510D">
              <w:rPr>
                <w:rFonts w:eastAsia="Calibri" w:cs="Times New Roman"/>
                <w:color w:val="FFFFFF"/>
                <w:sz w:val="18"/>
                <w:szCs w:val="18"/>
              </w:rPr>
              <w:t>2020</w:t>
            </w:r>
          </w:p>
        </w:tc>
      </w:tr>
      <w:tr w:rsidR="00DA7557" w:rsidRPr="0083510D" w14:paraId="4B152421" w14:textId="77777777" w:rsidTr="0069767E">
        <w:trPr>
          <w:jc w:val="center"/>
        </w:trPr>
        <w:tc>
          <w:tcPr>
            <w:tcW w:w="3544" w:type="dxa"/>
            <w:shd w:val="clear" w:color="auto" w:fill="FFFFFF"/>
            <w:tcMar>
              <w:top w:w="0" w:type="dxa"/>
              <w:left w:w="108" w:type="dxa"/>
              <w:bottom w:w="0" w:type="dxa"/>
              <w:right w:w="108" w:type="dxa"/>
            </w:tcMar>
            <w:hideMark/>
          </w:tcPr>
          <w:p w14:paraId="26129364" w14:textId="77777777" w:rsidR="00DA7557" w:rsidRPr="0083510D" w:rsidRDefault="00DA7557" w:rsidP="00DA7557">
            <w:pPr>
              <w:rPr>
                <w:rFonts w:eastAsia="Calibri" w:cs="Times New Roman"/>
                <w:b/>
                <w:bCs/>
                <w:sz w:val="18"/>
                <w:szCs w:val="18"/>
              </w:rPr>
            </w:pPr>
            <w:r w:rsidRPr="0083510D">
              <w:rPr>
                <w:rFonts w:eastAsia="Calibri" w:cs="Times New Roman"/>
                <w:b/>
                <w:bCs/>
                <w:color w:val="000000"/>
                <w:sz w:val="18"/>
                <w:szCs w:val="18"/>
              </w:rPr>
              <w:t>Eksporta pieaugums (vidēji gadā salīdzināmās cenās, %)</w:t>
            </w:r>
          </w:p>
        </w:tc>
        <w:tc>
          <w:tcPr>
            <w:tcW w:w="1134" w:type="dxa"/>
            <w:tcMar>
              <w:top w:w="0" w:type="dxa"/>
              <w:left w:w="108" w:type="dxa"/>
              <w:bottom w:w="0" w:type="dxa"/>
              <w:right w:w="108" w:type="dxa"/>
            </w:tcMar>
            <w:vAlign w:val="center"/>
            <w:hideMark/>
          </w:tcPr>
          <w:p w14:paraId="31AD312E" w14:textId="77777777" w:rsidR="00DA7557" w:rsidRPr="0083510D" w:rsidRDefault="00DA7557" w:rsidP="00DA7557">
            <w:pPr>
              <w:jc w:val="center"/>
              <w:rPr>
                <w:rFonts w:eastAsia="Calibri" w:cs="Times New Roman"/>
                <w:sz w:val="18"/>
                <w:szCs w:val="18"/>
              </w:rPr>
            </w:pPr>
            <w:r w:rsidRPr="0083510D">
              <w:rPr>
                <w:rFonts w:eastAsia="Calibri" w:cs="Times New Roman"/>
                <w:sz w:val="18"/>
                <w:szCs w:val="18"/>
              </w:rPr>
              <w:t>1,4%</w:t>
            </w:r>
          </w:p>
        </w:tc>
        <w:tc>
          <w:tcPr>
            <w:tcW w:w="3969" w:type="dxa"/>
            <w:gridSpan w:val="2"/>
            <w:tcMar>
              <w:top w:w="0" w:type="dxa"/>
              <w:left w:w="108" w:type="dxa"/>
              <w:bottom w:w="0" w:type="dxa"/>
              <w:right w:w="108" w:type="dxa"/>
            </w:tcMar>
            <w:vAlign w:val="center"/>
            <w:hideMark/>
          </w:tcPr>
          <w:p w14:paraId="5C4480FC" w14:textId="77777777" w:rsidR="00DA7557" w:rsidRPr="0083510D" w:rsidRDefault="00DA7557" w:rsidP="00DA7557">
            <w:pPr>
              <w:jc w:val="center"/>
              <w:rPr>
                <w:rFonts w:eastAsia="Calibri" w:cs="Times New Roman"/>
                <w:sz w:val="18"/>
                <w:szCs w:val="18"/>
              </w:rPr>
            </w:pPr>
            <w:r w:rsidRPr="0083510D">
              <w:rPr>
                <w:rFonts w:eastAsia="Calibri" w:cs="Times New Roman"/>
                <w:sz w:val="18"/>
                <w:szCs w:val="18"/>
              </w:rPr>
              <w:t>5% (2018.–2020.g., vidēji gadā)</w:t>
            </w:r>
          </w:p>
        </w:tc>
      </w:tr>
      <w:tr w:rsidR="00DA7557" w:rsidRPr="0083510D" w14:paraId="71BA6EB3" w14:textId="77777777" w:rsidTr="0069767E">
        <w:trPr>
          <w:jc w:val="center"/>
        </w:trPr>
        <w:tc>
          <w:tcPr>
            <w:tcW w:w="3544" w:type="dxa"/>
            <w:tcBorders>
              <w:top w:val="single" w:sz="8" w:space="0" w:color="5B9BD5"/>
              <w:left w:val="nil"/>
              <w:bottom w:val="single" w:sz="8" w:space="0" w:color="5B9BD5"/>
              <w:right w:val="nil"/>
            </w:tcBorders>
            <w:shd w:val="clear" w:color="auto" w:fill="FFFFFF"/>
            <w:tcMar>
              <w:top w:w="0" w:type="dxa"/>
              <w:left w:w="108" w:type="dxa"/>
              <w:bottom w:w="0" w:type="dxa"/>
              <w:right w:w="108" w:type="dxa"/>
            </w:tcMar>
            <w:hideMark/>
          </w:tcPr>
          <w:p w14:paraId="0517E500" w14:textId="77777777" w:rsidR="00DA7557" w:rsidRPr="0083510D" w:rsidRDefault="00DA7557" w:rsidP="00DA7557">
            <w:pPr>
              <w:spacing w:line="276" w:lineRule="auto"/>
              <w:rPr>
                <w:rFonts w:eastAsia="Calibri" w:cs="Times New Roman"/>
                <w:b/>
                <w:bCs/>
                <w:sz w:val="18"/>
                <w:szCs w:val="18"/>
              </w:rPr>
            </w:pPr>
            <w:r w:rsidRPr="0083510D">
              <w:rPr>
                <w:rFonts w:eastAsia="Calibri" w:cs="Times New Roman"/>
                <w:b/>
                <w:bCs/>
                <w:color w:val="000000"/>
                <w:sz w:val="18"/>
                <w:szCs w:val="18"/>
              </w:rPr>
              <w:t>Augsto tehnoloģiju produktu īpatsvars Latvijas kopējā eksportā (%)</w:t>
            </w:r>
          </w:p>
        </w:tc>
        <w:tc>
          <w:tcPr>
            <w:tcW w:w="1134" w:type="dxa"/>
            <w:tcBorders>
              <w:top w:val="single" w:sz="8" w:space="0" w:color="5B9BD5"/>
              <w:left w:val="nil"/>
              <w:bottom w:val="single" w:sz="8" w:space="0" w:color="5B9BD5"/>
              <w:right w:val="nil"/>
            </w:tcBorders>
            <w:tcMar>
              <w:top w:w="0" w:type="dxa"/>
              <w:left w:w="108" w:type="dxa"/>
              <w:bottom w:w="0" w:type="dxa"/>
              <w:right w:w="108" w:type="dxa"/>
            </w:tcMar>
            <w:vAlign w:val="center"/>
            <w:hideMark/>
          </w:tcPr>
          <w:p w14:paraId="00B8F0C5" w14:textId="77777777" w:rsidR="00DA7557" w:rsidRPr="0083510D" w:rsidRDefault="00DA7557" w:rsidP="00DA7557">
            <w:pPr>
              <w:jc w:val="center"/>
              <w:rPr>
                <w:rFonts w:eastAsia="Calibri" w:cs="Times New Roman"/>
                <w:sz w:val="18"/>
                <w:szCs w:val="18"/>
              </w:rPr>
            </w:pPr>
            <w:r w:rsidRPr="0083510D">
              <w:rPr>
                <w:rFonts w:eastAsia="Calibri" w:cs="Times New Roman"/>
                <w:sz w:val="18"/>
                <w:szCs w:val="18"/>
              </w:rPr>
              <w:t>9,8%</w:t>
            </w:r>
          </w:p>
        </w:tc>
        <w:tc>
          <w:tcPr>
            <w:tcW w:w="1554" w:type="dxa"/>
            <w:tcBorders>
              <w:top w:val="single" w:sz="8" w:space="0" w:color="5B9BD5"/>
              <w:left w:val="nil"/>
              <w:bottom w:val="single" w:sz="8" w:space="0" w:color="5B9BD5"/>
              <w:right w:val="nil"/>
            </w:tcBorders>
            <w:tcMar>
              <w:top w:w="0" w:type="dxa"/>
              <w:left w:w="108" w:type="dxa"/>
              <w:bottom w:w="0" w:type="dxa"/>
              <w:right w:w="108" w:type="dxa"/>
            </w:tcMar>
            <w:vAlign w:val="center"/>
            <w:hideMark/>
          </w:tcPr>
          <w:p w14:paraId="51F958C8" w14:textId="77777777" w:rsidR="00DA7557" w:rsidRPr="0083510D" w:rsidRDefault="00DA7557" w:rsidP="00DA7557">
            <w:pPr>
              <w:jc w:val="center"/>
              <w:rPr>
                <w:rFonts w:eastAsia="Calibri" w:cs="Times New Roman"/>
                <w:sz w:val="18"/>
                <w:szCs w:val="18"/>
              </w:rPr>
            </w:pPr>
            <w:r w:rsidRPr="0083510D">
              <w:rPr>
                <w:rFonts w:eastAsia="Calibri" w:cs="Times New Roman"/>
                <w:sz w:val="18"/>
                <w:szCs w:val="18"/>
              </w:rPr>
              <w:t xml:space="preserve"> 10,5%</w:t>
            </w:r>
          </w:p>
        </w:tc>
        <w:tc>
          <w:tcPr>
            <w:tcW w:w="2415" w:type="dxa"/>
            <w:tcBorders>
              <w:top w:val="single" w:sz="8" w:space="0" w:color="5B9BD5"/>
              <w:left w:val="nil"/>
              <w:bottom w:val="single" w:sz="8" w:space="0" w:color="5B9BD5"/>
              <w:right w:val="nil"/>
            </w:tcBorders>
            <w:tcMar>
              <w:top w:w="0" w:type="dxa"/>
              <w:left w:w="108" w:type="dxa"/>
              <w:bottom w:w="0" w:type="dxa"/>
              <w:right w:w="108" w:type="dxa"/>
            </w:tcMar>
            <w:vAlign w:val="center"/>
            <w:hideMark/>
          </w:tcPr>
          <w:p w14:paraId="65CFD8BB" w14:textId="77777777" w:rsidR="00DA7557" w:rsidRPr="0083510D" w:rsidRDefault="00DA7557" w:rsidP="00DA7557">
            <w:pPr>
              <w:jc w:val="center"/>
              <w:rPr>
                <w:rFonts w:eastAsia="Calibri" w:cs="Times New Roman"/>
                <w:sz w:val="18"/>
                <w:szCs w:val="18"/>
              </w:rPr>
            </w:pPr>
            <w:r w:rsidRPr="0083510D">
              <w:rPr>
                <w:rFonts w:eastAsia="Calibri" w:cs="Times New Roman"/>
                <w:sz w:val="18"/>
                <w:szCs w:val="18"/>
              </w:rPr>
              <w:t>11%</w:t>
            </w:r>
          </w:p>
        </w:tc>
      </w:tr>
      <w:tr w:rsidR="00DA7557" w:rsidRPr="0083510D" w14:paraId="4AC81042" w14:textId="77777777" w:rsidTr="0069767E">
        <w:trPr>
          <w:jc w:val="center"/>
        </w:trPr>
        <w:tc>
          <w:tcPr>
            <w:tcW w:w="3544" w:type="dxa"/>
            <w:shd w:val="clear" w:color="auto" w:fill="FFFFFF"/>
            <w:tcMar>
              <w:top w:w="0" w:type="dxa"/>
              <w:left w:w="108" w:type="dxa"/>
              <w:bottom w:w="0" w:type="dxa"/>
              <w:right w:w="108" w:type="dxa"/>
            </w:tcMar>
            <w:hideMark/>
          </w:tcPr>
          <w:p w14:paraId="1835B108" w14:textId="77777777" w:rsidR="00DA7557" w:rsidRPr="0083510D" w:rsidRDefault="00DA7557" w:rsidP="00DA7557">
            <w:pPr>
              <w:spacing w:after="240" w:line="360" w:lineRule="auto"/>
              <w:ind w:left="-110" w:firstLine="110"/>
              <w:rPr>
                <w:rFonts w:eastAsia="Calibri" w:cs="Times New Roman"/>
                <w:b/>
                <w:bCs/>
                <w:sz w:val="18"/>
                <w:szCs w:val="18"/>
              </w:rPr>
            </w:pPr>
            <w:r w:rsidRPr="0083510D">
              <w:rPr>
                <w:rFonts w:eastAsia="Calibri" w:cs="Times New Roman"/>
                <w:b/>
                <w:bCs/>
                <w:color w:val="000000"/>
                <w:sz w:val="18"/>
                <w:szCs w:val="18"/>
              </w:rPr>
              <w:t>ĀTI snieguma indekss (Baltijas reģionā)</w:t>
            </w:r>
          </w:p>
        </w:tc>
        <w:tc>
          <w:tcPr>
            <w:tcW w:w="1134" w:type="dxa"/>
            <w:tcMar>
              <w:top w:w="0" w:type="dxa"/>
              <w:left w:w="108" w:type="dxa"/>
              <w:bottom w:w="0" w:type="dxa"/>
              <w:right w:w="108" w:type="dxa"/>
            </w:tcMar>
            <w:vAlign w:val="center"/>
            <w:hideMark/>
          </w:tcPr>
          <w:p w14:paraId="5ED537E0" w14:textId="77777777" w:rsidR="00DA7557" w:rsidRPr="0083510D" w:rsidRDefault="00DA7557" w:rsidP="00DA7557">
            <w:pPr>
              <w:jc w:val="center"/>
              <w:rPr>
                <w:rFonts w:eastAsia="Calibri" w:cs="Times New Roman"/>
                <w:sz w:val="18"/>
                <w:szCs w:val="18"/>
              </w:rPr>
            </w:pPr>
            <w:r w:rsidRPr="0083510D">
              <w:rPr>
                <w:rFonts w:eastAsia="Calibri" w:cs="Times New Roman"/>
                <w:sz w:val="18"/>
                <w:szCs w:val="18"/>
              </w:rPr>
              <w:t>1,5</w:t>
            </w:r>
          </w:p>
        </w:tc>
        <w:tc>
          <w:tcPr>
            <w:tcW w:w="3969" w:type="dxa"/>
            <w:gridSpan w:val="2"/>
            <w:tcMar>
              <w:top w:w="0" w:type="dxa"/>
              <w:left w:w="108" w:type="dxa"/>
              <w:bottom w:w="0" w:type="dxa"/>
              <w:right w:w="108" w:type="dxa"/>
            </w:tcMar>
            <w:vAlign w:val="center"/>
            <w:hideMark/>
          </w:tcPr>
          <w:p w14:paraId="34CD8084" w14:textId="77777777" w:rsidR="00DA7557" w:rsidRPr="0083510D" w:rsidRDefault="00DA7557" w:rsidP="00DA7557">
            <w:pPr>
              <w:jc w:val="center"/>
              <w:rPr>
                <w:rFonts w:eastAsia="Calibri" w:cs="Times New Roman"/>
                <w:sz w:val="18"/>
                <w:szCs w:val="18"/>
              </w:rPr>
            </w:pPr>
            <w:r w:rsidRPr="0083510D">
              <w:rPr>
                <w:rFonts w:eastAsia="Calibri" w:cs="Times New Roman"/>
                <w:sz w:val="18"/>
                <w:szCs w:val="18"/>
              </w:rPr>
              <w:t>1,2    (2018.- 2020.g., vidēji gadā)</w:t>
            </w:r>
          </w:p>
        </w:tc>
      </w:tr>
    </w:tbl>
    <w:p w14:paraId="63AE2261" w14:textId="77777777" w:rsidR="00462FAF" w:rsidRPr="0083510D" w:rsidRDefault="00462FAF" w:rsidP="00DA7557">
      <w:pPr>
        <w:spacing w:after="240"/>
        <w:rPr>
          <w:rFonts w:eastAsia="Calibri" w:cs="Times New Roman"/>
          <w:i/>
          <w:iCs/>
          <w:sz w:val="24"/>
          <w:szCs w:val="24"/>
        </w:rPr>
      </w:pPr>
    </w:p>
    <w:p w14:paraId="782498AD" w14:textId="611DCF2D" w:rsidR="00DA7557" w:rsidRPr="0083510D" w:rsidRDefault="00462FAF" w:rsidP="008F1FDF">
      <w:pPr>
        <w:rPr>
          <w:rFonts w:eastAsia="Calibri" w:cs="Times New Roman"/>
          <w:i/>
          <w:iCs/>
          <w:sz w:val="24"/>
          <w:szCs w:val="24"/>
        </w:rPr>
      </w:pPr>
      <w:r w:rsidRPr="0083510D">
        <w:rPr>
          <w:rFonts w:eastAsia="Calibri" w:cs="Times New Roman"/>
          <w:i/>
          <w:iCs/>
          <w:sz w:val="24"/>
          <w:szCs w:val="24"/>
        </w:rPr>
        <w:t>Rezultatīvo rādītāju izpilde:</w:t>
      </w:r>
    </w:p>
    <w:p w14:paraId="4FA1CB30" w14:textId="77777777" w:rsidR="001A316C" w:rsidRPr="0083510D" w:rsidRDefault="001A316C" w:rsidP="008F1FDF">
      <w:pPr>
        <w:rPr>
          <w:rFonts w:eastAsia="Calibri" w:cs="Times New Roman"/>
          <w:i/>
          <w:iCs/>
          <w:sz w:val="24"/>
          <w:szCs w:val="24"/>
        </w:rPr>
      </w:pPr>
    </w:p>
    <w:p w14:paraId="2F0229D9" w14:textId="3C0EF13D" w:rsidR="00DA7557" w:rsidRPr="0083510D" w:rsidRDefault="00DA7557" w:rsidP="003F125E">
      <w:pPr>
        <w:jc w:val="both"/>
        <w:rPr>
          <w:rFonts w:cs="Times New Roman"/>
          <w:b/>
          <w:bCs/>
          <w:sz w:val="24"/>
          <w:szCs w:val="24"/>
        </w:rPr>
      </w:pPr>
      <w:r w:rsidRPr="0083510D">
        <w:rPr>
          <w:rFonts w:cs="Times New Roman"/>
          <w:b/>
          <w:bCs/>
          <w:sz w:val="24"/>
          <w:szCs w:val="24"/>
        </w:rPr>
        <w:t>Eksports</w:t>
      </w:r>
    </w:p>
    <w:p w14:paraId="010C2D32" w14:textId="77777777" w:rsidR="00DA7557" w:rsidRPr="0083510D" w:rsidRDefault="00DA7557" w:rsidP="003F125E">
      <w:pPr>
        <w:ind w:firstLine="360"/>
        <w:jc w:val="both"/>
        <w:rPr>
          <w:rFonts w:cs="Times New Roman"/>
          <w:sz w:val="24"/>
          <w:szCs w:val="24"/>
        </w:rPr>
      </w:pPr>
      <w:r w:rsidRPr="0083510D">
        <w:rPr>
          <w:rFonts w:cs="Times New Roman"/>
          <w:sz w:val="24"/>
          <w:szCs w:val="24"/>
        </w:rPr>
        <w:t>Latvijas ekonomikas izaugsme vidējā termiņā ir būtiski atkarīga no eksporta ienesīguma pieauguma, ko lielā mēra nosaka spēja saglabāt savas tirgus daļas globālajos tirgos un iekļauties starptautiskās vērtību ķēdēs, kā arī spēja piedāvāt produkciju ar augstāku pievienoto vērtību.</w:t>
      </w:r>
    </w:p>
    <w:p w14:paraId="4B2E95F4" w14:textId="39D7F8FC" w:rsidR="00DA7557" w:rsidRPr="0083510D" w:rsidRDefault="00DA7557" w:rsidP="003F125E">
      <w:pPr>
        <w:ind w:firstLine="360"/>
        <w:jc w:val="both"/>
        <w:rPr>
          <w:rFonts w:cs="Times New Roman"/>
          <w:sz w:val="24"/>
          <w:szCs w:val="24"/>
        </w:rPr>
      </w:pPr>
      <w:r w:rsidRPr="0083510D">
        <w:rPr>
          <w:rFonts w:cs="Times New Roman"/>
          <w:sz w:val="24"/>
          <w:szCs w:val="24"/>
        </w:rPr>
        <w:t xml:space="preserve">Latvijas eksports pieaug un ir nozīmīgs ekonomiskās izaugsmes dzinulis. Periodā no 2015. līdz 2019. gadam preču un pakalpojumu eksports (salīdzināmās cenās) pieauga ik gadu vidēji par 4%, tai skaitā pēdējos divos gados – vidēji par 3% gadā, kas bija nedaudz lēnāk nekā plānots šim periodam. Lai gan kopš 2018.gada preču un pakalpojumu eksporta apjomi pieauga lēnākos tempos nekā pirms gada, tomēr ilgtermiņā eksportam ir noturīgi pozitīva dinamika. Preču un pakalpojumu eksports vidēji ir 61% līmenī no IKP, kas ir zemāk nekā Igaunijā un Lietuvā. </w:t>
      </w:r>
    </w:p>
    <w:p w14:paraId="2D779F0F" w14:textId="77777777" w:rsidR="001A316C" w:rsidRPr="0083510D" w:rsidRDefault="001A316C" w:rsidP="008F1FDF">
      <w:pPr>
        <w:jc w:val="both"/>
        <w:rPr>
          <w:rFonts w:eastAsia="Calibri" w:cs="Times New Roman"/>
          <w:color w:val="000000"/>
          <w:sz w:val="24"/>
          <w:szCs w:val="24"/>
        </w:rPr>
      </w:pPr>
    </w:p>
    <w:tbl>
      <w:tblPr>
        <w:tblStyle w:val="TableGrid3"/>
        <w:tblW w:w="0" w:type="auto"/>
        <w:tblLook w:val="04A0" w:firstRow="1" w:lastRow="0" w:firstColumn="1" w:lastColumn="0" w:noHBand="0" w:noVBand="1"/>
      </w:tblPr>
      <w:tblGrid>
        <w:gridCol w:w="4481"/>
        <w:gridCol w:w="4482"/>
      </w:tblGrid>
      <w:tr w:rsidR="00DA7557" w:rsidRPr="0083510D" w14:paraId="134D2BA3" w14:textId="77777777" w:rsidTr="0069767E">
        <w:trPr>
          <w:trHeight w:val="547"/>
        </w:trPr>
        <w:tc>
          <w:tcPr>
            <w:tcW w:w="4481" w:type="dxa"/>
          </w:tcPr>
          <w:p w14:paraId="553B93B9" w14:textId="77777777" w:rsidR="00DA7557" w:rsidRPr="0083510D" w:rsidRDefault="00DA7557" w:rsidP="008F1FDF">
            <w:pPr>
              <w:rPr>
                <w:rFonts w:ascii="Times New Roman" w:eastAsia="Calibri" w:hAnsi="Times New Roman" w:cs="Times New Roman"/>
                <w:color w:val="000000"/>
                <w:sz w:val="24"/>
                <w:szCs w:val="24"/>
              </w:rPr>
            </w:pPr>
            <w:r w:rsidRPr="0083510D">
              <w:rPr>
                <w:rFonts w:ascii="Times New Roman" w:eastAsia="Calibri" w:hAnsi="Times New Roman" w:cs="Times New Roman"/>
                <w:b/>
                <w:bCs/>
                <w:color w:val="000000"/>
                <w:sz w:val="24"/>
                <w:szCs w:val="24"/>
              </w:rPr>
              <w:t xml:space="preserve">Preču un pakalpojumu eksporta pieauguma temps </w:t>
            </w:r>
            <w:r w:rsidRPr="0083510D">
              <w:rPr>
                <w:rFonts w:ascii="Times New Roman" w:eastAsia="Calibri" w:hAnsi="Times New Roman" w:cs="Times New Roman"/>
                <w:color w:val="000000"/>
                <w:sz w:val="24"/>
                <w:szCs w:val="24"/>
              </w:rPr>
              <w:t>(</w:t>
            </w:r>
            <w:r w:rsidRPr="0083510D">
              <w:rPr>
                <w:rFonts w:ascii="Times New Roman" w:eastAsia="Calibri" w:hAnsi="Times New Roman" w:cs="Times New Roman"/>
                <w:i/>
                <w:iCs/>
                <w:color w:val="000000"/>
                <w:sz w:val="24"/>
                <w:szCs w:val="24"/>
              </w:rPr>
              <w:t>salīdzināmās cenās, procentos</w:t>
            </w:r>
            <w:r w:rsidRPr="0083510D">
              <w:rPr>
                <w:rFonts w:ascii="Times New Roman" w:eastAsia="Calibri" w:hAnsi="Times New Roman" w:cs="Times New Roman"/>
                <w:color w:val="000000"/>
                <w:sz w:val="24"/>
                <w:szCs w:val="24"/>
              </w:rPr>
              <w:t xml:space="preserve">) </w:t>
            </w:r>
          </w:p>
        </w:tc>
        <w:tc>
          <w:tcPr>
            <w:tcW w:w="4482" w:type="dxa"/>
          </w:tcPr>
          <w:p w14:paraId="699EFC97" w14:textId="77777777" w:rsidR="00DA7557" w:rsidRPr="0083510D" w:rsidRDefault="00DA7557" w:rsidP="008F1FDF">
            <w:pPr>
              <w:rPr>
                <w:rFonts w:ascii="Times New Roman" w:eastAsia="Calibri" w:hAnsi="Times New Roman" w:cs="Times New Roman"/>
                <w:color w:val="000000"/>
                <w:sz w:val="24"/>
                <w:szCs w:val="24"/>
              </w:rPr>
            </w:pPr>
            <w:r w:rsidRPr="0083510D">
              <w:rPr>
                <w:rFonts w:ascii="Times New Roman" w:eastAsia="Calibri" w:hAnsi="Times New Roman" w:cs="Times New Roman"/>
                <w:b/>
                <w:bCs/>
                <w:color w:val="000000"/>
                <w:sz w:val="24"/>
                <w:szCs w:val="24"/>
              </w:rPr>
              <w:t>Augsto tehnoloģiju produktu eksports</w:t>
            </w:r>
            <w:r w:rsidRPr="0083510D">
              <w:rPr>
                <w:rFonts w:ascii="Times New Roman" w:eastAsia="Calibri" w:hAnsi="Times New Roman" w:cs="Times New Roman"/>
                <w:color w:val="000000"/>
                <w:sz w:val="24"/>
                <w:szCs w:val="24"/>
              </w:rPr>
              <w:t xml:space="preserve"> (</w:t>
            </w:r>
            <w:r w:rsidRPr="0083510D">
              <w:rPr>
                <w:rFonts w:ascii="Times New Roman" w:eastAsia="Calibri" w:hAnsi="Times New Roman" w:cs="Times New Roman"/>
                <w:i/>
                <w:iCs/>
                <w:color w:val="000000"/>
                <w:sz w:val="24"/>
                <w:szCs w:val="24"/>
              </w:rPr>
              <w:t>procentos no IKP</w:t>
            </w:r>
            <w:r w:rsidRPr="0083510D">
              <w:rPr>
                <w:rFonts w:ascii="Times New Roman" w:eastAsia="Calibri" w:hAnsi="Times New Roman" w:cs="Times New Roman"/>
                <w:color w:val="000000"/>
                <w:sz w:val="24"/>
                <w:szCs w:val="24"/>
              </w:rPr>
              <w:t>)</w:t>
            </w:r>
          </w:p>
        </w:tc>
      </w:tr>
      <w:tr w:rsidR="00DA7557" w:rsidRPr="0083510D" w14:paraId="1A95E10B" w14:textId="77777777" w:rsidTr="0069767E">
        <w:tc>
          <w:tcPr>
            <w:tcW w:w="4481" w:type="dxa"/>
          </w:tcPr>
          <w:p w14:paraId="128FCC95" w14:textId="77777777" w:rsidR="00DA7557" w:rsidRPr="0083510D" w:rsidRDefault="00DA7557" w:rsidP="008F1FDF">
            <w:pPr>
              <w:jc w:val="both"/>
              <w:rPr>
                <w:rFonts w:ascii="Times New Roman" w:eastAsia="Calibri" w:hAnsi="Times New Roman" w:cs="Times New Roman"/>
                <w:color w:val="000000"/>
                <w:sz w:val="24"/>
                <w:szCs w:val="24"/>
              </w:rPr>
            </w:pPr>
            <w:r w:rsidRPr="0083510D">
              <w:rPr>
                <w:rFonts w:eastAsia="Calibri" w:cs="Times New Roman"/>
                <w:noProof/>
                <w:color w:val="000000"/>
                <w:sz w:val="24"/>
                <w:szCs w:val="24"/>
              </w:rPr>
              <w:drawing>
                <wp:inline distT="0" distB="0" distL="0" distR="0" wp14:anchorId="4AD75404" wp14:editId="41BEEC81">
                  <wp:extent cx="2419350" cy="1743075"/>
                  <wp:effectExtent l="0" t="0" r="0" b="0"/>
                  <wp:docPr id="10" name="Chart 10">
                    <a:extLst xmlns:a="http://schemas.openxmlformats.org/drawingml/2006/main">
                      <a:ext uri="{FF2B5EF4-FFF2-40B4-BE49-F238E27FC236}">
                        <a16:creationId xmlns:a16="http://schemas.microsoft.com/office/drawing/2014/main" id="{4E0319F4-E32D-4CC3-9F71-D03E2611B9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482" w:type="dxa"/>
          </w:tcPr>
          <w:p w14:paraId="31A824BB" w14:textId="77777777" w:rsidR="00DA7557" w:rsidRPr="0083510D" w:rsidRDefault="00DA7557" w:rsidP="008F1FDF">
            <w:pPr>
              <w:jc w:val="both"/>
              <w:rPr>
                <w:rFonts w:ascii="Times New Roman" w:eastAsia="Calibri" w:hAnsi="Times New Roman" w:cs="Times New Roman"/>
                <w:color w:val="000000"/>
                <w:sz w:val="24"/>
                <w:szCs w:val="24"/>
              </w:rPr>
            </w:pPr>
            <w:r w:rsidRPr="0083510D">
              <w:rPr>
                <w:rFonts w:eastAsia="Calibri" w:cs="Times New Roman"/>
                <w:noProof/>
                <w:color w:val="000000"/>
                <w:sz w:val="24"/>
                <w:szCs w:val="24"/>
              </w:rPr>
              <w:drawing>
                <wp:inline distT="0" distB="0" distL="0" distR="0" wp14:anchorId="5483DC8A" wp14:editId="61B08581">
                  <wp:extent cx="2419350" cy="1743075"/>
                  <wp:effectExtent l="0" t="0" r="0" b="0"/>
                  <wp:docPr id="7" name="Chart 7">
                    <a:extLst xmlns:a="http://schemas.openxmlformats.org/drawingml/2006/main">
                      <a:ext uri="{FF2B5EF4-FFF2-40B4-BE49-F238E27FC236}">
                        <a16:creationId xmlns:a16="http://schemas.microsoft.com/office/drawing/2014/main" id="{4E0319F4-E32D-4CC3-9F71-D03E2611B9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24087328" w14:textId="77777777" w:rsidR="008F1FDF" w:rsidRPr="0083510D" w:rsidRDefault="008F1FDF" w:rsidP="008F1FDF">
      <w:pPr>
        <w:jc w:val="both"/>
        <w:rPr>
          <w:rFonts w:eastAsia="Calibri" w:cs="Times New Roman"/>
          <w:color w:val="000000"/>
          <w:sz w:val="24"/>
          <w:szCs w:val="24"/>
        </w:rPr>
      </w:pPr>
    </w:p>
    <w:p w14:paraId="02E724F0" w14:textId="68BC8A09" w:rsidR="00DA7557" w:rsidRPr="0083510D" w:rsidRDefault="00DA7557" w:rsidP="003F125E">
      <w:pPr>
        <w:ind w:firstLine="360"/>
        <w:jc w:val="both"/>
        <w:rPr>
          <w:rFonts w:cs="Times New Roman"/>
          <w:sz w:val="24"/>
          <w:szCs w:val="24"/>
        </w:rPr>
      </w:pPr>
      <w:r w:rsidRPr="0083510D">
        <w:rPr>
          <w:rFonts w:cs="Times New Roman"/>
          <w:sz w:val="24"/>
          <w:szCs w:val="24"/>
        </w:rPr>
        <w:t>Preču eksporta vērtība kopš 2015.gada pieauga gandrīz 1,2 reizes. Lielāku ieguldījumu eksporta attīstībā šajā laika posmā deva lielākā eksporta grupa koksne un tās izstrādājumi. To daļā kopējā eksportā pieauga par gandrīz 1 procentpunktu un 2019.gadā veidoja 17,3%. Nozīmīgs ieguldījums eksporta vērtības palielināšanā bija arī alkoholisko un bezalkoholisko dzērienu, farmācijas produktu un transportlīdzekļu eksportam. Savukārt ir samazinājies elektroierīču un iekārtu, kā arī neorganiskās ķīmijas produktu īpatsvars kopējā eksportā.</w:t>
      </w:r>
    </w:p>
    <w:p w14:paraId="17F9B8AF" w14:textId="77777777" w:rsidR="001A316C" w:rsidRPr="0083510D" w:rsidRDefault="00DA7557" w:rsidP="003F125E">
      <w:pPr>
        <w:ind w:firstLine="360"/>
        <w:jc w:val="both"/>
        <w:rPr>
          <w:rFonts w:cs="Times New Roman"/>
          <w:sz w:val="24"/>
          <w:szCs w:val="24"/>
        </w:rPr>
      </w:pPr>
      <w:r w:rsidRPr="0083510D">
        <w:rPr>
          <w:rFonts w:cs="Times New Roman"/>
          <w:sz w:val="24"/>
          <w:szCs w:val="24"/>
        </w:rPr>
        <w:t>Pakalpojumu eksporta vērtība laikā no 2015. līdz 2019.gadam ir pieaugusi mērenāk nekā preču eksports – par aptuveni 30%. Pakalpojumu eksporta īpatsvarā būtiski ir pieaudzis informācijas un komunikācijas tehnoloģiju eksporta īpatsvars, no 8,3% 2015.gadā līdz 14,8% 2019.gadā. Savukārt īpaši strauji ir samazinājies finanšu pakalpojumu eksporta īpatsvars, no 10,6% 2015.gadā līdz 3,3% 2019.gadā.</w:t>
      </w:r>
    </w:p>
    <w:p w14:paraId="503A4E47" w14:textId="77777777" w:rsidR="001A316C" w:rsidRPr="0083510D" w:rsidRDefault="00DA7557" w:rsidP="003F125E">
      <w:pPr>
        <w:ind w:firstLine="360"/>
        <w:jc w:val="both"/>
        <w:rPr>
          <w:rFonts w:cs="Times New Roman"/>
          <w:sz w:val="24"/>
          <w:szCs w:val="24"/>
        </w:rPr>
      </w:pPr>
      <w:r w:rsidRPr="0083510D">
        <w:rPr>
          <w:rFonts w:cs="Times New Roman"/>
          <w:sz w:val="24"/>
          <w:szCs w:val="24"/>
        </w:rPr>
        <w:t xml:space="preserve">Pēdējo gadu laikā ir vērojamas arī pozitīvās izmaiņas produktu eksporta struktūrā, it īpaši attiecībā par augsto tehnoloģiju jomas produktu īpatsvara pieaugumu. Laika posmā no 2015. līdz 2019.gadam eksporta vērtība augsto tehnoloģiju jomā nominālā izteiksmē palielinājās gandrīz par 24% (no 1201 milj. eiro līdz 1489 milj. EUR). Augsto tehnoloģiju produktu īpatsvars kopējā eksportā 2018.gadā bija 11,2%, kas ir par 0,2 procentpunktiem augstākā līmenī nekā 2015.gadā (11%). </w:t>
      </w:r>
    </w:p>
    <w:p w14:paraId="3C27D24A" w14:textId="77777777" w:rsidR="001A316C" w:rsidRPr="0083510D" w:rsidRDefault="00DA7557" w:rsidP="003F125E">
      <w:pPr>
        <w:ind w:firstLine="360"/>
        <w:jc w:val="both"/>
        <w:rPr>
          <w:rFonts w:cs="Times New Roman"/>
          <w:sz w:val="24"/>
          <w:szCs w:val="24"/>
        </w:rPr>
      </w:pPr>
      <w:r w:rsidRPr="0083510D">
        <w:rPr>
          <w:rFonts w:cs="Times New Roman"/>
          <w:sz w:val="24"/>
          <w:szCs w:val="24"/>
        </w:rPr>
        <w:t xml:space="preserve">Provizoriski arī 2019.gadā augsto tehnoloģiju produktu daļa kopējā produktu eksportā saglabāsies iepriekšējā gada līmeni. Saglabājoties esošām tendencēm augsto tehnoloģiju preču eksporta daļa turpinās palielināties, pārsniedzot šim rādītājam noteikto mērķi – 11% 2020.gadā. </w:t>
      </w:r>
    </w:p>
    <w:p w14:paraId="1C82C22E" w14:textId="6DA3B370" w:rsidR="00DA7557" w:rsidRPr="0083510D" w:rsidRDefault="00DA7557" w:rsidP="003F125E">
      <w:pPr>
        <w:ind w:firstLine="360"/>
        <w:jc w:val="both"/>
        <w:rPr>
          <w:rFonts w:cs="Times New Roman"/>
          <w:sz w:val="24"/>
          <w:szCs w:val="24"/>
        </w:rPr>
      </w:pPr>
      <w:r w:rsidRPr="0083510D">
        <w:rPr>
          <w:rFonts w:cs="Times New Roman"/>
          <w:sz w:val="24"/>
          <w:szCs w:val="24"/>
        </w:rPr>
        <w:t xml:space="preserve">Eksporta izaugsme ir cieši saistīta ar ārējo pieprasījumu un galveno partnervalstu ekonomiskās attīstības tempiem. Līdz 2017.gadam eksporta pieaugumu pamatā noteica ārējais pieprasījums, savukārt cenu konkurētspējas loma eksporta pieaugumā bija mazāka vai pat negatīva. Savukārt kopš 2018.gadā eksporta izaugsmi arvien vairāk ietekmēja konkurētspējas efekts. </w:t>
      </w:r>
    </w:p>
    <w:p w14:paraId="3AD5DEFA" w14:textId="77777777" w:rsidR="001A316C" w:rsidRPr="0083510D" w:rsidRDefault="001A316C" w:rsidP="008F1FDF">
      <w:pPr>
        <w:jc w:val="both"/>
        <w:rPr>
          <w:rFonts w:eastAsia="Calibri" w:cs="Times New Roman"/>
          <w:color w:val="000000"/>
          <w:sz w:val="24"/>
          <w:szCs w:val="24"/>
        </w:rPr>
      </w:pPr>
    </w:p>
    <w:tbl>
      <w:tblPr>
        <w:tblStyle w:val="TableGrid3"/>
        <w:tblW w:w="0" w:type="auto"/>
        <w:tblLook w:val="04A0" w:firstRow="1" w:lastRow="0" w:firstColumn="1" w:lastColumn="0" w:noHBand="0" w:noVBand="1"/>
      </w:tblPr>
      <w:tblGrid>
        <w:gridCol w:w="4330"/>
        <w:gridCol w:w="4320"/>
      </w:tblGrid>
      <w:tr w:rsidR="00DA7557" w:rsidRPr="0083510D" w14:paraId="003F5038" w14:textId="77777777" w:rsidTr="0069767E">
        <w:trPr>
          <w:trHeight w:val="747"/>
        </w:trPr>
        <w:tc>
          <w:tcPr>
            <w:tcW w:w="4330" w:type="dxa"/>
          </w:tcPr>
          <w:p w14:paraId="5F600CF1" w14:textId="77777777" w:rsidR="00DA7557" w:rsidRPr="0083510D" w:rsidRDefault="00DA7557" w:rsidP="008F1FDF">
            <w:pPr>
              <w:jc w:val="both"/>
              <w:rPr>
                <w:rFonts w:ascii="Times New Roman" w:eastAsia="Calibri" w:hAnsi="Times New Roman" w:cs="Times New Roman"/>
                <w:color w:val="000000"/>
                <w:sz w:val="24"/>
                <w:szCs w:val="24"/>
              </w:rPr>
            </w:pPr>
            <w:r w:rsidRPr="0083510D">
              <w:rPr>
                <w:rFonts w:ascii="Times New Roman" w:eastAsia="Calibri" w:hAnsi="Times New Roman" w:cs="Times New Roman"/>
                <w:b/>
                <w:bCs/>
                <w:color w:val="000000"/>
                <w:sz w:val="24"/>
                <w:szCs w:val="24"/>
              </w:rPr>
              <w:t>Eksporta apjoma izmaiņas</w:t>
            </w:r>
            <w:r w:rsidRPr="0083510D">
              <w:rPr>
                <w:rFonts w:ascii="Times New Roman" w:eastAsia="Calibri" w:hAnsi="Times New Roman" w:cs="Times New Roman"/>
                <w:color w:val="000000"/>
                <w:sz w:val="24"/>
                <w:szCs w:val="24"/>
              </w:rPr>
              <w:t xml:space="preserve"> konkurētspējas un ārējā pieprasījuma ietekmē (</w:t>
            </w:r>
            <w:r w:rsidRPr="0083510D">
              <w:rPr>
                <w:rFonts w:ascii="Times New Roman" w:eastAsia="Calibri" w:hAnsi="Times New Roman" w:cs="Times New Roman"/>
                <w:i/>
                <w:iCs/>
                <w:color w:val="000000"/>
                <w:sz w:val="24"/>
                <w:szCs w:val="24"/>
              </w:rPr>
              <w:t>procentos</w:t>
            </w:r>
            <w:r w:rsidRPr="0083510D">
              <w:rPr>
                <w:rFonts w:ascii="Times New Roman" w:eastAsia="Calibri" w:hAnsi="Times New Roman" w:cs="Times New Roman"/>
                <w:color w:val="000000"/>
                <w:sz w:val="24"/>
                <w:szCs w:val="24"/>
              </w:rPr>
              <w:t>)</w:t>
            </w:r>
          </w:p>
        </w:tc>
        <w:tc>
          <w:tcPr>
            <w:tcW w:w="4320" w:type="dxa"/>
          </w:tcPr>
          <w:p w14:paraId="02DD562B" w14:textId="77777777" w:rsidR="00DA7557" w:rsidRPr="0083510D" w:rsidRDefault="00DA7557" w:rsidP="008F1FDF">
            <w:pPr>
              <w:jc w:val="both"/>
              <w:rPr>
                <w:rFonts w:ascii="Times New Roman" w:eastAsia="Calibri" w:hAnsi="Times New Roman" w:cs="Times New Roman"/>
                <w:color w:val="000000"/>
                <w:sz w:val="24"/>
                <w:szCs w:val="24"/>
              </w:rPr>
            </w:pPr>
            <w:r w:rsidRPr="0083510D">
              <w:rPr>
                <w:rFonts w:ascii="Times New Roman" w:eastAsia="Calibri" w:hAnsi="Times New Roman" w:cs="Times New Roman"/>
                <w:b/>
                <w:bCs/>
                <w:color w:val="000000"/>
                <w:sz w:val="24"/>
                <w:szCs w:val="24"/>
              </w:rPr>
              <w:t>Latvijas eksporta tirgus daļas</w:t>
            </w:r>
            <w:r w:rsidRPr="0083510D">
              <w:rPr>
                <w:rFonts w:ascii="Times New Roman" w:eastAsia="Calibri" w:hAnsi="Times New Roman" w:cs="Times New Roman"/>
                <w:color w:val="000000"/>
                <w:sz w:val="24"/>
                <w:szCs w:val="24"/>
              </w:rPr>
              <w:t xml:space="preserve"> </w:t>
            </w:r>
            <w:r w:rsidRPr="0083510D">
              <w:rPr>
                <w:rFonts w:ascii="Times New Roman" w:eastAsia="Calibri" w:hAnsi="Times New Roman" w:cs="Times New Roman"/>
                <w:b/>
                <w:bCs/>
                <w:color w:val="000000"/>
                <w:sz w:val="24"/>
                <w:szCs w:val="24"/>
              </w:rPr>
              <w:t>izmaiņas</w:t>
            </w:r>
            <w:r w:rsidRPr="0083510D">
              <w:rPr>
                <w:rFonts w:ascii="Times New Roman" w:eastAsia="Calibri" w:hAnsi="Times New Roman" w:cs="Times New Roman"/>
                <w:color w:val="000000"/>
                <w:sz w:val="24"/>
                <w:szCs w:val="24"/>
              </w:rPr>
              <w:t xml:space="preserve"> </w:t>
            </w:r>
            <w:r w:rsidRPr="0083510D">
              <w:rPr>
                <w:rFonts w:ascii="Times New Roman" w:eastAsia="Calibri" w:hAnsi="Times New Roman" w:cs="Times New Roman"/>
                <w:b/>
                <w:bCs/>
                <w:color w:val="000000"/>
                <w:sz w:val="24"/>
                <w:szCs w:val="24"/>
              </w:rPr>
              <w:t>pasaules eksportā</w:t>
            </w:r>
            <w:r w:rsidRPr="0083510D">
              <w:rPr>
                <w:rFonts w:ascii="Times New Roman" w:eastAsia="Calibri" w:hAnsi="Times New Roman" w:cs="Times New Roman"/>
                <w:color w:val="000000"/>
                <w:sz w:val="24"/>
                <w:szCs w:val="24"/>
              </w:rPr>
              <w:t xml:space="preserve"> (</w:t>
            </w:r>
            <w:r w:rsidRPr="0083510D">
              <w:rPr>
                <w:rFonts w:ascii="Times New Roman" w:eastAsia="Calibri" w:hAnsi="Times New Roman" w:cs="Times New Roman"/>
                <w:i/>
                <w:iCs/>
                <w:color w:val="000000"/>
                <w:sz w:val="24"/>
                <w:szCs w:val="24"/>
              </w:rPr>
              <w:t>procentos</w:t>
            </w:r>
            <w:r w:rsidRPr="0083510D">
              <w:rPr>
                <w:rFonts w:ascii="Times New Roman" w:eastAsia="Calibri" w:hAnsi="Times New Roman" w:cs="Times New Roman"/>
                <w:color w:val="000000"/>
                <w:sz w:val="24"/>
                <w:szCs w:val="24"/>
              </w:rPr>
              <w:t>)</w:t>
            </w:r>
          </w:p>
        </w:tc>
      </w:tr>
      <w:tr w:rsidR="00DA7557" w:rsidRPr="0083510D" w14:paraId="7AC401AA" w14:textId="77777777" w:rsidTr="0069767E">
        <w:trPr>
          <w:trHeight w:val="2897"/>
        </w:trPr>
        <w:tc>
          <w:tcPr>
            <w:tcW w:w="4330" w:type="dxa"/>
          </w:tcPr>
          <w:p w14:paraId="17F52859" w14:textId="77777777" w:rsidR="00DA7557" w:rsidRPr="0083510D" w:rsidRDefault="00DA7557" w:rsidP="008F1FDF">
            <w:pPr>
              <w:jc w:val="both"/>
              <w:rPr>
                <w:rFonts w:ascii="Times New Roman" w:eastAsia="Calibri" w:hAnsi="Times New Roman" w:cs="Times New Roman"/>
                <w:color w:val="000000"/>
                <w:sz w:val="24"/>
                <w:szCs w:val="24"/>
              </w:rPr>
            </w:pPr>
            <w:r w:rsidRPr="0083510D">
              <w:rPr>
                <w:rFonts w:eastAsia="Calibri" w:cs="Times New Roman"/>
                <w:noProof/>
                <w:color w:val="000000"/>
                <w:sz w:val="24"/>
                <w:szCs w:val="24"/>
              </w:rPr>
              <w:drawing>
                <wp:inline distT="0" distB="0" distL="0" distR="0" wp14:anchorId="4BFE8ADE" wp14:editId="7F223ACA">
                  <wp:extent cx="2600325" cy="1657350"/>
                  <wp:effectExtent l="0" t="0" r="0" b="0"/>
                  <wp:docPr id="11" name="Chart 11">
                    <a:extLst xmlns:a="http://schemas.openxmlformats.org/drawingml/2006/main">
                      <a:ext uri="{FF2B5EF4-FFF2-40B4-BE49-F238E27FC236}">
                        <a16:creationId xmlns:a16="http://schemas.microsoft.com/office/drawing/2014/main" id="{2AD9D681-E51D-4E30-85A5-BDA98B1429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320" w:type="dxa"/>
          </w:tcPr>
          <w:p w14:paraId="3319AB0E" w14:textId="77777777" w:rsidR="00DA7557" w:rsidRPr="0083510D" w:rsidRDefault="00DA7557" w:rsidP="008F1FDF">
            <w:pPr>
              <w:jc w:val="both"/>
              <w:rPr>
                <w:rFonts w:ascii="Times New Roman" w:eastAsia="Calibri" w:hAnsi="Times New Roman" w:cs="Times New Roman"/>
                <w:color w:val="000000"/>
                <w:sz w:val="24"/>
                <w:szCs w:val="24"/>
              </w:rPr>
            </w:pPr>
            <w:r w:rsidRPr="0083510D">
              <w:rPr>
                <w:rFonts w:eastAsia="Calibri" w:cs="Times New Roman"/>
                <w:noProof/>
                <w:color w:val="000000"/>
                <w:sz w:val="24"/>
                <w:szCs w:val="24"/>
              </w:rPr>
              <w:drawing>
                <wp:inline distT="0" distB="0" distL="0" distR="0" wp14:anchorId="5F3656E9" wp14:editId="42B1087A">
                  <wp:extent cx="2590800" cy="1628775"/>
                  <wp:effectExtent l="0" t="0" r="0" b="0"/>
                  <wp:docPr id="12" name="Chart 12">
                    <a:extLst xmlns:a="http://schemas.openxmlformats.org/drawingml/2006/main">
                      <a:ext uri="{FF2B5EF4-FFF2-40B4-BE49-F238E27FC236}">
                        <a16:creationId xmlns:a16="http://schemas.microsoft.com/office/drawing/2014/main" id="{3935FD9C-5FDB-4767-8197-C646BB7A9A3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14:paraId="23BEC5F2" w14:textId="77777777" w:rsidR="008F1FDF" w:rsidRPr="0083510D" w:rsidRDefault="008F1FDF" w:rsidP="008F1FDF">
      <w:pPr>
        <w:jc w:val="both"/>
        <w:rPr>
          <w:rFonts w:eastAsia="Calibri" w:cs="Times New Roman"/>
          <w:color w:val="000000"/>
          <w:sz w:val="24"/>
          <w:szCs w:val="24"/>
        </w:rPr>
      </w:pPr>
    </w:p>
    <w:p w14:paraId="4C80BED5" w14:textId="3D6F5AA1" w:rsidR="00DA7557" w:rsidRPr="0083510D" w:rsidRDefault="00DA7557" w:rsidP="003F125E">
      <w:pPr>
        <w:ind w:firstLine="360"/>
        <w:jc w:val="both"/>
        <w:rPr>
          <w:rFonts w:cs="Times New Roman"/>
          <w:sz w:val="24"/>
          <w:szCs w:val="24"/>
        </w:rPr>
      </w:pPr>
      <w:r w:rsidRPr="0083510D">
        <w:rPr>
          <w:rFonts w:cs="Times New Roman"/>
          <w:sz w:val="24"/>
          <w:szCs w:val="24"/>
        </w:rPr>
        <w:t>Latvijas uzņēmēji saglabā konkurētspēju un apgūst jaunus tirgus, par ko liecina Latvijas eksporta daļas palielināšanās pasaules tirgū. Tomēr jāatzīmē, ka  izaugsmes tempu palēnināšanās globālajā ekonomikā, tai skaitā Latvijas galvenajās tirdzniecības partnervalstīs, pastiprina riskus Latvijas eksporta dinamikas vājināšanai tuvākajos gados. Tāpēc eksporta apjomu pieauguma tempu mērķa rādītāju (5% vidēji gadā) sasniegšanas iespējas galvenokārt noteiks produktivitātes balstītās konkurētspējas stiprināšana.</w:t>
      </w:r>
    </w:p>
    <w:p w14:paraId="73F4AC53" w14:textId="77777777" w:rsidR="001A316C" w:rsidRPr="0083510D" w:rsidRDefault="001A316C" w:rsidP="008F1FDF">
      <w:pPr>
        <w:jc w:val="both"/>
        <w:rPr>
          <w:rFonts w:eastAsia="Calibri" w:cs="Times New Roman"/>
          <w:color w:val="000000"/>
          <w:sz w:val="24"/>
          <w:szCs w:val="24"/>
        </w:rPr>
      </w:pPr>
    </w:p>
    <w:p w14:paraId="0225D6C3" w14:textId="77777777" w:rsidR="00DA7557" w:rsidRPr="0083510D" w:rsidRDefault="00DA7557" w:rsidP="008F1FDF">
      <w:pPr>
        <w:jc w:val="both"/>
        <w:rPr>
          <w:rFonts w:eastAsia="Calibri" w:cs="Times New Roman"/>
          <w:b/>
          <w:bCs/>
          <w:color w:val="000000"/>
          <w:sz w:val="24"/>
          <w:szCs w:val="24"/>
        </w:rPr>
      </w:pPr>
      <w:r w:rsidRPr="0083510D">
        <w:rPr>
          <w:rFonts w:eastAsia="Calibri" w:cs="Times New Roman"/>
          <w:b/>
          <w:bCs/>
          <w:color w:val="000000"/>
          <w:sz w:val="24"/>
          <w:szCs w:val="24"/>
        </w:rPr>
        <w:t>Ārvalstu tiešās investīcijas Latvijā un ĀTI snieguma indekss (Baltijas reģionā)</w:t>
      </w:r>
    </w:p>
    <w:p w14:paraId="00ACA11B" w14:textId="77777777" w:rsidR="00DA7557" w:rsidRPr="0083510D" w:rsidRDefault="00DA7557" w:rsidP="003F125E">
      <w:pPr>
        <w:ind w:firstLine="360"/>
        <w:jc w:val="both"/>
        <w:rPr>
          <w:rFonts w:cs="Times New Roman"/>
          <w:sz w:val="24"/>
          <w:szCs w:val="24"/>
        </w:rPr>
      </w:pPr>
      <w:r w:rsidRPr="0083510D">
        <w:rPr>
          <w:rFonts w:cs="Times New Roman"/>
          <w:sz w:val="24"/>
          <w:szCs w:val="24"/>
        </w:rPr>
        <w:t xml:space="preserve">Pēc Latvijas Bankas datiem uzkrātās ĀTI Latvijas ekonomikā 2020.gada marta beigās sasniedza gandrīz 16,1 mljrd. eiro (53% no IKP). Salīdzinot ar 2014.gada beigām tās pieauga par 30%. Lielākā ieguldītājvalsts Latvijas ekonomikā ir Zviedrija. Tās uzņēmēju investīcijas 2020.gada marta beigās veidoja 15,6% no kopējām uzkrātajām ĀTI. Pārsvarā tās ir investīcijas finanšu starpniecībā. Lieli ir arī </w:t>
      </w:r>
      <w:r w:rsidRPr="0083510D">
        <w:rPr>
          <w:rFonts w:cs="Times New Roman"/>
          <w:sz w:val="24"/>
          <w:szCs w:val="24"/>
        </w:rPr>
        <w:lastRenderedPageBreak/>
        <w:t>Igaunijas, Krievijas, Nīderlandes, Kipras, Lietuvas un Vācijas uzņēmēju ieguldījumi. Šo valstu investīcijas Latvijas ekonomikā 2020.gada marta beigās veidoja 65% no kopējām uzkrātām ĀTI</w:t>
      </w:r>
    </w:p>
    <w:p w14:paraId="1166AE34" w14:textId="46564559" w:rsidR="00DA7557" w:rsidRPr="0083510D" w:rsidRDefault="00DA7557" w:rsidP="003F125E">
      <w:pPr>
        <w:ind w:firstLine="360"/>
        <w:jc w:val="both"/>
        <w:rPr>
          <w:rFonts w:cs="Times New Roman"/>
          <w:sz w:val="24"/>
          <w:szCs w:val="24"/>
        </w:rPr>
      </w:pPr>
      <w:r w:rsidRPr="0083510D">
        <w:rPr>
          <w:rFonts w:cs="Times New Roman"/>
          <w:sz w:val="24"/>
          <w:szCs w:val="24"/>
        </w:rPr>
        <w:t>Ārvalstu tiešo investīciju (ĀTI) plūsmu intensitāte Latvijā, kā arī citās Baltijas valstīs ir mērena. Laika periodā no 2015. – 2019.gadam Latvijā ik gadu piesaistītās ĀTI neto plūsmas vidēji veidoja 2,3% no IKP, kas bija uz pusi mazākā apjomā nekā straujās izaugsmes gados (2004-2007). ĀTI Latvijas ekonomikā pieaug, tomēr to plūsmām ir raksturīgs izteikts svārstīgums.</w:t>
      </w:r>
    </w:p>
    <w:p w14:paraId="2918D9BD" w14:textId="77777777" w:rsidR="003F125E" w:rsidRPr="0083510D" w:rsidRDefault="003F125E" w:rsidP="000E279A">
      <w:pPr>
        <w:jc w:val="both"/>
        <w:rPr>
          <w:rFonts w:cs="Times New Roman"/>
          <w:sz w:val="24"/>
          <w:szCs w:val="24"/>
        </w:rPr>
      </w:pPr>
    </w:p>
    <w:tbl>
      <w:tblPr>
        <w:tblStyle w:val="TableGrid3"/>
        <w:tblW w:w="0" w:type="auto"/>
        <w:tblLook w:val="04A0" w:firstRow="1" w:lastRow="0" w:firstColumn="1" w:lastColumn="0" w:noHBand="0" w:noVBand="1"/>
      </w:tblPr>
      <w:tblGrid>
        <w:gridCol w:w="3966"/>
        <w:gridCol w:w="4221"/>
      </w:tblGrid>
      <w:tr w:rsidR="00DA7557" w:rsidRPr="0083510D" w14:paraId="36FEB712" w14:textId="77777777" w:rsidTr="00A64950">
        <w:trPr>
          <w:trHeight w:val="454"/>
        </w:trPr>
        <w:tc>
          <w:tcPr>
            <w:tcW w:w="3047" w:type="dxa"/>
          </w:tcPr>
          <w:p w14:paraId="02BE49EC" w14:textId="77777777" w:rsidR="00DA7557" w:rsidRPr="0083510D" w:rsidRDefault="00DA7557" w:rsidP="008F1FDF">
            <w:pPr>
              <w:widowControl w:val="0"/>
              <w:jc w:val="both"/>
              <w:rPr>
                <w:rFonts w:ascii="Times New Roman" w:eastAsia="Franklin Gothic Book" w:hAnsi="Times New Roman" w:cs="Times New Roman"/>
                <w:i/>
                <w:iCs/>
                <w:sz w:val="24"/>
                <w:szCs w:val="24"/>
              </w:rPr>
            </w:pPr>
            <w:r w:rsidRPr="0083510D">
              <w:rPr>
                <w:rFonts w:ascii="Times New Roman" w:eastAsia="Franklin Gothic Book" w:hAnsi="Times New Roman" w:cs="Times New Roman"/>
                <w:sz w:val="24"/>
                <w:szCs w:val="24"/>
              </w:rPr>
              <w:t>ĀTI Latvijā (</w:t>
            </w:r>
            <w:r w:rsidRPr="0083510D">
              <w:rPr>
                <w:rFonts w:ascii="Times New Roman" w:eastAsia="Franklin Gothic Book" w:hAnsi="Times New Roman" w:cs="Times New Roman"/>
                <w:i/>
                <w:iCs/>
                <w:sz w:val="24"/>
                <w:szCs w:val="24"/>
              </w:rPr>
              <w:t>saņemtās vidēji periodā, procentos pret IKP)</w:t>
            </w:r>
          </w:p>
        </w:tc>
        <w:tc>
          <w:tcPr>
            <w:tcW w:w="3239" w:type="dxa"/>
          </w:tcPr>
          <w:p w14:paraId="59268D11" w14:textId="77777777" w:rsidR="00DA7557" w:rsidRPr="0083510D" w:rsidRDefault="00DA7557" w:rsidP="008F1FDF">
            <w:pPr>
              <w:widowControl w:val="0"/>
              <w:jc w:val="both"/>
              <w:rPr>
                <w:rFonts w:ascii="Times New Roman" w:eastAsia="Franklin Gothic Book" w:hAnsi="Times New Roman" w:cs="Times New Roman"/>
                <w:i/>
                <w:iCs/>
                <w:sz w:val="24"/>
                <w:szCs w:val="24"/>
              </w:rPr>
            </w:pPr>
            <w:r w:rsidRPr="0083510D">
              <w:rPr>
                <w:rFonts w:ascii="Times New Roman" w:eastAsia="Franklin Gothic Book" w:hAnsi="Times New Roman" w:cs="Times New Roman"/>
                <w:sz w:val="24"/>
                <w:szCs w:val="24"/>
              </w:rPr>
              <w:t>ĀTI Baltijas valstīs (</w:t>
            </w:r>
            <w:r w:rsidRPr="0083510D">
              <w:rPr>
                <w:rFonts w:ascii="Times New Roman" w:eastAsia="Franklin Gothic Book" w:hAnsi="Times New Roman" w:cs="Times New Roman"/>
                <w:i/>
                <w:iCs/>
                <w:sz w:val="24"/>
                <w:szCs w:val="24"/>
              </w:rPr>
              <w:t>darījumi, mljrd. eiro)</w:t>
            </w:r>
          </w:p>
        </w:tc>
      </w:tr>
      <w:tr w:rsidR="00DA7557" w:rsidRPr="0083510D" w14:paraId="76CF0432" w14:textId="77777777" w:rsidTr="00A64950">
        <w:trPr>
          <w:trHeight w:val="2376"/>
        </w:trPr>
        <w:tc>
          <w:tcPr>
            <w:tcW w:w="3047" w:type="dxa"/>
          </w:tcPr>
          <w:p w14:paraId="64C1FB9D" w14:textId="77777777" w:rsidR="00DA7557" w:rsidRPr="0083510D" w:rsidRDefault="00DA7557" w:rsidP="008F1FDF">
            <w:pPr>
              <w:widowControl w:val="0"/>
              <w:jc w:val="both"/>
              <w:rPr>
                <w:rFonts w:ascii="Times New Roman" w:eastAsia="Franklin Gothic Book" w:hAnsi="Times New Roman" w:cs="Times New Roman"/>
                <w:sz w:val="24"/>
                <w:szCs w:val="24"/>
              </w:rPr>
            </w:pPr>
            <w:r w:rsidRPr="0083510D">
              <w:rPr>
                <w:rFonts w:eastAsia="Calibri" w:cs="Times New Roman"/>
                <w:noProof/>
                <w:sz w:val="24"/>
                <w:szCs w:val="24"/>
                <w:lang w:eastAsia="lv-LV"/>
              </w:rPr>
              <w:drawing>
                <wp:inline distT="0" distB="0" distL="0" distR="0" wp14:anchorId="1C9F1660" wp14:editId="1E2A237D">
                  <wp:extent cx="2381250" cy="1695450"/>
                  <wp:effectExtent l="0" t="0" r="0" b="0"/>
                  <wp:docPr id="613" name="Chart 6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3239" w:type="dxa"/>
          </w:tcPr>
          <w:p w14:paraId="00DE9A38" w14:textId="77777777" w:rsidR="00DA7557" w:rsidRPr="0083510D" w:rsidRDefault="00DA7557" w:rsidP="008F1FDF">
            <w:pPr>
              <w:widowControl w:val="0"/>
              <w:jc w:val="both"/>
              <w:rPr>
                <w:rFonts w:ascii="Times New Roman" w:eastAsia="Franklin Gothic Book" w:hAnsi="Times New Roman" w:cs="Times New Roman"/>
                <w:sz w:val="24"/>
                <w:szCs w:val="24"/>
              </w:rPr>
            </w:pPr>
            <w:r w:rsidRPr="0083510D">
              <w:rPr>
                <w:rFonts w:eastAsia="Calibri" w:cs="Times New Roman"/>
                <w:noProof/>
                <w:sz w:val="24"/>
                <w:szCs w:val="24"/>
                <w:lang w:eastAsia="lv-LV"/>
              </w:rPr>
              <w:drawing>
                <wp:inline distT="0" distB="0" distL="0" distR="0" wp14:anchorId="51A0383E" wp14:editId="0A9A8775">
                  <wp:extent cx="2543175" cy="1581150"/>
                  <wp:effectExtent l="0" t="0" r="0" b="0"/>
                  <wp:docPr id="612" name="Chart 6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7EE0F8A8" w14:textId="77777777" w:rsidR="00DA7557" w:rsidRPr="0083510D" w:rsidRDefault="00DA7557" w:rsidP="003F125E">
      <w:pPr>
        <w:ind w:firstLine="360"/>
        <w:jc w:val="both"/>
        <w:rPr>
          <w:rFonts w:cs="Times New Roman"/>
          <w:sz w:val="24"/>
          <w:szCs w:val="24"/>
        </w:rPr>
      </w:pPr>
    </w:p>
    <w:p w14:paraId="17B05293" w14:textId="77777777" w:rsidR="00DA7557" w:rsidRPr="0083510D" w:rsidRDefault="00DA7557" w:rsidP="003F125E">
      <w:pPr>
        <w:ind w:firstLine="360"/>
        <w:jc w:val="both"/>
        <w:rPr>
          <w:rFonts w:cs="Times New Roman"/>
          <w:sz w:val="24"/>
          <w:szCs w:val="24"/>
        </w:rPr>
      </w:pPr>
      <w:r w:rsidRPr="0083510D">
        <w:rPr>
          <w:rFonts w:cs="Times New Roman"/>
          <w:sz w:val="24"/>
          <w:szCs w:val="24"/>
        </w:rPr>
        <w:t>Ārvalstu investoru aktivitāte Baltijas valstīs kopumā palielinās, sasniedzot gandrīz 3% no IKP līmeni, kur lielākā daļa kopš 2016.gada piesaistīto ĀTI bija Igaunijas ekonomikā.</w:t>
      </w:r>
    </w:p>
    <w:p w14:paraId="625C8986" w14:textId="02FC6C9C" w:rsidR="00DA7557" w:rsidRPr="0083510D" w:rsidRDefault="00DA7557" w:rsidP="003F125E">
      <w:pPr>
        <w:ind w:firstLine="360"/>
        <w:jc w:val="both"/>
        <w:rPr>
          <w:rFonts w:cs="Times New Roman"/>
          <w:sz w:val="24"/>
          <w:szCs w:val="24"/>
        </w:rPr>
      </w:pPr>
      <w:r w:rsidRPr="0083510D">
        <w:rPr>
          <w:rFonts w:cs="Times New Roman"/>
          <w:sz w:val="24"/>
          <w:szCs w:val="24"/>
        </w:rPr>
        <w:t>Līdz 2016.gadām Latvija piesaistīja vidēji gadā 42% no kopējām ĀTI Baltijas valstīs, kas arī noteica ĀTI snieguma indeksa kāpumu. Indeksa vērtības zemāku līmeni 2017.-2019.gados lielā mērā ietekmēja straujš ĀTI pieaugums Igaunijā. Pēdējo trīs gadu laikā Igaunijā piesaistītās ĀTI bija gandrīz 2,5 reizes lielākā apjomā nekā 2014-2016.gados un veidoja gandrīz 5,7% no IKP. Savukārt Latvijā un Lietuvā ienākošo ĀTI plūsmu apjoms bija divreiz mazāks, attiecīgi, 2,2% un 1,9% no IKP. Igaunijas izteikta dominance ĀTI piesaistē pēdējos gados atspoguļojās ĀTI snieguma indeksa zemajā vērtībā, kas kopš 2017.gada nepārsniedz 0,8 līmeni un ir gandrīz par 0,4 punktiem zemāks par izvirzīto mērķi.</w:t>
      </w:r>
    </w:p>
    <w:p w14:paraId="28DF5CD0" w14:textId="77777777" w:rsidR="008F1FDF" w:rsidRPr="0083510D" w:rsidRDefault="008F1FDF" w:rsidP="008F1FDF">
      <w:pPr>
        <w:widowControl w:val="0"/>
        <w:jc w:val="both"/>
        <w:rPr>
          <w:rFonts w:eastAsia="Franklin Gothic Book" w:cs="Times New Roman"/>
          <w:sz w:val="24"/>
          <w:szCs w:val="24"/>
        </w:rPr>
      </w:pPr>
    </w:p>
    <w:tbl>
      <w:tblPr>
        <w:tblStyle w:val="TableGrid3"/>
        <w:tblW w:w="0" w:type="auto"/>
        <w:tblLook w:val="04A0" w:firstRow="1" w:lastRow="0" w:firstColumn="1" w:lastColumn="0" w:noHBand="0" w:noVBand="1"/>
      </w:tblPr>
      <w:tblGrid>
        <w:gridCol w:w="4075"/>
        <w:gridCol w:w="4221"/>
      </w:tblGrid>
      <w:tr w:rsidR="00DA7557" w:rsidRPr="0083510D" w14:paraId="67BA0890" w14:textId="77777777" w:rsidTr="0069767E">
        <w:tc>
          <w:tcPr>
            <w:tcW w:w="4075" w:type="dxa"/>
          </w:tcPr>
          <w:p w14:paraId="1314B565" w14:textId="77777777" w:rsidR="00DA7557" w:rsidRPr="0083510D" w:rsidRDefault="00DA7557" w:rsidP="008F1FDF">
            <w:pPr>
              <w:widowControl w:val="0"/>
              <w:jc w:val="both"/>
              <w:rPr>
                <w:rFonts w:ascii="Times New Roman" w:eastAsia="Franklin Gothic Book" w:hAnsi="Times New Roman" w:cs="Times New Roman"/>
                <w:i/>
                <w:iCs/>
                <w:sz w:val="24"/>
                <w:szCs w:val="24"/>
              </w:rPr>
            </w:pPr>
            <w:r w:rsidRPr="0083510D">
              <w:rPr>
                <w:rFonts w:ascii="Times New Roman" w:eastAsia="Franklin Gothic Book" w:hAnsi="Times New Roman" w:cs="Times New Roman"/>
                <w:sz w:val="24"/>
                <w:szCs w:val="24"/>
              </w:rPr>
              <w:t>Piesaistītās ĀTI plūsmas Baltijas valstīs (</w:t>
            </w:r>
            <w:r w:rsidRPr="0083510D">
              <w:rPr>
                <w:rFonts w:ascii="Times New Roman" w:eastAsia="Franklin Gothic Book" w:hAnsi="Times New Roman" w:cs="Times New Roman"/>
                <w:i/>
                <w:iCs/>
                <w:sz w:val="24"/>
                <w:szCs w:val="24"/>
              </w:rPr>
              <w:t>darījumi, milj. eiro)</w:t>
            </w:r>
          </w:p>
        </w:tc>
        <w:tc>
          <w:tcPr>
            <w:tcW w:w="4221" w:type="dxa"/>
          </w:tcPr>
          <w:p w14:paraId="1C7FA3C2" w14:textId="77777777" w:rsidR="00DA7557" w:rsidRPr="0083510D" w:rsidRDefault="00DA7557" w:rsidP="008F1FDF">
            <w:pPr>
              <w:widowControl w:val="0"/>
              <w:jc w:val="both"/>
              <w:rPr>
                <w:rFonts w:ascii="Times New Roman" w:eastAsia="Franklin Gothic Book" w:hAnsi="Times New Roman" w:cs="Times New Roman"/>
                <w:i/>
                <w:iCs/>
                <w:sz w:val="24"/>
                <w:szCs w:val="24"/>
              </w:rPr>
            </w:pPr>
            <w:r w:rsidRPr="0083510D">
              <w:rPr>
                <w:rFonts w:ascii="Times New Roman" w:eastAsia="Franklin Gothic Book" w:hAnsi="Times New Roman" w:cs="Times New Roman"/>
                <w:sz w:val="24"/>
                <w:szCs w:val="24"/>
              </w:rPr>
              <w:t xml:space="preserve">ĀTI snieguma indekss </w:t>
            </w:r>
            <w:r w:rsidRPr="0083510D">
              <w:rPr>
                <w:rFonts w:ascii="Times New Roman" w:eastAsia="Franklin Gothic Book" w:hAnsi="Times New Roman" w:cs="Times New Roman"/>
                <w:i/>
                <w:iCs/>
                <w:sz w:val="24"/>
                <w:szCs w:val="24"/>
              </w:rPr>
              <w:t>(3-gadu vidējais rādītājs)</w:t>
            </w:r>
          </w:p>
        </w:tc>
      </w:tr>
      <w:tr w:rsidR="00DA7557" w:rsidRPr="0083510D" w14:paraId="16BE5BCC" w14:textId="77777777" w:rsidTr="0069767E">
        <w:tc>
          <w:tcPr>
            <w:tcW w:w="4075" w:type="dxa"/>
          </w:tcPr>
          <w:p w14:paraId="66E77A44" w14:textId="77777777" w:rsidR="00DA7557" w:rsidRPr="0083510D" w:rsidRDefault="00DA7557" w:rsidP="008F1FDF">
            <w:pPr>
              <w:widowControl w:val="0"/>
              <w:jc w:val="both"/>
              <w:rPr>
                <w:rFonts w:ascii="Times New Roman" w:eastAsia="Franklin Gothic Book" w:hAnsi="Times New Roman" w:cs="Times New Roman"/>
                <w:sz w:val="24"/>
                <w:szCs w:val="24"/>
              </w:rPr>
            </w:pPr>
            <w:r w:rsidRPr="0083510D">
              <w:rPr>
                <w:rFonts w:eastAsia="Calibri" w:cs="Times New Roman"/>
                <w:noProof/>
                <w:sz w:val="24"/>
                <w:szCs w:val="24"/>
                <w:lang w:eastAsia="lv-LV"/>
              </w:rPr>
              <w:drawing>
                <wp:inline distT="0" distB="0" distL="0" distR="0" wp14:anchorId="654B3A51" wp14:editId="120912B7">
                  <wp:extent cx="2381250" cy="1695450"/>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221" w:type="dxa"/>
          </w:tcPr>
          <w:p w14:paraId="594A6981" w14:textId="77777777" w:rsidR="00DA7557" w:rsidRPr="0083510D" w:rsidRDefault="00DA7557" w:rsidP="008F1FDF">
            <w:pPr>
              <w:widowControl w:val="0"/>
              <w:jc w:val="both"/>
              <w:rPr>
                <w:rFonts w:ascii="Times New Roman" w:eastAsia="Franklin Gothic Book" w:hAnsi="Times New Roman" w:cs="Times New Roman"/>
                <w:sz w:val="24"/>
                <w:szCs w:val="24"/>
              </w:rPr>
            </w:pPr>
            <w:r w:rsidRPr="0083510D">
              <w:rPr>
                <w:rFonts w:eastAsia="Calibri" w:cs="Times New Roman"/>
                <w:noProof/>
                <w:sz w:val="24"/>
                <w:szCs w:val="24"/>
                <w:lang w:eastAsia="lv-LV"/>
              </w:rPr>
              <w:drawing>
                <wp:inline distT="0" distB="0" distL="0" distR="0" wp14:anchorId="011FAF6E" wp14:editId="3799C43C">
                  <wp:extent cx="2543175" cy="1581150"/>
                  <wp:effectExtent l="0" t="0" r="0"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14:paraId="1FD46419" w14:textId="77777777" w:rsidR="00DA7557" w:rsidRPr="0083510D" w:rsidRDefault="00DA7557" w:rsidP="008F1FDF">
      <w:pPr>
        <w:widowControl w:val="0"/>
        <w:jc w:val="both"/>
        <w:rPr>
          <w:rFonts w:eastAsia="Franklin Gothic Book" w:cs="Times New Roman"/>
          <w:sz w:val="24"/>
          <w:szCs w:val="24"/>
        </w:rPr>
      </w:pPr>
    </w:p>
    <w:p w14:paraId="7C8B26C5" w14:textId="03CA4D19" w:rsidR="005E55C1" w:rsidRPr="0083510D" w:rsidRDefault="00DA7557" w:rsidP="003F125E">
      <w:pPr>
        <w:ind w:firstLine="360"/>
        <w:jc w:val="both"/>
        <w:rPr>
          <w:rFonts w:cs="Times New Roman"/>
          <w:sz w:val="24"/>
          <w:szCs w:val="24"/>
        </w:rPr>
      </w:pPr>
      <w:r w:rsidRPr="0083510D">
        <w:rPr>
          <w:rFonts w:cs="Times New Roman"/>
          <w:sz w:val="24"/>
          <w:szCs w:val="24"/>
        </w:rPr>
        <w:t xml:space="preserve">Tuvākajos gados sagaidāms, ka ĀTI plūsmas Latvijā, kā arī Baltijas reģionā kopumā saglabāsies mērenas un Latvijas ĀTI snieguma indekss būs nedaudz zemāks par izvirzīto mērķi. ĀTI plūsmas lielā mērā ietekmēs ārējie faktori. Jāatzīmē, ka pasaulē kopumā ir vērojama investīciju pārrobežu plūsmu vājināšanās, ko izraisa pieaugušie ģeopolitiskie riski un ekonomikas attīstības nenoteiktība COVID-19 krīzes ietekmē. Pieaug arī tehnoloģiskā progresa (kā, piemēram, ražošanas procesu automatizācija, digitalizācija u.c.) izraisītu strukturālo izmaiņu sekas uz biznesu, tai skaitā arī uz ĀTI modeļiem un ĀTI pārrobežu plūsmām. </w:t>
      </w:r>
    </w:p>
    <w:p w14:paraId="427D4391" w14:textId="77777777" w:rsidR="00EB39BF" w:rsidRPr="0083510D" w:rsidRDefault="00EB39BF" w:rsidP="00C568D4">
      <w:pPr>
        <w:ind w:firstLine="360"/>
        <w:jc w:val="both"/>
        <w:rPr>
          <w:rFonts w:cs="Times New Roman"/>
          <w:i/>
          <w:iCs/>
          <w:sz w:val="24"/>
          <w:szCs w:val="24"/>
        </w:rPr>
      </w:pPr>
    </w:p>
    <w:p w14:paraId="15FFD7BB" w14:textId="57F2B1ED" w:rsidR="00C910ED" w:rsidRPr="0083510D" w:rsidRDefault="00C910ED">
      <w:pPr>
        <w:pStyle w:val="Heading1"/>
        <w:shd w:val="clear" w:color="auto" w:fill="1DA0A7"/>
        <w:spacing w:before="0"/>
        <w:rPr>
          <w:color w:val="FFFFFF" w:themeColor="background1"/>
          <w:sz w:val="28"/>
        </w:rPr>
      </w:pPr>
      <w:bookmarkStart w:id="13" w:name="_Toc462739796"/>
      <w:bookmarkStart w:id="14" w:name="_Toc47359874"/>
      <w:bookmarkStart w:id="15" w:name="_Toc448154075"/>
      <w:r w:rsidRPr="0083510D">
        <w:rPr>
          <w:color w:val="FFFFFF" w:themeColor="background1"/>
          <w:sz w:val="28"/>
        </w:rPr>
        <w:lastRenderedPageBreak/>
        <w:t>3. Investīciju veicināšanas un eksporta piesaistes politika</w:t>
      </w:r>
      <w:bookmarkEnd w:id="13"/>
      <w:bookmarkEnd w:id="14"/>
    </w:p>
    <w:bookmarkEnd w:id="15"/>
    <w:p w14:paraId="599E5670" w14:textId="21EA6985" w:rsidR="00F0731F" w:rsidRPr="0083510D" w:rsidRDefault="1DB08DBE" w:rsidP="006308C0">
      <w:pPr>
        <w:ind w:firstLine="360"/>
        <w:jc w:val="both"/>
        <w:rPr>
          <w:rFonts w:cs="Times New Roman"/>
          <w:sz w:val="24"/>
          <w:szCs w:val="24"/>
        </w:rPr>
      </w:pPr>
      <w:r w:rsidRPr="0083510D">
        <w:rPr>
          <w:rFonts w:cs="Times New Roman"/>
          <w:sz w:val="24"/>
          <w:szCs w:val="24"/>
        </w:rPr>
        <w:t>Galvenajam Latvijas ekonomikas izaugsmes dzinējam vidējā termiņā ir jābūt ienākumu pieaugumam no eksporta. Tas ir saistīts ar ģeogrāfisku eksporta iespēju paplašināšanos, spēju iekļauties starptautiskās produktu vērtību ķēdēs un augstākas pievienotās vērtības produkcijas ražošanu un pakalpojumu veidošanu, taču COVID-19 radītās krīzes sekas ir atstājušas būtisku ietekmi uz uzņēmumu eksportspēju.</w:t>
      </w:r>
    </w:p>
    <w:p w14:paraId="505C8E96" w14:textId="75D303E4" w:rsidR="1DB08DBE" w:rsidRPr="0083510D" w:rsidRDefault="1DB08DBE" w:rsidP="006308C0">
      <w:pPr>
        <w:ind w:firstLine="360"/>
        <w:jc w:val="both"/>
        <w:rPr>
          <w:rFonts w:cs="Times New Roman"/>
          <w:sz w:val="24"/>
          <w:szCs w:val="24"/>
        </w:rPr>
      </w:pPr>
      <w:r w:rsidRPr="0083510D">
        <w:rPr>
          <w:rFonts w:cs="Times New Roman"/>
          <w:sz w:val="24"/>
          <w:szCs w:val="24"/>
        </w:rPr>
        <w:t>Latvijas eksporta turpmākās attīstības iespējas lielā mērā noteiks Latvijas ražotāju konkurētspēja, kam pamatā jābalstās uz tehnoloģiskiem faktoriem, ražošanas efektivitātes uzlabošanu un inovācijām, samazinot lēta darbaspēka un zemu resursu cenu faktoru nozīmi. Līdz ar to būtiski ir sekmēt augsto tehnoloģiju preču un zināšanu ietilpīgu pakalpojumu eksporta īpatsvara pieaugumu kopējā eksporta apjomā, tādejādi veicinot inovācijās balstītu sektoru attīstību un tradicionālo nozaru transformāciju uz augstāku pievienoto vērtību preču un pakalpojumu veidošanā.</w:t>
      </w:r>
    </w:p>
    <w:p w14:paraId="6E439ACE" w14:textId="05F2AC0C" w:rsidR="00AA687A" w:rsidRPr="0083510D" w:rsidRDefault="1DB08DBE" w:rsidP="006308C0">
      <w:pPr>
        <w:ind w:firstLine="360"/>
        <w:jc w:val="both"/>
        <w:rPr>
          <w:rFonts w:cs="Times New Roman"/>
          <w:sz w:val="24"/>
          <w:szCs w:val="24"/>
        </w:rPr>
      </w:pPr>
      <w:r w:rsidRPr="0083510D">
        <w:rPr>
          <w:rFonts w:cs="Times New Roman"/>
          <w:sz w:val="24"/>
          <w:szCs w:val="24"/>
        </w:rPr>
        <w:t>Būtiski ir sniegt atbalstu ne tikai jau eksportējošiem uzņēmumiem, bet arī radīt iespējas jauniem eksportētājiem, atbalstot starptautiski konkurētspējīgas industrijas uzņēmumus un to produktu virzību eksporta tirgū.</w:t>
      </w:r>
    </w:p>
    <w:p w14:paraId="73B2B244" w14:textId="65338FCE" w:rsidR="5CB255E0" w:rsidRPr="0083510D" w:rsidRDefault="330EEAAE" w:rsidP="006308C0">
      <w:pPr>
        <w:ind w:firstLine="360"/>
        <w:jc w:val="both"/>
        <w:rPr>
          <w:rFonts w:cs="Times New Roman"/>
          <w:sz w:val="24"/>
          <w:szCs w:val="24"/>
        </w:rPr>
      </w:pPr>
      <w:r w:rsidRPr="0083510D">
        <w:rPr>
          <w:rFonts w:cs="Times New Roman"/>
          <w:sz w:val="24"/>
          <w:szCs w:val="24"/>
        </w:rPr>
        <w:t>Eksports šī brīža un iepriekšējos politikas plānošanas dokumentos ir definēts kā virsmērķis, bet š</w:t>
      </w:r>
      <w:r w:rsidR="48C01724" w:rsidRPr="0083510D">
        <w:rPr>
          <w:rFonts w:cs="Times New Roman"/>
          <w:sz w:val="24"/>
          <w:szCs w:val="24"/>
        </w:rPr>
        <w:t>obrīd politikas plānošanas dokumentos vairs netiek sīki definētas eksporta nozares un valstis</w:t>
      </w:r>
      <w:r w:rsidR="1A06A22A" w:rsidRPr="0083510D">
        <w:rPr>
          <w:rFonts w:cs="Times New Roman"/>
          <w:sz w:val="24"/>
          <w:szCs w:val="24"/>
        </w:rPr>
        <w:t>. Līdz šim politikas plānošanas dokumenti bija izstrādāti detalizēti</w:t>
      </w:r>
      <w:r w:rsidR="002D2BD6">
        <w:rPr>
          <w:rFonts w:cs="Times New Roman"/>
          <w:sz w:val="24"/>
          <w:szCs w:val="24"/>
        </w:rPr>
        <w:t>3</w:t>
      </w:r>
      <w:r w:rsidR="1A06A22A" w:rsidRPr="0083510D">
        <w:rPr>
          <w:rFonts w:cs="Times New Roman"/>
          <w:sz w:val="24"/>
          <w:szCs w:val="24"/>
        </w:rPr>
        <w:t xml:space="preserve">, tomēr vienlaikus ir </w:t>
      </w:r>
      <w:r w:rsidR="002D2BD6" w:rsidRPr="0083510D">
        <w:rPr>
          <w:rFonts w:cs="Times New Roman"/>
          <w:sz w:val="24"/>
          <w:szCs w:val="24"/>
        </w:rPr>
        <w:t>secināts</w:t>
      </w:r>
      <w:r w:rsidR="1A06A22A" w:rsidRPr="0083510D">
        <w:rPr>
          <w:rFonts w:cs="Times New Roman"/>
          <w:sz w:val="24"/>
          <w:szCs w:val="24"/>
        </w:rPr>
        <w:t>, ka turpmāk politikas plānošanā šī ir vairāk operacionāla politikas plānošana LIAA un</w:t>
      </w:r>
      <w:r w:rsidR="20101715" w:rsidRPr="0083510D">
        <w:rPr>
          <w:rFonts w:cs="Times New Roman"/>
          <w:sz w:val="24"/>
          <w:szCs w:val="24"/>
        </w:rPr>
        <w:t xml:space="preserve"> EM ievaros.</w:t>
      </w:r>
    </w:p>
    <w:p w14:paraId="2A5A672B" w14:textId="31FB4D04" w:rsidR="5CB255E0" w:rsidRPr="0083510D" w:rsidRDefault="00DF336B" w:rsidP="006308C0">
      <w:pPr>
        <w:ind w:firstLine="360"/>
        <w:jc w:val="both"/>
        <w:rPr>
          <w:rFonts w:cs="Times New Roman"/>
          <w:sz w:val="24"/>
          <w:szCs w:val="24"/>
        </w:rPr>
      </w:pPr>
      <w:r w:rsidRPr="0083510D">
        <w:rPr>
          <w:rFonts w:cs="Times New Roman"/>
          <w:sz w:val="24"/>
          <w:szCs w:val="24"/>
        </w:rPr>
        <w:t>Prioritāri eksporta atbalsta pakalpojumi ir orientēti uz nozarēm, kuras Latvijas tautsaimniecībā veido lielāko ieguldījumu IKP un kurām ir lielākais īpatsvars Latvijas preču un pakalpojumu kopējā eksportā</w:t>
      </w:r>
      <w:r w:rsidR="002C08B6" w:rsidRPr="0083510D">
        <w:rPr>
          <w:rFonts w:cs="Times New Roman"/>
          <w:sz w:val="24"/>
          <w:szCs w:val="24"/>
        </w:rPr>
        <w:t>, v</w:t>
      </w:r>
      <w:r w:rsidRPr="0083510D">
        <w:rPr>
          <w:rFonts w:cs="Times New Roman"/>
          <w:sz w:val="24"/>
          <w:szCs w:val="24"/>
        </w:rPr>
        <w:t xml:space="preserve">ienlaikus, </w:t>
      </w:r>
      <w:r w:rsidR="002C08B6" w:rsidRPr="0083510D">
        <w:rPr>
          <w:rFonts w:cs="Times New Roman"/>
          <w:sz w:val="24"/>
          <w:szCs w:val="24"/>
        </w:rPr>
        <w:t>j</w:t>
      </w:r>
      <w:r w:rsidRPr="0083510D">
        <w:rPr>
          <w:rFonts w:cs="Times New Roman"/>
          <w:sz w:val="24"/>
          <w:szCs w:val="24"/>
        </w:rPr>
        <w:t>āorientējas uz lielāku eksporta veicināšanas aktivitāšu atbalstu par labu produktiem ar augstāku pievienoto vērtību. Pamatnostādn</w:t>
      </w:r>
      <w:r w:rsidR="55406A86" w:rsidRPr="0083510D">
        <w:rPr>
          <w:rFonts w:cs="Times New Roman"/>
          <w:sz w:val="24"/>
          <w:szCs w:val="24"/>
        </w:rPr>
        <w:t>e</w:t>
      </w:r>
      <w:r w:rsidRPr="0083510D">
        <w:rPr>
          <w:rFonts w:cs="Times New Roman"/>
          <w:sz w:val="24"/>
          <w:szCs w:val="24"/>
        </w:rPr>
        <w:t>s</w:t>
      </w:r>
      <w:r w:rsidR="042327A9" w:rsidRPr="0083510D">
        <w:rPr>
          <w:rFonts w:cs="Times New Roman"/>
          <w:sz w:val="24"/>
          <w:szCs w:val="24"/>
        </w:rPr>
        <w:t xml:space="preserve"> līdz šim tika</w:t>
      </w:r>
      <w:r w:rsidRPr="0083510D">
        <w:rPr>
          <w:rFonts w:cs="Times New Roman"/>
          <w:sz w:val="24"/>
          <w:szCs w:val="24"/>
        </w:rPr>
        <w:t xml:space="preserve"> definētās prioritāri atbalstāmās eksporta nozaru grupas un tajās ietilpstošās nozares apkopotas tabulā</w:t>
      </w:r>
    </w:p>
    <w:p w14:paraId="71104EEB" w14:textId="77777777" w:rsidR="00DF336B" w:rsidRPr="0083510D" w:rsidRDefault="00DF336B">
      <w:pPr>
        <w:jc w:val="center"/>
        <w:rPr>
          <w:rFonts w:cs="Times New Roman"/>
          <w:b/>
          <w:bCs/>
          <w:sz w:val="20"/>
          <w:szCs w:val="24"/>
        </w:rPr>
      </w:pPr>
      <w:r w:rsidRPr="0083510D">
        <w:rPr>
          <w:rFonts w:cs="Times New Roman"/>
          <w:b/>
          <w:bCs/>
          <w:sz w:val="20"/>
          <w:szCs w:val="24"/>
        </w:rPr>
        <w:t xml:space="preserve">Prioritārās preču un pakalpojumu eksporta nozares </w:t>
      </w:r>
    </w:p>
    <w:tbl>
      <w:tblPr>
        <w:tblStyle w:val="GridTable4-Accent11"/>
        <w:tblW w:w="7680" w:type="dxa"/>
        <w:jc w:val="center"/>
        <w:tblLook w:val="04A0" w:firstRow="1" w:lastRow="0" w:firstColumn="1" w:lastColumn="0" w:noHBand="0" w:noVBand="1"/>
      </w:tblPr>
      <w:tblGrid>
        <w:gridCol w:w="3912"/>
        <w:gridCol w:w="3768"/>
      </w:tblGrid>
      <w:tr w:rsidR="00DF336B" w:rsidRPr="0083510D" w14:paraId="08E5D7F6" w14:textId="77777777" w:rsidTr="004D19E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12" w:type="dxa"/>
            <w:tcBorders>
              <w:bottom w:val="nil"/>
            </w:tcBorders>
            <w:shd w:val="clear" w:color="auto" w:fill="2E74B5" w:themeFill="accent1" w:themeFillShade="BF"/>
            <w:noWrap/>
            <w:hideMark/>
          </w:tcPr>
          <w:p w14:paraId="19B08F00" w14:textId="77777777" w:rsidR="00DF336B" w:rsidRPr="0083510D" w:rsidRDefault="00DF336B">
            <w:pPr>
              <w:jc w:val="center"/>
              <w:rPr>
                <w:rFonts w:cs="Times New Roman"/>
                <w:b w:val="0"/>
                <w:sz w:val="18"/>
                <w:szCs w:val="24"/>
              </w:rPr>
            </w:pPr>
            <w:r w:rsidRPr="0083510D">
              <w:rPr>
                <w:rFonts w:cs="Times New Roman"/>
                <w:b w:val="0"/>
                <w:sz w:val="18"/>
                <w:szCs w:val="24"/>
              </w:rPr>
              <w:t>Preču eksportā</w:t>
            </w:r>
          </w:p>
        </w:tc>
        <w:tc>
          <w:tcPr>
            <w:tcW w:w="3768" w:type="dxa"/>
            <w:tcBorders>
              <w:bottom w:val="nil"/>
            </w:tcBorders>
            <w:shd w:val="clear" w:color="auto" w:fill="2E74B5" w:themeFill="accent1" w:themeFillShade="BF"/>
          </w:tcPr>
          <w:p w14:paraId="256AAFC5" w14:textId="77777777" w:rsidR="00DF336B" w:rsidRPr="0083510D" w:rsidRDefault="00DF336B">
            <w:pPr>
              <w:jc w:val="center"/>
              <w:cnfStyle w:val="100000000000" w:firstRow="1" w:lastRow="0" w:firstColumn="0" w:lastColumn="0" w:oddVBand="0" w:evenVBand="0" w:oddHBand="0" w:evenHBand="0" w:firstRowFirstColumn="0" w:firstRowLastColumn="0" w:lastRowFirstColumn="0" w:lastRowLastColumn="0"/>
              <w:rPr>
                <w:rFonts w:cs="Times New Roman"/>
                <w:b w:val="0"/>
                <w:sz w:val="18"/>
                <w:szCs w:val="24"/>
              </w:rPr>
            </w:pPr>
            <w:r w:rsidRPr="0083510D">
              <w:rPr>
                <w:rFonts w:cs="Times New Roman"/>
                <w:b w:val="0"/>
                <w:sz w:val="18"/>
                <w:szCs w:val="24"/>
              </w:rPr>
              <w:t xml:space="preserve">Pakalpojumu eksportā </w:t>
            </w:r>
          </w:p>
        </w:tc>
      </w:tr>
      <w:tr w:rsidR="00DF336B" w:rsidRPr="0083510D" w14:paraId="11DAF92B" w14:textId="77777777" w:rsidTr="004D19E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912" w:type="dxa"/>
            <w:tcBorders>
              <w:top w:val="nil"/>
              <w:left w:val="nil"/>
              <w:bottom w:val="nil"/>
              <w:right w:val="nil"/>
            </w:tcBorders>
            <w:shd w:val="clear" w:color="auto" w:fill="auto"/>
            <w:noWrap/>
            <w:hideMark/>
          </w:tcPr>
          <w:p w14:paraId="749A9F1A" w14:textId="77777777" w:rsidR="00DF336B" w:rsidRPr="0083510D" w:rsidRDefault="00DF336B" w:rsidP="00217C9E">
            <w:pPr>
              <w:rPr>
                <w:rFonts w:eastAsia="Times New Roman" w:cs="Times New Roman"/>
                <w:b w:val="0"/>
                <w:color w:val="000000"/>
                <w:sz w:val="20"/>
                <w:szCs w:val="24"/>
                <w:lang w:eastAsia="lv-LV"/>
              </w:rPr>
            </w:pPr>
            <w:r w:rsidRPr="0083510D">
              <w:rPr>
                <w:rFonts w:eastAsia="Times New Roman" w:cs="Times New Roman"/>
                <w:b w:val="0"/>
                <w:color w:val="000000"/>
                <w:sz w:val="20"/>
                <w:szCs w:val="24"/>
                <w:lang w:eastAsia="lv-LV"/>
              </w:rPr>
              <w:t>Metālapstrāde un mašīnbūve</w:t>
            </w:r>
          </w:p>
          <w:p w14:paraId="6AD6A520" w14:textId="77777777" w:rsidR="00DF336B" w:rsidRPr="0083510D" w:rsidRDefault="00DF336B" w:rsidP="00217C9E">
            <w:pPr>
              <w:rPr>
                <w:rFonts w:eastAsia="Times New Roman" w:cs="Times New Roman"/>
                <w:b w:val="0"/>
                <w:color w:val="000000"/>
                <w:sz w:val="20"/>
                <w:szCs w:val="24"/>
                <w:lang w:eastAsia="lv-LV"/>
              </w:rPr>
            </w:pPr>
            <w:r w:rsidRPr="0083510D">
              <w:rPr>
                <w:rFonts w:eastAsia="Times New Roman" w:cs="Times New Roman"/>
                <w:b w:val="0"/>
                <w:color w:val="000000"/>
                <w:sz w:val="20"/>
                <w:szCs w:val="24"/>
                <w:lang w:eastAsia="lv-LV"/>
              </w:rPr>
              <w:t>Kokrūpniecība</w:t>
            </w:r>
          </w:p>
          <w:p w14:paraId="4789A00E" w14:textId="77777777" w:rsidR="00DF336B" w:rsidRPr="0083510D" w:rsidRDefault="00DF336B" w:rsidP="00217C9E">
            <w:pPr>
              <w:rPr>
                <w:rFonts w:eastAsia="Times New Roman" w:cs="Times New Roman"/>
                <w:b w:val="0"/>
                <w:color w:val="000000"/>
                <w:sz w:val="20"/>
                <w:szCs w:val="24"/>
                <w:lang w:eastAsia="lv-LV"/>
              </w:rPr>
            </w:pPr>
            <w:r w:rsidRPr="0083510D">
              <w:rPr>
                <w:rFonts w:eastAsia="Times New Roman" w:cs="Times New Roman"/>
                <w:b w:val="0"/>
                <w:color w:val="000000"/>
                <w:sz w:val="20"/>
                <w:szCs w:val="24"/>
                <w:lang w:eastAsia="lv-LV"/>
              </w:rPr>
              <w:t>Pārtikas rūpniecība</w:t>
            </w:r>
          </w:p>
          <w:p w14:paraId="05CE146D" w14:textId="77777777" w:rsidR="00DF336B" w:rsidRPr="0083510D" w:rsidRDefault="00DF336B" w:rsidP="00217C9E">
            <w:pPr>
              <w:rPr>
                <w:rFonts w:eastAsia="Times New Roman" w:cs="Times New Roman"/>
                <w:b w:val="0"/>
                <w:color w:val="000000"/>
                <w:sz w:val="20"/>
                <w:szCs w:val="24"/>
                <w:lang w:eastAsia="lv-LV"/>
              </w:rPr>
            </w:pPr>
            <w:r w:rsidRPr="0083510D">
              <w:rPr>
                <w:rFonts w:eastAsia="Times New Roman" w:cs="Times New Roman"/>
                <w:b w:val="0"/>
                <w:color w:val="000000"/>
                <w:sz w:val="20"/>
                <w:szCs w:val="24"/>
                <w:lang w:eastAsia="lv-LV"/>
              </w:rPr>
              <w:t>Ķīmiskā rūpniecība un tās saskarnozares</w:t>
            </w:r>
          </w:p>
          <w:p w14:paraId="4DF25D2F" w14:textId="77777777" w:rsidR="00DF336B" w:rsidRPr="0083510D" w:rsidRDefault="009E7619" w:rsidP="00217C9E">
            <w:pPr>
              <w:rPr>
                <w:rFonts w:eastAsia="Times New Roman" w:cs="Times New Roman"/>
                <w:b w:val="0"/>
                <w:color w:val="000000"/>
                <w:sz w:val="20"/>
                <w:szCs w:val="24"/>
                <w:lang w:eastAsia="lv-LV"/>
              </w:rPr>
            </w:pPr>
            <w:r w:rsidRPr="0083510D">
              <w:rPr>
                <w:rFonts w:eastAsia="Times New Roman" w:cs="Times New Roman"/>
                <w:b w:val="0"/>
                <w:color w:val="000000"/>
                <w:sz w:val="20"/>
                <w:szCs w:val="24"/>
                <w:lang w:eastAsia="lv-LV"/>
              </w:rPr>
              <w:t>Tekstilrūpniecība</w:t>
            </w:r>
          </w:p>
          <w:p w14:paraId="65EDA7C4" w14:textId="77777777" w:rsidR="00DF336B" w:rsidRPr="0083510D" w:rsidRDefault="00DF336B" w:rsidP="00217C9E">
            <w:pPr>
              <w:rPr>
                <w:rFonts w:eastAsia="Times New Roman" w:cs="Times New Roman"/>
                <w:b w:val="0"/>
                <w:color w:val="000000"/>
                <w:sz w:val="20"/>
                <w:szCs w:val="24"/>
                <w:lang w:eastAsia="lv-LV"/>
              </w:rPr>
            </w:pPr>
            <w:r w:rsidRPr="0083510D">
              <w:rPr>
                <w:rFonts w:eastAsia="Times New Roman" w:cs="Times New Roman"/>
                <w:b w:val="0"/>
                <w:color w:val="000000"/>
                <w:sz w:val="20"/>
                <w:szCs w:val="24"/>
                <w:lang w:eastAsia="lv-LV"/>
              </w:rPr>
              <w:t>Poligrāfija</w:t>
            </w:r>
            <w:r w:rsidR="009E7619" w:rsidRPr="0083510D">
              <w:rPr>
                <w:rFonts w:eastAsia="Times New Roman" w:cs="Times New Roman"/>
                <w:b w:val="0"/>
                <w:color w:val="000000"/>
                <w:sz w:val="20"/>
                <w:szCs w:val="24"/>
                <w:lang w:eastAsia="lv-LV"/>
              </w:rPr>
              <w:t xml:space="preserve"> un ar to saistītās palīgdarbības</w:t>
            </w:r>
          </w:p>
          <w:p w14:paraId="694A0648" w14:textId="77777777" w:rsidR="00DF336B" w:rsidRPr="0083510D" w:rsidRDefault="00DF336B" w:rsidP="00217C9E">
            <w:pPr>
              <w:rPr>
                <w:rFonts w:eastAsia="Times New Roman" w:cs="Times New Roman"/>
                <w:b w:val="0"/>
                <w:color w:val="000000"/>
                <w:sz w:val="20"/>
                <w:szCs w:val="24"/>
                <w:lang w:eastAsia="lv-LV"/>
              </w:rPr>
            </w:pPr>
            <w:r w:rsidRPr="0083510D">
              <w:rPr>
                <w:rFonts w:eastAsia="Times New Roman" w:cs="Times New Roman"/>
                <w:b w:val="0"/>
                <w:color w:val="000000"/>
                <w:sz w:val="20"/>
                <w:szCs w:val="24"/>
                <w:lang w:eastAsia="lv-LV"/>
              </w:rPr>
              <w:t>Būvniecība un būvmateriālu ražošana</w:t>
            </w:r>
          </w:p>
          <w:p w14:paraId="57DFF091" w14:textId="77777777" w:rsidR="00DF336B" w:rsidRPr="0083510D" w:rsidRDefault="00DF336B" w:rsidP="00217C9E">
            <w:pPr>
              <w:rPr>
                <w:rFonts w:eastAsia="Times New Roman" w:cs="Times New Roman"/>
                <w:color w:val="000000"/>
                <w:sz w:val="20"/>
                <w:szCs w:val="24"/>
                <w:lang w:eastAsia="lv-LV"/>
              </w:rPr>
            </w:pPr>
            <w:r w:rsidRPr="0083510D">
              <w:rPr>
                <w:rFonts w:eastAsia="Times New Roman" w:cs="Times New Roman"/>
                <w:b w:val="0"/>
                <w:color w:val="000000"/>
                <w:sz w:val="20"/>
                <w:szCs w:val="24"/>
                <w:lang w:eastAsia="lv-LV"/>
              </w:rPr>
              <w:t>Elektronika un optisko iekārtu ražošana</w:t>
            </w:r>
          </w:p>
        </w:tc>
        <w:tc>
          <w:tcPr>
            <w:tcW w:w="3768" w:type="dxa"/>
            <w:tcBorders>
              <w:top w:val="nil"/>
              <w:left w:val="nil"/>
              <w:bottom w:val="nil"/>
              <w:right w:val="nil"/>
            </w:tcBorders>
            <w:shd w:val="clear" w:color="auto" w:fill="auto"/>
          </w:tcPr>
          <w:p w14:paraId="451CC08B" w14:textId="77777777" w:rsidR="00DF336B" w:rsidRPr="0083510D" w:rsidRDefault="00DF336B" w:rsidP="00217C9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4"/>
                <w:lang w:eastAsia="lv-LV"/>
              </w:rPr>
            </w:pPr>
            <w:r w:rsidRPr="0083510D">
              <w:rPr>
                <w:rFonts w:eastAsia="Times New Roman" w:cs="Times New Roman"/>
                <w:color w:val="000000"/>
                <w:sz w:val="20"/>
                <w:szCs w:val="24"/>
                <w:lang w:eastAsia="lv-LV"/>
              </w:rPr>
              <w:t>Transports un loģistika</w:t>
            </w:r>
          </w:p>
          <w:p w14:paraId="7B13747A" w14:textId="77777777" w:rsidR="00DF336B" w:rsidRPr="0083510D" w:rsidRDefault="00DF336B" w:rsidP="00217C9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4"/>
                <w:lang w:eastAsia="lv-LV"/>
              </w:rPr>
            </w:pPr>
            <w:r w:rsidRPr="0083510D">
              <w:rPr>
                <w:rFonts w:eastAsia="Times New Roman" w:cs="Times New Roman"/>
                <w:color w:val="000000"/>
                <w:sz w:val="20"/>
                <w:szCs w:val="24"/>
                <w:lang w:eastAsia="lv-LV"/>
              </w:rPr>
              <w:t>Informācijas un komunikācijas tehnoloģijas</w:t>
            </w:r>
          </w:p>
          <w:p w14:paraId="3468604F" w14:textId="77777777" w:rsidR="00DF336B" w:rsidRPr="0083510D" w:rsidRDefault="00DF336B" w:rsidP="00217C9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4"/>
                <w:lang w:eastAsia="lv-LV"/>
              </w:rPr>
            </w:pPr>
            <w:r w:rsidRPr="0083510D">
              <w:rPr>
                <w:rFonts w:eastAsia="Times New Roman" w:cs="Times New Roman"/>
                <w:color w:val="000000"/>
                <w:sz w:val="20"/>
                <w:szCs w:val="24"/>
                <w:lang w:eastAsia="lv-LV"/>
              </w:rPr>
              <w:t>Tūrisms</w:t>
            </w:r>
          </w:p>
          <w:p w14:paraId="2343976F" w14:textId="77777777" w:rsidR="00DF336B" w:rsidRPr="0083510D" w:rsidRDefault="00DF336B" w:rsidP="00217C9E">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lang w:eastAsia="lv-LV"/>
              </w:rPr>
            </w:pPr>
          </w:p>
          <w:p w14:paraId="731543E7" w14:textId="77777777" w:rsidR="00DF336B" w:rsidRPr="0083510D" w:rsidRDefault="00DF336B" w:rsidP="00217C9E">
            <w:pPr>
              <w:cnfStyle w:val="000000100000" w:firstRow="0" w:lastRow="0" w:firstColumn="0" w:lastColumn="0" w:oddVBand="0" w:evenVBand="0" w:oddHBand="1" w:evenHBand="0" w:firstRowFirstColumn="0" w:firstRowLastColumn="0" w:lastRowFirstColumn="0" w:lastRowLastColumn="0"/>
              <w:rPr>
                <w:rFonts w:eastAsia="Times New Roman" w:cs="Times New Roman"/>
                <w:sz w:val="20"/>
                <w:szCs w:val="24"/>
                <w:lang w:eastAsia="lv-LV"/>
              </w:rPr>
            </w:pPr>
          </w:p>
        </w:tc>
      </w:tr>
    </w:tbl>
    <w:p w14:paraId="1895B107" w14:textId="77777777" w:rsidR="00383A5A" w:rsidRPr="0083510D" w:rsidRDefault="00383A5A" w:rsidP="00217C9E">
      <w:pPr>
        <w:jc w:val="both"/>
        <w:rPr>
          <w:rFonts w:cs="Times New Roman"/>
          <w:bCs/>
          <w:sz w:val="24"/>
          <w:szCs w:val="24"/>
        </w:rPr>
      </w:pPr>
      <w:r w:rsidRPr="0083510D">
        <w:rPr>
          <w:rFonts w:cs="Times New Roman"/>
          <w:bCs/>
          <w:sz w:val="24"/>
          <w:szCs w:val="24"/>
        </w:rPr>
        <w:t xml:space="preserve">Prioritārās nozares atbilst arī Latvijas Viedās specializācijas stratēģijā izvirzītajiem tautsaimniecības transformācijas virzieniem. </w:t>
      </w:r>
    </w:p>
    <w:p w14:paraId="41B51B2E" w14:textId="5919884B" w:rsidR="00383A5A" w:rsidRPr="0083510D" w:rsidRDefault="00383A5A" w:rsidP="00217C9E">
      <w:pPr>
        <w:pStyle w:val="ListParagraph"/>
        <w:numPr>
          <w:ilvl w:val="0"/>
          <w:numId w:val="18"/>
        </w:numPr>
        <w:spacing w:line="240" w:lineRule="auto"/>
        <w:ind w:left="0"/>
        <w:jc w:val="both"/>
        <w:rPr>
          <w:rFonts w:ascii="Times New Roman" w:eastAsia="Times New Roman" w:hAnsi="Times New Roman"/>
          <w:sz w:val="24"/>
          <w:szCs w:val="24"/>
        </w:rPr>
      </w:pPr>
      <w:r w:rsidRPr="0083510D">
        <w:rPr>
          <w:rFonts w:ascii="Times New Roman" w:eastAsia="Times New Roman" w:hAnsi="Times New Roman"/>
          <w:sz w:val="24"/>
          <w:szCs w:val="24"/>
        </w:rPr>
        <w:t xml:space="preserve">tradicionālās tautsaimniecības nozares (kokapstrāde, pārtikas rūpniecība, ķīmija un farmācija, tranzītpakalpojumi); </w:t>
      </w:r>
    </w:p>
    <w:p w14:paraId="5BE0920B" w14:textId="4E9F9B8D" w:rsidR="00383A5A" w:rsidRPr="0083510D" w:rsidRDefault="00383A5A" w:rsidP="00217C9E">
      <w:pPr>
        <w:pStyle w:val="ListParagraph"/>
        <w:numPr>
          <w:ilvl w:val="0"/>
          <w:numId w:val="18"/>
        </w:numPr>
        <w:spacing w:line="240" w:lineRule="auto"/>
        <w:ind w:left="0"/>
        <w:jc w:val="both"/>
        <w:rPr>
          <w:rFonts w:ascii="Times New Roman" w:eastAsia="Times New Roman" w:hAnsi="Times New Roman"/>
          <w:sz w:val="24"/>
          <w:szCs w:val="24"/>
        </w:rPr>
      </w:pPr>
      <w:r w:rsidRPr="0083510D">
        <w:rPr>
          <w:rFonts w:ascii="Times New Roman" w:eastAsia="Times New Roman" w:hAnsi="Times New Roman"/>
          <w:sz w:val="24"/>
          <w:szCs w:val="24"/>
        </w:rPr>
        <w:t>nākotnes izaugsmes nozares (Viedie materiāli, tehnoloģijas un inženiersistēmas, Biomedicīna, medicīnas tehnoloģijas, biofarmācija un biotehnoloģijas);</w:t>
      </w:r>
    </w:p>
    <w:p w14:paraId="514FA422" w14:textId="4DE83644" w:rsidR="00383A5A" w:rsidRPr="0083510D" w:rsidRDefault="00383A5A" w:rsidP="00217C9E">
      <w:pPr>
        <w:pStyle w:val="ListParagraph"/>
        <w:numPr>
          <w:ilvl w:val="0"/>
          <w:numId w:val="18"/>
        </w:numPr>
        <w:spacing w:line="240" w:lineRule="auto"/>
        <w:ind w:left="0"/>
        <w:jc w:val="both"/>
        <w:rPr>
          <w:rFonts w:ascii="Times New Roman" w:eastAsia="Times New Roman" w:hAnsi="Times New Roman"/>
          <w:sz w:val="24"/>
          <w:szCs w:val="24"/>
        </w:rPr>
      </w:pPr>
      <w:r w:rsidRPr="0083510D">
        <w:rPr>
          <w:rFonts w:ascii="Times New Roman" w:eastAsia="Times New Roman" w:hAnsi="Times New Roman"/>
          <w:sz w:val="24"/>
          <w:szCs w:val="24"/>
        </w:rPr>
        <w:t>nozares ar nozīmīgu horizontālo ietekmi (Energoefektivitātes risinājumi un tehnoloģijas, informācijas un komunikācijas tehnoloģijas);</w:t>
      </w:r>
    </w:p>
    <w:p w14:paraId="77589B05" w14:textId="712CFA60" w:rsidR="00DF336B" w:rsidRPr="0083510D" w:rsidRDefault="00617DFE" w:rsidP="00217C9E">
      <w:pPr>
        <w:pStyle w:val="ListParagraph"/>
        <w:numPr>
          <w:ilvl w:val="0"/>
          <w:numId w:val="18"/>
        </w:numPr>
        <w:spacing w:line="240" w:lineRule="auto"/>
        <w:ind w:left="0"/>
        <w:jc w:val="both"/>
        <w:rPr>
          <w:rFonts w:ascii="Times New Roman" w:eastAsia="Times New Roman" w:hAnsi="Times New Roman"/>
          <w:sz w:val="24"/>
          <w:szCs w:val="24"/>
        </w:rPr>
      </w:pPr>
      <w:r w:rsidRPr="0083510D">
        <w:rPr>
          <w:rFonts w:ascii="Times New Roman" w:eastAsia="Times New Roman" w:hAnsi="Times New Roman"/>
          <w:sz w:val="24"/>
          <w:szCs w:val="24"/>
        </w:rPr>
        <w:t>biznesa pakalpojumi.</w:t>
      </w:r>
    </w:p>
    <w:p w14:paraId="6A22170C" w14:textId="1E1891D8" w:rsidR="008F1B7E" w:rsidRPr="0083510D" w:rsidRDefault="00DF336B" w:rsidP="006308C0">
      <w:pPr>
        <w:ind w:firstLine="360"/>
        <w:jc w:val="both"/>
        <w:rPr>
          <w:rFonts w:cs="Times New Roman"/>
          <w:sz w:val="24"/>
          <w:szCs w:val="24"/>
        </w:rPr>
      </w:pPr>
      <w:r w:rsidRPr="0083510D">
        <w:rPr>
          <w:rFonts w:cs="Times New Roman"/>
          <w:sz w:val="24"/>
          <w:szCs w:val="24"/>
        </w:rPr>
        <w:t>Pamatnostādnēs noteikto mērķa – sekmēt augsto un vidēji augsto produktu eksporta pieaugumu kopējā eksportā - sasniegšanai svarīgi atbalstīt nozaru nišu piedāvājumi ar augstu eksporta potenciālu un pievienoto vērtību.</w:t>
      </w:r>
    </w:p>
    <w:p w14:paraId="47C4D083" w14:textId="77777777" w:rsidR="00DF336B" w:rsidRPr="0083510D" w:rsidRDefault="00DF336B" w:rsidP="006308C0">
      <w:pPr>
        <w:ind w:firstLine="360"/>
        <w:jc w:val="both"/>
        <w:rPr>
          <w:rFonts w:cs="Times New Roman"/>
          <w:sz w:val="24"/>
          <w:szCs w:val="24"/>
        </w:rPr>
      </w:pPr>
      <w:r w:rsidRPr="0083510D">
        <w:rPr>
          <w:rFonts w:cs="Times New Roman"/>
          <w:sz w:val="24"/>
          <w:szCs w:val="24"/>
        </w:rPr>
        <w:t>Vērtējot eksporta mērķa tirgus, ir būtiski saglabāt un attīstīt eksportu uz valstīm, kas vēsturiski ir bijuši Latvijas galvenie eksporta partneri – ES valstis. Vienlaikus nepieciešams sekmēt jaunu, strauji augošo tirgu apgūšanu, sākotnēji, nodrošinot uzņēmējiem nepieciešamo informāciju, konsultatīvo atbalstu un sadarbības veicināšanu valsts amatpersonu un uzņēmēju vizīšu ietvaros</w:t>
      </w:r>
      <w:r w:rsidR="004007B1" w:rsidRPr="0083510D">
        <w:rPr>
          <w:rFonts w:cs="Times New Roman"/>
          <w:sz w:val="24"/>
          <w:szCs w:val="24"/>
        </w:rPr>
        <w:t>,</w:t>
      </w:r>
      <w:r w:rsidRPr="0083510D">
        <w:rPr>
          <w:rFonts w:cs="Times New Roman"/>
          <w:sz w:val="24"/>
          <w:szCs w:val="24"/>
        </w:rPr>
        <w:t xml:space="preserve"> </w:t>
      </w:r>
      <w:r w:rsidR="004007B1" w:rsidRPr="0083510D">
        <w:rPr>
          <w:rFonts w:cs="Times New Roman"/>
          <w:sz w:val="24"/>
          <w:szCs w:val="24"/>
        </w:rPr>
        <w:t>kā arī organizējot uzņēmumu nelielus kopstendus, lai noskaidrot</w:t>
      </w:r>
      <w:r w:rsidR="00433E3D" w:rsidRPr="0083510D">
        <w:rPr>
          <w:rFonts w:cs="Times New Roman"/>
          <w:sz w:val="24"/>
          <w:szCs w:val="24"/>
        </w:rPr>
        <w:t>u</w:t>
      </w:r>
      <w:r w:rsidR="004007B1" w:rsidRPr="0083510D">
        <w:rPr>
          <w:rFonts w:cs="Times New Roman"/>
          <w:sz w:val="24"/>
          <w:szCs w:val="24"/>
        </w:rPr>
        <w:t xml:space="preserve"> tirgus pieprasījumu un izvērtētu konkurenci. Jāturpina iesāktās aktivitātes NVS bloka valstīs, kā Krievija, Baltkrievija un Kazahstāna, lai nodrošinātu informāciju par ekonomiskajiem procesiem un pārstāvētu Latvijas uzņēmumu intereses.</w:t>
      </w:r>
    </w:p>
    <w:p w14:paraId="64800E80" w14:textId="4AF8CF5E" w:rsidR="00DF336B" w:rsidRPr="0083510D" w:rsidRDefault="00DF336B" w:rsidP="006308C0">
      <w:pPr>
        <w:ind w:firstLine="360"/>
        <w:jc w:val="both"/>
        <w:rPr>
          <w:rFonts w:cs="Times New Roman"/>
          <w:sz w:val="24"/>
          <w:szCs w:val="24"/>
        </w:rPr>
      </w:pPr>
      <w:r w:rsidRPr="0083510D">
        <w:rPr>
          <w:rFonts w:cs="Times New Roman"/>
          <w:sz w:val="24"/>
          <w:szCs w:val="24"/>
        </w:rPr>
        <w:lastRenderedPageBreak/>
        <w:t>Ņemot vērā, ka pārskata periodā būtiski mazinājusies strauji augošo (BRICS) valstu ekonomiskā izaugsme, un daļa no tām piedzīvo ekonomisko lejupslīdi, nepieciešams veikt korekcijas strauji augošo tirgu apgūšanas prioritāšu noteikšanā, kas definēts Pamatnostādnēs, attiecīgi fokusējoties galvenokārt uz ES, kā arī pieaugošo Ķīnas lomu Latvijas starptautiskajā tirdzniecībā.</w:t>
      </w:r>
    </w:p>
    <w:p w14:paraId="1FB92755" w14:textId="59514E84" w:rsidR="00DF336B" w:rsidRPr="0083510D" w:rsidRDefault="00DF336B" w:rsidP="006308C0">
      <w:pPr>
        <w:ind w:firstLine="360"/>
        <w:jc w:val="both"/>
        <w:rPr>
          <w:rFonts w:cs="Times New Roman"/>
          <w:sz w:val="24"/>
          <w:szCs w:val="24"/>
        </w:rPr>
      </w:pPr>
      <w:r w:rsidRPr="0083510D">
        <w:rPr>
          <w:rFonts w:cs="Times New Roman"/>
          <w:sz w:val="24"/>
          <w:szCs w:val="24"/>
        </w:rPr>
        <w:t>Latvija ir aktīvi iesaistījusies Ķīnas iniciatīvā sadarbībai ar 1</w:t>
      </w:r>
      <w:r w:rsidR="000E5726">
        <w:rPr>
          <w:rFonts w:cs="Times New Roman"/>
          <w:sz w:val="24"/>
          <w:szCs w:val="24"/>
        </w:rPr>
        <w:t>7</w:t>
      </w:r>
      <w:r w:rsidRPr="0083510D">
        <w:rPr>
          <w:rFonts w:cs="Times New Roman"/>
          <w:sz w:val="24"/>
          <w:szCs w:val="24"/>
        </w:rPr>
        <w:t xml:space="preserve"> Centrāl- un Austrumeiropas valstīm (turpmāk – “1</w:t>
      </w:r>
      <w:r w:rsidR="000E5726">
        <w:rPr>
          <w:rFonts w:cs="Times New Roman"/>
          <w:sz w:val="24"/>
          <w:szCs w:val="24"/>
        </w:rPr>
        <w:t>7</w:t>
      </w:r>
      <w:r w:rsidRPr="0083510D">
        <w:rPr>
          <w:rFonts w:cs="Times New Roman"/>
          <w:sz w:val="24"/>
          <w:szCs w:val="24"/>
        </w:rPr>
        <w:t>+1”), kas ir uzskatāms par potenciāli nozīmīgu instrumentu sadarbības ar Ķīnu palielināšanai. “1</w:t>
      </w:r>
      <w:r w:rsidR="000E5726">
        <w:rPr>
          <w:rFonts w:cs="Times New Roman"/>
          <w:sz w:val="24"/>
          <w:szCs w:val="24"/>
        </w:rPr>
        <w:t>7</w:t>
      </w:r>
      <w:r w:rsidRPr="0083510D">
        <w:rPr>
          <w:rFonts w:cs="Times New Roman"/>
          <w:sz w:val="24"/>
          <w:szCs w:val="24"/>
        </w:rPr>
        <w:t>+1” sadarbības mērķis aktivizēt sadarbību investīciju, transporta, finanšu, zinātnes, izglītības un kultūras jomās</w:t>
      </w:r>
      <w:r w:rsidR="00F305D5" w:rsidRPr="0083510D">
        <w:rPr>
          <w:rFonts w:cs="Times New Roman"/>
          <w:sz w:val="24"/>
          <w:szCs w:val="24"/>
        </w:rPr>
        <w:t>, kā arī lauksaimniecības jomā</w:t>
      </w:r>
      <w:r w:rsidRPr="0083510D">
        <w:rPr>
          <w:rFonts w:cs="Times New Roman"/>
          <w:sz w:val="24"/>
          <w:szCs w:val="24"/>
        </w:rPr>
        <w:t>. Ķīna iniciatīvas ietvaros ekonomikas jomā ir definējusi 3 prioritārās potenciālās sadarbības jomas – infrastruktūru, augstās tehnoloģijas, zaļās tehnoloģijas. Latvijas prioritātes šī sadarbības formāta ietvaros ir valsts ekonomisko interešu īstenošana transporta un loģistikas jomā, valsts tēla popularizēšanas starptautiskajā vidē un ekonomisko sakaru veicināšana.</w:t>
      </w:r>
    </w:p>
    <w:p w14:paraId="7230FE69" w14:textId="77777777" w:rsidR="00431533" w:rsidRPr="0083510D" w:rsidRDefault="00431533" w:rsidP="006308C0">
      <w:pPr>
        <w:ind w:firstLine="360"/>
        <w:jc w:val="both"/>
        <w:rPr>
          <w:rFonts w:cs="Times New Roman"/>
          <w:sz w:val="24"/>
          <w:szCs w:val="24"/>
        </w:rPr>
      </w:pPr>
    </w:p>
    <w:p w14:paraId="707E3D0F" w14:textId="209115D2" w:rsidR="00DF336B" w:rsidRPr="0083510D" w:rsidRDefault="00DF336B" w:rsidP="00C568D4">
      <w:pPr>
        <w:pStyle w:val="Heading2"/>
        <w:shd w:val="clear" w:color="auto" w:fill="1DA0A7"/>
        <w:spacing w:before="0"/>
        <w:rPr>
          <w:rFonts w:cs="Times New Roman"/>
          <w:b/>
          <w:color w:val="FFFFFF" w:themeColor="background1"/>
        </w:rPr>
      </w:pPr>
      <w:bookmarkStart w:id="16" w:name="_Toc47359875"/>
      <w:r w:rsidRPr="0083510D">
        <w:rPr>
          <w:rFonts w:cs="Times New Roman"/>
          <w:b/>
          <w:color w:val="FFFFFF" w:themeColor="background1"/>
        </w:rPr>
        <w:t>3</w:t>
      </w:r>
      <w:r w:rsidR="00C910ED" w:rsidRPr="0083510D">
        <w:rPr>
          <w:rFonts w:cs="Times New Roman"/>
          <w:b/>
          <w:color w:val="FFFFFF" w:themeColor="background1"/>
        </w:rPr>
        <w:t>.</w:t>
      </w:r>
      <w:r w:rsidR="00746B60" w:rsidRPr="0083510D">
        <w:rPr>
          <w:rFonts w:cs="Times New Roman"/>
          <w:b/>
          <w:bCs/>
          <w:color w:val="FFFFFF" w:themeColor="background1"/>
        </w:rPr>
        <w:t>1</w:t>
      </w:r>
      <w:r w:rsidRPr="0083510D">
        <w:rPr>
          <w:rFonts w:cs="Times New Roman"/>
          <w:b/>
          <w:color w:val="FFFFFF" w:themeColor="background1"/>
        </w:rPr>
        <w:t>. Eksporta atbalsta instrumenti</w:t>
      </w:r>
      <w:bookmarkEnd w:id="16"/>
    </w:p>
    <w:p w14:paraId="35F963A2" w14:textId="44D83474" w:rsidR="00B17A7B" w:rsidRPr="0083510D" w:rsidRDefault="00022CDC" w:rsidP="00C568D4">
      <w:pPr>
        <w:jc w:val="both"/>
        <w:rPr>
          <w:rFonts w:cs="Times New Roman"/>
          <w:sz w:val="24"/>
          <w:szCs w:val="24"/>
        </w:rPr>
      </w:pPr>
      <w:bookmarkStart w:id="17" w:name="_Toc448154079"/>
      <w:r w:rsidRPr="0083510D">
        <w:rPr>
          <w:rFonts w:cs="Times New Roman"/>
          <w:sz w:val="24"/>
          <w:szCs w:val="24"/>
        </w:rPr>
        <w:t xml:space="preserve">Eksporta starptautiskās konkurētspējas veicināšanai pieejami </w:t>
      </w:r>
      <w:r w:rsidR="00B17A7B" w:rsidRPr="0083510D">
        <w:rPr>
          <w:rFonts w:cs="Times New Roman"/>
          <w:sz w:val="24"/>
          <w:szCs w:val="24"/>
        </w:rPr>
        <w:t>dažādi</w:t>
      </w:r>
      <w:r w:rsidRPr="0083510D">
        <w:rPr>
          <w:rFonts w:cs="Times New Roman"/>
          <w:sz w:val="24"/>
          <w:szCs w:val="24"/>
        </w:rPr>
        <w:t xml:space="preserve"> atbalst</w:t>
      </w:r>
      <w:r w:rsidR="00B17A7B" w:rsidRPr="0083510D">
        <w:rPr>
          <w:rFonts w:cs="Times New Roman"/>
          <w:sz w:val="24"/>
          <w:szCs w:val="24"/>
        </w:rPr>
        <w:t>a instrumenti – gan LIAA piedāvātie pakalpojumi, ES fondu programmu atbalsta pasākumi, kā arī citi instrumenti:</w:t>
      </w:r>
    </w:p>
    <w:p w14:paraId="3B700901" w14:textId="77777777" w:rsidR="00B17A7B" w:rsidRPr="0083510D" w:rsidRDefault="00B17A7B" w:rsidP="00C568D4">
      <w:pPr>
        <w:pStyle w:val="ListParagraph"/>
        <w:numPr>
          <w:ilvl w:val="1"/>
          <w:numId w:val="17"/>
        </w:numPr>
        <w:ind w:left="0"/>
        <w:jc w:val="both"/>
        <w:rPr>
          <w:rFonts w:ascii="Times New Roman" w:eastAsia="Times New Roman" w:hAnsi="Times New Roman"/>
          <w:b/>
          <w:sz w:val="24"/>
          <w:szCs w:val="24"/>
        </w:rPr>
      </w:pPr>
      <w:r w:rsidRPr="0083510D">
        <w:rPr>
          <w:rFonts w:ascii="Times New Roman" w:hAnsi="Times New Roman"/>
          <w:b/>
          <w:bCs/>
          <w:sz w:val="24"/>
          <w:szCs w:val="24"/>
        </w:rPr>
        <w:t>LIAA sniegtie pakalpojumi eksportētājiem</w:t>
      </w:r>
    </w:p>
    <w:p w14:paraId="54164C52" w14:textId="23578985" w:rsidR="00B17A7B" w:rsidRPr="0083510D" w:rsidRDefault="00022CDC" w:rsidP="00C568D4">
      <w:pPr>
        <w:jc w:val="both"/>
        <w:rPr>
          <w:rFonts w:cs="Times New Roman"/>
          <w:bCs/>
          <w:sz w:val="24"/>
          <w:szCs w:val="24"/>
        </w:rPr>
      </w:pPr>
      <w:r w:rsidRPr="0083510D">
        <w:rPr>
          <w:rFonts w:cs="Times New Roman"/>
          <w:sz w:val="24"/>
          <w:szCs w:val="24"/>
        </w:rPr>
        <w:t xml:space="preserve"> </w:t>
      </w:r>
      <w:r w:rsidR="00032706" w:rsidRPr="0083510D">
        <w:rPr>
          <w:rFonts w:cs="Times New Roman"/>
          <w:sz w:val="24"/>
          <w:szCs w:val="24"/>
        </w:rPr>
        <w:t xml:space="preserve">LIAA </w:t>
      </w:r>
      <w:r w:rsidR="00E85906" w:rsidRPr="0083510D">
        <w:rPr>
          <w:rFonts w:cs="Times New Roman"/>
          <w:sz w:val="24"/>
          <w:szCs w:val="24"/>
        </w:rPr>
        <w:t>sniedz</w:t>
      </w:r>
      <w:r w:rsidR="00032706" w:rsidRPr="0083510D">
        <w:rPr>
          <w:rFonts w:cs="Times New Roman"/>
          <w:sz w:val="24"/>
          <w:szCs w:val="24"/>
        </w:rPr>
        <w:t xml:space="preserve"> atbalstu</w:t>
      </w:r>
      <w:r w:rsidR="00E85906" w:rsidRPr="0083510D">
        <w:rPr>
          <w:rFonts w:cs="Times New Roman"/>
          <w:sz w:val="24"/>
          <w:szCs w:val="24"/>
        </w:rPr>
        <w:t xml:space="preserve"> uzņēmējiem</w:t>
      </w:r>
      <w:r w:rsidR="00032706" w:rsidRPr="0083510D">
        <w:rPr>
          <w:rFonts w:cs="Times New Roman"/>
          <w:sz w:val="24"/>
          <w:szCs w:val="24"/>
        </w:rPr>
        <w:t xml:space="preserve"> </w:t>
      </w:r>
      <w:r w:rsidR="00B17A7B" w:rsidRPr="0083510D">
        <w:rPr>
          <w:rFonts w:cs="Times New Roman"/>
          <w:sz w:val="24"/>
          <w:szCs w:val="24"/>
        </w:rPr>
        <w:t xml:space="preserve">eksportspējas veicināšanas starptautiskajos tirgos, gan piedāvājot konsultatīvu atbalstu, rīkojot daudzveidīgus eksporta atbalsta pasākumus, </w:t>
      </w:r>
      <w:r w:rsidR="002429DA" w:rsidRPr="0083510D">
        <w:rPr>
          <w:rFonts w:cs="Times New Roman"/>
          <w:sz w:val="24"/>
          <w:szCs w:val="24"/>
        </w:rPr>
        <w:t xml:space="preserve">organizējot kontaktbiržas un tirdzniecības misijas, </w:t>
      </w:r>
      <w:r w:rsidR="00B17A7B" w:rsidRPr="0083510D">
        <w:rPr>
          <w:rFonts w:cs="Times New Roman"/>
          <w:sz w:val="24"/>
          <w:szCs w:val="24"/>
        </w:rPr>
        <w:t>gan veido</w:t>
      </w:r>
      <w:r w:rsidR="002429DA" w:rsidRPr="0083510D">
        <w:rPr>
          <w:rFonts w:cs="Times New Roman"/>
          <w:sz w:val="24"/>
          <w:szCs w:val="24"/>
        </w:rPr>
        <w:t>jot Latvijas tēlu starptautiski, kā arī n</w:t>
      </w:r>
      <w:r w:rsidR="002429DA" w:rsidRPr="0083510D">
        <w:rPr>
          <w:rFonts w:cs="Times New Roman"/>
          <w:bCs/>
          <w:sz w:val="24"/>
          <w:szCs w:val="24"/>
        </w:rPr>
        <w:t>odrošina Eiropas Biznesa atbalsta tīkla darbību Latvijā.</w:t>
      </w:r>
      <w:r w:rsidR="004D19E8" w:rsidRPr="0083510D">
        <w:rPr>
          <w:rFonts w:cs="Times New Roman"/>
          <w:bCs/>
          <w:sz w:val="24"/>
          <w:szCs w:val="24"/>
        </w:rPr>
        <w:t xml:space="preserve"> </w:t>
      </w:r>
      <w:r w:rsidR="002429DA" w:rsidRPr="0083510D">
        <w:rPr>
          <w:rFonts w:cs="Times New Roman"/>
          <w:sz w:val="24"/>
          <w:szCs w:val="24"/>
        </w:rPr>
        <w:t>Vienlaikus a</w:t>
      </w:r>
      <w:r w:rsidR="00B17A7B" w:rsidRPr="0083510D">
        <w:rPr>
          <w:rFonts w:cs="Times New Roman"/>
          <w:sz w:val="24"/>
          <w:szCs w:val="24"/>
        </w:rPr>
        <w:t xml:space="preserve">tbalsts eksportētajiem </w:t>
      </w:r>
      <w:r w:rsidR="00B17A7B" w:rsidRPr="0083510D">
        <w:rPr>
          <w:rFonts w:cs="Times New Roman"/>
          <w:bCs/>
          <w:sz w:val="24"/>
          <w:szCs w:val="24"/>
        </w:rPr>
        <w:t>tiek nodrošināts</w:t>
      </w:r>
      <w:r w:rsidR="002429DA" w:rsidRPr="0083510D">
        <w:rPr>
          <w:rFonts w:cs="Times New Roman"/>
          <w:bCs/>
          <w:sz w:val="24"/>
          <w:szCs w:val="24"/>
        </w:rPr>
        <w:t xml:space="preserve">, izmantojot </w:t>
      </w:r>
      <w:r w:rsidR="00B17A7B" w:rsidRPr="0083510D">
        <w:rPr>
          <w:rFonts w:cs="Times New Roman"/>
          <w:bCs/>
          <w:sz w:val="24"/>
          <w:szCs w:val="24"/>
        </w:rPr>
        <w:t>Latvijas Ārēj</w:t>
      </w:r>
      <w:r w:rsidR="002429DA" w:rsidRPr="0083510D">
        <w:rPr>
          <w:rFonts w:cs="Times New Roman"/>
          <w:bCs/>
          <w:sz w:val="24"/>
          <w:szCs w:val="24"/>
        </w:rPr>
        <w:t>o</w:t>
      </w:r>
      <w:r w:rsidR="00B17A7B" w:rsidRPr="0083510D">
        <w:rPr>
          <w:rFonts w:cs="Times New Roman"/>
          <w:bCs/>
          <w:sz w:val="24"/>
          <w:szCs w:val="24"/>
        </w:rPr>
        <w:t xml:space="preserve"> ekonomisk</w:t>
      </w:r>
      <w:r w:rsidR="002429DA" w:rsidRPr="0083510D">
        <w:rPr>
          <w:rFonts w:cs="Times New Roman"/>
          <w:bCs/>
          <w:sz w:val="24"/>
          <w:szCs w:val="24"/>
        </w:rPr>
        <w:t>o</w:t>
      </w:r>
      <w:r w:rsidR="00B17A7B" w:rsidRPr="0083510D">
        <w:rPr>
          <w:rFonts w:cs="Times New Roman"/>
          <w:bCs/>
          <w:sz w:val="24"/>
          <w:szCs w:val="24"/>
        </w:rPr>
        <w:t xml:space="preserve"> pārstāvniecīb</w:t>
      </w:r>
      <w:r w:rsidR="002429DA" w:rsidRPr="0083510D">
        <w:rPr>
          <w:rFonts w:cs="Times New Roman"/>
          <w:bCs/>
          <w:sz w:val="24"/>
          <w:szCs w:val="24"/>
        </w:rPr>
        <w:t>u tīklu</w:t>
      </w:r>
      <w:r w:rsidR="00B17A7B" w:rsidRPr="0083510D">
        <w:rPr>
          <w:rFonts w:cs="Times New Roman"/>
          <w:bCs/>
          <w:sz w:val="24"/>
          <w:szCs w:val="24"/>
        </w:rPr>
        <w:t xml:space="preserve"> 20 valstīs.</w:t>
      </w:r>
      <w:r w:rsidR="002429DA" w:rsidRPr="0083510D">
        <w:rPr>
          <w:rFonts w:cs="Times New Roman"/>
          <w:bCs/>
          <w:sz w:val="24"/>
          <w:szCs w:val="24"/>
        </w:rPr>
        <w:t xml:space="preserve"> </w:t>
      </w:r>
    </w:p>
    <w:p w14:paraId="767AC146" w14:textId="77777777" w:rsidR="00B17A7B" w:rsidRPr="0083510D" w:rsidRDefault="00B17A7B" w:rsidP="00C568D4">
      <w:pPr>
        <w:pStyle w:val="ListParagraph"/>
        <w:numPr>
          <w:ilvl w:val="0"/>
          <w:numId w:val="6"/>
        </w:numPr>
        <w:ind w:left="0"/>
        <w:jc w:val="both"/>
        <w:rPr>
          <w:rFonts w:ascii="Times New Roman" w:hAnsi="Times New Roman"/>
          <w:b/>
          <w:bCs/>
          <w:sz w:val="24"/>
          <w:szCs w:val="24"/>
        </w:rPr>
      </w:pPr>
      <w:r w:rsidRPr="0083510D">
        <w:rPr>
          <w:rFonts w:ascii="Times New Roman" w:hAnsi="Times New Roman"/>
          <w:b/>
          <w:bCs/>
          <w:sz w:val="24"/>
          <w:szCs w:val="24"/>
        </w:rPr>
        <w:t xml:space="preserve">ES </w:t>
      </w:r>
      <w:r w:rsidR="009742FA" w:rsidRPr="0083510D">
        <w:rPr>
          <w:rFonts w:ascii="Times New Roman" w:hAnsi="Times New Roman"/>
          <w:b/>
          <w:bCs/>
          <w:sz w:val="24"/>
          <w:szCs w:val="24"/>
        </w:rPr>
        <w:t xml:space="preserve">struktūrfondu </w:t>
      </w:r>
      <w:r w:rsidRPr="0083510D">
        <w:rPr>
          <w:rFonts w:ascii="Times New Roman" w:hAnsi="Times New Roman"/>
          <w:b/>
          <w:bCs/>
          <w:sz w:val="24"/>
          <w:szCs w:val="24"/>
        </w:rPr>
        <w:t>aktivitātes eksporta veicināšanai</w:t>
      </w:r>
    </w:p>
    <w:p w14:paraId="5E559250" w14:textId="4537DD0D" w:rsidR="00B17A7B" w:rsidRPr="0083510D" w:rsidRDefault="00B17A7B">
      <w:pPr>
        <w:jc w:val="both"/>
        <w:rPr>
          <w:rFonts w:cs="Times New Roman"/>
          <w:sz w:val="24"/>
          <w:szCs w:val="24"/>
        </w:rPr>
      </w:pPr>
      <w:r w:rsidRPr="0083510D">
        <w:rPr>
          <w:rFonts w:cs="Times New Roman"/>
          <w:sz w:val="24"/>
          <w:szCs w:val="24"/>
        </w:rPr>
        <w:t xml:space="preserve">2014.-2020.gada plānošanas periodā ES fondu atbalsta programmu aktivitātēs, kas vērstas uz konkurētspējas veicināšanu mazos un vidējos uzņēmumos kopumā paredzēti 237.1 milj. </w:t>
      </w:r>
      <w:r w:rsidR="00835279" w:rsidRPr="0083510D">
        <w:rPr>
          <w:rFonts w:cs="Times New Roman"/>
          <w:i/>
          <w:iCs/>
          <w:sz w:val="24"/>
          <w:szCs w:val="24"/>
        </w:rPr>
        <w:t>euro</w:t>
      </w:r>
      <w:r w:rsidRPr="0083510D">
        <w:rPr>
          <w:rFonts w:cs="Times New Roman"/>
          <w:sz w:val="24"/>
          <w:szCs w:val="24"/>
        </w:rPr>
        <w:t>, no kurām vairākas aktivitātes vērstas uz arī eksporta veicināšanu, tai skaitā, 3.2.1.2.pasākums "Starptautiskās konkurētspējas veicināšana”, 3.2.1.1. pasākums „Klasteru programma”, kā arī eksporta kredīta garantijas un aizdevumi.</w:t>
      </w:r>
    </w:p>
    <w:p w14:paraId="24E76AB2" w14:textId="39A7740F" w:rsidR="05656E92" w:rsidRPr="0083510D" w:rsidRDefault="05656E92" w:rsidP="00C568D4">
      <w:pPr>
        <w:pStyle w:val="ListParagraph"/>
        <w:numPr>
          <w:ilvl w:val="0"/>
          <w:numId w:val="6"/>
        </w:numPr>
        <w:ind w:left="0"/>
        <w:jc w:val="both"/>
        <w:rPr>
          <w:rFonts w:ascii="Times New Roman" w:eastAsia="Times New Roman" w:hAnsi="Times New Roman"/>
          <w:b/>
          <w:bCs/>
          <w:sz w:val="24"/>
          <w:szCs w:val="24"/>
        </w:rPr>
      </w:pPr>
      <w:r w:rsidRPr="0083510D">
        <w:rPr>
          <w:rFonts w:ascii="Times New Roman" w:hAnsi="Times New Roman"/>
          <w:b/>
          <w:sz w:val="24"/>
          <w:szCs w:val="24"/>
        </w:rPr>
        <w:t>Eksporta kredītu garantijas</w:t>
      </w:r>
    </w:p>
    <w:p w14:paraId="68DCE4D0" w14:textId="67CAC8E3" w:rsidR="6AE60CB5" w:rsidRPr="0083510D" w:rsidRDefault="6AE60CB5">
      <w:pPr>
        <w:spacing w:line="259" w:lineRule="auto"/>
        <w:jc w:val="both"/>
        <w:rPr>
          <w:rFonts w:cs="Times New Roman"/>
          <w:sz w:val="24"/>
          <w:szCs w:val="24"/>
        </w:rPr>
      </w:pPr>
      <w:r w:rsidRPr="0083510D">
        <w:rPr>
          <w:rFonts w:cs="Times New Roman"/>
          <w:sz w:val="24"/>
          <w:szCs w:val="24"/>
        </w:rPr>
        <w:t xml:space="preserve">Lai nodrošinātos pret ārvalstu pircēju </w:t>
      </w:r>
      <w:r w:rsidR="3526B364" w:rsidRPr="0083510D">
        <w:rPr>
          <w:rFonts w:cs="Times New Roman"/>
          <w:sz w:val="24"/>
          <w:szCs w:val="24"/>
        </w:rPr>
        <w:t xml:space="preserve">maksātnespējas vai </w:t>
      </w:r>
      <w:r w:rsidRPr="0083510D">
        <w:rPr>
          <w:rFonts w:cs="Times New Roman"/>
          <w:sz w:val="24"/>
          <w:szCs w:val="24"/>
        </w:rPr>
        <w:t>ilgstošas nemaksāšanas riskiem</w:t>
      </w:r>
      <w:r w:rsidR="7B3F947C" w:rsidRPr="0083510D">
        <w:rPr>
          <w:rFonts w:cs="Times New Roman"/>
          <w:sz w:val="24"/>
          <w:szCs w:val="24"/>
        </w:rPr>
        <w:t xml:space="preserve">, </w:t>
      </w:r>
      <w:r w:rsidR="5A1B538D" w:rsidRPr="0083510D">
        <w:rPr>
          <w:rFonts w:cs="Times New Roman"/>
          <w:sz w:val="24"/>
          <w:szCs w:val="24"/>
        </w:rPr>
        <w:t xml:space="preserve">Altum piedāvā </w:t>
      </w:r>
      <w:r w:rsidR="5C2B16DF" w:rsidRPr="0083510D">
        <w:rPr>
          <w:rFonts w:cs="Times New Roman"/>
          <w:sz w:val="24"/>
          <w:szCs w:val="24"/>
        </w:rPr>
        <w:t>eksporta kredītu garantij</w:t>
      </w:r>
      <w:r w:rsidR="68EB45B6" w:rsidRPr="0083510D">
        <w:rPr>
          <w:rFonts w:cs="Times New Roman"/>
          <w:sz w:val="24"/>
          <w:szCs w:val="24"/>
        </w:rPr>
        <w:t>as</w:t>
      </w:r>
      <w:r w:rsidR="5C2B16DF" w:rsidRPr="0083510D">
        <w:rPr>
          <w:rFonts w:cs="Times New Roman"/>
          <w:sz w:val="24"/>
          <w:szCs w:val="24"/>
        </w:rPr>
        <w:t xml:space="preserve">, kas ļauj uzņēmumiem </w:t>
      </w:r>
      <w:r w:rsidR="2B3D5B1C" w:rsidRPr="0083510D">
        <w:rPr>
          <w:rFonts w:cs="Times New Roman"/>
          <w:sz w:val="24"/>
          <w:szCs w:val="24"/>
        </w:rPr>
        <w:t xml:space="preserve">nodrošināties pret eksporta darījumu </w:t>
      </w:r>
      <w:r w:rsidR="5C2B16DF" w:rsidRPr="0083510D">
        <w:rPr>
          <w:rFonts w:cs="Times New Roman"/>
          <w:sz w:val="24"/>
          <w:szCs w:val="24"/>
        </w:rPr>
        <w:t>risk</w:t>
      </w:r>
      <w:r w:rsidR="6D0A8CBF" w:rsidRPr="0083510D">
        <w:rPr>
          <w:rFonts w:cs="Times New Roman"/>
          <w:sz w:val="24"/>
          <w:szCs w:val="24"/>
        </w:rPr>
        <w:t>iem atlikto maksājumu ga</w:t>
      </w:r>
      <w:r w:rsidR="5C2B16DF" w:rsidRPr="0083510D">
        <w:rPr>
          <w:rFonts w:cs="Times New Roman"/>
          <w:sz w:val="24"/>
          <w:szCs w:val="24"/>
        </w:rPr>
        <w:t>dījumos kā arī sniedz nodrošinājumu finansējumam.</w:t>
      </w:r>
    </w:p>
    <w:p w14:paraId="13DAF8E2" w14:textId="77777777" w:rsidR="00022CDC" w:rsidRPr="0083510D" w:rsidRDefault="00B17A7B" w:rsidP="00C568D4">
      <w:pPr>
        <w:pStyle w:val="ListParagraph"/>
        <w:numPr>
          <w:ilvl w:val="0"/>
          <w:numId w:val="6"/>
        </w:numPr>
        <w:ind w:left="0"/>
        <w:rPr>
          <w:rFonts w:ascii="Times New Roman" w:hAnsi="Times New Roman"/>
          <w:b/>
          <w:bCs/>
          <w:sz w:val="24"/>
          <w:szCs w:val="24"/>
        </w:rPr>
      </w:pPr>
      <w:r w:rsidRPr="0083510D">
        <w:rPr>
          <w:rFonts w:ascii="Times New Roman" w:hAnsi="Times New Roman"/>
          <w:b/>
          <w:bCs/>
          <w:sz w:val="24"/>
          <w:szCs w:val="24"/>
        </w:rPr>
        <w:t xml:space="preserve">Specifiski </w:t>
      </w:r>
      <w:r w:rsidRPr="0083510D">
        <w:rPr>
          <w:rFonts w:ascii="Times New Roman" w:hAnsi="Times New Roman"/>
          <w:b/>
          <w:bCs/>
          <w:i/>
          <w:iCs/>
          <w:sz w:val="24"/>
          <w:szCs w:val="24"/>
        </w:rPr>
        <w:t>ad hoc</w:t>
      </w:r>
      <w:r w:rsidRPr="0083510D">
        <w:rPr>
          <w:rFonts w:ascii="Times New Roman" w:hAnsi="Times New Roman"/>
          <w:b/>
          <w:bCs/>
          <w:sz w:val="24"/>
          <w:szCs w:val="24"/>
        </w:rPr>
        <w:t xml:space="preserve"> eksporta atbalsta instrumenti</w:t>
      </w:r>
    </w:p>
    <w:p w14:paraId="6C089A39" w14:textId="73ED4246" w:rsidR="00ED5729" w:rsidRPr="0083510D" w:rsidRDefault="002429DA" w:rsidP="00242D97">
      <w:pPr>
        <w:pStyle w:val="ListParagraph"/>
        <w:numPr>
          <w:ilvl w:val="0"/>
          <w:numId w:val="27"/>
        </w:numPr>
        <w:spacing w:line="240" w:lineRule="auto"/>
        <w:jc w:val="both"/>
        <w:rPr>
          <w:rFonts w:ascii="Times New Roman" w:hAnsi="Times New Roman"/>
          <w:sz w:val="24"/>
          <w:szCs w:val="24"/>
        </w:rPr>
      </w:pPr>
      <w:r w:rsidRPr="0083510D">
        <w:rPr>
          <w:rFonts w:ascii="Times New Roman" w:hAnsi="Times New Roman"/>
          <w:sz w:val="24"/>
          <w:szCs w:val="24"/>
        </w:rPr>
        <w:t xml:space="preserve">Lai reaģētu uz Krievijas Federācijas valdības noteiktajiem ierobežojumiem preču importam, tika īstenoti vairāki atbalsta pasākumi no Krievijas embargo cietušajiem uzņēmumiem, kurus īstenoja gan atbildīgās nozaru ministrijas, gan Eiropas Komisija. </w:t>
      </w:r>
    </w:p>
    <w:p w14:paraId="2C032E16" w14:textId="67F7A34D" w:rsidR="001974FC" w:rsidRPr="0083510D" w:rsidRDefault="001974FC" w:rsidP="00242D97">
      <w:pPr>
        <w:pStyle w:val="ListParagraph"/>
        <w:numPr>
          <w:ilvl w:val="0"/>
          <w:numId w:val="27"/>
        </w:numPr>
        <w:spacing w:line="240" w:lineRule="auto"/>
        <w:jc w:val="both"/>
        <w:rPr>
          <w:rFonts w:ascii="Times New Roman" w:hAnsi="Times New Roman"/>
          <w:sz w:val="24"/>
          <w:szCs w:val="24"/>
        </w:rPr>
      </w:pPr>
      <w:r w:rsidRPr="0083510D">
        <w:rPr>
          <w:rFonts w:ascii="Times New Roman" w:hAnsi="Times New Roman"/>
          <w:sz w:val="24"/>
          <w:szCs w:val="24"/>
        </w:rPr>
        <w:t xml:space="preserve">Lai noteiktu tiesisko regulējumu Covid-19 pandēmijas valsts apdraudējuma un tā seku novēršanas un pārvarēšanas pasākumiem laika posmam pēc ārkārtējās situācijas beigām, kamēr vien būs nepieciešami īpaši pasākumi un atbalsta mehānisms Covid-19 apdraudējuma un tā seku novēršanai, Saeimā 05.06.2020 apstiprināts „Covid-19 infekcijas izplatības seku pārvarēšanas likums. Noteikumu projekts “Noteikumi par atbalstu eksportējošiem nodokļu maksātājiem Covid-19 krīzes seku pārvarēšanai” nosaka kritērijus un kārtību, atbilstoši kurai eksportējošais krīzes skartais nodokļu maksātājs var pieteikties   atbalstam granta veidā darba samaksas  kompensēšanai Covid-19 krīzes seku pārvarēšanai.  </w:t>
      </w:r>
    </w:p>
    <w:p w14:paraId="0F55D7BC" w14:textId="4D65CF7B" w:rsidR="00431533" w:rsidRPr="00D51163" w:rsidRDefault="009362FA" w:rsidP="00D51163">
      <w:pPr>
        <w:pStyle w:val="ListParagraph"/>
        <w:numPr>
          <w:ilvl w:val="0"/>
          <w:numId w:val="6"/>
        </w:numPr>
        <w:spacing w:line="240" w:lineRule="auto"/>
        <w:ind w:left="0"/>
        <w:jc w:val="both"/>
        <w:rPr>
          <w:rFonts w:ascii="Times New Roman" w:hAnsi="Times New Roman"/>
          <w:sz w:val="24"/>
          <w:szCs w:val="24"/>
        </w:rPr>
      </w:pPr>
      <w:r w:rsidRPr="0083510D">
        <w:rPr>
          <w:rFonts w:ascii="Times New Roman" w:hAnsi="Times New Roman"/>
          <w:b/>
          <w:bCs/>
          <w:sz w:val="24"/>
          <w:szCs w:val="24"/>
        </w:rPr>
        <w:t>Lai nodrošinātu koordinētu transporta un loģistikas nozares</w:t>
      </w:r>
      <w:r w:rsidRPr="0083510D">
        <w:rPr>
          <w:rFonts w:ascii="Times New Roman" w:hAnsi="Times New Roman"/>
          <w:sz w:val="24"/>
          <w:szCs w:val="24"/>
        </w:rPr>
        <w:t xml:space="preserve"> eksporta pakalpojumu virzību starptautiskā tirgū, Latvijas iekļaušanos mūsdienīgās globālās piegādes ķēdēs ir izveidots vienots transporta un loģistikas nozares zīmols VIA LATVIA, kas sniedz potenciāliem Latvijas tranzīta koridora klientiem ikdienas informatīvo atbalstu par Latvijas transporta un loģistikas pakalpojumiem</w:t>
      </w:r>
      <w:r w:rsidR="00D51163">
        <w:rPr>
          <w:rFonts w:ascii="Times New Roman" w:hAnsi="Times New Roman"/>
          <w:sz w:val="24"/>
          <w:szCs w:val="24"/>
        </w:rPr>
        <w:t>.</w:t>
      </w:r>
    </w:p>
    <w:p w14:paraId="2C170A42" w14:textId="6694383D" w:rsidR="00DF336B" w:rsidRPr="0083510D" w:rsidRDefault="00C910ED" w:rsidP="00C568D4">
      <w:pPr>
        <w:pStyle w:val="Heading2"/>
        <w:shd w:val="clear" w:color="auto" w:fill="1DA0A7"/>
        <w:tabs>
          <w:tab w:val="left" w:pos="5723"/>
        </w:tabs>
        <w:spacing w:before="0"/>
        <w:rPr>
          <w:rFonts w:cs="Times New Roman"/>
          <w:b/>
          <w:color w:val="FFFFFF" w:themeColor="background1"/>
        </w:rPr>
      </w:pPr>
      <w:bookmarkStart w:id="18" w:name="_Toc47359876"/>
      <w:bookmarkEnd w:id="17"/>
      <w:r w:rsidRPr="0083510D">
        <w:rPr>
          <w:rFonts w:cs="Times New Roman"/>
          <w:b/>
          <w:color w:val="FFFFFF" w:themeColor="background1"/>
        </w:rPr>
        <w:t>3.</w:t>
      </w:r>
      <w:r w:rsidR="00746B60" w:rsidRPr="0083510D">
        <w:rPr>
          <w:rFonts w:cs="Times New Roman"/>
          <w:b/>
          <w:bCs/>
          <w:color w:val="FFFFFF" w:themeColor="background1"/>
        </w:rPr>
        <w:t>2</w:t>
      </w:r>
      <w:r w:rsidRPr="0083510D">
        <w:rPr>
          <w:rFonts w:cs="Times New Roman"/>
          <w:b/>
          <w:color w:val="FFFFFF" w:themeColor="background1"/>
        </w:rPr>
        <w:t xml:space="preserve">. </w:t>
      </w:r>
      <w:r w:rsidR="00FF5AEB" w:rsidRPr="0083510D">
        <w:rPr>
          <w:rFonts w:cs="Times New Roman"/>
          <w:b/>
          <w:color w:val="FFFFFF" w:themeColor="background1"/>
        </w:rPr>
        <w:t>Ārvalstu investīciju piesaistes mērķa nozares</w:t>
      </w:r>
      <w:bookmarkEnd w:id="18"/>
      <w:r w:rsidR="00FF5AEB" w:rsidRPr="0083510D">
        <w:rPr>
          <w:rFonts w:cs="Times New Roman"/>
        </w:rPr>
        <w:tab/>
      </w:r>
    </w:p>
    <w:p w14:paraId="418B4B3D" w14:textId="2EAAC370" w:rsidR="00F1454F" w:rsidRPr="0083510D" w:rsidRDefault="00DF336B" w:rsidP="00431533">
      <w:pPr>
        <w:ind w:firstLine="360"/>
        <w:jc w:val="both"/>
        <w:rPr>
          <w:rFonts w:cs="Times New Roman"/>
          <w:sz w:val="24"/>
          <w:szCs w:val="24"/>
        </w:rPr>
      </w:pPr>
      <w:r w:rsidRPr="0083510D">
        <w:rPr>
          <w:rFonts w:cs="Times New Roman"/>
          <w:sz w:val="24"/>
          <w:szCs w:val="24"/>
        </w:rPr>
        <w:t xml:space="preserve">Pamatnostādņu izstrādē definētas prioritārās nozares un mērķa valstis investīciju piesaistē, ņemot vērā Latvijas ģeogrāfisko novietojumu, pieejamos resursus, darbaspēka kvalifikāciju, esošās </w:t>
      </w:r>
      <w:r w:rsidRPr="0083510D">
        <w:rPr>
          <w:rFonts w:cs="Times New Roman"/>
          <w:sz w:val="24"/>
          <w:szCs w:val="24"/>
        </w:rPr>
        <w:lastRenderedPageBreak/>
        <w:t xml:space="preserve">konkurences priekšrocības, kā arī nozaru izaugsmes potenciālu. </w:t>
      </w:r>
      <w:r w:rsidR="00AE505F" w:rsidRPr="0083510D">
        <w:rPr>
          <w:rFonts w:cs="Times New Roman"/>
          <w:sz w:val="24"/>
          <w:szCs w:val="24"/>
        </w:rPr>
        <w:t>Mērķa nozares, kurās pamatā tiek īstenotas ārvalstu investīciju piesaistes aktivitātes, apkopotas tabulā</w:t>
      </w:r>
      <w:r w:rsidR="00D047C8">
        <w:rPr>
          <w:rFonts w:cs="Times New Roman"/>
          <w:sz w:val="24"/>
          <w:szCs w:val="24"/>
        </w:rPr>
        <w:t>:</w:t>
      </w:r>
    </w:p>
    <w:p w14:paraId="67F0125D" w14:textId="77777777" w:rsidR="00CE7C7D" w:rsidRPr="0083510D" w:rsidRDefault="00CE7C7D" w:rsidP="00AF1826">
      <w:pPr>
        <w:ind w:firstLine="360"/>
        <w:jc w:val="both"/>
        <w:rPr>
          <w:rFonts w:cs="Times New Roman"/>
          <w:sz w:val="24"/>
          <w:szCs w:val="24"/>
        </w:rPr>
      </w:pPr>
    </w:p>
    <w:tbl>
      <w:tblPr>
        <w:tblStyle w:val="TableGrid"/>
        <w:tblW w:w="0" w:type="auto"/>
        <w:jc w:val="center"/>
        <w:tblLook w:val="04A0" w:firstRow="1" w:lastRow="0" w:firstColumn="1" w:lastColumn="0" w:noHBand="0" w:noVBand="1"/>
      </w:tblPr>
      <w:tblGrid>
        <w:gridCol w:w="5807"/>
      </w:tblGrid>
      <w:tr w:rsidR="00AE505F" w:rsidRPr="0083510D" w14:paraId="38E1E03B" w14:textId="77777777" w:rsidTr="004D19E8">
        <w:trPr>
          <w:jc w:val="center"/>
        </w:trPr>
        <w:tc>
          <w:tcPr>
            <w:tcW w:w="5807" w:type="dxa"/>
            <w:shd w:val="clear" w:color="auto" w:fill="9CC2E5" w:themeFill="accent1" w:themeFillTint="99"/>
          </w:tcPr>
          <w:p w14:paraId="7FFD70EB" w14:textId="77777777" w:rsidR="00AE505F" w:rsidRPr="0083510D" w:rsidRDefault="00AE505F" w:rsidP="00AF1826">
            <w:pPr>
              <w:ind w:firstLine="360"/>
              <w:jc w:val="both"/>
              <w:rPr>
                <w:rFonts w:cs="Times New Roman"/>
                <w:sz w:val="24"/>
                <w:szCs w:val="24"/>
              </w:rPr>
            </w:pPr>
            <w:r w:rsidRPr="0083510D">
              <w:rPr>
                <w:rFonts w:cs="Times New Roman"/>
                <w:sz w:val="24"/>
                <w:szCs w:val="24"/>
              </w:rPr>
              <w:t>ĀTI mērķa nozares</w:t>
            </w:r>
          </w:p>
        </w:tc>
      </w:tr>
      <w:tr w:rsidR="00AE505F" w:rsidRPr="0083510D" w14:paraId="424808C1" w14:textId="77777777" w:rsidTr="004D19E8">
        <w:trPr>
          <w:jc w:val="center"/>
        </w:trPr>
        <w:tc>
          <w:tcPr>
            <w:tcW w:w="5807" w:type="dxa"/>
            <w:shd w:val="clear" w:color="auto" w:fill="DEEAF6" w:themeFill="accent1" w:themeFillTint="33"/>
          </w:tcPr>
          <w:p w14:paraId="4C6410D3" w14:textId="77777777" w:rsidR="00AE505F" w:rsidRPr="0083510D" w:rsidRDefault="00AE505F" w:rsidP="00AF1826">
            <w:pPr>
              <w:ind w:firstLine="360"/>
              <w:jc w:val="both"/>
              <w:rPr>
                <w:rFonts w:cs="Times New Roman"/>
                <w:sz w:val="24"/>
                <w:szCs w:val="24"/>
              </w:rPr>
            </w:pPr>
            <w:r w:rsidRPr="0083510D">
              <w:rPr>
                <w:rFonts w:cs="Times New Roman"/>
                <w:sz w:val="24"/>
                <w:szCs w:val="24"/>
              </w:rPr>
              <w:t>Metālapstrāde un mašīnbūve</w:t>
            </w:r>
            <w:r w:rsidR="00975DB9" w:rsidRPr="0083510D">
              <w:rPr>
                <w:rFonts w:cs="Times New Roman"/>
                <w:sz w:val="24"/>
                <w:szCs w:val="24"/>
              </w:rPr>
              <w:t xml:space="preserve"> (t.sk. elektronikas un optisko iekārtu ražošana)</w:t>
            </w:r>
          </w:p>
          <w:p w14:paraId="35E63CE1" w14:textId="77777777" w:rsidR="00AE505F" w:rsidRPr="0083510D" w:rsidRDefault="00AE505F" w:rsidP="00AF1826">
            <w:pPr>
              <w:ind w:firstLine="360"/>
              <w:jc w:val="both"/>
              <w:rPr>
                <w:rFonts w:cs="Times New Roman"/>
                <w:sz w:val="24"/>
                <w:szCs w:val="24"/>
              </w:rPr>
            </w:pPr>
            <w:r w:rsidRPr="0083510D">
              <w:rPr>
                <w:rFonts w:cs="Times New Roman"/>
                <w:sz w:val="24"/>
                <w:szCs w:val="24"/>
              </w:rPr>
              <w:t>Transports un loģistika</w:t>
            </w:r>
          </w:p>
          <w:p w14:paraId="5CBA4F7D" w14:textId="77777777" w:rsidR="00AE505F" w:rsidRPr="0083510D" w:rsidRDefault="00AE505F" w:rsidP="00AF1826">
            <w:pPr>
              <w:ind w:firstLine="360"/>
              <w:jc w:val="both"/>
              <w:rPr>
                <w:rFonts w:cs="Times New Roman"/>
                <w:sz w:val="24"/>
                <w:szCs w:val="24"/>
              </w:rPr>
            </w:pPr>
            <w:r w:rsidRPr="0083510D">
              <w:rPr>
                <w:rFonts w:cs="Times New Roman"/>
                <w:sz w:val="24"/>
                <w:szCs w:val="24"/>
              </w:rPr>
              <w:t>Informācijas tehnoloģijas un pakalpojumu biroji</w:t>
            </w:r>
          </w:p>
          <w:p w14:paraId="728860BF" w14:textId="77777777" w:rsidR="00AE505F" w:rsidRPr="0083510D" w:rsidRDefault="00AE505F" w:rsidP="00AF1826">
            <w:pPr>
              <w:ind w:firstLine="360"/>
              <w:jc w:val="both"/>
              <w:rPr>
                <w:rFonts w:cs="Times New Roman"/>
                <w:sz w:val="24"/>
                <w:szCs w:val="24"/>
              </w:rPr>
            </w:pPr>
            <w:r w:rsidRPr="0083510D">
              <w:rPr>
                <w:rFonts w:cs="Times New Roman"/>
                <w:sz w:val="24"/>
                <w:szCs w:val="24"/>
              </w:rPr>
              <w:t>Dzīvības zinātnes</w:t>
            </w:r>
          </w:p>
          <w:p w14:paraId="74F486A1" w14:textId="77777777" w:rsidR="00AE505F" w:rsidRPr="0083510D" w:rsidRDefault="00AE505F" w:rsidP="00AF1826">
            <w:pPr>
              <w:ind w:firstLine="360"/>
              <w:jc w:val="both"/>
              <w:rPr>
                <w:rFonts w:cs="Times New Roman"/>
                <w:sz w:val="24"/>
                <w:szCs w:val="24"/>
              </w:rPr>
            </w:pPr>
            <w:r w:rsidRPr="0083510D">
              <w:rPr>
                <w:rFonts w:cs="Times New Roman"/>
                <w:sz w:val="24"/>
                <w:szCs w:val="24"/>
              </w:rPr>
              <w:t>Veselības aprūpe</w:t>
            </w:r>
          </w:p>
          <w:p w14:paraId="63DDC972" w14:textId="77777777" w:rsidR="00AE505F" w:rsidRPr="0083510D" w:rsidRDefault="00AE505F" w:rsidP="00AF1826">
            <w:pPr>
              <w:ind w:firstLine="360"/>
              <w:jc w:val="both"/>
              <w:rPr>
                <w:rFonts w:cs="Times New Roman"/>
                <w:sz w:val="24"/>
                <w:szCs w:val="24"/>
              </w:rPr>
            </w:pPr>
            <w:r w:rsidRPr="0083510D">
              <w:rPr>
                <w:rFonts w:cs="Times New Roman"/>
                <w:sz w:val="24"/>
                <w:szCs w:val="24"/>
              </w:rPr>
              <w:t>Kokrūpniecība</w:t>
            </w:r>
          </w:p>
          <w:p w14:paraId="4E85F71A" w14:textId="77777777" w:rsidR="00AE505F" w:rsidRPr="0083510D" w:rsidRDefault="00AE505F" w:rsidP="00AF1826">
            <w:pPr>
              <w:ind w:firstLine="360"/>
              <w:jc w:val="both"/>
              <w:rPr>
                <w:rFonts w:cs="Times New Roman"/>
                <w:sz w:val="24"/>
                <w:szCs w:val="24"/>
              </w:rPr>
            </w:pPr>
            <w:r w:rsidRPr="0083510D">
              <w:rPr>
                <w:rFonts w:cs="Times New Roman"/>
                <w:sz w:val="24"/>
                <w:szCs w:val="24"/>
              </w:rPr>
              <w:t>Zaļās tehnoloģijas</w:t>
            </w:r>
          </w:p>
          <w:p w14:paraId="04656E60" w14:textId="77777777" w:rsidR="00AE505F" w:rsidRPr="0083510D" w:rsidRDefault="00AE505F" w:rsidP="00AF1826">
            <w:pPr>
              <w:ind w:firstLine="360"/>
              <w:jc w:val="both"/>
              <w:rPr>
                <w:rFonts w:cs="Times New Roman"/>
                <w:sz w:val="24"/>
                <w:szCs w:val="24"/>
              </w:rPr>
            </w:pPr>
            <w:r w:rsidRPr="0083510D">
              <w:rPr>
                <w:rFonts w:cs="Times New Roman"/>
                <w:sz w:val="24"/>
                <w:szCs w:val="24"/>
              </w:rPr>
              <w:t>Pārtikas rūpniecība</w:t>
            </w:r>
          </w:p>
        </w:tc>
      </w:tr>
    </w:tbl>
    <w:p w14:paraId="6084B093" w14:textId="77777777" w:rsidR="00CE7C7D" w:rsidRPr="0083510D" w:rsidRDefault="00CE7C7D" w:rsidP="00AF1826">
      <w:pPr>
        <w:ind w:firstLine="360"/>
        <w:jc w:val="both"/>
        <w:rPr>
          <w:rFonts w:cs="Times New Roman"/>
          <w:sz w:val="24"/>
          <w:szCs w:val="24"/>
        </w:rPr>
      </w:pPr>
    </w:p>
    <w:p w14:paraId="4AEC4036" w14:textId="3710C01F" w:rsidR="05A4B095" w:rsidRPr="0083510D" w:rsidRDefault="50A24FCF" w:rsidP="00AF1826">
      <w:pPr>
        <w:ind w:firstLine="360"/>
        <w:jc w:val="both"/>
        <w:rPr>
          <w:rFonts w:cs="Times New Roman"/>
          <w:sz w:val="24"/>
          <w:szCs w:val="24"/>
        </w:rPr>
      </w:pPr>
      <w:r w:rsidRPr="0083510D">
        <w:rPr>
          <w:rFonts w:cs="Times New Roman"/>
          <w:sz w:val="24"/>
          <w:szCs w:val="24"/>
        </w:rPr>
        <w:t xml:space="preserve">2019.gadā uzkrātais ārvalstu investīciju apjoms Latvijā  sasniedzis 16,3 miljardus eiro jeb vairāk nekā pusi valsts iekšzemes kopprodukta. </w:t>
      </w:r>
    </w:p>
    <w:p w14:paraId="00FADC36" w14:textId="4D35CC0F" w:rsidR="05A4B095" w:rsidRPr="0083510D" w:rsidRDefault="50A24FCF" w:rsidP="00AF1826">
      <w:pPr>
        <w:ind w:firstLine="360"/>
        <w:jc w:val="both"/>
        <w:rPr>
          <w:rFonts w:cs="Times New Roman"/>
          <w:sz w:val="24"/>
          <w:szCs w:val="24"/>
        </w:rPr>
      </w:pPr>
      <w:r w:rsidRPr="0083510D">
        <w:rPr>
          <w:rFonts w:cs="Times New Roman"/>
          <w:sz w:val="24"/>
          <w:szCs w:val="24"/>
        </w:rPr>
        <w:t>Saskaņā ar Ārvalstu investoru padomes (FICIL) analīzi</w:t>
      </w:r>
      <w:hyperlink r:id="rId29">
        <w:r w:rsidRPr="0083510D">
          <w:rPr>
            <w:rFonts w:cs="Times New Roman"/>
          </w:rPr>
          <w:t>[1]</w:t>
        </w:r>
      </w:hyperlink>
      <w:r w:rsidRPr="0083510D">
        <w:rPr>
          <w:rFonts w:cs="Times New Roman"/>
          <w:sz w:val="24"/>
          <w:szCs w:val="24"/>
        </w:rPr>
        <w:t>, Latvijā 3210 uzņēmumi jeb aptuveni 1/7 daļa no kopējā uzņēmumu skaita ir tādi, kuros ārvalstu  kapitāls sastāda vairāk nekā 50%. Šo uzņēmumu kopējais apgrozījums ir aptuveni 145 tūkstoši eiro un tas sastāda 38% no kopējā apgrozījuma. No visa iekasēto nodokļu apjoma 36% gūti no uzņēmumiem ar ārvalstu kapitāla daļu virs 50%, tajā skaitā 27% no kopējā sociālā nodokļa apjoma.  Šādos uzņēmumos nodarbināts 21% no visiem strādājošajiem un to gūtā peļņa sastāda aptuveni 30% no kopējās gūtās peļņas.</w:t>
      </w:r>
    </w:p>
    <w:p w14:paraId="68E0E8F8" w14:textId="704AFFEF" w:rsidR="05A4B095" w:rsidRPr="0083510D" w:rsidRDefault="50A24FCF" w:rsidP="00AF1826">
      <w:pPr>
        <w:ind w:firstLine="360"/>
        <w:jc w:val="both"/>
        <w:rPr>
          <w:rFonts w:cs="Times New Roman"/>
          <w:sz w:val="24"/>
          <w:szCs w:val="24"/>
        </w:rPr>
      </w:pPr>
      <w:r w:rsidRPr="0083510D">
        <w:rPr>
          <w:rFonts w:cs="Times New Roman"/>
          <w:sz w:val="24"/>
          <w:szCs w:val="24"/>
        </w:rPr>
        <w:t xml:space="preserve">Balstoties uz FICIL veikto analīzi 2018. un 2019.gadā Latvija ir piesaistījusi 1,1 miljardu eiro. Abās kaimiņvalstīs kapitāla piesaiste 2018.gadā un 2019.gadā bijusi  intensīvāka – Igaunija piesaistījusi 3,1 miljardu eiro un Lietuva 2,7 miljardus eiro, uzkrāto investīciju apjoms kaimiņvalstīs ir attiecīgi 25,7 miljardi eiro un 20,4 miljardi eiro. </w:t>
      </w:r>
    </w:p>
    <w:p w14:paraId="6EE14FAF" w14:textId="6318CE8F" w:rsidR="05A4B095" w:rsidRPr="0083510D" w:rsidRDefault="50A24FCF" w:rsidP="00AF1826">
      <w:pPr>
        <w:ind w:firstLine="360"/>
        <w:jc w:val="both"/>
        <w:rPr>
          <w:rFonts w:cs="Times New Roman"/>
          <w:sz w:val="24"/>
          <w:szCs w:val="24"/>
        </w:rPr>
      </w:pPr>
      <w:r w:rsidRPr="0083510D">
        <w:rPr>
          <w:rFonts w:cs="Times New Roman"/>
          <w:sz w:val="24"/>
          <w:szCs w:val="24"/>
        </w:rPr>
        <w:t>Ja salīdzinājumu starp Baltijas valstīm veic, ņemot vērā kopējo ekonomikas apjomu un iedzīvotāju skaitu katrā valstī, tad Latvija šobrīd apsteidz Lietuvu, bet ir sasniegusi tikai aptuveni pusi no Igaunijas līmeņa. Tas parāda, ka Latvijai vēl piemīt neizmantots potenciāls investīciju piesaistē.</w:t>
      </w:r>
    </w:p>
    <w:p w14:paraId="29FC8D7C" w14:textId="5DE6BC50" w:rsidR="05A4B095" w:rsidRPr="0083510D" w:rsidRDefault="50A24FCF" w:rsidP="00AF1826">
      <w:pPr>
        <w:ind w:firstLine="360"/>
        <w:jc w:val="both"/>
        <w:rPr>
          <w:rFonts w:cs="Times New Roman"/>
          <w:sz w:val="24"/>
          <w:szCs w:val="24"/>
        </w:rPr>
      </w:pPr>
      <w:r w:rsidRPr="0083510D">
        <w:rPr>
          <w:rFonts w:cs="Times New Roman"/>
          <w:sz w:val="24"/>
          <w:szCs w:val="24"/>
        </w:rPr>
        <w:t xml:space="preserve">Saskaņā ar Latvijas bankas datiem </w:t>
      </w:r>
      <w:hyperlink r:id="rId30">
        <w:r w:rsidRPr="0083510D">
          <w:rPr>
            <w:rFonts w:cs="Times New Roman"/>
          </w:rPr>
          <w:t>[2]</w:t>
        </w:r>
      </w:hyperlink>
      <w:r w:rsidRPr="0083510D">
        <w:rPr>
          <w:rFonts w:cs="Times New Roman"/>
          <w:sz w:val="24"/>
          <w:szCs w:val="24"/>
        </w:rPr>
        <w:t xml:space="preserve"> no kopējā Latvijā uzkrātā ārvalstu investīciju apjoma vairāk nekā divas trešdaļas jeb 72% ir ieguldīti piecās nozarēs – finanšu un apdrošināšanas pakalpojumos, tirdzniecībā, operācijās ar nekustamo īpašumu, apstrādes rūpniecībā, kā arī transportā un uzglabāšanā. Visās trijās Baltijas kaimiņvalstīs nozaru līderu saraksts ir līdzīgs. Salīdzinot vienas un tās pašas nozares Baltijas valstu starpā, Igaunija ir līdere vairumā pozīciju, tomēr pastāv arī tādas nozares, kurās Latvija ir piesaistījusi vairāk investīciju nekā kaimiņvalstis, – būvniecība, enerģētika, lauksaimniecība, ieguves rūpniecība un izklaide.</w:t>
      </w:r>
    </w:p>
    <w:p w14:paraId="60BB2FA0" w14:textId="40790729" w:rsidR="05A4B095" w:rsidRPr="0083510D" w:rsidRDefault="50A24FCF" w:rsidP="00DF74B9">
      <w:pPr>
        <w:ind w:firstLine="360"/>
        <w:jc w:val="both"/>
        <w:rPr>
          <w:rFonts w:cs="Times New Roman"/>
          <w:sz w:val="24"/>
          <w:szCs w:val="24"/>
        </w:rPr>
      </w:pPr>
      <w:r w:rsidRPr="0083510D">
        <w:rPr>
          <w:rFonts w:cs="Times New Roman"/>
          <w:sz w:val="24"/>
          <w:szCs w:val="24"/>
        </w:rPr>
        <w:t xml:space="preserve">Balstoties uz Latvijas bankas un datu bāzes Lursoft datiem </w:t>
      </w:r>
      <w:hyperlink r:id="rId31">
        <w:r w:rsidRPr="0083510D">
          <w:rPr>
            <w:rFonts w:cs="Times New Roman"/>
            <w:sz w:val="24"/>
            <w:szCs w:val="24"/>
          </w:rPr>
          <w:t>[3]</w:t>
        </w:r>
      </w:hyperlink>
      <w:r w:rsidRPr="0083510D">
        <w:rPr>
          <w:rFonts w:cs="Times New Roman"/>
          <w:sz w:val="24"/>
          <w:szCs w:val="24"/>
        </w:rPr>
        <w:t>ne tikai Latvijā, bet arī abās pārējās Baltijas valstīs lielākais investors ir Zviedrija. Salīdzinošo liels ieguldījumu apjoms Latvijā ir ienācis arī no investoriem, kuri pārstāv Krieviju, Igauniju, Nīderlandi un Kipru.</w:t>
      </w:r>
      <w:r w:rsidR="00DF74B9" w:rsidRPr="0083510D">
        <w:rPr>
          <w:rFonts w:cs="Times New Roman"/>
          <w:sz w:val="24"/>
          <w:szCs w:val="24"/>
        </w:rPr>
        <w:t xml:space="preserve"> Tāpat LIAA ir izstrādājusi stratēģiju diasporas iesaistē investīciju piesaistes procesos un izmanto šo kā papildus kanālu jaunu potenciālo investoru piesaistē.</w:t>
      </w:r>
    </w:p>
    <w:p w14:paraId="4C76C039" w14:textId="0BC77F3A" w:rsidR="05A4B095" w:rsidRPr="0083510D" w:rsidRDefault="000D3F91">
      <w:pPr>
        <w:spacing w:line="276" w:lineRule="auto"/>
        <w:jc w:val="both"/>
        <w:rPr>
          <w:rFonts w:cs="Times New Roman"/>
        </w:rPr>
      </w:pPr>
      <w:hyperlink r:id="rId32">
        <w:r w:rsidR="50A24FCF" w:rsidRPr="0083510D">
          <w:rPr>
            <w:rStyle w:val="Hyperlink"/>
            <w:rFonts w:eastAsia="Calibri" w:cs="Times New Roman"/>
            <w:color w:val="0000FF"/>
            <w:sz w:val="20"/>
            <w:szCs w:val="20"/>
          </w:rPr>
          <w:t>[1]</w:t>
        </w:r>
      </w:hyperlink>
      <w:r w:rsidR="50A24FCF" w:rsidRPr="0083510D">
        <w:rPr>
          <w:rFonts w:eastAsia="Calibri" w:cs="Times New Roman"/>
          <w:sz w:val="24"/>
          <w:szCs w:val="24"/>
        </w:rPr>
        <w:t xml:space="preserve"> </w:t>
      </w:r>
      <w:hyperlink r:id="rId33">
        <w:r w:rsidR="50A24FCF" w:rsidRPr="0083510D">
          <w:rPr>
            <w:rStyle w:val="Hyperlink"/>
            <w:rFonts w:eastAsia="Calibri" w:cs="Times New Roman"/>
            <w:sz w:val="24"/>
            <w:szCs w:val="24"/>
          </w:rPr>
          <w:t>https://www.ficil.lv/research/</w:t>
        </w:r>
      </w:hyperlink>
    </w:p>
    <w:p w14:paraId="34F7A830" w14:textId="38153D1E" w:rsidR="05A4B095" w:rsidRPr="0083510D" w:rsidRDefault="000D3F91">
      <w:pPr>
        <w:spacing w:line="276" w:lineRule="auto"/>
        <w:jc w:val="both"/>
        <w:rPr>
          <w:rFonts w:cs="Times New Roman"/>
        </w:rPr>
      </w:pPr>
      <w:hyperlink r:id="rId34">
        <w:r w:rsidR="50A24FCF" w:rsidRPr="0083510D">
          <w:rPr>
            <w:rStyle w:val="Hyperlink"/>
            <w:rFonts w:eastAsia="Calibri" w:cs="Times New Roman"/>
            <w:color w:val="0000FF"/>
            <w:sz w:val="20"/>
            <w:szCs w:val="20"/>
          </w:rPr>
          <w:t>[2]</w:t>
        </w:r>
      </w:hyperlink>
      <w:r w:rsidR="50A24FCF" w:rsidRPr="0083510D">
        <w:rPr>
          <w:rFonts w:eastAsia="Calibri" w:cs="Times New Roman"/>
          <w:sz w:val="24"/>
          <w:szCs w:val="24"/>
        </w:rPr>
        <w:t xml:space="preserve"> </w:t>
      </w:r>
      <w:hyperlink r:id="rId35">
        <w:r w:rsidR="50A24FCF" w:rsidRPr="0083510D">
          <w:rPr>
            <w:rStyle w:val="Hyperlink"/>
            <w:rFonts w:eastAsia="Calibri" w:cs="Times New Roman"/>
            <w:sz w:val="24"/>
            <w:szCs w:val="24"/>
          </w:rPr>
          <w:t>https://statdb.bank.lv/lb/Data.aspx?id=131</w:t>
        </w:r>
      </w:hyperlink>
    </w:p>
    <w:p w14:paraId="3F031B8B" w14:textId="33F31F37" w:rsidR="05A4B095" w:rsidRPr="0083510D" w:rsidRDefault="000D3F91">
      <w:pPr>
        <w:spacing w:line="276" w:lineRule="auto"/>
        <w:jc w:val="both"/>
        <w:rPr>
          <w:rStyle w:val="Hyperlink"/>
          <w:rFonts w:eastAsia="Calibri" w:cs="Times New Roman"/>
          <w:sz w:val="24"/>
          <w:szCs w:val="24"/>
        </w:rPr>
      </w:pPr>
      <w:hyperlink r:id="rId36">
        <w:r w:rsidR="50A24FCF" w:rsidRPr="0083510D">
          <w:rPr>
            <w:rStyle w:val="Hyperlink"/>
            <w:rFonts w:eastAsia="Calibri" w:cs="Times New Roman"/>
            <w:color w:val="0000FF"/>
            <w:sz w:val="20"/>
            <w:szCs w:val="20"/>
          </w:rPr>
          <w:t>[3]</w:t>
        </w:r>
      </w:hyperlink>
      <w:r w:rsidR="50A24FCF" w:rsidRPr="0083510D">
        <w:rPr>
          <w:rFonts w:eastAsia="Calibri" w:cs="Times New Roman"/>
          <w:sz w:val="24"/>
          <w:szCs w:val="24"/>
        </w:rPr>
        <w:t xml:space="preserve"> </w:t>
      </w:r>
      <w:hyperlink r:id="rId37">
        <w:r w:rsidR="50A24FCF" w:rsidRPr="0083510D">
          <w:rPr>
            <w:rStyle w:val="Hyperlink"/>
            <w:rFonts w:eastAsia="Calibri" w:cs="Times New Roman"/>
            <w:sz w:val="24"/>
            <w:szCs w:val="24"/>
          </w:rPr>
          <w:t>https://statistika.lursoft.lv/lv/statistika/arvalstu-ieguldijumi/</w:t>
        </w:r>
      </w:hyperlink>
    </w:p>
    <w:p w14:paraId="11015EDE" w14:textId="77777777" w:rsidR="00771B58" w:rsidRPr="0083510D" w:rsidRDefault="00771B58">
      <w:pPr>
        <w:spacing w:line="276" w:lineRule="auto"/>
        <w:jc w:val="both"/>
        <w:rPr>
          <w:rFonts w:cs="Times New Roman"/>
        </w:rPr>
      </w:pPr>
    </w:p>
    <w:p w14:paraId="4F20F0D1" w14:textId="7702BDD2" w:rsidR="00FF5AEB" w:rsidRPr="0083510D" w:rsidRDefault="00FF5AEB" w:rsidP="00C568D4">
      <w:pPr>
        <w:pStyle w:val="Heading2"/>
        <w:shd w:val="clear" w:color="auto" w:fill="1DA0A7"/>
        <w:tabs>
          <w:tab w:val="left" w:pos="5723"/>
        </w:tabs>
        <w:spacing w:before="0" w:line="276" w:lineRule="auto"/>
        <w:rPr>
          <w:rFonts w:cs="Times New Roman"/>
          <w:b/>
          <w:color w:val="FFFFFF" w:themeColor="background1"/>
        </w:rPr>
      </w:pPr>
      <w:bookmarkStart w:id="19" w:name="_Toc47359877"/>
      <w:r w:rsidRPr="0083510D">
        <w:rPr>
          <w:rFonts w:cs="Times New Roman"/>
          <w:b/>
          <w:color w:val="FFFFFF" w:themeColor="background1"/>
        </w:rPr>
        <w:t>3.</w:t>
      </w:r>
      <w:r w:rsidR="00746B60" w:rsidRPr="0083510D">
        <w:rPr>
          <w:rFonts w:cs="Times New Roman"/>
          <w:b/>
          <w:bCs/>
          <w:color w:val="FFFFFF" w:themeColor="background1"/>
        </w:rPr>
        <w:t>3</w:t>
      </w:r>
      <w:r w:rsidRPr="0083510D">
        <w:rPr>
          <w:rFonts w:cs="Times New Roman"/>
          <w:b/>
          <w:color w:val="FFFFFF" w:themeColor="background1"/>
        </w:rPr>
        <w:t>. Turpmākie rīcības virzieni ārvalstu tiešo investīciju piesaistē</w:t>
      </w:r>
      <w:bookmarkEnd w:id="19"/>
    </w:p>
    <w:p w14:paraId="3DC3559F" w14:textId="77777777" w:rsidR="00DE0F41" w:rsidRPr="0083510D" w:rsidRDefault="00DE0F41">
      <w:pPr>
        <w:rPr>
          <w:rFonts w:cs="Times New Roman"/>
          <w:sz w:val="8"/>
          <w:szCs w:val="8"/>
        </w:rPr>
      </w:pPr>
    </w:p>
    <w:p w14:paraId="28FF7C68" w14:textId="7E37C081" w:rsidR="00FF5AEB" w:rsidRPr="0083510D" w:rsidRDefault="7B4AE808" w:rsidP="00DF74B9">
      <w:pPr>
        <w:ind w:firstLine="360"/>
        <w:jc w:val="both"/>
        <w:rPr>
          <w:rFonts w:cs="Times New Roman"/>
          <w:sz w:val="24"/>
          <w:szCs w:val="24"/>
        </w:rPr>
      </w:pPr>
      <w:r w:rsidRPr="0083510D">
        <w:rPr>
          <w:rFonts w:cs="Times New Roman"/>
          <w:sz w:val="24"/>
          <w:szCs w:val="24"/>
        </w:rPr>
        <w:t>Primārie izaicinājumi ĀTI piesaistē ir saistīti ar:</w:t>
      </w:r>
    </w:p>
    <w:p w14:paraId="394E53FD" w14:textId="66DDFD3C" w:rsidR="00FF5AEB" w:rsidRPr="0083510D" w:rsidRDefault="7B4AE808" w:rsidP="00D047C8">
      <w:pPr>
        <w:ind w:firstLine="360"/>
        <w:jc w:val="both"/>
        <w:rPr>
          <w:rFonts w:cs="Times New Roman"/>
          <w:sz w:val="24"/>
          <w:szCs w:val="24"/>
        </w:rPr>
      </w:pPr>
      <w:r w:rsidRPr="0083510D">
        <w:rPr>
          <w:rFonts w:cs="Times New Roman"/>
          <w:sz w:val="24"/>
          <w:szCs w:val="24"/>
        </w:rPr>
        <w:t xml:space="preserve"> 1. Kvalificēta darbaspēka pieejamība ar atbilstošām zināšanām un prasmēm IT sektors, metālapstrāde un mašīnbūve, skandināvu valodu zināšanas. Lai veicinātu ārvalstu investoru piesaisti valstij, ir nepieciešams radīt pietiekami plašu instrumentu grozu, kas ārvalstu investoru piesaistē konkurētu ar citām valstīm. Viens no šādiem instrumentiem ir nepārtraukti pieejams atbalsts </w:t>
      </w:r>
      <w:r w:rsidRPr="0083510D">
        <w:rPr>
          <w:rFonts w:cs="Times New Roman"/>
          <w:sz w:val="24"/>
          <w:szCs w:val="24"/>
        </w:rPr>
        <w:lastRenderedPageBreak/>
        <w:t xml:space="preserve">nodarbināto apmācībām komersantiem jeb ieguldījumiem cilvēkkapitāla attīstībā. Iespējas iegūt kvalificētu darbaspēku ir viens no būtiskākajiem aspektiem, ko vērtē ārvalstu investori, izvēloties savu investīciju mērķa valsti. Ārvalstu investori ir ieinteresēti apmācībās, kur cita starpā tiem būtu iespējams saņemt lielāku atbalsta intensitāti, lai atbalstu padarītu pievilcīgāku investoriem, tādējādi veicinot ārvalstu investīciju piesaisti Latvijā. Kā vienu no kvalificēta darbaspēka piesaistes instrumentiem un ieguldījumiem cilvēkkapitāla attīstībā, LIAA jaunajiem ārvalstu investoriem piedāvās izmantot darbinieku apmācību MK 2016. gada 14. jūnija noteikumu Nr.365 “Darbības programmas "Izaugsme un nodarbinātība" 1.2.2.specifiskā atbalsta mērķa "Veicināt inovāciju ieviešanu komersantos" 1.2.2.3.pasākuma "Atbalsts IKT un netehnoloģiskām apmācībām, kā arī apmācībām, lai sekmētu investoru piesaisti" ietvaros. </w:t>
      </w:r>
    </w:p>
    <w:p w14:paraId="5F6AC9E6" w14:textId="307CC2CC" w:rsidR="00FF5AEB" w:rsidRPr="0083510D" w:rsidRDefault="7B4AE808" w:rsidP="00DF74B9">
      <w:pPr>
        <w:ind w:firstLine="360"/>
        <w:jc w:val="both"/>
        <w:rPr>
          <w:rFonts w:cs="Times New Roman"/>
          <w:sz w:val="24"/>
          <w:szCs w:val="24"/>
        </w:rPr>
      </w:pPr>
      <w:r w:rsidRPr="0083510D">
        <w:rPr>
          <w:rFonts w:cs="Times New Roman"/>
          <w:sz w:val="24"/>
          <w:szCs w:val="24"/>
        </w:rPr>
        <w:t xml:space="preserve">2. Lai attīstītu jaunu ražotņu, loģistikas centru, noliktavu un distribūcijas biznesu Latvijā, nepieciešams uzlabot komersantiem pieejamās infrastruktūras kvalitāti, jo īpaši attiecībā uz vietējas un reģionālas nozīmes ceļu un pašvaldību ielu stāvokli. Infrastruktūras attīstībā jomā primārais nosacījums kvalitatīva piedāvājuma veidošanai, būtu jāņem vērā arī darba spēka pieejamības aspekts, jo jau uz doto brīdi atsevišķos Latvijas reģionos ir novērojama situācija, kad neskatoties uz industriālo telpu pieejamību, cilvēku mobilitātes aspekts, liedz attiecīgajām teritorijām piesaistīt darba spēku, līdz ar to pēc būtības varam runāt arvien vairāk par to, ka darba ņēmēju diktāts (galvenie faktori, kas nosaka darba ņēmēju izvēli – atrašanās vieta, atalgojums, elastīgi darba apstākļi)  nosaka infrastruktūras atrašanās vietu un attīstības perspektīvas. </w:t>
      </w:r>
    </w:p>
    <w:p w14:paraId="26BB70A3" w14:textId="1B5F03E4" w:rsidR="00FF5AEB" w:rsidRPr="0083510D" w:rsidRDefault="7B4AE808" w:rsidP="00DF74B9">
      <w:pPr>
        <w:ind w:firstLine="360"/>
        <w:jc w:val="both"/>
        <w:rPr>
          <w:rFonts w:cs="Times New Roman"/>
          <w:sz w:val="24"/>
          <w:szCs w:val="24"/>
        </w:rPr>
      </w:pPr>
      <w:r w:rsidRPr="0083510D">
        <w:rPr>
          <w:rFonts w:cs="Times New Roman"/>
          <w:sz w:val="24"/>
          <w:szCs w:val="24"/>
        </w:rPr>
        <w:t xml:space="preserve">3. Lai nodrošinātu kvalitatīvu ienākošo ārvalstu investīciju apkalpošanu, arvien būtiskāku lomu </w:t>
      </w:r>
      <w:r w:rsidR="00D047C8">
        <w:rPr>
          <w:rFonts w:cs="Times New Roman"/>
          <w:sz w:val="24"/>
          <w:szCs w:val="24"/>
        </w:rPr>
        <w:t xml:space="preserve">iegūst </w:t>
      </w:r>
      <w:r w:rsidRPr="0083510D">
        <w:rPr>
          <w:rFonts w:cs="Times New Roman"/>
          <w:sz w:val="24"/>
          <w:szCs w:val="24"/>
        </w:rPr>
        <w:t>finanšu sektors un ar to saistītie izaicinājumi, kas būtiski ietekmē investīciju projektu īstenošanu un samazina Latvijas konkurētspēju salīdzinājumā ar citām Eiropas savienības dalībvalstīm. Galvenie problēmjautājumi ir saistīti ar:</w:t>
      </w:r>
    </w:p>
    <w:p w14:paraId="5206F841" w14:textId="44EAFB5E" w:rsidR="00FF5AEB" w:rsidRPr="0083510D" w:rsidRDefault="7B4AE808" w:rsidP="00DF74B9">
      <w:pPr>
        <w:ind w:firstLine="360"/>
        <w:jc w:val="both"/>
        <w:rPr>
          <w:rFonts w:cs="Times New Roman"/>
          <w:sz w:val="24"/>
          <w:szCs w:val="24"/>
        </w:rPr>
      </w:pPr>
      <w:r w:rsidRPr="0083510D">
        <w:rPr>
          <w:rFonts w:cs="Times New Roman"/>
          <w:sz w:val="24"/>
          <w:szCs w:val="24"/>
        </w:rPr>
        <w:t>1)  bankas kontu atvēršanas procedūrām, kas ir saistīti ar jaunu uzņēmumu dibināšanu Latvijā investīciju projektu īstenošanu (lēmuma pieņemšanas ilgums var sasniegt pat divus mēnešus);</w:t>
      </w:r>
    </w:p>
    <w:p w14:paraId="3FB6E9E6" w14:textId="08748A9C" w:rsidR="00FF5AEB" w:rsidRPr="0083510D" w:rsidRDefault="7B4AE808" w:rsidP="00DF74B9">
      <w:pPr>
        <w:ind w:firstLine="360"/>
        <w:jc w:val="both"/>
        <w:rPr>
          <w:rFonts w:cs="Times New Roman"/>
          <w:sz w:val="24"/>
          <w:szCs w:val="24"/>
        </w:rPr>
      </w:pPr>
      <w:r w:rsidRPr="0083510D">
        <w:rPr>
          <w:rFonts w:cs="Times New Roman"/>
          <w:sz w:val="24"/>
          <w:szCs w:val="24"/>
        </w:rPr>
        <w:t>2) esošo klientu kontu aizvēršana, kuru primārā darbība ir vērsta uz preču un pakalpojumu eksportu.</w:t>
      </w:r>
    </w:p>
    <w:p w14:paraId="370B9BE7" w14:textId="07F0A0E4" w:rsidR="00EC2728" w:rsidRPr="00EC2728" w:rsidRDefault="7B4AE808" w:rsidP="00EC2728">
      <w:pPr>
        <w:ind w:firstLine="360"/>
        <w:jc w:val="both"/>
        <w:rPr>
          <w:rFonts w:cs="Times New Roman"/>
          <w:sz w:val="24"/>
          <w:szCs w:val="24"/>
        </w:rPr>
      </w:pPr>
      <w:r w:rsidRPr="0083510D">
        <w:rPr>
          <w:rFonts w:cs="Times New Roman"/>
          <w:sz w:val="24"/>
          <w:szCs w:val="24"/>
        </w:rPr>
        <w:t xml:space="preserve">4. Kā vēl viens ierobežojošais faktors, ir Eiropas Savienības struktūrfondu līdzekļu un valsts atbalsta instrumentu nepietiekama pieejamība salīdzinājumā ar tādām valstīm kā Lietuva, Slovākija, Čehija, </w:t>
      </w:r>
      <w:r w:rsidR="00EC2728">
        <w:rPr>
          <w:rFonts w:cs="Times New Roman"/>
          <w:sz w:val="24"/>
          <w:szCs w:val="24"/>
        </w:rPr>
        <w:t>kur</w:t>
      </w:r>
      <w:r w:rsidRPr="0083510D">
        <w:rPr>
          <w:rFonts w:cs="Times New Roman"/>
          <w:sz w:val="24"/>
          <w:szCs w:val="24"/>
        </w:rPr>
        <w:t xml:space="preserve"> tiek sniegts atbalsts ieguldījumiem</w:t>
      </w:r>
      <w:r w:rsidR="00EC2728">
        <w:rPr>
          <w:rFonts w:cs="Times New Roman"/>
          <w:sz w:val="24"/>
          <w:szCs w:val="24"/>
        </w:rPr>
        <w:t xml:space="preserve"> </w:t>
      </w:r>
      <w:r w:rsidRPr="0083510D">
        <w:rPr>
          <w:rFonts w:cs="Times New Roman"/>
          <w:sz w:val="24"/>
          <w:szCs w:val="24"/>
        </w:rPr>
        <w:t>būvniecībā, rekonstrukcijā un ilgtermiņa aktīvos. Vērtējot citu Baltijas jūras reģiona valstu piedāvājumus, viens no būtiskākajiem trūkumiem Latvijas piedāvājumā ārvalstu investoriem, ir konkurētspējīga atbalsta instrumentu trūkums, kas paredzētu atbalsta sniegšanu granta maksājuma veidā, ņemot vērā jaunradīto darba vietu skaitu, investīciju apjomu un ieguldījumus pētniecībā un attīstībā.</w:t>
      </w:r>
    </w:p>
    <w:p w14:paraId="72FA508A" w14:textId="77777777" w:rsidR="00EC2728" w:rsidRDefault="00EC2728" w:rsidP="0069767E">
      <w:pPr>
        <w:ind w:firstLine="360"/>
        <w:jc w:val="both"/>
        <w:rPr>
          <w:rFonts w:eastAsia="Times New Roman" w:cs="Times New Roman"/>
          <w:sz w:val="24"/>
          <w:szCs w:val="24"/>
        </w:rPr>
      </w:pPr>
    </w:p>
    <w:p w14:paraId="169B7993" w14:textId="5368B526" w:rsidR="00E85906" w:rsidRPr="0083510D" w:rsidRDefault="57AE79EE" w:rsidP="0069767E">
      <w:pPr>
        <w:ind w:firstLine="360"/>
        <w:jc w:val="both"/>
        <w:rPr>
          <w:rFonts w:cs="Times New Roman"/>
          <w:color w:val="000000" w:themeColor="text1"/>
          <w:sz w:val="24"/>
          <w:szCs w:val="24"/>
        </w:rPr>
      </w:pPr>
      <w:r w:rsidRPr="0083510D">
        <w:rPr>
          <w:rFonts w:eastAsia="Times New Roman" w:cs="Times New Roman"/>
          <w:sz w:val="24"/>
          <w:szCs w:val="24"/>
        </w:rPr>
        <w:t>Attiecībā uz vēlamo ārvalstu investoru profilu, būtu atzīmējams ka primārais fokuss ir vērsts uz tādu klientu piesaisti, kurus raksturo stabils finanšu stāvoklis, tas ir bāzēts ES, NATO un OECD dalībvalstīs un tam nav identificēti reputācijas riski līdzšinējā darbībā. Investīciju projektiem, kuru izcelsmes valsts nav ES, NATO vai OECD dalībvalsts vai</w:t>
      </w:r>
      <w:r w:rsidRPr="0083510D">
        <w:rPr>
          <w:rFonts w:eastAsia="Times New Roman" w:cs="Times New Roman"/>
          <w:color w:val="008080"/>
          <w:sz w:val="24"/>
          <w:szCs w:val="24"/>
          <w:u w:val="single"/>
        </w:rPr>
        <w:t>,</w:t>
      </w:r>
      <w:r w:rsidRPr="0083510D">
        <w:rPr>
          <w:rFonts w:eastAsia="Times New Roman" w:cs="Times New Roman"/>
          <w:sz w:val="24"/>
          <w:szCs w:val="24"/>
        </w:rPr>
        <w:t xml:space="preserve"> kas skar Nacionālās drošības likumā noteiktos sektorus </w:t>
      </w:r>
      <w:r w:rsidR="593E71A7" w:rsidRPr="0083510D">
        <w:rPr>
          <w:rFonts w:eastAsia="Times New Roman" w:cs="Times New Roman"/>
          <w:sz w:val="24"/>
          <w:szCs w:val="24"/>
        </w:rPr>
        <w:t>īstenojama individuāla pieeja attiecībā gan uz sektoriem, gan proaktīvās darbības intensitāti.</w:t>
      </w:r>
    </w:p>
    <w:p w14:paraId="383E5D87" w14:textId="41A0B0EF" w:rsidR="4FC31103" w:rsidRPr="0083510D" w:rsidRDefault="4FC31103">
      <w:pPr>
        <w:ind w:firstLine="511"/>
        <w:jc w:val="both"/>
        <w:rPr>
          <w:rFonts w:eastAsia="Times New Roman" w:cs="Times New Roman"/>
          <w:color w:val="0D0D0D" w:themeColor="text1" w:themeTint="F2"/>
          <w:sz w:val="24"/>
          <w:szCs w:val="24"/>
        </w:rPr>
      </w:pPr>
      <w:r w:rsidRPr="0083510D">
        <w:rPr>
          <w:rFonts w:eastAsia="Times New Roman" w:cs="Times New Roman"/>
          <w:color w:val="0D0D0D" w:themeColor="text1" w:themeTint="F2"/>
          <w:sz w:val="24"/>
          <w:szCs w:val="24"/>
        </w:rPr>
        <w:t>Potenciālo investoru investīciju projekti/ieguldījumi  būtu vērtējami novērtējot, vai ieguldījumi ir saistīti ar</w:t>
      </w:r>
      <w:r w:rsidR="003E48E7" w:rsidRPr="0083510D">
        <w:rPr>
          <w:rFonts w:eastAsia="Times New Roman" w:cs="Times New Roman"/>
          <w:color w:val="0D0D0D" w:themeColor="text1" w:themeTint="F2"/>
          <w:sz w:val="24"/>
          <w:szCs w:val="24"/>
        </w:rPr>
        <w:t>:</w:t>
      </w:r>
    </w:p>
    <w:p w14:paraId="1B2550CD" w14:textId="62F580DC" w:rsidR="4FC31103" w:rsidRPr="0083510D" w:rsidRDefault="4FC31103" w:rsidP="003E48E7">
      <w:pPr>
        <w:pStyle w:val="ListParagraph"/>
        <w:numPr>
          <w:ilvl w:val="0"/>
          <w:numId w:val="24"/>
        </w:numPr>
        <w:spacing w:line="240" w:lineRule="auto"/>
        <w:ind w:left="0"/>
        <w:jc w:val="both"/>
        <w:rPr>
          <w:rFonts w:ascii="Times New Roman" w:eastAsia="Times New Roman" w:hAnsi="Times New Roman"/>
          <w:color w:val="0D0D0D" w:themeColor="text1" w:themeTint="F2"/>
          <w:sz w:val="24"/>
          <w:szCs w:val="24"/>
        </w:rPr>
      </w:pPr>
      <w:r w:rsidRPr="0083510D">
        <w:rPr>
          <w:rFonts w:ascii="Times New Roman" w:eastAsia="Times New Roman" w:hAnsi="Times New Roman"/>
          <w:color w:val="0D0D0D" w:themeColor="text1" w:themeTint="F2"/>
          <w:sz w:val="24"/>
          <w:szCs w:val="24"/>
        </w:rPr>
        <w:t xml:space="preserve">Inovācijām  </w:t>
      </w:r>
    </w:p>
    <w:p w14:paraId="2C32DD1E" w14:textId="3AF74E76" w:rsidR="4FC31103" w:rsidRPr="0083510D" w:rsidRDefault="4FC31103" w:rsidP="003E48E7">
      <w:pPr>
        <w:pStyle w:val="ListParagraph"/>
        <w:numPr>
          <w:ilvl w:val="0"/>
          <w:numId w:val="24"/>
        </w:numPr>
        <w:spacing w:line="240" w:lineRule="auto"/>
        <w:ind w:left="0"/>
        <w:jc w:val="both"/>
        <w:rPr>
          <w:rFonts w:ascii="Times New Roman" w:eastAsia="Times New Roman" w:hAnsi="Times New Roman"/>
          <w:color w:val="0D0D0D" w:themeColor="text1" w:themeTint="F2"/>
          <w:sz w:val="24"/>
          <w:szCs w:val="24"/>
        </w:rPr>
      </w:pPr>
      <w:r w:rsidRPr="0083510D">
        <w:rPr>
          <w:rFonts w:ascii="Times New Roman" w:eastAsia="Times New Roman" w:hAnsi="Times New Roman"/>
          <w:color w:val="0D0D0D" w:themeColor="text1" w:themeTint="F2"/>
          <w:sz w:val="24"/>
          <w:szCs w:val="24"/>
        </w:rPr>
        <w:t xml:space="preserve">Preču un pakalpojumu eksportu </w:t>
      </w:r>
    </w:p>
    <w:p w14:paraId="58D2780A" w14:textId="08DBA8C3" w:rsidR="4FC31103" w:rsidRPr="0083510D" w:rsidRDefault="4FC31103" w:rsidP="003E48E7">
      <w:pPr>
        <w:pStyle w:val="ListParagraph"/>
        <w:numPr>
          <w:ilvl w:val="0"/>
          <w:numId w:val="24"/>
        </w:numPr>
        <w:spacing w:line="240" w:lineRule="auto"/>
        <w:ind w:left="0"/>
        <w:jc w:val="both"/>
        <w:rPr>
          <w:rFonts w:ascii="Times New Roman" w:eastAsia="Times New Roman" w:hAnsi="Times New Roman"/>
          <w:color w:val="0D0D0D" w:themeColor="text1" w:themeTint="F2"/>
          <w:sz w:val="24"/>
          <w:szCs w:val="24"/>
        </w:rPr>
      </w:pPr>
      <w:r w:rsidRPr="0083510D">
        <w:rPr>
          <w:rFonts w:ascii="Times New Roman" w:eastAsia="Times New Roman" w:hAnsi="Times New Roman"/>
          <w:color w:val="0D0D0D" w:themeColor="text1" w:themeTint="F2"/>
          <w:sz w:val="24"/>
          <w:szCs w:val="24"/>
        </w:rPr>
        <w:t xml:space="preserve">Ieguldījumiem infrastruktūrā    </w:t>
      </w:r>
    </w:p>
    <w:p w14:paraId="613A8302" w14:textId="6D260CA2" w:rsidR="4FC31103" w:rsidRPr="0083510D" w:rsidRDefault="4FC31103" w:rsidP="003E48E7">
      <w:pPr>
        <w:pStyle w:val="ListParagraph"/>
        <w:numPr>
          <w:ilvl w:val="0"/>
          <w:numId w:val="24"/>
        </w:numPr>
        <w:spacing w:line="240" w:lineRule="auto"/>
        <w:ind w:left="0"/>
        <w:jc w:val="both"/>
        <w:rPr>
          <w:rFonts w:ascii="Times New Roman" w:eastAsia="Times New Roman" w:hAnsi="Times New Roman"/>
          <w:color w:val="0D0D0D" w:themeColor="text1" w:themeTint="F2"/>
          <w:sz w:val="24"/>
          <w:szCs w:val="24"/>
        </w:rPr>
      </w:pPr>
      <w:r w:rsidRPr="0083510D">
        <w:rPr>
          <w:rFonts w:ascii="Times New Roman" w:eastAsia="Times New Roman" w:hAnsi="Times New Roman"/>
          <w:color w:val="0D0D0D" w:themeColor="text1" w:themeTint="F2"/>
          <w:sz w:val="24"/>
          <w:szCs w:val="24"/>
        </w:rPr>
        <w:t>Noieta tirgu un pārdošanas kanālu attīstības potenciāls.</w:t>
      </w:r>
    </w:p>
    <w:p w14:paraId="13AE1136" w14:textId="71993151" w:rsidR="4FC31103" w:rsidRPr="0083510D" w:rsidRDefault="4FC31103" w:rsidP="003E48E7">
      <w:pPr>
        <w:pStyle w:val="ListParagraph"/>
        <w:numPr>
          <w:ilvl w:val="0"/>
          <w:numId w:val="24"/>
        </w:numPr>
        <w:spacing w:line="240" w:lineRule="auto"/>
        <w:ind w:left="0"/>
        <w:jc w:val="both"/>
        <w:rPr>
          <w:rFonts w:ascii="Times New Roman" w:eastAsia="Times New Roman" w:hAnsi="Times New Roman"/>
          <w:color w:val="0D0D0D" w:themeColor="text1" w:themeTint="F2"/>
          <w:sz w:val="24"/>
          <w:szCs w:val="24"/>
        </w:rPr>
      </w:pPr>
      <w:r w:rsidRPr="0083510D">
        <w:rPr>
          <w:rFonts w:ascii="Times New Roman" w:eastAsia="Times New Roman" w:hAnsi="Times New Roman"/>
          <w:color w:val="0D0D0D" w:themeColor="text1" w:themeTint="F2"/>
          <w:sz w:val="24"/>
          <w:szCs w:val="24"/>
        </w:rPr>
        <w:t>Ietekme uz Latvijas ārējās tirdzniecības bilanci</w:t>
      </w:r>
    </w:p>
    <w:p w14:paraId="41E6B609" w14:textId="29A778FD" w:rsidR="4FC31103" w:rsidRPr="0083510D" w:rsidRDefault="4FC31103" w:rsidP="003E48E7">
      <w:pPr>
        <w:pStyle w:val="ListParagraph"/>
        <w:numPr>
          <w:ilvl w:val="0"/>
          <w:numId w:val="24"/>
        </w:numPr>
        <w:spacing w:line="240" w:lineRule="auto"/>
        <w:ind w:left="0"/>
        <w:jc w:val="both"/>
        <w:rPr>
          <w:rFonts w:ascii="Times New Roman" w:eastAsia="Times New Roman" w:hAnsi="Times New Roman"/>
          <w:color w:val="0D0D0D" w:themeColor="text1" w:themeTint="F2"/>
          <w:sz w:val="24"/>
          <w:szCs w:val="24"/>
        </w:rPr>
      </w:pPr>
      <w:r w:rsidRPr="0083510D">
        <w:rPr>
          <w:rFonts w:ascii="Times New Roman" w:eastAsia="Times New Roman" w:hAnsi="Times New Roman"/>
          <w:color w:val="0D0D0D" w:themeColor="text1" w:themeTint="F2"/>
          <w:sz w:val="24"/>
          <w:szCs w:val="24"/>
        </w:rPr>
        <w:t>Produkta/pakalpojumu vieta Globālās piegādes ķēdēs</w:t>
      </w:r>
    </w:p>
    <w:p w14:paraId="42282640" w14:textId="3E77A507" w:rsidR="5027D0F9" w:rsidRPr="0083510D" w:rsidRDefault="5027D0F9" w:rsidP="003E48E7">
      <w:pPr>
        <w:jc w:val="both"/>
        <w:rPr>
          <w:rFonts w:eastAsia="Times New Roman" w:cs="Times New Roman"/>
          <w:color w:val="0D0D0D" w:themeColor="text1" w:themeTint="F2"/>
          <w:sz w:val="24"/>
          <w:szCs w:val="24"/>
        </w:rPr>
      </w:pPr>
    </w:p>
    <w:p w14:paraId="49061F17" w14:textId="13D06B3E" w:rsidR="4FC31103" w:rsidRPr="0083510D" w:rsidRDefault="4FC31103" w:rsidP="003E48E7">
      <w:pPr>
        <w:jc w:val="both"/>
        <w:rPr>
          <w:rFonts w:cs="Times New Roman"/>
        </w:rPr>
      </w:pPr>
      <w:r w:rsidRPr="0083510D">
        <w:rPr>
          <w:rFonts w:eastAsia="Times New Roman" w:cs="Times New Roman"/>
          <w:color w:val="0D0D0D" w:themeColor="text1" w:themeTint="F2"/>
          <w:sz w:val="24"/>
          <w:szCs w:val="24"/>
        </w:rPr>
        <w:t>Vai projekts veicina:</w:t>
      </w:r>
    </w:p>
    <w:p w14:paraId="4F7B2C07" w14:textId="74785557" w:rsidR="4FC31103" w:rsidRPr="0083510D" w:rsidRDefault="4FC31103" w:rsidP="003E48E7">
      <w:pPr>
        <w:pStyle w:val="ListParagraph"/>
        <w:numPr>
          <w:ilvl w:val="0"/>
          <w:numId w:val="24"/>
        </w:numPr>
        <w:spacing w:line="240" w:lineRule="auto"/>
        <w:ind w:left="0"/>
        <w:jc w:val="both"/>
        <w:rPr>
          <w:rFonts w:ascii="Times New Roman" w:eastAsia="Times New Roman" w:hAnsi="Times New Roman"/>
          <w:color w:val="0D0D0D" w:themeColor="text1" w:themeTint="F2"/>
          <w:sz w:val="24"/>
          <w:szCs w:val="24"/>
        </w:rPr>
      </w:pPr>
      <w:r w:rsidRPr="0083510D">
        <w:rPr>
          <w:rFonts w:ascii="Times New Roman" w:eastAsia="Times New Roman" w:hAnsi="Times New Roman"/>
          <w:color w:val="0D0D0D" w:themeColor="text1" w:themeTint="F2"/>
          <w:sz w:val="24"/>
          <w:szCs w:val="24"/>
        </w:rPr>
        <w:t xml:space="preserve">vietējo resursu un izejvielu pārstrādi   </w:t>
      </w:r>
    </w:p>
    <w:p w14:paraId="400D3311" w14:textId="4F0C2391" w:rsidR="4FC31103" w:rsidRPr="0083510D" w:rsidRDefault="4FC31103" w:rsidP="003E48E7">
      <w:pPr>
        <w:pStyle w:val="ListParagraph"/>
        <w:numPr>
          <w:ilvl w:val="0"/>
          <w:numId w:val="24"/>
        </w:numPr>
        <w:spacing w:line="240" w:lineRule="auto"/>
        <w:ind w:left="0"/>
        <w:jc w:val="both"/>
        <w:rPr>
          <w:rFonts w:ascii="Times New Roman" w:eastAsia="Times New Roman" w:hAnsi="Times New Roman"/>
          <w:color w:val="0D0D0D" w:themeColor="text1" w:themeTint="F2"/>
          <w:sz w:val="24"/>
          <w:szCs w:val="24"/>
        </w:rPr>
      </w:pPr>
      <w:r w:rsidRPr="0083510D">
        <w:rPr>
          <w:rFonts w:ascii="Times New Roman" w:eastAsia="Times New Roman" w:hAnsi="Times New Roman"/>
          <w:color w:val="0D0D0D" w:themeColor="text1" w:themeTint="F2"/>
          <w:sz w:val="24"/>
          <w:szCs w:val="24"/>
        </w:rPr>
        <w:t xml:space="preserve">augstāku tehnoloģisko līmeni    </w:t>
      </w:r>
    </w:p>
    <w:p w14:paraId="6A4FA6C6" w14:textId="34C38E5D" w:rsidR="4FC31103" w:rsidRPr="0083510D" w:rsidRDefault="4FC31103" w:rsidP="003E48E7">
      <w:pPr>
        <w:pStyle w:val="ListParagraph"/>
        <w:numPr>
          <w:ilvl w:val="0"/>
          <w:numId w:val="24"/>
        </w:numPr>
        <w:spacing w:line="240" w:lineRule="auto"/>
        <w:ind w:left="0"/>
        <w:jc w:val="both"/>
        <w:rPr>
          <w:rFonts w:ascii="Times New Roman" w:eastAsia="Times New Roman" w:hAnsi="Times New Roman"/>
          <w:color w:val="0D0D0D" w:themeColor="text1" w:themeTint="F2"/>
          <w:sz w:val="24"/>
          <w:szCs w:val="24"/>
        </w:rPr>
      </w:pPr>
      <w:r w:rsidRPr="0083510D">
        <w:rPr>
          <w:rFonts w:ascii="Times New Roman" w:eastAsia="Times New Roman" w:hAnsi="Times New Roman"/>
          <w:color w:val="0D0D0D" w:themeColor="text1" w:themeTint="F2"/>
          <w:sz w:val="24"/>
          <w:szCs w:val="24"/>
        </w:rPr>
        <w:lastRenderedPageBreak/>
        <w:t xml:space="preserve">Preču un pakalpojumu  pievienoto vērtība    </w:t>
      </w:r>
    </w:p>
    <w:p w14:paraId="1F68D47C" w14:textId="1D3091C8" w:rsidR="4FC31103" w:rsidRPr="0083510D" w:rsidRDefault="4FC31103" w:rsidP="003E48E7">
      <w:pPr>
        <w:pStyle w:val="ListParagraph"/>
        <w:numPr>
          <w:ilvl w:val="0"/>
          <w:numId w:val="24"/>
        </w:numPr>
        <w:spacing w:line="240" w:lineRule="auto"/>
        <w:ind w:left="0"/>
        <w:jc w:val="both"/>
        <w:rPr>
          <w:rFonts w:ascii="Times New Roman" w:eastAsia="Times New Roman" w:hAnsi="Times New Roman"/>
          <w:color w:val="0D0D0D" w:themeColor="text1" w:themeTint="F2"/>
          <w:sz w:val="24"/>
          <w:szCs w:val="24"/>
        </w:rPr>
      </w:pPr>
      <w:r w:rsidRPr="0083510D">
        <w:rPr>
          <w:rFonts w:ascii="Times New Roman" w:eastAsia="Times New Roman" w:hAnsi="Times New Roman"/>
          <w:color w:val="0D0D0D" w:themeColor="text1" w:themeTint="F2"/>
          <w:sz w:val="24"/>
          <w:szCs w:val="24"/>
        </w:rPr>
        <w:t xml:space="preserve">Ieguldījumus inovācijās  </w:t>
      </w:r>
    </w:p>
    <w:p w14:paraId="12CF28D2" w14:textId="736D6BB1" w:rsidR="5027D0F9" w:rsidRPr="0083510D" w:rsidRDefault="5027D0F9" w:rsidP="003E48E7">
      <w:pPr>
        <w:jc w:val="both"/>
        <w:rPr>
          <w:rFonts w:eastAsia="Times New Roman" w:cs="Times New Roman"/>
          <w:color w:val="0D0D0D" w:themeColor="text1" w:themeTint="F2"/>
          <w:sz w:val="24"/>
          <w:szCs w:val="24"/>
        </w:rPr>
      </w:pPr>
    </w:p>
    <w:p w14:paraId="3FDA24D5" w14:textId="06E32971" w:rsidR="4FC31103" w:rsidRPr="0083510D" w:rsidRDefault="4FC31103" w:rsidP="003E48E7">
      <w:pPr>
        <w:jc w:val="both"/>
        <w:rPr>
          <w:rFonts w:cs="Times New Roman"/>
        </w:rPr>
      </w:pPr>
      <w:r w:rsidRPr="0083510D">
        <w:rPr>
          <w:rFonts w:eastAsia="Times New Roman" w:cs="Times New Roman"/>
          <w:color w:val="0D0D0D" w:themeColor="text1" w:themeTint="F2"/>
          <w:sz w:val="24"/>
          <w:szCs w:val="24"/>
        </w:rPr>
        <w:t>Investīciju projektu kvalitāte, būtu novērtējama pēc sekojošiem kritērijiem:</w:t>
      </w:r>
    </w:p>
    <w:p w14:paraId="40D503D8" w14:textId="2B202EEA" w:rsidR="4FC31103" w:rsidRPr="0083510D" w:rsidRDefault="4FC31103" w:rsidP="003E48E7">
      <w:pPr>
        <w:pStyle w:val="ListParagraph"/>
        <w:numPr>
          <w:ilvl w:val="0"/>
          <w:numId w:val="23"/>
        </w:numPr>
        <w:spacing w:line="240" w:lineRule="auto"/>
        <w:ind w:left="0"/>
        <w:jc w:val="both"/>
        <w:rPr>
          <w:rFonts w:ascii="Times New Roman" w:eastAsia="Times New Roman" w:hAnsi="Times New Roman"/>
          <w:color w:val="0D0D0D" w:themeColor="text1" w:themeTint="F2"/>
          <w:sz w:val="24"/>
          <w:szCs w:val="24"/>
        </w:rPr>
      </w:pPr>
      <w:r w:rsidRPr="0083510D">
        <w:rPr>
          <w:rFonts w:ascii="Times New Roman" w:eastAsia="Times New Roman" w:hAnsi="Times New Roman"/>
          <w:color w:val="0D0D0D" w:themeColor="text1" w:themeTint="F2"/>
          <w:sz w:val="24"/>
          <w:szCs w:val="24"/>
        </w:rPr>
        <w:t>Uzņēmuma finanšu stāvoklis</w:t>
      </w:r>
    </w:p>
    <w:p w14:paraId="2B0630A1" w14:textId="61A27238" w:rsidR="4FC31103" w:rsidRPr="0083510D" w:rsidRDefault="4FC31103" w:rsidP="003E48E7">
      <w:pPr>
        <w:pStyle w:val="ListParagraph"/>
        <w:numPr>
          <w:ilvl w:val="0"/>
          <w:numId w:val="23"/>
        </w:numPr>
        <w:spacing w:line="240" w:lineRule="auto"/>
        <w:ind w:left="0"/>
        <w:jc w:val="both"/>
        <w:rPr>
          <w:rFonts w:ascii="Times New Roman" w:eastAsia="Times New Roman" w:hAnsi="Times New Roman"/>
          <w:color w:val="0D0D0D" w:themeColor="text1" w:themeTint="F2"/>
          <w:sz w:val="24"/>
          <w:szCs w:val="24"/>
        </w:rPr>
      </w:pPr>
      <w:r w:rsidRPr="0083510D">
        <w:rPr>
          <w:rFonts w:ascii="Times New Roman" w:eastAsia="Times New Roman" w:hAnsi="Times New Roman"/>
          <w:color w:val="0D0D0D" w:themeColor="text1" w:themeTint="F2"/>
          <w:sz w:val="24"/>
          <w:szCs w:val="24"/>
        </w:rPr>
        <w:t>Uzņēmuma īpašnieku reputācija</w:t>
      </w:r>
    </w:p>
    <w:p w14:paraId="04C239C8" w14:textId="2B1F9734" w:rsidR="4FC31103" w:rsidRPr="0083510D" w:rsidRDefault="4FC31103" w:rsidP="003E48E7">
      <w:pPr>
        <w:pStyle w:val="ListParagraph"/>
        <w:numPr>
          <w:ilvl w:val="0"/>
          <w:numId w:val="23"/>
        </w:numPr>
        <w:spacing w:line="240" w:lineRule="auto"/>
        <w:ind w:left="0"/>
        <w:jc w:val="both"/>
        <w:rPr>
          <w:rFonts w:ascii="Times New Roman" w:eastAsia="Times New Roman" w:hAnsi="Times New Roman"/>
          <w:color w:val="0D0D0D" w:themeColor="text1" w:themeTint="F2"/>
          <w:sz w:val="24"/>
          <w:szCs w:val="24"/>
        </w:rPr>
      </w:pPr>
      <w:r w:rsidRPr="0083510D">
        <w:rPr>
          <w:rFonts w:ascii="Times New Roman" w:eastAsia="Times New Roman" w:hAnsi="Times New Roman"/>
          <w:color w:val="0D0D0D" w:themeColor="text1" w:themeTint="F2"/>
          <w:sz w:val="24"/>
          <w:szCs w:val="24"/>
        </w:rPr>
        <w:t>Vai projekts skar ES investīciju izvērtēšanas mehānismā minētos sektorus</w:t>
      </w:r>
    </w:p>
    <w:p w14:paraId="16F4A564" w14:textId="3AB2C7C7" w:rsidR="4FC31103" w:rsidRPr="0083510D" w:rsidRDefault="4FC31103" w:rsidP="003E48E7">
      <w:pPr>
        <w:pStyle w:val="ListParagraph"/>
        <w:numPr>
          <w:ilvl w:val="0"/>
          <w:numId w:val="23"/>
        </w:numPr>
        <w:spacing w:line="240" w:lineRule="auto"/>
        <w:ind w:left="0"/>
        <w:jc w:val="both"/>
        <w:rPr>
          <w:rFonts w:ascii="Times New Roman" w:eastAsia="Times New Roman" w:hAnsi="Times New Roman"/>
          <w:color w:val="0D0D0D" w:themeColor="text1" w:themeTint="F2"/>
          <w:sz w:val="24"/>
          <w:szCs w:val="24"/>
        </w:rPr>
      </w:pPr>
      <w:r w:rsidRPr="0083510D">
        <w:rPr>
          <w:rFonts w:ascii="Times New Roman" w:eastAsia="Times New Roman" w:hAnsi="Times New Roman"/>
          <w:color w:val="0D0D0D" w:themeColor="text1" w:themeTint="F2"/>
          <w:sz w:val="24"/>
          <w:szCs w:val="24"/>
        </w:rPr>
        <w:t>Vai projekts skar Nacionālās drošības likumā noteiktos sektorus</w:t>
      </w:r>
    </w:p>
    <w:p w14:paraId="2B6CC5F2" w14:textId="46509F0B" w:rsidR="4FC31103" w:rsidRPr="0083510D" w:rsidRDefault="4FC31103" w:rsidP="003E48E7">
      <w:pPr>
        <w:pStyle w:val="ListParagraph"/>
        <w:numPr>
          <w:ilvl w:val="0"/>
          <w:numId w:val="23"/>
        </w:numPr>
        <w:spacing w:line="240" w:lineRule="auto"/>
        <w:ind w:left="0"/>
        <w:jc w:val="both"/>
        <w:rPr>
          <w:rFonts w:ascii="Times New Roman" w:eastAsia="Times New Roman" w:hAnsi="Times New Roman"/>
          <w:color w:val="0D0D0D" w:themeColor="text1" w:themeTint="F2"/>
          <w:sz w:val="24"/>
          <w:szCs w:val="24"/>
        </w:rPr>
      </w:pPr>
      <w:r w:rsidRPr="0083510D">
        <w:rPr>
          <w:rFonts w:ascii="Times New Roman" w:eastAsia="Times New Roman" w:hAnsi="Times New Roman"/>
          <w:color w:val="0D0D0D" w:themeColor="text1" w:themeTint="F2"/>
          <w:sz w:val="24"/>
          <w:szCs w:val="24"/>
        </w:rPr>
        <w:t>Projekta ietekme uz vidi, veselību un sabiedrību.</w:t>
      </w:r>
    </w:p>
    <w:p w14:paraId="09E26697" w14:textId="60569275" w:rsidR="4FC31103" w:rsidRPr="0083510D" w:rsidRDefault="4FC31103" w:rsidP="003E48E7">
      <w:pPr>
        <w:pStyle w:val="ListParagraph"/>
        <w:numPr>
          <w:ilvl w:val="0"/>
          <w:numId w:val="23"/>
        </w:numPr>
        <w:spacing w:line="240" w:lineRule="auto"/>
        <w:ind w:left="0"/>
        <w:jc w:val="both"/>
        <w:rPr>
          <w:rFonts w:ascii="Times New Roman" w:eastAsia="Times New Roman" w:hAnsi="Times New Roman"/>
          <w:color w:val="0D0D0D" w:themeColor="text1" w:themeTint="F2"/>
          <w:sz w:val="24"/>
          <w:szCs w:val="24"/>
        </w:rPr>
      </w:pPr>
      <w:r w:rsidRPr="0083510D">
        <w:rPr>
          <w:rFonts w:ascii="Times New Roman" w:eastAsia="Times New Roman" w:hAnsi="Times New Roman"/>
          <w:color w:val="0D0D0D" w:themeColor="text1" w:themeTint="F2"/>
          <w:sz w:val="24"/>
          <w:szCs w:val="24"/>
        </w:rPr>
        <w:t>Valsts atbalsta nepieciešamība projekta īstenošanai</w:t>
      </w:r>
    </w:p>
    <w:p w14:paraId="58214CF1" w14:textId="6DA9E74A" w:rsidR="5027D0F9" w:rsidRPr="0083510D" w:rsidRDefault="5027D0F9" w:rsidP="003E48E7">
      <w:pPr>
        <w:jc w:val="both"/>
        <w:rPr>
          <w:rFonts w:eastAsia="Times New Roman" w:cs="Times New Roman"/>
          <w:sz w:val="24"/>
          <w:szCs w:val="24"/>
        </w:rPr>
      </w:pPr>
    </w:p>
    <w:p w14:paraId="35AE02FE" w14:textId="512B7545" w:rsidR="00E85906" w:rsidRPr="0083510D" w:rsidRDefault="15EEC8F1">
      <w:pPr>
        <w:jc w:val="both"/>
        <w:rPr>
          <w:rFonts w:eastAsia="Cambria" w:cs="Times New Roman"/>
          <w:b/>
          <w:bCs/>
          <w:color w:val="000000" w:themeColor="text1"/>
          <w:sz w:val="24"/>
          <w:szCs w:val="24"/>
        </w:rPr>
      </w:pPr>
      <w:r w:rsidRPr="0083510D">
        <w:rPr>
          <w:rFonts w:eastAsia="Cambria" w:cs="Times New Roman"/>
          <w:color w:val="000000" w:themeColor="text1"/>
          <w:sz w:val="24"/>
          <w:szCs w:val="24"/>
        </w:rPr>
        <w:t xml:space="preserve">Lai virzītos uz vīzijas sasniegšanu, LIAA stratēģijas sasniegšanai izvirzījusi skaidri definētu, izmērāmu mērķi: </w:t>
      </w:r>
      <w:r w:rsidRPr="0083510D">
        <w:rPr>
          <w:rFonts w:eastAsia="Cambria" w:cs="Times New Roman"/>
          <w:b/>
          <w:bCs/>
          <w:color w:val="000000" w:themeColor="text1"/>
          <w:sz w:val="24"/>
          <w:szCs w:val="24"/>
        </w:rPr>
        <w:t xml:space="preserve">laika periodā no 2020. – 2023.gadam piesaistītas ārējās tiešās investīcijas vismaz 432 miljonu eiro apmērā (no tām vismaz </w:t>
      </w:r>
      <w:r w:rsidR="62B7940B" w:rsidRPr="0083510D">
        <w:rPr>
          <w:rFonts w:eastAsia="Cambria" w:cs="Times New Roman"/>
          <w:b/>
          <w:bCs/>
          <w:color w:val="000000" w:themeColor="text1"/>
          <w:sz w:val="24"/>
          <w:szCs w:val="24"/>
        </w:rPr>
        <w:t>250</w:t>
      </w:r>
      <w:r w:rsidRPr="0083510D">
        <w:rPr>
          <w:rFonts w:eastAsia="Cambria" w:cs="Times New Roman"/>
          <w:b/>
          <w:bCs/>
          <w:color w:val="000000" w:themeColor="text1"/>
          <w:sz w:val="24"/>
          <w:szCs w:val="24"/>
        </w:rPr>
        <w:t xml:space="preserve"> miljonu eiro apmērā RIS 3 jomās), kopumā radot vismaz </w:t>
      </w:r>
      <w:r w:rsidR="14E78321" w:rsidRPr="0083510D">
        <w:rPr>
          <w:rFonts w:eastAsia="Cambria" w:cs="Times New Roman"/>
          <w:b/>
          <w:bCs/>
          <w:color w:val="000000" w:themeColor="text1"/>
          <w:sz w:val="24"/>
          <w:szCs w:val="24"/>
        </w:rPr>
        <w:t>4500</w:t>
      </w:r>
      <w:r w:rsidRPr="0083510D">
        <w:rPr>
          <w:rFonts w:eastAsia="Cambria" w:cs="Times New Roman"/>
          <w:b/>
          <w:bCs/>
          <w:color w:val="000000" w:themeColor="text1"/>
          <w:sz w:val="24"/>
          <w:szCs w:val="24"/>
        </w:rPr>
        <w:t xml:space="preserve"> darbavietas (no tām vismaz </w:t>
      </w:r>
      <w:r w:rsidR="683D7B26" w:rsidRPr="0083510D">
        <w:rPr>
          <w:rFonts w:eastAsia="Cambria" w:cs="Times New Roman"/>
          <w:b/>
          <w:bCs/>
          <w:color w:val="000000" w:themeColor="text1"/>
          <w:sz w:val="24"/>
          <w:szCs w:val="24"/>
        </w:rPr>
        <w:t>6</w:t>
      </w:r>
      <w:r w:rsidRPr="0083510D">
        <w:rPr>
          <w:rFonts w:eastAsia="Cambria" w:cs="Times New Roman"/>
          <w:b/>
          <w:bCs/>
          <w:color w:val="000000" w:themeColor="text1"/>
          <w:sz w:val="24"/>
          <w:szCs w:val="24"/>
        </w:rPr>
        <w:t>00 RIS 3 jomās).</w:t>
      </w:r>
    </w:p>
    <w:p w14:paraId="0B3EC4CA" w14:textId="0210425E" w:rsidR="00B6516C" w:rsidRPr="0083510D" w:rsidRDefault="00B6516C">
      <w:pPr>
        <w:jc w:val="both"/>
        <w:rPr>
          <w:rFonts w:eastAsia="Cambria" w:cs="Times New Roman"/>
          <w:b/>
          <w:bCs/>
          <w:color w:val="000000" w:themeColor="text1"/>
          <w:sz w:val="24"/>
          <w:szCs w:val="24"/>
        </w:rPr>
      </w:pPr>
    </w:p>
    <w:p w14:paraId="44CEC07A" w14:textId="74597208" w:rsidR="00B6516C" w:rsidRPr="0083510D" w:rsidRDefault="00B6516C">
      <w:pPr>
        <w:jc w:val="both"/>
        <w:rPr>
          <w:rFonts w:eastAsia="Cambria" w:cs="Times New Roman"/>
          <w:b/>
          <w:bCs/>
          <w:color w:val="000000" w:themeColor="text1"/>
          <w:sz w:val="24"/>
          <w:szCs w:val="24"/>
        </w:rPr>
      </w:pPr>
      <w:r w:rsidRPr="0083510D">
        <w:rPr>
          <w:rFonts w:eastAsia="Cambria" w:cs="Times New Roman"/>
          <w:b/>
          <w:bCs/>
          <w:color w:val="000000" w:themeColor="text1"/>
          <w:sz w:val="24"/>
          <w:szCs w:val="24"/>
        </w:rPr>
        <w:t>Latvijas Pašvaldību savienības priekšlikums</w:t>
      </w:r>
      <w:r w:rsidR="006B5F3B" w:rsidRPr="0083510D">
        <w:rPr>
          <w:rFonts w:eastAsia="Cambria" w:cs="Times New Roman"/>
          <w:b/>
          <w:bCs/>
          <w:color w:val="000000" w:themeColor="text1"/>
          <w:sz w:val="24"/>
          <w:szCs w:val="24"/>
        </w:rPr>
        <w:t>.</w:t>
      </w:r>
    </w:p>
    <w:p w14:paraId="6091BCF4" w14:textId="77777777" w:rsidR="005E4124" w:rsidRPr="0083510D" w:rsidRDefault="005E4124" w:rsidP="005E4124">
      <w:pPr>
        <w:spacing w:before="20" w:afterLines="20" w:after="48" w:line="259" w:lineRule="auto"/>
        <w:ind w:firstLine="720"/>
        <w:jc w:val="both"/>
        <w:rPr>
          <w:rFonts w:eastAsia="Calibri" w:cs="Times New Roman"/>
          <w:sz w:val="24"/>
          <w:szCs w:val="24"/>
        </w:rPr>
      </w:pPr>
      <w:r w:rsidRPr="0083510D">
        <w:rPr>
          <w:rFonts w:eastAsia="Calibri" w:cs="Times New Roman"/>
          <w:color w:val="000000"/>
          <w:sz w:val="24"/>
          <w:szCs w:val="24"/>
          <w:shd w:val="clear" w:color="auto" w:fill="FFFFFF"/>
        </w:rPr>
        <w:t>Ja ar ārvalstu tiešajām investīcijām mēs saprotam ārvalstu fizisko un juridisko personu ieguldījumus Latvijā reģistrētu uzņēmumu un uzņēmējsabiedrību pamatkapitālā,  svarīgs  jautājums būtu ĀTI izraisītais spillover efekta izvērtējums un ārvalstu investoru zināšanas jeb  know how konkrētā jomā apzināšana un šo investīciju radītā pievienotā vērtība Latvijas ekonomikā. Ņemot vērā, ka atsevišķos gadījumos A</w:t>
      </w:r>
      <w:r w:rsidRPr="0083510D">
        <w:rPr>
          <w:rFonts w:eastAsia="Calibri" w:cs="Times New Roman"/>
          <w:sz w:val="24"/>
          <w:szCs w:val="24"/>
        </w:rPr>
        <w:t xml:space="preserve">TI ieplūde var veicināt zināšanu pārplūšanu no ārzemju uzņēmuma uz vietējo, kā arī inovāciju veidošanos vietējos uzņēmumos būtu svarīgi maksimāli atbalstīt šādas inovatīvas un stratēģiskas nozares ATI. </w:t>
      </w:r>
    </w:p>
    <w:p w14:paraId="520AC41E" w14:textId="2834307A" w:rsidR="005E4124" w:rsidRPr="0083510D" w:rsidRDefault="005E4124" w:rsidP="005E4124">
      <w:pPr>
        <w:spacing w:before="20" w:afterLines="20" w:after="48" w:line="259" w:lineRule="auto"/>
        <w:jc w:val="both"/>
        <w:rPr>
          <w:rFonts w:eastAsia="Calibri" w:cs="Times New Roman"/>
          <w:sz w:val="24"/>
          <w:szCs w:val="24"/>
        </w:rPr>
      </w:pPr>
      <w:r w:rsidRPr="0083510D">
        <w:rPr>
          <w:rFonts w:eastAsia="Calibri" w:cs="Times New Roman"/>
          <w:sz w:val="24"/>
          <w:szCs w:val="24"/>
        </w:rPr>
        <w:tab/>
        <w:t xml:space="preserve">LPS vērtējumā, būtu nepieciešams pilnveidot šādus pasākumus:  </w:t>
      </w:r>
    </w:p>
    <w:p w14:paraId="021286D2" w14:textId="77777777" w:rsidR="005E4124" w:rsidRPr="0083510D" w:rsidRDefault="005E4124" w:rsidP="005E4124">
      <w:pPr>
        <w:spacing w:before="20" w:afterLines="20" w:after="48" w:line="259" w:lineRule="auto"/>
        <w:ind w:left="720"/>
        <w:jc w:val="both"/>
        <w:rPr>
          <w:rFonts w:eastAsia="Times New Roman" w:cs="Times New Roman"/>
          <w:sz w:val="24"/>
          <w:szCs w:val="24"/>
          <w:lang w:eastAsia="lv-LV"/>
        </w:rPr>
      </w:pPr>
      <w:r w:rsidRPr="0083510D">
        <w:rPr>
          <w:rFonts w:eastAsia="Times New Roman" w:cs="Times New Roman"/>
          <w:iCs/>
          <w:sz w:val="24"/>
          <w:szCs w:val="24"/>
          <w:lang w:eastAsia="lv-LV"/>
        </w:rPr>
        <w:t xml:space="preserve">3.1.1. </w:t>
      </w:r>
      <w:r w:rsidRPr="0083510D">
        <w:rPr>
          <w:rFonts w:eastAsia="Times New Roman" w:cs="Times New Roman"/>
          <w:sz w:val="24"/>
          <w:szCs w:val="24"/>
          <w:lang w:eastAsia="lv-LV"/>
        </w:rPr>
        <w:t>Uzlabot Latvijas uzņēmējdarbības vidi, sekmēt jaunu ārvalstu un vietējo investīciju veikšanu Latvijas ekonomikā, kā arī sniegt iespēju paaugstināt Latvijas biznesa vides starptautisko novērtējumu.</w:t>
      </w:r>
    </w:p>
    <w:p w14:paraId="1BCAEA8D" w14:textId="77777777" w:rsidR="005E4124" w:rsidRPr="0083510D" w:rsidRDefault="005E4124" w:rsidP="005E4124">
      <w:pPr>
        <w:spacing w:before="20" w:afterLines="20" w:after="48" w:line="259" w:lineRule="auto"/>
        <w:ind w:left="720"/>
        <w:jc w:val="both"/>
        <w:rPr>
          <w:rFonts w:eastAsia="Times New Roman" w:cs="Times New Roman"/>
          <w:iCs/>
          <w:sz w:val="24"/>
          <w:szCs w:val="24"/>
          <w:lang w:eastAsia="lv-LV"/>
        </w:rPr>
      </w:pPr>
      <w:r w:rsidRPr="0083510D">
        <w:rPr>
          <w:rFonts w:eastAsia="Times New Roman" w:cs="Times New Roman"/>
          <w:sz w:val="24"/>
          <w:szCs w:val="24"/>
          <w:lang w:eastAsia="lv-LV"/>
        </w:rPr>
        <w:t>3.2.1. Pilnveidot investīciju piesaistes (POLARIS) mehānismu  valsts un pašvaldību iesaistei investīciju piesaistē, veicinot vienotu pieeju publiskajā pārvaldē investīciju projektu apkalpošanai</w:t>
      </w:r>
    </w:p>
    <w:p w14:paraId="649AE5D3" w14:textId="43448ACD" w:rsidR="00CE7C7D" w:rsidRPr="0069767E" w:rsidRDefault="005E4124" w:rsidP="0069767E">
      <w:pPr>
        <w:spacing w:before="20" w:afterLines="20" w:after="48" w:line="259" w:lineRule="auto"/>
        <w:jc w:val="both"/>
        <w:rPr>
          <w:rFonts w:eastAsia="Times New Roman" w:cs="Times New Roman"/>
          <w:sz w:val="24"/>
          <w:szCs w:val="24"/>
          <w:lang w:eastAsia="lv-LV"/>
        </w:rPr>
      </w:pPr>
      <w:r w:rsidRPr="0083510D">
        <w:rPr>
          <w:rFonts w:eastAsia="Calibri" w:cs="Times New Roman"/>
          <w:sz w:val="24"/>
          <w:szCs w:val="24"/>
        </w:rPr>
        <w:tab/>
        <w:t xml:space="preserve">LPS aicina pilnveidot mehānismu, kādā sagatavojami Latvijas stratēģiskie investīciju projektu piedāvājumi un kā tiek strādāts ar lielām ĀTI. Lai veidotu pilnīgu izpratni gan publiskam sektoram, gan sabiedrībai par ekonomiskiem ieguvumiem un iespējamiem riskiem lielu investīciju projektu gadījumā, ir nepieciešams savlaicīgi uzsākt darbu pie komunikācijas ar sabiedrību un visu risku kvantificēšanas un tālāku to minimizēšanu.  LPS ieskatā pozitīvs risinājums būtu koordinēta un uz sadarbību vērsta LPS un LIAA sadarbības platforma. Platformas mērķis būtu jau pašā sākumā veidot publiskā un privātā sektora sadarbības projektus, izvērtējot </w:t>
      </w:r>
      <w:r w:rsidRPr="0083510D">
        <w:rPr>
          <w:rFonts w:eastAsia="Times New Roman" w:cs="Times New Roman"/>
          <w:sz w:val="24"/>
          <w:szCs w:val="24"/>
          <w:lang w:eastAsia="lv-LV"/>
        </w:rPr>
        <w:t xml:space="preserve">pieejamo infrastruktūru un darbaspēku. </w:t>
      </w:r>
    </w:p>
    <w:p w14:paraId="78789E7B" w14:textId="77777777" w:rsidR="00023F7C" w:rsidRPr="0083510D" w:rsidRDefault="00023F7C" w:rsidP="00C568D4">
      <w:pPr>
        <w:ind w:firstLine="720"/>
        <w:jc w:val="both"/>
        <w:rPr>
          <w:rFonts w:cs="Times New Roman"/>
          <w:color w:val="212121"/>
          <w:sz w:val="24"/>
          <w:szCs w:val="24"/>
        </w:rPr>
      </w:pPr>
    </w:p>
    <w:p w14:paraId="6A9B3207" w14:textId="294553C4" w:rsidR="00DF336B" w:rsidRPr="0083510D" w:rsidRDefault="00C910ED" w:rsidP="00C568D4">
      <w:pPr>
        <w:pStyle w:val="Heading2"/>
        <w:shd w:val="clear" w:color="auto" w:fill="009999"/>
        <w:spacing w:before="0"/>
        <w:rPr>
          <w:rFonts w:cs="Times New Roman"/>
          <w:b/>
          <w:color w:val="FFFFFF" w:themeColor="background1"/>
        </w:rPr>
      </w:pPr>
      <w:bookmarkStart w:id="20" w:name="_Toc47359878"/>
      <w:r w:rsidRPr="0083510D">
        <w:rPr>
          <w:rFonts w:cs="Times New Roman"/>
          <w:b/>
          <w:color w:val="FFFFFF" w:themeColor="background1"/>
        </w:rPr>
        <w:t>3.</w:t>
      </w:r>
      <w:r w:rsidR="00746B60" w:rsidRPr="0083510D">
        <w:rPr>
          <w:rFonts w:cs="Times New Roman"/>
          <w:b/>
          <w:bCs/>
          <w:color w:val="FFFFFF" w:themeColor="background1"/>
        </w:rPr>
        <w:t>4.</w:t>
      </w:r>
      <w:r w:rsidRPr="0083510D">
        <w:rPr>
          <w:rFonts w:cs="Times New Roman"/>
          <w:b/>
          <w:color w:val="FFFFFF" w:themeColor="background1"/>
        </w:rPr>
        <w:t xml:space="preserve"> </w:t>
      </w:r>
      <w:r w:rsidR="00DF336B" w:rsidRPr="0083510D">
        <w:rPr>
          <w:rFonts w:cs="Times New Roman"/>
          <w:b/>
          <w:color w:val="FFFFFF" w:themeColor="background1"/>
        </w:rPr>
        <w:t>Investīciju stimuli un investīciju piesaistes instrumenti</w:t>
      </w:r>
      <w:bookmarkEnd w:id="20"/>
    </w:p>
    <w:p w14:paraId="166C21A1" w14:textId="686CF004" w:rsidR="00BC2730" w:rsidRPr="0083510D" w:rsidRDefault="00BC2730" w:rsidP="00BF0F13">
      <w:pPr>
        <w:ind w:firstLine="360"/>
        <w:jc w:val="both"/>
        <w:rPr>
          <w:rFonts w:eastAsia="Times New Roman" w:cs="Times New Roman"/>
          <w:sz w:val="24"/>
          <w:szCs w:val="24"/>
        </w:rPr>
      </w:pPr>
      <w:r w:rsidRPr="0083510D">
        <w:rPr>
          <w:rFonts w:eastAsia="Times New Roman" w:cs="Times New Roman"/>
          <w:sz w:val="24"/>
          <w:szCs w:val="24"/>
        </w:rPr>
        <w:t>Ārvalstu tiešo investīciju piesaistei Latvijā šobrīd pastāv vairāki potenciāli stimuli</w:t>
      </w:r>
      <w:r w:rsidR="7AD63091" w:rsidRPr="0083510D">
        <w:rPr>
          <w:rFonts w:eastAsia="Times New Roman" w:cs="Times New Roman"/>
          <w:sz w:val="24"/>
          <w:szCs w:val="24"/>
        </w:rPr>
        <w:t xml:space="preserve"> atbalsta instrumentu veidā:</w:t>
      </w:r>
    </w:p>
    <w:p w14:paraId="4D52D097" w14:textId="3A510C49" w:rsidR="00BC2730" w:rsidRPr="0083510D" w:rsidRDefault="00BC2730" w:rsidP="00BF0F13">
      <w:pPr>
        <w:pStyle w:val="ListParagraph"/>
        <w:numPr>
          <w:ilvl w:val="0"/>
          <w:numId w:val="6"/>
        </w:numPr>
        <w:autoSpaceDE w:val="0"/>
        <w:autoSpaceDN w:val="0"/>
        <w:adjustRightInd w:val="0"/>
        <w:spacing w:line="240" w:lineRule="auto"/>
        <w:ind w:left="0"/>
        <w:jc w:val="both"/>
        <w:rPr>
          <w:rFonts w:ascii="Times New Roman" w:hAnsi="Times New Roman"/>
          <w:sz w:val="24"/>
          <w:szCs w:val="24"/>
        </w:rPr>
      </w:pPr>
      <w:r w:rsidRPr="0083510D">
        <w:rPr>
          <w:rFonts w:ascii="Times New Roman" w:hAnsi="Times New Roman"/>
          <w:b/>
          <w:bCs/>
          <w:sz w:val="24"/>
          <w:szCs w:val="24"/>
        </w:rPr>
        <w:t>Nodokļu atvieglojumi</w:t>
      </w:r>
      <w:r w:rsidRPr="0083510D">
        <w:rPr>
          <w:rFonts w:ascii="Times New Roman" w:hAnsi="Times New Roman"/>
          <w:sz w:val="24"/>
          <w:szCs w:val="24"/>
        </w:rPr>
        <w:t xml:space="preserve"> speciālajās ekonomiskajās zonās un brīvostās</w:t>
      </w:r>
      <w:r w:rsidR="009C5935" w:rsidRPr="0083510D">
        <w:rPr>
          <w:rFonts w:ascii="Times New Roman" w:hAnsi="Times New Roman"/>
          <w:sz w:val="24"/>
          <w:szCs w:val="24"/>
        </w:rPr>
        <w:t>,</w:t>
      </w:r>
      <w:r w:rsidR="03688B06" w:rsidRPr="0083510D">
        <w:rPr>
          <w:rFonts w:ascii="Times New Roman" w:hAnsi="Times New Roman"/>
          <w:sz w:val="24"/>
          <w:szCs w:val="24"/>
        </w:rPr>
        <w:t xml:space="preserve"> atvieglojumi ieguldot uzņēmuma peļņu atpakaļ attīstībā</w:t>
      </w:r>
      <w:r w:rsidR="4F96BC5B" w:rsidRPr="0083510D">
        <w:rPr>
          <w:rFonts w:ascii="Times New Roman" w:hAnsi="Times New Roman"/>
          <w:sz w:val="24"/>
          <w:szCs w:val="24"/>
        </w:rPr>
        <w:t>, kā arī speciāls regulējums jaunuzņēmumiem</w:t>
      </w:r>
      <w:r w:rsidR="009C5935" w:rsidRPr="0083510D">
        <w:rPr>
          <w:rFonts w:ascii="Times New Roman" w:hAnsi="Times New Roman"/>
          <w:sz w:val="24"/>
          <w:szCs w:val="24"/>
        </w:rPr>
        <w:t>;</w:t>
      </w:r>
    </w:p>
    <w:p w14:paraId="7D19060C" w14:textId="00ABB56C" w:rsidR="009C5935" w:rsidRPr="0083510D" w:rsidRDefault="009C5935" w:rsidP="00BF0F13">
      <w:pPr>
        <w:pStyle w:val="ListParagraph"/>
        <w:numPr>
          <w:ilvl w:val="0"/>
          <w:numId w:val="6"/>
        </w:numPr>
        <w:autoSpaceDE w:val="0"/>
        <w:autoSpaceDN w:val="0"/>
        <w:adjustRightInd w:val="0"/>
        <w:spacing w:line="240" w:lineRule="auto"/>
        <w:ind w:left="0"/>
        <w:jc w:val="both"/>
        <w:rPr>
          <w:rFonts w:ascii="Times New Roman" w:hAnsi="Times New Roman"/>
          <w:sz w:val="24"/>
          <w:szCs w:val="24"/>
        </w:rPr>
      </w:pPr>
      <w:r w:rsidRPr="0083510D">
        <w:rPr>
          <w:rFonts w:ascii="Times New Roman" w:hAnsi="Times New Roman"/>
          <w:sz w:val="24"/>
          <w:szCs w:val="24"/>
        </w:rPr>
        <w:t xml:space="preserve">2014.-2020.gada </w:t>
      </w:r>
      <w:r w:rsidRPr="0083510D">
        <w:rPr>
          <w:rFonts w:ascii="Times New Roman" w:hAnsi="Times New Roman"/>
          <w:b/>
          <w:bCs/>
          <w:sz w:val="24"/>
          <w:szCs w:val="24"/>
        </w:rPr>
        <w:t>ES fondu plānošanas perioda aktivitātes</w:t>
      </w:r>
      <w:r w:rsidRPr="0083510D">
        <w:rPr>
          <w:rFonts w:ascii="Times New Roman" w:hAnsi="Times New Roman"/>
          <w:sz w:val="24"/>
          <w:szCs w:val="24"/>
        </w:rPr>
        <w:t>, kas</w:t>
      </w:r>
      <w:r w:rsidR="2F75BEF7" w:rsidRPr="0083510D">
        <w:rPr>
          <w:rFonts w:ascii="Times New Roman" w:hAnsi="Times New Roman"/>
          <w:sz w:val="24"/>
          <w:szCs w:val="24"/>
        </w:rPr>
        <w:t xml:space="preserve"> tostarp</w:t>
      </w:r>
      <w:r w:rsidRPr="0083510D">
        <w:rPr>
          <w:rFonts w:ascii="Times New Roman" w:hAnsi="Times New Roman"/>
          <w:sz w:val="24"/>
          <w:szCs w:val="24"/>
        </w:rPr>
        <w:t xml:space="preserve"> specifiski orientētas uz investoru piesaisti, sniedzot atbalstu darbinieku apmācībām</w:t>
      </w:r>
      <w:r w:rsidR="18AFF821" w:rsidRPr="0083510D">
        <w:rPr>
          <w:rFonts w:ascii="Times New Roman" w:hAnsi="Times New Roman"/>
          <w:sz w:val="24"/>
          <w:szCs w:val="24"/>
        </w:rPr>
        <w:t>, kā arī atbalsta instrumenti jaunu produktu un ražošanas procesu attīstībai</w:t>
      </w:r>
      <w:r w:rsidR="5DD06B45" w:rsidRPr="0083510D">
        <w:rPr>
          <w:rFonts w:ascii="Times New Roman" w:hAnsi="Times New Roman"/>
          <w:sz w:val="24"/>
          <w:szCs w:val="24"/>
        </w:rPr>
        <w:t>,</w:t>
      </w:r>
      <w:r w:rsidR="18AFF821" w:rsidRPr="0083510D">
        <w:rPr>
          <w:rFonts w:ascii="Times New Roman" w:hAnsi="Times New Roman"/>
          <w:sz w:val="24"/>
          <w:szCs w:val="24"/>
        </w:rPr>
        <w:t xml:space="preserve"> un energoefektivitātes veicināšanai apstrādes rūpniecībā.</w:t>
      </w:r>
    </w:p>
    <w:p w14:paraId="3F21AD93" w14:textId="4F6D380E" w:rsidR="00FD2FBA" w:rsidRPr="0083510D" w:rsidRDefault="256005A5" w:rsidP="00BF0F13">
      <w:pPr>
        <w:pStyle w:val="ListParagraph"/>
        <w:numPr>
          <w:ilvl w:val="0"/>
          <w:numId w:val="6"/>
        </w:numPr>
        <w:spacing w:line="240" w:lineRule="auto"/>
        <w:ind w:left="0"/>
        <w:jc w:val="both"/>
        <w:rPr>
          <w:rFonts w:ascii="Times New Roman" w:hAnsi="Times New Roman"/>
          <w:sz w:val="24"/>
          <w:szCs w:val="24"/>
        </w:rPr>
      </w:pPr>
      <w:r w:rsidRPr="0083510D">
        <w:rPr>
          <w:rFonts w:ascii="Times New Roman" w:hAnsi="Times New Roman"/>
          <w:sz w:val="24"/>
          <w:szCs w:val="24"/>
        </w:rPr>
        <w:t>Atbalsts  aizdevum</w:t>
      </w:r>
      <w:r w:rsidR="16E7FDC9" w:rsidRPr="0083510D">
        <w:rPr>
          <w:rFonts w:ascii="Times New Roman" w:hAnsi="Times New Roman"/>
          <w:sz w:val="24"/>
          <w:szCs w:val="24"/>
        </w:rPr>
        <w:t>u veidā</w:t>
      </w:r>
      <w:r w:rsidR="684C7339" w:rsidRPr="0083510D">
        <w:rPr>
          <w:rFonts w:ascii="Times New Roman" w:hAnsi="Times New Roman"/>
          <w:sz w:val="24"/>
          <w:szCs w:val="24"/>
        </w:rPr>
        <w:t>,</w:t>
      </w:r>
      <w:r w:rsidR="59A83FDF" w:rsidRPr="0083510D">
        <w:rPr>
          <w:rFonts w:ascii="Times New Roman" w:hAnsi="Times New Roman"/>
          <w:sz w:val="24"/>
          <w:szCs w:val="24"/>
        </w:rPr>
        <w:t xml:space="preserve"> ko administrē valsts finanšu institūcija “Altum”.</w:t>
      </w:r>
    </w:p>
    <w:p w14:paraId="4EA6A02F" w14:textId="12F5B947" w:rsidR="00FD2FBA" w:rsidRPr="0083510D" w:rsidRDefault="59A83FDF" w:rsidP="00BF0F13">
      <w:pPr>
        <w:pStyle w:val="ListParagraph"/>
        <w:numPr>
          <w:ilvl w:val="0"/>
          <w:numId w:val="6"/>
        </w:numPr>
        <w:spacing w:line="240" w:lineRule="auto"/>
        <w:ind w:left="0"/>
        <w:jc w:val="both"/>
        <w:rPr>
          <w:rFonts w:ascii="Times New Roman" w:hAnsi="Times New Roman"/>
          <w:sz w:val="24"/>
          <w:szCs w:val="24"/>
        </w:rPr>
      </w:pPr>
      <w:r w:rsidRPr="0083510D">
        <w:rPr>
          <w:rFonts w:ascii="Times New Roman" w:hAnsi="Times New Roman"/>
          <w:sz w:val="24"/>
          <w:szCs w:val="24"/>
        </w:rPr>
        <w:lastRenderedPageBreak/>
        <w:t>Akcelerācijas fondi, biznesa inkubatori un inovāciju vaučeri, kas atvieglo tikko izveidotu uzņēmumus to sākotnējā attīstības posmā.</w:t>
      </w:r>
    </w:p>
    <w:p w14:paraId="69FC4ECA" w14:textId="19864409" w:rsidR="00FD2FBA" w:rsidRPr="0083510D" w:rsidRDefault="367FA139" w:rsidP="00BF0F13">
      <w:pPr>
        <w:pStyle w:val="ListParagraph"/>
        <w:numPr>
          <w:ilvl w:val="0"/>
          <w:numId w:val="6"/>
        </w:numPr>
        <w:spacing w:line="240" w:lineRule="auto"/>
        <w:ind w:left="0"/>
        <w:jc w:val="both"/>
        <w:rPr>
          <w:rFonts w:ascii="Times New Roman" w:hAnsi="Times New Roman"/>
          <w:sz w:val="24"/>
          <w:szCs w:val="24"/>
        </w:rPr>
      </w:pPr>
      <w:r w:rsidRPr="0083510D">
        <w:rPr>
          <w:rFonts w:ascii="Times New Roman" w:hAnsi="Times New Roman"/>
          <w:sz w:val="24"/>
          <w:szCs w:val="24"/>
        </w:rPr>
        <w:t xml:space="preserve">Lauku atbalsta dienesta administrētās programmas, kur iespējams saņemt atbalstu iekārtu iegādei un būvniecībai uzņēmumiem, kas nodarbojas ar lauksaimniecības produktu pārstrādi, tostarp pārtikas ražotājiem, kas definēta kā viena no </w:t>
      </w:r>
      <w:r w:rsidR="41C18BC3" w:rsidRPr="0083510D">
        <w:rPr>
          <w:rFonts w:ascii="Times New Roman" w:hAnsi="Times New Roman"/>
          <w:sz w:val="24"/>
          <w:szCs w:val="24"/>
        </w:rPr>
        <w:t>8 prioritārajām investīciju piesaistes nozarēm.</w:t>
      </w:r>
    </w:p>
    <w:p w14:paraId="4409E85B" w14:textId="3305EBDD" w:rsidR="00FD2FBA" w:rsidRPr="0083510D" w:rsidRDefault="009C5935" w:rsidP="00BF0F13">
      <w:pPr>
        <w:ind w:firstLine="360"/>
        <w:jc w:val="both"/>
        <w:rPr>
          <w:rFonts w:eastAsia="Times New Roman" w:cs="Times New Roman"/>
          <w:sz w:val="24"/>
          <w:szCs w:val="24"/>
        </w:rPr>
      </w:pPr>
      <w:r w:rsidRPr="0083510D">
        <w:rPr>
          <w:rFonts w:eastAsia="Times New Roman" w:cs="Times New Roman"/>
          <w:sz w:val="24"/>
          <w:szCs w:val="24"/>
        </w:rPr>
        <w:t>Vienlaikus notiek nepārtraukts darbs pie uzņēmējdarbības vides uzlabošanas,</w:t>
      </w:r>
      <w:r w:rsidR="2E6AABD9" w:rsidRPr="0083510D">
        <w:rPr>
          <w:rFonts w:eastAsia="Times New Roman" w:cs="Times New Roman"/>
          <w:sz w:val="24"/>
          <w:szCs w:val="24"/>
        </w:rPr>
        <w:t xml:space="preserve"> apzinot esošos problēmjautājumus,</w:t>
      </w:r>
      <w:r w:rsidRPr="0083510D">
        <w:rPr>
          <w:rFonts w:eastAsia="Times New Roman" w:cs="Times New Roman"/>
          <w:sz w:val="24"/>
          <w:szCs w:val="24"/>
        </w:rPr>
        <w:t xml:space="preserve"> lai tādejādi sekmētu investīciju vides attīstību Latvijā</w:t>
      </w:r>
      <w:r w:rsidR="39E8A41F" w:rsidRPr="0083510D">
        <w:rPr>
          <w:rFonts w:eastAsia="Times New Roman" w:cs="Times New Roman"/>
          <w:sz w:val="24"/>
          <w:szCs w:val="24"/>
        </w:rPr>
        <w:t>.</w:t>
      </w:r>
    </w:p>
    <w:p w14:paraId="60BC2163" w14:textId="6045C8B6" w:rsidR="39E8A41F" w:rsidRPr="0083510D" w:rsidRDefault="39E8A41F" w:rsidP="00BF0F13">
      <w:pPr>
        <w:ind w:firstLine="360"/>
        <w:jc w:val="both"/>
        <w:rPr>
          <w:rFonts w:eastAsia="Times New Roman" w:cs="Times New Roman"/>
          <w:sz w:val="24"/>
          <w:szCs w:val="24"/>
        </w:rPr>
      </w:pPr>
      <w:r w:rsidRPr="0083510D">
        <w:rPr>
          <w:rFonts w:eastAsia="Times New Roman" w:cs="Times New Roman"/>
          <w:sz w:val="24"/>
          <w:szCs w:val="24"/>
        </w:rPr>
        <w:t xml:space="preserve">Jāmin, ka pamatā atbalsta instrumenti paredzēti komersantiem ražošanas nozarēs, un atbalsts ir mazāk pieejams uzņēmumiem, kas darbojas globālo pakalpojumu centru un </w:t>
      </w:r>
      <w:r w:rsidR="6D1F66C6" w:rsidRPr="0083510D">
        <w:rPr>
          <w:rFonts w:eastAsia="Times New Roman" w:cs="Times New Roman"/>
          <w:sz w:val="24"/>
          <w:szCs w:val="24"/>
        </w:rPr>
        <w:t>IT nozarē. Apzinot šo uzņēmumu viedokli, nepieciešams atbalsts darba vietu radīšanai un jaunu IT pakalpojumu izstrādei.</w:t>
      </w:r>
    </w:p>
    <w:p w14:paraId="71152560" w14:textId="77777777" w:rsidR="000A3070" w:rsidRPr="0083510D" w:rsidRDefault="000A3070" w:rsidP="00BF0F13">
      <w:pPr>
        <w:ind w:firstLine="360"/>
        <w:jc w:val="both"/>
        <w:rPr>
          <w:rFonts w:eastAsia="Times New Roman" w:cs="Times New Roman"/>
          <w:sz w:val="24"/>
          <w:szCs w:val="24"/>
        </w:rPr>
      </w:pPr>
    </w:p>
    <w:p w14:paraId="4B23B769" w14:textId="489F3863" w:rsidR="00360F54" w:rsidRPr="0083510D" w:rsidRDefault="00360F54">
      <w:pPr>
        <w:pStyle w:val="Heading1"/>
        <w:shd w:val="clear" w:color="auto" w:fill="1DA0A7"/>
        <w:spacing w:before="0" w:line="240" w:lineRule="auto"/>
        <w:rPr>
          <w:color w:val="FFFFFF" w:themeColor="background1"/>
          <w:sz w:val="28"/>
          <w:lang w:val="lv-LV"/>
        </w:rPr>
      </w:pPr>
      <w:bookmarkStart w:id="21" w:name="_Toc462739797"/>
      <w:bookmarkStart w:id="22" w:name="_Toc47359879"/>
      <w:r w:rsidRPr="0083510D">
        <w:rPr>
          <w:color w:val="FFFFFF" w:themeColor="background1"/>
          <w:sz w:val="28"/>
        </w:rPr>
        <w:t>4. </w:t>
      </w:r>
      <w:bookmarkEnd w:id="21"/>
      <w:r w:rsidR="0034546A" w:rsidRPr="0083510D">
        <w:rPr>
          <w:color w:val="FFFFFF" w:themeColor="background1"/>
          <w:sz w:val="28"/>
          <w:lang w:val="lv-LV"/>
        </w:rPr>
        <w:t>Turpmākā rīcība, politikas plānošana</w:t>
      </w:r>
      <w:bookmarkEnd w:id="22"/>
    </w:p>
    <w:p w14:paraId="11CFA3D6" w14:textId="77777777" w:rsidR="007241E6" w:rsidRPr="0083510D" w:rsidRDefault="007241E6">
      <w:pPr>
        <w:jc w:val="both"/>
        <w:rPr>
          <w:rFonts w:cs="Times New Roman"/>
          <w:sz w:val="24"/>
          <w:szCs w:val="24"/>
        </w:rPr>
      </w:pPr>
    </w:p>
    <w:p w14:paraId="3C3BEF68" w14:textId="631D1DCC" w:rsidR="001013BB" w:rsidRPr="0083510D" w:rsidRDefault="749AE7A6" w:rsidP="00F058CB">
      <w:pPr>
        <w:ind w:firstLine="360"/>
        <w:jc w:val="both"/>
        <w:rPr>
          <w:rFonts w:eastAsia="Times New Roman" w:cs="Times New Roman"/>
          <w:sz w:val="24"/>
          <w:szCs w:val="24"/>
        </w:rPr>
      </w:pPr>
      <w:r w:rsidRPr="0083510D">
        <w:rPr>
          <w:rFonts w:eastAsia="Times New Roman" w:cs="Times New Roman"/>
          <w:sz w:val="24"/>
          <w:szCs w:val="24"/>
        </w:rPr>
        <w:t xml:space="preserve">Saistībā ar </w:t>
      </w:r>
      <w:r w:rsidR="57D5BD9C" w:rsidRPr="0083510D">
        <w:rPr>
          <w:rFonts w:eastAsia="Times New Roman" w:cs="Times New Roman"/>
          <w:sz w:val="24"/>
          <w:szCs w:val="24"/>
        </w:rPr>
        <w:t>C</w:t>
      </w:r>
      <w:r w:rsidR="00418B8D" w:rsidRPr="0083510D">
        <w:rPr>
          <w:rFonts w:eastAsia="Times New Roman" w:cs="Times New Roman"/>
          <w:sz w:val="24"/>
          <w:szCs w:val="24"/>
        </w:rPr>
        <w:t xml:space="preserve">ovid </w:t>
      </w:r>
      <w:r w:rsidR="2D539970" w:rsidRPr="0083510D">
        <w:rPr>
          <w:rFonts w:eastAsia="Times New Roman" w:cs="Times New Roman"/>
          <w:sz w:val="24"/>
          <w:szCs w:val="24"/>
        </w:rPr>
        <w:t xml:space="preserve">19 </w:t>
      </w:r>
      <w:r w:rsidR="00418B8D" w:rsidRPr="0083510D">
        <w:rPr>
          <w:rFonts w:eastAsia="Times New Roman" w:cs="Times New Roman"/>
          <w:sz w:val="24"/>
          <w:szCs w:val="24"/>
        </w:rPr>
        <w:t>ir</w:t>
      </w:r>
      <w:r w:rsidRPr="0083510D">
        <w:rPr>
          <w:rFonts w:eastAsia="Times New Roman" w:cs="Times New Roman"/>
          <w:sz w:val="24"/>
          <w:szCs w:val="24"/>
        </w:rPr>
        <w:t xml:space="preserve"> izstrādāta </w:t>
      </w:r>
      <w:r w:rsidR="047B43EB" w:rsidRPr="0083510D">
        <w:rPr>
          <w:rFonts w:eastAsia="Times New Roman" w:cs="Times New Roman"/>
          <w:sz w:val="24"/>
          <w:szCs w:val="24"/>
        </w:rPr>
        <w:t>“Stratēģija Latvijai COVID-19 krīzes radīto seku mazināšanai”</w:t>
      </w:r>
      <w:r w:rsidR="00418B8D" w:rsidRPr="0083510D">
        <w:rPr>
          <w:rFonts w:eastAsia="Times New Roman" w:cs="Times New Roman"/>
          <w:sz w:val="24"/>
          <w:szCs w:val="24"/>
        </w:rPr>
        <w:t>,</w:t>
      </w:r>
      <w:r w:rsidRPr="0083510D">
        <w:rPr>
          <w:rFonts w:eastAsia="Times New Roman" w:cs="Times New Roman"/>
          <w:sz w:val="24"/>
          <w:szCs w:val="24"/>
        </w:rPr>
        <w:t xml:space="preserve"> kurā </w:t>
      </w:r>
      <w:r w:rsidR="3C8406E1" w:rsidRPr="0083510D">
        <w:rPr>
          <w:rFonts w:eastAsia="Times New Roman" w:cs="Times New Roman"/>
          <w:sz w:val="24"/>
          <w:szCs w:val="24"/>
        </w:rPr>
        <w:t>eksports ir noteikts kā virsmērķis. Latvijā ir būtiski sniegt atbalstu ne tikai jau eksportējošiem uzņēmumiem, bet arī radīt iespējas jauniem eksportētājiem, atbalstot starptautiski konkurētspējīgas industrijas uzņēmumus un to produktu virzību eksporta tirgos. Vietējo un ārvalsts investoru efektīvai piesaistei tiks radīts “Zaļais koridors” birokrātijas un administratīvo procesu mazināšanai, vienlaikus, sadarbībā ar uzņēmējiem izstrādāti pasākumi uzņēmējdarbības izmaksu samazināšanai eksportspējas noturēšanai.</w:t>
      </w:r>
    </w:p>
    <w:p w14:paraId="751DCEC9" w14:textId="7492526B" w:rsidR="600F8D2D" w:rsidRPr="0083510D" w:rsidRDefault="3C8406E1" w:rsidP="00F058CB">
      <w:pPr>
        <w:ind w:firstLine="360"/>
        <w:jc w:val="both"/>
        <w:rPr>
          <w:rFonts w:eastAsia="Times New Roman" w:cs="Times New Roman"/>
          <w:sz w:val="24"/>
          <w:szCs w:val="24"/>
        </w:rPr>
      </w:pPr>
      <w:r w:rsidRPr="0083510D">
        <w:rPr>
          <w:rFonts w:eastAsia="Times New Roman" w:cs="Times New Roman"/>
          <w:sz w:val="24"/>
          <w:szCs w:val="24"/>
        </w:rPr>
        <w:t>Tiek izstrādātas Nacionālās industriālās politikas  pamatnostād</w:t>
      </w:r>
      <w:r w:rsidR="7BF09964" w:rsidRPr="0083510D">
        <w:rPr>
          <w:rFonts w:eastAsia="Times New Roman" w:cs="Times New Roman"/>
          <w:sz w:val="24"/>
          <w:szCs w:val="24"/>
        </w:rPr>
        <w:t>n</w:t>
      </w:r>
      <w:r w:rsidRPr="0083510D">
        <w:rPr>
          <w:rFonts w:eastAsia="Times New Roman" w:cs="Times New Roman"/>
          <w:sz w:val="24"/>
          <w:szCs w:val="24"/>
        </w:rPr>
        <w:t>es 2021</w:t>
      </w:r>
      <w:r w:rsidR="43F8AC91" w:rsidRPr="0083510D">
        <w:rPr>
          <w:rFonts w:eastAsia="Times New Roman" w:cs="Times New Roman"/>
          <w:sz w:val="24"/>
          <w:szCs w:val="24"/>
        </w:rPr>
        <w:t>.</w:t>
      </w:r>
      <w:r w:rsidRPr="0083510D">
        <w:rPr>
          <w:rFonts w:eastAsia="Times New Roman" w:cs="Times New Roman"/>
          <w:sz w:val="24"/>
          <w:szCs w:val="24"/>
        </w:rPr>
        <w:t>-2027</w:t>
      </w:r>
      <w:r w:rsidR="3927C9DC" w:rsidRPr="0083510D">
        <w:rPr>
          <w:rFonts w:eastAsia="Times New Roman" w:cs="Times New Roman"/>
          <w:sz w:val="24"/>
          <w:szCs w:val="24"/>
        </w:rPr>
        <w:t>.gadam</w:t>
      </w:r>
      <w:r w:rsidR="00F058CB" w:rsidRPr="0083510D">
        <w:rPr>
          <w:rFonts w:eastAsia="Times New Roman" w:cs="Times New Roman"/>
          <w:sz w:val="24"/>
          <w:szCs w:val="24"/>
        </w:rPr>
        <w:t xml:space="preserve"> (turpmāk - NIP</w:t>
      </w:r>
      <w:r w:rsidR="00EC2728">
        <w:rPr>
          <w:rFonts w:eastAsia="Times New Roman" w:cs="Times New Roman"/>
          <w:sz w:val="24"/>
          <w:szCs w:val="24"/>
        </w:rPr>
        <w:t>P</w:t>
      </w:r>
      <w:r w:rsidR="00F058CB" w:rsidRPr="0083510D">
        <w:rPr>
          <w:rFonts w:eastAsia="Times New Roman" w:cs="Times New Roman"/>
          <w:sz w:val="24"/>
          <w:szCs w:val="24"/>
        </w:rPr>
        <w:t>)</w:t>
      </w:r>
      <w:r w:rsidRPr="0083510D">
        <w:rPr>
          <w:rFonts w:eastAsia="Times New Roman" w:cs="Times New Roman"/>
          <w:sz w:val="24"/>
          <w:szCs w:val="24"/>
        </w:rPr>
        <w:t>, apvienojot vairākus pol</w:t>
      </w:r>
      <w:r w:rsidR="6A6C6EEB" w:rsidRPr="0083510D">
        <w:rPr>
          <w:rFonts w:eastAsia="Times New Roman" w:cs="Times New Roman"/>
          <w:sz w:val="24"/>
          <w:szCs w:val="24"/>
        </w:rPr>
        <w:t>i</w:t>
      </w:r>
      <w:r w:rsidRPr="0083510D">
        <w:rPr>
          <w:rFonts w:eastAsia="Times New Roman" w:cs="Times New Roman"/>
          <w:sz w:val="24"/>
          <w:szCs w:val="24"/>
        </w:rPr>
        <w:t xml:space="preserve">tikas plānošanas dokumentus, to skaitā </w:t>
      </w:r>
      <w:r w:rsidR="000D3F91">
        <w:rPr>
          <w:rFonts w:eastAsia="Times New Roman" w:cs="Times New Roman"/>
          <w:sz w:val="24"/>
          <w:szCs w:val="24"/>
        </w:rPr>
        <w:t>NIPP</w:t>
      </w:r>
      <w:r w:rsidR="07AE5DB7" w:rsidRPr="0083510D">
        <w:rPr>
          <w:rFonts w:eastAsia="Times New Roman" w:cs="Times New Roman"/>
          <w:sz w:val="24"/>
          <w:szCs w:val="24"/>
        </w:rPr>
        <w:t>, Latvijas preču un pakalpojumu eksporta veicināšanas un ārvalstu investīciju piesaistes pamatnostādnes</w:t>
      </w:r>
      <w:r w:rsidR="13177B18" w:rsidRPr="0083510D">
        <w:rPr>
          <w:rFonts w:eastAsia="Times New Roman" w:cs="Times New Roman"/>
          <w:sz w:val="24"/>
          <w:szCs w:val="24"/>
        </w:rPr>
        <w:t xml:space="preserve"> un Latvijas Tūrisma attīstības pamatnostādnes, kurā arī eksports ir noteikts kā virsmērķis ar noteikti rīcību turpmākai eksporta veicināšanai.</w:t>
      </w:r>
      <w:r w:rsidR="00F058CB" w:rsidRPr="0083510D">
        <w:rPr>
          <w:rFonts w:eastAsia="Times New Roman" w:cs="Times New Roman"/>
          <w:sz w:val="24"/>
          <w:szCs w:val="24"/>
        </w:rPr>
        <w:t xml:space="preserve"> Visi </w:t>
      </w:r>
      <w:r w:rsidR="000D3F91">
        <w:rPr>
          <w:rFonts w:eastAsia="Times New Roman" w:cs="Times New Roman"/>
          <w:sz w:val="24"/>
          <w:szCs w:val="24"/>
        </w:rPr>
        <w:t>Pamatnostādņu</w:t>
      </w:r>
      <w:bookmarkStart w:id="23" w:name="_GoBack"/>
      <w:bookmarkEnd w:id="23"/>
      <w:r w:rsidR="00F058CB" w:rsidRPr="0083510D">
        <w:rPr>
          <w:rFonts w:eastAsia="Times New Roman" w:cs="Times New Roman"/>
          <w:sz w:val="24"/>
          <w:szCs w:val="24"/>
        </w:rPr>
        <w:t xml:space="preserve"> plānā esošie pasākumi, kurus nepieciešams turpināt arī nākamajā periodā, tiks iekļauti NIP</w:t>
      </w:r>
      <w:r w:rsidR="00EC2728">
        <w:rPr>
          <w:rFonts w:eastAsia="Times New Roman" w:cs="Times New Roman"/>
          <w:sz w:val="24"/>
          <w:szCs w:val="24"/>
        </w:rPr>
        <w:t>P</w:t>
      </w:r>
      <w:r w:rsidR="00F058CB" w:rsidRPr="0083510D">
        <w:rPr>
          <w:rFonts w:eastAsia="Times New Roman" w:cs="Times New Roman"/>
          <w:sz w:val="24"/>
          <w:szCs w:val="24"/>
        </w:rPr>
        <w:t>.</w:t>
      </w:r>
    </w:p>
    <w:p w14:paraId="76F6065E" w14:textId="7FB9670B" w:rsidR="1370FDEA" w:rsidRPr="0083510D" w:rsidRDefault="00431533" w:rsidP="00C3075B">
      <w:pPr>
        <w:ind w:firstLine="360"/>
        <w:jc w:val="both"/>
        <w:rPr>
          <w:rFonts w:eastAsia="Times New Roman" w:cs="Times New Roman"/>
          <w:sz w:val="24"/>
          <w:szCs w:val="24"/>
        </w:rPr>
      </w:pPr>
      <w:r w:rsidRPr="0083510D">
        <w:rPr>
          <w:rFonts w:eastAsia="Times New Roman" w:cs="Times New Roman"/>
          <w:sz w:val="24"/>
          <w:szCs w:val="24"/>
        </w:rPr>
        <w:t xml:space="preserve">Kopumā vērtējot Pamatnostādņu izpildi, secināms, ka izvēlētie pasākumi ir bijuši atbilstoši un </w:t>
      </w:r>
      <w:r w:rsidR="00C3075B" w:rsidRPr="0083510D">
        <w:rPr>
          <w:rFonts w:eastAsia="Times New Roman" w:cs="Times New Roman"/>
          <w:sz w:val="24"/>
          <w:szCs w:val="24"/>
        </w:rPr>
        <w:t>ietekmējuši mērķu sasniegšanu un daļa no pasākumiem turpināma arī nākamajā periodā.</w:t>
      </w:r>
    </w:p>
    <w:p w14:paraId="2228D316" w14:textId="0782142D" w:rsidR="3B4E15DA" w:rsidRPr="0083510D" w:rsidRDefault="3B4E15DA" w:rsidP="00C3075B">
      <w:pPr>
        <w:ind w:firstLine="360"/>
        <w:jc w:val="both"/>
        <w:rPr>
          <w:rFonts w:eastAsia="Times New Roman" w:cs="Times New Roman"/>
          <w:sz w:val="24"/>
          <w:szCs w:val="24"/>
        </w:rPr>
      </w:pPr>
    </w:p>
    <w:p w14:paraId="3EA63513" w14:textId="506BE28B" w:rsidR="7205F472" w:rsidRPr="0083510D" w:rsidRDefault="7205F472">
      <w:pPr>
        <w:rPr>
          <w:rFonts w:cs="Times New Roman"/>
          <w:sz w:val="24"/>
          <w:szCs w:val="24"/>
        </w:rPr>
      </w:pPr>
    </w:p>
    <w:p w14:paraId="056A7135" w14:textId="574ECA24" w:rsidR="00294869" w:rsidRPr="0083510D" w:rsidRDefault="0034546A">
      <w:pPr>
        <w:tabs>
          <w:tab w:val="left" w:pos="7655"/>
        </w:tabs>
        <w:rPr>
          <w:rFonts w:cs="Times New Roman"/>
          <w:sz w:val="24"/>
          <w:szCs w:val="24"/>
        </w:rPr>
      </w:pPr>
      <w:r w:rsidRPr="0083510D">
        <w:rPr>
          <w:rFonts w:cs="Times New Roman"/>
          <w:sz w:val="24"/>
          <w:szCs w:val="24"/>
        </w:rPr>
        <w:t>E</w:t>
      </w:r>
      <w:r w:rsidR="00294869" w:rsidRPr="0083510D">
        <w:rPr>
          <w:rFonts w:cs="Times New Roman"/>
          <w:sz w:val="24"/>
          <w:szCs w:val="24"/>
        </w:rPr>
        <w:t>konomikas ministrs</w:t>
      </w:r>
      <w:r w:rsidR="00294869" w:rsidRPr="0083510D">
        <w:rPr>
          <w:rFonts w:cs="Times New Roman"/>
          <w:sz w:val="24"/>
          <w:szCs w:val="24"/>
        </w:rPr>
        <w:tab/>
      </w:r>
      <w:r w:rsidRPr="0083510D">
        <w:rPr>
          <w:rFonts w:cs="Times New Roman"/>
          <w:color w:val="000000"/>
          <w:sz w:val="24"/>
          <w:szCs w:val="24"/>
        </w:rPr>
        <w:t>J.Vitenbergs</w:t>
      </w:r>
    </w:p>
    <w:p w14:paraId="3ACCE80F" w14:textId="77777777" w:rsidR="00BD2F8E" w:rsidRPr="0083510D" w:rsidRDefault="00BD2F8E">
      <w:pPr>
        <w:rPr>
          <w:rFonts w:cs="Times New Roman"/>
          <w:bCs/>
          <w:sz w:val="8"/>
          <w:szCs w:val="8"/>
          <w:lang w:eastAsia="lv-LV"/>
        </w:rPr>
      </w:pPr>
    </w:p>
    <w:p w14:paraId="5ADC0109" w14:textId="77777777" w:rsidR="0034546A" w:rsidRPr="0083510D" w:rsidRDefault="0034546A">
      <w:pPr>
        <w:rPr>
          <w:rFonts w:cs="Times New Roman"/>
          <w:bCs/>
          <w:sz w:val="24"/>
          <w:szCs w:val="24"/>
          <w:lang w:eastAsia="lv-LV"/>
        </w:rPr>
      </w:pPr>
    </w:p>
    <w:p w14:paraId="0DB28EEF" w14:textId="77777777" w:rsidR="0034546A" w:rsidRPr="0083510D" w:rsidRDefault="0034546A">
      <w:pPr>
        <w:rPr>
          <w:rFonts w:cs="Times New Roman"/>
          <w:bCs/>
          <w:sz w:val="24"/>
          <w:szCs w:val="24"/>
          <w:lang w:eastAsia="lv-LV"/>
        </w:rPr>
      </w:pPr>
    </w:p>
    <w:p w14:paraId="76D61E62" w14:textId="452092F5" w:rsidR="00294869" w:rsidRPr="0083510D" w:rsidRDefault="00294869">
      <w:pPr>
        <w:rPr>
          <w:rFonts w:cs="Times New Roman"/>
          <w:bCs/>
          <w:sz w:val="24"/>
          <w:szCs w:val="24"/>
          <w:lang w:eastAsia="lv-LV"/>
        </w:rPr>
      </w:pPr>
      <w:r w:rsidRPr="0083510D">
        <w:rPr>
          <w:rFonts w:cs="Times New Roman"/>
          <w:bCs/>
          <w:sz w:val="24"/>
          <w:szCs w:val="24"/>
          <w:lang w:eastAsia="lv-LV"/>
        </w:rPr>
        <w:t xml:space="preserve">Vīza: </w:t>
      </w:r>
    </w:p>
    <w:p w14:paraId="0F588EB0" w14:textId="2FD3283F" w:rsidR="00294869" w:rsidRPr="0083510D" w:rsidRDefault="00294869">
      <w:pPr>
        <w:tabs>
          <w:tab w:val="left" w:pos="8222"/>
        </w:tabs>
        <w:rPr>
          <w:rFonts w:cs="Times New Roman"/>
          <w:sz w:val="24"/>
          <w:szCs w:val="24"/>
        </w:rPr>
      </w:pPr>
      <w:r w:rsidRPr="0083510D">
        <w:rPr>
          <w:rFonts w:cs="Times New Roman"/>
          <w:sz w:val="24"/>
          <w:szCs w:val="24"/>
        </w:rPr>
        <w:t>Ekonomikas ministrijas valsts sekretār</w:t>
      </w:r>
      <w:r w:rsidR="00431533" w:rsidRPr="0083510D">
        <w:rPr>
          <w:rFonts w:cs="Times New Roman"/>
          <w:sz w:val="24"/>
          <w:szCs w:val="24"/>
        </w:rPr>
        <w:t>s</w:t>
      </w:r>
      <w:r w:rsidRPr="0083510D">
        <w:rPr>
          <w:rFonts w:cs="Times New Roman"/>
          <w:sz w:val="24"/>
          <w:szCs w:val="24"/>
        </w:rPr>
        <w:tab/>
      </w:r>
      <w:r w:rsidR="0034546A" w:rsidRPr="0083510D">
        <w:rPr>
          <w:rFonts w:cs="Times New Roman"/>
          <w:sz w:val="24"/>
          <w:szCs w:val="24"/>
        </w:rPr>
        <w:t>E.Valantis</w:t>
      </w:r>
    </w:p>
    <w:bookmarkEnd w:id="12"/>
    <w:p w14:paraId="5366BDCB" w14:textId="77777777" w:rsidR="00FC287C" w:rsidRPr="0083510D" w:rsidRDefault="00FC287C">
      <w:pPr>
        <w:rPr>
          <w:rFonts w:cs="Times New Roman"/>
          <w:sz w:val="18"/>
        </w:rPr>
      </w:pPr>
    </w:p>
    <w:sectPr w:rsidR="00FC287C" w:rsidRPr="0083510D" w:rsidSect="00FA718D">
      <w:headerReference w:type="default" r:id="rId38"/>
      <w:footerReference w:type="default" r:id="rId39"/>
      <w:pgSz w:w="11906" w:h="16838" w:code="9"/>
      <w:pgMar w:top="1134" w:right="707" w:bottom="993" w:left="1418" w:header="426" w:footer="456"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3FDDB8" w14:textId="77777777" w:rsidR="0069767E" w:rsidRDefault="0069767E" w:rsidP="0083233C">
      <w:r>
        <w:separator/>
      </w:r>
    </w:p>
  </w:endnote>
  <w:endnote w:type="continuationSeparator" w:id="0">
    <w:p w14:paraId="2928C0DE" w14:textId="77777777" w:rsidR="0069767E" w:rsidRDefault="0069767E" w:rsidP="0083233C">
      <w:r>
        <w:continuationSeparator/>
      </w:r>
    </w:p>
  </w:endnote>
  <w:endnote w:type="continuationNotice" w:id="1">
    <w:p w14:paraId="776711DC" w14:textId="77777777" w:rsidR="0069767E" w:rsidRDefault="00697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EADF5" w14:textId="1BD78DA7" w:rsidR="0069767E" w:rsidRPr="00C33F75" w:rsidRDefault="0069767E" w:rsidP="00C33F75">
    <w:pPr>
      <w:pStyle w:val="Footer"/>
      <w:rPr>
        <w:rFonts w:ascii="Times New Roman" w:hAnsi="Times New Roman" w:cs="Times New Roman"/>
        <w:sz w:val="20"/>
      </w:rPr>
    </w:pPr>
    <w:r w:rsidRPr="00C33F75">
      <w:rPr>
        <w:rFonts w:ascii="Times New Roman" w:hAnsi="Times New Roman" w:cs="Times New Roman"/>
        <w:sz w:val="20"/>
      </w:rPr>
      <w:fldChar w:fldCharType="begin"/>
    </w:r>
    <w:r w:rsidRPr="00C33F75">
      <w:rPr>
        <w:rFonts w:ascii="Times New Roman" w:hAnsi="Times New Roman" w:cs="Times New Roman"/>
        <w:sz w:val="20"/>
      </w:rPr>
      <w:instrText xml:space="preserve"> FILENAME   \* MERGEFORMAT </w:instrText>
    </w:r>
    <w:r w:rsidRPr="00C33F75">
      <w:rPr>
        <w:rFonts w:ascii="Times New Roman" w:hAnsi="Times New Roman" w:cs="Times New Roman"/>
        <w:sz w:val="20"/>
      </w:rPr>
      <w:fldChar w:fldCharType="separate"/>
    </w:r>
    <w:r>
      <w:rPr>
        <w:rFonts w:ascii="Times New Roman" w:hAnsi="Times New Roman" w:cs="Times New Roman"/>
        <w:noProof/>
        <w:sz w:val="20"/>
      </w:rPr>
      <w:t>EMZin_240720_pamn_expost</w:t>
    </w:r>
    <w:r w:rsidRPr="00C33F75">
      <w:rPr>
        <w:rFonts w:ascii="Times New Roman" w:hAnsi="Times New Roman" w:cs="Times New Roman"/>
        <w:sz w:val="20"/>
      </w:rPr>
      <w:fldChar w:fldCharType="end"/>
    </w:r>
    <w:r w:rsidRPr="00C33F75">
      <w:rPr>
        <w:rFonts w:ascii="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D4210" w14:textId="77777777" w:rsidR="0069767E" w:rsidRDefault="0069767E" w:rsidP="0083233C">
      <w:r>
        <w:separator/>
      </w:r>
    </w:p>
  </w:footnote>
  <w:footnote w:type="continuationSeparator" w:id="0">
    <w:p w14:paraId="00C7D6EA" w14:textId="77777777" w:rsidR="0069767E" w:rsidRDefault="0069767E" w:rsidP="0083233C">
      <w:r>
        <w:continuationSeparator/>
      </w:r>
    </w:p>
  </w:footnote>
  <w:footnote w:type="continuationNotice" w:id="1">
    <w:p w14:paraId="621AA4DB" w14:textId="77777777" w:rsidR="0069767E" w:rsidRDefault="006976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8"/>
        <w:szCs w:val="18"/>
      </w:rPr>
      <w:id w:val="-994487796"/>
      <w:docPartObj>
        <w:docPartGallery w:val="Page Numbers (Top of Page)"/>
        <w:docPartUnique/>
      </w:docPartObj>
    </w:sdtPr>
    <w:sdtEndPr>
      <w:rPr>
        <w:noProof/>
        <w:sz w:val="20"/>
      </w:rPr>
    </w:sdtEndPr>
    <w:sdtContent>
      <w:p w14:paraId="446E2CED" w14:textId="77777777" w:rsidR="0069767E" w:rsidRPr="00D46FBB" w:rsidRDefault="0069767E" w:rsidP="00DF336B">
        <w:pPr>
          <w:pStyle w:val="Header"/>
          <w:jc w:val="right"/>
          <w:rPr>
            <w:rFonts w:ascii="Times New Roman" w:hAnsi="Times New Roman" w:cs="Times New Roman"/>
            <w:sz w:val="20"/>
            <w:szCs w:val="18"/>
          </w:rPr>
        </w:pPr>
        <w:r w:rsidRPr="00D46FBB">
          <w:rPr>
            <w:rFonts w:ascii="Times New Roman" w:hAnsi="Times New Roman" w:cs="Times New Roman"/>
            <w:sz w:val="20"/>
            <w:szCs w:val="18"/>
          </w:rPr>
          <w:fldChar w:fldCharType="begin"/>
        </w:r>
        <w:r w:rsidRPr="00D46FBB">
          <w:rPr>
            <w:rFonts w:ascii="Times New Roman" w:hAnsi="Times New Roman" w:cs="Times New Roman"/>
            <w:sz w:val="20"/>
            <w:szCs w:val="18"/>
          </w:rPr>
          <w:instrText xml:space="preserve"> PAGE   \* MERGEFORMAT </w:instrText>
        </w:r>
        <w:r w:rsidRPr="00D46FBB">
          <w:rPr>
            <w:rFonts w:ascii="Times New Roman" w:hAnsi="Times New Roman" w:cs="Times New Roman"/>
            <w:sz w:val="20"/>
            <w:szCs w:val="18"/>
          </w:rPr>
          <w:fldChar w:fldCharType="separate"/>
        </w:r>
        <w:r>
          <w:rPr>
            <w:rFonts w:ascii="Times New Roman" w:hAnsi="Times New Roman" w:cs="Times New Roman"/>
            <w:noProof/>
            <w:sz w:val="20"/>
            <w:szCs w:val="18"/>
          </w:rPr>
          <w:t>19</w:t>
        </w:r>
        <w:r w:rsidRPr="00D46FBB">
          <w:rPr>
            <w:rFonts w:ascii="Times New Roman" w:hAnsi="Times New Roman" w:cs="Times New Roman"/>
            <w:noProof/>
            <w:sz w:val="20"/>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09BF"/>
    <w:multiLevelType w:val="hybridMultilevel"/>
    <w:tmpl w:val="FFFFFFFF"/>
    <w:lvl w:ilvl="0" w:tplc="35FC552E">
      <w:start w:val="1"/>
      <w:numFmt w:val="bullet"/>
      <w:lvlText w:val=""/>
      <w:lvlJc w:val="left"/>
      <w:pPr>
        <w:ind w:left="720" w:hanging="360"/>
      </w:pPr>
      <w:rPr>
        <w:rFonts w:ascii="Symbol" w:hAnsi="Symbol" w:hint="default"/>
      </w:rPr>
    </w:lvl>
    <w:lvl w:ilvl="1" w:tplc="5344A8E0">
      <w:start w:val="1"/>
      <w:numFmt w:val="bullet"/>
      <w:lvlText w:val="o"/>
      <w:lvlJc w:val="left"/>
      <w:pPr>
        <w:ind w:left="1440" w:hanging="360"/>
      </w:pPr>
      <w:rPr>
        <w:rFonts w:ascii="Courier New" w:hAnsi="Courier New" w:hint="default"/>
      </w:rPr>
    </w:lvl>
    <w:lvl w:ilvl="2" w:tplc="314695BE">
      <w:start w:val="1"/>
      <w:numFmt w:val="bullet"/>
      <w:lvlText w:val=""/>
      <w:lvlJc w:val="left"/>
      <w:pPr>
        <w:ind w:left="2160" w:hanging="360"/>
      </w:pPr>
      <w:rPr>
        <w:rFonts w:ascii="Wingdings" w:hAnsi="Wingdings" w:hint="default"/>
      </w:rPr>
    </w:lvl>
    <w:lvl w:ilvl="3" w:tplc="3E8291A6">
      <w:start w:val="1"/>
      <w:numFmt w:val="bullet"/>
      <w:lvlText w:val=""/>
      <w:lvlJc w:val="left"/>
      <w:pPr>
        <w:ind w:left="2880" w:hanging="360"/>
      </w:pPr>
      <w:rPr>
        <w:rFonts w:ascii="Symbol" w:hAnsi="Symbol" w:hint="default"/>
      </w:rPr>
    </w:lvl>
    <w:lvl w:ilvl="4" w:tplc="22C6913A">
      <w:start w:val="1"/>
      <w:numFmt w:val="bullet"/>
      <w:lvlText w:val="o"/>
      <w:lvlJc w:val="left"/>
      <w:pPr>
        <w:ind w:left="3600" w:hanging="360"/>
      </w:pPr>
      <w:rPr>
        <w:rFonts w:ascii="Courier New" w:hAnsi="Courier New" w:hint="default"/>
      </w:rPr>
    </w:lvl>
    <w:lvl w:ilvl="5" w:tplc="050E5762">
      <w:start w:val="1"/>
      <w:numFmt w:val="bullet"/>
      <w:lvlText w:val=""/>
      <w:lvlJc w:val="left"/>
      <w:pPr>
        <w:ind w:left="4320" w:hanging="360"/>
      </w:pPr>
      <w:rPr>
        <w:rFonts w:ascii="Wingdings" w:hAnsi="Wingdings" w:hint="default"/>
      </w:rPr>
    </w:lvl>
    <w:lvl w:ilvl="6" w:tplc="DDE42F00">
      <w:start w:val="1"/>
      <w:numFmt w:val="bullet"/>
      <w:lvlText w:val=""/>
      <w:lvlJc w:val="left"/>
      <w:pPr>
        <w:ind w:left="5040" w:hanging="360"/>
      </w:pPr>
      <w:rPr>
        <w:rFonts w:ascii="Symbol" w:hAnsi="Symbol" w:hint="default"/>
      </w:rPr>
    </w:lvl>
    <w:lvl w:ilvl="7" w:tplc="724E7B3E">
      <w:start w:val="1"/>
      <w:numFmt w:val="bullet"/>
      <w:lvlText w:val="o"/>
      <w:lvlJc w:val="left"/>
      <w:pPr>
        <w:ind w:left="5760" w:hanging="360"/>
      </w:pPr>
      <w:rPr>
        <w:rFonts w:ascii="Courier New" w:hAnsi="Courier New" w:hint="default"/>
      </w:rPr>
    </w:lvl>
    <w:lvl w:ilvl="8" w:tplc="7C6240EE">
      <w:start w:val="1"/>
      <w:numFmt w:val="bullet"/>
      <w:lvlText w:val=""/>
      <w:lvlJc w:val="left"/>
      <w:pPr>
        <w:ind w:left="6480" w:hanging="360"/>
      </w:pPr>
      <w:rPr>
        <w:rFonts w:ascii="Wingdings" w:hAnsi="Wingdings" w:hint="default"/>
      </w:rPr>
    </w:lvl>
  </w:abstractNum>
  <w:abstractNum w:abstractNumId="1" w15:restartNumberingAfterBreak="0">
    <w:nsid w:val="0110648A"/>
    <w:multiLevelType w:val="hybridMultilevel"/>
    <w:tmpl w:val="82208096"/>
    <w:lvl w:ilvl="0" w:tplc="1D9C310E">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5D15919"/>
    <w:multiLevelType w:val="hybridMultilevel"/>
    <w:tmpl w:val="FFFFFFFF"/>
    <w:lvl w:ilvl="0" w:tplc="C764B9D6">
      <w:start w:val="1"/>
      <w:numFmt w:val="bullet"/>
      <w:lvlText w:val=""/>
      <w:lvlJc w:val="left"/>
      <w:pPr>
        <w:ind w:left="720" w:hanging="360"/>
      </w:pPr>
      <w:rPr>
        <w:rFonts w:ascii="Symbol" w:hAnsi="Symbol" w:hint="default"/>
      </w:rPr>
    </w:lvl>
    <w:lvl w:ilvl="1" w:tplc="F0C09DBE">
      <w:start w:val="1"/>
      <w:numFmt w:val="bullet"/>
      <w:lvlText w:val="o"/>
      <w:lvlJc w:val="left"/>
      <w:pPr>
        <w:ind w:left="1440" w:hanging="360"/>
      </w:pPr>
      <w:rPr>
        <w:rFonts w:ascii="Courier New" w:hAnsi="Courier New" w:hint="default"/>
      </w:rPr>
    </w:lvl>
    <w:lvl w:ilvl="2" w:tplc="12FA67A2">
      <w:start w:val="1"/>
      <w:numFmt w:val="bullet"/>
      <w:lvlText w:val=""/>
      <w:lvlJc w:val="left"/>
      <w:pPr>
        <w:ind w:left="2160" w:hanging="360"/>
      </w:pPr>
      <w:rPr>
        <w:rFonts w:ascii="Wingdings" w:hAnsi="Wingdings" w:hint="default"/>
      </w:rPr>
    </w:lvl>
    <w:lvl w:ilvl="3" w:tplc="07FCA620">
      <w:start w:val="1"/>
      <w:numFmt w:val="bullet"/>
      <w:lvlText w:val=""/>
      <w:lvlJc w:val="left"/>
      <w:pPr>
        <w:ind w:left="2880" w:hanging="360"/>
      </w:pPr>
      <w:rPr>
        <w:rFonts w:ascii="Symbol" w:hAnsi="Symbol" w:hint="default"/>
      </w:rPr>
    </w:lvl>
    <w:lvl w:ilvl="4" w:tplc="C504AA26">
      <w:start w:val="1"/>
      <w:numFmt w:val="bullet"/>
      <w:lvlText w:val="o"/>
      <w:lvlJc w:val="left"/>
      <w:pPr>
        <w:ind w:left="3600" w:hanging="360"/>
      </w:pPr>
      <w:rPr>
        <w:rFonts w:ascii="Courier New" w:hAnsi="Courier New" w:hint="default"/>
      </w:rPr>
    </w:lvl>
    <w:lvl w:ilvl="5" w:tplc="23DAC7C2">
      <w:start w:val="1"/>
      <w:numFmt w:val="bullet"/>
      <w:lvlText w:val=""/>
      <w:lvlJc w:val="left"/>
      <w:pPr>
        <w:ind w:left="4320" w:hanging="360"/>
      </w:pPr>
      <w:rPr>
        <w:rFonts w:ascii="Wingdings" w:hAnsi="Wingdings" w:hint="default"/>
      </w:rPr>
    </w:lvl>
    <w:lvl w:ilvl="6" w:tplc="F2427244">
      <w:start w:val="1"/>
      <w:numFmt w:val="bullet"/>
      <w:lvlText w:val=""/>
      <w:lvlJc w:val="left"/>
      <w:pPr>
        <w:ind w:left="5040" w:hanging="360"/>
      </w:pPr>
      <w:rPr>
        <w:rFonts w:ascii="Symbol" w:hAnsi="Symbol" w:hint="default"/>
      </w:rPr>
    </w:lvl>
    <w:lvl w:ilvl="7" w:tplc="344A827E">
      <w:start w:val="1"/>
      <w:numFmt w:val="bullet"/>
      <w:lvlText w:val="o"/>
      <w:lvlJc w:val="left"/>
      <w:pPr>
        <w:ind w:left="5760" w:hanging="360"/>
      </w:pPr>
      <w:rPr>
        <w:rFonts w:ascii="Courier New" w:hAnsi="Courier New" w:hint="default"/>
      </w:rPr>
    </w:lvl>
    <w:lvl w:ilvl="8" w:tplc="9B20B2FC">
      <w:start w:val="1"/>
      <w:numFmt w:val="bullet"/>
      <w:lvlText w:val=""/>
      <w:lvlJc w:val="left"/>
      <w:pPr>
        <w:ind w:left="6480" w:hanging="360"/>
      </w:pPr>
      <w:rPr>
        <w:rFonts w:ascii="Wingdings" w:hAnsi="Wingdings" w:hint="default"/>
      </w:rPr>
    </w:lvl>
  </w:abstractNum>
  <w:abstractNum w:abstractNumId="3" w15:restartNumberingAfterBreak="0">
    <w:nsid w:val="12C41B57"/>
    <w:multiLevelType w:val="hybridMultilevel"/>
    <w:tmpl w:val="FF6430A2"/>
    <w:lvl w:ilvl="0" w:tplc="0426000F">
      <w:start w:val="1"/>
      <w:numFmt w:val="decimal"/>
      <w:lvlText w:val="%1."/>
      <w:lvlJc w:val="left"/>
      <w:pPr>
        <w:ind w:left="1996" w:hanging="360"/>
      </w:pPr>
    </w:lvl>
    <w:lvl w:ilvl="1" w:tplc="04260019" w:tentative="1">
      <w:start w:val="1"/>
      <w:numFmt w:val="lowerLetter"/>
      <w:lvlText w:val="%2."/>
      <w:lvlJc w:val="left"/>
      <w:pPr>
        <w:ind w:left="2716" w:hanging="360"/>
      </w:pPr>
    </w:lvl>
    <w:lvl w:ilvl="2" w:tplc="0426001B" w:tentative="1">
      <w:start w:val="1"/>
      <w:numFmt w:val="lowerRoman"/>
      <w:lvlText w:val="%3."/>
      <w:lvlJc w:val="right"/>
      <w:pPr>
        <w:ind w:left="3436" w:hanging="180"/>
      </w:pPr>
    </w:lvl>
    <w:lvl w:ilvl="3" w:tplc="0426000F" w:tentative="1">
      <w:start w:val="1"/>
      <w:numFmt w:val="decimal"/>
      <w:lvlText w:val="%4."/>
      <w:lvlJc w:val="left"/>
      <w:pPr>
        <w:ind w:left="4156" w:hanging="360"/>
      </w:pPr>
    </w:lvl>
    <w:lvl w:ilvl="4" w:tplc="04260019" w:tentative="1">
      <w:start w:val="1"/>
      <w:numFmt w:val="lowerLetter"/>
      <w:lvlText w:val="%5."/>
      <w:lvlJc w:val="left"/>
      <w:pPr>
        <w:ind w:left="4876" w:hanging="360"/>
      </w:pPr>
    </w:lvl>
    <w:lvl w:ilvl="5" w:tplc="0426001B" w:tentative="1">
      <w:start w:val="1"/>
      <w:numFmt w:val="lowerRoman"/>
      <w:lvlText w:val="%6."/>
      <w:lvlJc w:val="right"/>
      <w:pPr>
        <w:ind w:left="5596" w:hanging="180"/>
      </w:pPr>
    </w:lvl>
    <w:lvl w:ilvl="6" w:tplc="0426000F" w:tentative="1">
      <w:start w:val="1"/>
      <w:numFmt w:val="decimal"/>
      <w:lvlText w:val="%7."/>
      <w:lvlJc w:val="left"/>
      <w:pPr>
        <w:ind w:left="6316" w:hanging="360"/>
      </w:pPr>
    </w:lvl>
    <w:lvl w:ilvl="7" w:tplc="04260019" w:tentative="1">
      <w:start w:val="1"/>
      <w:numFmt w:val="lowerLetter"/>
      <w:lvlText w:val="%8."/>
      <w:lvlJc w:val="left"/>
      <w:pPr>
        <w:ind w:left="7036" w:hanging="360"/>
      </w:pPr>
    </w:lvl>
    <w:lvl w:ilvl="8" w:tplc="0426001B" w:tentative="1">
      <w:start w:val="1"/>
      <w:numFmt w:val="lowerRoman"/>
      <w:lvlText w:val="%9."/>
      <w:lvlJc w:val="right"/>
      <w:pPr>
        <w:ind w:left="7756" w:hanging="180"/>
      </w:pPr>
    </w:lvl>
  </w:abstractNum>
  <w:abstractNum w:abstractNumId="4" w15:restartNumberingAfterBreak="0">
    <w:nsid w:val="16416676"/>
    <w:multiLevelType w:val="hybridMultilevel"/>
    <w:tmpl w:val="17DCD07C"/>
    <w:lvl w:ilvl="0" w:tplc="2EF6EF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0D26380"/>
    <w:multiLevelType w:val="hybridMultilevel"/>
    <w:tmpl w:val="FFFFFFFF"/>
    <w:lvl w:ilvl="0" w:tplc="EEFE404A">
      <w:start w:val="1"/>
      <w:numFmt w:val="bullet"/>
      <w:lvlText w:val=""/>
      <w:lvlJc w:val="left"/>
      <w:pPr>
        <w:ind w:left="720" w:hanging="360"/>
      </w:pPr>
      <w:rPr>
        <w:rFonts w:ascii="Symbol" w:hAnsi="Symbol" w:hint="default"/>
      </w:rPr>
    </w:lvl>
    <w:lvl w:ilvl="1" w:tplc="A3A2F12A">
      <w:start w:val="1"/>
      <w:numFmt w:val="bullet"/>
      <w:lvlText w:val="o"/>
      <w:lvlJc w:val="left"/>
      <w:pPr>
        <w:ind w:left="1440" w:hanging="360"/>
      </w:pPr>
      <w:rPr>
        <w:rFonts w:ascii="Courier New" w:hAnsi="Courier New" w:hint="default"/>
      </w:rPr>
    </w:lvl>
    <w:lvl w:ilvl="2" w:tplc="8736BFF6">
      <w:start w:val="1"/>
      <w:numFmt w:val="bullet"/>
      <w:lvlText w:val=""/>
      <w:lvlJc w:val="left"/>
      <w:pPr>
        <w:ind w:left="2160" w:hanging="360"/>
      </w:pPr>
      <w:rPr>
        <w:rFonts w:ascii="Wingdings" w:hAnsi="Wingdings" w:hint="default"/>
      </w:rPr>
    </w:lvl>
    <w:lvl w:ilvl="3" w:tplc="F2AC366C">
      <w:start w:val="1"/>
      <w:numFmt w:val="bullet"/>
      <w:lvlText w:val=""/>
      <w:lvlJc w:val="left"/>
      <w:pPr>
        <w:ind w:left="2880" w:hanging="360"/>
      </w:pPr>
      <w:rPr>
        <w:rFonts w:ascii="Symbol" w:hAnsi="Symbol" w:hint="default"/>
      </w:rPr>
    </w:lvl>
    <w:lvl w:ilvl="4" w:tplc="421CC288">
      <w:start w:val="1"/>
      <w:numFmt w:val="bullet"/>
      <w:lvlText w:val="o"/>
      <w:lvlJc w:val="left"/>
      <w:pPr>
        <w:ind w:left="3600" w:hanging="360"/>
      </w:pPr>
      <w:rPr>
        <w:rFonts w:ascii="Courier New" w:hAnsi="Courier New" w:hint="default"/>
      </w:rPr>
    </w:lvl>
    <w:lvl w:ilvl="5" w:tplc="8A568A78">
      <w:start w:val="1"/>
      <w:numFmt w:val="bullet"/>
      <w:lvlText w:val=""/>
      <w:lvlJc w:val="left"/>
      <w:pPr>
        <w:ind w:left="4320" w:hanging="360"/>
      </w:pPr>
      <w:rPr>
        <w:rFonts w:ascii="Wingdings" w:hAnsi="Wingdings" w:hint="default"/>
      </w:rPr>
    </w:lvl>
    <w:lvl w:ilvl="6" w:tplc="94145246">
      <w:start w:val="1"/>
      <w:numFmt w:val="bullet"/>
      <w:lvlText w:val=""/>
      <w:lvlJc w:val="left"/>
      <w:pPr>
        <w:ind w:left="5040" w:hanging="360"/>
      </w:pPr>
      <w:rPr>
        <w:rFonts w:ascii="Symbol" w:hAnsi="Symbol" w:hint="default"/>
      </w:rPr>
    </w:lvl>
    <w:lvl w:ilvl="7" w:tplc="B21C7080">
      <w:start w:val="1"/>
      <w:numFmt w:val="bullet"/>
      <w:lvlText w:val="o"/>
      <w:lvlJc w:val="left"/>
      <w:pPr>
        <w:ind w:left="5760" w:hanging="360"/>
      </w:pPr>
      <w:rPr>
        <w:rFonts w:ascii="Courier New" w:hAnsi="Courier New" w:hint="default"/>
      </w:rPr>
    </w:lvl>
    <w:lvl w:ilvl="8" w:tplc="77ECF708">
      <w:start w:val="1"/>
      <w:numFmt w:val="bullet"/>
      <w:lvlText w:val=""/>
      <w:lvlJc w:val="left"/>
      <w:pPr>
        <w:ind w:left="6480" w:hanging="360"/>
      </w:pPr>
      <w:rPr>
        <w:rFonts w:ascii="Wingdings" w:hAnsi="Wingdings" w:hint="default"/>
      </w:rPr>
    </w:lvl>
  </w:abstractNum>
  <w:abstractNum w:abstractNumId="6" w15:restartNumberingAfterBreak="0">
    <w:nsid w:val="25380436"/>
    <w:multiLevelType w:val="hybridMultilevel"/>
    <w:tmpl w:val="FFFFFFFF"/>
    <w:lvl w:ilvl="0" w:tplc="6498B078">
      <w:start w:val="1"/>
      <w:numFmt w:val="bullet"/>
      <w:lvlText w:val=""/>
      <w:lvlJc w:val="left"/>
      <w:pPr>
        <w:ind w:left="720" w:hanging="360"/>
      </w:pPr>
      <w:rPr>
        <w:rFonts w:ascii="Symbol" w:hAnsi="Symbol" w:hint="default"/>
      </w:rPr>
    </w:lvl>
    <w:lvl w:ilvl="1" w:tplc="8FBA5E42">
      <w:start w:val="1"/>
      <w:numFmt w:val="bullet"/>
      <w:lvlText w:val=""/>
      <w:lvlJc w:val="left"/>
      <w:pPr>
        <w:ind w:left="1440" w:hanging="360"/>
      </w:pPr>
      <w:rPr>
        <w:rFonts w:ascii="Symbol" w:hAnsi="Symbol" w:hint="default"/>
      </w:rPr>
    </w:lvl>
    <w:lvl w:ilvl="2" w:tplc="7B1C47B2">
      <w:start w:val="1"/>
      <w:numFmt w:val="bullet"/>
      <w:lvlText w:val=""/>
      <w:lvlJc w:val="left"/>
      <w:pPr>
        <w:ind w:left="2160" w:hanging="360"/>
      </w:pPr>
      <w:rPr>
        <w:rFonts w:ascii="Wingdings" w:hAnsi="Wingdings" w:hint="default"/>
      </w:rPr>
    </w:lvl>
    <w:lvl w:ilvl="3" w:tplc="DFDA3BEA">
      <w:start w:val="1"/>
      <w:numFmt w:val="bullet"/>
      <w:lvlText w:val=""/>
      <w:lvlJc w:val="left"/>
      <w:pPr>
        <w:ind w:left="2880" w:hanging="360"/>
      </w:pPr>
      <w:rPr>
        <w:rFonts w:ascii="Symbol" w:hAnsi="Symbol" w:hint="default"/>
      </w:rPr>
    </w:lvl>
    <w:lvl w:ilvl="4" w:tplc="F2648398">
      <w:start w:val="1"/>
      <w:numFmt w:val="bullet"/>
      <w:lvlText w:val="o"/>
      <w:lvlJc w:val="left"/>
      <w:pPr>
        <w:ind w:left="3600" w:hanging="360"/>
      </w:pPr>
      <w:rPr>
        <w:rFonts w:ascii="Courier New" w:hAnsi="Courier New" w:hint="default"/>
      </w:rPr>
    </w:lvl>
    <w:lvl w:ilvl="5" w:tplc="0854F6A2">
      <w:start w:val="1"/>
      <w:numFmt w:val="bullet"/>
      <w:lvlText w:val=""/>
      <w:lvlJc w:val="left"/>
      <w:pPr>
        <w:ind w:left="4320" w:hanging="360"/>
      </w:pPr>
      <w:rPr>
        <w:rFonts w:ascii="Wingdings" w:hAnsi="Wingdings" w:hint="default"/>
      </w:rPr>
    </w:lvl>
    <w:lvl w:ilvl="6" w:tplc="4078AE96">
      <w:start w:val="1"/>
      <w:numFmt w:val="bullet"/>
      <w:lvlText w:val=""/>
      <w:lvlJc w:val="left"/>
      <w:pPr>
        <w:ind w:left="5040" w:hanging="360"/>
      </w:pPr>
      <w:rPr>
        <w:rFonts w:ascii="Symbol" w:hAnsi="Symbol" w:hint="default"/>
      </w:rPr>
    </w:lvl>
    <w:lvl w:ilvl="7" w:tplc="2C6C7ED4">
      <w:start w:val="1"/>
      <w:numFmt w:val="bullet"/>
      <w:lvlText w:val="o"/>
      <w:lvlJc w:val="left"/>
      <w:pPr>
        <w:ind w:left="5760" w:hanging="360"/>
      </w:pPr>
      <w:rPr>
        <w:rFonts w:ascii="Courier New" w:hAnsi="Courier New" w:hint="default"/>
      </w:rPr>
    </w:lvl>
    <w:lvl w:ilvl="8" w:tplc="2AD82B1E">
      <w:start w:val="1"/>
      <w:numFmt w:val="bullet"/>
      <w:lvlText w:val=""/>
      <w:lvlJc w:val="left"/>
      <w:pPr>
        <w:ind w:left="6480" w:hanging="360"/>
      </w:pPr>
      <w:rPr>
        <w:rFonts w:ascii="Wingdings" w:hAnsi="Wingdings" w:hint="default"/>
      </w:rPr>
    </w:lvl>
  </w:abstractNum>
  <w:abstractNum w:abstractNumId="7" w15:restartNumberingAfterBreak="0">
    <w:nsid w:val="25A15174"/>
    <w:multiLevelType w:val="hybridMultilevel"/>
    <w:tmpl w:val="8FFAF46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6653422"/>
    <w:multiLevelType w:val="hybridMultilevel"/>
    <w:tmpl w:val="FFFFFFFF"/>
    <w:lvl w:ilvl="0" w:tplc="6CC2CBBC">
      <w:start w:val="1"/>
      <w:numFmt w:val="bullet"/>
      <w:lvlText w:val=""/>
      <w:lvlJc w:val="left"/>
      <w:pPr>
        <w:ind w:left="720" w:hanging="360"/>
      </w:pPr>
      <w:rPr>
        <w:rFonts w:ascii="Symbol" w:hAnsi="Symbol" w:hint="default"/>
      </w:rPr>
    </w:lvl>
    <w:lvl w:ilvl="1" w:tplc="6DACD18C">
      <w:start w:val="1"/>
      <w:numFmt w:val="bullet"/>
      <w:lvlText w:val="o"/>
      <w:lvlJc w:val="left"/>
      <w:pPr>
        <w:ind w:left="1440" w:hanging="360"/>
      </w:pPr>
      <w:rPr>
        <w:rFonts w:ascii="Courier New" w:hAnsi="Courier New" w:hint="default"/>
      </w:rPr>
    </w:lvl>
    <w:lvl w:ilvl="2" w:tplc="7D98D55A">
      <w:start w:val="1"/>
      <w:numFmt w:val="bullet"/>
      <w:lvlText w:val=""/>
      <w:lvlJc w:val="left"/>
      <w:pPr>
        <w:ind w:left="2160" w:hanging="360"/>
      </w:pPr>
      <w:rPr>
        <w:rFonts w:ascii="Wingdings" w:hAnsi="Wingdings" w:hint="default"/>
      </w:rPr>
    </w:lvl>
    <w:lvl w:ilvl="3" w:tplc="A04AD514">
      <w:start w:val="1"/>
      <w:numFmt w:val="bullet"/>
      <w:lvlText w:val=""/>
      <w:lvlJc w:val="left"/>
      <w:pPr>
        <w:ind w:left="2880" w:hanging="360"/>
      </w:pPr>
      <w:rPr>
        <w:rFonts w:ascii="Symbol" w:hAnsi="Symbol" w:hint="default"/>
      </w:rPr>
    </w:lvl>
    <w:lvl w:ilvl="4" w:tplc="E8A21964">
      <w:start w:val="1"/>
      <w:numFmt w:val="bullet"/>
      <w:lvlText w:val="o"/>
      <w:lvlJc w:val="left"/>
      <w:pPr>
        <w:ind w:left="3600" w:hanging="360"/>
      </w:pPr>
      <w:rPr>
        <w:rFonts w:ascii="Courier New" w:hAnsi="Courier New" w:hint="default"/>
      </w:rPr>
    </w:lvl>
    <w:lvl w:ilvl="5" w:tplc="4FB09EF4">
      <w:start w:val="1"/>
      <w:numFmt w:val="bullet"/>
      <w:lvlText w:val=""/>
      <w:lvlJc w:val="left"/>
      <w:pPr>
        <w:ind w:left="4320" w:hanging="360"/>
      </w:pPr>
      <w:rPr>
        <w:rFonts w:ascii="Wingdings" w:hAnsi="Wingdings" w:hint="default"/>
      </w:rPr>
    </w:lvl>
    <w:lvl w:ilvl="6" w:tplc="7D861F30">
      <w:start w:val="1"/>
      <w:numFmt w:val="bullet"/>
      <w:lvlText w:val=""/>
      <w:lvlJc w:val="left"/>
      <w:pPr>
        <w:ind w:left="5040" w:hanging="360"/>
      </w:pPr>
      <w:rPr>
        <w:rFonts w:ascii="Symbol" w:hAnsi="Symbol" w:hint="default"/>
      </w:rPr>
    </w:lvl>
    <w:lvl w:ilvl="7" w:tplc="EFF88EAA">
      <w:start w:val="1"/>
      <w:numFmt w:val="bullet"/>
      <w:lvlText w:val="o"/>
      <w:lvlJc w:val="left"/>
      <w:pPr>
        <w:ind w:left="5760" w:hanging="360"/>
      </w:pPr>
      <w:rPr>
        <w:rFonts w:ascii="Courier New" w:hAnsi="Courier New" w:hint="default"/>
      </w:rPr>
    </w:lvl>
    <w:lvl w:ilvl="8" w:tplc="89BC74B4">
      <w:start w:val="1"/>
      <w:numFmt w:val="bullet"/>
      <w:lvlText w:val=""/>
      <w:lvlJc w:val="left"/>
      <w:pPr>
        <w:ind w:left="6480" w:hanging="360"/>
      </w:pPr>
      <w:rPr>
        <w:rFonts w:ascii="Wingdings" w:hAnsi="Wingdings" w:hint="default"/>
      </w:rPr>
    </w:lvl>
  </w:abstractNum>
  <w:abstractNum w:abstractNumId="9" w15:restartNumberingAfterBreak="0">
    <w:nsid w:val="303353C0"/>
    <w:multiLevelType w:val="hybridMultilevel"/>
    <w:tmpl w:val="FFFFFFFF"/>
    <w:lvl w:ilvl="0" w:tplc="7F8ED0D8">
      <w:start w:val="1"/>
      <w:numFmt w:val="bullet"/>
      <w:lvlText w:val=""/>
      <w:lvlJc w:val="left"/>
      <w:pPr>
        <w:ind w:left="720" w:hanging="360"/>
      </w:pPr>
      <w:rPr>
        <w:rFonts w:ascii="Symbol" w:hAnsi="Symbol" w:hint="default"/>
      </w:rPr>
    </w:lvl>
    <w:lvl w:ilvl="1" w:tplc="68F877E6">
      <w:start w:val="1"/>
      <w:numFmt w:val="bullet"/>
      <w:lvlText w:val=""/>
      <w:lvlJc w:val="left"/>
      <w:pPr>
        <w:ind w:left="1440" w:hanging="360"/>
      </w:pPr>
      <w:rPr>
        <w:rFonts w:ascii="Symbol" w:hAnsi="Symbol" w:hint="default"/>
      </w:rPr>
    </w:lvl>
    <w:lvl w:ilvl="2" w:tplc="50AC2CB6">
      <w:start w:val="1"/>
      <w:numFmt w:val="bullet"/>
      <w:lvlText w:val=""/>
      <w:lvlJc w:val="left"/>
      <w:pPr>
        <w:ind w:left="2160" w:hanging="360"/>
      </w:pPr>
      <w:rPr>
        <w:rFonts w:ascii="Wingdings" w:hAnsi="Wingdings" w:hint="default"/>
      </w:rPr>
    </w:lvl>
    <w:lvl w:ilvl="3" w:tplc="941A3B0E">
      <w:start w:val="1"/>
      <w:numFmt w:val="bullet"/>
      <w:lvlText w:val=""/>
      <w:lvlJc w:val="left"/>
      <w:pPr>
        <w:ind w:left="2880" w:hanging="360"/>
      </w:pPr>
      <w:rPr>
        <w:rFonts w:ascii="Symbol" w:hAnsi="Symbol" w:hint="default"/>
      </w:rPr>
    </w:lvl>
    <w:lvl w:ilvl="4" w:tplc="EC5E6770">
      <w:start w:val="1"/>
      <w:numFmt w:val="bullet"/>
      <w:lvlText w:val="o"/>
      <w:lvlJc w:val="left"/>
      <w:pPr>
        <w:ind w:left="3600" w:hanging="360"/>
      </w:pPr>
      <w:rPr>
        <w:rFonts w:ascii="Courier New" w:hAnsi="Courier New" w:hint="default"/>
      </w:rPr>
    </w:lvl>
    <w:lvl w:ilvl="5" w:tplc="B5982842">
      <w:start w:val="1"/>
      <w:numFmt w:val="bullet"/>
      <w:lvlText w:val=""/>
      <w:lvlJc w:val="left"/>
      <w:pPr>
        <w:ind w:left="4320" w:hanging="360"/>
      </w:pPr>
      <w:rPr>
        <w:rFonts w:ascii="Wingdings" w:hAnsi="Wingdings" w:hint="default"/>
      </w:rPr>
    </w:lvl>
    <w:lvl w:ilvl="6" w:tplc="C08A1B9C">
      <w:start w:val="1"/>
      <w:numFmt w:val="bullet"/>
      <w:lvlText w:val=""/>
      <w:lvlJc w:val="left"/>
      <w:pPr>
        <w:ind w:left="5040" w:hanging="360"/>
      </w:pPr>
      <w:rPr>
        <w:rFonts w:ascii="Symbol" w:hAnsi="Symbol" w:hint="default"/>
      </w:rPr>
    </w:lvl>
    <w:lvl w:ilvl="7" w:tplc="8DCA1E4A">
      <w:start w:val="1"/>
      <w:numFmt w:val="bullet"/>
      <w:lvlText w:val="o"/>
      <w:lvlJc w:val="left"/>
      <w:pPr>
        <w:ind w:left="5760" w:hanging="360"/>
      </w:pPr>
      <w:rPr>
        <w:rFonts w:ascii="Courier New" w:hAnsi="Courier New" w:hint="default"/>
      </w:rPr>
    </w:lvl>
    <w:lvl w:ilvl="8" w:tplc="67826180">
      <w:start w:val="1"/>
      <w:numFmt w:val="bullet"/>
      <w:lvlText w:val=""/>
      <w:lvlJc w:val="left"/>
      <w:pPr>
        <w:ind w:left="6480" w:hanging="360"/>
      </w:pPr>
      <w:rPr>
        <w:rFonts w:ascii="Wingdings" w:hAnsi="Wingdings" w:hint="default"/>
      </w:rPr>
    </w:lvl>
  </w:abstractNum>
  <w:abstractNum w:abstractNumId="10" w15:restartNumberingAfterBreak="0">
    <w:nsid w:val="31A83E72"/>
    <w:multiLevelType w:val="hybridMultilevel"/>
    <w:tmpl w:val="9E187D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3D24CFC"/>
    <w:multiLevelType w:val="hybridMultilevel"/>
    <w:tmpl w:val="FFFFFFFF"/>
    <w:lvl w:ilvl="0" w:tplc="404AC7FE">
      <w:start w:val="1"/>
      <w:numFmt w:val="bullet"/>
      <w:lvlText w:val=""/>
      <w:lvlJc w:val="left"/>
      <w:pPr>
        <w:ind w:left="720" w:hanging="360"/>
      </w:pPr>
      <w:rPr>
        <w:rFonts w:ascii="Symbol" w:hAnsi="Symbol" w:hint="default"/>
      </w:rPr>
    </w:lvl>
    <w:lvl w:ilvl="1" w:tplc="05DC32CA">
      <w:start w:val="1"/>
      <w:numFmt w:val="bullet"/>
      <w:lvlText w:val="o"/>
      <w:lvlJc w:val="left"/>
      <w:pPr>
        <w:ind w:left="1440" w:hanging="360"/>
      </w:pPr>
      <w:rPr>
        <w:rFonts w:ascii="Courier New" w:hAnsi="Courier New" w:hint="default"/>
      </w:rPr>
    </w:lvl>
    <w:lvl w:ilvl="2" w:tplc="FA7E409A">
      <w:start w:val="1"/>
      <w:numFmt w:val="bullet"/>
      <w:lvlText w:val=""/>
      <w:lvlJc w:val="left"/>
      <w:pPr>
        <w:ind w:left="2160" w:hanging="360"/>
      </w:pPr>
      <w:rPr>
        <w:rFonts w:ascii="Wingdings" w:hAnsi="Wingdings" w:hint="default"/>
      </w:rPr>
    </w:lvl>
    <w:lvl w:ilvl="3" w:tplc="E5D83A7E">
      <w:start w:val="1"/>
      <w:numFmt w:val="bullet"/>
      <w:lvlText w:val=""/>
      <w:lvlJc w:val="left"/>
      <w:pPr>
        <w:ind w:left="2880" w:hanging="360"/>
      </w:pPr>
      <w:rPr>
        <w:rFonts w:ascii="Symbol" w:hAnsi="Symbol" w:hint="default"/>
      </w:rPr>
    </w:lvl>
    <w:lvl w:ilvl="4" w:tplc="3FF06FD8">
      <w:start w:val="1"/>
      <w:numFmt w:val="bullet"/>
      <w:lvlText w:val="o"/>
      <w:lvlJc w:val="left"/>
      <w:pPr>
        <w:ind w:left="3600" w:hanging="360"/>
      </w:pPr>
      <w:rPr>
        <w:rFonts w:ascii="Courier New" w:hAnsi="Courier New" w:hint="default"/>
      </w:rPr>
    </w:lvl>
    <w:lvl w:ilvl="5" w:tplc="214CD35A">
      <w:start w:val="1"/>
      <w:numFmt w:val="bullet"/>
      <w:lvlText w:val=""/>
      <w:lvlJc w:val="left"/>
      <w:pPr>
        <w:ind w:left="4320" w:hanging="360"/>
      </w:pPr>
      <w:rPr>
        <w:rFonts w:ascii="Wingdings" w:hAnsi="Wingdings" w:hint="default"/>
      </w:rPr>
    </w:lvl>
    <w:lvl w:ilvl="6" w:tplc="AFA8600E">
      <w:start w:val="1"/>
      <w:numFmt w:val="bullet"/>
      <w:lvlText w:val=""/>
      <w:lvlJc w:val="left"/>
      <w:pPr>
        <w:ind w:left="5040" w:hanging="360"/>
      </w:pPr>
      <w:rPr>
        <w:rFonts w:ascii="Symbol" w:hAnsi="Symbol" w:hint="default"/>
      </w:rPr>
    </w:lvl>
    <w:lvl w:ilvl="7" w:tplc="58BA6E3E">
      <w:start w:val="1"/>
      <w:numFmt w:val="bullet"/>
      <w:lvlText w:val="o"/>
      <w:lvlJc w:val="left"/>
      <w:pPr>
        <w:ind w:left="5760" w:hanging="360"/>
      </w:pPr>
      <w:rPr>
        <w:rFonts w:ascii="Courier New" w:hAnsi="Courier New" w:hint="default"/>
      </w:rPr>
    </w:lvl>
    <w:lvl w:ilvl="8" w:tplc="C8F6106E">
      <w:start w:val="1"/>
      <w:numFmt w:val="bullet"/>
      <w:lvlText w:val=""/>
      <w:lvlJc w:val="left"/>
      <w:pPr>
        <w:ind w:left="6480" w:hanging="360"/>
      </w:pPr>
      <w:rPr>
        <w:rFonts w:ascii="Wingdings" w:hAnsi="Wingdings" w:hint="default"/>
      </w:rPr>
    </w:lvl>
  </w:abstractNum>
  <w:abstractNum w:abstractNumId="12" w15:restartNumberingAfterBreak="0">
    <w:nsid w:val="37D34FD4"/>
    <w:multiLevelType w:val="hybridMultilevel"/>
    <w:tmpl w:val="79AAD4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3A2EC9"/>
    <w:multiLevelType w:val="hybridMultilevel"/>
    <w:tmpl w:val="2C1A36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8971341"/>
    <w:multiLevelType w:val="hybridMultilevel"/>
    <w:tmpl w:val="A75CE7BE"/>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E1A10B2"/>
    <w:multiLevelType w:val="hybridMultilevel"/>
    <w:tmpl w:val="FFFFFFFF"/>
    <w:lvl w:ilvl="0" w:tplc="405C6FAE">
      <w:start w:val="1"/>
      <w:numFmt w:val="bullet"/>
      <w:lvlText w:val=""/>
      <w:lvlJc w:val="left"/>
      <w:pPr>
        <w:ind w:left="720" w:hanging="360"/>
      </w:pPr>
      <w:rPr>
        <w:rFonts w:ascii="Symbol" w:hAnsi="Symbol" w:hint="default"/>
      </w:rPr>
    </w:lvl>
    <w:lvl w:ilvl="1" w:tplc="E3167E3C">
      <w:start w:val="1"/>
      <w:numFmt w:val="bullet"/>
      <w:lvlText w:val="o"/>
      <w:lvlJc w:val="left"/>
      <w:pPr>
        <w:ind w:left="1440" w:hanging="360"/>
      </w:pPr>
      <w:rPr>
        <w:rFonts w:ascii="Courier New" w:hAnsi="Courier New" w:hint="default"/>
      </w:rPr>
    </w:lvl>
    <w:lvl w:ilvl="2" w:tplc="560C70A2">
      <w:start w:val="1"/>
      <w:numFmt w:val="bullet"/>
      <w:lvlText w:val=""/>
      <w:lvlJc w:val="left"/>
      <w:pPr>
        <w:ind w:left="2160" w:hanging="360"/>
      </w:pPr>
      <w:rPr>
        <w:rFonts w:ascii="Wingdings" w:hAnsi="Wingdings" w:hint="default"/>
      </w:rPr>
    </w:lvl>
    <w:lvl w:ilvl="3" w:tplc="997491BA">
      <w:start w:val="1"/>
      <w:numFmt w:val="bullet"/>
      <w:lvlText w:val=""/>
      <w:lvlJc w:val="left"/>
      <w:pPr>
        <w:ind w:left="2880" w:hanging="360"/>
      </w:pPr>
      <w:rPr>
        <w:rFonts w:ascii="Symbol" w:hAnsi="Symbol" w:hint="default"/>
      </w:rPr>
    </w:lvl>
    <w:lvl w:ilvl="4" w:tplc="342A99C0">
      <w:start w:val="1"/>
      <w:numFmt w:val="bullet"/>
      <w:lvlText w:val="o"/>
      <w:lvlJc w:val="left"/>
      <w:pPr>
        <w:ind w:left="3600" w:hanging="360"/>
      </w:pPr>
      <w:rPr>
        <w:rFonts w:ascii="Courier New" w:hAnsi="Courier New" w:hint="default"/>
      </w:rPr>
    </w:lvl>
    <w:lvl w:ilvl="5" w:tplc="FC447CA6">
      <w:start w:val="1"/>
      <w:numFmt w:val="bullet"/>
      <w:lvlText w:val=""/>
      <w:lvlJc w:val="left"/>
      <w:pPr>
        <w:ind w:left="4320" w:hanging="360"/>
      </w:pPr>
      <w:rPr>
        <w:rFonts w:ascii="Wingdings" w:hAnsi="Wingdings" w:hint="default"/>
      </w:rPr>
    </w:lvl>
    <w:lvl w:ilvl="6" w:tplc="73227250">
      <w:start w:val="1"/>
      <w:numFmt w:val="bullet"/>
      <w:lvlText w:val=""/>
      <w:lvlJc w:val="left"/>
      <w:pPr>
        <w:ind w:left="5040" w:hanging="360"/>
      </w:pPr>
      <w:rPr>
        <w:rFonts w:ascii="Symbol" w:hAnsi="Symbol" w:hint="default"/>
      </w:rPr>
    </w:lvl>
    <w:lvl w:ilvl="7" w:tplc="DBA03DFC">
      <w:start w:val="1"/>
      <w:numFmt w:val="bullet"/>
      <w:lvlText w:val="o"/>
      <w:lvlJc w:val="left"/>
      <w:pPr>
        <w:ind w:left="5760" w:hanging="360"/>
      </w:pPr>
      <w:rPr>
        <w:rFonts w:ascii="Courier New" w:hAnsi="Courier New" w:hint="default"/>
      </w:rPr>
    </w:lvl>
    <w:lvl w:ilvl="8" w:tplc="7D14D27E">
      <w:start w:val="1"/>
      <w:numFmt w:val="bullet"/>
      <w:lvlText w:val=""/>
      <w:lvlJc w:val="left"/>
      <w:pPr>
        <w:ind w:left="6480" w:hanging="360"/>
      </w:pPr>
      <w:rPr>
        <w:rFonts w:ascii="Wingdings" w:hAnsi="Wingdings" w:hint="default"/>
      </w:rPr>
    </w:lvl>
  </w:abstractNum>
  <w:abstractNum w:abstractNumId="16" w15:restartNumberingAfterBreak="0">
    <w:nsid w:val="5088267E"/>
    <w:multiLevelType w:val="hybridMultilevel"/>
    <w:tmpl w:val="FFFFFFFF"/>
    <w:lvl w:ilvl="0" w:tplc="CA2C9D36">
      <w:start w:val="1"/>
      <w:numFmt w:val="decimal"/>
      <w:lvlText w:val="%1."/>
      <w:lvlJc w:val="left"/>
      <w:pPr>
        <w:ind w:left="720" w:hanging="360"/>
      </w:pPr>
    </w:lvl>
    <w:lvl w:ilvl="1" w:tplc="89D8BA3C">
      <w:start w:val="1"/>
      <w:numFmt w:val="lowerLetter"/>
      <w:lvlText w:val="%2."/>
      <w:lvlJc w:val="left"/>
      <w:pPr>
        <w:ind w:left="1440" w:hanging="360"/>
      </w:pPr>
    </w:lvl>
    <w:lvl w:ilvl="2" w:tplc="447A478C">
      <w:start w:val="1"/>
      <w:numFmt w:val="lowerRoman"/>
      <w:lvlText w:val="%3."/>
      <w:lvlJc w:val="right"/>
      <w:pPr>
        <w:ind w:left="2160" w:hanging="180"/>
      </w:pPr>
    </w:lvl>
    <w:lvl w:ilvl="3" w:tplc="1D720F74">
      <w:start w:val="1"/>
      <w:numFmt w:val="decimal"/>
      <w:lvlText w:val="%4."/>
      <w:lvlJc w:val="left"/>
      <w:pPr>
        <w:ind w:left="2880" w:hanging="360"/>
      </w:pPr>
    </w:lvl>
    <w:lvl w:ilvl="4" w:tplc="21F40C1A">
      <w:start w:val="1"/>
      <w:numFmt w:val="lowerLetter"/>
      <w:lvlText w:val="%5."/>
      <w:lvlJc w:val="left"/>
      <w:pPr>
        <w:ind w:left="3600" w:hanging="360"/>
      </w:pPr>
    </w:lvl>
    <w:lvl w:ilvl="5" w:tplc="BBF2D4D6">
      <w:start w:val="1"/>
      <w:numFmt w:val="lowerRoman"/>
      <w:lvlText w:val="%6."/>
      <w:lvlJc w:val="right"/>
      <w:pPr>
        <w:ind w:left="4320" w:hanging="180"/>
      </w:pPr>
    </w:lvl>
    <w:lvl w:ilvl="6" w:tplc="A9B05E08">
      <w:start w:val="1"/>
      <w:numFmt w:val="decimal"/>
      <w:lvlText w:val="%7."/>
      <w:lvlJc w:val="left"/>
      <w:pPr>
        <w:ind w:left="5040" w:hanging="360"/>
      </w:pPr>
    </w:lvl>
    <w:lvl w:ilvl="7" w:tplc="BD6ECCBE">
      <w:start w:val="1"/>
      <w:numFmt w:val="lowerLetter"/>
      <w:lvlText w:val="%8."/>
      <w:lvlJc w:val="left"/>
      <w:pPr>
        <w:ind w:left="5760" w:hanging="360"/>
      </w:pPr>
    </w:lvl>
    <w:lvl w:ilvl="8" w:tplc="09C08D46">
      <w:start w:val="1"/>
      <w:numFmt w:val="lowerRoman"/>
      <w:lvlText w:val="%9."/>
      <w:lvlJc w:val="right"/>
      <w:pPr>
        <w:ind w:left="6480" w:hanging="180"/>
      </w:pPr>
    </w:lvl>
  </w:abstractNum>
  <w:abstractNum w:abstractNumId="17" w15:restartNumberingAfterBreak="0">
    <w:nsid w:val="55043AE8"/>
    <w:multiLevelType w:val="hybridMultilevel"/>
    <w:tmpl w:val="6B96B7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5F44C92"/>
    <w:multiLevelType w:val="hybridMultilevel"/>
    <w:tmpl w:val="FFFFFFFF"/>
    <w:lvl w:ilvl="0" w:tplc="A634C3BE">
      <w:start w:val="1"/>
      <w:numFmt w:val="bullet"/>
      <w:lvlText w:val=""/>
      <w:lvlJc w:val="left"/>
      <w:pPr>
        <w:ind w:left="720" w:hanging="360"/>
      </w:pPr>
      <w:rPr>
        <w:rFonts w:ascii="Symbol" w:hAnsi="Symbol" w:hint="default"/>
      </w:rPr>
    </w:lvl>
    <w:lvl w:ilvl="1" w:tplc="DC7072BC">
      <w:start w:val="1"/>
      <w:numFmt w:val="bullet"/>
      <w:lvlText w:val="o"/>
      <w:lvlJc w:val="left"/>
      <w:pPr>
        <w:ind w:left="1440" w:hanging="360"/>
      </w:pPr>
      <w:rPr>
        <w:rFonts w:ascii="Courier New" w:hAnsi="Courier New" w:hint="default"/>
      </w:rPr>
    </w:lvl>
    <w:lvl w:ilvl="2" w:tplc="2CF0515A">
      <w:start w:val="1"/>
      <w:numFmt w:val="bullet"/>
      <w:lvlText w:val=""/>
      <w:lvlJc w:val="left"/>
      <w:pPr>
        <w:ind w:left="2160" w:hanging="360"/>
      </w:pPr>
      <w:rPr>
        <w:rFonts w:ascii="Wingdings" w:hAnsi="Wingdings" w:hint="default"/>
      </w:rPr>
    </w:lvl>
    <w:lvl w:ilvl="3" w:tplc="4CDE2F4C">
      <w:start w:val="1"/>
      <w:numFmt w:val="bullet"/>
      <w:lvlText w:val=""/>
      <w:lvlJc w:val="left"/>
      <w:pPr>
        <w:ind w:left="2880" w:hanging="360"/>
      </w:pPr>
      <w:rPr>
        <w:rFonts w:ascii="Symbol" w:hAnsi="Symbol" w:hint="default"/>
      </w:rPr>
    </w:lvl>
    <w:lvl w:ilvl="4" w:tplc="D66A2134">
      <w:start w:val="1"/>
      <w:numFmt w:val="bullet"/>
      <w:lvlText w:val="o"/>
      <w:lvlJc w:val="left"/>
      <w:pPr>
        <w:ind w:left="3600" w:hanging="360"/>
      </w:pPr>
      <w:rPr>
        <w:rFonts w:ascii="Courier New" w:hAnsi="Courier New" w:hint="default"/>
      </w:rPr>
    </w:lvl>
    <w:lvl w:ilvl="5" w:tplc="5036B0FE">
      <w:start w:val="1"/>
      <w:numFmt w:val="bullet"/>
      <w:lvlText w:val=""/>
      <w:lvlJc w:val="left"/>
      <w:pPr>
        <w:ind w:left="4320" w:hanging="360"/>
      </w:pPr>
      <w:rPr>
        <w:rFonts w:ascii="Wingdings" w:hAnsi="Wingdings" w:hint="default"/>
      </w:rPr>
    </w:lvl>
    <w:lvl w:ilvl="6" w:tplc="9F121E9A">
      <w:start w:val="1"/>
      <w:numFmt w:val="bullet"/>
      <w:lvlText w:val=""/>
      <w:lvlJc w:val="left"/>
      <w:pPr>
        <w:ind w:left="5040" w:hanging="360"/>
      </w:pPr>
      <w:rPr>
        <w:rFonts w:ascii="Symbol" w:hAnsi="Symbol" w:hint="default"/>
      </w:rPr>
    </w:lvl>
    <w:lvl w:ilvl="7" w:tplc="66C8752E">
      <w:start w:val="1"/>
      <w:numFmt w:val="bullet"/>
      <w:lvlText w:val="o"/>
      <w:lvlJc w:val="left"/>
      <w:pPr>
        <w:ind w:left="5760" w:hanging="360"/>
      </w:pPr>
      <w:rPr>
        <w:rFonts w:ascii="Courier New" w:hAnsi="Courier New" w:hint="default"/>
      </w:rPr>
    </w:lvl>
    <w:lvl w:ilvl="8" w:tplc="C3BA6F38">
      <w:start w:val="1"/>
      <w:numFmt w:val="bullet"/>
      <w:lvlText w:val=""/>
      <w:lvlJc w:val="left"/>
      <w:pPr>
        <w:ind w:left="6480" w:hanging="360"/>
      </w:pPr>
      <w:rPr>
        <w:rFonts w:ascii="Wingdings" w:hAnsi="Wingdings" w:hint="default"/>
      </w:rPr>
    </w:lvl>
  </w:abstractNum>
  <w:abstractNum w:abstractNumId="19" w15:restartNumberingAfterBreak="0">
    <w:nsid w:val="5A650EC8"/>
    <w:multiLevelType w:val="hybridMultilevel"/>
    <w:tmpl w:val="FFFFFFFF"/>
    <w:lvl w:ilvl="0" w:tplc="7D5CD4B8">
      <w:start w:val="1"/>
      <w:numFmt w:val="bullet"/>
      <w:lvlText w:val=""/>
      <w:lvlJc w:val="left"/>
      <w:pPr>
        <w:ind w:left="720" w:hanging="360"/>
      </w:pPr>
      <w:rPr>
        <w:rFonts w:ascii="Symbol" w:hAnsi="Symbol" w:hint="default"/>
      </w:rPr>
    </w:lvl>
    <w:lvl w:ilvl="1" w:tplc="3B082AA6">
      <w:start w:val="1"/>
      <w:numFmt w:val="bullet"/>
      <w:lvlText w:val="o"/>
      <w:lvlJc w:val="left"/>
      <w:pPr>
        <w:ind w:left="1440" w:hanging="360"/>
      </w:pPr>
      <w:rPr>
        <w:rFonts w:ascii="Courier New" w:hAnsi="Courier New" w:hint="default"/>
      </w:rPr>
    </w:lvl>
    <w:lvl w:ilvl="2" w:tplc="88A47A80">
      <w:start w:val="1"/>
      <w:numFmt w:val="bullet"/>
      <w:lvlText w:val=""/>
      <w:lvlJc w:val="left"/>
      <w:pPr>
        <w:ind w:left="2160" w:hanging="360"/>
      </w:pPr>
      <w:rPr>
        <w:rFonts w:ascii="Wingdings" w:hAnsi="Wingdings" w:hint="default"/>
      </w:rPr>
    </w:lvl>
    <w:lvl w:ilvl="3" w:tplc="1AB01068">
      <w:start w:val="1"/>
      <w:numFmt w:val="bullet"/>
      <w:lvlText w:val=""/>
      <w:lvlJc w:val="left"/>
      <w:pPr>
        <w:ind w:left="2880" w:hanging="360"/>
      </w:pPr>
      <w:rPr>
        <w:rFonts w:ascii="Symbol" w:hAnsi="Symbol" w:hint="default"/>
      </w:rPr>
    </w:lvl>
    <w:lvl w:ilvl="4" w:tplc="A18636A0">
      <w:start w:val="1"/>
      <w:numFmt w:val="bullet"/>
      <w:lvlText w:val="o"/>
      <w:lvlJc w:val="left"/>
      <w:pPr>
        <w:ind w:left="3600" w:hanging="360"/>
      </w:pPr>
      <w:rPr>
        <w:rFonts w:ascii="Courier New" w:hAnsi="Courier New" w:hint="default"/>
      </w:rPr>
    </w:lvl>
    <w:lvl w:ilvl="5" w:tplc="20C0C8B8">
      <w:start w:val="1"/>
      <w:numFmt w:val="bullet"/>
      <w:lvlText w:val=""/>
      <w:lvlJc w:val="left"/>
      <w:pPr>
        <w:ind w:left="4320" w:hanging="360"/>
      </w:pPr>
      <w:rPr>
        <w:rFonts w:ascii="Wingdings" w:hAnsi="Wingdings" w:hint="default"/>
      </w:rPr>
    </w:lvl>
    <w:lvl w:ilvl="6" w:tplc="AD8C4BD0">
      <w:start w:val="1"/>
      <w:numFmt w:val="bullet"/>
      <w:lvlText w:val=""/>
      <w:lvlJc w:val="left"/>
      <w:pPr>
        <w:ind w:left="5040" w:hanging="360"/>
      </w:pPr>
      <w:rPr>
        <w:rFonts w:ascii="Symbol" w:hAnsi="Symbol" w:hint="default"/>
      </w:rPr>
    </w:lvl>
    <w:lvl w:ilvl="7" w:tplc="FD8A5BD8">
      <w:start w:val="1"/>
      <w:numFmt w:val="bullet"/>
      <w:lvlText w:val="o"/>
      <w:lvlJc w:val="left"/>
      <w:pPr>
        <w:ind w:left="5760" w:hanging="360"/>
      </w:pPr>
      <w:rPr>
        <w:rFonts w:ascii="Courier New" w:hAnsi="Courier New" w:hint="default"/>
      </w:rPr>
    </w:lvl>
    <w:lvl w:ilvl="8" w:tplc="FB966ACE">
      <w:start w:val="1"/>
      <w:numFmt w:val="bullet"/>
      <w:lvlText w:val=""/>
      <w:lvlJc w:val="left"/>
      <w:pPr>
        <w:ind w:left="6480" w:hanging="360"/>
      </w:pPr>
      <w:rPr>
        <w:rFonts w:ascii="Wingdings" w:hAnsi="Wingdings" w:hint="default"/>
      </w:rPr>
    </w:lvl>
  </w:abstractNum>
  <w:abstractNum w:abstractNumId="20" w15:restartNumberingAfterBreak="0">
    <w:nsid w:val="5B807F28"/>
    <w:multiLevelType w:val="hybridMultilevel"/>
    <w:tmpl w:val="FFFFFFFF"/>
    <w:lvl w:ilvl="0" w:tplc="0A3E461C">
      <w:start w:val="1"/>
      <w:numFmt w:val="bullet"/>
      <w:lvlText w:val=""/>
      <w:lvlJc w:val="left"/>
      <w:pPr>
        <w:ind w:left="720" w:hanging="360"/>
      </w:pPr>
      <w:rPr>
        <w:rFonts w:ascii="Symbol" w:hAnsi="Symbol" w:hint="default"/>
      </w:rPr>
    </w:lvl>
    <w:lvl w:ilvl="1" w:tplc="EFBA4DE6">
      <w:start w:val="1"/>
      <w:numFmt w:val="bullet"/>
      <w:lvlText w:val="o"/>
      <w:lvlJc w:val="left"/>
      <w:pPr>
        <w:ind w:left="1440" w:hanging="360"/>
      </w:pPr>
      <w:rPr>
        <w:rFonts w:ascii="Courier New" w:hAnsi="Courier New" w:hint="default"/>
      </w:rPr>
    </w:lvl>
    <w:lvl w:ilvl="2" w:tplc="C6B6EA62">
      <w:start w:val="1"/>
      <w:numFmt w:val="bullet"/>
      <w:lvlText w:val=""/>
      <w:lvlJc w:val="left"/>
      <w:pPr>
        <w:ind w:left="2160" w:hanging="360"/>
      </w:pPr>
      <w:rPr>
        <w:rFonts w:ascii="Wingdings" w:hAnsi="Wingdings" w:hint="default"/>
      </w:rPr>
    </w:lvl>
    <w:lvl w:ilvl="3" w:tplc="3230C042">
      <w:start w:val="1"/>
      <w:numFmt w:val="bullet"/>
      <w:lvlText w:val=""/>
      <w:lvlJc w:val="left"/>
      <w:pPr>
        <w:ind w:left="2880" w:hanging="360"/>
      </w:pPr>
      <w:rPr>
        <w:rFonts w:ascii="Symbol" w:hAnsi="Symbol" w:hint="default"/>
      </w:rPr>
    </w:lvl>
    <w:lvl w:ilvl="4" w:tplc="5A68A614">
      <w:start w:val="1"/>
      <w:numFmt w:val="bullet"/>
      <w:lvlText w:val="o"/>
      <w:lvlJc w:val="left"/>
      <w:pPr>
        <w:ind w:left="3600" w:hanging="360"/>
      </w:pPr>
      <w:rPr>
        <w:rFonts w:ascii="Courier New" w:hAnsi="Courier New" w:hint="default"/>
      </w:rPr>
    </w:lvl>
    <w:lvl w:ilvl="5" w:tplc="ED94C7DC">
      <w:start w:val="1"/>
      <w:numFmt w:val="bullet"/>
      <w:lvlText w:val=""/>
      <w:lvlJc w:val="left"/>
      <w:pPr>
        <w:ind w:left="4320" w:hanging="360"/>
      </w:pPr>
      <w:rPr>
        <w:rFonts w:ascii="Wingdings" w:hAnsi="Wingdings" w:hint="default"/>
      </w:rPr>
    </w:lvl>
    <w:lvl w:ilvl="6" w:tplc="F72C0B38">
      <w:start w:val="1"/>
      <w:numFmt w:val="bullet"/>
      <w:lvlText w:val=""/>
      <w:lvlJc w:val="left"/>
      <w:pPr>
        <w:ind w:left="5040" w:hanging="360"/>
      </w:pPr>
      <w:rPr>
        <w:rFonts w:ascii="Symbol" w:hAnsi="Symbol" w:hint="default"/>
      </w:rPr>
    </w:lvl>
    <w:lvl w:ilvl="7" w:tplc="AF9EC9BC">
      <w:start w:val="1"/>
      <w:numFmt w:val="bullet"/>
      <w:lvlText w:val="o"/>
      <w:lvlJc w:val="left"/>
      <w:pPr>
        <w:ind w:left="5760" w:hanging="360"/>
      </w:pPr>
      <w:rPr>
        <w:rFonts w:ascii="Courier New" w:hAnsi="Courier New" w:hint="default"/>
      </w:rPr>
    </w:lvl>
    <w:lvl w:ilvl="8" w:tplc="D02A67D0">
      <w:start w:val="1"/>
      <w:numFmt w:val="bullet"/>
      <w:lvlText w:val=""/>
      <w:lvlJc w:val="left"/>
      <w:pPr>
        <w:ind w:left="6480" w:hanging="360"/>
      </w:pPr>
      <w:rPr>
        <w:rFonts w:ascii="Wingdings" w:hAnsi="Wingdings" w:hint="default"/>
      </w:rPr>
    </w:lvl>
  </w:abstractNum>
  <w:abstractNum w:abstractNumId="21" w15:restartNumberingAfterBreak="0">
    <w:nsid w:val="62F9302B"/>
    <w:multiLevelType w:val="hybridMultilevel"/>
    <w:tmpl w:val="41BAC6FA"/>
    <w:lvl w:ilvl="0" w:tplc="04260001">
      <w:start w:val="1"/>
      <w:numFmt w:val="bullet"/>
      <w:lvlText w:val=""/>
      <w:lvlJc w:val="left"/>
      <w:pPr>
        <w:ind w:left="720" w:hanging="360"/>
      </w:pPr>
      <w:rPr>
        <w:rFonts w:ascii="Symbol" w:hAnsi="Symbol" w:hint="default"/>
        <w:i w:val="0"/>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4F83C81"/>
    <w:multiLevelType w:val="hybridMultilevel"/>
    <w:tmpl w:val="FFFFFFFF"/>
    <w:lvl w:ilvl="0" w:tplc="CD5E06C4">
      <w:start w:val="1"/>
      <w:numFmt w:val="bullet"/>
      <w:lvlText w:val=""/>
      <w:lvlJc w:val="left"/>
      <w:pPr>
        <w:ind w:left="720" w:hanging="360"/>
      </w:pPr>
      <w:rPr>
        <w:rFonts w:ascii="Symbol" w:hAnsi="Symbol" w:hint="default"/>
      </w:rPr>
    </w:lvl>
    <w:lvl w:ilvl="1" w:tplc="D3E487E2">
      <w:start w:val="1"/>
      <w:numFmt w:val="bullet"/>
      <w:lvlText w:val="o"/>
      <w:lvlJc w:val="left"/>
      <w:pPr>
        <w:ind w:left="1440" w:hanging="360"/>
      </w:pPr>
      <w:rPr>
        <w:rFonts w:ascii="Courier New" w:hAnsi="Courier New" w:hint="default"/>
      </w:rPr>
    </w:lvl>
    <w:lvl w:ilvl="2" w:tplc="7AFC7784">
      <w:start w:val="1"/>
      <w:numFmt w:val="bullet"/>
      <w:lvlText w:val=""/>
      <w:lvlJc w:val="left"/>
      <w:pPr>
        <w:ind w:left="2160" w:hanging="360"/>
      </w:pPr>
      <w:rPr>
        <w:rFonts w:ascii="Wingdings" w:hAnsi="Wingdings" w:hint="default"/>
      </w:rPr>
    </w:lvl>
    <w:lvl w:ilvl="3" w:tplc="8FF8B860">
      <w:start w:val="1"/>
      <w:numFmt w:val="bullet"/>
      <w:lvlText w:val=""/>
      <w:lvlJc w:val="left"/>
      <w:pPr>
        <w:ind w:left="2880" w:hanging="360"/>
      </w:pPr>
      <w:rPr>
        <w:rFonts w:ascii="Symbol" w:hAnsi="Symbol" w:hint="default"/>
      </w:rPr>
    </w:lvl>
    <w:lvl w:ilvl="4" w:tplc="B5286F82">
      <w:start w:val="1"/>
      <w:numFmt w:val="bullet"/>
      <w:lvlText w:val="o"/>
      <w:lvlJc w:val="left"/>
      <w:pPr>
        <w:ind w:left="3600" w:hanging="360"/>
      </w:pPr>
      <w:rPr>
        <w:rFonts w:ascii="Courier New" w:hAnsi="Courier New" w:hint="default"/>
      </w:rPr>
    </w:lvl>
    <w:lvl w:ilvl="5" w:tplc="597C5D28">
      <w:start w:val="1"/>
      <w:numFmt w:val="bullet"/>
      <w:lvlText w:val=""/>
      <w:lvlJc w:val="left"/>
      <w:pPr>
        <w:ind w:left="4320" w:hanging="360"/>
      </w:pPr>
      <w:rPr>
        <w:rFonts w:ascii="Wingdings" w:hAnsi="Wingdings" w:hint="default"/>
      </w:rPr>
    </w:lvl>
    <w:lvl w:ilvl="6" w:tplc="2ED87752">
      <w:start w:val="1"/>
      <w:numFmt w:val="bullet"/>
      <w:lvlText w:val=""/>
      <w:lvlJc w:val="left"/>
      <w:pPr>
        <w:ind w:left="5040" w:hanging="360"/>
      </w:pPr>
      <w:rPr>
        <w:rFonts w:ascii="Symbol" w:hAnsi="Symbol" w:hint="default"/>
      </w:rPr>
    </w:lvl>
    <w:lvl w:ilvl="7" w:tplc="0C569460">
      <w:start w:val="1"/>
      <w:numFmt w:val="bullet"/>
      <w:lvlText w:val="o"/>
      <w:lvlJc w:val="left"/>
      <w:pPr>
        <w:ind w:left="5760" w:hanging="360"/>
      </w:pPr>
      <w:rPr>
        <w:rFonts w:ascii="Courier New" w:hAnsi="Courier New" w:hint="default"/>
      </w:rPr>
    </w:lvl>
    <w:lvl w:ilvl="8" w:tplc="8FE23C14">
      <w:start w:val="1"/>
      <w:numFmt w:val="bullet"/>
      <w:lvlText w:val=""/>
      <w:lvlJc w:val="left"/>
      <w:pPr>
        <w:ind w:left="6480" w:hanging="360"/>
      </w:pPr>
      <w:rPr>
        <w:rFonts w:ascii="Wingdings" w:hAnsi="Wingdings" w:hint="default"/>
      </w:rPr>
    </w:lvl>
  </w:abstractNum>
  <w:abstractNum w:abstractNumId="23" w15:restartNumberingAfterBreak="0">
    <w:nsid w:val="6772472C"/>
    <w:multiLevelType w:val="hybridMultilevel"/>
    <w:tmpl w:val="FFFFFFFF"/>
    <w:lvl w:ilvl="0" w:tplc="6CC8C42E">
      <w:start w:val="1"/>
      <w:numFmt w:val="bullet"/>
      <w:lvlText w:val=""/>
      <w:lvlJc w:val="left"/>
      <w:pPr>
        <w:ind w:left="720" w:hanging="360"/>
      </w:pPr>
      <w:rPr>
        <w:rFonts w:ascii="Symbol" w:hAnsi="Symbol" w:hint="default"/>
      </w:rPr>
    </w:lvl>
    <w:lvl w:ilvl="1" w:tplc="C5166FE6">
      <w:start w:val="1"/>
      <w:numFmt w:val="bullet"/>
      <w:lvlText w:val=""/>
      <w:lvlJc w:val="left"/>
      <w:pPr>
        <w:ind w:left="1440" w:hanging="360"/>
      </w:pPr>
      <w:rPr>
        <w:rFonts w:ascii="Symbol" w:hAnsi="Symbol" w:hint="default"/>
      </w:rPr>
    </w:lvl>
    <w:lvl w:ilvl="2" w:tplc="64EC353C">
      <w:start w:val="1"/>
      <w:numFmt w:val="bullet"/>
      <w:lvlText w:val=""/>
      <w:lvlJc w:val="left"/>
      <w:pPr>
        <w:ind w:left="2160" w:hanging="360"/>
      </w:pPr>
      <w:rPr>
        <w:rFonts w:ascii="Wingdings" w:hAnsi="Wingdings" w:hint="default"/>
      </w:rPr>
    </w:lvl>
    <w:lvl w:ilvl="3" w:tplc="B4049402">
      <w:start w:val="1"/>
      <w:numFmt w:val="bullet"/>
      <w:lvlText w:val=""/>
      <w:lvlJc w:val="left"/>
      <w:pPr>
        <w:ind w:left="2880" w:hanging="360"/>
      </w:pPr>
      <w:rPr>
        <w:rFonts w:ascii="Symbol" w:hAnsi="Symbol" w:hint="default"/>
      </w:rPr>
    </w:lvl>
    <w:lvl w:ilvl="4" w:tplc="A6DCF406">
      <w:start w:val="1"/>
      <w:numFmt w:val="bullet"/>
      <w:lvlText w:val="o"/>
      <w:lvlJc w:val="left"/>
      <w:pPr>
        <w:ind w:left="3600" w:hanging="360"/>
      </w:pPr>
      <w:rPr>
        <w:rFonts w:ascii="Courier New" w:hAnsi="Courier New" w:hint="default"/>
      </w:rPr>
    </w:lvl>
    <w:lvl w:ilvl="5" w:tplc="4E8010F2">
      <w:start w:val="1"/>
      <w:numFmt w:val="bullet"/>
      <w:lvlText w:val=""/>
      <w:lvlJc w:val="left"/>
      <w:pPr>
        <w:ind w:left="4320" w:hanging="360"/>
      </w:pPr>
      <w:rPr>
        <w:rFonts w:ascii="Wingdings" w:hAnsi="Wingdings" w:hint="default"/>
      </w:rPr>
    </w:lvl>
    <w:lvl w:ilvl="6" w:tplc="5F4A17A4">
      <w:start w:val="1"/>
      <w:numFmt w:val="bullet"/>
      <w:lvlText w:val=""/>
      <w:lvlJc w:val="left"/>
      <w:pPr>
        <w:ind w:left="5040" w:hanging="360"/>
      </w:pPr>
      <w:rPr>
        <w:rFonts w:ascii="Symbol" w:hAnsi="Symbol" w:hint="default"/>
      </w:rPr>
    </w:lvl>
    <w:lvl w:ilvl="7" w:tplc="3724C5A0">
      <w:start w:val="1"/>
      <w:numFmt w:val="bullet"/>
      <w:lvlText w:val="o"/>
      <w:lvlJc w:val="left"/>
      <w:pPr>
        <w:ind w:left="5760" w:hanging="360"/>
      </w:pPr>
      <w:rPr>
        <w:rFonts w:ascii="Courier New" w:hAnsi="Courier New" w:hint="default"/>
      </w:rPr>
    </w:lvl>
    <w:lvl w:ilvl="8" w:tplc="05C80784">
      <w:start w:val="1"/>
      <w:numFmt w:val="bullet"/>
      <w:lvlText w:val=""/>
      <w:lvlJc w:val="left"/>
      <w:pPr>
        <w:ind w:left="6480" w:hanging="360"/>
      </w:pPr>
      <w:rPr>
        <w:rFonts w:ascii="Wingdings" w:hAnsi="Wingdings" w:hint="default"/>
      </w:rPr>
    </w:lvl>
  </w:abstractNum>
  <w:abstractNum w:abstractNumId="24" w15:restartNumberingAfterBreak="0">
    <w:nsid w:val="708D32C0"/>
    <w:multiLevelType w:val="hybridMultilevel"/>
    <w:tmpl w:val="FFFFFFFF"/>
    <w:lvl w:ilvl="0" w:tplc="6F720C90">
      <w:start w:val="1"/>
      <w:numFmt w:val="bullet"/>
      <w:lvlText w:val=""/>
      <w:lvlJc w:val="left"/>
      <w:pPr>
        <w:ind w:left="720" w:hanging="360"/>
      </w:pPr>
      <w:rPr>
        <w:rFonts w:ascii="Symbol" w:hAnsi="Symbol" w:hint="default"/>
      </w:rPr>
    </w:lvl>
    <w:lvl w:ilvl="1" w:tplc="6E9CD900">
      <w:start w:val="1"/>
      <w:numFmt w:val="bullet"/>
      <w:lvlText w:val=""/>
      <w:lvlJc w:val="left"/>
      <w:pPr>
        <w:ind w:left="1440" w:hanging="360"/>
      </w:pPr>
      <w:rPr>
        <w:rFonts w:ascii="Symbol" w:hAnsi="Symbol" w:hint="default"/>
      </w:rPr>
    </w:lvl>
    <w:lvl w:ilvl="2" w:tplc="7C483E8A">
      <w:start w:val="1"/>
      <w:numFmt w:val="bullet"/>
      <w:lvlText w:val=""/>
      <w:lvlJc w:val="left"/>
      <w:pPr>
        <w:ind w:left="2160" w:hanging="360"/>
      </w:pPr>
      <w:rPr>
        <w:rFonts w:ascii="Wingdings" w:hAnsi="Wingdings" w:hint="default"/>
      </w:rPr>
    </w:lvl>
    <w:lvl w:ilvl="3" w:tplc="C930F08E">
      <w:start w:val="1"/>
      <w:numFmt w:val="bullet"/>
      <w:lvlText w:val=""/>
      <w:lvlJc w:val="left"/>
      <w:pPr>
        <w:ind w:left="2880" w:hanging="360"/>
      </w:pPr>
      <w:rPr>
        <w:rFonts w:ascii="Symbol" w:hAnsi="Symbol" w:hint="default"/>
      </w:rPr>
    </w:lvl>
    <w:lvl w:ilvl="4" w:tplc="0F302B24">
      <w:start w:val="1"/>
      <w:numFmt w:val="bullet"/>
      <w:lvlText w:val="o"/>
      <w:lvlJc w:val="left"/>
      <w:pPr>
        <w:ind w:left="3600" w:hanging="360"/>
      </w:pPr>
      <w:rPr>
        <w:rFonts w:ascii="Courier New" w:hAnsi="Courier New" w:hint="default"/>
      </w:rPr>
    </w:lvl>
    <w:lvl w:ilvl="5" w:tplc="60D2C03E">
      <w:start w:val="1"/>
      <w:numFmt w:val="bullet"/>
      <w:lvlText w:val=""/>
      <w:lvlJc w:val="left"/>
      <w:pPr>
        <w:ind w:left="4320" w:hanging="360"/>
      </w:pPr>
      <w:rPr>
        <w:rFonts w:ascii="Wingdings" w:hAnsi="Wingdings" w:hint="default"/>
      </w:rPr>
    </w:lvl>
    <w:lvl w:ilvl="6" w:tplc="A7B0B1AC">
      <w:start w:val="1"/>
      <w:numFmt w:val="bullet"/>
      <w:lvlText w:val=""/>
      <w:lvlJc w:val="left"/>
      <w:pPr>
        <w:ind w:left="5040" w:hanging="360"/>
      </w:pPr>
      <w:rPr>
        <w:rFonts w:ascii="Symbol" w:hAnsi="Symbol" w:hint="default"/>
      </w:rPr>
    </w:lvl>
    <w:lvl w:ilvl="7" w:tplc="9FCCFE32">
      <w:start w:val="1"/>
      <w:numFmt w:val="bullet"/>
      <w:lvlText w:val="o"/>
      <w:lvlJc w:val="left"/>
      <w:pPr>
        <w:ind w:left="5760" w:hanging="360"/>
      </w:pPr>
      <w:rPr>
        <w:rFonts w:ascii="Courier New" w:hAnsi="Courier New" w:hint="default"/>
      </w:rPr>
    </w:lvl>
    <w:lvl w:ilvl="8" w:tplc="83CED7A4">
      <w:start w:val="1"/>
      <w:numFmt w:val="bullet"/>
      <w:lvlText w:val=""/>
      <w:lvlJc w:val="left"/>
      <w:pPr>
        <w:ind w:left="6480" w:hanging="360"/>
      </w:pPr>
      <w:rPr>
        <w:rFonts w:ascii="Wingdings" w:hAnsi="Wingdings" w:hint="default"/>
      </w:rPr>
    </w:lvl>
  </w:abstractNum>
  <w:abstractNum w:abstractNumId="25" w15:restartNumberingAfterBreak="0">
    <w:nsid w:val="71034E59"/>
    <w:multiLevelType w:val="hybridMultilevel"/>
    <w:tmpl w:val="1756A0C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4DD1325"/>
    <w:multiLevelType w:val="hybridMultilevel"/>
    <w:tmpl w:val="FFFFFFFF"/>
    <w:lvl w:ilvl="0" w:tplc="323EDAEE">
      <w:start w:val="1"/>
      <w:numFmt w:val="bullet"/>
      <w:lvlText w:val=""/>
      <w:lvlJc w:val="left"/>
      <w:pPr>
        <w:ind w:left="720" w:hanging="360"/>
      </w:pPr>
      <w:rPr>
        <w:rFonts w:ascii="Symbol" w:hAnsi="Symbol" w:hint="default"/>
      </w:rPr>
    </w:lvl>
    <w:lvl w:ilvl="1" w:tplc="718A52D4">
      <w:start w:val="1"/>
      <w:numFmt w:val="bullet"/>
      <w:lvlText w:val="o"/>
      <w:lvlJc w:val="left"/>
      <w:pPr>
        <w:ind w:left="1440" w:hanging="360"/>
      </w:pPr>
      <w:rPr>
        <w:rFonts w:ascii="Courier New" w:hAnsi="Courier New" w:hint="default"/>
      </w:rPr>
    </w:lvl>
    <w:lvl w:ilvl="2" w:tplc="24728C62">
      <w:start w:val="1"/>
      <w:numFmt w:val="bullet"/>
      <w:lvlText w:val=""/>
      <w:lvlJc w:val="left"/>
      <w:pPr>
        <w:ind w:left="2160" w:hanging="360"/>
      </w:pPr>
      <w:rPr>
        <w:rFonts w:ascii="Wingdings" w:hAnsi="Wingdings" w:hint="default"/>
      </w:rPr>
    </w:lvl>
    <w:lvl w:ilvl="3" w:tplc="057E1E54">
      <w:start w:val="1"/>
      <w:numFmt w:val="bullet"/>
      <w:lvlText w:val=""/>
      <w:lvlJc w:val="left"/>
      <w:pPr>
        <w:ind w:left="2880" w:hanging="360"/>
      </w:pPr>
      <w:rPr>
        <w:rFonts w:ascii="Symbol" w:hAnsi="Symbol" w:hint="default"/>
      </w:rPr>
    </w:lvl>
    <w:lvl w:ilvl="4" w:tplc="DEA611BE">
      <w:start w:val="1"/>
      <w:numFmt w:val="bullet"/>
      <w:lvlText w:val="o"/>
      <w:lvlJc w:val="left"/>
      <w:pPr>
        <w:ind w:left="3600" w:hanging="360"/>
      </w:pPr>
      <w:rPr>
        <w:rFonts w:ascii="Courier New" w:hAnsi="Courier New" w:hint="default"/>
      </w:rPr>
    </w:lvl>
    <w:lvl w:ilvl="5" w:tplc="FE84D72E">
      <w:start w:val="1"/>
      <w:numFmt w:val="bullet"/>
      <w:lvlText w:val=""/>
      <w:lvlJc w:val="left"/>
      <w:pPr>
        <w:ind w:left="4320" w:hanging="360"/>
      </w:pPr>
      <w:rPr>
        <w:rFonts w:ascii="Wingdings" w:hAnsi="Wingdings" w:hint="default"/>
      </w:rPr>
    </w:lvl>
    <w:lvl w:ilvl="6" w:tplc="A6B850D8">
      <w:start w:val="1"/>
      <w:numFmt w:val="bullet"/>
      <w:lvlText w:val=""/>
      <w:lvlJc w:val="left"/>
      <w:pPr>
        <w:ind w:left="5040" w:hanging="360"/>
      </w:pPr>
      <w:rPr>
        <w:rFonts w:ascii="Symbol" w:hAnsi="Symbol" w:hint="default"/>
      </w:rPr>
    </w:lvl>
    <w:lvl w:ilvl="7" w:tplc="DC4A8652">
      <w:start w:val="1"/>
      <w:numFmt w:val="bullet"/>
      <w:lvlText w:val="o"/>
      <w:lvlJc w:val="left"/>
      <w:pPr>
        <w:ind w:left="5760" w:hanging="360"/>
      </w:pPr>
      <w:rPr>
        <w:rFonts w:ascii="Courier New" w:hAnsi="Courier New" w:hint="default"/>
      </w:rPr>
    </w:lvl>
    <w:lvl w:ilvl="8" w:tplc="638E9D36">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25"/>
  </w:num>
  <w:num w:numId="4">
    <w:abstractNumId w:val="12"/>
  </w:num>
  <w:num w:numId="5">
    <w:abstractNumId w:val="4"/>
  </w:num>
  <w:num w:numId="6">
    <w:abstractNumId w:val="7"/>
  </w:num>
  <w:num w:numId="7">
    <w:abstractNumId w:val="23"/>
  </w:num>
  <w:num w:numId="8">
    <w:abstractNumId w:val="18"/>
  </w:num>
  <w:num w:numId="9">
    <w:abstractNumId w:val="24"/>
  </w:num>
  <w:num w:numId="10">
    <w:abstractNumId w:val="8"/>
  </w:num>
  <w:num w:numId="11">
    <w:abstractNumId w:val="21"/>
  </w:num>
  <w:num w:numId="12">
    <w:abstractNumId w:val="10"/>
  </w:num>
  <w:num w:numId="13">
    <w:abstractNumId w:val="17"/>
  </w:num>
  <w:num w:numId="14">
    <w:abstractNumId w:val="1"/>
  </w:num>
  <w:num w:numId="15">
    <w:abstractNumId w:val="6"/>
  </w:num>
  <w:num w:numId="16">
    <w:abstractNumId w:val="15"/>
  </w:num>
  <w:num w:numId="17">
    <w:abstractNumId w:val="9"/>
  </w:num>
  <w:num w:numId="18">
    <w:abstractNumId w:val="26"/>
  </w:num>
  <w:num w:numId="19">
    <w:abstractNumId w:val="19"/>
  </w:num>
  <w:num w:numId="20">
    <w:abstractNumId w:val="20"/>
  </w:num>
  <w:num w:numId="21">
    <w:abstractNumId w:val="2"/>
  </w:num>
  <w:num w:numId="22">
    <w:abstractNumId w:val="0"/>
  </w:num>
  <w:num w:numId="23">
    <w:abstractNumId w:val="11"/>
  </w:num>
  <w:num w:numId="24">
    <w:abstractNumId w:val="22"/>
  </w:num>
  <w:num w:numId="25">
    <w:abstractNumId w:val="5"/>
  </w:num>
  <w:num w:numId="26">
    <w:abstractNumId w:val="16"/>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350"/>
    <w:rsid w:val="000035DB"/>
    <w:rsid w:val="000045C2"/>
    <w:rsid w:val="0000518F"/>
    <w:rsid w:val="00005AE6"/>
    <w:rsid w:val="00010701"/>
    <w:rsid w:val="00010C53"/>
    <w:rsid w:val="00011257"/>
    <w:rsid w:val="00012D39"/>
    <w:rsid w:val="000137D4"/>
    <w:rsid w:val="000144E5"/>
    <w:rsid w:val="00014BE8"/>
    <w:rsid w:val="00017A90"/>
    <w:rsid w:val="00017E76"/>
    <w:rsid w:val="00017F8C"/>
    <w:rsid w:val="0002298B"/>
    <w:rsid w:val="00022CDC"/>
    <w:rsid w:val="00023F7C"/>
    <w:rsid w:val="00023FF4"/>
    <w:rsid w:val="000251F7"/>
    <w:rsid w:val="000253D0"/>
    <w:rsid w:val="00026D6E"/>
    <w:rsid w:val="0003194A"/>
    <w:rsid w:val="00032706"/>
    <w:rsid w:val="00032723"/>
    <w:rsid w:val="00033948"/>
    <w:rsid w:val="00034C53"/>
    <w:rsid w:val="000360B7"/>
    <w:rsid w:val="00036775"/>
    <w:rsid w:val="0004035C"/>
    <w:rsid w:val="0004420C"/>
    <w:rsid w:val="000447FF"/>
    <w:rsid w:val="000469CE"/>
    <w:rsid w:val="000500E0"/>
    <w:rsid w:val="00051C12"/>
    <w:rsid w:val="00051F2A"/>
    <w:rsid w:val="0005335C"/>
    <w:rsid w:val="0005410D"/>
    <w:rsid w:val="00055EB6"/>
    <w:rsid w:val="000577B5"/>
    <w:rsid w:val="00060590"/>
    <w:rsid w:val="00061F08"/>
    <w:rsid w:val="000648F7"/>
    <w:rsid w:val="0006597E"/>
    <w:rsid w:val="00067C0A"/>
    <w:rsid w:val="00070054"/>
    <w:rsid w:val="00070698"/>
    <w:rsid w:val="0007190B"/>
    <w:rsid w:val="00071A65"/>
    <w:rsid w:val="00072026"/>
    <w:rsid w:val="0007420B"/>
    <w:rsid w:val="000747C7"/>
    <w:rsid w:val="0007496B"/>
    <w:rsid w:val="00075654"/>
    <w:rsid w:val="00076BC4"/>
    <w:rsid w:val="00076FD2"/>
    <w:rsid w:val="000805C5"/>
    <w:rsid w:val="00080A18"/>
    <w:rsid w:val="000829BC"/>
    <w:rsid w:val="00082E16"/>
    <w:rsid w:val="00087D25"/>
    <w:rsid w:val="000905FA"/>
    <w:rsid w:val="00095C43"/>
    <w:rsid w:val="00096EFF"/>
    <w:rsid w:val="00097E5C"/>
    <w:rsid w:val="000A04B0"/>
    <w:rsid w:val="000A0746"/>
    <w:rsid w:val="000A0BBA"/>
    <w:rsid w:val="000A27E2"/>
    <w:rsid w:val="000A2F01"/>
    <w:rsid w:val="000A3070"/>
    <w:rsid w:val="000A4341"/>
    <w:rsid w:val="000A7938"/>
    <w:rsid w:val="000B009E"/>
    <w:rsid w:val="000B1612"/>
    <w:rsid w:val="000B6B3A"/>
    <w:rsid w:val="000C0A72"/>
    <w:rsid w:val="000C0DE7"/>
    <w:rsid w:val="000C12E6"/>
    <w:rsid w:val="000C37F2"/>
    <w:rsid w:val="000C52D8"/>
    <w:rsid w:val="000C5FDB"/>
    <w:rsid w:val="000C76C4"/>
    <w:rsid w:val="000C7A0F"/>
    <w:rsid w:val="000D149E"/>
    <w:rsid w:val="000D20D0"/>
    <w:rsid w:val="000D3369"/>
    <w:rsid w:val="000D378B"/>
    <w:rsid w:val="000D3F91"/>
    <w:rsid w:val="000D757A"/>
    <w:rsid w:val="000E279A"/>
    <w:rsid w:val="000E3A41"/>
    <w:rsid w:val="000E4B3B"/>
    <w:rsid w:val="000E5726"/>
    <w:rsid w:val="000E780F"/>
    <w:rsid w:val="000F0171"/>
    <w:rsid w:val="000F1671"/>
    <w:rsid w:val="000F1BB1"/>
    <w:rsid w:val="000F34DD"/>
    <w:rsid w:val="000F4AD4"/>
    <w:rsid w:val="000F5040"/>
    <w:rsid w:val="000F50CD"/>
    <w:rsid w:val="000F78DE"/>
    <w:rsid w:val="00100039"/>
    <w:rsid w:val="001013BB"/>
    <w:rsid w:val="00103D1E"/>
    <w:rsid w:val="001054E0"/>
    <w:rsid w:val="00105CBD"/>
    <w:rsid w:val="00106849"/>
    <w:rsid w:val="001112A0"/>
    <w:rsid w:val="001115CB"/>
    <w:rsid w:val="001123BA"/>
    <w:rsid w:val="001137DE"/>
    <w:rsid w:val="001170F0"/>
    <w:rsid w:val="00117B1D"/>
    <w:rsid w:val="00120FF1"/>
    <w:rsid w:val="00123297"/>
    <w:rsid w:val="00123365"/>
    <w:rsid w:val="00123DD8"/>
    <w:rsid w:val="00124949"/>
    <w:rsid w:val="001250E0"/>
    <w:rsid w:val="001312D5"/>
    <w:rsid w:val="0013146E"/>
    <w:rsid w:val="0013225B"/>
    <w:rsid w:val="001337F8"/>
    <w:rsid w:val="0013543C"/>
    <w:rsid w:val="00143023"/>
    <w:rsid w:val="00143FFA"/>
    <w:rsid w:val="00144504"/>
    <w:rsid w:val="00150CA6"/>
    <w:rsid w:val="0015108A"/>
    <w:rsid w:val="0015158E"/>
    <w:rsid w:val="001519CB"/>
    <w:rsid w:val="001548C2"/>
    <w:rsid w:val="00155E78"/>
    <w:rsid w:val="001567C8"/>
    <w:rsid w:val="00160E8F"/>
    <w:rsid w:val="00163F68"/>
    <w:rsid w:val="00167138"/>
    <w:rsid w:val="00167C4A"/>
    <w:rsid w:val="00170296"/>
    <w:rsid w:val="00170A3B"/>
    <w:rsid w:val="001710E5"/>
    <w:rsid w:val="0017329C"/>
    <w:rsid w:val="0017382B"/>
    <w:rsid w:val="00174031"/>
    <w:rsid w:val="00175611"/>
    <w:rsid w:val="00175637"/>
    <w:rsid w:val="00175959"/>
    <w:rsid w:val="00176764"/>
    <w:rsid w:val="001815D9"/>
    <w:rsid w:val="00182081"/>
    <w:rsid w:val="00186F8B"/>
    <w:rsid w:val="0019065C"/>
    <w:rsid w:val="0019085B"/>
    <w:rsid w:val="00191101"/>
    <w:rsid w:val="00191437"/>
    <w:rsid w:val="00191CD0"/>
    <w:rsid w:val="001954E9"/>
    <w:rsid w:val="0019716D"/>
    <w:rsid w:val="001974FC"/>
    <w:rsid w:val="001A05F0"/>
    <w:rsid w:val="001A0880"/>
    <w:rsid w:val="001A316C"/>
    <w:rsid w:val="001A4104"/>
    <w:rsid w:val="001A78E4"/>
    <w:rsid w:val="001B0EF7"/>
    <w:rsid w:val="001B190E"/>
    <w:rsid w:val="001B3293"/>
    <w:rsid w:val="001B3920"/>
    <w:rsid w:val="001B461F"/>
    <w:rsid w:val="001B5348"/>
    <w:rsid w:val="001B7D0E"/>
    <w:rsid w:val="001BFB96"/>
    <w:rsid w:val="001C05E8"/>
    <w:rsid w:val="001C62A6"/>
    <w:rsid w:val="001C6589"/>
    <w:rsid w:val="001C710D"/>
    <w:rsid w:val="001C74B9"/>
    <w:rsid w:val="001D1CEA"/>
    <w:rsid w:val="001E23A1"/>
    <w:rsid w:val="001E28CB"/>
    <w:rsid w:val="001E6669"/>
    <w:rsid w:val="001E6A57"/>
    <w:rsid w:val="001F278C"/>
    <w:rsid w:val="001F5CFB"/>
    <w:rsid w:val="001F7538"/>
    <w:rsid w:val="00200A74"/>
    <w:rsid w:val="00200ED4"/>
    <w:rsid w:val="002016AC"/>
    <w:rsid w:val="00204D20"/>
    <w:rsid w:val="00205A75"/>
    <w:rsid w:val="0020625E"/>
    <w:rsid w:val="0020660A"/>
    <w:rsid w:val="00206E28"/>
    <w:rsid w:val="00211FB6"/>
    <w:rsid w:val="00212827"/>
    <w:rsid w:val="00214025"/>
    <w:rsid w:val="002144CE"/>
    <w:rsid w:val="0021584A"/>
    <w:rsid w:val="00215E49"/>
    <w:rsid w:val="00215F93"/>
    <w:rsid w:val="002167C9"/>
    <w:rsid w:val="00216BD2"/>
    <w:rsid w:val="002170A5"/>
    <w:rsid w:val="0021744B"/>
    <w:rsid w:val="00217C9E"/>
    <w:rsid w:val="0022175C"/>
    <w:rsid w:val="00222E46"/>
    <w:rsid w:val="002232EF"/>
    <w:rsid w:val="00223A6D"/>
    <w:rsid w:val="00223D81"/>
    <w:rsid w:val="00224C1E"/>
    <w:rsid w:val="002251A5"/>
    <w:rsid w:val="0022668A"/>
    <w:rsid w:val="0023544B"/>
    <w:rsid w:val="002359AF"/>
    <w:rsid w:val="00235CF7"/>
    <w:rsid w:val="0023663A"/>
    <w:rsid w:val="002369C1"/>
    <w:rsid w:val="00237CF4"/>
    <w:rsid w:val="00241D38"/>
    <w:rsid w:val="002429DA"/>
    <w:rsid w:val="00242D97"/>
    <w:rsid w:val="002439A1"/>
    <w:rsid w:val="0024514E"/>
    <w:rsid w:val="002455CA"/>
    <w:rsid w:val="00245B63"/>
    <w:rsid w:val="00245E5D"/>
    <w:rsid w:val="00246274"/>
    <w:rsid w:val="00246894"/>
    <w:rsid w:val="00247A2A"/>
    <w:rsid w:val="00251CCF"/>
    <w:rsid w:val="0025356B"/>
    <w:rsid w:val="0025408F"/>
    <w:rsid w:val="00254BDB"/>
    <w:rsid w:val="00255D86"/>
    <w:rsid w:val="00256E66"/>
    <w:rsid w:val="002606EE"/>
    <w:rsid w:val="00260EF2"/>
    <w:rsid w:val="00262C70"/>
    <w:rsid w:val="00264D49"/>
    <w:rsid w:val="00265643"/>
    <w:rsid w:val="0026659A"/>
    <w:rsid w:val="00266E54"/>
    <w:rsid w:val="00270D8A"/>
    <w:rsid w:val="00273867"/>
    <w:rsid w:val="00274E63"/>
    <w:rsid w:val="00276075"/>
    <w:rsid w:val="00277B8E"/>
    <w:rsid w:val="00280741"/>
    <w:rsid w:val="00280CE6"/>
    <w:rsid w:val="0028237F"/>
    <w:rsid w:val="0028312F"/>
    <w:rsid w:val="00284000"/>
    <w:rsid w:val="00284C24"/>
    <w:rsid w:val="00284C6A"/>
    <w:rsid w:val="00291E09"/>
    <w:rsid w:val="00292C3A"/>
    <w:rsid w:val="00293F76"/>
    <w:rsid w:val="00293FF6"/>
    <w:rsid w:val="00294869"/>
    <w:rsid w:val="00294A50"/>
    <w:rsid w:val="0029586D"/>
    <w:rsid w:val="002A01E3"/>
    <w:rsid w:val="002A2EA9"/>
    <w:rsid w:val="002B0C71"/>
    <w:rsid w:val="002B167C"/>
    <w:rsid w:val="002B1E7A"/>
    <w:rsid w:val="002B323E"/>
    <w:rsid w:val="002B6FC7"/>
    <w:rsid w:val="002C08B6"/>
    <w:rsid w:val="002C2F46"/>
    <w:rsid w:val="002C4D80"/>
    <w:rsid w:val="002C7533"/>
    <w:rsid w:val="002D0F1F"/>
    <w:rsid w:val="002D2BD6"/>
    <w:rsid w:val="002D4892"/>
    <w:rsid w:val="002D4E26"/>
    <w:rsid w:val="002E1112"/>
    <w:rsid w:val="002E1E19"/>
    <w:rsid w:val="002E1FE3"/>
    <w:rsid w:val="002E2C0F"/>
    <w:rsid w:val="002E4777"/>
    <w:rsid w:val="002E4A60"/>
    <w:rsid w:val="002E4B1F"/>
    <w:rsid w:val="002E5477"/>
    <w:rsid w:val="002E787F"/>
    <w:rsid w:val="002F2F6C"/>
    <w:rsid w:val="002F621E"/>
    <w:rsid w:val="002F6620"/>
    <w:rsid w:val="003018B2"/>
    <w:rsid w:val="00303649"/>
    <w:rsid w:val="003064A4"/>
    <w:rsid w:val="00310025"/>
    <w:rsid w:val="00311029"/>
    <w:rsid w:val="003140E4"/>
    <w:rsid w:val="00315ECC"/>
    <w:rsid w:val="003179D8"/>
    <w:rsid w:val="00322149"/>
    <w:rsid w:val="003258D9"/>
    <w:rsid w:val="00326A7E"/>
    <w:rsid w:val="00327A7C"/>
    <w:rsid w:val="00330D80"/>
    <w:rsid w:val="00331DA1"/>
    <w:rsid w:val="00332ADA"/>
    <w:rsid w:val="00337228"/>
    <w:rsid w:val="00337BA6"/>
    <w:rsid w:val="00340A78"/>
    <w:rsid w:val="00340B8C"/>
    <w:rsid w:val="00341159"/>
    <w:rsid w:val="003412BF"/>
    <w:rsid w:val="003432CD"/>
    <w:rsid w:val="0034338A"/>
    <w:rsid w:val="00344454"/>
    <w:rsid w:val="0034546A"/>
    <w:rsid w:val="00347A91"/>
    <w:rsid w:val="0035198E"/>
    <w:rsid w:val="003519F1"/>
    <w:rsid w:val="00353F1C"/>
    <w:rsid w:val="00354974"/>
    <w:rsid w:val="00357147"/>
    <w:rsid w:val="0035774B"/>
    <w:rsid w:val="00360F54"/>
    <w:rsid w:val="00361718"/>
    <w:rsid w:val="00362CBD"/>
    <w:rsid w:val="00362EDA"/>
    <w:rsid w:val="00362FE5"/>
    <w:rsid w:val="003647C0"/>
    <w:rsid w:val="003703DF"/>
    <w:rsid w:val="0037394F"/>
    <w:rsid w:val="00374832"/>
    <w:rsid w:val="00375025"/>
    <w:rsid w:val="00375D9C"/>
    <w:rsid w:val="0037644B"/>
    <w:rsid w:val="0037709B"/>
    <w:rsid w:val="0038087A"/>
    <w:rsid w:val="00380ACB"/>
    <w:rsid w:val="00380AFE"/>
    <w:rsid w:val="00383057"/>
    <w:rsid w:val="003833CB"/>
    <w:rsid w:val="00383A5A"/>
    <w:rsid w:val="00384E6C"/>
    <w:rsid w:val="00386FBB"/>
    <w:rsid w:val="00390FAD"/>
    <w:rsid w:val="0039206C"/>
    <w:rsid w:val="00392237"/>
    <w:rsid w:val="0039242B"/>
    <w:rsid w:val="003949FA"/>
    <w:rsid w:val="00395A65"/>
    <w:rsid w:val="00396665"/>
    <w:rsid w:val="00397043"/>
    <w:rsid w:val="00397AA3"/>
    <w:rsid w:val="00397E04"/>
    <w:rsid w:val="003A1287"/>
    <w:rsid w:val="003A19C1"/>
    <w:rsid w:val="003A1B30"/>
    <w:rsid w:val="003A1BE9"/>
    <w:rsid w:val="003A5017"/>
    <w:rsid w:val="003A5D28"/>
    <w:rsid w:val="003B02BC"/>
    <w:rsid w:val="003B50BE"/>
    <w:rsid w:val="003B524F"/>
    <w:rsid w:val="003B5608"/>
    <w:rsid w:val="003B7CE2"/>
    <w:rsid w:val="003C000C"/>
    <w:rsid w:val="003C3E9C"/>
    <w:rsid w:val="003C3F33"/>
    <w:rsid w:val="003C3FBD"/>
    <w:rsid w:val="003C4AB6"/>
    <w:rsid w:val="003C5618"/>
    <w:rsid w:val="003C575B"/>
    <w:rsid w:val="003D298F"/>
    <w:rsid w:val="003D529F"/>
    <w:rsid w:val="003D6671"/>
    <w:rsid w:val="003E1491"/>
    <w:rsid w:val="003E249C"/>
    <w:rsid w:val="003E2B82"/>
    <w:rsid w:val="003E3484"/>
    <w:rsid w:val="003E48E7"/>
    <w:rsid w:val="003E5761"/>
    <w:rsid w:val="003F125E"/>
    <w:rsid w:val="003F24BD"/>
    <w:rsid w:val="003F5663"/>
    <w:rsid w:val="004007B1"/>
    <w:rsid w:val="00402A0F"/>
    <w:rsid w:val="00403C68"/>
    <w:rsid w:val="00405646"/>
    <w:rsid w:val="0040569D"/>
    <w:rsid w:val="0040631F"/>
    <w:rsid w:val="00412FA8"/>
    <w:rsid w:val="00414C5C"/>
    <w:rsid w:val="00415D1D"/>
    <w:rsid w:val="00418B8D"/>
    <w:rsid w:val="0042101D"/>
    <w:rsid w:val="00421087"/>
    <w:rsid w:val="00422AC2"/>
    <w:rsid w:val="0042319E"/>
    <w:rsid w:val="004232FF"/>
    <w:rsid w:val="0042488E"/>
    <w:rsid w:val="0042557B"/>
    <w:rsid w:val="00425C85"/>
    <w:rsid w:val="004263AD"/>
    <w:rsid w:val="00426DF4"/>
    <w:rsid w:val="00430705"/>
    <w:rsid w:val="00431533"/>
    <w:rsid w:val="00433E3D"/>
    <w:rsid w:val="00436E63"/>
    <w:rsid w:val="004425A0"/>
    <w:rsid w:val="00442CC2"/>
    <w:rsid w:val="00450473"/>
    <w:rsid w:val="00450725"/>
    <w:rsid w:val="00450B48"/>
    <w:rsid w:val="00450FC7"/>
    <w:rsid w:val="00451398"/>
    <w:rsid w:val="004570F1"/>
    <w:rsid w:val="0045765A"/>
    <w:rsid w:val="00457B10"/>
    <w:rsid w:val="00460BE5"/>
    <w:rsid w:val="0046183D"/>
    <w:rsid w:val="00462FAF"/>
    <w:rsid w:val="004646FE"/>
    <w:rsid w:val="00465368"/>
    <w:rsid w:val="00471502"/>
    <w:rsid w:val="004717A2"/>
    <w:rsid w:val="00472C8B"/>
    <w:rsid w:val="004738C7"/>
    <w:rsid w:val="0047485F"/>
    <w:rsid w:val="00476C41"/>
    <w:rsid w:val="00480765"/>
    <w:rsid w:val="00480C04"/>
    <w:rsid w:val="004856A9"/>
    <w:rsid w:val="00485804"/>
    <w:rsid w:val="0048607D"/>
    <w:rsid w:val="004879E6"/>
    <w:rsid w:val="0049066F"/>
    <w:rsid w:val="00491BE5"/>
    <w:rsid w:val="00492012"/>
    <w:rsid w:val="004920FF"/>
    <w:rsid w:val="00493F27"/>
    <w:rsid w:val="0049513A"/>
    <w:rsid w:val="00495984"/>
    <w:rsid w:val="00495FC0"/>
    <w:rsid w:val="004A28D5"/>
    <w:rsid w:val="004A68E1"/>
    <w:rsid w:val="004A6BD0"/>
    <w:rsid w:val="004B0830"/>
    <w:rsid w:val="004B19FD"/>
    <w:rsid w:val="004B51C7"/>
    <w:rsid w:val="004BB0AB"/>
    <w:rsid w:val="004C0F54"/>
    <w:rsid w:val="004C136D"/>
    <w:rsid w:val="004C47C6"/>
    <w:rsid w:val="004C51D1"/>
    <w:rsid w:val="004C5BDF"/>
    <w:rsid w:val="004C719C"/>
    <w:rsid w:val="004D19E8"/>
    <w:rsid w:val="004D1E2B"/>
    <w:rsid w:val="004D23ED"/>
    <w:rsid w:val="004D27B3"/>
    <w:rsid w:val="004D3413"/>
    <w:rsid w:val="004D4490"/>
    <w:rsid w:val="004D6948"/>
    <w:rsid w:val="004D7D1B"/>
    <w:rsid w:val="004E5815"/>
    <w:rsid w:val="004E58AF"/>
    <w:rsid w:val="004E5EDA"/>
    <w:rsid w:val="004F3D2E"/>
    <w:rsid w:val="004F4AFE"/>
    <w:rsid w:val="004F5CA6"/>
    <w:rsid w:val="00500006"/>
    <w:rsid w:val="00500FE9"/>
    <w:rsid w:val="00503E53"/>
    <w:rsid w:val="00504E6B"/>
    <w:rsid w:val="00505348"/>
    <w:rsid w:val="005057F9"/>
    <w:rsid w:val="00507230"/>
    <w:rsid w:val="00507B5E"/>
    <w:rsid w:val="00511655"/>
    <w:rsid w:val="00512B55"/>
    <w:rsid w:val="005165F3"/>
    <w:rsid w:val="00517F4C"/>
    <w:rsid w:val="00520614"/>
    <w:rsid w:val="00521920"/>
    <w:rsid w:val="005248EE"/>
    <w:rsid w:val="00524E60"/>
    <w:rsid w:val="0052532E"/>
    <w:rsid w:val="00525431"/>
    <w:rsid w:val="0052712B"/>
    <w:rsid w:val="005278B7"/>
    <w:rsid w:val="00530579"/>
    <w:rsid w:val="00530B42"/>
    <w:rsid w:val="00532192"/>
    <w:rsid w:val="005329C0"/>
    <w:rsid w:val="00535CB7"/>
    <w:rsid w:val="0054196B"/>
    <w:rsid w:val="00542DF0"/>
    <w:rsid w:val="00550F56"/>
    <w:rsid w:val="00553819"/>
    <w:rsid w:val="00555123"/>
    <w:rsid w:val="00556EE6"/>
    <w:rsid w:val="0056469E"/>
    <w:rsid w:val="005654D9"/>
    <w:rsid w:val="00566B31"/>
    <w:rsid w:val="00567C06"/>
    <w:rsid w:val="005703AA"/>
    <w:rsid w:val="00571853"/>
    <w:rsid w:val="00573333"/>
    <w:rsid w:val="005733EF"/>
    <w:rsid w:val="00573640"/>
    <w:rsid w:val="0057596E"/>
    <w:rsid w:val="00580D73"/>
    <w:rsid w:val="00581F66"/>
    <w:rsid w:val="00585ACF"/>
    <w:rsid w:val="00586A2D"/>
    <w:rsid w:val="00586BCA"/>
    <w:rsid w:val="00586D70"/>
    <w:rsid w:val="00591BD6"/>
    <w:rsid w:val="0059312F"/>
    <w:rsid w:val="0059434C"/>
    <w:rsid w:val="005A0150"/>
    <w:rsid w:val="005A16DE"/>
    <w:rsid w:val="005A29B5"/>
    <w:rsid w:val="005A61E1"/>
    <w:rsid w:val="005A7868"/>
    <w:rsid w:val="005B2225"/>
    <w:rsid w:val="005B2DE9"/>
    <w:rsid w:val="005B46A5"/>
    <w:rsid w:val="005B4849"/>
    <w:rsid w:val="005B6758"/>
    <w:rsid w:val="005B677E"/>
    <w:rsid w:val="005C0146"/>
    <w:rsid w:val="005C04CC"/>
    <w:rsid w:val="005C1B11"/>
    <w:rsid w:val="005C3415"/>
    <w:rsid w:val="005C4301"/>
    <w:rsid w:val="005C5B40"/>
    <w:rsid w:val="005C69D7"/>
    <w:rsid w:val="005C69E8"/>
    <w:rsid w:val="005C7DCD"/>
    <w:rsid w:val="005C7F16"/>
    <w:rsid w:val="005D26D0"/>
    <w:rsid w:val="005D2C8F"/>
    <w:rsid w:val="005D3716"/>
    <w:rsid w:val="005D572F"/>
    <w:rsid w:val="005D63B1"/>
    <w:rsid w:val="005E09F7"/>
    <w:rsid w:val="005E1235"/>
    <w:rsid w:val="005E2E84"/>
    <w:rsid w:val="005E4124"/>
    <w:rsid w:val="005E55C1"/>
    <w:rsid w:val="005E57ED"/>
    <w:rsid w:val="005E6478"/>
    <w:rsid w:val="005E67C8"/>
    <w:rsid w:val="005F17E4"/>
    <w:rsid w:val="005F2730"/>
    <w:rsid w:val="005F5F67"/>
    <w:rsid w:val="005F64B3"/>
    <w:rsid w:val="005F7B3C"/>
    <w:rsid w:val="00601AE7"/>
    <w:rsid w:val="00604B9D"/>
    <w:rsid w:val="00606E46"/>
    <w:rsid w:val="00610F08"/>
    <w:rsid w:val="00611C65"/>
    <w:rsid w:val="006157F8"/>
    <w:rsid w:val="00615AE9"/>
    <w:rsid w:val="00617DFE"/>
    <w:rsid w:val="006205D3"/>
    <w:rsid w:val="00623D8E"/>
    <w:rsid w:val="006247B3"/>
    <w:rsid w:val="00625BC0"/>
    <w:rsid w:val="00625D4E"/>
    <w:rsid w:val="00626644"/>
    <w:rsid w:val="00627584"/>
    <w:rsid w:val="00627C87"/>
    <w:rsid w:val="006308C0"/>
    <w:rsid w:val="00632749"/>
    <w:rsid w:val="006344BA"/>
    <w:rsid w:val="00634809"/>
    <w:rsid w:val="0064037A"/>
    <w:rsid w:val="006435AC"/>
    <w:rsid w:val="006442A8"/>
    <w:rsid w:val="00644D31"/>
    <w:rsid w:val="0064734F"/>
    <w:rsid w:val="0065070A"/>
    <w:rsid w:val="00654345"/>
    <w:rsid w:val="00654759"/>
    <w:rsid w:val="00654C2D"/>
    <w:rsid w:val="00654D6F"/>
    <w:rsid w:val="0065719C"/>
    <w:rsid w:val="00661F5A"/>
    <w:rsid w:val="00662885"/>
    <w:rsid w:val="00662C79"/>
    <w:rsid w:val="006641B7"/>
    <w:rsid w:val="00664358"/>
    <w:rsid w:val="00666A91"/>
    <w:rsid w:val="0066763E"/>
    <w:rsid w:val="00680F39"/>
    <w:rsid w:val="006819B1"/>
    <w:rsid w:val="00681F6C"/>
    <w:rsid w:val="006828B8"/>
    <w:rsid w:val="00687BD2"/>
    <w:rsid w:val="00693A2B"/>
    <w:rsid w:val="006945E6"/>
    <w:rsid w:val="00694F03"/>
    <w:rsid w:val="00697060"/>
    <w:rsid w:val="0069767E"/>
    <w:rsid w:val="006A1527"/>
    <w:rsid w:val="006A2C4D"/>
    <w:rsid w:val="006A5CE4"/>
    <w:rsid w:val="006A7EF9"/>
    <w:rsid w:val="006B0031"/>
    <w:rsid w:val="006B15D4"/>
    <w:rsid w:val="006B1A1F"/>
    <w:rsid w:val="006B3AE4"/>
    <w:rsid w:val="006B5F3B"/>
    <w:rsid w:val="006B695A"/>
    <w:rsid w:val="006B6DE8"/>
    <w:rsid w:val="006B7695"/>
    <w:rsid w:val="006C129E"/>
    <w:rsid w:val="006C3BCB"/>
    <w:rsid w:val="006C6D7D"/>
    <w:rsid w:val="006C7BCD"/>
    <w:rsid w:val="006D1D8C"/>
    <w:rsid w:val="006D24CD"/>
    <w:rsid w:val="006D2B3D"/>
    <w:rsid w:val="006D409F"/>
    <w:rsid w:val="006D4E2A"/>
    <w:rsid w:val="006D521A"/>
    <w:rsid w:val="006D7288"/>
    <w:rsid w:val="006D7F5C"/>
    <w:rsid w:val="006E031A"/>
    <w:rsid w:val="006E4988"/>
    <w:rsid w:val="006E6CF8"/>
    <w:rsid w:val="006E771E"/>
    <w:rsid w:val="006F2AD9"/>
    <w:rsid w:val="006F5011"/>
    <w:rsid w:val="006F7A3F"/>
    <w:rsid w:val="00700838"/>
    <w:rsid w:val="00700F77"/>
    <w:rsid w:val="00701B84"/>
    <w:rsid w:val="00710605"/>
    <w:rsid w:val="007111B1"/>
    <w:rsid w:val="007142EF"/>
    <w:rsid w:val="00716AFA"/>
    <w:rsid w:val="007202D3"/>
    <w:rsid w:val="007241E6"/>
    <w:rsid w:val="00724412"/>
    <w:rsid w:val="0073082B"/>
    <w:rsid w:val="00730AC4"/>
    <w:rsid w:val="007336A2"/>
    <w:rsid w:val="00733EF0"/>
    <w:rsid w:val="00735CF1"/>
    <w:rsid w:val="00737712"/>
    <w:rsid w:val="007410FB"/>
    <w:rsid w:val="007426BE"/>
    <w:rsid w:val="00743682"/>
    <w:rsid w:val="00746B60"/>
    <w:rsid w:val="007470A5"/>
    <w:rsid w:val="00747673"/>
    <w:rsid w:val="0075038B"/>
    <w:rsid w:val="00753665"/>
    <w:rsid w:val="007545AF"/>
    <w:rsid w:val="00754A41"/>
    <w:rsid w:val="0075502C"/>
    <w:rsid w:val="00757DAE"/>
    <w:rsid w:val="007618DA"/>
    <w:rsid w:val="00763CD4"/>
    <w:rsid w:val="00770D48"/>
    <w:rsid w:val="0077117E"/>
    <w:rsid w:val="00771B58"/>
    <w:rsid w:val="0077432B"/>
    <w:rsid w:val="0077647D"/>
    <w:rsid w:val="007776F5"/>
    <w:rsid w:val="007777C4"/>
    <w:rsid w:val="007815AB"/>
    <w:rsid w:val="00787CEB"/>
    <w:rsid w:val="00787E52"/>
    <w:rsid w:val="007909D6"/>
    <w:rsid w:val="007932E8"/>
    <w:rsid w:val="00793CCA"/>
    <w:rsid w:val="00795552"/>
    <w:rsid w:val="007A00FC"/>
    <w:rsid w:val="007A1A1E"/>
    <w:rsid w:val="007A1B12"/>
    <w:rsid w:val="007A30C4"/>
    <w:rsid w:val="007A48FD"/>
    <w:rsid w:val="007A52B8"/>
    <w:rsid w:val="007A605B"/>
    <w:rsid w:val="007A68B2"/>
    <w:rsid w:val="007B0483"/>
    <w:rsid w:val="007B4CDB"/>
    <w:rsid w:val="007B6623"/>
    <w:rsid w:val="007BD359"/>
    <w:rsid w:val="007C1C4D"/>
    <w:rsid w:val="007C35AB"/>
    <w:rsid w:val="007C3C6E"/>
    <w:rsid w:val="007C74BA"/>
    <w:rsid w:val="007D1B64"/>
    <w:rsid w:val="007D1EE6"/>
    <w:rsid w:val="007D4228"/>
    <w:rsid w:val="007D4906"/>
    <w:rsid w:val="007D5476"/>
    <w:rsid w:val="007D588E"/>
    <w:rsid w:val="007D7BB6"/>
    <w:rsid w:val="007E0FA6"/>
    <w:rsid w:val="007E25DF"/>
    <w:rsid w:val="007E27C0"/>
    <w:rsid w:val="007F19EC"/>
    <w:rsid w:val="007F650A"/>
    <w:rsid w:val="007F67DB"/>
    <w:rsid w:val="007F69DF"/>
    <w:rsid w:val="008003AC"/>
    <w:rsid w:val="00801735"/>
    <w:rsid w:val="0080276E"/>
    <w:rsid w:val="00807003"/>
    <w:rsid w:val="0081025F"/>
    <w:rsid w:val="00810941"/>
    <w:rsid w:val="00811133"/>
    <w:rsid w:val="008121AD"/>
    <w:rsid w:val="0081417B"/>
    <w:rsid w:val="00817A3B"/>
    <w:rsid w:val="008204D3"/>
    <w:rsid w:val="00821068"/>
    <w:rsid w:val="00821820"/>
    <w:rsid w:val="00821DA2"/>
    <w:rsid w:val="00822A9B"/>
    <w:rsid w:val="00822B35"/>
    <w:rsid w:val="00822D2B"/>
    <w:rsid w:val="008261AA"/>
    <w:rsid w:val="0082666E"/>
    <w:rsid w:val="00826882"/>
    <w:rsid w:val="0082770E"/>
    <w:rsid w:val="00827E17"/>
    <w:rsid w:val="00830254"/>
    <w:rsid w:val="00830412"/>
    <w:rsid w:val="008321DC"/>
    <w:rsid w:val="0083233C"/>
    <w:rsid w:val="008328DC"/>
    <w:rsid w:val="00833EDE"/>
    <w:rsid w:val="00834096"/>
    <w:rsid w:val="00834D8D"/>
    <w:rsid w:val="0083510D"/>
    <w:rsid w:val="00835279"/>
    <w:rsid w:val="0083529A"/>
    <w:rsid w:val="0083561C"/>
    <w:rsid w:val="00840664"/>
    <w:rsid w:val="008409A8"/>
    <w:rsid w:val="0084141C"/>
    <w:rsid w:val="00841E52"/>
    <w:rsid w:val="00842734"/>
    <w:rsid w:val="00843547"/>
    <w:rsid w:val="008440A1"/>
    <w:rsid w:val="00844201"/>
    <w:rsid w:val="008443A0"/>
    <w:rsid w:val="00845712"/>
    <w:rsid w:val="00850427"/>
    <w:rsid w:val="00855B5B"/>
    <w:rsid w:val="00855BC3"/>
    <w:rsid w:val="008566BA"/>
    <w:rsid w:val="00856A6C"/>
    <w:rsid w:val="00857E17"/>
    <w:rsid w:val="008609F9"/>
    <w:rsid w:val="00861248"/>
    <w:rsid w:val="00863308"/>
    <w:rsid w:val="00863C93"/>
    <w:rsid w:val="00864A1F"/>
    <w:rsid w:val="00872AD9"/>
    <w:rsid w:val="00873315"/>
    <w:rsid w:val="00874797"/>
    <w:rsid w:val="00874AFD"/>
    <w:rsid w:val="0087570D"/>
    <w:rsid w:val="00875F9B"/>
    <w:rsid w:val="00876385"/>
    <w:rsid w:val="008773BA"/>
    <w:rsid w:val="00880FEF"/>
    <w:rsid w:val="00881D99"/>
    <w:rsid w:val="0088252D"/>
    <w:rsid w:val="00883A71"/>
    <w:rsid w:val="00885741"/>
    <w:rsid w:val="00887C34"/>
    <w:rsid w:val="00890722"/>
    <w:rsid w:val="00891A90"/>
    <w:rsid w:val="00892C27"/>
    <w:rsid w:val="0089330C"/>
    <w:rsid w:val="0089460E"/>
    <w:rsid w:val="00895686"/>
    <w:rsid w:val="00896E1A"/>
    <w:rsid w:val="00896F98"/>
    <w:rsid w:val="008A018D"/>
    <w:rsid w:val="008A0FAD"/>
    <w:rsid w:val="008A1F99"/>
    <w:rsid w:val="008A34A5"/>
    <w:rsid w:val="008A38CA"/>
    <w:rsid w:val="008A6271"/>
    <w:rsid w:val="008A628B"/>
    <w:rsid w:val="008B1975"/>
    <w:rsid w:val="008B3145"/>
    <w:rsid w:val="008B6AD4"/>
    <w:rsid w:val="008B71CF"/>
    <w:rsid w:val="008C002A"/>
    <w:rsid w:val="008C0E9C"/>
    <w:rsid w:val="008C2EBC"/>
    <w:rsid w:val="008C3657"/>
    <w:rsid w:val="008C4C12"/>
    <w:rsid w:val="008C684D"/>
    <w:rsid w:val="008D1235"/>
    <w:rsid w:val="008D27FA"/>
    <w:rsid w:val="008D4163"/>
    <w:rsid w:val="008D4A16"/>
    <w:rsid w:val="008D7DEF"/>
    <w:rsid w:val="008E05AA"/>
    <w:rsid w:val="008E2A74"/>
    <w:rsid w:val="008E598F"/>
    <w:rsid w:val="008F044C"/>
    <w:rsid w:val="008F0D50"/>
    <w:rsid w:val="008F1B7E"/>
    <w:rsid w:val="008F1FDF"/>
    <w:rsid w:val="008F4956"/>
    <w:rsid w:val="008F51FC"/>
    <w:rsid w:val="008F549B"/>
    <w:rsid w:val="00902689"/>
    <w:rsid w:val="00902910"/>
    <w:rsid w:val="009057BA"/>
    <w:rsid w:val="009059B7"/>
    <w:rsid w:val="00906B8A"/>
    <w:rsid w:val="009120C5"/>
    <w:rsid w:val="009207C2"/>
    <w:rsid w:val="00920EAC"/>
    <w:rsid w:val="00923594"/>
    <w:rsid w:val="00924FB8"/>
    <w:rsid w:val="009325E7"/>
    <w:rsid w:val="00933427"/>
    <w:rsid w:val="00934CE3"/>
    <w:rsid w:val="009362FA"/>
    <w:rsid w:val="00936EBE"/>
    <w:rsid w:val="00937045"/>
    <w:rsid w:val="00940823"/>
    <w:rsid w:val="00940EF3"/>
    <w:rsid w:val="00942015"/>
    <w:rsid w:val="00945696"/>
    <w:rsid w:val="00946CE1"/>
    <w:rsid w:val="009471F3"/>
    <w:rsid w:val="009521EA"/>
    <w:rsid w:val="0095397B"/>
    <w:rsid w:val="00953F4A"/>
    <w:rsid w:val="00956366"/>
    <w:rsid w:val="009571CE"/>
    <w:rsid w:val="009613B9"/>
    <w:rsid w:val="009616DE"/>
    <w:rsid w:val="009629C8"/>
    <w:rsid w:val="00965D30"/>
    <w:rsid w:val="00965E8D"/>
    <w:rsid w:val="00973F32"/>
    <w:rsid w:val="009742FA"/>
    <w:rsid w:val="00975A99"/>
    <w:rsid w:val="00975DB9"/>
    <w:rsid w:val="009764F9"/>
    <w:rsid w:val="00982E20"/>
    <w:rsid w:val="00983104"/>
    <w:rsid w:val="00983CF3"/>
    <w:rsid w:val="00985042"/>
    <w:rsid w:val="0098537B"/>
    <w:rsid w:val="0098615D"/>
    <w:rsid w:val="00986F8E"/>
    <w:rsid w:val="00987A04"/>
    <w:rsid w:val="00987EFA"/>
    <w:rsid w:val="00990523"/>
    <w:rsid w:val="00992773"/>
    <w:rsid w:val="00994516"/>
    <w:rsid w:val="00997E36"/>
    <w:rsid w:val="009A0C4F"/>
    <w:rsid w:val="009A2D04"/>
    <w:rsid w:val="009A5E93"/>
    <w:rsid w:val="009A711B"/>
    <w:rsid w:val="009AD494"/>
    <w:rsid w:val="009B01F0"/>
    <w:rsid w:val="009B0723"/>
    <w:rsid w:val="009B18AA"/>
    <w:rsid w:val="009B580B"/>
    <w:rsid w:val="009B585C"/>
    <w:rsid w:val="009B6AB6"/>
    <w:rsid w:val="009B7ED5"/>
    <w:rsid w:val="009C021E"/>
    <w:rsid w:val="009C244E"/>
    <w:rsid w:val="009C3B42"/>
    <w:rsid w:val="009C439F"/>
    <w:rsid w:val="009C5935"/>
    <w:rsid w:val="009D0523"/>
    <w:rsid w:val="009D2C4A"/>
    <w:rsid w:val="009D6EBB"/>
    <w:rsid w:val="009D7CC4"/>
    <w:rsid w:val="009E1486"/>
    <w:rsid w:val="009E1E37"/>
    <w:rsid w:val="009E20AF"/>
    <w:rsid w:val="009E3102"/>
    <w:rsid w:val="009E5352"/>
    <w:rsid w:val="009E53C0"/>
    <w:rsid w:val="009E6256"/>
    <w:rsid w:val="009E69DC"/>
    <w:rsid w:val="009E7619"/>
    <w:rsid w:val="009F087B"/>
    <w:rsid w:val="009F08E3"/>
    <w:rsid w:val="009F4E96"/>
    <w:rsid w:val="009F50B3"/>
    <w:rsid w:val="009F57C3"/>
    <w:rsid w:val="009F5DCC"/>
    <w:rsid w:val="009F6AC8"/>
    <w:rsid w:val="009F76A1"/>
    <w:rsid w:val="00A003E6"/>
    <w:rsid w:val="00A024E5"/>
    <w:rsid w:val="00A04150"/>
    <w:rsid w:val="00A044E4"/>
    <w:rsid w:val="00A05610"/>
    <w:rsid w:val="00A0664A"/>
    <w:rsid w:val="00A075A5"/>
    <w:rsid w:val="00A07AC0"/>
    <w:rsid w:val="00A14031"/>
    <w:rsid w:val="00A26C78"/>
    <w:rsid w:val="00A27BE5"/>
    <w:rsid w:val="00A3273A"/>
    <w:rsid w:val="00A32A6A"/>
    <w:rsid w:val="00A351D4"/>
    <w:rsid w:val="00A35CA4"/>
    <w:rsid w:val="00A376FA"/>
    <w:rsid w:val="00A37711"/>
    <w:rsid w:val="00A441DB"/>
    <w:rsid w:val="00A45446"/>
    <w:rsid w:val="00A5045F"/>
    <w:rsid w:val="00A50C07"/>
    <w:rsid w:val="00A50CE1"/>
    <w:rsid w:val="00A561BD"/>
    <w:rsid w:val="00A620A5"/>
    <w:rsid w:val="00A62BB7"/>
    <w:rsid w:val="00A63872"/>
    <w:rsid w:val="00A6441C"/>
    <w:rsid w:val="00A64950"/>
    <w:rsid w:val="00A64955"/>
    <w:rsid w:val="00A65E48"/>
    <w:rsid w:val="00A67114"/>
    <w:rsid w:val="00A72539"/>
    <w:rsid w:val="00A73569"/>
    <w:rsid w:val="00A7714E"/>
    <w:rsid w:val="00A83DD2"/>
    <w:rsid w:val="00A844CD"/>
    <w:rsid w:val="00A84F04"/>
    <w:rsid w:val="00A8636E"/>
    <w:rsid w:val="00A92AC1"/>
    <w:rsid w:val="00A93F35"/>
    <w:rsid w:val="00AA0D58"/>
    <w:rsid w:val="00AA180D"/>
    <w:rsid w:val="00AA2E0F"/>
    <w:rsid w:val="00AA3F2E"/>
    <w:rsid w:val="00AA4285"/>
    <w:rsid w:val="00AA58C3"/>
    <w:rsid w:val="00AA687A"/>
    <w:rsid w:val="00AA6B9F"/>
    <w:rsid w:val="00AA7582"/>
    <w:rsid w:val="00AB0133"/>
    <w:rsid w:val="00AB0690"/>
    <w:rsid w:val="00AB08EF"/>
    <w:rsid w:val="00AB390B"/>
    <w:rsid w:val="00AB4783"/>
    <w:rsid w:val="00AC0323"/>
    <w:rsid w:val="00AC5AB7"/>
    <w:rsid w:val="00AC6EF2"/>
    <w:rsid w:val="00AC7696"/>
    <w:rsid w:val="00AC7DF2"/>
    <w:rsid w:val="00AD23D6"/>
    <w:rsid w:val="00AD644D"/>
    <w:rsid w:val="00AD7A8A"/>
    <w:rsid w:val="00AE0B02"/>
    <w:rsid w:val="00AE0F54"/>
    <w:rsid w:val="00AE133C"/>
    <w:rsid w:val="00AE1590"/>
    <w:rsid w:val="00AE2E24"/>
    <w:rsid w:val="00AE2E80"/>
    <w:rsid w:val="00AE34F4"/>
    <w:rsid w:val="00AE369E"/>
    <w:rsid w:val="00AE38E4"/>
    <w:rsid w:val="00AE505F"/>
    <w:rsid w:val="00AE7CBA"/>
    <w:rsid w:val="00AE7F81"/>
    <w:rsid w:val="00AF1826"/>
    <w:rsid w:val="00AF3C82"/>
    <w:rsid w:val="00AF414C"/>
    <w:rsid w:val="00AF665F"/>
    <w:rsid w:val="00B0100A"/>
    <w:rsid w:val="00B018D1"/>
    <w:rsid w:val="00B01C58"/>
    <w:rsid w:val="00B04F4A"/>
    <w:rsid w:val="00B0543B"/>
    <w:rsid w:val="00B06A70"/>
    <w:rsid w:val="00B07532"/>
    <w:rsid w:val="00B07B25"/>
    <w:rsid w:val="00B1038F"/>
    <w:rsid w:val="00B1123A"/>
    <w:rsid w:val="00B117DE"/>
    <w:rsid w:val="00B11A8D"/>
    <w:rsid w:val="00B12741"/>
    <w:rsid w:val="00B12D1A"/>
    <w:rsid w:val="00B13705"/>
    <w:rsid w:val="00B17A7B"/>
    <w:rsid w:val="00B20E16"/>
    <w:rsid w:val="00B2102B"/>
    <w:rsid w:val="00B22A3A"/>
    <w:rsid w:val="00B2581B"/>
    <w:rsid w:val="00B27D81"/>
    <w:rsid w:val="00B3162E"/>
    <w:rsid w:val="00B31B71"/>
    <w:rsid w:val="00B31CFE"/>
    <w:rsid w:val="00B3235F"/>
    <w:rsid w:val="00B328FC"/>
    <w:rsid w:val="00B335E7"/>
    <w:rsid w:val="00B336F0"/>
    <w:rsid w:val="00B33CFE"/>
    <w:rsid w:val="00B3792F"/>
    <w:rsid w:val="00B405CE"/>
    <w:rsid w:val="00B418E5"/>
    <w:rsid w:val="00B4405A"/>
    <w:rsid w:val="00B440AE"/>
    <w:rsid w:val="00B44EF8"/>
    <w:rsid w:val="00B4746A"/>
    <w:rsid w:val="00B47B3F"/>
    <w:rsid w:val="00B50B38"/>
    <w:rsid w:val="00B50C66"/>
    <w:rsid w:val="00B527A8"/>
    <w:rsid w:val="00B5354F"/>
    <w:rsid w:val="00B53D3E"/>
    <w:rsid w:val="00B5498F"/>
    <w:rsid w:val="00B549C9"/>
    <w:rsid w:val="00B56DF1"/>
    <w:rsid w:val="00B5772F"/>
    <w:rsid w:val="00B612A9"/>
    <w:rsid w:val="00B62046"/>
    <w:rsid w:val="00B623FD"/>
    <w:rsid w:val="00B62C69"/>
    <w:rsid w:val="00B6516C"/>
    <w:rsid w:val="00B66A37"/>
    <w:rsid w:val="00B70591"/>
    <w:rsid w:val="00B71C5A"/>
    <w:rsid w:val="00B71D06"/>
    <w:rsid w:val="00B71F42"/>
    <w:rsid w:val="00B738AB"/>
    <w:rsid w:val="00B741E3"/>
    <w:rsid w:val="00B749EF"/>
    <w:rsid w:val="00B75BC8"/>
    <w:rsid w:val="00B76768"/>
    <w:rsid w:val="00B80053"/>
    <w:rsid w:val="00B80378"/>
    <w:rsid w:val="00B810DA"/>
    <w:rsid w:val="00B83184"/>
    <w:rsid w:val="00B85703"/>
    <w:rsid w:val="00B87215"/>
    <w:rsid w:val="00B87835"/>
    <w:rsid w:val="00B87A4F"/>
    <w:rsid w:val="00B906C9"/>
    <w:rsid w:val="00B9375F"/>
    <w:rsid w:val="00B93815"/>
    <w:rsid w:val="00B93CF6"/>
    <w:rsid w:val="00B951FB"/>
    <w:rsid w:val="00B96E37"/>
    <w:rsid w:val="00B974DF"/>
    <w:rsid w:val="00BA0346"/>
    <w:rsid w:val="00BA0A39"/>
    <w:rsid w:val="00BA2E10"/>
    <w:rsid w:val="00BA30B6"/>
    <w:rsid w:val="00BA4044"/>
    <w:rsid w:val="00BA6E6D"/>
    <w:rsid w:val="00BA7F4F"/>
    <w:rsid w:val="00BB02BF"/>
    <w:rsid w:val="00BB184A"/>
    <w:rsid w:val="00BB229A"/>
    <w:rsid w:val="00BB2D7C"/>
    <w:rsid w:val="00BC1FBB"/>
    <w:rsid w:val="00BC2730"/>
    <w:rsid w:val="00BC472B"/>
    <w:rsid w:val="00BC4F90"/>
    <w:rsid w:val="00BC553E"/>
    <w:rsid w:val="00BD0723"/>
    <w:rsid w:val="00BD1140"/>
    <w:rsid w:val="00BD1F15"/>
    <w:rsid w:val="00BD2F8E"/>
    <w:rsid w:val="00BD3D18"/>
    <w:rsid w:val="00BD51BB"/>
    <w:rsid w:val="00BD5224"/>
    <w:rsid w:val="00BD72F7"/>
    <w:rsid w:val="00BE0A5D"/>
    <w:rsid w:val="00BE0C3D"/>
    <w:rsid w:val="00BE3ED7"/>
    <w:rsid w:val="00BE4AD8"/>
    <w:rsid w:val="00BE5C03"/>
    <w:rsid w:val="00BE654B"/>
    <w:rsid w:val="00BE6916"/>
    <w:rsid w:val="00BF0F13"/>
    <w:rsid w:val="00BF1639"/>
    <w:rsid w:val="00BF327D"/>
    <w:rsid w:val="00BF4361"/>
    <w:rsid w:val="00BF5183"/>
    <w:rsid w:val="00BF5222"/>
    <w:rsid w:val="00BF53B4"/>
    <w:rsid w:val="00BF58DA"/>
    <w:rsid w:val="00BF5EF8"/>
    <w:rsid w:val="00C02DC7"/>
    <w:rsid w:val="00C031B0"/>
    <w:rsid w:val="00C043C9"/>
    <w:rsid w:val="00C045E8"/>
    <w:rsid w:val="00C04C74"/>
    <w:rsid w:val="00C05367"/>
    <w:rsid w:val="00C0718D"/>
    <w:rsid w:val="00C10745"/>
    <w:rsid w:val="00C111C3"/>
    <w:rsid w:val="00C124A3"/>
    <w:rsid w:val="00C15182"/>
    <w:rsid w:val="00C1722D"/>
    <w:rsid w:val="00C177F2"/>
    <w:rsid w:val="00C17B9A"/>
    <w:rsid w:val="00C2190E"/>
    <w:rsid w:val="00C2426C"/>
    <w:rsid w:val="00C25E12"/>
    <w:rsid w:val="00C26D1A"/>
    <w:rsid w:val="00C27361"/>
    <w:rsid w:val="00C303CC"/>
    <w:rsid w:val="00C3075B"/>
    <w:rsid w:val="00C3192B"/>
    <w:rsid w:val="00C326DC"/>
    <w:rsid w:val="00C32F2A"/>
    <w:rsid w:val="00C33384"/>
    <w:rsid w:val="00C33F75"/>
    <w:rsid w:val="00C3760A"/>
    <w:rsid w:val="00C37AF4"/>
    <w:rsid w:val="00C37BA1"/>
    <w:rsid w:val="00C4308E"/>
    <w:rsid w:val="00C437E3"/>
    <w:rsid w:val="00C451A2"/>
    <w:rsid w:val="00C4594B"/>
    <w:rsid w:val="00C46449"/>
    <w:rsid w:val="00C46816"/>
    <w:rsid w:val="00C46ED9"/>
    <w:rsid w:val="00C475B3"/>
    <w:rsid w:val="00C479E3"/>
    <w:rsid w:val="00C47E79"/>
    <w:rsid w:val="00C51432"/>
    <w:rsid w:val="00C5282D"/>
    <w:rsid w:val="00C53CF3"/>
    <w:rsid w:val="00C56558"/>
    <w:rsid w:val="00C568D4"/>
    <w:rsid w:val="00C57843"/>
    <w:rsid w:val="00C579F8"/>
    <w:rsid w:val="00C616E9"/>
    <w:rsid w:val="00C61BBC"/>
    <w:rsid w:val="00C61F68"/>
    <w:rsid w:val="00C62DE1"/>
    <w:rsid w:val="00C63D3E"/>
    <w:rsid w:val="00C64188"/>
    <w:rsid w:val="00C6785C"/>
    <w:rsid w:val="00C70AD1"/>
    <w:rsid w:val="00C71445"/>
    <w:rsid w:val="00C732CD"/>
    <w:rsid w:val="00C7377C"/>
    <w:rsid w:val="00C74090"/>
    <w:rsid w:val="00C7430C"/>
    <w:rsid w:val="00C76B5D"/>
    <w:rsid w:val="00C76FE9"/>
    <w:rsid w:val="00C81524"/>
    <w:rsid w:val="00C82525"/>
    <w:rsid w:val="00C85810"/>
    <w:rsid w:val="00C859B0"/>
    <w:rsid w:val="00C864A0"/>
    <w:rsid w:val="00C90D86"/>
    <w:rsid w:val="00C910ED"/>
    <w:rsid w:val="00C9159F"/>
    <w:rsid w:val="00C92391"/>
    <w:rsid w:val="00C93ECE"/>
    <w:rsid w:val="00C945BF"/>
    <w:rsid w:val="00C95289"/>
    <w:rsid w:val="00C961ED"/>
    <w:rsid w:val="00CA1879"/>
    <w:rsid w:val="00CA19FA"/>
    <w:rsid w:val="00CA22C9"/>
    <w:rsid w:val="00CA4322"/>
    <w:rsid w:val="00CA48E5"/>
    <w:rsid w:val="00CA5AC6"/>
    <w:rsid w:val="00CA5C43"/>
    <w:rsid w:val="00CA6F57"/>
    <w:rsid w:val="00CA7E3F"/>
    <w:rsid w:val="00CB1507"/>
    <w:rsid w:val="00CB2EBA"/>
    <w:rsid w:val="00CB3DC2"/>
    <w:rsid w:val="00CB4EAE"/>
    <w:rsid w:val="00CB511B"/>
    <w:rsid w:val="00CB74D4"/>
    <w:rsid w:val="00CC1E95"/>
    <w:rsid w:val="00CC25BE"/>
    <w:rsid w:val="00CC4E42"/>
    <w:rsid w:val="00CC6E8A"/>
    <w:rsid w:val="00CD0110"/>
    <w:rsid w:val="00CD1B91"/>
    <w:rsid w:val="00CD2E57"/>
    <w:rsid w:val="00CE0218"/>
    <w:rsid w:val="00CE1BC0"/>
    <w:rsid w:val="00CE3AD3"/>
    <w:rsid w:val="00CE64C9"/>
    <w:rsid w:val="00CE67AB"/>
    <w:rsid w:val="00CE7C7D"/>
    <w:rsid w:val="00CF2154"/>
    <w:rsid w:val="00CF3350"/>
    <w:rsid w:val="00CF44F1"/>
    <w:rsid w:val="00CF5D3D"/>
    <w:rsid w:val="00D023AB"/>
    <w:rsid w:val="00D024B4"/>
    <w:rsid w:val="00D026C7"/>
    <w:rsid w:val="00D04748"/>
    <w:rsid w:val="00D047C8"/>
    <w:rsid w:val="00D0554D"/>
    <w:rsid w:val="00D058F2"/>
    <w:rsid w:val="00D06054"/>
    <w:rsid w:val="00D12281"/>
    <w:rsid w:val="00D13336"/>
    <w:rsid w:val="00D138D4"/>
    <w:rsid w:val="00D13CD4"/>
    <w:rsid w:val="00D16714"/>
    <w:rsid w:val="00D209CC"/>
    <w:rsid w:val="00D22BCF"/>
    <w:rsid w:val="00D23160"/>
    <w:rsid w:val="00D24790"/>
    <w:rsid w:val="00D25071"/>
    <w:rsid w:val="00D26755"/>
    <w:rsid w:val="00D30B7B"/>
    <w:rsid w:val="00D31F08"/>
    <w:rsid w:val="00D3355B"/>
    <w:rsid w:val="00D33B91"/>
    <w:rsid w:val="00D34E61"/>
    <w:rsid w:val="00D34F65"/>
    <w:rsid w:val="00D36B76"/>
    <w:rsid w:val="00D40879"/>
    <w:rsid w:val="00D40D95"/>
    <w:rsid w:val="00D42CD9"/>
    <w:rsid w:val="00D447B0"/>
    <w:rsid w:val="00D44AAA"/>
    <w:rsid w:val="00D451D5"/>
    <w:rsid w:val="00D45581"/>
    <w:rsid w:val="00D46FBB"/>
    <w:rsid w:val="00D51163"/>
    <w:rsid w:val="00D51813"/>
    <w:rsid w:val="00D52FFA"/>
    <w:rsid w:val="00D532FE"/>
    <w:rsid w:val="00D5515C"/>
    <w:rsid w:val="00D5654A"/>
    <w:rsid w:val="00D56710"/>
    <w:rsid w:val="00D577ED"/>
    <w:rsid w:val="00D6170D"/>
    <w:rsid w:val="00D634A0"/>
    <w:rsid w:val="00D646B5"/>
    <w:rsid w:val="00D65E3E"/>
    <w:rsid w:val="00D661F0"/>
    <w:rsid w:val="00D66C7D"/>
    <w:rsid w:val="00D67B43"/>
    <w:rsid w:val="00D67D45"/>
    <w:rsid w:val="00D7089C"/>
    <w:rsid w:val="00D715D4"/>
    <w:rsid w:val="00D71BE3"/>
    <w:rsid w:val="00D73526"/>
    <w:rsid w:val="00D74AB7"/>
    <w:rsid w:val="00D75C78"/>
    <w:rsid w:val="00D761AD"/>
    <w:rsid w:val="00D8150B"/>
    <w:rsid w:val="00D8333B"/>
    <w:rsid w:val="00D845F7"/>
    <w:rsid w:val="00D847C3"/>
    <w:rsid w:val="00D87ABD"/>
    <w:rsid w:val="00D87B98"/>
    <w:rsid w:val="00D9050F"/>
    <w:rsid w:val="00D913F0"/>
    <w:rsid w:val="00D9210A"/>
    <w:rsid w:val="00D934A2"/>
    <w:rsid w:val="00D97009"/>
    <w:rsid w:val="00DA1D73"/>
    <w:rsid w:val="00DA241C"/>
    <w:rsid w:val="00DA4E80"/>
    <w:rsid w:val="00DA7557"/>
    <w:rsid w:val="00DB4003"/>
    <w:rsid w:val="00DC13D1"/>
    <w:rsid w:val="00DC2680"/>
    <w:rsid w:val="00DC29FB"/>
    <w:rsid w:val="00DC6475"/>
    <w:rsid w:val="00DD03F8"/>
    <w:rsid w:val="00DD12DF"/>
    <w:rsid w:val="00DD2DE5"/>
    <w:rsid w:val="00DE0F41"/>
    <w:rsid w:val="00DE303E"/>
    <w:rsid w:val="00DE3CF6"/>
    <w:rsid w:val="00DE493A"/>
    <w:rsid w:val="00DE5144"/>
    <w:rsid w:val="00DF0B3B"/>
    <w:rsid w:val="00DF0D9D"/>
    <w:rsid w:val="00DF2861"/>
    <w:rsid w:val="00DF336B"/>
    <w:rsid w:val="00DF74B9"/>
    <w:rsid w:val="00E0105D"/>
    <w:rsid w:val="00E0264C"/>
    <w:rsid w:val="00E02E53"/>
    <w:rsid w:val="00E041C4"/>
    <w:rsid w:val="00E0431D"/>
    <w:rsid w:val="00E05BEF"/>
    <w:rsid w:val="00E122B3"/>
    <w:rsid w:val="00E13E2D"/>
    <w:rsid w:val="00E14513"/>
    <w:rsid w:val="00E15FE8"/>
    <w:rsid w:val="00E170D0"/>
    <w:rsid w:val="00E21788"/>
    <w:rsid w:val="00E246DA"/>
    <w:rsid w:val="00E2647C"/>
    <w:rsid w:val="00E26AB7"/>
    <w:rsid w:val="00E30F95"/>
    <w:rsid w:val="00E31419"/>
    <w:rsid w:val="00E33427"/>
    <w:rsid w:val="00E34E56"/>
    <w:rsid w:val="00E34E63"/>
    <w:rsid w:val="00E36C41"/>
    <w:rsid w:val="00E412D8"/>
    <w:rsid w:val="00E413C2"/>
    <w:rsid w:val="00E424D1"/>
    <w:rsid w:val="00E43174"/>
    <w:rsid w:val="00E45CD5"/>
    <w:rsid w:val="00E45D31"/>
    <w:rsid w:val="00E505A8"/>
    <w:rsid w:val="00E50DA8"/>
    <w:rsid w:val="00E53C0C"/>
    <w:rsid w:val="00E5451E"/>
    <w:rsid w:val="00E55EA1"/>
    <w:rsid w:val="00E565F5"/>
    <w:rsid w:val="00E60115"/>
    <w:rsid w:val="00E601D7"/>
    <w:rsid w:val="00E639E7"/>
    <w:rsid w:val="00E63A2B"/>
    <w:rsid w:val="00E646AF"/>
    <w:rsid w:val="00E66D2A"/>
    <w:rsid w:val="00E72BFB"/>
    <w:rsid w:val="00E72E68"/>
    <w:rsid w:val="00E7380F"/>
    <w:rsid w:val="00E7454F"/>
    <w:rsid w:val="00E74B09"/>
    <w:rsid w:val="00E76EB8"/>
    <w:rsid w:val="00E77098"/>
    <w:rsid w:val="00E85906"/>
    <w:rsid w:val="00E87C04"/>
    <w:rsid w:val="00E9146D"/>
    <w:rsid w:val="00E92A1C"/>
    <w:rsid w:val="00E92F75"/>
    <w:rsid w:val="00E94744"/>
    <w:rsid w:val="00E95553"/>
    <w:rsid w:val="00E96BAC"/>
    <w:rsid w:val="00E96D38"/>
    <w:rsid w:val="00E978F3"/>
    <w:rsid w:val="00EA1C31"/>
    <w:rsid w:val="00EA47B8"/>
    <w:rsid w:val="00EA5EC4"/>
    <w:rsid w:val="00EB232A"/>
    <w:rsid w:val="00EB2B30"/>
    <w:rsid w:val="00EB39BF"/>
    <w:rsid w:val="00EB4830"/>
    <w:rsid w:val="00EB4F0A"/>
    <w:rsid w:val="00EB67A0"/>
    <w:rsid w:val="00EC02DC"/>
    <w:rsid w:val="00EC1F9C"/>
    <w:rsid w:val="00EC2728"/>
    <w:rsid w:val="00EC551E"/>
    <w:rsid w:val="00EC567F"/>
    <w:rsid w:val="00EC5767"/>
    <w:rsid w:val="00EC59D2"/>
    <w:rsid w:val="00EC6DF9"/>
    <w:rsid w:val="00EC74BC"/>
    <w:rsid w:val="00ED4507"/>
    <w:rsid w:val="00ED4D80"/>
    <w:rsid w:val="00ED5729"/>
    <w:rsid w:val="00ED5B12"/>
    <w:rsid w:val="00ED6094"/>
    <w:rsid w:val="00EE043E"/>
    <w:rsid w:val="00EE2228"/>
    <w:rsid w:val="00EE22CB"/>
    <w:rsid w:val="00EE4E28"/>
    <w:rsid w:val="00EE5118"/>
    <w:rsid w:val="00EE646C"/>
    <w:rsid w:val="00EE6DB1"/>
    <w:rsid w:val="00EF043F"/>
    <w:rsid w:val="00EF077A"/>
    <w:rsid w:val="00EF08FC"/>
    <w:rsid w:val="00EF0BBA"/>
    <w:rsid w:val="00EF1CBA"/>
    <w:rsid w:val="00F0253F"/>
    <w:rsid w:val="00F05532"/>
    <w:rsid w:val="00F058CB"/>
    <w:rsid w:val="00F0731F"/>
    <w:rsid w:val="00F07AE1"/>
    <w:rsid w:val="00F102D1"/>
    <w:rsid w:val="00F11F9A"/>
    <w:rsid w:val="00F125F3"/>
    <w:rsid w:val="00F1454F"/>
    <w:rsid w:val="00F14CBD"/>
    <w:rsid w:val="00F17400"/>
    <w:rsid w:val="00F21389"/>
    <w:rsid w:val="00F21473"/>
    <w:rsid w:val="00F22662"/>
    <w:rsid w:val="00F249DD"/>
    <w:rsid w:val="00F268F0"/>
    <w:rsid w:val="00F277DB"/>
    <w:rsid w:val="00F305D5"/>
    <w:rsid w:val="00F308B0"/>
    <w:rsid w:val="00F3124A"/>
    <w:rsid w:val="00F32433"/>
    <w:rsid w:val="00F32BCC"/>
    <w:rsid w:val="00F3375F"/>
    <w:rsid w:val="00F33FB7"/>
    <w:rsid w:val="00F35F69"/>
    <w:rsid w:val="00F36893"/>
    <w:rsid w:val="00F4156A"/>
    <w:rsid w:val="00F43C55"/>
    <w:rsid w:val="00F446D6"/>
    <w:rsid w:val="00F478C0"/>
    <w:rsid w:val="00F47D6E"/>
    <w:rsid w:val="00F50ADE"/>
    <w:rsid w:val="00F511D9"/>
    <w:rsid w:val="00F51CD9"/>
    <w:rsid w:val="00F53B5F"/>
    <w:rsid w:val="00F545FD"/>
    <w:rsid w:val="00F55514"/>
    <w:rsid w:val="00F55CD7"/>
    <w:rsid w:val="00F55FA9"/>
    <w:rsid w:val="00F57A6A"/>
    <w:rsid w:val="00F60D07"/>
    <w:rsid w:val="00F611F4"/>
    <w:rsid w:val="00F644A0"/>
    <w:rsid w:val="00F64C53"/>
    <w:rsid w:val="00F702EA"/>
    <w:rsid w:val="00F73128"/>
    <w:rsid w:val="00F7367F"/>
    <w:rsid w:val="00F7409B"/>
    <w:rsid w:val="00F76F7C"/>
    <w:rsid w:val="00F77426"/>
    <w:rsid w:val="00F77CC3"/>
    <w:rsid w:val="00F800D6"/>
    <w:rsid w:val="00F80F32"/>
    <w:rsid w:val="00F8179A"/>
    <w:rsid w:val="00F8322E"/>
    <w:rsid w:val="00F83F4C"/>
    <w:rsid w:val="00F83F81"/>
    <w:rsid w:val="00F84B0F"/>
    <w:rsid w:val="00F8537E"/>
    <w:rsid w:val="00F86A2C"/>
    <w:rsid w:val="00F87828"/>
    <w:rsid w:val="00F87F6B"/>
    <w:rsid w:val="00F928CD"/>
    <w:rsid w:val="00F92A07"/>
    <w:rsid w:val="00F96F10"/>
    <w:rsid w:val="00F97D0F"/>
    <w:rsid w:val="00FA0858"/>
    <w:rsid w:val="00FA0E2B"/>
    <w:rsid w:val="00FA0E60"/>
    <w:rsid w:val="00FA0EF2"/>
    <w:rsid w:val="00FA10DA"/>
    <w:rsid w:val="00FA1601"/>
    <w:rsid w:val="00FA30F5"/>
    <w:rsid w:val="00FA5BB8"/>
    <w:rsid w:val="00FA718D"/>
    <w:rsid w:val="00FA7A95"/>
    <w:rsid w:val="00FA7B12"/>
    <w:rsid w:val="00FB291A"/>
    <w:rsid w:val="00FB578A"/>
    <w:rsid w:val="00FB5F7D"/>
    <w:rsid w:val="00FC0C6C"/>
    <w:rsid w:val="00FC287C"/>
    <w:rsid w:val="00FC5BEB"/>
    <w:rsid w:val="00FD2FBA"/>
    <w:rsid w:val="00FD6C41"/>
    <w:rsid w:val="00FE0830"/>
    <w:rsid w:val="00FE39AE"/>
    <w:rsid w:val="00FE40E4"/>
    <w:rsid w:val="00FE491D"/>
    <w:rsid w:val="00FF04B1"/>
    <w:rsid w:val="00FF1DE2"/>
    <w:rsid w:val="00FF28F2"/>
    <w:rsid w:val="00FF2D8D"/>
    <w:rsid w:val="00FF54AB"/>
    <w:rsid w:val="00FF5AEB"/>
    <w:rsid w:val="0151C323"/>
    <w:rsid w:val="016A6FE2"/>
    <w:rsid w:val="01977D7E"/>
    <w:rsid w:val="01BC65B6"/>
    <w:rsid w:val="01DED003"/>
    <w:rsid w:val="0286C247"/>
    <w:rsid w:val="02D03DA4"/>
    <w:rsid w:val="02F27082"/>
    <w:rsid w:val="03199551"/>
    <w:rsid w:val="03688B06"/>
    <w:rsid w:val="0382B5C2"/>
    <w:rsid w:val="03C6EFD0"/>
    <w:rsid w:val="03CBAE6F"/>
    <w:rsid w:val="03CDB3BC"/>
    <w:rsid w:val="04002B3F"/>
    <w:rsid w:val="040CAA98"/>
    <w:rsid w:val="042327A9"/>
    <w:rsid w:val="047B43EB"/>
    <w:rsid w:val="048D4AB6"/>
    <w:rsid w:val="05357D5D"/>
    <w:rsid w:val="053F25E8"/>
    <w:rsid w:val="05656E92"/>
    <w:rsid w:val="05A4B095"/>
    <w:rsid w:val="05BAD2A7"/>
    <w:rsid w:val="062D0266"/>
    <w:rsid w:val="06DC5834"/>
    <w:rsid w:val="078B746F"/>
    <w:rsid w:val="07AE5DB7"/>
    <w:rsid w:val="0825654E"/>
    <w:rsid w:val="082A7797"/>
    <w:rsid w:val="082F6891"/>
    <w:rsid w:val="084ED245"/>
    <w:rsid w:val="088266DC"/>
    <w:rsid w:val="08A82EF9"/>
    <w:rsid w:val="09683B6D"/>
    <w:rsid w:val="0981F74F"/>
    <w:rsid w:val="099AE55C"/>
    <w:rsid w:val="09A8B265"/>
    <w:rsid w:val="09BEBF4B"/>
    <w:rsid w:val="0A1B408D"/>
    <w:rsid w:val="0A3F321A"/>
    <w:rsid w:val="0AB7C283"/>
    <w:rsid w:val="0AE0D4B0"/>
    <w:rsid w:val="0B13700C"/>
    <w:rsid w:val="0B1F908A"/>
    <w:rsid w:val="0B7F92B2"/>
    <w:rsid w:val="0B849458"/>
    <w:rsid w:val="0C81B327"/>
    <w:rsid w:val="0CA51C08"/>
    <w:rsid w:val="0DC028D3"/>
    <w:rsid w:val="0E48B65D"/>
    <w:rsid w:val="0E56FE6A"/>
    <w:rsid w:val="0E97F6E9"/>
    <w:rsid w:val="0F658A2E"/>
    <w:rsid w:val="0F7183D4"/>
    <w:rsid w:val="101F6248"/>
    <w:rsid w:val="101F8C83"/>
    <w:rsid w:val="1065199B"/>
    <w:rsid w:val="10BB6050"/>
    <w:rsid w:val="111655F5"/>
    <w:rsid w:val="1195123B"/>
    <w:rsid w:val="11BE945C"/>
    <w:rsid w:val="11D04729"/>
    <w:rsid w:val="11DB0549"/>
    <w:rsid w:val="1258D545"/>
    <w:rsid w:val="126DC6CB"/>
    <w:rsid w:val="13177B18"/>
    <w:rsid w:val="1370FDEA"/>
    <w:rsid w:val="1407FC63"/>
    <w:rsid w:val="141B81E4"/>
    <w:rsid w:val="148AAF0D"/>
    <w:rsid w:val="14E78321"/>
    <w:rsid w:val="151B35F8"/>
    <w:rsid w:val="15207842"/>
    <w:rsid w:val="152BE17D"/>
    <w:rsid w:val="153224C2"/>
    <w:rsid w:val="15523122"/>
    <w:rsid w:val="15CDC0E5"/>
    <w:rsid w:val="15D315AA"/>
    <w:rsid w:val="15E2DDE4"/>
    <w:rsid w:val="15EEC8F1"/>
    <w:rsid w:val="15F42C08"/>
    <w:rsid w:val="16E7FDC9"/>
    <w:rsid w:val="172D4555"/>
    <w:rsid w:val="178D8AA8"/>
    <w:rsid w:val="178F1B1E"/>
    <w:rsid w:val="17D05C9C"/>
    <w:rsid w:val="18430D65"/>
    <w:rsid w:val="18AFF821"/>
    <w:rsid w:val="18DEB7ED"/>
    <w:rsid w:val="194101FC"/>
    <w:rsid w:val="1943FB53"/>
    <w:rsid w:val="19F53FA9"/>
    <w:rsid w:val="1A06A22A"/>
    <w:rsid w:val="1A82B4B9"/>
    <w:rsid w:val="1A8B9F7E"/>
    <w:rsid w:val="1AB997E6"/>
    <w:rsid w:val="1B08E35F"/>
    <w:rsid w:val="1B1C3B79"/>
    <w:rsid w:val="1B5F24F2"/>
    <w:rsid w:val="1B8A766D"/>
    <w:rsid w:val="1BF07BC9"/>
    <w:rsid w:val="1CC2BEEA"/>
    <w:rsid w:val="1CC35922"/>
    <w:rsid w:val="1CCA9BE9"/>
    <w:rsid w:val="1D706D49"/>
    <w:rsid w:val="1D7A9B51"/>
    <w:rsid w:val="1DA0FF68"/>
    <w:rsid w:val="1DB08DBE"/>
    <w:rsid w:val="1EB110A5"/>
    <w:rsid w:val="1F51F9B6"/>
    <w:rsid w:val="1F902652"/>
    <w:rsid w:val="1FDA6B59"/>
    <w:rsid w:val="1FF98C52"/>
    <w:rsid w:val="200F3860"/>
    <w:rsid w:val="20101715"/>
    <w:rsid w:val="20236964"/>
    <w:rsid w:val="20A4F257"/>
    <w:rsid w:val="210CE622"/>
    <w:rsid w:val="216A719E"/>
    <w:rsid w:val="22466B54"/>
    <w:rsid w:val="224C0592"/>
    <w:rsid w:val="2261C53B"/>
    <w:rsid w:val="22BA79A8"/>
    <w:rsid w:val="23FB85B8"/>
    <w:rsid w:val="241278AB"/>
    <w:rsid w:val="24D5C2BB"/>
    <w:rsid w:val="256005A5"/>
    <w:rsid w:val="256F7380"/>
    <w:rsid w:val="25A23D0E"/>
    <w:rsid w:val="2635CB1E"/>
    <w:rsid w:val="26DD7697"/>
    <w:rsid w:val="26E67479"/>
    <w:rsid w:val="26FB52E5"/>
    <w:rsid w:val="270DFAF7"/>
    <w:rsid w:val="271EDD51"/>
    <w:rsid w:val="276569C3"/>
    <w:rsid w:val="276AA34D"/>
    <w:rsid w:val="2796DD33"/>
    <w:rsid w:val="279B436E"/>
    <w:rsid w:val="27AF62C8"/>
    <w:rsid w:val="27CB5E92"/>
    <w:rsid w:val="28543EB3"/>
    <w:rsid w:val="2855A045"/>
    <w:rsid w:val="28A881E0"/>
    <w:rsid w:val="28B14A62"/>
    <w:rsid w:val="28C00F68"/>
    <w:rsid w:val="28D9E8EE"/>
    <w:rsid w:val="292C00D1"/>
    <w:rsid w:val="29336D99"/>
    <w:rsid w:val="29699D47"/>
    <w:rsid w:val="29801449"/>
    <w:rsid w:val="29A99CE6"/>
    <w:rsid w:val="29C643B4"/>
    <w:rsid w:val="29CA0568"/>
    <w:rsid w:val="29D36523"/>
    <w:rsid w:val="2A08C4B0"/>
    <w:rsid w:val="2A3DD3CB"/>
    <w:rsid w:val="2A451D94"/>
    <w:rsid w:val="2A91253F"/>
    <w:rsid w:val="2AA1D0C4"/>
    <w:rsid w:val="2B1EC1D0"/>
    <w:rsid w:val="2B3D5B1C"/>
    <w:rsid w:val="2B78491D"/>
    <w:rsid w:val="2B9A8C98"/>
    <w:rsid w:val="2BDD3001"/>
    <w:rsid w:val="2C15A923"/>
    <w:rsid w:val="2C675BCE"/>
    <w:rsid w:val="2C858E49"/>
    <w:rsid w:val="2C974629"/>
    <w:rsid w:val="2CAA73E5"/>
    <w:rsid w:val="2CBA56E3"/>
    <w:rsid w:val="2D4C4DAF"/>
    <w:rsid w:val="2D4E4027"/>
    <w:rsid w:val="2D539970"/>
    <w:rsid w:val="2D5490F5"/>
    <w:rsid w:val="2D77AED7"/>
    <w:rsid w:val="2DC38F9C"/>
    <w:rsid w:val="2DD156FF"/>
    <w:rsid w:val="2DD57090"/>
    <w:rsid w:val="2E615518"/>
    <w:rsid w:val="2E6AABD9"/>
    <w:rsid w:val="2EE4FFD1"/>
    <w:rsid w:val="2F75BEF7"/>
    <w:rsid w:val="2FEC07E7"/>
    <w:rsid w:val="311C8A54"/>
    <w:rsid w:val="311DF75D"/>
    <w:rsid w:val="31574910"/>
    <w:rsid w:val="31673774"/>
    <w:rsid w:val="317A627E"/>
    <w:rsid w:val="31844731"/>
    <w:rsid w:val="328E76C2"/>
    <w:rsid w:val="330EEAAE"/>
    <w:rsid w:val="3316A7E4"/>
    <w:rsid w:val="33772090"/>
    <w:rsid w:val="33B44836"/>
    <w:rsid w:val="33D0E451"/>
    <w:rsid w:val="33DBF8A9"/>
    <w:rsid w:val="33F01BF6"/>
    <w:rsid w:val="33F428C1"/>
    <w:rsid w:val="34185944"/>
    <w:rsid w:val="3464899B"/>
    <w:rsid w:val="3495BB7D"/>
    <w:rsid w:val="34B6C372"/>
    <w:rsid w:val="34CE7466"/>
    <w:rsid w:val="34CF569C"/>
    <w:rsid w:val="34FAF8AB"/>
    <w:rsid w:val="3504FD73"/>
    <w:rsid w:val="3526B364"/>
    <w:rsid w:val="35F3E4F2"/>
    <w:rsid w:val="3623E202"/>
    <w:rsid w:val="36623D58"/>
    <w:rsid w:val="367FA139"/>
    <w:rsid w:val="36BD5C6E"/>
    <w:rsid w:val="37F9E20D"/>
    <w:rsid w:val="38D389DB"/>
    <w:rsid w:val="3927C9DC"/>
    <w:rsid w:val="394FBDC3"/>
    <w:rsid w:val="39AF196E"/>
    <w:rsid w:val="39E8A41F"/>
    <w:rsid w:val="3A02CDA1"/>
    <w:rsid w:val="3A5F24F7"/>
    <w:rsid w:val="3A63F810"/>
    <w:rsid w:val="3A902426"/>
    <w:rsid w:val="3AA2D809"/>
    <w:rsid w:val="3B0199BC"/>
    <w:rsid w:val="3B19C5E1"/>
    <w:rsid w:val="3B22F60B"/>
    <w:rsid w:val="3B39FC7E"/>
    <w:rsid w:val="3B3E3191"/>
    <w:rsid w:val="3B4E15DA"/>
    <w:rsid w:val="3B8104EF"/>
    <w:rsid w:val="3BAEB1A9"/>
    <w:rsid w:val="3BAFF101"/>
    <w:rsid w:val="3C574DB6"/>
    <w:rsid w:val="3C8406E1"/>
    <w:rsid w:val="3D2EB193"/>
    <w:rsid w:val="3D6DAD95"/>
    <w:rsid w:val="3DB9A0AD"/>
    <w:rsid w:val="3DE857CB"/>
    <w:rsid w:val="3E0CE533"/>
    <w:rsid w:val="3E518C96"/>
    <w:rsid w:val="3E6DFF11"/>
    <w:rsid w:val="3ED03750"/>
    <w:rsid w:val="3ED641F2"/>
    <w:rsid w:val="3EDDF8B4"/>
    <w:rsid w:val="3F5E3820"/>
    <w:rsid w:val="3F676F0E"/>
    <w:rsid w:val="3F8D92F4"/>
    <w:rsid w:val="401616D1"/>
    <w:rsid w:val="402DD6DF"/>
    <w:rsid w:val="40D6D521"/>
    <w:rsid w:val="410A9190"/>
    <w:rsid w:val="41AB238C"/>
    <w:rsid w:val="41B6D592"/>
    <w:rsid w:val="41C18BC3"/>
    <w:rsid w:val="4242EB9C"/>
    <w:rsid w:val="42837330"/>
    <w:rsid w:val="42E77018"/>
    <w:rsid w:val="436AA9E7"/>
    <w:rsid w:val="43D7026C"/>
    <w:rsid w:val="43F8AC91"/>
    <w:rsid w:val="43FE16BF"/>
    <w:rsid w:val="4476316F"/>
    <w:rsid w:val="447C3B77"/>
    <w:rsid w:val="449C0EF1"/>
    <w:rsid w:val="44BEA37C"/>
    <w:rsid w:val="4542C8A8"/>
    <w:rsid w:val="4608AE87"/>
    <w:rsid w:val="4658B271"/>
    <w:rsid w:val="4688B602"/>
    <w:rsid w:val="47CCE65B"/>
    <w:rsid w:val="47D11EF2"/>
    <w:rsid w:val="4843B938"/>
    <w:rsid w:val="48A768EE"/>
    <w:rsid w:val="48B2C818"/>
    <w:rsid w:val="48C01724"/>
    <w:rsid w:val="495C0A6D"/>
    <w:rsid w:val="499A3E66"/>
    <w:rsid w:val="49A8E594"/>
    <w:rsid w:val="49E3D950"/>
    <w:rsid w:val="49F224F3"/>
    <w:rsid w:val="4A26D388"/>
    <w:rsid w:val="4A78C359"/>
    <w:rsid w:val="4B29A2FE"/>
    <w:rsid w:val="4B325045"/>
    <w:rsid w:val="4B5F0A45"/>
    <w:rsid w:val="4B699E2D"/>
    <w:rsid w:val="4C2DAD73"/>
    <w:rsid w:val="4C324895"/>
    <w:rsid w:val="4D237A1F"/>
    <w:rsid w:val="4D430494"/>
    <w:rsid w:val="4D59614E"/>
    <w:rsid w:val="4D610284"/>
    <w:rsid w:val="4D87BF26"/>
    <w:rsid w:val="4DC7FB31"/>
    <w:rsid w:val="4E152108"/>
    <w:rsid w:val="4E63CC23"/>
    <w:rsid w:val="4ECDE349"/>
    <w:rsid w:val="4F24C0D5"/>
    <w:rsid w:val="4F420A6C"/>
    <w:rsid w:val="4F793A29"/>
    <w:rsid w:val="4F96BC5B"/>
    <w:rsid w:val="4FC30326"/>
    <w:rsid w:val="4FC31103"/>
    <w:rsid w:val="4FC8F869"/>
    <w:rsid w:val="5027D0F9"/>
    <w:rsid w:val="507539DD"/>
    <w:rsid w:val="50A24FCF"/>
    <w:rsid w:val="50E6095D"/>
    <w:rsid w:val="511D5A68"/>
    <w:rsid w:val="513A495D"/>
    <w:rsid w:val="515ED0B9"/>
    <w:rsid w:val="5160C82E"/>
    <w:rsid w:val="5215AA0B"/>
    <w:rsid w:val="524CED5F"/>
    <w:rsid w:val="528017A4"/>
    <w:rsid w:val="529120B9"/>
    <w:rsid w:val="52B08649"/>
    <w:rsid w:val="52D6FCA6"/>
    <w:rsid w:val="53550809"/>
    <w:rsid w:val="53669D32"/>
    <w:rsid w:val="5366BA48"/>
    <w:rsid w:val="537FC247"/>
    <w:rsid w:val="544BB2BF"/>
    <w:rsid w:val="54F3E546"/>
    <w:rsid w:val="55308D0C"/>
    <w:rsid w:val="55406A86"/>
    <w:rsid w:val="55C49B04"/>
    <w:rsid w:val="5602C422"/>
    <w:rsid w:val="564414DB"/>
    <w:rsid w:val="57AE79EE"/>
    <w:rsid w:val="57D5BD9C"/>
    <w:rsid w:val="57E9CEDA"/>
    <w:rsid w:val="58299588"/>
    <w:rsid w:val="582F1E70"/>
    <w:rsid w:val="58427B7D"/>
    <w:rsid w:val="593E71A7"/>
    <w:rsid w:val="59560911"/>
    <w:rsid w:val="5976FD58"/>
    <w:rsid w:val="599237B4"/>
    <w:rsid w:val="5998AF23"/>
    <w:rsid w:val="59A83FDF"/>
    <w:rsid w:val="59CD1630"/>
    <w:rsid w:val="59F93E7D"/>
    <w:rsid w:val="5A1B538D"/>
    <w:rsid w:val="5ACCE88E"/>
    <w:rsid w:val="5AE009D3"/>
    <w:rsid w:val="5B19F46B"/>
    <w:rsid w:val="5B5BD717"/>
    <w:rsid w:val="5C1C8841"/>
    <w:rsid w:val="5C2B16DF"/>
    <w:rsid w:val="5C43CDBA"/>
    <w:rsid w:val="5CB255E0"/>
    <w:rsid w:val="5D53F88F"/>
    <w:rsid w:val="5DD06B45"/>
    <w:rsid w:val="5DFCE58F"/>
    <w:rsid w:val="5EDDFC05"/>
    <w:rsid w:val="5F18C9DD"/>
    <w:rsid w:val="5F8FF768"/>
    <w:rsid w:val="5F9FEA4B"/>
    <w:rsid w:val="5FE2228B"/>
    <w:rsid w:val="600F8D2D"/>
    <w:rsid w:val="6075F107"/>
    <w:rsid w:val="608309D4"/>
    <w:rsid w:val="6089F3DE"/>
    <w:rsid w:val="6095F379"/>
    <w:rsid w:val="612C77DE"/>
    <w:rsid w:val="61B960F0"/>
    <w:rsid w:val="61CCBC68"/>
    <w:rsid w:val="61CDA3B3"/>
    <w:rsid w:val="622D9549"/>
    <w:rsid w:val="626E7200"/>
    <w:rsid w:val="627BA9F8"/>
    <w:rsid w:val="62B1B7BE"/>
    <w:rsid w:val="62B7940B"/>
    <w:rsid w:val="62E41905"/>
    <w:rsid w:val="6374B36B"/>
    <w:rsid w:val="63840717"/>
    <w:rsid w:val="6394EF2D"/>
    <w:rsid w:val="641E713A"/>
    <w:rsid w:val="64882279"/>
    <w:rsid w:val="64A53E8E"/>
    <w:rsid w:val="654AC93D"/>
    <w:rsid w:val="6571A6B6"/>
    <w:rsid w:val="65A90FFB"/>
    <w:rsid w:val="65F3F990"/>
    <w:rsid w:val="660B1FC7"/>
    <w:rsid w:val="663B1A55"/>
    <w:rsid w:val="6666FE77"/>
    <w:rsid w:val="66B4420A"/>
    <w:rsid w:val="66C7306F"/>
    <w:rsid w:val="66E077FD"/>
    <w:rsid w:val="672C0FD0"/>
    <w:rsid w:val="67555B77"/>
    <w:rsid w:val="6782290A"/>
    <w:rsid w:val="67B60800"/>
    <w:rsid w:val="67BBBAAD"/>
    <w:rsid w:val="680813BF"/>
    <w:rsid w:val="681AE788"/>
    <w:rsid w:val="683D7B26"/>
    <w:rsid w:val="684C7339"/>
    <w:rsid w:val="6855CA18"/>
    <w:rsid w:val="689D4150"/>
    <w:rsid w:val="68EB45B6"/>
    <w:rsid w:val="69913F4E"/>
    <w:rsid w:val="69D79C5B"/>
    <w:rsid w:val="69D90184"/>
    <w:rsid w:val="6A1199D5"/>
    <w:rsid w:val="6A1C8EDA"/>
    <w:rsid w:val="6A6C6EEB"/>
    <w:rsid w:val="6A71C9C4"/>
    <w:rsid w:val="6A7A0725"/>
    <w:rsid w:val="6AB0CFB3"/>
    <w:rsid w:val="6AE60CB5"/>
    <w:rsid w:val="6B3F14CF"/>
    <w:rsid w:val="6C2B5D79"/>
    <w:rsid w:val="6C87F73E"/>
    <w:rsid w:val="6CB809EF"/>
    <w:rsid w:val="6CDDFCF1"/>
    <w:rsid w:val="6D03B4CD"/>
    <w:rsid w:val="6D0A8CBF"/>
    <w:rsid w:val="6D1F2E7C"/>
    <w:rsid w:val="6D1F66C6"/>
    <w:rsid w:val="6D43F787"/>
    <w:rsid w:val="6D5E6836"/>
    <w:rsid w:val="6D9A83D2"/>
    <w:rsid w:val="6E8A992D"/>
    <w:rsid w:val="6F4EC230"/>
    <w:rsid w:val="7056FF6B"/>
    <w:rsid w:val="70947D2A"/>
    <w:rsid w:val="709AB617"/>
    <w:rsid w:val="70C2CFBE"/>
    <w:rsid w:val="70F73745"/>
    <w:rsid w:val="710614EC"/>
    <w:rsid w:val="710F15E2"/>
    <w:rsid w:val="714F483A"/>
    <w:rsid w:val="71E86D61"/>
    <w:rsid w:val="7205F472"/>
    <w:rsid w:val="7272922D"/>
    <w:rsid w:val="72826A66"/>
    <w:rsid w:val="72C97206"/>
    <w:rsid w:val="72F6320F"/>
    <w:rsid w:val="7330334A"/>
    <w:rsid w:val="7379E661"/>
    <w:rsid w:val="73D36B0C"/>
    <w:rsid w:val="740F81D3"/>
    <w:rsid w:val="7412BE88"/>
    <w:rsid w:val="746C181B"/>
    <w:rsid w:val="749AE7A6"/>
    <w:rsid w:val="74ADA885"/>
    <w:rsid w:val="74E5F525"/>
    <w:rsid w:val="74F25AFC"/>
    <w:rsid w:val="752D6223"/>
    <w:rsid w:val="75415163"/>
    <w:rsid w:val="7550D367"/>
    <w:rsid w:val="75A172BF"/>
    <w:rsid w:val="75F0330C"/>
    <w:rsid w:val="75F5996D"/>
    <w:rsid w:val="75F7356D"/>
    <w:rsid w:val="760A6776"/>
    <w:rsid w:val="766B0EAB"/>
    <w:rsid w:val="7672C702"/>
    <w:rsid w:val="7673085E"/>
    <w:rsid w:val="76ED3D18"/>
    <w:rsid w:val="773F8B15"/>
    <w:rsid w:val="78D71358"/>
    <w:rsid w:val="7932E9FE"/>
    <w:rsid w:val="798FC6D5"/>
    <w:rsid w:val="79B2812B"/>
    <w:rsid w:val="79DDEAD3"/>
    <w:rsid w:val="7A07E3EC"/>
    <w:rsid w:val="7AA19779"/>
    <w:rsid w:val="7AAAC660"/>
    <w:rsid w:val="7ACC1A5A"/>
    <w:rsid w:val="7AD63091"/>
    <w:rsid w:val="7B358718"/>
    <w:rsid w:val="7B3C5F14"/>
    <w:rsid w:val="7B3F947C"/>
    <w:rsid w:val="7B4AE808"/>
    <w:rsid w:val="7BB7BED3"/>
    <w:rsid w:val="7BF09964"/>
    <w:rsid w:val="7BF63C49"/>
    <w:rsid w:val="7CABE5FE"/>
    <w:rsid w:val="7CB2DAE0"/>
    <w:rsid w:val="7D31D367"/>
    <w:rsid w:val="7D5DA6CE"/>
    <w:rsid w:val="7D750EB8"/>
    <w:rsid w:val="7DA1AC79"/>
    <w:rsid w:val="7DEACD76"/>
    <w:rsid w:val="7E0C0E63"/>
    <w:rsid w:val="7E14424A"/>
    <w:rsid w:val="7E74BB0E"/>
    <w:rsid w:val="7F32CF16"/>
    <w:rsid w:val="7F60320C"/>
    <w:rsid w:val="7F79D32D"/>
    <w:rsid w:val="7FA3F99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B88257"/>
  <w15:docId w15:val="{3448EAC9-763D-48CF-88A8-7D3A60490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D9D"/>
    <w:pPr>
      <w:keepNext/>
      <w:keepLines/>
      <w:spacing w:before="480" w:line="276" w:lineRule="auto"/>
      <w:outlineLvl w:val="0"/>
    </w:pPr>
    <w:rPr>
      <w:rFonts w:eastAsia="Times New Roman" w:cs="Times New Roman"/>
      <w:b/>
      <w:bCs/>
      <w:sz w:val="24"/>
      <w:szCs w:val="28"/>
      <w:lang w:val="x-none" w:eastAsia="x-none"/>
    </w:rPr>
  </w:style>
  <w:style w:type="paragraph" w:styleId="Heading2">
    <w:name w:val="heading 2"/>
    <w:basedOn w:val="Normal"/>
    <w:next w:val="Normal"/>
    <w:link w:val="Heading2Char"/>
    <w:uiPriority w:val="9"/>
    <w:unhideWhenUsed/>
    <w:qFormat/>
    <w:rsid w:val="00033948"/>
    <w:pPr>
      <w:keepNext/>
      <w:keepLines/>
      <w:spacing w:before="40"/>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95397B"/>
    <w:pPr>
      <w:keepNext/>
      <w:keepLines/>
      <w:spacing w:before="4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Schriftart: 9 pt,Schriftart: 10 pt,Schriftart: 8 pt,WB-Fußnotentext,WB-Fußnotentext Char Char,WB-Fußnotentext Char,stile 1,Footnote1,Footnote2,Footnote3,Footnote4,Footnote5,Footnote6,Footnote7,Footnote8,Footnote9,fn,FT,f"/>
    <w:basedOn w:val="Normal"/>
    <w:link w:val="FootnoteTextChar"/>
    <w:uiPriority w:val="99"/>
    <w:unhideWhenUsed/>
    <w:rsid w:val="0083233C"/>
    <w:rPr>
      <w:sz w:val="20"/>
      <w:szCs w:val="20"/>
    </w:rPr>
  </w:style>
  <w:style w:type="character" w:customStyle="1" w:styleId="FootnoteTextChar">
    <w:name w:val="Footnote Text Char"/>
    <w:aliases w:val="Footnote Char,Fußnote Char,Schriftart: 9 pt Char,Schriftart: 10 pt Char,Schriftart: 8 pt Char,WB-Fußnotentext Char1,WB-Fußnotentext Char Char Char,WB-Fußnotentext Char Char1,stile 1 Char,Footnote1 Char,Footnote2 Char,Footnote3 Char"/>
    <w:basedOn w:val="DefaultParagraphFont"/>
    <w:link w:val="FootnoteText"/>
    <w:uiPriority w:val="99"/>
    <w:rsid w:val="0083233C"/>
    <w:rPr>
      <w:sz w:val="20"/>
      <w:szCs w:val="20"/>
    </w:rPr>
  </w:style>
  <w:style w:type="character" w:styleId="FootnoteReference">
    <w:name w:val="footnote reference"/>
    <w:aliases w:val="Footnote Reference Number,Footnote Reference Superscript,Footnote symbol,fr,Footnote Refernece,ftref,Odwołanie przypisu,BVI fnr,Footnotes refss,SUPERS,Ref,de nota al pie,-E Fußnotenzeichen,Footnote reference number,Times 10 Point,E"/>
    <w:basedOn w:val="DefaultParagraphFont"/>
    <w:uiPriority w:val="99"/>
    <w:unhideWhenUsed/>
    <w:rsid w:val="0083233C"/>
    <w:rPr>
      <w:vertAlign w:val="superscript"/>
    </w:rPr>
  </w:style>
  <w:style w:type="character" w:styleId="CommentReference">
    <w:name w:val="annotation reference"/>
    <w:basedOn w:val="DefaultParagraphFont"/>
    <w:uiPriority w:val="99"/>
    <w:semiHidden/>
    <w:unhideWhenUsed/>
    <w:rsid w:val="00191437"/>
    <w:rPr>
      <w:sz w:val="16"/>
      <w:szCs w:val="16"/>
    </w:rPr>
  </w:style>
  <w:style w:type="paragraph" w:styleId="CommentText">
    <w:name w:val="annotation text"/>
    <w:basedOn w:val="Normal"/>
    <w:link w:val="CommentTextChar"/>
    <w:uiPriority w:val="99"/>
    <w:semiHidden/>
    <w:unhideWhenUsed/>
    <w:rsid w:val="00191437"/>
    <w:rPr>
      <w:sz w:val="20"/>
      <w:szCs w:val="20"/>
    </w:rPr>
  </w:style>
  <w:style w:type="character" w:customStyle="1" w:styleId="CommentTextChar">
    <w:name w:val="Comment Text Char"/>
    <w:basedOn w:val="DefaultParagraphFont"/>
    <w:link w:val="CommentText"/>
    <w:uiPriority w:val="99"/>
    <w:semiHidden/>
    <w:rsid w:val="00191437"/>
    <w:rPr>
      <w:sz w:val="20"/>
      <w:szCs w:val="20"/>
    </w:rPr>
  </w:style>
  <w:style w:type="paragraph" w:styleId="CommentSubject">
    <w:name w:val="annotation subject"/>
    <w:basedOn w:val="CommentText"/>
    <w:next w:val="CommentText"/>
    <w:link w:val="CommentSubjectChar"/>
    <w:uiPriority w:val="99"/>
    <w:semiHidden/>
    <w:unhideWhenUsed/>
    <w:rsid w:val="00191437"/>
    <w:rPr>
      <w:b/>
      <w:bCs/>
    </w:rPr>
  </w:style>
  <w:style w:type="character" w:customStyle="1" w:styleId="CommentSubjectChar">
    <w:name w:val="Comment Subject Char"/>
    <w:basedOn w:val="CommentTextChar"/>
    <w:link w:val="CommentSubject"/>
    <w:uiPriority w:val="99"/>
    <w:semiHidden/>
    <w:rsid w:val="00191437"/>
    <w:rPr>
      <w:b/>
      <w:bCs/>
      <w:sz w:val="20"/>
      <w:szCs w:val="20"/>
    </w:rPr>
  </w:style>
  <w:style w:type="paragraph" w:styleId="BalloonText">
    <w:name w:val="Balloon Text"/>
    <w:basedOn w:val="Normal"/>
    <w:link w:val="BalloonTextChar"/>
    <w:uiPriority w:val="99"/>
    <w:semiHidden/>
    <w:unhideWhenUsed/>
    <w:rsid w:val="00191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437"/>
    <w:rPr>
      <w:rFonts w:ascii="Segoe UI" w:hAnsi="Segoe UI" w:cs="Segoe UI"/>
      <w:sz w:val="18"/>
      <w:szCs w:val="18"/>
    </w:rPr>
  </w:style>
  <w:style w:type="character" w:styleId="Hyperlink">
    <w:name w:val="Hyperlink"/>
    <w:basedOn w:val="DefaultParagraphFont"/>
    <w:uiPriority w:val="99"/>
    <w:unhideWhenUsed/>
    <w:rsid w:val="003703DF"/>
    <w:rPr>
      <w:color w:val="0563C1" w:themeColor="hyperlink"/>
      <w:u w:val="single"/>
    </w:rPr>
  </w:style>
  <w:style w:type="character" w:customStyle="1" w:styleId="Heading1Char">
    <w:name w:val="Heading 1 Char"/>
    <w:basedOn w:val="DefaultParagraphFont"/>
    <w:link w:val="Heading1"/>
    <w:uiPriority w:val="9"/>
    <w:rsid w:val="00DF0D9D"/>
    <w:rPr>
      <w:rFonts w:eastAsia="Times New Roman" w:cs="Times New Roman"/>
      <w:b/>
      <w:bCs/>
      <w:sz w:val="24"/>
      <w:szCs w:val="28"/>
      <w:lang w:val="x-none" w:eastAsia="x-none"/>
    </w:rPr>
  </w:style>
  <w:style w:type="table" w:styleId="TableGrid">
    <w:name w:val="Table Grid"/>
    <w:basedOn w:val="TableNormal"/>
    <w:uiPriority w:val="59"/>
    <w:rsid w:val="00E21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7C35AB"/>
    <w:pPr>
      <w:spacing w:after="120" w:line="480" w:lineRule="auto"/>
    </w:pPr>
    <w:rPr>
      <w:rFonts w:eastAsia="Times New Roman" w:cs="Times New Roman"/>
      <w:sz w:val="24"/>
      <w:szCs w:val="24"/>
      <w:lang w:val="en-GB"/>
    </w:rPr>
  </w:style>
  <w:style w:type="character" w:customStyle="1" w:styleId="BodyText2Char">
    <w:name w:val="Body Text 2 Char"/>
    <w:basedOn w:val="DefaultParagraphFont"/>
    <w:link w:val="BodyText2"/>
    <w:uiPriority w:val="99"/>
    <w:rsid w:val="007C35AB"/>
    <w:rPr>
      <w:rFonts w:eastAsia="Times New Roman" w:cs="Times New Roman"/>
      <w:sz w:val="24"/>
      <w:szCs w:val="24"/>
      <w:lang w:val="en-GB"/>
    </w:rPr>
  </w:style>
  <w:style w:type="character" w:customStyle="1" w:styleId="highlight">
    <w:name w:val="highlight"/>
    <w:basedOn w:val="DefaultParagraphFont"/>
    <w:rsid w:val="00E7454F"/>
  </w:style>
  <w:style w:type="paragraph" w:styleId="NormalWeb">
    <w:name w:val="Normal (Web)"/>
    <w:aliases w:val="sākums"/>
    <w:basedOn w:val="Normal"/>
    <w:link w:val="NormalWebChar"/>
    <w:uiPriority w:val="99"/>
    <w:unhideWhenUsed/>
    <w:qFormat/>
    <w:rsid w:val="00D209CC"/>
    <w:pPr>
      <w:spacing w:before="100" w:beforeAutospacing="1" w:after="100" w:afterAutospacing="1"/>
    </w:pPr>
    <w:rPr>
      <w:rFonts w:eastAsia="Calibri" w:cs="Times New Roman"/>
      <w:sz w:val="24"/>
      <w:szCs w:val="24"/>
      <w:lang w:eastAsia="lv-LV"/>
    </w:rPr>
  </w:style>
  <w:style w:type="character" w:customStyle="1" w:styleId="NormalWebChar">
    <w:name w:val="Normal (Web) Char"/>
    <w:aliases w:val="sākums Char"/>
    <w:link w:val="NormalWeb"/>
    <w:uiPriority w:val="99"/>
    <w:locked/>
    <w:rsid w:val="00D209CC"/>
    <w:rPr>
      <w:rFonts w:eastAsia="Calibri" w:cs="Times New Roman"/>
      <w:sz w:val="24"/>
      <w:szCs w:val="24"/>
      <w:lang w:eastAsia="lv-LV"/>
    </w:rPr>
  </w:style>
  <w:style w:type="table" w:styleId="LightShading-Accent1">
    <w:name w:val="Light Shading Accent 1"/>
    <w:basedOn w:val="TableNormal"/>
    <w:uiPriority w:val="60"/>
    <w:rsid w:val="00D209CC"/>
    <w:rPr>
      <w:rFonts w:asciiTheme="minorHAnsi" w:eastAsiaTheme="minorEastAsia" w:hAnsiTheme="minorHAnsi"/>
      <w:color w:val="2E74B5" w:themeColor="accent1" w:themeShade="BF"/>
      <w:sz w:val="22"/>
      <w:lang w:eastAsia="lv-LV"/>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Header">
    <w:name w:val="header"/>
    <w:basedOn w:val="Normal"/>
    <w:link w:val="HeaderChar"/>
    <w:uiPriority w:val="99"/>
    <w:unhideWhenUsed/>
    <w:rsid w:val="00D209CC"/>
    <w:pPr>
      <w:tabs>
        <w:tab w:val="center" w:pos="4153"/>
        <w:tab w:val="right" w:pos="8306"/>
      </w:tabs>
    </w:pPr>
    <w:rPr>
      <w:rFonts w:asciiTheme="minorHAnsi" w:eastAsiaTheme="minorEastAsia" w:hAnsiTheme="minorHAnsi"/>
      <w:sz w:val="22"/>
      <w:lang w:eastAsia="lv-LV"/>
    </w:rPr>
  </w:style>
  <w:style w:type="character" w:customStyle="1" w:styleId="HeaderChar">
    <w:name w:val="Header Char"/>
    <w:basedOn w:val="DefaultParagraphFont"/>
    <w:link w:val="Header"/>
    <w:uiPriority w:val="99"/>
    <w:rsid w:val="00D209CC"/>
    <w:rPr>
      <w:rFonts w:asciiTheme="minorHAnsi" w:eastAsiaTheme="minorEastAsia" w:hAnsiTheme="minorHAnsi"/>
      <w:sz w:val="22"/>
      <w:lang w:eastAsia="lv-LV"/>
    </w:rPr>
  </w:style>
  <w:style w:type="paragraph" w:styleId="Footer">
    <w:name w:val="footer"/>
    <w:basedOn w:val="Normal"/>
    <w:link w:val="FooterChar"/>
    <w:uiPriority w:val="99"/>
    <w:unhideWhenUsed/>
    <w:rsid w:val="00D209CC"/>
    <w:pPr>
      <w:tabs>
        <w:tab w:val="center" w:pos="4153"/>
        <w:tab w:val="right" w:pos="8306"/>
      </w:tabs>
    </w:pPr>
    <w:rPr>
      <w:rFonts w:asciiTheme="minorHAnsi" w:eastAsiaTheme="minorEastAsia" w:hAnsiTheme="minorHAnsi"/>
      <w:sz w:val="22"/>
      <w:lang w:eastAsia="lv-LV"/>
    </w:rPr>
  </w:style>
  <w:style w:type="character" w:customStyle="1" w:styleId="FooterChar">
    <w:name w:val="Footer Char"/>
    <w:basedOn w:val="DefaultParagraphFont"/>
    <w:link w:val="Footer"/>
    <w:uiPriority w:val="99"/>
    <w:rsid w:val="00D209CC"/>
    <w:rPr>
      <w:rFonts w:asciiTheme="minorHAnsi" w:eastAsiaTheme="minorEastAsia" w:hAnsiTheme="minorHAnsi"/>
      <w:sz w:val="22"/>
      <w:lang w:eastAsia="lv-LV"/>
    </w:rPr>
  </w:style>
  <w:style w:type="paragraph" w:styleId="Quote">
    <w:name w:val="Quote"/>
    <w:basedOn w:val="Normal"/>
    <w:next w:val="Normal"/>
    <w:link w:val="QuoteChar"/>
    <w:uiPriority w:val="29"/>
    <w:qFormat/>
    <w:rsid w:val="00D209CC"/>
    <w:pPr>
      <w:spacing w:before="200" w:after="160" w:line="276" w:lineRule="auto"/>
      <w:ind w:left="864" w:right="864"/>
      <w:jc w:val="center"/>
    </w:pPr>
    <w:rPr>
      <w:rFonts w:asciiTheme="minorHAnsi" w:eastAsiaTheme="minorEastAsia" w:hAnsiTheme="minorHAnsi"/>
      <w:i/>
      <w:iCs/>
      <w:color w:val="404040" w:themeColor="text1" w:themeTint="BF"/>
      <w:sz w:val="22"/>
      <w:lang w:eastAsia="lv-LV"/>
    </w:rPr>
  </w:style>
  <w:style w:type="character" w:customStyle="1" w:styleId="QuoteChar">
    <w:name w:val="Quote Char"/>
    <w:basedOn w:val="DefaultParagraphFont"/>
    <w:link w:val="Quote"/>
    <w:uiPriority w:val="29"/>
    <w:rsid w:val="00D209CC"/>
    <w:rPr>
      <w:rFonts w:asciiTheme="minorHAnsi" w:eastAsiaTheme="minorEastAsia" w:hAnsiTheme="minorHAnsi"/>
      <w:i/>
      <w:iCs/>
      <w:color w:val="404040" w:themeColor="text1" w:themeTint="BF"/>
      <w:sz w:val="22"/>
      <w:lang w:eastAsia="lv-LV"/>
    </w:rPr>
  </w:style>
  <w:style w:type="character" w:customStyle="1" w:styleId="Heading2Char">
    <w:name w:val="Heading 2 Char"/>
    <w:basedOn w:val="DefaultParagraphFont"/>
    <w:link w:val="Heading2"/>
    <w:uiPriority w:val="9"/>
    <w:rsid w:val="00033948"/>
    <w:rPr>
      <w:rFonts w:eastAsiaTheme="majorEastAsia" w:cstheme="majorBidi"/>
      <w:sz w:val="24"/>
      <w:szCs w:val="26"/>
    </w:rPr>
  </w:style>
  <w:style w:type="character" w:styleId="FollowedHyperlink">
    <w:name w:val="FollowedHyperlink"/>
    <w:basedOn w:val="DefaultParagraphFont"/>
    <w:uiPriority w:val="99"/>
    <w:semiHidden/>
    <w:unhideWhenUsed/>
    <w:rsid w:val="0007420B"/>
    <w:rPr>
      <w:color w:val="954F72" w:themeColor="followedHyperlink"/>
      <w:u w:val="single"/>
    </w:rPr>
  </w:style>
  <w:style w:type="paragraph" w:styleId="BodyText">
    <w:name w:val="Body Text"/>
    <w:aliases w:val="OT Body Text,Body,Tekst,Body Text Char Char,Body Text Char Char Char"/>
    <w:basedOn w:val="Normal"/>
    <w:link w:val="BodyTextChar1"/>
    <w:rsid w:val="004738C7"/>
    <w:pPr>
      <w:spacing w:after="120"/>
    </w:pPr>
    <w:rPr>
      <w:rFonts w:eastAsia="Times New Roman" w:cs="Times New Roman"/>
      <w:sz w:val="24"/>
      <w:szCs w:val="24"/>
      <w:lang w:eastAsia="zh-CN"/>
    </w:rPr>
  </w:style>
  <w:style w:type="character" w:customStyle="1" w:styleId="BodyTextChar">
    <w:name w:val="Body Text Char"/>
    <w:basedOn w:val="DefaultParagraphFont"/>
    <w:uiPriority w:val="99"/>
    <w:semiHidden/>
    <w:rsid w:val="004738C7"/>
  </w:style>
  <w:style w:type="character" w:customStyle="1" w:styleId="BodyTextChar1">
    <w:name w:val="Body Text Char1"/>
    <w:aliases w:val="OT Body Text Char,Body Char,Tekst Char,Body Text Char Char Char1,Body Text Char Char Char Char"/>
    <w:link w:val="BodyText"/>
    <w:locked/>
    <w:rsid w:val="004738C7"/>
    <w:rPr>
      <w:rFonts w:eastAsia="Times New Roman" w:cs="Times New Roman"/>
      <w:sz w:val="24"/>
      <w:szCs w:val="24"/>
      <w:lang w:eastAsia="zh-CN"/>
    </w:rPr>
  </w:style>
  <w:style w:type="paragraph" w:customStyle="1" w:styleId="Default">
    <w:name w:val="Default"/>
    <w:link w:val="DefaultChar"/>
    <w:rsid w:val="004738C7"/>
    <w:pPr>
      <w:autoSpaceDE w:val="0"/>
      <w:autoSpaceDN w:val="0"/>
      <w:adjustRightInd w:val="0"/>
    </w:pPr>
    <w:rPr>
      <w:rFonts w:eastAsia="Times New Roman" w:cs="Times New Roman"/>
      <w:color w:val="000000"/>
      <w:sz w:val="24"/>
      <w:szCs w:val="24"/>
      <w:lang w:eastAsia="zh-CN"/>
    </w:rPr>
  </w:style>
  <w:style w:type="character" w:customStyle="1" w:styleId="DefaultChar">
    <w:name w:val="Default Char"/>
    <w:link w:val="Default"/>
    <w:uiPriority w:val="99"/>
    <w:locked/>
    <w:rsid w:val="004738C7"/>
    <w:rPr>
      <w:rFonts w:eastAsia="Times New Roman" w:cs="Times New Roman"/>
      <w:color w:val="000000"/>
      <w:sz w:val="24"/>
      <w:szCs w:val="24"/>
      <w:lang w:eastAsia="zh-CN"/>
    </w:rPr>
  </w:style>
  <w:style w:type="paragraph" w:styleId="ListParagraph">
    <w:name w:val="List Paragraph"/>
    <w:aliases w:val="2,H&amp;P List Paragraph,Strip,Saraksta rindkopa,Saraksta rindkopa1"/>
    <w:basedOn w:val="Normal"/>
    <w:link w:val="ListParagraphChar"/>
    <w:uiPriority w:val="34"/>
    <w:qFormat/>
    <w:rsid w:val="004738C7"/>
    <w:pPr>
      <w:spacing w:line="276" w:lineRule="auto"/>
      <w:ind w:left="720"/>
      <w:contextualSpacing/>
    </w:pPr>
    <w:rPr>
      <w:rFonts w:ascii="Calibri" w:eastAsia="Calibri" w:hAnsi="Calibri" w:cs="Times New Roman"/>
      <w:sz w:val="22"/>
    </w:rPr>
  </w:style>
  <w:style w:type="character" w:customStyle="1" w:styleId="ListParagraphChar">
    <w:name w:val="List Paragraph Char"/>
    <w:aliases w:val="2 Char,H&amp;P List Paragraph Char,Strip Char,Saraksta rindkopa Char,Saraksta rindkopa1 Char"/>
    <w:link w:val="ListParagraph"/>
    <w:uiPriority w:val="34"/>
    <w:locked/>
    <w:rsid w:val="004738C7"/>
    <w:rPr>
      <w:rFonts w:ascii="Calibri" w:eastAsia="Calibri" w:hAnsi="Calibri" w:cs="Times New Roman"/>
      <w:sz w:val="22"/>
    </w:rPr>
  </w:style>
  <w:style w:type="table" w:customStyle="1" w:styleId="GridTable2-Accent31">
    <w:name w:val="Grid Table 2 - Accent 31"/>
    <w:basedOn w:val="TableNormal"/>
    <w:uiPriority w:val="47"/>
    <w:rsid w:val="00735CF1"/>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5Dark-Accent31">
    <w:name w:val="Grid Table 5 Dark - Accent 31"/>
    <w:basedOn w:val="TableNormal"/>
    <w:uiPriority w:val="50"/>
    <w:rsid w:val="00735CF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31">
    <w:name w:val="Grid Table 31"/>
    <w:basedOn w:val="TableNormal"/>
    <w:uiPriority w:val="48"/>
    <w:rsid w:val="00735C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1">
    <w:name w:val="Grid Table 6 Colorful1"/>
    <w:basedOn w:val="TableNormal"/>
    <w:uiPriority w:val="51"/>
    <w:rsid w:val="00735CF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Accent31">
    <w:name w:val="List Table 3 - Accent 31"/>
    <w:basedOn w:val="TableNormal"/>
    <w:uiPriority w:val="48"/>
    <w:rsid w:val="006247B3"/>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GridTable5Dark-Accent11">
    <w:name w:val="Grid Table 5 Dark - Accent 11"/>
    <w:basedOn w:val="TableNormal"/>
    <w:uiPriority w:val="50"/>
    <w:rsid w:val="006247B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ListTable3-Accent11">
    <w:name w:val="List Table 3 - Accent 11"/>
    <w:basedOn w:val="TableNormal"/>
    <w:uiPriority w:val="48"/>
    <w:rsid w:val="006247B3"/>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4-Accent51">
    <w:name w:val="List Table 4 - Accent 51"/>
    <w:basedOn w:val="TableNormal"/>
    <w:uiPriority w:val="49"/>
    <w:rsid w:val="006247B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itle">
    <w:name w:val="Title"/>
    <w:basedOn w:val="Normal"/>
    <w:link w:val="TitleChar"/>
    <w:uiPriority w:val="10"/>
    <w:qFormat/>
    <w:rsid w:val="00034C53"/>
    <w:pPr>
      <w:spacing w:before="120" w:after="120" w:line="276" w:lineRule="auto"/>
      <w:jc w:val="center"/>
    </w:pPr>
    <w:rPr>
      <w:rFonts w:eastAsia="Times New Roman" w:cs="Times New Roman"/>
      <w:b/>
      <w:szCs w:val="28"/>
    </w:rPr>
  </w:style>
  <w:style w:type="character" w:customStyle="1" w:styleId="TitleChar">
    <w:name w:val="Title Char"/>
    <w:basedOn w:val="DefaultParagraphFont"/>
    <w:link w:val="Title"/>
    <w:uiPriority w:val="10"/>
    <w:rsid w:val="00034C53"/>
    <w:rPr>
      <w:rFonts w:eastAsia="Times New Roman" w:cs="Times New Roman"/>
      <w:b/>
      <w:szCs w:val="28"/>
    </w:rPr>
  </w:style>
  <w:style w:type="character" w:styleId="Emphasis">
    <w:name w:val="Emphasis"/>
    <w:basedOn w:val="DefaultParagraphFont"/>
    <w:uiPriority w:val="20"/>
    <w:qFormat/>
    <w:rsid w:val="005D26D0"/>
    <w:rPr>
      <w:i/>
      <w:iCs/>
    </w:rPr>
  </w:style>
  <w:style w:type="character" w:customStyle="1" w:styleId="apple-converted-space">
    <w:name w:val="apple-converted-space"/>
    <w:basedOn w:val="DefaultParagraphFont"/>
    <w:rsid w:val="00072026"/>
  </w:style>
  <w:style w:type="character" w:customStyle="1" w:styleId="cspklasifikatorscodename">
    <w:name w:val="csp_klasifikators_code_name"/>
    <w:basedOn w:val="DefaultParagraphFont"/>
    <w:rsid w:val="00072026"/>
  </w:style>
  <w:style w:type="character" w:customStyle="1" w:styleId="cspklasifikatorscode">
    <w:name w:val="csp_klasifikators_code"/>
    <w:basedOn w:val="DefaultParagraphFont"/>
    <w:rsid w:val="00C4308E"/>
  </w:style>
  <w:style w:type="table" w:customStyle="1" w:styleId="ListTable3-Accent51">
    <w:name w:val="List Table 3 - Accent 51"/>
    <w:basedOn w:val="TableNormal"/>
    <w:uiPriority w:val="48"/>
    <w:rsid w:val="00284C2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1Light-Accent51">
    <w:name w:val="List Table 1 Light - Accent 51"/>
    <w:basedOn w:val="TableNormal"/>
    <w:uiPriority w:val="46"/>
    <w:rsid w:val="00284C2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5Dark-Accent51">
    <w:name w:val="Grid Table 5 Dark - Accent 51"/>
    <w:basedOn w:val="TableNormal"/>
    <w:uiPriority w:val="50"/>
    <w:rsid w:val="00284C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51">
    <w:name w:val="Grid Table 4 - Accent 51"/>
    <w:basedOn w:val="TableNormal"/>
    <w:uiPriority w:val="49"/>
    <w:rsid w:val="00284C2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11">
    <w:name w:val="Grid Table 4 - Accent 11"/>
    <w:basedOn w:val="TableNormal"/>
    <w:uiPriority w:val="49"/>
    <w:rsid w:val="00B71F42"/>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61">
    <w:name w:val="List Table 4 - Accent 61"/>
    <w:basedOn w:val="TableNormal"/>
    <w:uiPriority w:val="49"/>
    <w:rsid w:val="007F19E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4-Accent11">
    <w:name w:val="List Table 4 - Accent 11"/>
    <w:basedOn w:val="TableNormal"/>
    <w:uiPriority w:val="49"/>
    <w:rsid w:val="007F19E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1">
    <w:name w:val="Grid Table 1 Light1"/>
    <w:basedOn w:val="TableNormal"/>
    <w:uiPriority w:val="46"/>
    <w:rsid w:val="0066435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vad">
    <w:name w:val="vad"/>
    <w:basedOn w:val="PlainText"/>
    <w:qFormat/>
    <w:rsid w:val="008D1235"/>
    <w:pPr>
      <w:jc w:val="both"/>
    </w:pPr>
    <w:rPr>
      <w:rFonts w:ascii="Times New Roman" w:eastAsia="Calibri" w:hAnsi="Times New Roman" w:cs="Times New Roman"/>
      <w:iCs/>
      <w:sz w:val="24"/>
      <w:szCs w:val="20"/>
      <w:lang w:eastAsia="pl-PL"/>
    </w:rPr>
  </w:style>
  <w:style w:type="paragraph" w:styleId="PlainText">
    <w:name w:val="Plain Text"/>
    <w:basedOn w:val="Normal"/>
    <w:link w:val="PlainTextChar"/>
    <w:uiPriority w:val="99"/>
    <w:unhideWhenUsed/>
    <w:rsid w:val="008D1235"/>
    <w:rPr>
      <w:rFonts w:ascii="Consolas" w:hAnsi="Consolas" w:cs="Consolas"/>
      <w:sz w:val="21"/>
      <w:szCs w:val="21"/>
    </w:rPr>
  </w:style>
  <w:style w:type="character" w:customStyle="1" w:styleId="PlainTextChar">
    <w:name w:val="Plain Text Char"/>
    <w:basedOn w:val="DefaultParagraphFont"/>
    <w:link w:val="PlainText"/>
    <w:uiPriority w:val="99"/>
    <w:rsid w:val="008D1235"/>
    <w:rPr>
      <w:rFonts w:ascii="Consolas" w:hAnsi="Consolas" w:cs="Consolas"/>
      <w:sz w:val="21"/>
      <w:szCs w:val="21"/>
    </w:rPr>
  </w:style>
  <w:style w:type="paragraph" w:styleId="BodyTextIndent">
    <w:name w:val="Body Text Indent"/>
    <w:basedOn w:val="Normal"/>
    <w:link w:val="BodyTextIndentChar"/>
    <w:uiPriority w:val="99"/>
    <w:semiHidden/>
    <w:unhideWhenUsed/>
    <w:rsid w:val="0077432B"/>
    <w:pPr>
      <w:spacing w:after="120"/>
      <w:ind w:left="283"/>
    </w:pPr>
  </w:style>
  <w:style w:type="character" w:customStyle="1" w:styleId="BodyTextIndentChar">
    <w:name w:val="Body Text Indent Char"/>
    <w:basedOn w:val="DefaultParagraphFont"/>
    <w:link w:val="BodyTextIndent"/>
    <w:uiPriority w:val="99"/>
    <w:semiHidden/>
    <w:rsid w:val="0077432B"/>
  </w:style>
  <w:style w:type="paragraph" w:customStyle="1" w:styleId="Proj">
    <w:name w:val="Proj"/>
    <w:basedOn w:val="Normal"/>
    <w:link w:val="ProjChar"/>
    <w:qFormat/>
    <w:rsid w:val="0077432B"/>
    <w:pPr>
      <w:spacing w:line="259" w:lineRule="auto"/>
      <w:ind w:firstLine="720"/>
      <w:jc w:val="both"/>
    </w:pPr>
    <w:rPr>
      <w:rFonts w:cs="Times New Roman"/>
      <w:sz w:val="24"/>
      <w:szCs w:val="24"/>
    </w:rPr>
  </w:style>
  <w:style w:type="character" w:customStyle="1" w:styleId="ProjChar">
    <w:name w:val="Proj Char"/>
    <w:basedOn w:val="DefaultParagraphFont"/>
    <w:link w:val="Proj"/>
    <w:rsid w:val="0077432B"/>
    <w:rPr>
      <w:rFonts w:cs="Times New Roman"/>
      <w:sz w:val="24"/>
      <w:szCs w:val="24"/>
    </w:rPr>
  </w:style>
  <w:style w:type="table" w:customStyle="1" w:styleId="TableGridLight1">
    <w:name w:val="Table Grid Light1"/>
    <w:basedOn w:val="TableNormal"/>
    <w:uiPriority w:val="40"/>
    <w:rsid w:val="004D23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
    <w:name w:val="tv213"/>
    <w:basedOn w:val="Normal"/>
    <w:rsid w:val="00340B8C"/>
    <w:pPr>
      <w:spacing w:before="100" w:beforeAutospacing="1" w:after="100" w:afterAutospacing="1"/>
    </w:pPr>
    <w:rPr>
      <w:rFonts w:eastAsia="Times New Roman" w:cs="Times New Roman"/>
      <w:sz w:val="24"/>
      <w:szCs w:val="24"/>
      <w:lang w:eastAsia="lv-LV"/>
    </w:rPr>
  </w:style>
  <w:style w:type="paragraph" w:styleId="Revision">
    <w:name w:val="Revision"/>
    <w:hidden/>
    <w:uiPriority w:val="99"/>
    <w:semiHidden/>
    <w:rsid w:val="009B585C"/>
  </w:style>
  <w:style w:type="paragraph" w:customStyle="1" w:styleId="naisf">
    <w:name w:val="naisf"/>
    <w:basedOn w:val="Normal"/>
    <w:uiPriority w:val="99"/>
    <w:rsid w:val="004E5EDA"/>
    <w:pPr>
      <w:spacing w:before="94" w:after="94"/>
      <w:ind w:firstLine="468"/>
      <w:jc w:val="both"/>
    </w:pPr>
    <w:rPr>
      <w:rFonts w:eastAsia="Times New Roman" w:cs="Times New Roman"/>
      <w:sz w:val="24"/>
      <w:szCs w:val="24"/>
      <w:lang w:eastAsia="zh-CN"/>
    </w:rPr>
  </w:style>
  <w:style w:type="paragraph" w:customStyle="1" w:styleId="naisc">
    <w:name w:val="naisc"/>
    <w:basedOn w:val="Normal"/>
    <w:rsid w:val="004E5EDA"/>
    <w:pPr>
      <w:spacing w:before="100" w:beforeAutospacing="1" w:after="100" w:afterAutospacing="1"/>
    </w:pPr>
    <w:rPr>
      <w:rFonts w:eastAsia="Times New Roman" w:cs="Times New Roman"/>
      <w:sz w:val="24"/>
      <w:szCs w:val="24"/>
      <w:lang w:eastAsia="zh-CN"/>
    </w:rPr>
  </w:style>
  <w:style w:type="character" w:customStyle="1" w:styleId="Heading3Char">
    <w:name w:val="Heading 3 Char"/>
    <w:basedOn w:val="DefaultParagraphFont"/>
    <w:link w:val="Heading3"/>
    <w:uiPriority w:val="9"/>
    <w:rsid w:val="0095397B"/>
    <w:rPr>
      <w:rFonts w:eastAsiaTheme="majorEastAsia" w:cstheme="majorBidi"/>
      <w:sz w:val="24"/>
      <w:szCs w:val="24"/>
    </w:rPr>
  </w:style>
  <w:style w:type="paragraph" w:styleId="TOCHeading">
    <w:name w:val="TOC Heading"/>
    <w:basedOn w:val="Heading1"/>
    <w:next w:val="Normal"/>
    <w:uiPriority w:val="39"/>
    <w:unhideWhenUsed/>
    <w:qFormat/>
    <w:rsid w:val="0095397B"/>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eastAsia="en-US"/>
    </w:rPr>
  </w:style>
  <w:style w:type="paragraph" w:styleId="TOC1">
    <w:name w:val="toc 1"/>
    <w:basedOn w:val="Normal"/>
    <w:next w:val="Normal"/>
    <w:autoRedefine/>
    <w:uiPriority w:val="39"/>
    <w:unhideWhenUsed/>
    <w:rsid w:val="0024514E"/>
    <w:pPr>
      <w:spacing w:after="100"/>
    </w:pPr>
    <w:rPr>
      <w:sz w:val="24"/>
    </w:rPr>
  </w:style>
  <w:style w:type="paragraph" w:styleId="TOC2">
    <w:name w:val="toc 2"/>
    <w:basedOn w:val="Normal"/>
    <w:next w:val="Normal"/>
    <w:autoRedefine/>
    <w:uiPriority w:val="39"/>
    <w:unhideWhenUsed/>
    <w:rsid w:val="0024514E"/>
    <w:pPr>
      <w:spacing w:after="100"/>
      <w:ind w:left="280"/>
    </w:pPr>
    <w:rPr>
      <w:sz w:val="24"/>
    </w:rPr>
  </w:style>
  <w:style w:type="paragraph" w:styleId="TOC3">
    <w:name w:val="toc 3"/>
    <w:basedOn w:val="Normal"/>
    <w:next w:val="Normal"/>
    <w:autoRedefine/>
    <w:uiPriority w:val="39"/>
    <w:unhideWhenUsed/>
    <w:rsid w:val="0095397B"/>
    <w:pPr>
      <w:spacing w:after="100"/>
      <w:ind w:left="560"/>
    </w:pPr>
  </w:style>
  <w:style w:type="character" w:customStyle="1" w:styleId="longtext1">
    <w:name w:val="long_text1"/>
    <w:basedOn w:val="DefaultParagraphFont"/>
    <w:rsid w:val="00241D38"/>
    <w:rPr>
      <w:sz w:val="12"/>
      <w:szCs w:val="12"/>
    </w:rPr>
  </w:style>
  <w:style w:type="table" w:customStyle="1" w:styleId="MediumGrid3-Accent41">
    <w:name w:val="Medium Grid 3 - Accent 41"/>
    <w:basedOn w:val="TableNormal"/>
    <w:uiPriority w:val="69"/>
    <w:rsid w:val="00241D38"/>
    <w:rPr>
      <w:rFonts w:asciiTheme="minorHAnsi" w:hAnsiTheme="minorHAnsi"/>
      <w:sz w:val="22"/>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411">
    <w:name w:val="Medium Grid 3 - Accent 411"/>
    <w:basedOn w:val="TableNormal"/>
    <w:uiPriority w:val="69"/>
    <w:rsid w:val="00241D38"/>
    <w:rPr>
      <w:rFonts w:asciiTheme="minorHAnsi" w:hAnsiTheme="minorHAnsi"/>
      <w:sz w:val="22"/>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412">
    <w:name w:val="Medium Grid 3 - Accent 412"/>
    <w:basedOn w:val="TableNormal"/>
    <w:uiPriority w:val="69"/>
    <w:rsid w:val="00241D38"/>
    <w:rPr>
      <w:rFonts w:asciiTheme="minorHAnsi" w:hAnsiTheme="minorHAnsi"/>
      <w:sz w:val="22"/>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ListTable5Dark-Accent11">
    <w:name w:val="List Table 5 Dark - Accent 11"/>
    <w:basedOn w:val="TableNormal"/>
    <w:uiPriority w:val="50"/>
    <w:rsid w:val="005C5B40"/>
    <w:rPr>
      <w:rFonts w:asciiTheme="minorHAnsi" w:hAnsiTheme="minorHAnsi"/>
      <w:color w:val="FFFFFF" w:themeColor="background1"/>
      <w:sz w:val="22"/>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leGrid1">
    <w:name w:val="Table Grid1"/>
    <w:basedOn w:val="TableNormal"/>
    <w:next w:val="TableGrid"/>
    <w:uiPriority w:val="39"/>
    <w:rsid w:val="00237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237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5Dark-Accent111">
    <w:name w:val="List Table 5 Dark - Accent 111"/>
    <w:basedOn w:val="TableNormal"/>
    <w:uiPriority w:val="50"/>
    <w:rsid w:val="00237CF4"/>
    <w:rPr>
      <w:rFonts w:ascii="Calibri" w:hAnsi="Calibri"/>
      <w:color w:val="FFFFFF"/>
      <w:sz w:val="22"/>
    </w:rPr>
    <w:tblPr>
      <w:tblStyleRowBandSize w:val="1"/>
      <w:tblStyleColBandSize w:val="1"/>
      <w:tblBorders>
        <w:top w:val="single" w:sz="24" w:space="0" w:color="4F81BD"/>
        <w:left w:val="single" w:sz="24" w:space="0" w:color="4F81BD"/>
        <w:bottom w:val="single" w:sz="24" w:space="0" w:color="4F81BD"/>
        <w:right w:val="single" w:sz="24" w:space="0" w:color="4F81BD"/>
      </w:tblBorders>
    </w:tblPr>
    <w:tcPr>
      <w:shd w:val="clear" w:color="auto" w:fill="4F81BD"/>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PlainTable41">
    <w:name w:val="Plain Table 41"/>
    <w:basedOn w:val="TableNormal"/>
    <w:uiPriority w:val="44"/>
    <w:rsid w:val="0023663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2">
    <w:name w:val="Table Grid2"/>
    <w:basedOn w:val="TableNormal"/>
    <w:next w:val="TableGrid"/>
    <w:uiPriority w:val="39"/>
    <w:rsid w:val="00F3243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A7557"/>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23754">
      <w:bodyDiv w:val="1"/>
      <w:marLeft w:val="0"/>
      <w:marRight w:val="0"/>
      <w:marTop w:val="0"/>
      <w:marBottom w:val="0"/>
      <w:divBdr>
        <w:top w:val="none" w:sz="0" w:space="0" w:color="auto"/>
        <w:left w:val="none" w:sz="0" w:space="0" w:color="auto"/>
        <w:bottom w:val="none" w:sz="0" w:space="0" w:color="auto"/>
        <w:right w:val="none" w:sz="0" w:space="0" w:color="auto"/>
      </w:divBdr>
    </w:div>
    <w:div w:id="196353162">
      <w:bodyDiv w:val="1"/>
      <w:marLeft w:val="0"/>
      <w:marRight w:val="0"/>
      <w:marTop w:val="0"/>
      <w:marBottom w:val="0"/>
      <w:divBdr>
        <w:top w:val="none" w:sz="0" w:space="0" w:color="auto"/>
        <w:left w:val="none" w:sz="0" w:space="0" w:color="auto"/>
        <w:bottom w:val="none" w:sz="0" w:space="0" w:color="auto"/>
        <w:right w:val="none" w:sz="0" w:space="0" w:color="auto"/>
      </w:divBdr>
      <w:divsChild>
        <w:div w:id="269171026">
          <w:marLeft w:val="0"/>
          <w:marRight w:val="0"/>
          <w:marTop w:val="0"/>
          <w:marBottom w:val="0"/>
          <w:divBdr>
            <w:top w:val="none" w:sz="0" w:space="0" w:color="auto"/>
            <w:left w:val="none" w:sz="0" w:space="0" w:color="auto"/>
            <w:bottom w:val="none" w:sz="0" w:space="0" w:color="auto"/>
            <w:right w:val="none" w:sz="0" w:space="0" w:color="auto"/>
          </w:divBdr>
          <w:divsChild>
            <w:div w:id="1014838586">
              <w:marLeft w:val="0"/>
              <w:marRight w:val="0"/>
              <w:marTop w:val="0"/>
              <w:marBottom w:val="0"/>
              <w:divBdr>
                <w:top w:val="none" w:sz="0" w:space="0" w:color="auto"/>
                <w:left w:val="none" w:sz="0" w:space="0" w:color="auto"/>
                <w:bottom w:val="none" w:sz="0" w:space="0" w:color="auto"/>
                <w:right w:val="none" w:sz="0" w:space="0" w:color="auto"/>
              </w:divBdr>
              <w:divsChild>
                <w:div w:id="452092122">
                  <w:marLeft w:val="-3735"/>
                  <w:marRight w:val="0"/>
                  <w:marTop w:val="0"/>
                  <w:marBottom w:val="0"/>
                  <w:divBdr>
                    <w:top w:val="none" w:sz="0" w:space="0" w:color="auto"/>
                    <w:left w:val="none" w:sz="0" w:space="0" w:color="auto"/>
                    <w:bottom w:val="none" w:sz="0" w:space="0" w:color="auto"/>
                    <w:right w:val="none" w:sz="0" w:space="0" w:color="auto"/>
                  </w:divBdr>
                  <w:divsChild>
                    <w:div w:id="1122114446">
                      <w:marLeft w:val="3735"/>
                      <w:marRight w:val="0"/>
                      <w:marTop w:val="0"/>
                      <w:marBottom w:val="0"/>
                      <w:divBdr>
                        <w:top w:val="none" w:sz="0" w:space="0" w:color="auto"/>
                        <w:left w:val="none" w:sz="0" w:space="0" w:color="auto"/>
                        <w:bottom w:val="none" w:sz="0" w:space="0" w:color="auto"/>
                        <w:right w:val="none" w:sz="0" w:space="0" w:color="auto"/>
                      </w:divBdr>
                      <w:divsChild>
                        <w:div w:id="1156266226">
                          <w:marLeft w:val="0"/>
                          <w:marRight w:val="0"/>
                          <w:marTop w:val="0"/>
                          <w:marBottom w:val="0"/>
                          <w:divBdr>
                            <w:top w:val="single" w:sz="6" w:space="0" w:color="E3E3E3"/>
                            <w:left w:val="none" w:sz="0" w:space="0" w:color="auto"/>
                            <w:bottom w:val="none" w:sz="0" w:space="0" w:color="auto"/>
                            <w:right w:val="none" w:sz="0" w:space="0" w:color="auto"/>
                          </w:divBdr>
                          <w:divsChild>
                            <w:div w:id="1524661982">
                              <w:marLeft w:val="0"/>
                              <w:marRight w:val="0"/>
                              <w:marTop w:val="0"/>
                              <w:marBottom w:val="0"/>
                              <w:divBdr>
                                <w:top w:val="none" w:sz="0" w:space="0" w:color="auto"/>
                                <w:left w:val="none" w:sz="0" w:space="0" w:color="auto"/>
                                <w:bottom w:val="none" w:sz="0" w:space="0" w:color="auto"/>
                                <w:right w:val="none" w:sz="0" w:space="0" w:color="auto"/>
                              </w:divBdr>
                              <w:divsChild>
                                <w:div w:id="1247765016">
                                  <w:marLeft w:val="0"/>
                                  <w:marRight w:val="0"/>
                                  <w:marTop w:val="0"/>
                                  <w:marBottom w:val="0"/>
                                  <w:divBdr>
                                    <w:top w:val="none" w:sz="0" w:space="0" w:color="auto"/>
                                    <w:left w:val="none" w:sz="0" w:space="0" w:color="auto"/>
                                    <w:bottom w:val="none" w:sz="0" w:space="0" w:color="auto"/>
                                    <w:right w:val="none" w:sz="0" w:space="0" w:color="auto"/>
                                  </w:divBdr>
                                  <w:divsChild>
                                    <w:div w:id="669064876">
                                      <w:marLeft w:val="0"/>
                                      <w:marRight w:val="0"/>
                                      <w:marTop w:val="0"/>
                                      <w:marBottom w:val="0"/>
                                      <w:divBdr>
                                        <w:top w:val="none" w:sz="0" w:space="0" w:color="auto"/>
                                        <w:left w:val="none" w:sz="0" w:space="0" w:color="auto"/>
                                        <w:bottom w:val="none" w:sz="0" w:space="0" w:color="auto"/>
                                        <w:right w:val="none" w:sz="0" w:space="0" w:color="auto"/>
                                      </w:divBdr>
                                      <w:divsChild>
                                        <w:div w:id="21178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360710">
      <w:bodyDiv w:val="1"/>
      <w:marLeft w:val="0"/>
      <w:marRight w:val="0"/>
      <w:marTop w:val="0"/>
      <w:marBottom w:val="0"/>
      <w:divBdr>
        <w:top w:val="none" w:sz="0" w:space="0" w:color="auto"/>
        <w:left w:val="none" w:sz="0" w:space="0" w:color="auto"/>
        <w:bottom w:val="none" w:sz="0" w:space="0" w:color="auto"/>
        <w:right w:val="none" w:sz="0" w:space="0" w:color="auto"/>
      </w:divBdr>
    </w:div>
    <w:div w:id="455029584">
      <w:bodyDiv w:val="1"/>
      <w:marLeft w:val="0"/>
      <w:marRight w:val="0"/>
      <w:marTop w:val="0"/>
      <w:marBottom w:val="0"/>
      <w:divBdr>
        <w:top w:val="none" w:sz="0" w:space="0" w:color="auto"/>
        <w:left w:val="none" w:sz="0" w:space="0" w:color="auto"/>
        <w:bottom w:val="none" w:sz="0" w:space="0" w:color="auto"/>
        <w:right w:val="none" w:sz="0" w:space="0" w:color="auto"/>
      </w:divBdr>
    </w:div>
    <w:div w:id="540557013">
      <w:bodyDiv w:val="1"/>
      <w:marLeft w:val="0"/>
      <w:marRight w:val="0"/>
      <w:marTop w:val="0"/>
      <w:marBottom w:val="0"/>
      <w:divBdr>
        <w:top w:val="none" w:sz="0" w:space="0" w:color="auto"/>
        <w:left w:val="none" w:sz="0" w:space="0" w:color="auto"/>
        <w:bottom w:val="none" w:sz="0" w:space="0" w:color="auto"/>
        <w:right w:val="none" w:sz="0" w:space="0" w:color="auto"/>
      </w:divBdr>
    </w:div>
    <w:div w:id="646472365">
      <w:bodyDiv w:val="1"/>
      <w:marLeft w:val="0"/>
      <w:marRight w:val="0"/>
      <w:marTop w:val="0"/>
      <w:marBottom w:val="0"/>
      <w:divBdr>
        <w:top w:val="none" w:sz="0" w:space="0" w:color="auto"/>
        <w:left w:val="none" w:sz="0" w:space="0" w:color="auto"/>
        <w:bottom w:val="none" w:sz="0" w:space="0" w:color="auto"/>
        <w:right w:val="none" w:sz="0" w:space="0" w:color="auto"/>
      </w:divBdr>
    </w:div>
    <w:div w:id="704915187">
      <w:bodyDiv w:val="1"/>
      <w:marLeft w:val="0"/>
      <w:marRight w:val="0"/>
      <w:marTop w:val="0"/>
      <w:marBottom w:val="0"/>
      <w:divBdr>
        <w:top w:val="none" w:sz="0" w:space="0" w:color="auto"/>
        <w:left w:val="none" w:sz="0" w:space="0" w:color="auto"/>
        <w:bottom w:val="none" w:sz="0" w:space="0" w:color="auto"/>
        <w:right w:val="none" w:sz="0" w:space="0" w:color="auto"/>
      </w:divBdr>
    </w:div>
    <w:div w:id="787622592">
      <w:bodyDiv w:val="1"/>
      <w:marLeft w:val="0"/>
      <w:marRight w:val="0"/>
      <w:marTop w:val="0"/>
      <w:marBottom w:val="0"/>
      <w:divBdr>
        <w:top w:val="none" w:sz="0" w:space="0" w:color="auto"/>
        <w:left w:val="none" w:sz="0" w:space="0" w:color="auto"/>
        <w:bottom w:val="none" w:sz="0" w:space="0" w:color="auto"/>
        <w:right w:val="none" w:sz="0" w:space="0" w:color="auto"/>
      </w:divBdr>
    </w:div>
    <w:div w:id="788013327">
      <w:bodyDiv w:val="1"/>
      <w:marLeft w:val="0"/>
      <w:marRight w:val="0"/>
      <w:marTop w:val="0"/>
      <w:marBottom w:val="0"/>
      <w:divBdr>
        <w:top w:val="none" w:sz="0" w:space="0" w:color="auto"/>
        <w:left w:val="none" w:sz="0" w:space="0" w:color="auto"/>
        <w:bottom w:val="none" w:sz="0" w:space="0" w:color="auto"/>
        <w:right w:val="none" w:sz="0" w:space="0" w:color="auto"/>
      </w:divBdr>
    </w:div>
    <w:div w:id="826745399">
      <w:bodyDiv w:val="1"/>
      <w:marLeft w:val="0"/>
      <w:marRight w:val="0"/>
      <w:marTop w:val="0"/>
      <w:marBottom w:val="0"/>
      <w:divBdr>
        <w:top w:val="none" w:sz="0" w:space="0" w:color="auto"/>
        <w:left w:val="none" w:sz="0" w:space="0" w:color="auto"/>
        <w:bottom w:val="none" w:sz="0" w:space="0" w:color="auto"/>
        <w:right w:val="none" w:sz="0" w:space="0" w:color="auto"/>
      </w:divBdr>
    </w:div>
    <w:div w:id="883909190">
      <w:bodyDiv w:val="1"/>
      <w:marLeft w:val="0"/>
      <w:marRight w:val="0"/>
      <w:marTop w:val="0"/>
      <w:marBottom w:val="0"/>
      <w:divBdr>
        <w:top w:val="none" w:sz="0" w:space="0" w:color="auto"/>
        <w:left w:val="none" w:sz="0" w:space="0" w:color="auto"/>
        <w:bottom w:val="none" w:sz="0" w:space="0" w:color="auto"/>
        <w:right w:val="none" w:sz="0" w:space="0" w:color="auto"/>
      </w:divBdr>
    </w:div>
    <w:div w:id="912817690">
      <w:bodyDiv w:val="1"/>
      <w:marLeft w:val="0"/>
      <w:marRight w:val="0"/>
      <w:marTop w:val="0"/>
      <w:marBottom w:val="0"/>
      <w:divBdr>
        <w:top w:val="none" w:sz="0" w:space="0" w:color="auto"/>
        <w:left w:val="none" w:sz="0" w:space="0" w:color="auto"/>
        <w:bottom w:val="none" w:sz="0" w:space="0" w:color="auto"/>
        <w:right w:val="none" w:sz="0" w:space="0" w:color="auto"/>
      </w:divBdr>
    </w:div>
    <w:div w:id="942224996">
      <w:bodyDiv w:val="1"/>
      <w:marLeft w:val="0"/>
      <w:marRight w:val="0"/>
      <w:marTop w:val="0"/>
      <w:marBottom w:val="0"/>
      <w:divBdr>
        <w:top w:val="none" w:sz="0" w:space="0" w:color="auto"/>
        <w:left w:val="none" w:sz="0" w:space="0" w:color="auto"/>
        <w:bottom w:val="none" w:sz="0" w:space="0" w:color="auto"/>
        <w:right w:val="none" w:sz="0" w:space="0" w:color="auto"/>
      </w:divBdr>
      <w:divsChild>
        <w:div w:id="8339515">
          <w:marLeft w:val="0"/>
          <w:marRight w:val="0"/>
          <w:marTop w:val="0"/>
          <w:marBottom w:val="0"/>
          <w:divBdr>
            <w:top w:val="none" w:sz="0" w:space="0" w:color="auto"/>
            <w:left w:val="none" w:sz="0" w:space="0" w:color="auto"/>
            <w:bottom w:val="none" w:sz="0" w:space="0" w:color="auto"/>
            <w:right w:val="none" w:sz="0" w:space="0" w:color="auto"/>
          </w:divBdr>
        </w:div>
        <w:div w:id="165749031">
          <w:marLeft w:val="0"/>
          <w:marRight w:val="0"/>
          <w:marTop w:val="0"/>
          <w:marBottom w:val="0"/>
          <w:divBdr>
            <w:top w:val="none" w:sz="0" w:space="0" w:color="auto"/>
            <w:left w:val="none" w:sz="0" w:space="0" w:color="auto"/>
            <w:bottom w:val="none" w:sz="0" w:space="0" w:color="auto"/>
            <w:right w:val="none" w:sz="0" w:space="0" w:color="auto"/>
          </w:divBdr>
        </w:div>
        <w:div w:id="341589599">
          <w:marLeft w:val="0"/>
          <w:marRight w:val="0"/>
          <w:marTop w:val="0"/>
          <w:marBottom w:val="0"/>
          <w:divBdr>
            <w:top w:val="none" w:sz="0" w:space="0" w:color="auto"/>
            <w:left w:val="none" w:sz="0" w:space="0" w:color="auto"/>
            <w:bottom w:val="none" w:sz="0" w:space="0" w:color="auto"/>
            <w:right w:val="none" w:sz="0" w:space="0" w:color="auto"/>
          </w:divBdr>
        </w:div>
        <w:div w:id="401099102">
          <w:marLeft w:val="0"/>
          <w:marRight w:val="0"/>
          <w:marTop w:val="0"/>
          <w:marBottom w:val="0"/>
          <w:divBdr>
            <w:top w:val="none" w:sz="0" w:space="0" w:color="auto"/>
            <w:left w:val="none" w:sz="0" w:space="0" w:color="auto"/>
            <w:bottom w:val="none" w:sz="0" w:space="0" w:color="auto"/>
            <w:right w:val="none" w:sz="0" w:space="0" w:color="auto"/>
          </w:divBdr>
        </w:div>
        <w:div w:id="1117676418">
          <w:marLeft w:val="0"/>
          <w:marRight w:val="0"/>
          <w:marTop w:val="0"/>
          <w:marBottom w:val="0"/>
          <w:divBdr>
            <w:top w:val="none" w:sz="0" w:space="0" w:color="auto"/>
            <w:left w:val="none" w:sz="0" w:space="0" w:color="auto"/>
            <w:bottom w:val="none" w:sz="0" w:space="0" w:color="auto"/>
            <w:right w:val="none" w:sz="0" w:space="0" w:color="auto"/>
          </w:divBdr>
        </w:div>
        <w:div w:id="1341741276">
          <w:marLeft w:val="0"/>
          <w:marRight w:val="0"/>
          <w:marTop w:val="0"/>
          <w:marBottom w:val="0"/>
          <w:divBdr>
            <w:top w:val="none" w:sz="0" w:space="0" w:color="auto"/>
            <w:left w:val="none" w:sz="0" w:space="0" w:color="auto"/>
            <w:bottom w:val="none" w:sz="0" w:space="0" w:color="auto"/>
            <w:right w:val="none" w:sz="0" w:space="0" w:color="auto"/>
          </w:divBdr>
        </w:div>
        <w:div w:id="1504124023">
          <w:marLeft w:val="0"/>
          <w:marRight w:val="0"/>
          <w:marTop w:val="0"/>
          <w:marBottom w:val="0"/>
          <w:divBdr>
            <w:top w:val="none" w:sz="0" w:space="0" w:color="auto"/>
            <w:left w:val="none" w:sz="0" w:space="0" w:color="auto"/>
            <w:bottom w:val="none" w:sz="0" w:space="0" w:color="auto"/>
            <w:right w:val="none" w:sz="0" w:space="0" w:color="auto"/>
          </w:divBdr>
        </w:div>
        <w:div w:id="1622226217">
          <w:marLeft w:val="0"/>
          <w:marRight w:val="0"/>
          <w:marTop w:val="0"/>
          <w:marBottom w:val="0"/>
          <w:divBdr>
            <w:top w:val="none" w:sz="0" w:space="0" w:color="auto"/>
            <w:left w:val="none" w:sz="0" w:space="0" w:color="auto"/>
            <w:bottom w:val="none" w:sz="0" w:space="0" w:color="auto"/>
            <w:right w:val="none" w:sz="0" w:space="0" w:color="auto"/>
          </w:divBdr>
        </w:div>
      </w:divsChild>
    </w:div>
    <w:div w:id="1006907507">
      <w:bodyDiv w:val="1"/>
      <w:marLeft w:val="0"/>
      <w:marRight w:val="0"/>
      <w:marTop w:val="0"/>
      <w:marBottom w:val="0"/>
      <w:divBdr>
        <w:top w:val="none" w:sz="0" w:space="0" w:color="auto"/>
        <w:left w:val="none" w:sz="0" w:space="0" w:color="auto"/>
        <w:bottom w:val="none" w:sz="0" w:space="0" w:color="auto"/>
        <w:right w:val="none" w:sz="0" w:space="0" w:color="auto"/>
      </w:divBdr>
      <w:divsChild>
        <w:div w:id="903757486">
          <w:marLeft w:val="0"/>
          <w:marRight w:val="0"/>
          <w:marTop w:val="0"/>
          <w:marBottom w:val="0"/>
          <w:divBdr>
            <w:top w:val="none" w:sz="0" w:space="0" w:color="auto"/>
            <w:left w:val="none" w:sz="0" w:space="0" w:color="auto"/>
            <w:bottom w:val="none" w:sz="0" w:space="0" w:color="auto"/>
            <w:right w:val="none" w:sz="0" w:space="0" w:color="auto"/>
          </w:divBdr>
          <w:divsChild>
            <w:div w:id="900024313">
              <w:marLeft w:val="0"/>
              <w:marRight w:val="0"/>
              <w:marTop w:val="0"/>
              <w:marBottom w:val="0"/>
              <w:divBdr>
                <w:top w:val="none" w:sz="0" w:space="0" w:color="auto"/>
                <w:left w:val="none" w:sz="0" w:space="0" w:color="auto"/>
                <w:bottom w:val="none" w:sz="0" w:space="0" w:color="auto"/>
                <w:right w:val="none" w:sz="0" w:space="0" w:color="auto"/>
              </w:divBdr>
            </w:div>
          </w:divsChild>
        </w:div>
        <w:div w:id="1071539872">
          <w:marLeft w:val="0"/>
          <w:marRight w:val="0"/>
          <w:marTop w:val="0"/>
          <w:marBottom w:val="0"/>
          <w:divBdr>
            <w:top w:val="none" w:sz="0" w:space="0" w:color="auto"/>
            <w:left w:val="none" w:sz="0" w:space="0" w:color="auto"/>
            <w:bottom w:val="none" w:sz="0" w:space="0" w:color="auto"/>
            <w:right w:val="none" w:sz="0" w:space="0" w:color="auto"/>
          </w:divBdr>
        </w:div>
      </w:divsChild>
    </w:div>
    <w:div w:id="1041587572">
      <w:bodyDiv w:val="1"/>
      <w:marLeft w:val="0"/>
      <w:marRight w:val="0"/>
      <w:marTop w:val="0"/>
      <w:marBottom w:val="0"/>
      <w:divBdr>
        <w:top w:val="none" w:sz="0" w:space="0" w:color="auto"/>
        <w:left w:val="none" w:sz="0" w:space="0" w:color="auto"/>
        <w:bottom w:val="none" w:sz="0" w:space="0" w:color="auto"/>
        <w:right w:val="none" w:sz="0" w:space="0" w:color="auto"/>
      </w:divBdr>
    </w:div>
    <w:div w:id="1180698454">
      <w:bodyDiv w:val="1"/>
      <w:marLeft w:val="0"/>
      <w:marRight w:val="0"/>
      <w:marTop w:val="0"/>
      <w:marBottom w:val="0"/>
      <w:divBdr>
        <w:top w:val="none" w:sz="0" w:space="0" w:color="auto"/>
        <w:left w:val="none" w:sz="0" w:space="0" w:color="auto"/>
        <w:bottom w:val="none" w:sz="0" w:space="0" w:color="auto"/>
        <w:right w:val="none" w:sz="0" w:space="0" w:color="auto"/>
      </w:divBdr>
    </w:div>
    <w:div w:id="1224873741">
      <w:bodyDiv w:val="1"/>
      <w:marLeft w:val="0"/>
      <w:marRight w:val="0"/>
      <w:marTop w:val="0"/>
      <w:marBottom w:val="0"/>
      <w:divBdr>
        <w:top w:val="none" w:sz="0" w:space="0" w:color="auto"/>
        <w:left w:val="none" w:sz="0" w:space="0" w:color="auto"/>
        <w:bottom w:val="none" w:sz="0" w:space="0" w:color="auto"/>
        <w:right w:val="none" w:sz="0" w:space="0" w:color="auto"/>
      </w:divBdr>
    </w:div>
    <w:div w:id="1228690370">
      <w:bodyDiv w:val="1"/>
      <w:marLeft w:val="0"/>
      <w:marRight w:val="0"/>
      <w:marTop w:val="0"/>
      <w:marBottom w:val="0"/>
      <w:divBdr>
        <w:top w:val="none" w:sz="0" w:space="0" w:color="auto"/>
        <w:left w:val="none" w:sz="0" w:space="0" w:color="auto"/>
        <w:bottom w:val="none" w:sz="0" w:space="0" w:color="auto"/>
        <w:right w:val="none" w:sz="0" w:space="0" w:color="auto"/>
      </w:divBdr>
    </w:div>
    <w:div w:id="1274363476">
      <w:bodyDiv w:val="1"/>
      <w:marLeft w:val="0"/>
      <w:marRight w:val="0"/>
      <w:marTop w:val="0"/>
      <w:marBottom w:val="0"/>
      <w:divBdr>
        <w:top w:val="none" w:sz="0" w:space="0" w:color="auto"/>
        <w:left w:val="none" w:sz="0" w:space="0" w:color="auto"/>
        <w:bottom w:val="none" w:sz="0" w:space="0" w:color="auto"/>
        <w:right w:val="none" w:sz="0" w:space="0" w:color="auto"/>
      </w:divBdr>
    </w:div>
    <w:div w:id="1318729311">
      <w:bodyDiv w:val="1"/>
      <w:marLeft w:val="0"/>
      <w:marRight w:val="0"/>
      <w:marTop w:val="0"/>
      <w:marBottom w:val="0"/>
      <w:divBdr>
        <w:top w:val="none" w:sz="0" w:space="0" w:color="auto"/>
        <w:left w:val="none" w:sz="0" w:space="0" w:color="auto"/>
        <w:bottom w:val="none" w:sz="0" w:space="0" w:color="auto"/>
        <w:right w:val="none" w:sz="0" w:space="0" w:color="auto"/>
      </w:divBdr>
    </w:div>
    <w:div w:id="1323892878">
      <w:bodyDiv w:val="1"/>
      <w:marLeft w:val="0"/>
      <w:marRight w:val="0"/>
      <w:marTop w:val="0"/>
      <w:marBottom w:val="0"/>
      <w:divBdr>
        <w:top w:val="none" w:sz="0" w:space="0" w:color="auto"/>
        <w:left w:val="none" w:sz="0" w:space="0" w:color="auto"/>
        <w:bottom w:val="none" w:sz="0" w:space="0" w:color="auto"/>
        <w:right w:val="none" w:sz="0" w:space="0" w:color="auto"/>
      </w:divBdr>
    </w:div>
    <w:div w:id="1474299908">
      <w:bodyDiv w:val="1"/>
      <w:marLeft w:val="0"/>
      <w:marRight w:val="0"/>
      <w:marTop w:val="0"/>
      <w:marBottom w:val="0"/>
      <w:divBdr>
        <w:top w:val="none" w:sz="0" w:space="0" w:color="auto"/>
        <w:left w:val="none" w:sz="0" w:space="0" w:color="auto"/>
        <w:bottom w:val="none" w:sz="0" w:space="0" w:color="auto"/>
        <w:right w:val="none" w:sz="0" w:space="0" w:color="auto"/>
      </w:divBdr>
    </w:div>
    <w:div w:id="1528256594">
      <w:bodyDiv w:val="1"/>
      <w:marLeft w:val="0"/>
      <w:marRight w:val="0"/>
      <w:marTop w:val="0"/>
      <w:marBottom w:val="0"/>
      <w:divBdr>
        <w:top w:val="none" w:sz="0" w:space="0" w:color="auto"/>
        <w:left w:val="none" w:sz="0" w:space="0" w:color="auto"/>
        <w:bottom w:val="none" w:sz="0" w:space="0" w:color="auto"/>
        <w:right w:val="none" w:sz="0" w:space="0" w:color="auto"/>
      </w:divBdr>
    </w:div>
    <w:div w:id="1620843287">
      <w:bodyDiv w:val="1"/>
      <w:marLeft w:val="0"/>
      <w:marRight w:val="0"/>
      <w:marTop w:val="0"/>
      <w:marBottom w:val="0"/>
      <w:divBdr>
        <w:top w:val="none" w:sz="0" w:space="0" w:color="auto"/>
        <w:left w:val="none" w:sz="0" w:space="0" w:color="auto"/>
        <w:bottom w:val="none" w:sz="0" w:space="0" w:color="auto"/>
        <w:right w:val="none" w:sz="0" w:space="0" w:color="auto"/>
      </w:divBdr>
    </w:div>
    <w:div w:id="1624801070">
      <w:bodyDiv w:val="1"/>
      <w:marLeft w:val="0"/>
      <w:marRight w:val="0"/>
      <w:marTop w:val="0"/>
      <w:marBottom w:val="0"/>
      <w:divBdr>
        <w:top w:val="none" w:sz="0" w:space="0" w:color="auto"/>
        <w:left w:val="none" w:sz="0" w:space="0" w:color="auto"/>
        <w:bottom w:val="none" w:sz="0" w:space="0" w:color="auto"/>
        <w:right w:val="none" w:sz="0" w:space="0" w:color="auto"/>
      </w:divBdr>
    </w:div>
    <w:div w:id="1631862619">
      <w:bodyDiv w:val="1"/>
      <w:marLeft w:val="0"/>
      <w:marRight w:val="0"/>
      <w:marTop w:val="0"/>
      <w:marBottom w:val="0"/>
      <w:divBdr>
        <w:top w:val="none" w:sz="0" w:space="0" w:color="auto"/>
        <w:left w:val="none" w:sz="0" w:space="0" w:color="auto"/>
        <w:bottom w:val="none" w:sz="0" w:space="0" w:color="auto"/>
        <w:right w:val="none" w:sz="0" w:space="0" w:color="auto"/>
      </w:divBdr>
    </w:div>
    <w:div w:id="1637639684">
      <w:bodyDiv w:val="1"/>
      <w:marLeft w:val="0"/>
      <w:marRight w:val="0"/>
      <w:marTop w:val="0"/>
      <w:marBottom w:val="0"/>
      <w:divBdr>
        <w:top w:val="none" w:sz="0" w:space="0" w:color="auto"/>
        <w:left w:val="none" w:sz="0" w:space="0" w:color="auto"/>
        <w:bottom w:val="none" w:sz="0" w:space="0" w:color="auto"/>
        <w:right w:val="none" w:sz="0" w:space="0" w:color="auto"/>
      </w:divBdr>
    </w:div>
    <w:div w:id="1697806251">
      <w:bodyDiv w:val="1"/>
      <w:marLeft w:val="0"/>
      <w:marRight w:val="0"/>
      <w:marTop w:val="0"/>
      <w:marBottom w:val="0"/>
      <w:divBdr>
        <w:top w:val="none" w:sz="0" w:space="0" w:color="auto"/>
        <w:left w:val="none" w:sz="0" w:space="0" w:color="auto"/>
        <w:bottom w:val="none" w:sz="0" w:space="0" w:color="auto"/>
        <w:right w:val="none" w:sz="0" w:space="0" w:color="auto"/>
      </w:divBdr>
    </w:div>
    <w:div w:id="1736471883">
      <w:bodyDiv w:val="1"/>
      <w:marLeft w:val="0"/>
      <w:marRight w:val="0"/>
      <w:marTop w:val="0"/>
      <w:marBottom w:val="0"/>
      <w:divBdr>
        <w:top w:val="none" w:sz="0" w:space="0" w:color="auto"/>
        <w:left w:val="none" w:sz="0" w:space="0" w:color="auto"/>
        <w:bottom w:val="none" w:sz="0" w:space="0" w:color="auto"/>
        <w:right w:val="none" w:sz="0" w:space="0" w:color="auto"/>
      </w:divBdr>
    </w:div>
    <w:div w:id="1834450049">
      <w:bodyDiv w:val="1"/>
      <w:marLeft w:val="0"/>
      <w:marRight w:val="0"/>
      <w:marTop w:val="0"/>
      <w:marBottom w:val="0"/>
      <w:divBdr>
        <w:top w:val="none" w:sz="0" w:space="0" w:color="auto"/>
        <w:left w:val="none" w:sz="0" w:space="0" w:color="auto"/>
        <w:bottom w:val="none" w:sz="0" w:space="0" w:color="auto"/>
        <w:right w:val="none" w:sz="0" w:space="0" w:color="auto"/>
      </w:divBdr>
    </w:div>
    <w:div w:id="1879663855">
      <w:bodyDiv w:val="1"/>
      <w:marLeft w:val="0"/>
      <w:marRight w:val="0"/>
      <w:marTop w:val="0"/>
      <w:marBottom w:val="0"/>
      <w:divBdr>
        <w:top w:val="none" w:sz="0" w:space="0" w:color="auto"/>
        <w:left w:val="none" w:sz="0" w:space="0" w:color="auto"/>
        <w:bottom w:val="none" w:sz="0" w:space="0" w:color="auto"/>
        <w:right w:val="none" w:sz="0" w:space="0" w:color="auto"/>
      </w:divBdr>
    </w:div>
    <w:div w:id="1983387114">
      <w:bodyDiv w:val="1"/>
      <w:marLeft w:val="0"/>
      <w:marRight w:val="0"/>
      <w:marTop w:val="0"/>
      <w:marBottom w:val="0"/>
      <w:divBdr>
        <w:top w:val="none" w:sz="0" w:space="0" w:color="auto"/>
        <w:left w:val="none" w:sz="0" w:space="0" w:color="auto"/>
        <w:bottom w:val="none" w:sz="0" w:space="0" w:color="auto"/>
        <w:right w:val="none" w:sz="0" w:space="0" w:color="auto"/>
      </w:divBdr>
    </w:div>
    <w:div w:id="2065174586">
      <w:bodyDiv w:val="1"/>
      <w:marLeft w:val="0"/>
      <w:marRight w:val="0"/>
      <w:marTop w:val="0"/>
      <w:marBottom w:val="0"/>
      <w:divBdr>
        <w:top w:val="none" w:sz="0" w:space="0" w:color="auto"/>
        <w:left w:val="none" w:sz="0" w:space="0" w:color="auto"/>
        <w:bottom w:val="none" w:sz="0" w:space="0" w:color="auto"/>
        <w:right w:val="none" w:sz="0" w:space="0" w:color="auto"/>
      </w:divBdr>
    </w:div>
    <w:div w:id="21035237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chart" Target="charts/chart6.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yperlink" Target="file:///C:/Users/girts.blumers/AppData/Local/Microsoft/Windows/INetCache/Content.Outlook/R13VOUUK/2020_Darbiba%20strategija_11.docx"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chart" Target="charts/chart5.xml"/><Relationship Id="rId33" Type="http://schemas.openxmlformats.org/officeDocument/2006/relationships/hyperlink" Target="https://www.ficil.lv/research/"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file:///C:/Users/girts.blumers/AppData/Local/Microsoft/Windows/INetCache/Content.Outlook/R13VOUUK/2020_Darbiba%20strategija_11.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4.xml"/><Relationship Id="rId32" Type="http://schemas.openxmlformats.org/officeDocument/2006/relationships/hyperlink" Target="file:///C:/Users/girts.blumers/AppData/Local/Microsoft/Windows/INetCache/Content.Outlook/R13VOUUK/2020_Darbiba%20strategija_11.docx" TargetMode="External"/><Relationship Id="rId37" Type="http://schemas.openxmlformats.org/officeDocument/2006/relationships/hyperlink" Target="https://statistika.lursoft.lv/lv/statistika/arvalstu-ieguldijumi/"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yperlink" Target="file:///C:/Users/girts.blumers/AppData/Local/Microsoft/Windows/INetCache/Content.Outlook/R13VOUUK/2020_Darbiba%20strategija_11.docx"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hyperlink" Target="file:///C:/Users/girts.blumers/AppData/Local/Microsoft/Windows/INetCache/Content.Outlook/R13VOUUK/2020_Darbiba%20strategija_11.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hyperlink" Target="file:///C:/Users/girts.blumers/AppData/Local/Microsoft/Windows/INetCache/Content.Outlook/R13VOUUK/2020_Darbiba%20strategija_11.docx" TargetMode="External"/><Relationship Id="rId35" Type="http://schemas.openxmlformats.org/officeDocument/2006/relationships/hyperlink" Target="https://statdb.bank.lv/lb/Data.aspx?id=131"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052952882053363E-2"/>
          <c:y val="5.4187130922715897E-2"/>
          <c:w val="0.82577164285943228"/>
          <c:h val="0.84379365533615269"/>
        </c:manualLayout>
      </c:layout>
      <c:barChart>
        <c:barDir val="col"/>
        <c:grouping val="stacked"/>
        <c:varyColors val="0"/>
        <c:ser>
          <c:idx val="9"/>
          <c:order val="0"/>
          <c:tx>
            <c:strRef>
              <c:f>Sheet1!$A$2</c:f>
              <c:strCache>
                <c:ptCount val="1"/>
                <c:pt idx="0">
                  <c:v>Izmaiņas procentos pret iepriekšējo gadu (kreisā ass)</c:v>
                </c:pt>
              </c:strCache>
            </c:strRef>
          </c:tx>
          <c:spPr>
            <a:solidFill>
              <a:srgbClr val="4472C4">
                <a:lumMod val="60000"/>
                <a:lumOff val="40000"/>
              </a:srgbClr>
            </a:solidFill>
            <a:ln>
              <a:solidFill>
                <a:sysClr val="windowText" lastClr="000000"/>
              </a:solidFill>
            </a:ln>
            <a:effectLst/>
          </c:spPr>
          <c:invertIfNegative val="0"/>
          <c:dLbls>
            <c:numFmt formatCode="#,##0.0" sourceLinked="0"/>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mn-lt"/>
                    <a:ea typeface="Arial"/>
                    <a:cs typeface="Arial"/>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Sheet1!$B$1:$K$1</c:f>
              <c:numCache>
                <c:formatCode>0</c:formatCode>
                <c:ptCount val="6"/>
                <c:pt idx="0">
                  <c:v>2014</c:v>
                </c:pt>
                <c:pt idx="1">
                  <c:v>2015</c:v>
                </c:pt>
                <c:pt idx="2">
                  <c:v>2016</c:v>
                </c:pt>
                <c:pt idx="3">
                  <c:v>2017</c:v>
                </c:pt>
                <c:pt idx="4">
                  <c:v>2018</c:v>
                </c:pt>
                <c:pt idx="5">
                  <c:v>2019</c:v>
                </c:pt>
              </c:numCache>
            </c:numRef>
          </c:cat>
          <c:val>
            <c:numRef>
              <c:f>Sheet1!$B$2:$K$2</c:f>
              <c:numCache>
                <c:formatCode>0.0</c:formatCode>
                <c:ptCount val="6"/>
                <c:pt idx="0">
                  <c:v>6.4698415062359516</c:v>
                </c:pt>
                <c:pt idx="1">
                  <c:v>2.9070210371756815</c:v>
                </c:pt>
                <c:pt idx="2">
                  <c:v>3.9626847255765654</c:v>
                </c:pt>
                <c:pt idx="3">
                  <c:v>6.3845466789941696</c:v>
                </c:pt>
                <c:pt idx="4">
                  <c:v>3.9536251399004527</c:v>
                </c:pt>
                <c:pt idx="5">
                  <c:v>1.9651989099097875</c:v>
                </c:pt>
              </c:numCache>
            </c:numRef>
          </c:val>
          <c:extLst>
            <c:ext xmlns:c16="http://schemas.microsoft.com/office/drawing/2014/chart" uri="{C3380CC4-5D6E-409C-BE32-E72D297353CC}">
              <c16:uniqueId val="{00000000-5A11-4210-BAD3-D3480E38406D}"/>
            </c:ext>
          </c:extLst>
        </c:ser>
        <c:dLbls>
          <c:showLegendKey val="0"/>
          <c:showVal val="0"/>
          <c:showCatName val="0"/>
          <c:showSerName val="0"/>
          <c:showPercent val="0"/>
          <c:showBubbleSize val="0"/>
        </c:dLbls>
        <c:gapWidth val="40"/>
        <c:overlap val="100"/>
        <c:axId val="274520384"/>
        <c:axId val="278072192"/>
      </c:barChart>
      <c:lineChart>
        <c:grouping val="standard"/>
        <c:varyColors val="0"/>
        <c:ser>
          <c:idx val="0"/>
          <c:order val="1"/>
          <c:tx>
            <c:strRef>
              <c:f>Sheet1!$A$3</c:f>
              <c:strCache>
                <c:ptCount val="1"/>
                <c:pt idx="0">
                  <c:v>2014.gads = 100 (labā ass)</c:v>
                </c:pt>
              </c:strCache>
            </c:strRef>
          </c:tx>
          <c:spPr>
            <a:ln w="28575" cap="rnd" cmpd="sng" algn="ctr">
              <a:solidFill>
                <a:srgbClr val="ED7D31">
                  <a:lumMod val="50000"/>
                </a:srgbClr>
              </a:solidFill>
              <a:prstDash val="solid"/>
              <a:round/>
            </a:ln>
            <a:effectLst/>
          </c:spPr>
          <c:marker>
            <c:symbol val="none"/>
          </c:marker>
          <c:cat>
            <c:numRef>
              <c:f>Sheet1!$B$1:$K$1</c:f>
              <c:numCache>
                <c:formatCode>0</c:formatCode>
                <c:ptCount val="6"/>
                <c:pt idx="0">
                  <c:v>2014</c:v>
                </c:pt>
                <c:pt idx="1">
                  <c:v>2015</c:v>
                </c:pt>
                <c:pt idx="2">
                  <c:v>2016</c:v>
                </c:pt>
                <c:pt idx="3">
                  <c:v>2017</c:v>
                </c:pt>
                <c:pt idx="4">
                  <c:v>2018</c:v>
                </c:pt>
                <c:pt idx="5">
                  <c:v>2019</c:v>
                </c:pt>
              </c:numCache>
            </c:numRef>
          </c:cat>
          <c:val>
            <c:numRef>
              <c:f>Sheet1!$B$3:$K$3</c:f>
              <c:numCache>
                <c:formatCode>0</c:formatCode>
                <c:ptCount val="6"/>
                <c:pt idx="0">
                  <c:v>100</c:v>
                </c:pt>
                <c:pt idx="1">
                  <c:v>102.90702103717568</c:v>
                </c:pt>
                <c:pt idx="2">
                  <c:v>106.9849018413617</c:v>
                </c:pt>
                <c:pt idx="3">
                  <c:v>113.81540283889954</c:v>
                </c:pt>
                <c:pt idx="4">
                  <c:v>118.31523721861726</c:v>
                </c:pt>
                <c:pt idx="5">
                  <c:v>120.6403669706947</c:v>
                </c:pt>
              </c:numCache>
            </c:numRef>
          </c:val>
          <c:smooth val="0"/>
          <c:extLst>
            <c:ext xmlns:c16="http://schemas.microsoft.com/office/drawing/2014/chart" uri="{C3380CC4-5D6E-409C-BE32-E72D297353CC}">
              <c16:uniqueId val="{00000001-5A11-4210-BAD3-D3480E38406D}"/>
            </c:ext>
          </c:extLst>
        </c:ser>
        <c:dLbls>
          <c:showLegendKey val="0"/>
          <c:showVal val="0"/>
          <c:showCatName val="0"/>
          <c:showSerName val="0"/>
          <c:showPercent val="0"/>
          <c:showBubbleSize val="0"/>
        </c:dLbls>
        <c:marker val="1"/>
        <c:smooth val="0"/>
        <c:axId val="537463688"/>
        <c:axId val="537462704"/>
      </c:lineChart>
      <c:catAx>
        <c:axId val="274520384"/>
        <c:scaling>
          <c:orientation val="minMax"/>
        </c:scaling>
        <c:delete val="0"/>
        <c:axPos val="b"/>
        <c:numFmt formatCode="0" sourceLinked="1"/>
        <c:majorTickMark val="none"/>
        <c:minorTickMark val="none"/>
        <c:tickLblPos val="low"/>
        <c:spPr>
          <a:noFill/>
          <a:ln w="317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mn-lt"/>
                <a:ea typeface="Arial"/>
                <a:cs typeface="Arial"/>
              </a:defRPr>
            </a:pPr>
            <a:endParaRPr lang="lv-LV"/>
          </a:p>
        </c:txPr>
        <c:crossAx val="278072192"/>
        <c:crosses val="autoZero"/>
        <c:auto val="0"/>
        <c:lblAlgn val="ctr"/>
        <c:lblOffset val="0"/>
        <c:tickLblSkip val="1"/>
        <c:noMultiLvlLbl val="0"/>
      </c:catAx>
      <c:valAx>
        <c:axId val="278072192"/>
        <c:scaling>
          <c:orientation val="minMax"/>
        </c:scaling>
        <c:delete val="0"/>
        <c:axPos val="l"/>
        <c:numFmt formatCode="0" sourceLinked="0"/>
        <c:majorTickMark val="out"/>
        <c:minorTickMark val="none"/>
        <c:tickLblPos val="nextTo"/>
        <c:spPr>
          <a:noFill/>
          <a:ln w="3175" cap="flat" cmpd="sng" algn="ctr">
            <a:noFill/>
            <a:prstDash val="solid"/>
            <a:round/>
          </a:ln>
          <a:effectLst/>
        </c:spPr>
        <c:txPr>
          <a:bodyPr rot="0" spcFirstLastPara="1" vertOverflow="ellipsis" wrap="square" anchor="ctr" anchorCtr="1"/>
          <a:lstStyle/>
          <a:p>
            <a:pPr>
              <a:defRPr sz="800" b="0" i="0" u="none" strike="noStrike" kern="1200" baseline="0">
                <a:solidFill>
                  <a:srgbClr val="000000"/>
                </a:solidFill>
                <a:latin typeface="+mn-lt"/>
                <a:ea typeface="Arial"/>
                <a:cs typeface="Arial"/>
              </a:defRPr>
            </a:pPr>
            <a:endParaRPr lang="lv-LV"/>
          </a:p>
        </c:txPr>
        <c:crossAx val="274520384"/>
        <c:crosses val="autoZero"/>
        <c:crossBetween val="between"/>
        <c:majorUnit val="2"/>
      </c:valAx>
      <c:valAx>
        <c:axId val="537462704"/>
        <c:scaling>
          <c:orientation val="minMax"/>
          <c:max val="148"/>
          <c:min val="100"/>
        </c:scaling>
        <c:delete val="0"/>
        <c:axPos val="r"/>
        <c:numFmt formatCode="0" sourceLinked="1"/>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800" b="0" i="0" u="none" strike="noStrike" kern="1200" baseline="0">
                <a:solidFill>
                  <a:srgbClr val="000000"/>
                </a:solidFill>
                <a:latin typeface="+mn-lt"/>
                <a:ea typeface="Arial"/>
                <a:cs typeface="Arial"/>
              </a:defRPr>
            </a:pPr>
            <a:endParaRPr lang="lv-LV"/>
          </a:p>
        </c:txPr>
        <c:crossAx val="537463688"/>
        <c:crosses val="max"/>
        <c:crossBetween val="between"/>
        <c:majorUnit val="12"/>
      </c:valAx>
      <c:catAx>
        <c:axId val="537463688"/>
        <c:scaling>
          <c:orientation val="minMax"/>
        </c:scaling>
        <c:delete val="1"/>
        <c:axPos val="b"/>
        <c:numFmt formatCode="0" sourceLinked="1"/>
        <c:majorTickMark val="out"/>
        <c:minorTickMark val="none"/>
        <c:tickLblPos val="nextTo"/>
        <c:crossAx val="537462704"/>
        <c:crosses val="autoZero"/>
        <c:auto val="1"/>
        <c:lblAlgn val="ctr"/>
        <c:lblOffset val="100"/>
        <c:noMultiLvlLbl val="0"/>
      </c:catAx>
      <c:spPr>
        <a:noFill/>
        <a:ln w="24631">
          <a:noFill/>
        </a:ln>
        <a:effectLst/>
      </c:spPr>
    </c:plotArea>
    <c:legend>
      <c:legendPos val="l"/>
      <c:layout>
        <c:manualLayout>
          <c:xMode val="edge"/>
          <c:yMode val="edge"/>
          <c:x val="6.0448880897761799E-2"/>
          <c:y val="2.3352691773256853E-2"/>
          <c:w val="0.89149234298468583"/>
          <c:h val="0.2521125023306513"/>
        </c:manualLayout>
      </c:layout>
      <c:overlay val="0"/>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mn-lt"/>
              <a:ea typeface="Arial"/>
              <a:cs typeface="Arial"/>
            </a:defRPr>
          </a:pPr>
          <a:endParaRPr lang="lv-LV"/>
        </a:p>
      </c:txPr>
    </c:legend>
    <c:plotVisOnly val="1"/>
    <c:dispBlanksAs val="gap"/>
    <c:showDLblsOverMax val="0"/>
  </c:chart>
  <c:spPr>
    <a:noFill/>
    <a:ln w="9525" cap="flat" cmpd="sng" algn="ctr">
      <a:noFill/>
      <a:prstDash val="solid"/>
      <a:round/>
    </a:ln>
    <a:effectLst/>
  </c:spPr>
  <c:txPr>
    <a:bodyPr/>
    <a:lstStyle/>
    <a:p>
      <a:pPr>
        <a:defRPr sz="1000" b="0" i="0" u="none" strike="noStrike" baseline="0">
          <a:solidFill>
            <a:srgbClr val="000000"/>
          </a:solidFill>
          <a:latin typeface="+mn-lt"/>
          <a:ea typeface="Arial"/>
          <a:cs typeface="Arial"/>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052952882053363E-2"/>
          <c:y val="5.4187130922715897E-2"/>
          <c:w val="0.82577164285943228"/>
          <c:h val="0.84379365533615269"/>
        </c:manualLayout>
      </c:layout>
      <c:barChart>
        <c:barDir val="col"/>
        <c:grouping val="stacked"/>
        <c:varyColors val="0"/>
        <c:ser>
          <c:idx val="9"/>
          <c:order val="0"/>
          <c:tx>
            <c:strRef>
              <c:f>Sheet1!$A$2</c:f>
              <c:strCache>
                <c:ptCount val="1"/>
                <c:pt idx="0">
                  <c:v>Procentos no kopējā eksporta</c:v>
                </c:pt>
              </c:strCache>
            </c:strRef>
          </c:tx>
          <c:spPr>
            <a:solidFill>
              <a:srgbClr val="4472C4">
                <a:lumMod val="60000"/>
                <a:lumOff val="40000"/>
              </a:srgbClr>
            </a:solidFill>
            <a:ln>
              <a:solidFill>
                <a:sysClr val="windowText" lastClr="000000"/>
              </a:solidFill>
            </a:ln>
            <a:effectLst/>
          </c:spPr>
          <c:invertIfNegative val="0"/>
          <c:dLbls>
            <c:numFmt formatCode="#,##0.0" sourceLinked="0"/>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mn-lt"/>
                    <a:ea typeface="Arial"/>
                    <a:cs typeface="Arial"/>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strRef>
              <c:f>Sheet1!$B$1:$K$1</c:f>
              <c:strCache>
                <c:ptCount val="6"/>
                <c:pt idx="0">
                  <c:v>2014</c:v>
                </c:pt>
                <c:pt idx="1">
                  <c:v>2015</c:v>
                </c:pt>
                <c:pt idx="2">
                  <c:v>2016</c:v>
                </c:pt>
                <c:pt idx="3">
                  <c:v>2017</c:v>
                </c:pt>
                <c:pt idx="4">
                  <c:v>2018</c:v>
                </c:pt>
                <c:pt idx="5">
                  <c:v>2019n</c:v>
                </c:pt>
              </c:strCache>
            </c:strRef>
          </c:cat>
          <c:val>
            <c:numRef>
              <c:f>Sheet1!$B$2:$K$2</c:f>
              <c:numCache>
                <c:formatCode>0.0</c:formatCode>
                <c:ptCount val="6"/>
                <c:pt idx="0">
                  <c:v>9.6999999999999993</c:v>
                </c:pt>
                <c:pt idx="1">
                  <c:v>11</c:v>
                </c:pt>
                <c:pt idx="2">
                  <c:v>10.199999999999999</c:v>
                </c:pt>
                <c:pt idx="3">
                  <c:v>10.6</c:v>
                </c:pt>
                <c:pt idx="4">
                  <c:v>11.2</c:v>
                </c:pt>
                <c:pt idx="5">
                  <c:v>11.2</c:v>
                </c:pt>
              </c:numCache>
            </c:numRef>
          </c:val>
          <c:extLst>
            <c:ext xmlns:c16="http://schemas.microsoft.com/office/drawing/2014/chart" uri="{C3380CC4-5D6E-409C-BE32-E72D297353CC}">
              <c16:uniqueId val="{00000000-D04D-4DCF-B93D-19A42C9BB392}"/>
            </c:ext>
          </c:extLst>
        </c:ser>
        <c:dLbls>
          <c:showLegendKey val="0"/>
          <c:showVal val="0"/>
          <c:showCatName val="0"/>
          <c:showSerName val="0"/>
          <c:showPercent val="0"/>
          <c:showBubbleSize val="0"/>
        </c:dLbls>
        <c:gapWidth val="40"/>
        <c:overlap val="100"/>
        <c:axId val="274520384"/>
        <c:axId val="278072192"/>
      </c:barChart>
      <c:lineChart>
        <c:grouping val="standard"/>
        <c:varyColors val="0"/>
        <c:ser>
          <c:idx val="0"/>
          <c:order val="1"/>
          <c:tx>
            <c:strRef>
              <c:f>Sheet1!$A$3</c:f>
              <c:strCache>
                <c:ptCount val="1"/>
                <c:pt idx="0">
                  <c:v>2014.gads = 100 (labā ass)</c:v>
                </c:pt>
              </c:strCache>
            </c:strRef>
          </c:tx>
          <c:spPr>
            <a:ln w="28575" cap="rnd" cmpd="sng" algn="ctr">
              <a:solidFill>
                <a:srgbClr val="ED7D31">
                  <a:lumMod val="50000"/>
                </a:srgbClr>
              </a:solidFill>
              <a:prstDash val="solid"/>
              <a:round/>
            </a:ln>
            <a:effectLst/>
          </c:spPr>
          <c:marker>
            <c:symbol val="none"/>
          </c:marker>
          <c:cat>
            <c:strRef>
              <c:f>Sheet1!$B$1:$K$1</c:f>
              <c:strCache>
                <c:ptCount val="6"/>
                <c:pt idx="0">
                  <c:v>2014</c:v>
                </c:pt>
                <c:pt idx="1">
                  <c:v>2015</c:v>
                </c:pt>
                <c:pt idx="2">
                  <c:v>2016</c:v>
                </c:pt>
                <c:pt idx="3">
                  <c:v>2017</c:v>
                </c:pt>
                <c:pt idx="4">
                  <c:v>2018</c:v>
                </c:pt>
                <c:pt idx="5">
                  <c:v>2019n</c:v>
                </c:pt>
              </c:strCache>
            </c:strRef>
          </c:cat>
          <c:val>
            <c:numRef>
              <c:f>Sheet1!$B$3:$K$3</c:f>
              <c:numCache>
                <c:formatCode>0</c:formatCode>
                <c:ptCount val="6"/>
                <c:pt idx="0">
                  <c:v>100</c:v>
                </c:pt>
                <c:pt idx="1">
                  <c:v>113.62346263008514</c:v>
                </c:pt>
                <c:pt idx="2">
                  <c:v>105.4872280037843</c:v>
                </c:pt>
                <c:pt idx="3">
                  <c:v>123.65184484389782</c:v>
                </c:pt>
                <c:pt idx="4">
                  <c:v>140.87038789025544</c:v>
                </c:pt>
                <c:pt idx="5">
                  <c:v>142.27909176915799</c:v>
                </c:pt>
              </c:numCache>
            </c:numRef>
          </c:val>
          <c:smooth val="0"/>
          <c:extLst>
            <c:ext xmlns:c16="http://schemas.microsoft.com/office/drawing/2014/chart" uri="{C3380CC4-5D6E-409C-BE32-E72D297353CC}">
              <c16:uniqueId val="{00000001-D04D-4DCF-B93D-19A42C9BB392}"/>
            </c:ext>
          </c:extLst>
        </c:ser>
        <c:dLbls>
          <c:showLegendKey val="0"/>
          <c:showVal val="0"/>
          <c:showCatName val="0"/>
          <c:showSerName val="0"/>
          <c:showPercent val="0"/>
          <c:showBubbleSize val="0"/>
        </c:dLbls>
        <c:marker val="1"/>
        <c:smooth val="0"/>
        <c:axId val="537463688"/>
        <c:axId val="537462704"/>
      </c:lineChart>
      <c:catAx>
        <c:axId val="274520384"/>
        <c:scaling>
          <c:orientation val="minMax"/>
        </c:scaling>
        <c:delete val="0"/>
        <c:axPos val="b"/>
        <c:numFmt formatCode="General" sourceLinked="1"/>
        <c:majorTickMark val="none"/>
        <c:minorTickMark val="none"/>
        <c:tickLblPos val="low"/>
        <c:spPr>
          <a:noFill/>
          <a:ln w="317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mn-lt"/>
                <a:ea typeface="Arial"/>
                <a:cs typeface="Arial"/>
              </a:defRPr>
            </a:pPr>
            <a:endParaRPr lang="lv-LV"/>
          </a:p>
        </c:txPr>
        <c:crossAx val="278072192"/>
        <c:crosses val="autoZero"/>
        <c:auto val="0"/>
        <c:lblAlgn val="ctr"/>
        <c:lblOffset val="0"/>
        <c:tickLblSkip val="1"/>
        <c:noMultiLvlLbl val="0"/>
      </c:catAx>
      <c:valAx>
        <c:axId val="278072192"/>
        <c:scaling>
          <c:orientation val="minMax"/>
        </c:scaling>
        <c:delete val="0"/>
        <c:axPos val="l"/>
        <c:numFmt formatCode="0" sourceLinked="0"/>
        <c:majorTickMark val="out"/>
        <c:minorTickMark val="none"/>
        <c:tickLblPos val="nextTo"/>
        <c:spPr>
          <a:noFill/>
          <a:ln w="3175" cap="flat" cmpd="sng" algn="ctr">
            <a:noFill/>
            <a:prstDash val="solid"/>
            <a:round/>
          </a:ln>
          <a:effectLst/>
        </c:spPr>
        <c:txPr>
          <a:bodyPr rot="0" spcFirstLastPara="1" vertOverflow="ellipsis" wrap="square" anchor="ctr" anchorCtr="1"/>
          <a:lstStyle/>
          <a:p>
            <a:pPr>
              <a:defRPr sz="800" b="0" i="0" u="none" strike="noStrike" kern="1200" baseline="0">
                <a:solidFill>
                  <a:srgbClr val="000000"/>
                </a:solidFill>
                <a:latin typeface="+mn-lt"/>
                <a:ea typeface="Arial"/>
                <a:cs typeface="Arial"/>
              </a:defRPr>
            </a:pPr>
            <a:endParaRPr lang="lv-LV"/>
          </a:p>
        </c:txPr>
        <c:crossAx val="274520384"/>
        <c:crosses val="autoZero"/>
        <c:crossBetween val="between"/>
        <c:majorUnit val="1"/>
      </c:valAx>
      <c:valAx>
        <c:axId val="537462704"/>
        <c:scaling>
          <c:orientation val="minMax"/>
          <c:max val="148"/>
          <c:min val="100"/>
        </c:scaling>
        <c:delete val="0"/>
        <c:axPos val="r"/>
        <c:numFmt formatCode="0" sourceLinked="1"/>
        <c:majorTickMark val="out"/>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sz="800" b="0" i="0" u="none" strike="noStrike" kern="1200" baseline="0">
                <a:solidFill>
                  <a:srgbClr val="000000"/>
                </a:solidFill>
                <a:latin typeface="+mn-lt"/>
                <a:ea typeface="Arial"/>
                <a:cs typeface="Arial"/>
              </a:defRPr>
            </a:pPr>
            <a:endParaRPr lang="lv-LV"/>
          </a:p>
        </c:txPr>
        <c:crossAx val="537463688"/>
        <c:crosses val="max"/>
        <c:crossBetween val="between"/>
        <c:majorUnit val="12"/>
      </c:valAx>
      <c:catAx>
        <c:axId val="537463688"/>
        <c:scaling>
          <c:orientation val="minMax"/>
        </c:scaling>
        <c:delete val="1"/>
        <c:axPos val="b"/>
        <c:numFmt formatCode="General" sourceLinked="1"/>
        <c:majorTickMark val="out"/>
        <c:minorTickMark val="none"/>
        <c:tickLblPos val="nextTo"/>
        <c:crossAx val="537462704"/>
        <c:crosses val="autoZero"/>
        <c:auto val="1"/>
        <c:lblAlgn val="ctr"/>
        <c:lblOffset val="100"/>
        <c:noMultiLvlLbl val="0"/>
      </c:catAx>
      <c:spPr>
        <a:noFill/>
        <a:ln w="24631">
          <a:noFill/>
        </a:ln>
        <a:effectLst/>
      </c:spPr>
    </c:plotArea>
    <c:legend>
      <c:legendPos val="l"/>
      <c:layout>
        <c:manualLayout>
          <c:xMode val="edge"/>
          <c:yMode val="edge"/>
          <c:x val="1.8454130241593817E-2"/>
          <c:y val="3.0638383316839494E-2"/>
          <c:w val="0.89674168681670674"/>
          <c:h val="0.16468080834158028"/>
        </c:manualLayout>
      </c:layout>
      <c:overlay val="0"/>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mn-lt"/>
              <a:ea typeface="Arial"/>
              <a:cs typeface="Arial"/>
            </a:defRPr>
          </a:pPr>
          <a:endParaRPr lang="lv-LV"/>
        </a:p>
      </c:txPr>
    </c:legend>
    <c:plotVisOnly val="1"/>
    <c:dispBlanksAs val="gap"/>
    <c:showDLblsOverMax val="0"/>
  </c:chart>
  <c:spPr>
    <a:noFill/>
    <a:ln w="9525" cap="flat" cmpd="sng" algn="ctr">
      <a:noFill/>
      <a:prstDash val="solid"/>
      <a:round/>
    </a:ln>
    <a:effectLst/>
  </c:spPr>
  <c:txPr>
    <a:bodyPr/>
    <a:lstStyle/>
    <a:p>
      <a:pPr>
        <a:defRPr sz="1000" b="0" i="0" u="none" strike="noStrike" baseline="0">
          <a:solidFill>
            <a:srgbClr val="000000"/>
          </a:solidFill>
          <a:latin typeface="+mn-lt"/>
          <a:ea typeface="Arial"/>
          <a:cs typeface="Arial"/>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7354822834645707E-2"/>
          <c:y val="5.4187037037039996E-2"/>
          <c:w val="0.8789631193571017"/>
          <c:h val="0.84682690397827365"/>
        </c:manualLayout>
      </c:layout>
      <c:barChart>
        <c:barDir val="col"/>
        <c:grouping val="stacked"/>
        <c:varyColors val="0"/>
        <c:ser>
          <c:idx val="9"/>
          <c:order val="0"/>
          <c:tx>
            <c:strRef>
              <c:f>Sheet1!$A$2</c:f>
              <c:strCache>
                <c:ptCount val="1"/>
                <c:pt idx="0">
                  <c:v>Ārējā pieprasījuma efekts</c:v>
                </c:pt>
              </c:strCache>
            </c:strRef>
          </c:tx>
          <c:spPr>
            <a:solidFill>
              <a:srgbClr val="4472C4">
                <a:lumMod val="40000"/>
                <a:lumOff val="60000"/>
              </a:srgbClr>
            </a:solidFill>
            <a:ln>
              <a:solidFill>
                <a:sysClr val="windowText" lastClr="000000"/>
              </a:solidFill>
            </a:ln>
            <a:effectLst/>
          </c:spPr>
          <c:invertIfNegative val="0"/>
          <c:dLbls>
            <c:dLbl>
              <c:idx val="0"/>
              <c:tx>
                <c:rich>
                  <a:bodyPr/>
                  <a:lstStyle/>
                  <a:p>
                    <a:fld id="{5AEB3D80-DAA7-4384-BB99-E5DA88D7F4DF}" type="CELLRANGE">
                      <a:rPr lang="en-US"/>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A9B5-4EA0-B77E-2E96D185C17A}"/>
                </c:ext>
              </c:extLst>
            </c:dLbl>
            <c:dLbl>
              <c:idx val="1"/>
              <c:tx>
                <c:rich>
                  <a:bodyPr/>
                  <a:lstStyle/>
                  <a:p>
                    <a:fld id="{49EDDBD2-F69B-44E8-ABB0-39A3CD2D0767}"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A9B5-4EA0-B77E-2E96D185C17A}"/>
                </c:ext>
              </c:extLst>
            </c:dLbl>
            <c:dLbl>
              <c:idx val="2"/>
              <c:tx>
                <c:rich>
                  <a:bodyPr/>
                  <a:lstStyle/>
                  <a:p>
                    <a:fld id="{0A0BB828-403C-4D7D-8885-97DBBA037A34}"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A9B5-4EA0-B77E-2E96D185C17A}"/>
                </c:ext>
              </c:extLst>
            </c:dLbl>
            <c:dLbl>
              <c:idx val="3"/>
              <c:tx>
                <c:rich>
                  <a:bodyPr/>
                  <a:lstStyle/>
                  <a:p>
                    <a:fld id="{EFEE18D3-391A-4B65-9237-E5889F63FF2A}"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A9B5-4EA0-B77E-2E96D185C17A}"/>
                </c:ext>
              </c:extLst>
            </c:dLbl>
            <c:dLbl>
              <c:idx val="4"/>
              <c:tx>
                <c:rich>
                  <a:bodyPr/>
                  <a:lstStyle/>
                  <a:p>
                    <a:fld id="{59178EC7-CB19-45F0-B310-96D2F42B35C7}"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A9B5-4EA0-B77E-2E96D185C17A}"/>
                </c:ext>
              </c:extLst>
            </c:dLbl>
            <c:dLbl>
              <c:idx val="5"/>
              <c:tx>
                <c:rich>
                  <a:bodyPr/>
                  <a:lstStyle/>
                  <a:p>
                    <a:fld id="{81EFC0F9-A76F-4D01-8D02-86EB28512934}"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A9B5-4EA0-B77E-2E96D185C17A}"/>
                </c:ext>
              </c:extLst>
            </c:dLbl>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mn-lt"/>
                    <a:ea typeface="Arial"/>
                    <a:cs typeface="Arial"/>
                  </a:defRPr>
                </a:pPr>
                <a:endParaRPr lang="lv-LV"/>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0"/>
              </c:ext>
            </c:extLst>
          </c:dLbls>
          <c:cat>
            <c:numRef>
              <c:f>Sheet1!$B$1:$K$1</c:f>
              <c:numCache>
                <c:formatCode>0</c:formatCode>
                <c:ptCount val="6"/>
                <c:pt idx="0">
                  <c:v>2014</c:v>
                </c:pt>
                <c:pt idx="1">
                  <c:v>2015</c:v>
                </c:pt>
                <c:pt idx="2">
                  <c:v>2016</c:v>
                </c:pt>
                <c:pt idx="3">
                  <c:v>2017</c:v>
                </c:pt>
                <c:pt idx="4">
                  <c:v>2018</c:v>
                </c:pt>
                <c:pt idx="5">
                  <c:v>2019</c:v>
                </c:pt>
              </c:numCache>
            </c:numRef>
          </c:cat>
          <c:val>
            <c:numRef>
              <c:f>Sheet1!$B$2:$K$2</c:f>
              <c:numCache>
                <c:formatCode>General</c:formatCode>
                <c:ptCount val="6"/>
                <c:pt idx="0">
                  <c:v>2.5712056475002951</c:v>
                </c:pt>
                <c:pt idx="1">
                  <c:v>2.732150274495011</c:v>
                </c:pt>
                <c:pt idx="2">
                  <c:v>1.4357441154548081</c:v>
                </c:pt>
                <c:pt idx="3">
                  <c:v>8.1198223562441623</c:v>
                </c:pt>
                <c:pt idx="4">
                  <c:v>5.9729607842683476</c:v>
                </c:pt>
                <c:pt idx="5">
                  <c:v>0.25363356890917799</c:v>
                </c:pt>
              </c:numCache>
            </c:numRef>
          </c:val>
          <c:extLst>
            <c:ext xmlns:c15="http://schemas.microsoft.com/office/drawing/2012/chart" uri="{02D57815-91ED-43cb-92C2-25804820EDAC}">
              <c15:datalabelsRange>
                <c15:f>Sheet1!$D$6:$K$6</c15:f>
                <c15:dlblRangeCache>
                  <c:ptCount val="6"/>
                  <c:pt idx="0">
                    <c:v>49%</c:v>
                  </c:pt>
                  <c:pt idx="1">
                    <c:v>&gt;100%</c:v>
                  </c:pt>
                  <c:pt idx="2">
                    <c:v>&gt;100%</c:v>
                  </c:pt>
                  <c:pt idx="3">
                    <c:v>&gt;100%</c:v>
                  </c:pt>
                  <c:pt idx="4">
                    <c:v>62%</c:v>
                  </c:pt>
                </c15:dlblRangeCache>
              </c15:datalabelsRange>
            </c:ext>
            <c:ext xmlns:c16="http://schemas.microsoft.com/office/drawing/2014/chart" uri="{C3380CC4-5D6E-409C-BE32-E72D297353CC}">
              <c16:uniqueId val="{00000006-A9B5-4EA0-B77E-2E96D185C17A}"/>
            </c:ext>
          </c:extLst>
        </c:ser>
        <c:ser>
          <c:idx val="10"/>
          <c:order val="1"/>
          <c:tx>
            <c:strRef>
              <c:f>Sheet1!$A$3</c:f>
              <c:strCache>
                <c:ptCount val="1"/>
                <c:pt idx="0">
                  <c:v>Konkurētspējas efekts</c:v>
                </c:pt>
              </c:strCache>
            </c:strRef>
          </c:tx>
          <c:spPr>
            <a:solidFill>
              <a:schemeClr val="accent3">
                <a:lumMod val="80000"/>
              </a:schemeClr>
            </a:solidFill>
            <a:ln>
              <a:solidFill>
                <a:sysClr val="windowText" lastClr="000000"/>
              </a:solidFill>
            </a:ln>
            <a:effectLst/>
          </c:spPr>
          <c:invertIfNegative val="0"/>
          <c:dLbls>
            <c:dLbl>
              <c:idx val="0"/>
              <c:tx>
                <c:rich>
                  <a:bodyPr/>
                  <a:lstStyle/>
                  <a:p>
                    <a:fld id="{AEDD886D-1D73-4A5F-8262-6450D53258E0}"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7-A9B5-4EA0-B77E-2E96D185C17A}"/>
                </c:ext>
              </c:extLst>
            </c:dLbl>
            <c:dLbl>
              <c:idx val="1"/>
              <c:tx>
                <c:rich>
                  <a:bodyPr/>
                  <a:lstStyle/>
                  <a:p>
                    <a:fld id="{EF72DC0A-B4C6-4546-B367-EE2D7E1847E9}"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8-A9B5-4EA0-B77E-2E96D185C17A}"/>
                </c:ext>
              </c:extLst>
            </c:dLbl>
            <c:dLbl>
              <c:idx val="2"/>
              <c:tx>
                <c:rich>
                  <a:bodyPr/>
                  <a:lstStyle/>
                  <a:p>
                    <a:fld id="{0CD417F6-CE00-4404-8A53-D43D61ACB1BC}"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9-A9B5-4EA0-B77E-2E96D185C17A}"/>
                </c:ext>
              </c:extLst>
            </c:dLbl>
            <c:dLbl>
              <c:idx val="3"/>
              <c:tx>
                <c:rich>
                  <a:bodyPr/>
                  <a:lstStyle/>
                  <a:p>
                    <a:fld id="{BD47AFED-11F7-490F-AE7C-0DE65250792A}"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A-A9B5-4EA0-B77E-2E96D185C17A}"/>
                </c:ext>
              </c:extLst>
            </c:dLbl>
            <c:dLbl>
              <c:idx val="4"/>
              <c:tx>
                <c:rich>
                  <a:bodyPr/>
                  <a:lstStyle/>
                  <a:p>
                    <a:fld id="{FBF19C7C-C165-4787-907D-82440FCA033A}"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A9B5-4EA0-B77E-2E96D185C17A}"/>
                </c:ext>
              </c:extLst>
            </c:dLbl>
            <c:dLbl>
              <c:idx val="5"/>
              <c:tx>
                <c:rich>
                  <a:bodyPr/>
                  <a:lstStyle/>
                  <a:p>
                    <a:fld id="{79E9F686-A49A-40D9-8DB9-F2D622D28002}" type="CELLRANGE">
                      <a:rPr lang="lv-LV"/>
                      <a:pPr/>
                      <a:t>[CELLRANGE]</a:t>
                    </a:fld>
                    <a:endParaRPr lang="lv-LV"/>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A9B5-4EA0-B77E-2E96D185C17A}"/>
                </c:ext>
              </c:extLst>
            </c:dLbl>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mn-lt"/>
                    <a:ea typeface="Arial"/>
                    <a:cs typeface="Arial"/>
                  </a:defRPr>
                </a:pPr>
                <a:endParaRPr lang="lv-LV"/>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shade val="95000"/>
                          <a:satMod val="105000"/>
                        </a:schemeClr>
                      </a:solidFill>
                      <a:prstDash val="solid"/>
                      <a:round/>
                    </a:ln>
                    <a:effectLst/>
                  </c:spPr>
                </c15:leaderLines>
              </c:ext>
            </c:extLst>
          </c:dLbls>
          <c:cat>
            <c:numRef>
              <c:f>Sheet1!$B$1:$K$1</c:f>
              <c:numCache>
                <c:formatCode>0</c:formatCode>
                <c:ptCount val="6"/>
                <c:pt idx="0">
                  <c:v>2014</c:v>
                </c:pt>
                <c:pt idx="1">
                  <c:v>2015</c:v>
                </c:pt>
                <c:pt idx="2">
                  <c:v>2016</c:v>
                </c:pt>
                <c:pt idx="3">
                  <c:v>2017</c:v>
                </c:pt>
                <c:pt idx="4">
                  <c:v>2018</c:v>
                </c:pt>
                <c:pt idx="5">
                  <c:v>2019</c:v>
                </c:pt>
              </c:numCache>
            </c:numRef>
          </c:cat>
          <c:val>
            <c:numRef>
              <c:f>Sheet1!$B$3:$K$3</c:f>
              <c:numCache>
                <c:formatCode>General</c:formatCode>
                <c:ptCount val="6"/>
                <c:pt idx="0">
                  <c:v>2.6351816920505136</c:v>
                </c:pt>
                <c:pt idx="1">
                  <c:v>-1.9304261582958215</c:v>
                </c:pt>
                <c:pt idx="2">
                  <c:v>-0.28593235699463121</c:v>
                </c:pt>
                <c:pt idx="3">
                  <c:v>-1.2337043522391629</c:v>
                </c:pt>
                <c:pt idx="4">
                  <c:v>3.6101318254085011</c:v>
                </c:pt>
                <c:pt idx="5">
                  <c:v>1.9713991961825983</c:v>
                </c:pt>
              </c:numCache>
            </c:numRef>
          </c:val>
          <c:extLst>
            <c:ext xmlns:c15="http://schemas.microsoft.com/office/drawing/2012/chart" uri="{02D57815-91ED-43cb-92C2-25804820EDAC}">
              <c15:datalabelsRange>
                <c15:f>Sheet1!$D$7:$K$7</c15:f>
                <c15:dlblRangeCache>
                  <c:ptCount val="6"/>
                  <c:pt idx="0">
                    <c:v>51%</c:v>
                  </c:pt>
                  <c:pt idx="4">
                    <c:v>38%</c:v>
                  </c:pt>
                  <c:pt idx="5">
                    <c:v>89%</c:v>
                  </c:pt>
                </c15:dlblRangeCache>
              </c15:datalabelsRange>
            </c:ext>
            <c:ext xmlns:c16="http://schemas.microsoft.com/office/drawing/2014/chart" uri="{C3380CC4-5D6E-409C-BE32-E72D297353CC}">
              <c16:uniqueId val="{0000000D-A9B5-4EA0-B77E-2E96D185C17A}"/>
            </c:ext>
          </c:extLst>
        </c:ser>
        <c:dLbls>
          <c:showLegendKey val="0"/>
          <c:showVal val="0"/>
          <c:showCatName val="0"/>
          <c:showSerName val="0"/>
          <c:showPercent val="0"/>
          <c:showBubbleSize val="0"/>
        </c:dLbls>
        <c:gapWidth val="30"/>
        <c:overlap val="100"/>
        <c:axId val="274520384"/>
        <c:axId val="278072192"/>
      </c:barChart>
      <c:catAx>
        <c:axId val="274520384"/>
        <c:scaling>
          <c:orientation val="minMax"/>
        </c:scaling>
        <c:delete val="0"/>
        <c:axPos val="b"/>
        <c:numFmt formatCode="0" sourceLinked="1"/>
        <c:majorTickMark val="none"/>
        <c:minorTickMark val="none"/>
        <c:tickLblPos val="low"/>
        <c:spPr>
          <a:noFill/>
          <a:ln w="317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mn-lt"/>
                <a:ea typeface="Arial"/>
                <a:cs typeface="Arial"/>
              </a:defRPr>
            </a:pPr>
            <a:endParaRPr lang="lv-LV"/>
          </a:p>
        </c:txPr>
        <c:crossAx val="278072192"/>
        <c:crosses val="autoZero"/>
        <c:auto val="0"/>
        <c:lblAlgn val="ctr"/>
        <c:lblOffset val="100"/>
        <c:tickLblSkip val="1"/>
        <c:noMultiLvlLbl val="0"/>
      </c:catAx>
      <c:valAx>
        <c:axId val="278072192"/>
        <c:scaling>
          <c:orientation val="minMax"/>
          <c:max val="12.2"/>
          <c:min val="-4"/>
        </c:scaling>
        <c:delete val="0"/>
        <c:axPos val="l"/>
        <c:numFmt formatCode="0" sourceLinked="0"/>
        <c:majorTickMark val="out"/>
        <c:minorTickMark val="none"/>
        <c:tickLblPos val="nextTo"/>
        <c:spPr>
          <a:noFill/>
          <a:ln w="3175" cap="flat" cmpd="sng" algn="ctr">
            <a:noFill/>
            <a:prstDash val="solid"/>
            <a:round/>
          </a:ln>
          <a:effectLst/>
        </c:spPr>
        <c:txPr>
          <a:bodyPr rot="0" spcFirstLastPara="1" vertOverflow="ellipsis" wrap="square" anchor="ctr" anchorCtr="1"/>
          <a:lstStyle/>
          <a:p>
            <a:pPr>
              <a:defRPr sz="800" b="0" i="0" u="none" strike="noStrike" kern="1200" baseline="0">
                <a:solidFill>
                  <a:srgbClr val="000000"/>
                </a:solidFill>
                <a:latin typeface="+mn-lt"/>
                <a:ea typeface="Arial"/>
                <a:cs typeface="Arial"/>
              </a:defRPr>
            </a:pPr>
            <a:endParaRPr lang="lv-LV"/>
          </a:p>
        </c:txPr>
        <c:crossAx val="274520384"/>
        <c:crosses val="autoZero"/>
        <c:crossBetween val="between"/>
        <c:majorUnit val="4"/>
      </c:valAx>
      <c:spPr>
        <a:noFill/>
        <a:ln w="24631">
          <a:noFill/>
        </a:ln>
        <a:effectLst/>
      </c:spPr>
    </c:plotArea>
    <c:legend>
      <c:legendPos val="l"/>
      <c:layout>
        <c:manualLayout>
          <c:xMode val="edge"/>
          <c:yMode val="edge"/>
          <c:x val="0.10065077218811434"/>
          <c:y val="6.1365395233145208E-2"/>
          <c:w val="0.42295336581331167"/>
          <c:h val="0.31529007149968324"/>
        </c:manualLayout>
      </c:layout>
      <c:overlay val="1"/>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mn-lt"/>
              <a:ea typeface="Arial"/>
              <a:cs typeface="Arial"/>
            </a:defRPr>
          </a:pPr>
          <a:endParaRPr lang="lv-LV"/>
        </a:p>
      </c:txPr>
    </c:legend>
    <c:plotVisOnly val="1"/>
    <c:dispBlanksAs val="gap"/>
    <c:showDLblsOverMax val="0"/>
  </c:chart>
  <c:spPr>
    <a:noFill/>
    <a:ln w="9525" cap="flat" cmpd="sng" algn="ctr">
      <a:noFill/>
      <a:prstDash val="solid"/>
      <a:round/>
    </a:ln>
    <a:effectLst/>
  </c:spPr>
  <c:txPr>
    <a:bodyPr/>
    <a:lstStyle/>
    <a:p>
      <a:pPr>
        <a:defRPr sz="800" b="0" i="0" u="none" strike="noStrike" baseline="0">
          <a:solidFill>
            <a:srgbClr val="000000"/>
          </a:solidFill>
          <a:latin typeface="+mn-lt"/>
          <a:ea typeface="Arial"/>
          <a:cs typeface="Arial"/>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447386469194105E-2"/>
          <c:y val="5.4187037037039996E-2"/>
          <c:w val="0.90682235282882917"/>
          <c:h val="0.81430658421446223"/>
        </c:manualLayout>
      </c:layout>
      <c:barChart>
        <c:barDir val="col"/>
        <c:grouping val="stacked"/>
        <c:varyColors val="0"/>
        <c:ser>
          <c:idx val="9"/>
          <c:order val="1"/>
          <c:tx>
            <c:strRef>
              <c:f>Sheet1!$A$2</c:f>
              <c:strCache>
                <c:ptCount val="1"/>
                <c:pt idx="0">
                  <c:v>pret iepriekšējo gadu</c:v>
                </c:pt>
              </c:strCache>
            </c:strRef>
          </c:tx>
          <c:spPr>
            <a:solidFill>
              <a:schemeClr val="accent1">
                <a:lumMod val="60000"/>
                <a:lumOff val="40000"/>
              </a:schemeClr>
            </a:solidFill>
            <a:ln>
              <a:solidFill>
                <a:schemeClr val="tx1"/>
              </a:solidFill>
            </a:ln>
            <a:effectLst/>
          </c:spPr>
          <c:invertIfNegative val="0"/>
          <c:dLbls>
            <c:dLbl>
              <c:idx val="0"/>
              <c:layout>
                <c:manualLayout>
                  <c:x val="0"/>
                  <c:y val="-0.1535767678163036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23F-45EB-A459-358768D91173}"/>
                </c:ext>
              </c:extLst>
            </c:dLbl>
            <c:dLbl>
              <c:idx val="1"/>
              <c:layout>
                <c:manualLayout>
                  <c:x val="9.8039215686274057E-3"/>
                  <c:y val="1.7583766941414454E-3"/>
                </c:manualLayout>
              </c:layout>
              <c:numFmt formatCode="#,##0.0" sourceLinked="0"/>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mn-lt"/>
                      <a:ea typeface="Arial"/>
                      <a:cs typeface="Arial"/>
                    </a:defRPr>
                  </a:pPr>
                  <a:endParaRPr lang="lv-LV"/>
                </a:p>
              </c:txPr>
              <c:dLblPos val="ct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1-B23F-45EB-A459-358768D91173}"/>
                </c:ext>
              </c:extLst>
            </c:dLbl>
            <c:dLbl>
              <c:idx val="2"/>
              <c:layout>
                <c:manualLayout>
                  <c:x val="-9.8039215686274508E-3"/>
                  <c:y val="-0.152762045095240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23F-45EB-A459-358768D91173}"/>
                </c:ext>
              </c:extLst>
            </c:dLbl>
            <c:dLbl>
              <c:idx val="3"/>
              <c:layout>
                <c:manualLayout>
                  <c:x val="0"/>
                  <c:y val="-0.11984159874752498"/>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23F-45EB-A459-358768D91173}"/>
                </c:ext>
              </c:extLst>
            </c:dLbl>
            <c:dLbl>
              <c:idx val="4"/>
              <c:layout>
                <c:manualLayout>
                  <c:x val="-1.7973648576028225E-16"/>
                  <c:y val="-0.1323012693588740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23F-45EB-A459-358768D91173}"/>
                </c:ext>
              </c:extLst>
            </c:dLbl>
            <c:numFmt formatCode="#,##0.0" sourceLinked="0"/>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mn-lt"/>
                    <a:ea typeface="Arial"/>
                    <a:cs typeface="Arial"/>
                  </a:defRPr>
                </a:pPr>
                <a:endParaRPr lang="lv-LV"/>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Sheet1!$B$1:$K$1</c:f>
              <c:numCache>
                <c:formatCode>0</c:formatCode>
                <c:ptCount val="5"/>
                <c:pt idx="0">
                  <c:v>2014</c:v>
                </c:pt>
                <c:pt idx="1">
                  <c:v>2015</c:v>
                </c:pt>
                <c:pt idx="2">
                  <c:v>2016</c:v>
                </c:pt>
                <c:pt idx="3">
                  <c:v>2017</c:v>
                </c:pt>
                <c:pt idx="4">
                  <c:v>2018</c:v>
                </c:pt>
              </c:numCache>
            </c:numRef>
          </c:cat>
          <c:val>
            <c:numRef>
              <c:f>Sheet1!$B$2:$K$2</c:f>
              <c:numCache>
                <c:formatCode>#,##0.#########</c:formatCode>
                <c:ptCount val="5"/>
                <c:pt idx="0">
                  <c:v>3.71</c:v>
                </c:pt>
                <c:pt idx="1">
                  <c:v>-3.68</c:v>
                </c:pt>
                <c:pt idx="2">
                  <c:v>3.75</c:v>
                </c:pt>
                <c:pt idx="3">
                  <c:v>1.92</c:v>
                </c:pt>
                <c:pt idx="4">
                  <c:v>2.84</c:v>
                </c:pt>
              </c:numCache>
            </c:numRef>
          </c:val>
          <c:extLst>
            <c:ext xmlns:c16="http://schemas.microsoft.com/office/drawing/2014/chart" uri="{C3380CC4-5D6E-409C-BE32-E72D297353CC}">
              <c16:uniqueId val="{00000005-B23F-45EB-A459-358768D91173}"/>
            </c:ext>
          </c:extLst>
        </c:ser>
        <c:dLbls>
          <c:showLegendKey val="0"/>
          <c:showVal val="0"/>
          <c:showCatName val="0"/>
          <c:showSerName val="0"/>
          <c:showPercent val="0"/>
          <c:showBubbleSize val="0"/>
        </c:dLbls>
        <c:gapWidth val="40"/>
        <c:overlap val="100"/>
        <c:axId val="274520384"/>
        <c:axId val="278072192"/>
      </c:barChart>
      <c:lineChart>
        <c:grouping val="standard"/>
        <c:varyColors val="0"/>
        <c:ser>
          <c:idx val="0"/>
          <c:order val="0"/>
          <c:tx>
            <c:strRef>
              <c:f>Sheet1!$A$3</c:f>
              <c:strCache>
                <c:ptCount val="1"/>
                <c:pt idx="0">
                  <c:v>5 gadu laikā</c:v>
                </c:pt>
              </c:strCache>
            </c:strRef>
          </c:tx>
          <c:spPr>
            <a:ln w="28575" cap="rnd" cmpd="sng" algn="ctr">
              <a:solidFill>
                <a:srgbClr val="C00000"/>
              </a:solidFill>
              <a:prstDash val="solid"/>
              <a:round/>
            </a:ln>
            <a:effectLst/>
          </c:spPr>
          <c:marker>
            <c:symbol val="none"/>
          </c:marker>
          <c:cat>
            <c:numRef>
              <c:f>Sheet1!$B$1:$K$1</c:f>
              <c:numCache>
                <c:formatCode>0</c:formatCode>
                <c:ptCount val="5"/>
                <c:pt idx="0">
                  <c:v>2014</c:v>
                </c:pt>
                <c:pt idx="1">
                  <c:v>2015</c:v>
                </c:pt>
                <c:pt idx="2">
                  <c:v>2016</c:v>
                </c:pt>
                <c:pt idx="3">
                  <c:v>2017</c:v>
                </c:pt>
                <c:pt idx="4">
                  <c:v>2018</c:v>
                </c:pt>
              </c:numCache>
            </c:numRef>
          </c:cat>
          <c:val>
            <c:numRef>
              <c:f>Sheet1!$B$3:$K$3</c:f>
              <c:numCache>
                <c:formatCode>#,##0.#########</c:formatCode>
                <c:ptCount val="5"/>
                <c:pt idx="0">
                  <c:v>11.98</c:v>
                </c:pt>
                <c:pt idx="1">
                  <c:v>13.52</c:v>
                </c:pt>
                <c:pt idx="2">
                  <c:v>10.220000000000001</c:v>
                </c:pt>
                <c:pt idx="3">
                  <c:v>8.1999999999999993</c:v>
                </c:pt>
                <c:pt idx="4">
                  <c:v>8.6300000000000008</c:v>
                </c:pt>
              </c:numCache>
            </c:numRef>
          </c:val>
          <c:smooth val="0"/>
          <c:extLst>
            <c:ext xmlns:c16="http://schemas.microsoft.com/office/drawing/2014/chart" uri="{C3380CC4-5D6E-409C-BE32-E72D297353CC}">
              <c16:uniqueId val="{00000006-B23F-45EB-A459-358768D91173}"/>
            </c:ext>
          </c:extLst>
        </c:ser>
        <c:dLbls>
          <c:showLegendKey val="0"/>
          <c:showVal val="0"/>
          <c:showCatName val="0"/>
          <c:showSerName val="0"/>
          <c:showPercent val="0"/>
          <c:showBubbleSize val="0"/>
        </c:dLbls>
        <c:marker val="1"/>
        <c:smooth val="0"/>
        <c:axId val="274520384"/>
        <c:axId val="278072192"/>
      </c:lineChart>
      <c:catAx>
        <c:axId val="274520384"/>
        <c:scaling>
          <c:orientation val="minMax"/>
        </c:scaling>
        <c:delete val="0"/>
        <c:axPos val="b"/>
        <c:numFmt formatCode="0" sourceLinked="1"/>
        <c:majorTickMark val="none"/>
        <c:minorTickMark val="none"/>
        <c:tickLblPos val="low"/>
        <c:spPr>
          <a:noFill/>
          <a:ln w="317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mn-lt"/>
                <a:ea typeface="Arial"/>
                <a:cs typeface="Arial"/>
              </a:defRPr>
            </a:pPr>
            <a:endParaRPr lang="lv-LV"/>
          </a:p>
        </c:txPr>
        <c:crossAx val="278072192"/>
        <c:crosses val="autoZero"/>
        <c:auto val="0"/>
        <c:lblAlgn val="ctr"/>
        <c:lblOffset val="100"/>
        <c:tickLblSkip val="1"/>
        <c:noMultiLvlLbl val="0"/>
      </c:catAx>
      <c:valAx>
        <c:axId val="278072192"/>
        <c:scaling>
          <c:orientation val="minMax"/>
          <c:max val="15"/>
          <c:min val="-5"/>
        </c:scaling>
        <c:delete val="0"/>
        <c:axPos val="l"/>
        <c:numFmt formatCode="0" sourceLinked="0"/>
        <c:majorTickMark val="out"/>
        <c:minorTickMark val="none"/>
        <c:tickLblPos val="nextTo"/>
        <c:spPr>
          <a:noFill/>
          <a:ln w="3175" cap="flat" cmpd="sng" algn="ctr">
            <a:noFill/>
            <a:prstDash val="solid"/>
            <a:round/>
          </a:ln>
          <a:effectLst/>
        </c:spPr>
        <c:txPr>
          <a:bodyPr rot="0" spcFirstLastPara="1" vertOverflow="ellipsis" wrap="square" anchor="ctr" anchorCtr="1"/>
          <a:lstStyle/>
          <a:p>
            <a:pPr>
              <a:defRPr sz="800" b="0" i="0" u="none" strike="noStrike" kern="1200" baseline="0">
                <a:solidFill>
                  <a:srgbClr val="000000"/>
                </a:solidFill>
                <a:latin typeface="+mn-lt"/>
                <a:ea typeface="Arial"/>
                <a:cs typeface="Arial"/>
              </a:defRPr>
            </a:pPr>
            <a:endParaRPr lang="lv-LV"/>
          </a:p>
        </c:txPr>
        <c:crossAx val="274520384"/>
        <c:crosses val="autoZero"/>
        <c:crossBetween val="between"/>
        <c:majorUnit val="5"/>
      </c:valAx>
      <c:spPr>
        <a:noFill/>
        <a:ln w="24631">
          <a:noFill/>
        </a:ln>
        <a:effectLst/>
      </c:spPr>
    </c:plotArea>
    <c:legend>
      <c:legendPos val="l"/>
      <c:layout>
        <c:manualLayout>
          <c:xMode val="edge"/>
          <c:yMode val="edge"/>
          <c:x val="0.44973907673305541"/>
          <c:y val="6.40594359695041E-2"/>
          <c:w val="0.51522695692450204"/>
          <c:h val="0.15261433949715561"/>
        </c:manualLayout>
      </c:layout>
      <c:overlay val="0"/>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mn-lt"/>
              <a:ea typeface="Arial"/>
              <a:cs typeface="Arial"/>
            </a:defRPr>
          </a:pPr>
          <a:endParaRPr lang="lv-LV"/>
        </a:p>
      </c:txPr>
    </c:legend>
    <c:plotVisOnly val="1"/>
    <c:dispBlanksAs val="gap"/>
    <c:showDLblsOverMax val="0"/>
  </c:chart>
  <c:spPr>
    <a:noFill/>
    <a:ln w="9525" cap="flat" cmpd="sng" algn="ctr">
      <a:noFill/>
      <a:prstDash val="solid"/>
      <a:round/>
    </a:ln>
    <a:effectLst/>
  </c:spPr>
  <c:txPr>
    <a:bodyPr/>
    <a:lstStyle/>
    <a:p>
      <a:pPr>
        <a:defRPr sz="800" b="0" i="0" u="none" strike="noStrike" baseline="0">
          <a:solidFill>
            <a:srgbClr val="000000"/>
          </a:solidFill>
          <a:latin typeface="+mn-lt"/>
          <a:ea typeface="Arial"/>
          <a:cs typeface="Arial"/>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555843005842566E-2"/>
          <c:y val="4.5148789453188065E-2"/>
          <c:w val="0.86940489109203134"/>
          <c:h val="0.86682193981853428"/>
        </c:manualLayout>
      </c:layout>
      <c:barChart>
        <c:barDir val="col"/>
        <c:grouping val="stacked"/>
        <c:varyColors val="0"/>
        <c:ser>
          <c:idx val="0"/>
          <c:order val="1"/>
          <c:tx>
            <c:strRef>
              <c:f>Sheet1!$C$1</c:f>
              <c:strCache>
                <c:ptCount val="1"/>
                <c:pt idx="0">
                  <c:v>Finanšu darbības</c:v>
                </c:pt>
              </c:strCache>
            </c:strRef>
          </c:tx>
          <c:spPr>
            <a:solidFill>
              <a:srgbClr val="4472C4">
                <a:lumMod val="75000"/>
              </a:srgbClr>
            </a:solidFill>
            <a:ln>
              <a:solidFill>
                <a:sysClr val="windowText" lastClr="000000"/>
              </a:solidFill>
            </a:ln>
          </c:spPr>
          <c:invertIfNegative val="0"/>
          <c:cat>
            <c:numRef>
              <c:f>Sheet1!$A$2:$A$14</c:f>
              <c:numCache>
                <c:formatCode>0</c:formatCode>
                <c:ptCount val="6"/>
                <c:pt idx="0" formatCode="General">
                  <c:v>2014</c:v>
                </c:pt>
                <c:pt idx="1">
                  <c:v>2015</c:v>
                </c:pt>
                <c:pt idx="2" formatCode="General">
                  <c:v>2016</c:v>
                </c:pt>
                <c:pt idx="3">
                  <c:v>2017</c:v>
                </c:pt>
                <c:pt idx="4">
                  <c:v>2018</c:v>
                </c:pt>
                <c:pt idx="5" formatCode="General">
                  <c:v>2019</c:v>
                </c:pt>
              </c:numCache>
            </c:numRef>
          </c:cat>
          <c:val>
            <c:numRef>
              <c:f>Sheet1!$C$2:$C$14</c:f>
              <c:numCache>
                <c:formatCode>0.0</c:formatCode>
                <c:ptCount val="6"/>
                <c:pt idx="0">
                  <c:v>2.2935922352096951</c:v>
                </c:pt>
                <c:pt idx="1">
                  <c:v>1.1176223527090705</c:v>
                </c:pt>
                <c:pt idx="2">
                  <c:v>-0.90804166677634779</c:v>
                </c:pt>
                <c:pt idx="3">
                  <c:v>1.3004783857320388</c:v>
                </c:pt>
                <c:pt idx="4">
                  <c:v>0.37627275558790702</c:v>
                </c:pt>
                <c:pt idx="5">
                  <c:v>0.20311596319501274</c:v>
                </c:pt>
              </c:numCache>
            </c:numRef>
          </c:val>
          <c:extLst>
            <c:ext xmlns:c16="http://schemas.microsoft.com/office/drawing/2014/chart" uri="{C3380CC4-5D6E-409C-BE32-E72D297353CC}">
              <c16:uniqueId val="{00000000-8773-47AC-9817-926D20182AC2}"/>
            </c:ext>
          </c:extLst>
        </c:ser>
        <c:ser>
          <c:idx val="2"/>
          <c:order val="2"/>
          <c:tx>
            <c:strRef>
              <c:f>Sheet1!$D$1</c:f>
              <c:strCache>
                <c:ptCount val="1"/>
                <c:pt idx="0">
                  <c:v>Reālais sektors</c:v>
                </c:pt>
              </c:strCache>
            </c:strRef>
          </c:tx>
          <c:spPr>
            <a:solidFill>
              <a:srgbClr val="4472C4">
                <a:lumMod val="40000"/>
                <a:lumOff val="60000"/>
              </a:srgbClr>
            </a:solidFill>
            <a:ln>
              <a:solidFill>
                <a:sysClr val="windowText" lastClr="000000"/>
              </a:solidFill>
            </a:ln>
          </c:spPr>
          <c:invertIfNegative val="0"/>
          <c:cat>
            <c:numRef>
              <c:f>Sheet1!$A$2:$A$14</c:f>
              <c:numCache>
                <c:formatCode>0</c:formatCode>
                <c:ptCount val="6"/>
                <c:pt idx="0" formatCode="General">
                  <c:v>2014</c:v>
                </c:pt>
                <c:pt idx="1">
                  <c:v>2015</c:v>
                </c:pt>
                <c:pt idx="2" formatCode="General">
                  <c:v>2016</c:v>
                </c:pt>
                <c:pt idx="3">
                  <c:v>2017</c:v>
                </c:pt>
                <c:pt idx="4">
                  <c:v>2018</c:v>
                </c:pt>
                <c:pt idx="5" formatCode="General">
                  <c:v>2019</c:v>
                </c:pt>
              </c:numCache>
            </c:numRef>
          </c:cat>
          <c:val>
            <c:numRef>
              <c:f>Sheet1!$D$2:$D$14</c:f>
              <c:numCache>
                <c:formatCode>0.0</c:formatCode>
                <c:ptCount val="6"/>
                <c:pt idx="0">
                  <c:v>0.55580073205724823</c:v>
                </c:pt>
                <c:pt idx="1">
                  <c:v>1.5885147773715025</c:v>
                </c:pt>
                <c:pt idx="2">
                  <c:v>1.8333531557389371</c:v>
                </c:pt>
                <c:pt idx="3">
                  <c:v>0.90492398433291132</c:v>
                </c:pt>
                <c:pt idx="4">
                  <c:v>2.5215746806603101</c:v>
                </c:pt>
                <c:pt idx="5">
                  <c:v>2.1101731411443994</c:v>
                </c:pt>
              </c:numCache>
            </c:numRef>
          </c:val>
          <c:extLst>
            <c:ext xmlns:c16="http://schemas.microsoft.com/office/drawing/2014/chart" uri="{C3380CC4-5D6E-409C-BE32-E72D297353CC}">
              <c16:uniqueId val="{00000001-8773-47AC-9817-926D20182AC2}"/>
            </c:ext>
          </c:extLst>
        </c:ser>
        <c:dLbls>
          <c:showLegendKey val="0"/>
          <c:showVal val="0"/>
          <c:showCatName val="0"/>
          <c:showSerName val="0"/>
          <c:showPercent val="0"/>
          <c:showBubbleSize val="0"/>
        </c:dLbls>
        <c:gapWidth val="40"/>
        <c:overlap val="100"/>
        <c:axId val="226400216"/>
        <c:axId val="226400608"/>
      </c:barChart>
      <c:lineChart>
        <c:grouping val="standard"/>
        <c:varyColors val="0"/>
        <c:ser>
          <c:idx val="1"/>
          <c:order val="0"/>
          <c:tx>
            <c:strRef>
              <c:f>Sheet1!$B$1</c:f>
              <c:strCache>
                <c:ptCount val="1"/>
                <c:pt idx="0">
                  <c:v>Kopā</c:v>
                </c:pt>
              </c:strCache>
            </c:strRef>
          </c:tx>
          <c:marker>
            <c:symbol val="none"/>
          </c:marker>
          <c:cat>
            <c:numRef>
              <c:f>Sheet1!$A$2:$A$14</c:f>
              <c:numCache>
                <c:formatCode>0</c:formatCode>
                <c:ptCount val="6"/>
                <c:pt idx="0" formatCode="General">
                  <c:v>2014</c:v>
                </c:pt>
                <c:pt idx="1">
                  <c:v>2015</c:v>
                </c:pt>
                <c:pt idx="2" formatCode="General">
                  <c:v>2016</c:v>
                </c:pt>
                <c:pt idx="3">
                  <c:v>2017</c:v>
                </c:pt>
                <c:pt idx="4">
                  <c:v>2018</c:v>
                </c:pt>
                <c:pt idx="5" formatCode="General">
                  <c:v>2019</c:v>
                </c:pt>
              </c:numCache>
            </c:numRef>
          </c:cat>
          <c:val>
            <c:numRef>
              <c:f>Sheet1!$B$2:$B$14</c:f>
              <c:numCache>
                <c:formatCode>0.0</c:formatCode>
                <c:ptCount val="6"/>
                <c:pt idx="0">
                  <c:v>2.8493929672669434</c:v>
                </c:pt>
                <c:pt idx="1">
                  <c:v>2.706137130080573</c:v>
                </c:pt>
                <c:pt idx="2">
                  <c:v>0.9253114889625893</c:v>
                </c:pt>
                <c:pt idx="3">
                  <c:v>2.2054023700649501</c:v>
                </c:pt>
                <c:pt idx="4">
                  <c:v>2.8978474362482172</c:v>
                </c:pt>
                <c:pt idx="5">
                  <c:v>2.3132891043394119</c:v>
                </c:pt>
              </c:numCache>
            </c:numRef>
          </c:val>
          <c:smooth val="0"/>
          <c:extLst>
            <c:ext xmlns:c16="http://schemas.microsoft.com/office/drawing/2014/chart" uri="{C3380CC4-5D6E-409C-BE32-E72D297353CC}">
              <c16:uniqueId val="{00000002-8773-47AC-9817-926D20182AC2}"/>
            </c:ext>
          </c:extLst>
        </c:ser>
        <c:dLbls>
          <c:showLegendKey val="0"/>
          <c:showVal val="0"/>
          <c:showCatName val="0"/>
          <c:showSerName val="0"/>
          <c:showPercent val="0"/>
          <c:showBubbleSize val="0"/>
        </c:dLbls>
        <c:marker val="1"/>
        <c:smooth val="0"/>
        <c:axId val="226400216"/>
        <c:axId val="226400608"/>
      </c:lineChart>
      <c:catAx>
        <c:axId val="226400216"/>
        <c:scaling>
          <c:orientation val="minMax"/>
        </c:scaling>
        <c:delete val="0"/>
        <c:axPos val="b"/>
        <c:numFmt formatCode="General" sourceLinked="1"/>
        <c:majorTickMark val="none"/>
        <c:minorTickMark val="none"/>
        <c:tickLblPos val="low"/>
        <c:spPr>
          <a:ln w="3175"/>
        </c:spPr>
        <c:txPr>
          <a:bodyPr rot="0" vert="horz"/>
          <a:lstStyle/>
          <a:p>
            <a:pPr>
              <a:defRPr/>
            </a:pPr>
            <a:endParaRPr lang="lv-LV"/>
          </a:p>
        </c:txPr>
        <c:crossAx val="226400608"/>
        <c:crosses val="autoZero"/>
        <c:auto val="0"/>
        <c:lblAlgn val="ctr"/>
        <c:lblOffset val="0"/>
        <c:tickLblSkip val="1"/>
        <c:noMultiLvlLbl val="1"/>
      </c:catAx>
      <c:valAx>
        <c:axId val="226400608"/>
        <c:scaling>
          <c:orientation val="minMax"/>
          <c:max val="4"/>
          <c:min val="-1"/>
        </c:scaling>
        <c:delete val="0"/>
        <c:axPos val="l"/>
        <c:numFmt formatCode="0" sourceLinked="0"/>
        <c:majorTickMark val="out"/>
        <c:minorTickMark val="none"/>
        <c:tickLblPos val="nextTo"/>
        <c:spPr>
          <a:ln w="3175">
            <a:noFill/>
          </a:ln>
        </c:spPr>
        <c:txPr>
          <a:bodyPr rot="0" vert="horz"/>
          <a:lstStyle/>
          <a:p>
            <a:pPr>
              <a:defRPr/>
            </a:pPr>
            <a:endParaRPr lang="lv-LV"/>
          </a:p>
        </c:txPr>
        <c:crossAx val="226400216"/>
        <c:crosses val="autoZero"/>
        <c:crossBetween val="between"/>
        <c:majorUnit val="1"/>
      </c:valAx>
      <c:spPr>
        <a:noFill/>
        <a:ln w="24631">
          <a:noFill/>
        </a:ln>
      </c:spPr>
    </c:plotArea>
    <c:legend>
      <c:legendPos val="l"/>
      <c:layout>
        <c:manualLayout>
          <c:xMode val="edge"/>
          <c:yMode val="edge"/>
          <c:x val="0.33345049868766402"/>
          <c:y val="5.5035536288301039E-3"/>
          <c:w val="0.54118005249343837"/>
          <c:h val="0.30599840750243296"/>
        </c:manualLayout>
      </c:layout>
      <c:overlay val="1"/>
    </c:legend>
    <c:plotVisOnly val="1"/>
    <c:dispBlanksAs val="gap"/>
    <c:showDLblsOverMax val="0"/>
  </c:chart>
  <c:spPr>
    <a:noFill/>
    <a:ln>
      <a:noFill/>
    </a:ln>
  </c:spPr>
  <c:txPr>
    <a:bodyPr/>
    <a:lstStyle/>
    <a:p>
      <a:pPr>
        <a:defRPr sz="800" b="0" i="0" u="none" strike="noStrike" baseline="0">
          <a:solidFill>
            <a:srgbClr val="000000"/>
          </a:solidFill>
          <a:latin typeface="Candara" panose="020E0502030303020204" pitchFamily="34" charset="0"/>
          <a:ea typeface="Arial"/>
          <a:cs typeface="Arial"/>
        </a:defRPr>
      </a:pPr>
      <a:endParaRPr lang="lv-LV"/>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365648493395582E-2"/>
          <c:y val="3.3086063277072274E-2"/>
          <c:w val="0.89054299013166094"/>
          <c:h val="0.87138613700926326"/>
        </c:manualLayout>
      </c:layout>
      <c:barChart>
        <c:barDir val="col"/>
        <c:grouping val="stacked"/>
        <c:varyColors val="0"/>
        <c:ser>
          <c:idx val="1"/>
          <c:order val="0"/>
          <c:tx>
            <c:strRef>
              <c:f>Sheet1!$B$1</c:f>
              <c:strCache>
                <c:ptCount val="1"/>
                <c:pt idx="0">
                  <c:v>Latvija</c:v>
                </c:pt>
              </c:strCache>
            </c:strRef>
          </c:tx>
          <c:spPr>
            <a:solidFill>
              <a:schemeClr val="accent2"/>
            </a:solidFill>
            <a:ln>
              <a:solidFill>
                <a:sysClr val="windowText" lastClr="000000"/>
              </a:solidFill>
            </a:ln>
            <a:effectLst/>
          </c:spPr>
          <c:invertIfNegative val="0"/>
          <c:cat>
            <c:numRef>
              <c:f>Sheet1!$A$2:$A$11</c:f>
              <c:numCache>
                <c:formatCode>0</c:formatCode>
                <c:ptCount val="6"/>
                <c:pt idx="0" formatCode="General">
                  <c:v>2014</c:v>
                </c:pt>
                <c:pt idx="1">
                  <c:v>2015</c:v>
                </c:pt>
                <c:pt idx="2">
                  <c:v>2016</c:v>
                </c:pt>
                <c:pt idx="3">
                  <c:v>2017</c:v>
                </c:pt>
                <c:pt idx="4">
                  <c:v>2018</c:v>
                </c:pt>
                <c:pt idx="5">
                  <c:v>2019</c:v>
                </c:pt>
              </c:numCache>
            </c:numRef>
          </c:cat>
          <c:val>
            <c:numRef>
              <c:f>Sheet1!$B$2:$B$11</c:f>
              <c:numCache>
                <c:formatCode>0.0</c:formatCode>
                <c:ptCount val="6"/>
                <c:pt idx="0">
                  <c:v>0.67400000000000004</c:v>
                </c:pt>
                <c:pt idx="1">
                  <c:v>0.66100000000000003</c:v>
                </c:pt>
                <c:pt idx="2">
                  <c:v>0.23200000000000001</c:v>
                </c:pt>
                <c:pt idx="3">
                  <c:v>0.59099999999999997</c:v>
                </c:pt>
                <c:pt idx="4">
                  <c:v>0.84199999999999997</c:v>
                </c:pt>
                <c:pt idx="5">
                  <c:v>0.70499999999999996</c:v>
                </c:pt>
              </c:numCache>
            </c:numRef>
          </c:val>
          <c:extLst>
            <c:ext xmlns:c16="http://schemas.microsoft.com/office/drawing/2014/chart" uri="{C3380CC4-5D6E-409C-BE32-E72D297353CC}">
              <c16:uniqueId val="{00000000-BC67-4039-AA46-6CE4C507BE8E}"/>
            </c:ext>
          </c:extLst>
        </c:ser>
        <c:ser>
          <c:idx val="0"/>
          <c:order val="1"/>
          <c:tx>
            <c:strRef>
              <c:f>Sheet1!$C$1</c:f>
              <c:strCache>
                <c:ptCount val="1"/>
                <c:pt idx="0">
                  <c:v>Igaunija</c:v>
                </c:pt>
              </c:strCache>
            </c:strRef>
          </c:tx>
          <c:spPr>
            <a:solidFill>
              <a:schemeClr val="accent1"/>
            </a:solidFill>
            <a:ln>
              <a:solidFill>
                <a:sysClr val="windowText" lastClr="000000"/>
              </a:solidFill>
            </a:ln>
            <a:effectLst/>
          </c:spPr>
          <c:invertIfNegative val="0"/>
          <c:cat>
            <c:numRef>
              <c:f>Sheet1!$A$2:$A$11</c:f>
              <c:numCache>
                <c:formatCode>0</c:formatCode>
                <c:ptCount val="6"/>
                <c:pt idx="0" formatCode="General">
                  <c:v>2014</c:v>
                </c:pt>
                <c:pt idx="1">
                  <c:v>2015</c:v>
                </c:pt>
                <c:pt idx="2">
                  <c:v>2016</c:v>
                </c:pt>
                <c:pt idx="3">
                  <c:v>2017</c:v>
                </c:pt>
                <c:pt idx="4">
                  <c:v>2018</c:v>
                </c:pt>
                <c:pt idx="5">
                  <c:v>2019</c:v>
                </c:pt>
              </c:numCache>
            </c:numRef>
          </c:cat>
          <c:val>
            <c:numRef>
              <c:f>Sheet1!$C$2:$C$11</c:f>
              <c:numCache>
                <c:formatCode>0.0</c:formatCode>
                <c:ptCount val="6"/>
                <c:pt idx="0">
                  <c:v>0.51529999999999998</c:v>
                </c:pt>
                <c:pt idx="1">
                  <c:v>3.2000000000000001E-2</c:v>
                </c:pt>
                <c:pt idx="2">
                  <c:v>0.95689999999999997</c:v>
                </c:pt>
                <c:pt idx="3">
                  <c:v>1.7004000000000001</c:v>
                </c:pt>
                <c:pt idx="4">
                  <c:v>1.2584000000000002</c:v>
                </c:pt>
                <c:pt idx="5">
                  <c:v>2.7195999999999998</c:v>
                </c:pt>
              </c:numCache>
            </c:numRef>
          </c:val>
          <c:extLst>
            <c:ext xmlns:c16="http://schemas.microsoft.com/office/drawing/2014/chart" uri="{C3380CC4-5D6E-409C-BE32-E72D297353CC}">
              <c16:uniqueId val="{00000001-BC67-4039-AA46-6CE4C507BE8E}"/>
            </c:ext>
          </c:extLst>
        </c:ser>
        <c:ser>
          <c:idx val="2"/>
          <c:order val="2"/>
          <c:tx>
            <c:strRef>
              <c:f>Sheet1!$D$1</c:f>
              <c:strCache>
                <c:ptCount val="1"/>
                <c:pt idx="0">
                  <c:v>Lietuva</c:v>
                </c:pt>
              </c:strCache>
            </c:strRef>
          </c:tx>
          <c:spPr>
            <a:solidFill>
              <a:schemeClr val="accent3"/>
            </a:solidFill>
            <a:ln>
              <a:solidFill>
                <a:sysClr val="windowText" lastClr="000000"/>
              </a:solidFill>
            </a:ln>
            <a:effectLst/>
          </c:spPr>
          <c:invertIfNegative val="0"/>
          <c:cat>
            <c:numRef>
              <c:f>Sheet1!$A$2:$A$11</c:f>
              <c:numCache>
                <c:formatCode>0</c:formatCode>
                <c:ptCount val="6"/>
                <c:pt idx="0" formatCode="General">
                  <c:v>2014</c:v>
                </c:pt>
                <c:pt idx="1">
                  <c:v>2015</c:v>
                </c:pt>
                <c:pt idx="2">
                  <c:v>2016</c:v>
                </c:pt>
                <c:pt idx="3">
                  <c:v>2017</c:v>
                </c:pt>
                <c:pt idx="4">
                  <c:v>2018</c:v>
                </c:pt>
                <c:pt idx="5">
                  <c:v>2019</c:v>
                </c:pt>
              </c:numCache>
            </c:numRef>
          </c:cat>
          <c:val>
            <c:numRef>
              <c:f>Sheet1!$D$2:$D$11</c:f>
              <c:numCache>
                <c:formatCode>0.0</c:formatCode>
                <c:ptCount val="6"/>
                <c:pt idx="0">
                  <c:v>-0.13795999999999997</c:v>
                </c:pt>
                <c:pt idx="1">
                  <c:v>0.94989000000000001</c:v>
                </c:pt>
                <c:pt idx="2">
                  <c:v>0.39427999999999996</c:v>
                </c:pt>
                <c:pt idx="3">
                  <c:v>0.91143000000000007</c:v>
                </c:pt>
                <c:pt idx="4">
                  <c:v>0.92601000000000011</c:v>
                </c:pt>
                <c:pt idx="5">
                  <c:v>0.99299999999999999</c:v>
                </c:pt>
              </c:numCache>
            </c:numRef>
          </c:val>
          <c:extLst>
            <c:ext xmlns:c16="http://schemas.microsoft.com/office/drawing/2014/chart" uri="{C3380CC4-5D6E-409C-BE32-E72D297353CC}">
              <c16:uniqueId val="{00000002-BC67-4039-AA46-6CE4C507BE8E}"/>
            </c:ext>
          </c:extLst>
        </c:ser>
        <c:dLbls>
          <c:showLegendKey val="0"/>
          <c:showVal val="0"/>
          <c:showCatName val="0"/>
          <c:showSerName val="0"/>
          <c:showPercent val="0"/>
          <c:showBubbleSize val="0"/>
        </c:dLbls>
        <c:gapWidth val="40"/>
        <c:overlap val="100"/>
        <c:axId val="226400216"/>
        <c:axId val="226400608"/>
      </c:barChart>
      <c:catAx>
        <c:axId val="226400216"/>
        <c:scaling>
          <c:orientation val="minMax"/>
        </c:scaling>
        <c:delete val="0"/>
        <c:axPos val="b"/>
        <c:numFmt formatCode="General" sourceLinked="1"/>
        <c:majorTickMark val="none"/>
        <c:minorTickMark val="none"/>
        <c:tickLblPos val="low"/>
        <c:spPr>
          <a:noFill/>
          <a:ln w="317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Candara" panose="020E0502030303020204" pitchFamily="34" charset="0"/>
                <a:ea typeface="Arial"/>
                <a:cs typeface="Arial"/>
              </a:defRPr>
            </a:pPr>
            <a:endParaRPr lang="lv-LV"/>
          </a:p>
        </c:txPr>
        <c:crossAx val="226400608"/>
        <c:crosses val="autoZero"/>
        <c:auto val="0"/>
        <c:lblAlgn val="ctr"/>
        <c:lblOffset val="0"/>
        <c:tickLblSkip val="1"/>
        <c:noMultiLvlLbl val="1"/>
      </c:catAx>
      <c:valAx>
        <c:axId val="226400608"/>
        <c:scaling>
          <c:orientation val="minMax"/>
          <c:max val="5"/>
          <c:min val="0"/>
        </c:scaling>
        <c:delete val="0"/>
        <c:axPos val="l"/>
        <c:numFmt formatCode="0.0" sourceLinked="0"/>
        <c:majorTickMark val="out"/>
        <c:minorTickMark val="none"/>
        <c:tickLblPos val="nextTo"/>
        <c:spPr>
          <a:noFill/>
          <a:ln w="3175" cap="flat" cmpd="sng" algn="ctr">
            <a:noFill/>
            <a:prstDash val="solid"/>
            <a:round/>
          </a:ln>
          <a:effectLst/>
        </c:spPr>
        <c:txPr>
          <a:bodyPr rot="0" spcFirstLastPara="1" vertOverflow="ellipsis" wrap="square" anchor="ctr" anchorCtr="1"/>
          <a:lstStyle/>
          <a:p>
            <a:pPr>
              <a:defRPr sz="800" b="0" i="0" u="none" strike="noStrike" kern="1200" baseline="0">
                <a:solidFill>
                  <a:srgbClr val="000000"/>
                </a:solidFill>
                <a:latin typeface="Candara" panose="020E0502030303020204" pitchFamily="34" charset="0"/>
                <a:ea typeface="Arial"/>
                <a:cs typeface="Arial"/>
              </a:defRPr>
            </a:pPr>
            <a:endParaRPr lang="lv-LV"/>
          </a:p>
        </c:txPr>
        <c:crossAx val="226400216"/>
        <c:crosses val="autoZero"/>
        <c:crossBetween val="between"/>
        <c:majorUnit val="1"/>
      </c:valAx>
      <c:spPr>
        <a:noFill/>
        <a:ln w="24631">
          <a:noFill/>
        </a:ln>
        <a:effectLst/>
      </c:spPr>
    </c:plotArea>
    <c:legend>
      <c:legendPos val="l"/>
      <c:layout>
        <c:manualLayout>
          <c:xMode val="edge"/>
          <c:yMode val="edge"/>
          <c:x val="0.23414637620772302"/>
          <c:y val="7.566417473323038E-2"/>
          <c:w val="0.25061872227382825"/>
          <c:h val="0.23930664209461322"/>
        </c:manualLayout>
      </c:layout>
      <c:overlay val="1"/>
      <c:spPr>
        <a:noFill/>
        <a:ln>
          <a:noFill/>
        </a:ln>
        <a:effectLst/>
      </c:spPr>
      <c:txPr>
        <a:bodyPr rot="0" spcFirstLastPara="1" vertOverflow="ellipsis" vert="horz" wrap="square" anchor="ctr" anchorCtr="1"/>
        <a:lstStyle/>
        <a:p>
          <a:pPr>
            <a:defRPr sz="800" b="0" i="0" u="none" strike="noStrike" kern="1200" baseline="0">
              <a:solidFill>
                <a:srgbClr val="000000"/>
              </a:solidFill>
              <a:latin typeface="Candara" panose="020E0502030303020204" pitchFamily="34" charset="0"/>
              <a:ea typeface="Arial"/>
              <a:cs typeface="Arial"/>
            </a:defRPr>
          </a:pPr>
          <a:endParaRPr lang="lv-LV"/>
        </a:p>
      </c:txPr>
    </c:legend>
    <c:plotVisOnly val="1"/>
    <c:dispBlanksAs val="gap"/>
    <c:showDLblsOverMax val="0"/>
  </c:chart>
  <c:spPr>
    <a:noFill/>
    <a:ln w="9525" cap="flat" cmpd="sng" algn="ctr">
      <a:noFill/>
      <a:prstDash val="solid"/>
      <a:round/>
    </a:ln>
    <a:effectLst/>
  </c:spPr>
  <c:txPr>
    <a:bodyPr/>
    <a:lstStyle/>
    <a:p>
      <a:pPr>
        <a:defRPr sz="800" b="0" i="0" u="none" strike="noStrike" baseline="0">
          <a:solidFill>
            <a:srgbClr val="000000"/>
          </a:solidFill>
          <a:latin typeface="Candara" panose="020E0502030303020204" pitchFamily="34" charset="0"/>
          <a:ea typeface="Arial"/>
          <a:cs typeface="Arial"/>
        </a:defRPr>
      </a:pPr>
      <a:endParaRPr lang="lv-LV"/>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555843005842566E-2"/>
          <c:y val="4.5148789453188065E-2"/>
          <c:w val="0.86940489109203134"/>
          <c:h val="0.86682193981853428"/>
        </c:manualLayout>
      </c:layout>
      <c:lineChart>
        <c:grouping val="standard"/>
        <c:varyColors val="0"/>
        <c:ser>
          <c:idx val="1"/>
          <c:order val="0"/>
          <c:tx>
            <c:strRef>
              <c:f>Sheet1!$B$1</c:f>
              <c:strCache>
                <c:ptCount val="1"/>
                <c:pt idx="0">
                  <c:v>Latvija</c:v>
                </c:pt>
              </c:strCache>
            </c:strRef>
          </c:tx>
          <c:spPr>
            <a:ln w="22225">
              <a:solidFill>
                <a:srgbClr val="C00000"/>
              </a:solidFill>
            </a:ln>
          </c:spPr>
          <c:marker>
            <c:symbol val="none"/>
          </c:marker>
          <c:cat>
            <c:numRef>
              <c:f>Sheet1!$A$2:$A$14</c:f>
              <c:numCache>
                <c:formatCode>0</c:formatCode>
                <c:ptCount val="6"/>
                <c:pt idx="0" formatCode="General">
                  <c:v>2014</c:v>
                </c:pt>
                <c:pt idx="1">
                  <c:v>2015</c:v>
                </c:pt>
                <c:pt idx="2" formatCode="General">
                  <c:v>2016</c:v>
                </c:pt>
                <c:pt idx="3">
                  <c:v>2017</c:v>
                </c:pt>
                <c:pt idx="4">
                  <c:v>2018</c:v>
                </c:pt>
                <c:pt idx="5" formatCode="General">
                  <c:v>2019</c:v>
                </c:pt>
              </c:numCache>
            </c:numRef>
          </c:cat>
          <c:val>
            <c:numRef>
              <c:f>Sheet1!$B$2:$B$14</c:f>
              <c:numCache>
                <c:formatCode>0</c:formatCode>
                <c:ptCount val="6"/>
                <c:pt idx="0">
                  <c:v>739.33333333333337</c:v>
                </c:pt>
                <c:pt idx="1">
                  <c:v>671.66666666666663</c:v>
                </c:pt>
                <c:pt idx="2">
                  <c:v>523</c:v>
                </c:pt>
                <c:pt idx="3">
                  <c:v>495.33333333333331</c:v>
                </c:pt>
                <c:pt idx="4">
                  <c:v>555.33333333333337</c:v>
                </c:pt>
                <c:pt idx="5">
                  <c:v>713</c:v>
                </c:pt>
              </c:numCache>
            </c:numRef>
          </c:val>
          <c:smooth val="0"/>
          <c:extLst>
            <c:ext xmlns:c16="http://schemas.microsoft.com/office/drawing/2014/chart" uri="{C3380CC4-5D6E-409C-BE32-E72D297353CC}">
              <c16:uniqueId val="{00000000-BAC7-433D-A38D-13571323956D}"/>
            </c:ext>
          </c:extLst>
        </c:ser>
        <c:ser>
          <c:idx val="0"/>
          <c:order val="1"/>
          <c:tx>
            <c:strRef>
              <c:f>Sheet1!$C$1</c:f>
              <c:strCache>
                <c:ptCount val="1"/>
                <c:pt idx="0">
                  <c:v>Lietuva</c:v>
                </c:pt>
              </c:strCache>
            </c:strRef>
          </c:tx>
          <c:spPr>
            <a:ln w="12700">
              <a:solidFill>
                <a:srgbClr val="70AD47">
                  <a:lumMod val="50000"/>
                </a:srgbClr>
              </a:solidFill>
              <a:prstDash val="solid"/>
            </a:ln>
          </c:spPr>
          <c:marker>
            <c:symbol val="none"/>
          </c:marker>
          <c:cat>
            <c:numRef>
              <c:f>Sheet1!$A$2:$A$14</c:f>
              <c:numCache>
                <c:formatCode>0</c:formatCode>
                <c:ptCount val="6"/>
                <c:pt idx="0" formatCode="General">
                  <c:v>2014</c:v>
                </c:pt>
                <c:pt idx="1">
                  <c:v>2015</c:v>
                </c:pt>
                <c:pt idx="2" formatCode="General">
                  <c:v>2016</c:v>
                </c:pt>
                <c:pt idx="3">
                  <c:v>2017</c:v>
                </c:pt>
                <c:pt idx="4">
                  <c:v>2018</c:v>
                </c:pt>
                <c:pt idx="5" formatCode="General">
                  <c:v>2019</c:v>
                </c:pt>
              </c:numCache>
            </c:numRef>
          </c:cat>
          <c:val>
            <c:numRef>
              <c:f>Sheet1!$C$2:$C$14</c:f>
              <c:numCache>
                <c:formatCode>0</c:formatCode>
                <c:ptCount val="6"/>
                <c:pt idx="0">
                  <c:v>292.19666666666666</c:v>
                </c:pt>
                <c:pt idx="1">
                  <c:v>400.88333333333338</c:v>
                </c:pt>
                <c:pt idx="2">
                  <c:v>402.07</c:v>
                </c:pt>
                <c:pt idx="3">
                  <c:v>751.86666666666679</c:v>
                </c:pt>
                <c:pt idx="4">
                  <c:v>743.90666666666675</c:v>
                </c:pt>
                <c:pt idx="5">
                  <c:v>902.86</c:v>
                </c:pt>
              </c:numCache>
            </c:numRef>
          </c:val>
          <c:smooth val="0"/>
          <c:extLst>
            <c:ext xmlns:c16="http://schemas.microsoft.com/office/drawing/2014/chart" uri="{C3380CC4-5D6E-409C-BE32-E72D297353CC}">
              <c16:uniqueId val="{00000001-BAC7-433D-A38D-13571323956D}"/>
            </c:ext>
          </c:extLst>
        </c:ser>
        <c:ser>
          <c:idx val="2"/>
          <c:order val="2"/>
          <c:tx>
            <c:strRef>
              <c:f>Sheet1!$D$1</c:f>
              <c:strCache>
                <c:ptCount val="1"/>
                <c:pt idx="0">
                  <c:v>Igaunija</c:v>
                </c:pt>
              </c:strCache>
            </c:strRef>
          </c:tx>
          <c:spPr>
            <a:ln w="12700">
              <a:solidFill>
                <a:srgbClr val="4472C4">
                  <a:lumMod val="75000"/>
                </a:srgbClr>
              </a:solidFill>
              <a:prstDash val="solid"/>
            </a:ln>
          </c:spPr>
          <c:marker>
            <c:symbol val="none"/>
          </c:marker>
          <c:cat>
            <c:numRef>
              <c:f>Sheet1!$A$2:$A$14</c:f>
              <c:numCache>
                <c:formatCode>0</c:formatCode>
                <c:ptCount val="6"/>
                <c:pt idx="0" formatCode="General">
                  <c:v>2014</c:v>
                </c:pt>
                <c:pt idx="1">
                  <c:v>2015</c:v>
                </c:pt>
                <c:pt idx="2" formatCode="General">
                  <c:v>2016</c:v>
                </c:pt>
                <c:pt idx="3">
                  <c:v>2017</c:v>
                </c:pt>
                <c:pt idx="4">
                  <c:v>2018</c:v>
                </c:pt>
                <c:pt idx="5" formatCode="General">
                  <c:v>2019</c:v>
                </c:pt>
              </c:numCache>
            </c:numRef>
          </c:cat>
          <c:val>
            <c:numRef>
              <c:f>Sheet1!$D$2:$D$14</c:f>
              <c:numCache>
                <c:formatCode>0</c:formatCode>
                <c:ptCount val="6"/>
                <c:pt idx="0">
                  <c:v>771.29999999999984</c:v>
                </c:pt>
                <c:pt idx="1">
                  <c:v>375.9666666666667</c:v>
                </c:pt>
                <c:pt idx="2">
                  <c:v>501.39999999999992</c:v>
                </c:pt>
                <c:pt idx="3">
                  <c:v>896.43333333333339</c:v>
                </c:pt>
                <c:pt idx="4">
                  <c:v>1305.2333333333333</c:v>
                </c:pt>
                <c:pt idx="5">
                  <c:v>1892.8</c:v>
                </c:pt>
              </c:numCache>
            </c:numRef>
          </c:val>
          <c:smooth val="0"/>
          <c:extLst>
            <c:ext xmlns:c16="http://schemas.microsoft.com/office/drawing/2014/chart" uri="{C3380CC4-5D6E-409C-BE32-E72D297353CC}">
              <c16:uniqueId val="{00000002-BAC7-433D-A38D-13571323956D}"/>
            </c:ext>
          </c:extLst>
        </c:ser>
        <c:dLbls>
          <c:showLegendKey val="0"/>
          <c:showVal val="0"/>
          <c:showCatName val="0"/>
          <c:showSerName val="0"/>
          <c:showPercent val="0"/>
          <c:showBubbleSize val="0"/>
        </c:dLbls>
        <c:smooth val="0"/>
        <c:axId val="226400216"/>
        <c:axId val="226400608"/>
      </c:lineChart>
      <c:catAx>
        <c:axId val="226400216"/>
        <c:scaling>
          <c:orientation val="minMax"/>
        </c:scaling>
        <c:delete val="0"/>
        <c:axPos val="b"/>
        <c:numFmt formatCode="General" sourceLinked="1"/>
        <c:majorTickMark val="none"/>
        <c:minorTickMark val="none"/>
        <c:tickLblPos val="low"/>
        <c:spPr>
          <a:ln w="3175"/>
        </c:spPr>
        <c:txPr>
          <a:bodyPr rot="0" vert="horz"/>
          <a:lstStyle/>
          <a:p>
            <a:pPr>
              <a:defRPr/>
            </a:pPr>
            <a:endParaRPr lang="lv-LV"/>
          </a:p>
        </c:txPr>
        <c:crossAx val="226400608"/>
        <c:crosses val="autoZero"/>
        <c:auto val="0"/>
        <c:lblAlgn val="ctr"/>
        <c:lblOffset val="0"/>
        <c:tickLblSkip val="1"/>
        <c:noMultiLvlLbl val="1"/>
      </c:catAx>
      <c:valAx>
        <c:axId val="226400608"/>
        <c:scaling>
          <c:orientation val="minMax"/>
          <c:max val="2000"/>
          <c:min val="-1"/>
        </c:scaling>
        <c:delete val="0"/>
        <c:axPos val="l"/>
        <c:numFmt formatCode="0" sourceLinked="0"/>
        <c:majorTickMark val="out"/>
        <c:minorTickMark val="none"/>
        <c:tickLblPos val="nextTo"/>
        <c:spPr>
          <a:ln w="3175">
            <a:noFill/>
          </a:ln>
        </c:spPr>
        <c:txPr>
          <a:bodyPr rot="0" vert="horz"/>
          <a:lstStyle/>
          <a:p>
            <a:pPr>
              <a:defRPr/>
            </a:pPr>
            <a:endParaRPr lang="lv-LV"/>
          </a:p>
        </c:txPr>
        <c:crossAx val="226400216"/>
        <c:crosses val="autoZero"/>
        <c:crossBetween val="between"/>
        <c:majorUnit val="500"/>
      </c:valAx>
      <c:spPr>
        <a:noFill/>
        <a:ln w="24631">
          <a:noFill/>
        </a:ln>
      </c:spPr>
    </c:plotArea>
    <c:legend>
      <c:legendPos val="l"/>
      <c:layout>
        <c:manualLayout>
          <c:xMode val="edge"/>
          <c:yMode val="edge"/>
          <c:x val="0.33345049868766402"/>
          <c:y val="5.5035536288301039E-3"/>
          <c:w val="0.54118005249343837"/>
          <c:h val="0.30599840750243296"/>
        </c:manualLayout>
      </c:layout>
      <c:overlay val="1"/>
    </c:legend>
    <c:plotVisOnly val="1"/>
    <c:dispBlanksAs val="gap"/>
    <c:showDLblsOverMax val="0"/>
  </c:chart>
  <c:spPr>
    <a:noFill/>
    <a:ln>
      <a:noFill/>
    </a:ln>
  </c:spPr>
  <c:txPr>
    <a:bodyPr/>
    <a:lstStyle/>
    <a:p>
      <a:pPr>
        <a:defRPr sz="800" b="0" i="0" u="none" strike="noStrike" baseline="0">
          <a:solidFill>
            <a:srgbClr val="000000"/>
          </a:solidFill>
          <a:latin typeface="Candara" panose="020E0502030303020204" pitchFamily="34" charset="0"/>
          <a:ea typeface="Arial"/>
          <a:cs typeface="Arial"/>
        </a:defRPr>
      </a:pPr>
      <a:endParaRPr lang="lv-LV"/>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365648493395582E-2"/>
          <c:y val="3.3086063277072274E-2"/>
          <c:w val="0.89054299013166094"/>
          <c:h val="0.87138613700926326"/>
        </c:manualLayout>
      </c:layout>
      <c:lineChart>
        <c:grouping val="standard"/>
        <c:varyColors val="0"/>
        <c:ser>
          <c:idx val="1"/>
          <c:order val="0"/>
          <c:tx>
            <c:strRef>
              <c:f>Sheet1!$B$1</c:f>
              <c:strCache>
                <c:ptCount val="1"/>
                <c:pt idx="0">
                  <c:v>Latvija</c:v>
                </c:pt>
              </c:strCache>
            </c:strRef>
          </c:tx>
          <c:spPr>
            <a:ln w="19050" cap="rnd" cmpd="sng" algn="ctr">
              <a:solidFill>
                <a:srgbClr val="C00000"/>
              </a:solidFill>
              <a:prstDash val="solid"/>
              <a:round/>
            </a:ln>
            <a:effectLst/>
          </c:spPr>
          <c:marker>
            <c:spPr>
              <a:solidFill>
                <a:sysClr val="window" lastClr="FFFFFF"/>
              </a:solidFill>
              <a:ln w="9525" cap="flat" cmpd="sng" algn="ctr">
                <a:solidFill>
                  <a:sysClr val="windowText" lastClr="000000"/>
                </a:solidFill>
                <a:prstDash val="solid"/>
                <a:round/>
              </a:ln>
              <a:effectLst/>
            </c:spPr>
          </c:marke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0000"/>
                    </a:solidFill>
                    <a:latin typeface="Candara" panose="020E0502030303020204" pitchFamily="34" charset="0"/>
                    <a:ea typeface="Arial"/>
                    <a:cs typeface="Arial"/>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shade val="95000"/>
                          <a:satMod val="105000"/>
                        </a:schemeClr>
                      </a:solidFill>
                      <a:prstDash val="solid"/>
                      <a:round/>
                    </a:ln>
                    <a:effectLst/>
                  </c:spPr>
                </c15:leaderLines>
              </c:ext>
            </c:extLst>
          </c:dLbls>
          <c:cat>
            <c:numRef>
              <c:f>Sheet1!$A$2:$A$11</c:f>
              <c:numCache>
                <c:formatCode>0</c:formatCode>
                <c:ptCount val="6"/>
                <c:pt idx="0" formatCode="General">
                  <c:v>2014</c:v>
                </c:pt>
                <c:pt idx="1">
                  <c:v>2015</c:v>
                </c:pt>
                <c:pt idx="2">
                  <c:v>2016</c:v>
                </c:pt>
                <c:pt idx="3">
                  <c:v>2017</c:v>
                </c:pt>
                <c:pt idx="4">
                  <c:v>2018</c:v>
                </c:pt>
                <c:pt idx="5">
                  <c:v>2019</c:v>
                </c:pt>
              </c:numCache>
            </c:numRef>
          </c:cat>
          <c:val>
            <c:numRef>
              <c:f>Sheet1!$B$2:$B$11</c:f>
              <c:numCache>
                <c:formatCode>0.0</c:formatCode>
                <c:ptCount val="6"/>
                <c:pt idx="0">
                  <c:v>1.3823791482170036</c:v>
                </c:pt>
                <c:pt idx="1">
                  <c:v>1.5682312140633603</c:v>
                </c:pt>
                <c:pt idx="2">
                  <c:v>1.2458173040597531</c:v>
                </c:pt>
                <c:pt idx="3">
                  <c:v>0.79056531381857253</c:v>
                </c:pt>
                <c:pt idx="4">
                  <c:v>0.73472993550664456</c:v>
                </c:pt>
                <c:pt idx="5">
                  <c:v>0.70651004291188391</c:v>
                </c:pt>
              </c:numCache>
            </c:numRef>
          </c:val>
          <c:smooth val="0"/>
          <c:extLst>
            <c:ext xmlns:c16="http://schemas.microsoft.com/office/drawing/2014/chart" uri="{C3380CC4-5D6E-409C-BE32-E72D297353CC}">
              <c16:uniqueId val="{00000000-057F-4BE8-97CA-D41C000F675E}"/>
            </c:ext>
          </c:extLst>
        </c:ser>
        <c:dLbls>
          <c:showLegendKey val="0"/>
          <c:showVal val="0"/>
          <c:showCatName val="0"/>
          <c:showSerName val="0"/>
          <c:showPercent val="0"/>
          <c:showBubbleSize val="0"/>
        </c:dLbls>
        <c:marker val="1"/>
        <c:smooth val="0"/>
        <c:axId val="226400216"/>
        <c:axId val="226400608"/>
      </c:lineChart>
      <c:catAx>
        <c:axId val="226400216"/>
        <c:scaling>
          <c:orientation val="minMax"/>
        </c:scaling>
        <c:delete val="0"/>
        <c:axPos val="b"/>
        <c:numFmt formatCode="General" sourceLinked="1"/>
        <c:majorTickMark val="none"/>
        <c:minorTickMark val="none"/>
        <c:tickLblPos val="low"/>
        <c:spPr>
          <a:noFill/>
          <a:ln w="3175" cap="flat" cmpd="sng" algn="ctr">
            <a:solidFill>
              <a:schemeClr val="tx1">
                <a:tint val="75000"/>
                <a:shade val="95000"/>
                <a:satMod val="105000"/>
              </a:schemeClr>
            </a:solidFill>
            <a:prstDash val="solid"/>
            <a:round/>
          </a:ln>
          <a:effectLst/>
        </c:spPr>
        <c:txPr>
          <a:bodyPr rot="0" spcFirstLastPara="1" vertOverflow="ellipsis" wrap="square" anchor="ctr" anchorCtr="1"/>
          <a:lstStyle/>
          <a:p>
            <a:pPr>
              <a:defRPr sz="800" b="0" i="0" u="none" strike="noStrike" kern="1200" baseline="0">
                <a:solidFill>
                  <a:srgbClr val="000000"/>
                </a:solidFill>
                <a:latin typeface="Candara" panose="020E0502030303020204" pitchFamily="34" charset="0"/>
                <a:ea typeface="Arial"/>
                <a:cs typeface="Arial"/>
              </a:defRPr>
            </a:pPr>
            <a:endParaRPr lang="lv-LV"/>
          </a:p>
        </c:txPr>
        <c:crossAx val="226400608"/>
        <c:crosses val="autoZero"/>
        <c:auto val="0"/>
        <c:lblAlgn val="ctr"/>
        <c:lblOffset val="0"/>
        <c:noMultiLvlLbl val="1"/>
      </c:catAx>
      <c:valAx>
        <c:axId val="226400608"/>
        <c:scaling>
          <c:orientation val="minMax"/>
          <c:max val="2"/>
          <c:min val="0"/>
        </c:scaling>
        <c:delete val="0"/>
        <c:axPos val="l"/>
        <c:numFmt formatCode="0.0" sourceLinked="0"/>
        <c:majorTickMark val="out"/>
        <c:minorTickMark val="none"/>
        <c:tickLblPos val="nextTo"/>
        <c:spPr>
          <a:noFill/>
          <a:ln w="3175" cap="flat" cmpd="sng" algn="ctr">
            <a:noFill/>
            <a:prstDash val="solid"/>
            <a:round/>
          </a:ln>
          <a:effectLst/>
        </c:spPr>
        <c:txPr>
          <a:bodyPr rot="0" spcFirstLastPara="1" vertOverflow="ellipsis" wrap="square" anchor="ctr" anchorCtr="1"/>
          <a:lstStyle/>
          <a:p>
            <a:pPr>
              <a:defRPr sz="800" b="0" i="0" u="none" strike="noStrike" kern="1200" baseline="0">
                <a:solidFill>
                  <a:srgbClr val="000000"/>
                </a:solidFill>
                <a:latin typeface="Candara" panose="020E0502030303020204" pitchFamily="34" charset="0"/>
                <a:ea typeface="Arial"/>
                <a:cs typeface="Arial"/>
              </a:defRPr>
            </a:pPr>
            <a:endParaRPr lang="lv-LV"/>
          </a:p>
        </c:txPr>
        <c:crossAx val="226400216"/>
        <c:crosses val="autoZero"/>
        <c:crossBetween val="between"/>
        <c:majorUnit val="0.4"/>
      </c:valAx>
      <c:spPr>
        <a:noFill/>
        <a:ln w="24631">
          <a:noFill/>
        </a:ln>
        <a:effectLst/>
      </c:spPr>
    </c:plotArea>
    <c:plotVisOnly val="1"/>
    <c:dispBlanksAs val="gap"/>
    <c:showDLblsOverMax val="0"/>
  </c:chart>
  <c:spPr>
    <a:noFill/>
    <a:ln w="9525" cap="flat" cmpd="sng" algn="ctr">
      <a:noFill/>
      <a:prstDash val="solid"/>
      <a:round/>
    </a:ln>
    <a:effectLst/>
  </c:spPr>
  <c:txPr>
    <a:bodyPr/>
    <a:lstStyle/>
    <a:p>
      <a:pPr>
        <a:defRPr sz="800" b="0" i="0" u="none" strike="noStrike" baseline="0">
          <a:solidFill>
            <a:srgbClr val="000000"/>
          </a:solidFill>
          <a:latin typeface="Candara" panose="020E0502030303020204" pitchFamily="34" charset="0"/>
          <a:ea typeface="Arial"/>
          <a:cs typeface="Arial"/>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6.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C7DAA-1B6D-4BB0-B5CB-CECD2417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22</Pages>
  <Words>7271</Words>
  <Characters>53773</Characters>
  <Application>Microsoft Office Word</Application>
  <DocSecurity>0</DocSecurity>
  <Lines>448</Lines>
  <Paragraphs>121</Paragraphs>
  <ScaleCrop>false</ScaleCrop>
  <HeadingPairs>
    <vt:vector size="2" baseType="variant">
      <vt:variant>
        <vt:lpstr>Title</vt:lpstr>
      </vt:variant>
      <vt:variant>
        <vt:i4>1</vt:i4>
      </vt:variant>
    </vt:vector>
  </HeadingPairs>
  <TitlesOfParts>
    <vt:vector size="1" baseType="lpstr">
      <vt:lpstr>Par Latvijas preču un pakalpojumu eksporta veicināšanas un ārvalstu investīciju piesaistes pamatnostādņu 2013.-2019.gadam starpposma novērtējumu</vt:lpstr>
    </vt:vector>
  </TitlesOfParts>
  <Company>Ekonomikas ministrija</Company>
  <LinksUpToDate>false</LinksUpToDate>
  <CharactersWithSpaces>60923</CharactersWithSpaces>
  <SharedDoc>false</SharedDoc>
  <HLinks>
    <vt:vector size="204" baseType="variant">
      <vt:variant>
        <vt:i4>3801135</vt:i4>
      </vt:variant>
      <vt:variant>
        <vt:i4>153</vt:i4>
      </vt:variant>
      <vt:variant>
        <vt:i4>0</vt:i4>
      </vt:variant>
      <vt:variant>
        <vt:i4>5</vt:i4>
      </vt:variant>
      <vt:variant>
        <vt:lpwstr>https://s3platform.jrc.ec.europa.eu/regions/LV/tags/LV</vt:lpwstr>
      </vt:variant>
      <vt:variant>
        <vt:lpwstr/>
      </vt:variant>
      <vt:variant>
        <vt:i4>5308437</vt:i4>
      </vt:variant>
      <vt:variant>
        <vt:i4>150</vt:i4>
      </vt:variant>
      <vt:variant>
        <vt:i4>0</vt:i4>
      </vt:variant>
      <vt:variant>
        <vt:i4>5</vt:i4>
      </vt:variant>
      <vt:variant>
        <vt:lpwstr>C:\Users\girts.blumers\AppData\Local\Microsoft\Windows\INetCache\Content.Outlook\R13VOUUK\2020_Darbiba strategija_11.docx</vt:lpwstr>
      </vt:variant>
      <vt:variant>
        <vt:lpwstr/>
      </vt:variant>
      <vt:variant>
        <vt:i4>5308437</vt:i4>
      </vt:variant>
      <vt:variant>
        <vt:i4>147</vt:i4>
      </vt:variant>
      <vt:variant>
        <vt:i4>0</vt:i4>
      </vt:variant>
      <vt:variant>
        <vt:i4>5</vt:i4>
      </vt:variant>
      <vt:variant>
        <vt:lpwstr>C:\Users\girts.blumers\AppData\Local\Microsoft\Windows\INetCache\Content.Outlook\R13VOUUK\2020_Darbiba strategija_11.docx</vt:lpwstr>
      </vt:variant>
      <vt:variant>
        <vt:lpwstr/>
      </vt:variant>
      <vt:variant>
        <vt:i4>1245275</vt:i4>
      </vt:variant>
      <vt:variant>
        <vt:i4>144</vt:i4>
      </vt:variant>
      <vt:variant>
        <vt:i4>0</vt:i4>
      </vt:variant>
      <vt:variant>
        <vt:i4>5</vt:i4>
      </vt:variant>
      <vt:variant>
        <vt:lpwstr>https://statistika.lursoft.lv/lv/statistika/arvalstu-ieguldijumi/</vt:lpwstr>
      </vt:variant>
      <vt:variant>
        <vt:lpwstr/>
      </vt:variant>
      <vt:variant>
        <vt:i4>5308437</vt:i4>
      </vt:variant>
      <vt:variant>
        <vt:i4>141</vt:i4>
      </vt:variant>
      <vt:variant>
        <vt:i4>0</vt:i4>
      </vt:variant>
      <vt:variant>
        <vt:i4>5</vt:i4>
      </vt:variant>
      <vt:variant>
        <vt:lpwstr>C:\Users\girts.blumers\AppData\Local\Microsoft\Windows\INetCache\Content.Outlook\R13VOUUK\2020_Darbiba strategija_11.docx</vt:lpwstr>
      </vt:variant>
      <vt:variant>
        <vt:lpwstr/>
      </vt:variant>
      <vt:variant>
        <vt:i4>3014753</vt:i4>
      </vt:variant>
      <vt:variant>
        <vt:i4>138</vt:i4>
      </vt:variant>
      <vt:variant>
        <vt:i4>0</vt:i4>
      </vt:variant>
      <vt:variant>
        <vt:i4>5</vt:i4>
      </vt:variant>
      <vt:variant>
        <vt:lpwstr>https://statdb.bank.lv/lb/Data.aspx?id=131</vt:lpwstr>
      </vt:variant>
      <vt:variant>
        <vt:lpwstr/>
      </vt:variant>
      <vt:variant>
        <vt:i4>5308437</vt:i4>
      </vt:variant>
      <vt:variant>
        <vt:i4>135</vt:i4>
      </vt:variant>
      <vt:variant>
        <vt:i4>0</vt:i4>
      </vt:variant>
      <vt:variant>
        <vt:i4>5</vt:i4>
      </vt:variant>
      <vt:variant>
        <vt:lpwstr>C:\Users\girts.blumers\AppData\Local\Microsoft\Windows\INetCache\Content.Outlook\R13VOUUK\2020_Darbiba strategija_11.docx</vt:lpwstr>
      </vt:variant>
      <vt:variant>
        <vt:lpwstr/>
      </vt:variant>
      <vt:variant>
        <vt:i4>3932272</vt:i4>
      </vt:variant>
      <vt:variant>
        <vt:i4>132</vt:i4>
      </vt:variant>
      <vt:variant>
        <vt:i4>0</vt:i4>
      </vt:variant>
      <vt:variant>
        <vt:i4>5</vt:i4>
      </vt:variant>
      <vt:variant>
        <vt:lpwstr>https://www.ficil.lv/research/</vt:lpwstr>
      </vt:variant>
      <vt:variant>
        <vt:lpwstr/>
      </vt:variant>
      <vt:variant>
        <vt:i4>5308437</vt:i4>
      </vt:variant>
      <vt:variant>
        <vt:i4>129</vt:i4>
      </vt:variant>
      <vt:variant>
        <vt:i4>0</vt:i4>
      </vt:variant>
      <vt:variant>
        <vt:i4>5</vt:i4>
      </vt:variant>
      <vt:variant>
        <vt:lpwstr>C:\Users\girts.blumers\AppData\Local\Microsoft\Windows\INetCache\Content.Outlook\R13VOUUK\2020_Darbiba strategija_11.docx</vt:lpwstr>
      </vt:variant>
      <vt:variant>
        <vt:lpwstr/>
      </vt:variant>
      <vt:variant>
        <vt:i4>5308437</vt:i4>
      </vt:variant>
      <vt:variant>
        <vt:i4>126</vt:i4>
      </vt:variant>
      <vt:variant>
        <vt:i4>0</vt:i4>
      </vt:variant>
      <vt:variant>
        <vt:i4>5</vt:i4>
      </vt:variant>
      <vt:variant>
        <vt:lpwstr>C:\Users\girts.blumers\AppData\Local\Microsoft\Windows\INetCache\Content.Outlook\R13VOUUK\2020_Darbiba strategija_11.docx</vt:lpwstr>
      </vt:variant>
      <vt:variant>
        <vt:lpwstr/>
      </vt:variant>
      <vt:variant>
        <vt:i4>5308437</vt:i4>
      </vt:variant>
      <vt:variant>
        <vt:i4>123</vt:i4>
      </vt:variant>
      <vt:variant>
        <vt:i4>0</vt:i4>
      </vt:variant>
      <vt:variant>
        <vt:i4>5</vt:i4>
      </vt:variant>
      <vt:variant>
        <vt:lpwstr>C:\Users\girts.blumers\AppData\Local\Microsoft\Windows\INetCache\Content.Outlook\R13VOUUK\2020_Darbiba strategija_11.docx</vt:lpwstr>
      </vt:variant>
      <vt:variant>
        <vt:lpwstr/>
      </vt:variant>
      <vt:variant>
        <vt:i4>5308437</vt:i4>
      </vt:variant>
      <vt:variant>
        <vt:i4>120</vt:i4>
      </vt:variant>
      <vt:variant>
        <vt:i4>0</vt:i4>
      </vt:variant>
      <vt:variant>
        <vt:i4>5</vt:i4>
      </vt:variant>
      <vt:variant>
        <vt:lpwstr>C:\Users\girts.blumers\AppData\Local\Microsoft\Windows\INetCache\Content.Outlook\R13VOUUK\2020_Darbiba strategija_11.docx</vt:lpwstr>
      </vt:variant>
      <vt:variant>
        <vt:lpwstr/>
      </vt:variant>
      <vt:variant>
        <vt:i4>7798843</vt:i4>
      </vt:variant>
      <vt:variant>
        <vt:i4>117</vt:i4>
      </vt:variant>
      <vt:variant>
        <vt:i4>0</vt:i4>
      </vt:variant>
      <vt:variant>
        <vt:i4>5</vt:i4>
      </vt:variant>
      <vt:variant>
        <vt:lpwstr>https://likumi.lv/ta/id/289463-par-uznemejdarbibas-vides-pilnveidosanas-pasakumu-planu</vt:lpwstr>
      </vt:variant>
      <vt:variant>
        <vt:lpwstr/>
      </vt:variant>
      <vt:variant>
        <vt:i4>1507378</vt:i4>
      </vt:variant>
      <vt:variant>
        <vt:i4>110</vt:i4>
      </vt:variant>
      <vt:variant>
        <vt:i4>0</vt:i4>
      </vt:variant>
      <vt:variant>
        <vt:i4>5</vt:i4>
      </vt:variant>
      <vt:variant>
        <vt:lpwstr/>
      </vt:variant>
      <vt:variant>
        <vt:lpwstr>_Toc462740015</vt:lpwstr>
      </vt:variant>
      <vt:variant>
        <vt:i4>1507378</vt:i4>
      </vt:variant>
      <vt:variant>
        <vt:i4>104</vt:i4>
      </vt:variant>
      <vt:variant>
        <vt:i4>0</vt:i4>
      </vt:variant>
      <vt:variant>
        <vt:i4>5</vt:i4>
      </vt:variant>
      <vt:variant>
        <vt:lpwstr/>
      </vt:variant>
      <vt:variant>
        <vt:lpwstr>_Toc462740014</vt:lpwstr>
      </vt:variant>
      <vt:variant>
        <vt:i4>1507378</vt:i4>
      </vt:variant>
      <vt:variant>
        <vt:i4>98</vt:i4>
      </vt:variant>
      <vt:variant>
        <vt:i4>0</vt:i4>
      </vt:variant>
      <vt:variant>
        <vt:i4>5</vt:i4>
      </vt:variant>
      <vt:variant>
        <vt:lpwstr/>
      </vt:variant>
      <vt:variant>
        <vt:lpwstr>_Toc462740013</vt:lpwstr>
      </vt:variant>
      <vt:variant>
        <vt:i4>1507378</vt:i4>
      </vt:variant>
      <vt:variant>
        <vt:i4>92</vt:i4>
      </vt:variant>
      <vt:variant>
        <vt:i4>0</vt:i4>
      </vt:variant>
      <vt:variant>
        <vt:i4>5</vt:i4>
      </vt:variant>
      <vt:variant>
        <vt:lpwstr/>
      </vt:variant>
      <vt:variant>
        <vt:lpwstr>_Toc462740012</vt:lpwstr>
      </vt:variant>
      <vt:variant>
        <vt:i4>1507378</vt:i4>
      </vt:variant>
      <vt:variant>
        <vt:i4>86</vt:i4>
      </vt:variant>
      <vt:variant>
        <vt:i4>0</vt:i4>
      </vt:variant>
      <vt:variant>
        <vt:i4>5</vt:i4>
      </vt:variant>
      <vt:variant>
        <vt:lpwstr/>
      </vt:variant>
      <vt:variant>
        <vt:lpwstr>_Toc462740011</vt:lpwstr>
      </vt:variant>
      <vt:variant>
        <vt:i4>1507378</vt:i4>
      </vt:variant>
      <vt:variant>
        <vt:i4>80</vt:i4>
      </vt:variant>
      <vt:variant>
        <vt:i4>0</vt:i4>
      </vt:variant>
      <vt:variant>
        <vt:i4>5</vt:i4>
      </vt:variant>
      <vt:variant>
        <vt:lpwstr/>
      </vt:variant>
      <vt:variant>
        <vt:lpwstr>_Toc462740010</vt:lpwstr>
      </vt:variant>
      <vt:variant>
        <vt:i4>1441842</vt:i4>
      </vt:variant>
      <vt:variant>
        <vt:i4>74</vt:i4>
      </vt:variant>
      <vt:variant>
        <vt:i4>0</vt:i4>
      </vt:variant>
      <vt:variant>
        <vt:i4>5</vt:i4>
      </vt:variant>
      <vt:variant>
        <vt:lpwstr/>
      </vt:variant>
      <vt:variant>
        <vt:lpwstr>_Toc462740009</vt:lpwstr>
      </vt:variant>
      <vt:variant>
        <vt:i4>1441842</vt:i4>
      </vt:variant>
      <vt:variant>
        <vt:i4>68</vt:i4>
      </vt:variant>
      <vt:variant>
        <vt:i4>0</vt:i4>
      </vt:variant>
      <vt:variant>
        <vt:i4>5</vt:i4>
      </vt:variant>
      <vt:variant>
        <vt:lpwstr/>
      </vt:variant>
      <vt:variant>
        <vt:lpwstr>_Toc462740008</vt:lpwstr>
      </vt:variant>
      <vt:variant>
        <vt:i4>1441842</vt:i4>
      </vt:variant>
      <vt:variant>
        <vt:i4>62</vt:i4>
      </vt:variant>
      <vt:variant>
        <vt:i4>0</vt:i4>
      </vt:variant>
      <vt:variant>
        <vt:i4>5</vt:i4>
      </vt:variant>
      <vt:variant>
        <vt:lpwstr/>
      </vt:variant>
      <vt:variant>
        <vt:lpwstr>_Toc462740007</vt:lpwstr>
      </vt:variant>
      <vt:variant>
        <vt:i4>1441842</vt:i4>
      </vt:variant>
      <vt:variant>
        <vt:i4>56</vt:i4>
      </vt:variant>
      <vt:variant>
        <vt:i4>0</vt:i4>
      </vt:variant>
      <vt:variant>
        <vt:i4>5</vt:i4>
      </vt:variant>
      <vt:variant>
        <vt:lpwstr/>
      </vt:variant>
      <vt:variant>
        <vt:lpwstr>_Toc462740006</vt:lpwstr>
      </vt:variant>
      <vt:variant>
        <vt:i4>1441842</vt:i4>
      </vt:variant>
      <vt:variant>
        <vt:i4>50</vt:i4>
      </vt:variant>
      <vt:variant>
        <vt:i4>0</vt:i4>
      </vt:variant>
      <vt:variant>
        <vt:i4>5</vt:i4>
      </vt:variant>
      <vt:variant>
        <vt:lpwstr/>
      </vt:variant>
      <vt:variant>
        <vt:lpwstr>_Toc462740005</vt:lpwstr>
      </vt:variant>
      <vt:variant>
        <vt:i4>1441842</vt:i4>
      </vt:variant>
      <vt:variant>
        <vt:i4>44</vt:i4>
      </vt:variant>
      <vt:variant>
        <vt:i4>0</vt:i4>
      </vt:variant>
      <vt:variant>
        <vt:i4>5</vt:i4>
      </vt:variant>
      <vt:variant>
        <vt:lpwstr/>
      </vt:variant>
      <vt:variant>
        <vt:lpwstr>_Toc462740004</vt:lpwstr>
      </vt:variant>
      <vt:variant>
        <vt:i4>1441842</vt:i4>
      </vt:variant>
      <vt:variant>
        <vt:i4>38</vt:i4>
      </vt:variant>
      <vt:variant>
        <vt:i4>0</vt:i4>
      </vt:variant>
      <vt:variant>
        <vt:i4>5</vt:i4>
      </vt:variant>
      <vt:variant>
        <vt:lpwstr/>
      </vt:variant>
      <vt:variant>
        <vt:lpwstr>_Toc462740003</vt:lpwstr>
      </vt:variant>
      <vt:variant>
        <vt:i4>1441842</vt:i4>
      </vt:variant>
      <vt:variant>
        <vt:i4>32</vt:i4>
      </vt:variant>
      <vt:variant>
        <vt:i4>0</vt:i4>
      </vt:variant>
      <vt:variant>
        <vt:i4>5</vt:i4>
      </vt:variant>
      <vt:variant>
        <vt:lpwstr/>
      </vt:variant>
      <vt:variant>
        <vt:lpwstr>_Toc462740002</vt:lpwstr>
      </vt:variant>
      <vt:variant>
        <vt:i4>1441842</vt:i4>
      </vt:variant>
      <vt:variant>
        <vt:i4>26</vt:i4>
      </vt:variant>
      <vt:variant>
        <vt:i4>0</vt:i4>
      </vt:variant>
      <vt:variant>
        <vt:i4>5</vt:i4>
      </vt:variant>
      <vt:variant>
        <vt:lpwstr/>
      </vt:variant>
      <vt:variant>
        <vt:lpwstr>_Toc462740001</vt:lpwstr>
      </vt:variant>
      <vt:variant>
        <vt:i4>1441842</vt:i4>
      </vt:variant>
      <vt:variant>
        <vt:i4>20</vt:i4>
      </vt:variant>
      <vt:variant>
        <vt:i4>0</vt:i4>
      </vt:variant>
      <vt:variant>
        <vt:i4>5</vt:i4>
      </vt:variant>
      <vt:variant>
        <vt:lpwstr/>
      </vt:variant>
      <vt:variant>
        <vt:lpwstr>_Toc462740000</vt:lpwstr>
      </vt:variant>
      <vt:variant>
        <vt:i4>1441852</vt:i4>
      </vt:variant>
      <vt:variant>
        <vt:i4>14</vt:i4>
      </vt:variant>
      <vt:variant>
        <vt:i4>0</vt:i4>
      </vt:variant>
      <vt:variant>
        <vt:i4>5</vt:i4>
      </vt:variant>
      <vt:variant>
        <vt:lpwstr/>
      </vt:variant>
      <vt:variant>
        <vt:lpwstr>_Toc462739999</vt:lpwstr>
      </vt:variant>
      <vt:variant>
        <vt:i4>1441852</vt:i4>
      </vt:variant>
      <vt:variant>
        <vt:i4>8</vt:i4>
      </vt:variant>
      <vt:variant>
        <vt:i4>0</vt:i4>
      </vt:variant>
      <vt:variant>
        <vt:i4>5</vt:i4>
      </vt:variant>
      <vt:variant>
        <vt:lpwstr/>
      </vt:variant>
      <vt:variant>
        <vt:lpwstr>_Toc462739998</vt:lpwstr>
      </vt:variant>
      <vt:variant>
        <vt:i4>1441852</vt:i4>
      </vt:variant>
      <vt:variant>
        <vt:i4>2</vt:i4>
      </vt:variant>
      <vt:variant>
        <vt:i4>0</vt:i4>
      </vt:variant>
      <vt:variant>
        <vt:i4>5</vt:i4>
      </vt:variant>
      <vt:variant>
        <vt:lpwstr/>
      </vt:variant>
      <vt:variant>
        <vt:lpwstr>_Toc462739997</vt:lpwstr>
      </vt:variant>
      <vt:variant>
        <vt:i4>1179660</vt:i4>
      </vt:variant>
      <vt:variant>
        <vt:i4>3</vt:i4>
      </vt:variant>
      <vt:variant>
        <vt:i4>0</vt:i4>
      </vt:variant>
      <vt:variant>
        <vt:i4>5</vt:i4>
      </vt:variant>
      <vt:variant>
        <vt:lpwstr>http://www.ey.com/Publication/vwLUAssets/EY-european-attractiveness-survey-2015/$FILE/EY-european-attractiveness-survey-2015.pdf</vt:lpwstr>
      </vt:variant>
      <vt:variant>
        <vt:lpwstr/>
      </vt:variant>
      <vt:variant>
        <vt:i4>2097202</vt:i4>
      </vt:variant>
      <vt:variant>
        <vt:i4>0</vt:i4>
      </vt:variant>
      <vt:variant>
        <vt:i4>0</vt:i4>
      </vt:variant>
      <vt:variant>
        <vt:i4>5</vt:i4>
      </vt:variant>
      <vt:variant>
        <vt:lpwstr>http://www.ficil.lv/f/FICIL Sentiment Index Report 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Latvijas preču un pakalpojumu eksporta veicināšanas un ārvalstu investīciju piesaistes pamatnostādņu 2013.-2019.gadam starpposma novērtējumu</dc:title>
  <dc:subject>Informatīvais ziņojums</dc:subject>
  <dc:creator>Madara Ambrēna</dc:creator>
  <cp:keywords/>
  <dc:description>67013061, madara.ambrena@em.gov.lv</dc:description>
  <cp:lastModifiedBy>Agnese Šķēle</cp:lastModifiedBy>
  <cp:revision>13</cp:revision>
  <cp:lastPrinted>2020-07-24T05:04:00Z</cp:lastPrinted>
  <dcterms:created xsi:type="dcterms:W3CDTF">2020-07-24T10:15:00Z</dcterms:created>
  <dcterms:modified xsi:type="dcterms:W3CDTF">2020-08-05T09:15:00Z</dcterms:modified>
</cp:coreProperties>
</file>