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C3DC" w14:textId="2760A7F6" w:rsidR="002C3C58" w:rsidRPr="00B572EA" w:rsidRDefault="0063212A"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C3C58" w:rsidRPr="00B572EA">
            <w:rPr>
              <w:rFonts w:ascii="Times New Roman" w:eastAsia="Times New Roman" w:hAnsi="Times New Roman" w:cs="Times New Roman"/>
              <w:b/>
              <w:bCs/>
              <w:sz w:val="24"/>
              <w:szCs w:val="24"/>
              <w:lang w:eastAsia="lv-LV"/>
            </w:rPr>
            <w:t>Ministru kabineta noteikumu projekta “</w:t>
          </w:r>
          <w:r w:rsidR="0088094F" w:rsidRPr="0088094F">
            <w:rPr>
              <w:rFonts w:ascii="Times New Roman" w:eastAsia="Times New Roman" w:hAnsi="Times New Roman" w:cs="Times New Roman"/>
              <w:b/>
              <w:bCs/>
              <w:sz w:val="24"/>
              <w:szCs w:val="24"/>
              <w:lang w:eastAsia="lv-LV"/>
            </w:rPr>
            <w:t>Noteikumi par atļaujām elektroenerģijas ražošanas jaudu palielināšanai vai jaunu ražošanas iekārtu ieviešanai</w:t>
          </w:r>
          <w:r w:rsidR="002C3C58" w:rsidRPr="00B572EA">
            <w:rPr>
              <w:rFonts w:ascii="Times New Roman" w:eastAsia="Times New Roman" w:hAnsi="Times New Roman" w:cs="Times New Roman"/>
              <w:b/>
              <w:bCs/>
              <w:sz w:val="24"/>
              <w:szCs w:val="24"/>
              <w:lang w:eastAsia="lv-LV"/>
            </w:rPr>
            <w:t>”</w:t>
          </w:r>
        </w:sdtContent>
      </w:sdt>
      <w:r w:rsidR="002C3C58" w:rsidRPr="00B572EA">
        <w:rPr>
          <w:rFonts w:ascii="Times New Roman" w:eastAsia="Times New Roman" w:hAnsi="Times New Roman" w:cs="Times New Roman"/>
          <w:b/>
          <w:bCs/>
          <w:sz w:val="24"/>
          <w:szCs w:val="24"/>
          <w:lang w:eastAsia="lv-LV"/>
        </w:rPr>
        <w:t xml:space="preserve"> </w:t>
      </w:r>
    </w:p>
    <w:p w14:paraId="7C69C6A6" w14:textId="53907282" w:rsidR="00894C55" w:rsidRPr="00B572EA"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B572EA">
        <w:rPr>
          <w:rFonts w:ascii="Times New Roman" w:eastAsia="Times New Roman" w:hAnsi="Times New Roman" w:cs="Times New Roman"/>
          <w:b/>
          <w:bCs/>
          <w:sz w:val="24"/>
          <w:szCs w:val="24"/>
          <w:lang w:eastAsia="lv-LV"/>
        </w:rPr>
        <w:t>sākotnējās ietekmes novērtējuma ziņojums (anotācija)</w:t>
      </w:r>
    </w:p>
    <w:p w14:paraId="00F6C525" w14:textId="77777777" w:rsidR="00E5323B" w:rsidRPr="00B572E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572EA" w:rsidRPr="00B572EA" w14:paraId="12B4B65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F5D338"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Tiesību akta projekta anotācijas kopsavilkums</w:t>
            </w:r>
          </w:p>
        </w:tc>
      </w:tr>
      <w:tr w:rsidR="00B572EA" w:rsidRPr="00B572EA" w14:paraId="32681CF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C48A14"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F1E843" w14:textId="66454686" w:rsidR="00E5323B" w:rsidRPr="00B572EA" w:rsidRDefault="00F02558" w:rsidP="00D47510">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Noteikumu projekta mērķis ir pilnveidot regulējumu, ar kuru tiek izsniegtas Ekonomikas ministrijas atļaujas elektroenerģijas ražošanas iekārt</w:t>
            </w:r>
            <w:r w:rsidR="00D47510" w:rsidRPr="00B572EA">
              <w:rPr>
                <w:rFonts w:ascii="Times New Roman" w:eastAsia="Times New Roman" w:hAnsi="Times New Roman" w:cs="Times New Roman"/>
                <w:iCs/>
                <w:sz w:val="24"/>
                <w:szCs w:val="24"/>
                <w:lang w:eastAsia="lv-LV"/>
              </w:rPr>
              <w:t>u ieviešanai</w:t>
            </w:r>
            <w:r w:rsidRPr="00B572EA">
              <w:rPr>
                <w:rFonts w:ascii="Times New Roman" w:eastAsia="Times New Roman" w:hAnsi="Times New Roman" w:cs="Times New Roman"/>
                <w:iCs/>
                <w:sz w:val="24"/>
                <w:szCs w:val="24"/>
                <w:lang w:eastAsia="lv-LV"/>
              </w:rPr>
              <w:t>, lai novērstu situācijas, kurās atļauja</w:t>
            </w:r>
            <w:r w:rsidR="00D47510" w:rsidRPr="00B572EA">
              <w:rPr>
                <w:rFonts w:ascii="Times New Roman" w:eastAsia="Times New Roman" w:hAnsi="Times New Roman" w:cs="Times New Roman"/>
                <w:iCs/>
                <w:sz w:val="24"/>
                <w:szCs w:val="24"/>
                <w:lang w:eastAsia="lv-LV"/>
              </w:rPr>
              <w:t xml:space="preserve">s saņēmēji dažādu iemeslu dēļ nerealizē atļaujā noteiktās darbības vienlaikus rezervējot līdz 5 gadiem jaunas elektroenerģijas ražošanas jaudas elektroenerģijas sadales un pārvades sistēmās, tādējādi radot risku, ka elektroenerģijas ražošanas jaudas var vairs nebūt pieejamas tiem atļauju saņēmējiem, kas patiešām tehniski un finansiāli var un grib ieviest elektrostaciju. </w:t>
            </w:r>
          </w:p>
        </w:tc>
      </w:tr>
    </w:tbl>
    <w:p w14:paraId="5F2C2CA2"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29206F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93B30"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 Tiesību akta projekta izstrādes nepieciešamība</w:t>
            </w:r>
          </w:p>
        </w:tc>
      </w:tr>
      <w:tr w:rsidR="00B572EA" w:rsidRPr="00B572EA" w14:paraId="11AFDF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C1A58"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6B9595"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565962" w14:textId="4DE3EE0C" w:rsidR="00E5323B" w:rsidRPr="00B572EA" w:rsidRDefault="002C3C58"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Ekonomikas ministrijas iniciatīva, pamatojoties uz Elektroenerģijas tirgus likuma 22.pantu</w:t>
            </w:r>
          </w:p>
        </w:tc>
      </w:tr>
      <w:tr w:rsidR="00B572EA" w:rsidRPr="00B572EA" w14:paraId="695784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92466"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6612A0"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98DAD1D"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Saskaņā ar Ministru kabineta 2009.gada 11.augusta noteikumu Nr.883 “Noteikumi par atļaujām elektroenerģijas ražošanas jaudu palielināšanai vai jaunu ražošanas iekārtu ieviešanai” (turpmāk – Noteikumi Nr.833) 2.punktu, Ekonomikas ministrija (turpmāk – Ministrija) ik gadu saņem vairākus simtus iesniegumu elektroenerģijas ražošanas iekārtu ieviešanai vai esošo elektroenerģijas ražošanas iekārtu jaudu palielināšanai. </w:t>
            </w:r>
          </w:p>
          <w:p w14:paraId="6B36F006"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Atbilstoši Noteikumu Nr.883. 3.punktam, ja iesniedzēja iesniegums ir atbildis visām Noteikumu Nr.883 prasībām, Ministrija 30 dienu laikā izsniedz lēmumu par atļauju elektroenerģijas ražošanas iekārtu ieviešanai vai elektroenerģijas ražošanas jaudu palielināšanai (turpmāk – atļauja). Ar saņemto Ministrijas atļauju, topošais elektroenerģijas ražotājs vēršas pie sistēmas operatora atbilstoši Sabiedrisko pakalpojumu regulēšanas komisijas (turpmāk – SPRK) padomes 2012.gada 22.februāra lēmuma Nr.1/6 “Sistēmas </w:t>
            </w:r>
            <w:proofErr w:type="spellStart"/>
            <w:r w:rsidRPr="00B572EA">
              <w:rPr>
                <w:rFonts w:ascii="Times New Roman" w:eastAsia="Times New Roman" w:hAnsi="Times New Roman" w:cs="Times New Roman"/>
                <w:iCs/>
                <w:sz w:val="24"/>
                <w:szCs w:val="24"/>
                <w:lang w:eastAsia="lv-LV"/>
              </w:rPr>
              <w:t>pieslēguma</w:t>
            </w:r>
            <w:proofErr w:type="spellEnd"/>
            <w:r w:rsidRPr="00B572EA">
              <w:rPr>
                <w:rFonts w:ascii="Times New Roman" w:eastAsia="Times New Roman" w:hAnsi="Times New Roman" w:cs="Times New Roman"/>
                <w:iCs/>
                <w:sz w:val="24"/>
                <w:szCs w:val="24"/>
                <w:lang w:eastAsia="lv-LV"/>
              </w:rPr>
              <w:t xml:space="preserve"> noteikumi elektroenerģijas ražotājiem” (turpmāk – Lēmums Nr. 1/6) 4.punktam ar pieteikumu jaunas elektrostacijas pieslēgšanai sistēmai vai esošā sistēmas </w:t>
            </w:r>
            <w:proofErr w:type="spellStart"/>
            <w:r w:rsidRPr="00B572EA">
              <w:rPr>
                <w:rFonts w:ascii="Times New Roman" w:eastAsia="Times New Roman" w:hAnsi="Times New Roman" w:cs="Times New Roman"/>
                <w:iCs/>
                <w:sz w:val="24"/>
                <w:szCs w:val="24"/>
                <w:lang w:eastAsia="lv-LV"/>
              </w:rPr>
              <w:t>pieslēguma</w:t>
            </w:r>
            <w:proofErr w:type="spellEnd"/>
            <w:r w:rsidRPr="00B572EA">
              <w:rPr>
                <w:rFonts w:ascii="Times New Roman" w:eastAsia="Times New Roman" w:hAnsi="Times New Roman" w:cs="Times New Roman"/>
                <w:iCs/>
                <w:sz w:val="24"/>
                <w:szCs w:val="24"/>
                <w:lang w:eastAsia="lv-LV"/>
              </w:rPr>
              <w:t xml:space="preserve"> jaudas palielināšanai. Sistēmas operators, izsniedzot elektroenerģijas ražotājam tehniskos noteikumus sistēmas </w:t>
            </w:r>
            <w:proofErr w:type="spellStart"/>
            <w:r w:rsidRPr="00B572EA">
              <w:rPr>
                <w:rFonts w:ascii="Times New Roman" w:eastAsia="Times New Roman" w:hAnsi="Times New Roman" w:cs="Times New Roman"/>
                <w:iCs/>
                <w:sz w:val="24"/>
                <w:szCs w:val="24"/>
                <w:lang w:eastAsia="lv-LV"/>
              </w:rPr>
              <w:t>pieslēguma</w:t>
            </w:r>
            <w:proofErr w:type="spellEnd"/>
            <w:r w:rsidRPr="00B572EA">
              <w:rPr>
                <w:rFonts w:ascii="Times New Roman" w:eastAsia="Times New Roman" w:hAnsi="Times New Roman" w:cs="Times New Roman"/>
                <w:iCs/>
                <w:sz w:val="24"/>
                <w:szCs w:val="24"/>
                <w:lang w:eastAsia="lv-LV"/>
              </w:rPr>
              <w:t xml:space="preserve"> izveidei, rezervē elektroenerģijas sistēmā elektroenerģijas ražotājam nepieciešamo jaudu.</w:t>
            </w:r>
          </w:p>
          <w:p w14:paraId="35A3111F"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2019.gadā Ministrija izsniedza 345 atļaujas, no kurām 31 atļauja bija tā saucamajām lielajām elektrostacijām </w:t>
            </w:r>
            <w:r w:rsidRPr="00B572EA">
              <w:rPr>
                <w:rFonts w:ascii="Times New Roman" w:eastAsia="Times New Roman" w:hAnsi="Times New Roman" w:cs="Times New Roman"/>
                <w:iCs/>
                <w:sz w:val="24"/>
                <w:szCs w:val="24"/>
                <w:lang w:eastAsia="lv-LV"/>
              </w:rPr>
              <w:lastRenderedPageBreak/>
              <w:t xml:space="preserve">jeb elektrostacijām ar elektroenerģijas ražošanas jaudu virs 1 MW. Laika posmā no 2014. līdz 2019.gadam Ministrija ir izdevusi 73 lielo elektrostaciju atļaujas ar kopējo jaudu 1095 MW. Savukārt šī gada sākumā konstatēts īpaši būtisks lielo elektrostaciju iesniegumu skaita pieaugums un jau gada pirmajā ceturksnī no 3 uzņēmumiem (Lursoft datu bāzes dati liecina, ka tos pārstāv viena un tā pati persona) ir saņemts 31 iesniegums, lai saņemtu atļaujas vēja parku būvniecībai kopā 198 MW apmērā. </w:t>
            </w:r>
          </w:p>
          <w:p w14:paraId="4BD49060"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Saņemtā informācija no AS “Sadales tīkls” un AS “Augstsprieguma tīkls” liecina, ka kopš 2014. gada 55 no Ministrijas atļauju saņēmējiem ir vērsušies pie sistēmas operatoriem ar lūgumu izsniegt tehniskos noteikumus. Šobrīd spēkā esošie tehniskie noteikumi un attiecīgas sistēmas jaudu rezervācijas ir par kopējo jaudu 618,35 MW elektroenerģijas pārvades tīklā un 25,42 MW elektroenerģijas sadales tīklā.</w:t>
            </w:r>
          </w:p>
          <w:p w14:paraId="34B3A2F8"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Savukārt kopš 2014.gada tīklam kopumā pieslēgtas tikai 6 lielās elektrostacijas, no kurām viena elektrostacija ar jaudu 20,7 MW ir pieslēgta pie elektroenerģijas pārvades tīkla, bet 5 elektrostacijas ar kopējo jaudu 10,1 MW ir pieslēgtas pie elektroenerģijas sadales tīkla.</w:t>
            </w:r>
          </w:p>
          <w:p w14:paraId="63030332" w14:textId="652197F8" w:rsidR="00823D22"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Ņemot vērā proporciju starp rezervētajām un reāli ieviestajām jaudām, pēdējā gada laikā ir konstatēta </w:t>
            </w:r>
            <w:proofErr w:type="spellStart"/>
            <w:r w:rsidRPr="00B572EA">
              <w:rPr>
                <w:rFonts w:ascii="Times New Roman" w:eastAsia="Times New Roman" w:hAnsi="Times New Roman" w:cs="Times New Roman"/>
                <w:iCs/>
                <w:sz w:val="24"/>
                <w:szCs w:val="24"/>
                <w:lang w:eastAsia="lv-LV"/>
              </w:rPr>
              <w:t>problēmsituācija</w:t>
            </w:r>
            <w:proofErr w:type="spellEnd"/>
            <w:r w:rsidRPr="00B572EA">
              <w:rPr>
                <w:rFonts w:ascii="Times New Roman" w:eastAsia="Times New Roman" w:hAnsi="Times New Roman" w:cs="Times New Roman"/>
                <w:iCs/>
                <w:sz w:val="24"/>
                <w:szCs w:val="24"/>
                <w:lang w:eastAsia="lv-LV"/>
              </w:rPr>
              <w:t>, kurā sistēmas operatori ir veikuši jaudu rezervāciju elektroenerģijas sistēmā, bet topošais elektroenerģijas ražotājs dažādu iemeslu dēļ neuzbūvē/nepalielina savu elektroenerģijas ražošanas iekārtu, kā rezultātā</w:t>
            </w:r>
            <w:r w:rsidRPr="00B572EA">
              <w:rPr>
                <w:rFonts w:ascii="Times New Roman" w:eastAsia="Times New Roman" w:hAnsi="Times New Roman" w:cs="Times New Roman"/>
                <w:iCs/>
                <w:sz w:val="24"/>
                <w:szCs w:val="24"/>
                <w:u w:val="single"/>
                <w:lang w:eastAsia="lv-LV"/>
              </w:rPr>
              <w:t xml:space="preserve"> jauda elektroenerģijas sistēmā ir rezervēta nelietderīgi.</w:t>
            </w:r>
            <w:r w:rsidRPr="00B572EA">
              <w:rPr>
                <w:rFonts w:ascii="Times New Roman" w:eastAsia="Times New Roman" w:hAnsi="Times New Roman" w:cs="Times New Roman"/>
                <w:iCs/>
                <w:sz w:val="24"/>
                <w:szCs w:val="24"/>
                <w:lang w:eastAsia="lv-LV"/>
              </w:rPr>
              <w:t xml:space="preserve"> Tas savukārt rada pamatotas bažas, ka elektroenerģijas ražotājam, kurš būtu finansiāli, administratīvi un  tehniski gatavs izveidot izmaksu efektīvu lielu elektrostaciju, vairs var nebūt iespēja rezervēt elektroenerģijas ražošanas jaudu elektroenerģijas sistēmā, jo sistēmas jaudu rezervācijas kapacitāte var būt izsmelta.</w:t>
            </w:r>
          </w:p>
          <w:p w14:paraId="7A64355B" w14:textId="77777777" w:rsidR="00325A49"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Lai risinātu šo problēmu, </w:t>
            </w:r>
            <w:r w:rsidR="00823D22" w:rsidRPr="00B572EA">
              <w:rPr>
                <w:rFonts w:ascii="Times New Roman" w:eastAsia="Times New Roman" w:hAnsi="Times New Roman" w:cs="Times New Roman"/>
                <w:iCs/>
                <w:sz w:val="24"/>
                <w:szCs w:val="24"/>
                <w:lang w:eastAsia="lv-LV"/>
              </w:rPr>
              <w:t xml:space="preserve">noteikumu projekta mērķis ir </w:t>
            </w:r>
            <w:r w:rsidRPr="00B572EA">
              <w:rPr>
                <w:rFonts w:ascii="Times New Roman" w:eastAsia="Times New Roman" w:hAnsi="Times New Roman" w:cs="Times New Roman"/>
                <w:iCs/>
                <w:sz w:val="24"/>
                <w:szCs w:val="24"/>
                <w:lang w:eastAsia="lv-LV"/>
              </w:rPr>
              <w:t>nodrošināt, ka elektroenerģijas ražošanas jaudu rezervācija sistēmā tiek veikta tikai tajā brīdī, kad pastāv jau zināma garantija no potenciālā elektroenerģijas ražotāja puses, ka elektrostacija tik tiešām tiks uzbūvēta un elektroenerģija tiks ražota.</w:t>
            </w:r>
            <w:r w:rsidR="00823D22" w:rsidRPr="00B572EA">
              <w:rPr>
                <w:rFonts w:ascii="Times New Roman" w:eastAsia="Times New Roman" w:hAnsi="Times New Roman" w:cs="Times New Roman"/>
                <w:iCs/>
                <w:sz w:val="24"/>
                <w:szCs w:val="24"/>
                <w:lang w:eastAsia="lv-LV"/>
              </w:rPr>
              <w:t xml:space="preserve"> </w:t>
            </w:r>
          </w:p>
          <w:p w14:paraId="08993B16" w14:textId="77777777" w:rsidR="00325A49" w:rsidRDefault="00325A49" w:rsidP="00221BD4">
            <w:pPr>
              <w:spacing w:after="0" w:line="240" w:lineRule="auto"/>
              <w:jc w:val="both"/>
              <w:rPr>
                <w:rFonts w:ascii="Times New Roman" w:eastAsia="Times New Roman" w:hAnsi="Times New Roman" w:cs="Times New Roman"/>
                <w:iCs/>
                <w:sz w:val="24"/>
                <w:szCs w:val="24"/>
                <w:lang w:eastAsia="lv-LV"/>
              </w:rPr>
            </w:pPr>
          </w:p>
          <w:p w14:paraId="621C0743" w14:textId="715FF079" w:rsidR="00823D22" w:rsidRPr="00B572EA" w:rsidRDefault="00823D22"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Noteikumu projekta pamatā ir 3 principi:</w:t>
            </w:r>
          </w:p>
          <w:p w14:paraId="2CD29E1D" w14:textId="62FF9EC4" w:rsidR="00823D22" w:rsidRDefault="00823D22" w:rsidP="001E0363">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u w:val="single"/>
                <w:lang w:eastAsia="lv-LV"/>
              </w:rPr>
              <w:t>potenciālais elektroenerģijas ražotājs vēršas pēc atļaujas ministrijā tikai pēc</w:t>
            </w:r>
            <w:r w:rsidR="009A4372">
              <w:rPr>
                <w:rFonts w:ascii="Times New Roman" w:eastAsia="Times New Roman" w:hAnsi="Times New Roman" w:cs="Times New Roman"/>
                <w:iCs/>
                <w:sz w:val="24"/>
                <w:szCs w:val="24"/>
                <w:u w:val="single"/>
                <w:lang w:eastAsia="lv-LV"/>
              </w:rPr>
              <w:t xml:space="preserve"> tam, kad noskaidrots, </w:t>
            </w:r>
            <w:r w:rsidR="009A4372" w:rsidRPr="009A4372">
              <w:rPr>
                <w:rFonts w:ascii="Times New Roman" w:eastAsia="Times New Roman" w:hAnsi="Times New Roman" w:cs="Times New Roman"/>
                <w:iCs/>
                <w:sz w:val="24"/>
                <w:szCs w:val="24"/>
                <w:u w:val="single"/>
                <w:lang w:eastAsia="lv-LV"/>
              </w:rPr>
              <w:t xml:space="preserve">vai </w:t>
            </w:r>
            <w:r w:rsidR="009A4372" w:rsidRPr="009A4372">
              <w:rPr>
                <w:rFonts w:ascii="Times New Roman" w:eastAsia="Times New Roman" w:hAnsi="Times New Roman" w:cs="Times New Roman"/>
                <w:sz w:val="24"/>
                <w:szCs w:val="24"/>
                <w:lang w:eastAsia="lv-LV"/>
              </w:rPr>
              <w:t xml:space="preserve">elektroenerģijas ražošanas jaudu palielināšanai vai jaunu ražošanas iekārtu ieviešanai </w:t>
            </w:r>
            <w:r w:rsidR="009A4372" w:rsidRPr="00A47C77">
              <w:rPr>
                <w:rFonts w:ascii="Times New Roman" w:hAnsi="Times New Roman" w:cs="Times New Roman"/>
                <w:sz w:val="24"/>
                <w:szCs w:val="24"/>
                <w:u w:val="single"/>
              </w:rPr>
              <w:t>nepieciešams</w:t>
            </w:r>
            <w:r w:rsidRPr="00A47C77">
              <w:rPr>
                <w:rFonts w:ascii="Times New Roman" w:eastAsia="Times New Roman" w:hAnsi="Times New Roman" w:cs="Times New Roman"/>
                <w:iCs/>
                <w:sz w:val="24"/>
                <w:szCs w:val="24"/>
                <w:u w:val="single"/>
                <w:lang w:eastAsia="lv-LV"/>
              </w:rPr>
              <w:t xml:space="preserve"> </w:t>
            </w:r>
            <w:r w:rsidR="009A4372" w:rsidRPr="009A4372">
              <w:rPr>
                <w:rFonts w:ascii="Times New Roman" w:eastAsia="Times New Roman" w:hAnsi="Times New Roman" w:cs="Times New Roman"/>
                <w:iCs/>
                <w:sz w:val="24"/>
                <w:szCs w:val="24"/>
                <w:u w:val="single"/>
                <w:lang w:eastAsia="lv-LV"/>
              </w:rPr>
              <w:t xml:space="preserve">ietekmes </w:t>
            </w:r>
            <w:r w:rsidRPr="009A4372">
              <w:rPr>
                <w:rFonts w:ascii="Times New Roman" w:eastAsia="Times New Roman" w:hAnsi="Times New Roman" w:cs="Times New Roman"/>
                <w:iCs/>
                <w:sz w:val="24"/>
                <w:szCs w:val="24"/>
                <w:u w:val="single"/>
                <w:lang w:eastAsia="lv-LV"/>
              </w:rPr>
              <w:t>sākotnēj</w:t>
            </w:r>
            <w:r w:rsidR="009A4372">
              <w:rPr>
                <w:rFonts w:ascii="Times New Roman" w:eastAsia="Times New Roman" w:hAnsi="Times New Roman" w:cs="Times New Roman"/>
                <w:iCs/>
                <w:sz w:val="24"/>
                <w:szCs w:val="24"/>
                <w:u w:val="single"/>
                <w:lang w:eastAsia="lv-LV"/>
              </w:rPr>
              <w:t>ais</w:t>
            </w:r>
            <w:r w:rsidR="009A4372" w:rsidRPr="009A4372">
              <w:rPr>
                <w:rFonts w:ascii="Times New Roman" w:eastAsia="Times New Roman" w:hAnsi="Times New Roman" w:cs="Times New Roman"/>
                <w:iCs/>
                <w:sz w:val="24"/>
                <w:szCs w:val="24"/>
                <w:u w:val="single"/>
                <w:lang w:eastAsia="lv-LV"/>
              </w:rPr>
              <w:t xml:space="preserve"> </w:t>
            </w:r>
            <w:proofErr w:type="spellStart"/>
            <w:r w:rsidR="009A4372" w:rsidRPr="009A4372">
              <w:rPr>
                <w:rFonts w:ascii="Times New Roman" w:eastAsia="Times New Roman" w:hAnsi="Times New Roman" w:cs="Times New Roman"/>
                <w:iCs/>
                <w:sz w:val="24"/>
                <w:szCs w:val="24"/>
                <w:u w:val="single"/>
                <w:lang w:eastAsia="lv-LV"/>
              </w:rPr>
              <w:lastRenderedPageBreak/>
              <w:t>izvērtējum</w:t>
            </w:r>
            <w:r w:rsidR="009A4372">
              <w:rPr>
                <w:rFonts w:ascii="Times New Roman" w:eastAsia="Times New Roman" w:hAnsi="Times New Roman" w:cs="Times New Roman"/>
                <w:iCs/>
                <w:sz w:val="24"/>
                <w:szCs w:val="24"/>
                <w:u w:val="single"/>
                <w:lang w:eastAsia="lv-LV"/>
              </w:rPr>
              <w:t>s</w:t>
            </w:r>
            <w:proofErr w:type="spellEnd"/>
            <w:r w:rsidRPr="009A4372">
              <w:rPr>
                <w:rFonts w:ascii="Times New Roman" w:eastAsia="Times New Roman" w:hAnsi="Times New Roman" w:cs="Times New Roman"/>
                <w:iCs/>
                <w:sz w:val="24"/>
                <w:szCs w:val="24"/>
                <w:u w:val="single"/>
                <w:lang w:eastAsia="lv-LV"/>
              </w:rPr>
              <w:t xml:space="preserve"> vai </w:t>
            </w:r>
            <w:r w:rsidRPr="00B572EA">
              <w:rPr>
                <w:rFonts w:ascii="Times New Roman" w:eastAsia="Times New Roman" w:hAnsi="Times New Roman" w:cs="Times New Roman"/>
                <w:iCs/>
                <w:sz w:val="24"/>
                <w:szCs w:val="24"/>
                <w:u w:val="single"/>
                <w:lang w:eastAsia="lv-LV"/>
              </w:rPr>
              <w:t xml:space="preserve"> ietekmes uz vidi novērtējum</w:t>
            </w:r>
            <w:r w:rsidR="009A4372">
              <w:rPr>
                <w:rFonts w:ascii="Times New Roman" w:eastAsia="Times New Roman" w:hAnsi="Times New Roman" w:cs="Times New Roman"/>
                <w:iCs/>
                <w:sz w:val="24"/>
                <w:szCs w:val="24"/>
                <w:u w:val="single"/>
                <w:lang w:eastAsia="lv-LV"/>
              </w:rPr>
              <w:t>s</w:t>
            </w:r>
            <w:r w:rsidR="001E0363">
              <w:rPr>
                <w:rFonts w:ascii="Times New Roman" w:eastAsia="Times New Roman" w:hAnsi="Times New Roman" w:cs="Times New Roman"/>
                <w:iCs/>
                <w:sz w:val="24"/>
                <w:szCs w:val="24"/>
                <w:u w:val="single"/>
                <w:lang w:eastAsia="lv-LV"/>
              </w:rPr>
              <w:t xml:space="preserve"> (turpmāk – IVN)</w:t>
            </w:r>
            <w:r w:rsidR="009A4372">
              <w:rPr>
                <w:rFonts w:ascii="Times New Roman" w:eastAsia="Times New Roman" w:hAnsi="Times New Roman" w:cs="Times New Roman"/>
                <w:iCs/>
                <w:sz w:val="24"/>
                <w:szCs w:val="24"/>
                <w:u w:val="single"/>
                <w:lang w:eastAsia="lv-LV"/>
              </w:rPr>
              <w:t>, kā arī pēc šo procedūru</w:t>
            </w:r>
            <w:r w:rsidRPr="00B572EA">
              <w:rPr>
                <w:rFonts w:ascii="Times New Roman" w:eastAsia="Times New Roman" w:hAnsi="Times New Roman" w:cs="Times New Roman"/>
                <w:iCs/>
                <w:sz w:val="24"/>
                <w:szCs w:val="24"/>
                <w:u w:val="single"/>
                <w:lang w:eastAsia="lv-LV"/>
              </w:rPr>
              <w:t xml:space="preserve"> veikšanas</w:t>
            </w:r>
            <w:r w:rsidRPr="00B572EA">
              <w:rPr>
                <w:rFonts w:ascii="Times New Roman" w:eastAsia="Times New Roman" w:hAnsi="Times New Roman" w:cs="Times New Roman"/>
                <w:iCs/>
                <w:sz w:val="24"/>
                <w:szCs w:val="24"/>
                <w:lang w:eastAsia="lv-LV"/>
              </w:rPr>
              <w:t>, ja t</w:t>
            </w:r>
            <w:r w:rsidR="009A4372">
              <w:rPr>
                <w:rFonts w:ascii="Times New Roman" w:eastAsia="Times New Roman" w:hAnsi="Times New Roman" w:cs="Times New Roman"/>
                <w:iCs/>
                <w:sz w:val="24"/>
                <w:szCs w:val="24"/>
                <w:lang w:eastAsia="lv-LV"/>
              </w:rPr>
              <w:t>o</w:t>
            </w:r>
            <w:r w:rsidRPr="00B572EA">
              <w:rPr>
                <w:rFonts w:ascii="Times New Roman" w:eastAsia="Times New Roman" w:hAnsi="Times New Roman" w:cs="Times New Roman"/>
                <w:iCs/>
                <w:sz w:val="24"/>
                <w:szCs w:val="24"/>
                <w:lang w:eastAsia="lv-LV"/>
              </w:rPr>
              <w:t xml:space="preserve"> veikšanu paredz ietekmes uz vidi novērtējum</w:t>
            </w:r>
            <w:r w:rsidR="009A4372">
              <w:rPr>
                <w:rFonts w:ascii="Times New Roman" w:eastAsia="Times New Roman" w:hAnsi="Times New Roman" w:cs="Times New Roman"/>
                <w:iCs/>
                <w:sz w:val="24"/>
                <w:szCs w:val="24"/>
                <w:lang w:eastAsia="lv-LV"/>
              </w:rPr>
              <w:t>u</w:t>
            </w:r>
            <w:r w:rsidRPr="00B572EA">
              <w:rPr>
                <w:rFonts w:ascii="Times New Roman" w:eastAsia="Times New Roman" w:hAnsi="Times New Roman" w:cs="Times New Roman"/>
                <w:iCs/>
                <w:sz w:val="24"/>
                <w:szCs w:val="24"/>
                <w:lang w:eastAsia="lv-LV"/>
              </w:rPr>
              <w:t xml:space="preserve"> regulējošie normatīvie akti. </w:t>
            </w:r>
            <w:r w:rsidRPr="001E0363">
              <w:rPr>
                <w:rFonts w:ascii="Times New Roman" w:eastAsia="Times New Roman" w:hAnsi="Times New Roman" w:cs="Times New Roman"/>
                <w:iCs/>
                <w:sz w:val="24"/>
                <w:szCs w:val="24"/>
                <w:lang w:eastAsia="lv-LV"/>
              </w:rPr>
              <w:t xml:space="preserve">Attiecīgi, </w:t>
            </w:r>
            <w:r w:rsidR="009A4372" w:rsidRPr="002611F2">
              <w:rPr>
                <w:rFonts w:ascii="Times New Roman" w:eastAsia="Times New Roman" w:hAnsi="Times New Roman" w:cs="Times New Roman"/>
                <w:iCs/>
                <w:sz w:val="24"/>
                <w:szCs w:val="24"/>
                <w:lang w:eastAsia="lv-LV"/>
              </w:rPr>
              <w:t xml:space="preserve">potenciālais ražotājs </w:t>
            </w:r>
            <w:r w:rsidR="001E0363">
              <w:rPr>
                <w:rFonts w:ascii="Times New Roman" w:eastAsia="Times New Roman" w:hAnsi="Times New Roman" w:cs="Times New Roman"/>
                <w:iCs/>
                <w:sz w:val="24"/>
                <w:szCs w:val="24"/>
                <w:lang w:eastAsia="lv-LV"/>
              </w:rPr>
              <w:t xml:space="preserve">jau būtu </w:t>
            </w:r>
            <w:r w:rsidR="009A4372" w:rsidRPr="002611F2">
              <w:rPr>
                <w:rFonts w:ascii="Times New Roman" w:eastAsia="Times New Roman" w:hAnsi="Times New Roman" w:cs="Times New Roman"/>
                <w:iCs/>
                <w:sz w:val="24"/>
                <w:szCs w:val="24"/>
                <w:lang w:eastAsia="lv-LV"/>
              </w:rPr>
              <w:t>saņ</w:t>
            </w:r>
            <w:r w:rsidR="001E0363">
              <w:rPr>
                <w:rFonts w:ascii="Times New Roman" w:eastAsia="Times New Roman" w:hAnsi="Times New Roman" w:cs="Times New Roman"/>
                <w:iCs/>
                <w:sz w:val="24"/>
                <w:szCs w:val="24"/>
                <w:lang w:eastAsia="lv-LV"/>
              </w:rPr>
              <w:t>ēmis</w:t>
            </w:r>
            <w:r w:rsidR="009A4372" w:rsidRPr="002611F2">
              <w:rPr>
                <w:rFonts w:ascii="Times New Roman" w:eastAsia="Times New Roman" w:hAnsi="Times New Roman" w:cs="Times New Roman"/>
                <w:iCs/>
                <w:sz w:val="24"/>
                <w:szCs w:val="24"/>
                <w:lang w:eastAsia="lv-LV"/>
              </w:rPr>
              <w:t xml:space="preserve"> vai nu </w:t>
            </w:r>
            <w:r w:rsidR="009A4372">
              <w:rPr>
                <w:rFonts w:ascii="Times New Roman" w:eastAsia="Times New Roman" w:hAnsi="Times New Roman" w:cs="Times New Roman"/>
                <w:iCs/>
                <w:sz w:val="24"/>
                <w:szCs w:val="24"/>
                <w:lang w:eastAsia="lv-LV"/>
              </w:rPr>
              <w:t xml:space="preserve">Valsts vides dienesta </w:t>
            </w:r>
            <w:r w:rsidR="009A4372" w:rsidRPr="002611F2">
              <w:rPr>
                <w:rFonts w:ascii="Times New Roman" w:eastAsia="Times New Roman" w:hAnsi="Times New Roman" w:cs="Times New Roman"/>
                <w:iCs/>
                <w:sz w:val="24"/>
                <w:szCs w:val="24"/>
                <w:lang w:eastAsia="lv-LV"/>
              </w:rPr>
              <w:t xml:space="preserve">tehniskos noteikumus </w:t>
            </w:r>
            <w:r w:rsidR="009A4372" w:rsidRPr="009A4372">
              <w:rPr>
                <w:rFonts w:ascii="Times New Roman" w:eastAsia="Times New Roman" w:hAnsi="Times New Roman" w:cs="Times New Roman"/>
                <w:iCs/>
                <w:sz w:val="24"/>
                <w:szCs w:val="24"/>
                <w:lang w:eastAsia="lv-LV"/>
              </w:rPr>
              <w:t xml:space="preserve">saskaņā ar </w:t>
            </w:r>
            <w:r w:rsidR="009A4372" w:rsidRPr="001E0363">
              <w:rPr>
                <w:rFonts w:ascii="Times New Roman" w:hAnsi="Times New Roman" w:cs="Times New Roman"/>
                <w:sz w:val="24"/>
                <w:szCs w:val="24"/>
              </w:rPr>
              <w:t>likuma “Par ietekmes uz vidi novērtējumu” 13. panta otro daļu</w:t>
            </w:r>
            <w:r w:rsidR="009A4372">
              <w:rPr>
                <w:rFonts w:ascii="Times New Roman" w:hAnsi="Times New Roman" w:cs="Times New Roman"/>
                <w:sz w:val="24"/>
                <w:szCs w:val="24"/>
              </w:rPr>
              <w:t>, kas tiek izsniegt</w:t>
            </w:r>
            <w:r w:rsidR="001630F0">
              <w:rPr>
                <w:rFonts w:ascii="Times New Roman" w:hAnsi="Times New Roman" w:cs="Times New Roman"/>
                <w:sz w:val="24"/>
                <w:szCs w:val="24"/>
              </w:rPr>
              <w:t>i</w:t>
            </w:r>
            <w:r w:rsidR="009A4372">
              <w:rPr>
                <w:rFonts w:ascii="Times New Roman" w:hAnsi="Times New Roman" w:cs="Times New Roman"/>
                <w:sz w:val="24"/>
                <w:szCs w:val="24"/>
              </w:rPr>
              <w:t xml:space="preserve"> arī paredzētajām darbībām pēc</w:t>
            </w:r>
            <w:r w:rsidR="009A4372" w:rsidRPr="009A4372">
              <w:rPr>
                <w:rFonts w:ascii="Times New Roman" w:eastAsia="Times New Roman" w:hAnsi="Times New Roman" w:cs="Times New Roman"/>
                <w:iCs/>
                <w:sz w:val="24"/>
                <w:szCs w:val="24"/>
                <w:lang w:eastAsia="lv-LV"/>
              </w:rPr>
              <w:t xml:space="preserve"> </w:t>
            </w:r>
            <w:r w:rsidRPr="001E0363">
              <w:rPr>
                <w:rFonts w:ascii="Times New Roman" w:eastAsia="Times New Roman" w:hAnsi="Times New Roman" w:cs="Times New Roman"/>
                <w:iCs/>
                <w:sz w:val="24"/>
                <w:szCs w:val="24"/>
                <w:lang w:eastAsia="lv-LV"/>
              </w:rPr>
              <w:t xml:space="preserve">sākotnējā ietekmes </w:t>
            </w:r>
            <w:proofErr w:type="spellStart"/>
            <w:r w:rsidR="009A4372">
              <w:rPr>
                <w:rFonts w:ascii="Times New Roman" w:eastAsia="Times New Roman" w:hAnsi="Times New Roman" w:cs="Times New Roman"/>
                <w:iCs/>
                <w:sz w:val="24"/>
                <w:szCs w:val="24"/>
                <w:lang w:eastAsia="lv-LV"/>
              </w:rPr>
              <w:t>iz</w:t>
            </w:r>
            <w:r w:rsidRPr="001E0363">
              <w:rPr>
                <w:rFonts w:ascii="Times New Roman" w:eastAsia="Times New Roman" w:hAnsi="Times New Roman" w:cs="Times New Roman"/>
                <w:iCs/>
                <w:sz w:val="24"/>
                <w:szCs w:val="24"/>
                <w:lang w:eastAsia="lv-LV"/>
              </w:rPr>
              <w:t>vērtējuma</w:t>
            </w:r>
            <w:proofErr w:type="spellEnd"/>
            <w:r w:rsidR="009A4372">
              <w:rPr>
                <w:rFonts w:ascii="Times New Roman" w:eastAsia="Times New Roman" w:hAnsi="Times New Roman" w:cs="Times New Roman"/>
                <w:iCs/>
                <w:sz w:val="24"/>
                <w:szCs w:val="24"/>
                <w:lang w:eastAsia="lv-LV"/>
              </w:rPr>
              <w:t xml:space="preserve">, ja netiek piemērots ietekmes uz vidi novērtējums, vai akcepta lēmumu pēc ietekmes uz vidi novērtējuma, kas </w:t>
            </w:r>
            <w:r w:rsidR="009A4372" w:rsidRPr="009A4372">
              <w:rPr>
                <w:rFonts w:ascii="Times New Roman" w:eastAsia="Times New Roman" w:hAnsi="Times New Roman" w:cs="Times New Roman"/>
                <w:iCs/>
                <w:sz w:val="24"/>
                <w:szCs w:val="24"/>
                <w:lang w:eastAsia="lv-LV"/>
              </w:rPr>
              <w:t xml:space="preserve">saskaņā ar </w:t>
            </w:r>
            <w:r w:rsidR="009A4372" w:rsidRPr="002611F2">
              <w:rPr>
                <w:rFonts w:ascii="Times New Roman" w:hAnsi="Times New Roman" w:cs="Times New Roman"/>
                <w:sz w:val="24"/>
                <w:szCs w:val="24"/>
              </w:rPr>
              <w:t xml:space="preserve">likuma “Par ietekmes uz vidi novērtējumu” </w:t>
            </w:r>
            <w:r w:rsidR="009A4372">
              <w:rPr>
                <w:rFonts w:ascii="Times New Roman" w:hAnsi="Times New Roman" w:cs="Times New Roman"/>
                <w:sz w:val="24"/>
                <w:szCs w:val="24"/>
              </w:rPr>
              <w:t>21</w:t>
            </w:r>
            <w:r w:rsidR="009A4372" w:rsidRPr="002611F2">
              <w:rPr>
                <w:rFonts w:ascii="Times New Roman" w:hAnsi="Times New Roman" w:cs="Times New Roman"/>
                <w:sz w:val="24"/>
                <w:szCs w:val="24"/>
              </w:rPr>
              <w:t>. pant</w:t>
            </w:r>
            <w:r w:rsidR="009A4372">
              <w:rPr>
                <w:rFonts w:ascii="Times New Roman" w:hAnsi="Times New Roman" w:cs="Times New Roman"/>
                <w:sz w:val="24"/>
                <w:szCs w:val="24"/>
              </w:rPr>
              <w:t xml:space="preserve">a pirmo daļu </w:t>
            </w:r>
            <w:r w:rsidR="009A4372" w:rsidRPr="009A4372">
              <w:rPr>
                <w:rFonts w:ascii="Times New Roman" w:hAnsi="Times New Roman" w:cs="Times New Roman"/>
                <w:sz w:val="24"/>
                <w:szCs w:val="24"/>
              </w:rPr>
              <w:t xml:space="preserve">ir </w:t>
            </w:r>
            <w:r w:rsidR="009A4372" w:rsidRPr="001E0363">
              <w:rPr>
                <w:rFonts w:ascii="Times New Roman" w:hAnsi="Times New Roman" w:cs="Times New Roman"/>
                <w:sz w:val="24"/>
                <w:szCs w:val="24"/>
              </w:rPr>
              <w:t>attiecīgās valsts institūcijas, pašvaldības, citas likumā noteiktās institūcijas vai Ministru kabineta lēmums par atļauju uzsākt paredzēto darbību</w:t>
            </w:r>
            <w:r w:rsidRPr="001E0363">
              <w:rPr>
                <w:rFonts w:ascii="Times New Roman" w:eastAsia="Times New Roman" w:hAnsi="Times New Roman" w:cs="Times New Roman"/>
                <w:iCs/>
                <w:sz w:val="24"/>
                <w:szCs w:val="24"/>
                <w:lang w:eastAsia="lv-LV"/>
              </w:rPr>
              <w:t>, kas kopā ar pārējiem Noteikumu Nr. 883 2.punktā minētajiem dokumentiem būtu jāiesniedz Ekonomikas ministrijā atļaujas saņemšanai. Vēršoties Ministrijā jau ar šādiem tehniskajiem noteikumiem vai</w:t>
            </w:r>
            <w:r w:rsidR="008D777A" w:rsidRPr="001E0363">
              <w:rPr>
                <w:rFonts w:ascii="Times New Roman" w:eastAsia="Times New Roman" w:hAnsi="Times New Roman" w:cs="Times New Roman"/>
                <w:iCs/>
                <w:sz w:val="24"/>
                <w:szCs w:val="24"/>
                <w:lang w:eastAsia="lv-LV"/>
              </w:rPr>
              <w:t xml:space="preserve"> </w:t>
            </w:r>
            <w:r w:rsidR="00324900" w:rsidRPr="001E0363">
              <w:rPr>
                <w:rFonts w:ascii="Times New Roman" w:eastAsia="Times New Roman" w:hAnsi="Times New Roman" w:cs="Times New Roman"/>
                <w:iCs/>
                <w:sz w:val="24"/>
                <w:szCs w:val="24"/>
                <w:lang w:eastAsia="lv-LV"/>
              </w:rPr>
              <w:t>akcepta lēmumu</w:t>
            </w:r>
            <w:r w:rsidRPr="001E0363">
              <w:rPr>
                <w:rFonts w:ascii="Times New Roman" w:eastAsia="Times New Roman" w:hAnsi="Times New Roman" w:cs="Times New Roman"/>
                <w:iCs/>
                <w:sz w:val="24"/>
                <w:szCs w:val="24"/>
                <w:lang w:eastAsia="lv-LV"/>
              </w:rPr>
              <w:t>, Ministrija varētu gūt lielāku pārliecību par šī projekta īstenotāja nodomiem un praktiskajām iespējām šo elektrostaciju realitātē arī izbūvēt, nevis nelietderīgi rezervēt elektrosistēmas jaudu uz vairākiem gadiem</w:t>
            </w:r>
            <w:r w:rsidR="001E0363">
              <w:rPr>
                <w:rFonts w:ascii="Times New Roman" w:eastAsia="Times New Roman" w:hAnsi="Times New Roman" w:cs="Times New Roman"/>
                <w:iCs/>
                <w:sz w:val="24"/>
                <w:szCs w:val="24"/>
                <w:lang w:eastAsia="lv-LV"/>
              </w:rPr>
              <w:t>, pirms noskaidrots, vai projekta īstenošanai nav no vides aizsardzības apsvērumiem izrietoši šķēršļi</w:t>
            </w:r>
            <w:r w:rsidRPr="001E0363">
              <w:rPr>
                <w:rFonts w:ascii="Times New Roman" w:eastAsia="Times New Roman" w:hAnsi="Times New Roman" w:cs="Times New Roman"/>
                <w:iCs/>
                <w:sz w:val="24"/>
                <w:szCs w:val="24"/>
                <w:lang w:eastAsia="lv-LV"/>
              </w:rPr>
              <w:t>.</w:t>
            </w:r>
          </w:p>
          <w:p w14:paraId="037AAB7C" w14:textId="77777777" w:rsidR="00325A49" w:rsidRPr="001E0363" w:rsidRDefault="00325A49" w:rsidP="00325A49">
            <w:pPr>
              <w:pStyle w:val="ListParagraph"/>
              <w:spacing w:after="0" w:line="240" w:lineRule="auto"/>
              <w:jc w:val="both"/>
              <w:rPr>
                <w:rFonts w:ascii="Times New Roman" w:eastAsia="Times New Roman" w:hAnsi="Times New Roman" w:cs="Times New Roman"/>
                <w:iCs/>
                <w:sz w:val="24"/>
                <w:szCs w:val="24"/>
                <w:lang w:eastAsia="lv-LV"/>
              </w:rPr>
            </w:pPr>
          </w:p>
          <w:p w14:paraId="39978DAA" w14:textId="78613369" w:rsidR="0065312B" w:rsidRPr="0065312B" w:rsidRDefault="00824A5D" w:rsidP="0065312B">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5312B">
              <w:rPr>
                <w:rFonts w:ascii="Times New Roman" w:eastAsia="Times New Roman" w:hAnsi="Times New Roman" w:cs="Times New Roman"/>
                <w:iCs/>
                <w:sz w:val="24"/>
                <w:szCs w:val="24"/>
                <w:u w:val="single"/>
                <w:lang w:eastAsia="lv-LV"/>
              </w:rPr>
              <w:t>Būvniecības uzsākšanas termiņš no Atļaujas saņemšanas brīža tiek noteikts 6 mēneši</w:t>
            </w:r>
            <w:r w:rsidRPr="0065312B">
              <w:rPr>
                <w:rFonts w:ascii="Times New Roman" w:eastAsia="Times New Roman" w:hAnsi="Times New Roman" w:cs="Times New Roman"/>
                <w:iCs/>
                <w:sz w:val="24"/>
                <w:szCs w:val="24"/>
                <w:lang w:eastAsia="lv-LV"/>
              </w:rPr>
              <w:t xml:space="preserve"> (pašreizējo 24 mēnešu vietā). Ņemot vērā 1) punktā minēto principu, saņemot Ministrijas atļauju, IVN jau būtu veikts, tādējādi zūd nepieciešamība pēc garāka būvniecības uzsākšanas termiņa, jo IVN veikšana ir </w:t>
            </w:r>
            <w:r w:rsidR="001E0363" w:rsidRPr="0065312B">
              <w:rPr>
                <w:rFonts w:ascii="Times New Roman" w:eastAsia="Times New Roman" w:hAnsi="Times New Roman" w:cs="Times New Roman"/>
                <w:iCs/>
                <w:sz w:val="24"/>
                <w:szCs w:val="24"/>
                <w:lang w:eastAsia="lv-LV"/>
              </w:rPr>
              <w:t xml:space="preserve">viens no </w:t>
            </w:r>
            <w:r w:rsidRPr="0065312B">
              <w:rPr>
                <w:rFonts w:ascii="Times New Roman" w:eastAsia="Times New Roman" w:hAnsi="Times New Roman" w:cs="Times New Roman"/>
                <w:iCs/>
                <w:sz w:val="24"/>
                <w:szCs w:val="24"/>
                <w:lang w:eastAsia="lv-LV"/>
              </w:rPr>
              <w:t>laikietilpīgāka</w:t>
            </w:r>
            <w:r w:rsidR="001E0363" w:rsidRPr="0065312B">
              <w:rPr>
                <w:rFonts w:ascii="Times New Roman" w:eastAsia="Times New Roman" w:hAnsi="Times New Roman" w:cs="Times New Roman"/>
                <w:iCs/>
                <w:sz w:val="24"/>
                <w:szCs w:val="24"/>
                <w:lang w:eastAsia="lv-LV"/>
              </w:rPr>
              <w:t>jiem</w:t>
            </w:r>
            <w:r w:rsidRPr="0065312B">
              <w:rPr>
                <w:rFonts w:ascii="Times New Roman" w:eastAsia="Times New Roman" w:hAnsi="Times New Roman" w:cs="Times New Roman"/>
                <w:iCs/>
                <w:sz w:val="24"/>
                <w:szCs w:val="24"/>
                <w:lang w:eastAsia="lv-LV"/>
              </w:rPr>
              <w:t xml:space="preserve"> administratīva</w:t>
            </w:r>
            <w:r w:rsidR="001E0363" w:rsidRPr="0065312B">
              <w:rPr>
                <w:rFonts w:ascii="Times New Roman" w:eastAsia="Times New Roman" w:hAnsi="Times New Roman" w:cs="Times New Roman"/>
                <w:iCs/>
                <w:sz w:val="24"/>
                <w:szCs w:val="24"/>
                <w:lang w:eastAsia="lv-LV"/>
              </w:rPr>
              <w:t>jiem</w:t>
            </w:r>
            <w:r w:rsidRPr="0065312B">
              <w:rPr>
                <w:rFonts w:ascii="Times New Roman" w:eastAsia="Times New Roman" w:hAnsi="Times New Roman" w:cs="Times New Roman"/>
                <w:iCs/>
                <w:sz w:val="24"/>
                <w:szCs w:val="24"/>
                <w:lang w:eastAsia="lv-LV"/>
              </w:rPr>
              <w:t xml:space="preserve"> proces</w:t>
            </w:r>
            <w:r w:rsidR="001E0363" w:rsidRPr="0065312B">
              <w:rPr>
                <w:rFonts w:ascii="Times New Roman" w:eastAsia="Times New Roman" w:hAnsi="Times New Roman" w:cs="Times New Roman"/>
                <w:iCs/>
                <w:sz w:val="24"/>
                <w:szCs w:val="24"/>
                <w:lang w:eastAsia="lv-LV"/>
              </w:rPr>
              <w:t>iem</w:t>
            </w:r>
            <w:r w:rsidRPr="0065312B">
              <w:rPr>
                <w:rFonts w:ascii="Times New Roman" w:eastAsia="Times New Roman" w:hAnsi="Times New Roman" w:cs="Times New Roman"/>
                <w:iCs/>
                <w:sz w:val="24"/>
                <w:szCs w:val="24"/>
                <w:lang w:eastAsia="lv-LV"/>
              </w:rPr>
              <w:t xml:space="preserve"> elektrostacijas realizēšanas gaitā.</w:t>
            </w:r>
            <w:r w:rsidR="00221BD4" w:rsidRPr="0065312B">
              <w:rPr>
                <w:rFonts w:ascii="Times New Roman" w:eastAsia="Times New Roman" w:hAnsi="Times New Roman" w:cs="Times New Roman"/>
                <w:iCs/>
                <w:sz w:val="24"/>
                <w:szCs w:val="24"/>
                <w:lang w:eastAsia="lv-LV"/>
              </w:rPr>
              <w:t xml:space="preserve"> </w:t>
            </w:r>
            <w:r w:rsidR="00823D22" w:rsidRPr="0065312B">
              <w:rPr>
                <w:rFonts w:ascii="Times New Roman" w:eastAsia="Times New Roman" w:hAnsi="Times New Roman" w:cs="Times New Roman"/>
                <w:iCs/>
                <w:sz w:val="24"/>
                <w:szCs w:val="24"/>
                <w:lang w:eastAsia="lv-LV"/>
              </w:rPr>
              <w:t>Ja Ministrija nesaņem</w:t>
            </w:r>
            <w:r w:rsidR="00221BD4" w:rsidRPr="0065312B">
              <w:rPr>
                <w:rFonts w:ascii="Times New Roman" w:eastAsia="Times New Roman" w:hAnsi="Times New Roman" w:cs="Times New Roman"/>
                <w:iCs/>
                <w:sz w:val="24"/>
                <w:szCs w:val="24"/>
                <w:lang w:eastAsia="lv-LV"/>
              </w:rPr>
              <w:t>s</w:t>
            </w:r>
            <w:r w:rsidR="00823D22" w:rsidRPr="0065312B">
              <w:rPr>
                <w:rFonts w:ascii="Times New Roman" w:eastAsia="Times New Roman" w:hAnsi="Times New Roman" w:cs="Times New Roman"/>
                <w:iCs/>
                <w:sz w:val="24"/>
                <w:szCs w:val="24"/>
                <w:lang w:eastAsia="lv-LV"/>
              </w:rPr>
              <w:t xml:space="preserve"> Noteikumu Nr.883 7.punktā minēto apliecinājumu par būvniecības uzsākšanu</w:t>
            </w:r>
            <w:r w:rsidR="00221BD4" w:rsidRPr="0065312B">
              <w:rPr>
                <w:rFonts w:ascii="Times New Roman" w:eastAsia="Times New Roman" w:hAnsi="Times New Roman" w:cs="Times New Roman"/>
                <w:iCs/>
                <w:sz w:val="24"/>
                <w:szCs w:val="24"/>
                <w:lang w:eastAsia="lv-LV"/>
              </w:rPr>
              <w:t xml:space="preserve"> 6 mēnešu laikā</w:t>
            </w:r>
            <w:r w:rsidRPr="0065312B">
              <w:rPr>
                <w:rFonts w:ascii="Times New Roman" w:eastAsia="Times New Roman" w:hAnsi="Times New Roman" w:cs="Times New Roman"/>
                <w:iCs/>
                <w:sz w:val="24"/>
                <w:szCs w:val="24"/>
                <w:lang w:eastAsia="lv-LV"/>
              </w:rPr>
              <w:t xml:space="preserve">, </w:t>
            </w:r>
            <w:r w:rsidR="00823D22" w:rsidRPr="0065312B">
              <w:rPr>
                <w:rFonts w:ascii="Times New Roman" w:eastAsia="Times New Roman" w:hAnsi="Times New Roman" w:cs="Times New Roman"/>
                <w:iCs/>
                <w:sz w:val="24"/>
                <w:szCs w:val="24"/>
                <w:lang w:eastAsia="lv-LV"/>
              </w:rPr>
              <w:t xml:space="preserve"> </w:t>
            </w:r>
            <w:r w:rsidR="004E693F">
              <w:rPr>
                <w:rFonts w:ascii="Times New Roman" w:eastAsia="Times New Roman" w:hAnsi="Times New Roman" w:cs="Times New Roman"/>
                <w:iCs/>
                <w:sz w:val="24"/>
                <w:szCs w:val="24"/>
                <w:lang w:eastAsia="lv-LV"/>
              </w:rPr>
              <w:t>Ministrija anulēs atļauju</w:t>
            </w:r>
            <w:r w:rsidR="00221BD4" w:rsidRPr="0065312B">
              <w:rPr>
                <w:rFonts w:ascii="Times New Roman" w:eastAsia="Times New Roman" w:hAnsi="Times New Roman" w:cs="Times New Roman"/>
                <w:iCs/>
                <w:sz w:val="24"/>
                <w:szCs w:val="24"/>
                <w:lang w:eastAsia="lv-LV"/>
              </w:rPr>
              <w:t xml:space="preserve">. </w:t>
            </w:r>
            <w:r w:rsidR="0065312B" w:rsidRPr="0065312B">
              <w:rPr>
                <w:rFonts w:ascii="Times New Roman" w:eastAsia="Times New Roman" w:hAnsi="Times New Roman" w:cs="Times New Roman"/>
                <w:iCs/>
                <w:sz w:val="24"/>
                <w:szCs w:val="24"/>
                <w:lang w:eastAsia="lv-LV"/>
              </w:rPr>
              <w:t>S</w:t>
            </w:r>
            <w:r w:rsidR="0065312B" w:rsidRPr="0065312B">
              <w:rPr>
                <w:rFonts w:ascii="Times New Roman" w:hAnsi="Times New Roman" w:cs="Times New Roman"/>
                <w:color w:val="000000"/>
                <w:sz w:val="24"/>
                <w:szCs w:val="24"/>
              </w:rPr>
              <w:t>istēmas operators nav tiesīgs pieslēgt elektroenerģijas ražošanas jaudu sistēmai, ja atļauja nav spēkā esoša</w:t>
            </w:r>
            <w:r w:rsidR="0065312B">
              <w:rPr>
                <w:rFonts w:ascii="Times New Roman" w:hAnsi="Times New Roman" w:cs="Times New Roman"/>
                <w:color w:val="000000"/>
                <w:sz w:val="24"/>
                <w:szCs w:val="24"/>
              </w:rPr>
              <w:t>.</w:t>
            </w:r>
          </w:p>
          <w:p w14:paraId="41A362E2" w14:textId="5DF06955" w:rsidR="00325A49" w:rsidRDefault="00325A49" w:rsidP="00325A49">
            <w:pPr>
              <w:pStyle w:val="ListParagraph"/>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 tiesiskās paļāvības principu,</w:t>
            </w:r>
            <w:r w:rsidR="006142C6">
              <w:rPr>
                <w:rFonts w:ascii="Times New Roman" w:eastAsia="Times New Roman" w:hAnsi="Times New Roman" w:cs="Times New Roman"/>
                <w:iCs/>
                <w:sz w:val="24"/>
                <w:szCs w:val="24"/>
                <w:lang w:eastAsia="lv-LV"/>
              </w:rPr>
              <w:t xml:space="preserve"> noteikumu projekta beigās ir pievienots pārejas regulējums, kas nosaka, ka</w:t>
            </w:r>
            <w:r>
              <w:rPr>
                <w:rFonts w:ascii="Times New Roman" w:eastAsia="Times New Roman" w:hAnsi="Times New Roman" w:cs="Times New Roman"/>
                <w:iCs/>
                <w:sz w:val="24"/>
                <w:szCs w:val="24"/>
                <w:lang w:eastAsia="lv-LV"/>
              </w:rPr>
              <w:t xml:space="preserve"> </w:t>
            </w:r>
            <w:r w:rsidR="000363B8">
              <w:rPr>
                <w:rFonts w:ascii="Times New Roman" w:eastAsia="Times New Roman" w:hAnsi="Times New Roman" w:cs="Times New Roman"/>
                <w:iCs/>
                <w:sz w:val="24"/>
                <w:szCs w:val="24"/>
                <w:lang w:eastAsia="lv-LV"/>
              </w:rPr>
              <w:t xml:space="preserve">uz atļaujām, kas izsniegtas saskaņā ar Noteikumiem Nr.883, joprojām attieksies 24 mēnešu būvniecības uzsākšanas termiņš. </w:t>
            </w:r>
          </w:p>
          <w:p w14:paraId="39FF5CED" w14:textId="77777777" w:rsidR="00A47C77" w:rsidRPr="00B572EA" w:rsidRDefault="00A47C77" w:rsidP="00A47C77">
            <w:pPr>
              <w:pStyle w:val="ListParagraph"/>
              <w:spacing w:after="0" w:line="240" w:lineRule="auto"/>
              <w:jc w:val="both"/>
              <w:rPr>
                <w:rFonts w:ascii="Times New Roman" w:eastAsia="Times New Roman" w:hAnsi="Times New Roman" w:cs="Times New Roman"/>
                <w:iCs/>
                <w:sz w:val="24"/>
                <w:szCs w:val="24"/>
                <w:lang w:eastAsia="lv-LV"/>
              </w:rPr>
            </w:pPr>
          </w:p>
          <w:p w14:paraId="1EAC37FD" w14:textId="5944178D" w:rsidR="00C20647" w:rsidRDefault="00C20647" w:rsidP="00221BD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Lai novērstu situācijas, kad topošais elektroenerģijas ražotājs neuzsāk būvniecību laikā vai arī nepabeidz to atļaujā noteiktajā termiņā, </w:t>
            </w:r>
            <w:r w:rsidR="00221BD4" w:rsidRPr="00B572EA">
              <w:rPr>
                <w:rFonts w:ascii="Times New Roman" w:eastAsia="Times New Roman" w:hAnsi="Times New Roman" w:cs="Times New Roman"/>
                <w:iCs/>
                <w:sz w:val="24"/>
                <w:szCs w:val="24"/>
                <w:lang w:eastAsia="lv-LV"/>
              </w:rPr>
              <w:t>noteikumi papildus ievieš</w:t>
            </w:r>
            <w:r w:rsidRPr="00B572EA">
              <w:rPr>
                <w:rFonts w:ascii="Times New Roman" w:eastAsia="Times New Roman" w:hAnsi="Times New Roman" w:cs="Times New Roman"/>
                <w:iCs/>
                <w:sz w:val="24"/>
                <w:szCs w:val="24"/>
                <w:lang w:eastAsia="lv-LV"/>
              </w:rPr>
              <w:t xml:space="preserve"> </w:t>
            </w:r>
            <w:r w:rsidRPr="00B572EA">
              <w:rPr>
                <w:rFonts w:ascii="Times New Roman" w:eastAsia="Times New Roman" w:hAnsi="Times New Roman" w:cs="Times New Roman"/>
                <w:iCs/>
                <w:sz w:val="24"/>
                <w:szCs w:val="24"/>
                <w:u w:val="single"/>
                <w:lang w:eastAsia="lv-LV"/>
              </w:rPr>
              <w:t>drošības naudas iemaks</w:t>
            </w:r>
            <w:r w:rsidR="00221BD4" w:rsidRPr="00B572EA">
              <w:rPr>
                <w:rFonts w:ascii="Times New Roman" w:eastAsia="Times New Roman" w:hAnsi="Times New Roman" w:cs="Times New Roman"/>
                <w:iCs/>
                <w:sz w:val="24"/>
                <w:szCs w:val="24"/>
                <w:u w:val="single"/>
                <w:lang w:eastAsia="lv-LV"/>
              </w:rPr>
              <w:t>u</w:t>
            </w:r>
            <w:r w:rsidRPr="00B572EA">
              <w:rPr>
                <w:rFonts w:ascii="Times New Roman" w:eastAsia="Times New Roman" w:hAnsi="Times New Roman" w:cs="Times New Roman"/>
                <w:iCs/>
                <w:sz w:val="24"/>
                <w:szCs w:val="24"/>
                <w:u w:val="single"/>
                <w:lang w:eastAsia="lv-LV"/>
              </w:rPr>
              <w:t xml:space="preserve"> (elektrostacijām ar jaudu virs 1MW)</w:t>
            </w:r>
            <w:r w:rsidRPr="00B572EA">
              <w:rPr>
                <w:rFonts w:ascii="Times New Roman" w:eastAsia="Times New Roman" w:hAnsi="Times New Roman" w:cs="Times New Roman"/>
                <w:iCs/>
                <w:sz w:val="24"/>
                <w:szCs w:val="24"/>
                <w:lang w:eastAsia="lv-LV"/>
              </w:rPr>
              <w:t>. Drošības nauda</w:t>
            </w:r>
            <w:r w:rsidR="00221BD4" w:rsidRPr="00B572EA">
              <w:rPr>
                <w:rFonts w:ascii="Times New Roman" w:eastAsia="Times New Roman" w:hAnsi="Times New Roman" w:cs="Times New Roman"/>
                <w:iCs/>
                <w:sz w:val="24"/>
                <w:szCs w:val="24"/>
                <w:lang w:eastAsia="lv-LV"/>
              </w:rPr>
              <w:t>s apmērs</w:t>
            </w:r>
            <w:r w:rsidRPr="00B572EA">
              <w:rPr>
                <w:rFonts w:ascii="Times New Roman" w:eastAsia="Times New Roman" w:hAnsi="Times New Roman" w:cs="Times New Roman"/>
                <w:iCs/>
                <w:sz w:val="24"/>
                <w:szCs w:val="24"/>
                <w:lang w:eastAsia="lv-LV"/>
              </w:rPr>
              <w:t xml:space="preserve"> </w:t>
            </w:r>
            <w:r w:rsidR="00221BD4" w:rsidRPr="00B572EA">
              <w:rPr>
                <w:rFonts w:ascii="Times New Roman" w:eastAsia="Times New Roman" w:hAnsi="Times New Roman" w:cs="Times New Roman"/>
                <w:iCs/>
                <w:sz w:val="24"/>
                <w:szCs w:val="24"/>
                <w:lang w:eastAsia="lv-LV"/>
              </w:rPr>
              <w:t>ir</w:t>
            </w:r>
            <w:r w:rsidRPr="00B572EA">
              <w:rPr>
                <w:rFonts w:ascii="Times New Roman" w:eastAsia="Times New Roman" w:hAnsi="Times New Roman" w:cs="Times New Roman"/>
                <w:iCs/>
                <w:sz w:val="24"/>
                <w:szCs w:val="24"/>
                <w:lang w:eastAsia="lv-LV"/>
              </w:rPr>
              <w:t xml:space="preserve"> atkarīga no uzstādāmās elektroenerģijas ražošanas jaudas (EUR/MW) un jāiemaksā</w:t>
            </w:r>
            <w:r w:rsidR="00221BD4" w:rsidRPr="00B572EA">
              <w:rPr>
                <w:rFonts w:ascii="Times New Roman" w:eastAsia="Times New Roman" w:hAnsi="Times New Roman" w:cs="Times New Roman"/>
                <w:iCs/>
                <w:sz w:val="24"/>
                <w:szCs w:val="24"/>
                <w:lang w:eastAsia="lv-LV"/>
              </w:rPr>
              <w:t xml:space="preserve"> </w:t>
            </w:r>
            <w:r w:rsidRPr="00B572EA">
              <w:rPr>
                <w:rFonts w:ascii="Times New Roman" w:eastAsia="Times New Roman" w:hAnsi="Times New Roman" w:cs="Times New Roman"/>
                <w:iCs/>
                <w:sz w:val="24"/>
                <w:szCs w:val="24"/>
                <w:lang w:eastAsia="lv-LV"/>
              </w:rPr>
              <w:t>speciāli izveidot</w:t>
            </w:r>
            <w:r w:rsidR="00221BD4" w:rsidRPr="00B572EA">
              <w:rPr>
                <w:rFonts w:ascii="Times New Roman" w:eastAsia="Times New Roman" w:hAnsi="Times New Roman" w:cs="Times New Roman"/>
                <w:iCs/>
                <w:sz w:val="24"/>
                <w:szCs w:val="24"/>
                <w:lang w:eastAsia="lv-LV"/>
              </w:rPr>
              <w:t>ā</w:t>
            </w:r>
            <w:r w:rsidRPr="00B572EA">
              <w:rPr>
                <w:rFonts w:ascii="Times New Roman" w:eastAsia="Times New Roman" w:hAnsi="Times New Roman" w:cs="Times New Roman"/>
                <w:iCs/>
                <w:sz w:val="24"/>
                <w:szCs w:val="24"/>
                <w:lang w:eastAsia="lv-LV"/>
              </w:rPr>
              <w:t xml:space="preserve"> </w:t>
            </w:r>
            <w:r w:rsidR="00204225">
              <w:rPr>
                <w:rFonts w:ascii="Times New Roman" w:eastAsia="Times New Roman" w:hAnsi="Times New Roman" w:cs="Times New Roman"/>
                <w:iCs/>
                <w:sz w:val="24"/>
                <w:szCs w:val="24"/>
                <w:lang w:eastAsia="lv-LV"/>
              </w:rPr>
              <w:t>Ministrijas</w:t>
            </w:r>
            <w:r w:rsidRPr="00B572EA">
              <w:rPr>
                <w:rFonts w:ascii="Times New Roman" w:eastAsia="Times New Roman" w:hAnsi="Times New Roman" w:cs="Times New Roman"/>
                <w:iCs/>
                <w:sz w:val="24"/>
                <w:szCs w:val="24"/>
                <w:lang w:eastAsia="lv-LV"/>
              </w:rPr>
              <w:t xml:space="preserve"> deponēto naudas līdzekļu uzskaites kontā. Ieviešot elektrostaciju atbilstoši atļaujā noteiktajiem termiņiem (tostarp paturot iespēju par </w:t>
            </w:r>
            <w:r w:rsidR="00204225">
              <w:rPr>
                <w:rFonts w:ascii="Times New Roman" w:eastAsia="Times New Roman" w:hAnsi="Times New Roman" w:cs="Times New Roman"/>
                <w:iCs/>
                <w:sz w:val="24"/>
                <w:szCs w:val="24"/>
                <w:lang w:eastAsia="lv-LV"/>
              </w:rPr>
              <w:t>2</w:t>
            </w:r>
            <w:r w:rsidRPr="00B572EA">
              <w:rPr>
                <w:rFonts w:ascii="Times New Roman" w:eastAsia="Times New Roman" w:hAnsi="Times New Roman" w:cs="Times New Roman"/>
                <w:iCs/>
                <w:sz w:val="24"/>
                <w:szCs w:val="24"/>
                <w:lang w:eastAsia="lv-LV"/>
              </w:rPr>
              <w:t xml:space="preserve"> gad</w:t>
            </w:r>
            <w:r w:rsidR="00204225">
              <w:rPr>
                <w:rFonts w:ascii="Times New Roman" w:eastAsia="Times New Roman" w:hAnsi="Times New Roman" w:cs="Times New Roman"/>
                <w:iCs/>
                <w:sz w:val="24"/>
                <w:szCs w:val="24"/>
                <w:lang w:eastAsia="lv-LV"/>
              </w:rPr>
              <w:t>iem</w:t>
            </w:r>
            <w:r w:rsidRPr="00B572EA">
              <w:rPr>
                <w:rFonts w:ascii="Times New Roman" w:eastAsia="Times New Roman" w:hAnsi="Times New Roman" w:cs="Times New Roman"/>
                <w:iCs/>
                <w:sz w:val="24"/>
                <w:szCs w:val="24"/>
                <w:lang w:eastAsia="lv-LV"/>
              </w:rPr>
              <w:t xml:space="preserve"> pagarināt atļaujas derīguma termiņu), elektroenerģijas ražotājs pēc apliecinājuma iesniegšanas par pieslēgšanos elektroenerģijas </w:t>
            </w:r>
            <w:r w:rsidR="00204225">
              <w:rPr>
                <w:rFonts w:ascii="Times New Roman" w:eastAsia="Times New Roman" w:hAnsi="Times New Roman" w:cs="Times New Roman"/>
                <w:iCs/>
                <w:sz w:val="24"/>
                <w:szCs w:val="24"/>
                <w:lang w:eastAsia="lv-LV"/>
              </w:rPr>
              <w:t>tīklam</w:t>
            </w:r>
            <w:r w:rsidRPr="00B572EA">
              <w:rPr>
                <w:rFonts w:ascii="Times New Roman" w:eastAsia="Times New Roman" w:hAnsi="Times New Roman" w:cs="Times New Roman"/>
                <w:iCs/>
                <w:sz w:val="24"/>
                <w:szCs w:val="24"/>
                <w:lang w:eastAsia="lv-LV"/>
              </w:rPr>
              <w:t>, varē</w:t>
            </w:r>
            <w:r w:rsidR="008D777A" w:rsidRPr="00B572EA">
              <w:rPr>
                <w:rFonts w:ascii="Times New Roman" w:eastAsia="Times New Roman" w:hAnsi="Times New Roman" w:cs="Times New Roman"/>
                <w:iCs/>
                <w:sz w:val="24"/>
                <w:szCs w:val="24"/>
                <w:lang w:eastAsia="lv-LV"/>
              </w:rPr>
              <w:t>s</w:t>
            </w:r>
            <w:r w:rsidRPr="00B572EA">
              <w:rPr>
                <w:rFonts w:ascii="Times New Roman" w:eastAsia="Times New Roman" w:hAnsi="Times New Roman" w:cs="Times New Roman"/>
                <w:iCs/>
                <w:sz w:val="24"/>
                <w:szCs w:val="24"/>
                <w:lang w:eastAsia="lv-LV"/>
              </w:rPr>
              <w:t xml:space="preserve"> saņemt atpakaļ savu iemaksāto drošības naudu. </w:t>
            </w:r>
            <w:r w:rsidR="008D777A" w:rsidRPr="00B572EA">
              <w:rPr>
                <w:rFonts w:ascii="Times New Roman" w:eastAsia="Times New Roman" w:hAnsi="Times New Roman" w:cs="Times New Roman"/>
                <w:iCs/>
                <w:sz w:val="24"/>
                <w:szCs w:val="24"/>
                <w:lang w:eastAsia="lv-LV"/>
              </w:rPr>
              <w:t>Tāpat drošības naudu būs iespējams saņemt atpakaļ situācijās, kur elektrostacija nav laikus ieviesta no valsts vai pašvaldību iestādes atkarīgu iemeslu dēļ.</w:t>
            </w:r>
          </w:p>
          <w:p w14:paraId="6744866F" w14:textId="149CB64F" w:rsidR="00A47C77" w:rsidRDefault="00E84978" w:rsidP="00F02558">
            <w:pPr>
              <w:pStyle w:val="ListParagraph"/>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Drošības naudas apmērs tiek noteikts balstoties uz  2018.gada statistiku par mazo elektrostaciju (līdz 10 megavatiem) jaudu un saražoto elektroenerģijas apjomu gadā. Pēc šiem datiem tika aprēķināts, cik vidēji megavatstundas (</w:t>
            </w:r>
            <w:proofErr w:type="spellStart"/>
            <w:r w:rsidRPr="00B572EA">
              <w:rPr>
                <w:rFonts w:ascii="Times New Roman" w:eastAsia="Times New Roman" w:hAnsi="Times New Roman" w:cs="Times New Roman"/>
                <w:iCs/>
                <w:sz w:val="24"/>
                <w:szCs w:val="24"/>
                <w:lang w:eastAsia="lv-LV"/>
              </w:rPr>
              <w:t>MWh</w:t>
            </w:r>
            <w:proofErr w:type="spellEnd"/>
            <w:r w:rsidRPr="00B572EA">
              <w:rPr>
                <w:rFonts w:ascii="Times New Roman" w:eastAsia="Times New Roman" w:hAnsi="Times New Roman" w:cs="Times New Roman"/>
                <w:iCs/>
                <w:sz w:val="24"/>
                <w:szCs w:val="24"/>
                <w:lang w:eastAsia="lv-LV"/>
              </w:rPr>
              <w:t xml:space="preserve">) elektroenerģijas tiek saražotas gadā no 1 megavata (MW) jaudas. Šīs </w:t>
            </w:r>
            <w:proofErr w:type="spellStart"/>
            <w:r w:rsidRPr="00B572EA">
              <w:rPr>
                <w:rFonts w:ascii="Times New Roman" w:eastAsia="Times New Roman" w:hAnsi="Times New Roman" w:cs="Times New Roman"/>
                <w:iCs/>
                <w:sz w:val="24"/>
                <w:szCs w:val="24"/>
                <w:lang w:eastAsia="lv-LV"/>
              </w:rPr>
              <w:t>MWh</w:t>
            </w:r>
            <w:proofErr w:type="spellEnd"/>
            <w:r w:rsidRPr="00B572EA">
              <w:rPr>
                <w:rFonts w:ascii="Times New Roman" w:eastAsia="Times New Roman" w:hAnsi="Times New Roman" w:cs="Times New Roman"/>
                <w:iCs/>
                <w:sz w:val="24"/>
                <w:szCs w:val="24"/>
                <w:lang w:eastAsia="lv-LV"/>
              </w:rPr>
              <w:t xml:space="preserve"> (ko saražo viens 1 MW) tiek reizinātas ar </w:t>
            </w:r>
            <w:proofErr w:type="spellStart"/>
            <w:r w:rsidRPr="00B572EA">
              <w:rPr>
                <w:rFonts w:ascii="Times New Roman" w:eastAsia="Times New Roman" w:hAnsi="Times New Roman" w:cs="Times New Roman"/>
                <w:iCs/>
                <w:sz w:val="24"/>
                <w:szCs w:val="24"/>
                <w:lang w:eastAsia="lv-LV"/>
              </w:rPr>
              <w:t>Nordpool</w:t>
            </w:r>
            <w:proofErr w:type="spellEnd"/>
            <w:r w:rsidRPr="00B572EA">
              <w:rPr>
                <w:rFonts w:ascii="Times New Roman" w:eastAsia="Times New Roman" w:hAnsi="Times New Roman" w:cs="Times New Roman"/>
                <w:iCs/>
                <w:sz w:val="24"/>
                <w:szCs w:val="24"/>
                <w:lang w:eastAsia="lv-LV"/>
              </w:rPr>
              <w:t xml:space="preserve"> elektroenerģijas biržas 2018.gada vidējo cenu par </w:t>
            </w:r>
            <w:proofErr w:type="spellStart"/>
            <w:r w:rsidRPr="00B572EA">
              <w:rPr>
                <w:rFonts w:ascii="Times New Roman" w:eastAsia="Times New Roman" w:hAnsi="Times New Roman" w:cs="Times New Roman"/>
                <w:iCs/>
                <w:sz w:val="24"/>
                <w:szCs w:val="24"/>
                <w:lang w:eastAsia="lv-LV"/>
              </w:rPr>
              <w:t>MWh</w:t>
            </w:r>
            <w:proofErr w:type="spellEnd"/>
            <w:r w:rsidRPr="00B572EA">
              <w:rPr>
                <w:rFonts w:ascii="Times New Roman" w:eastAsia="Times New Roman" w:hAnsi="Times New Roman" w:cs="Times New Roman"/>
                <w:iCs/>
                <w:sz w:val="24"/>
                <w:szCs w:val="24"/>
                <w:lang w:eastAsia="lv-LV"/>
              </w:rPr>
              <w:t xml:space="preserve"> un izdalīts uz 12 mēnešiem, iegūstot 1 mēneša bruto peļņu par 1 MW jaudas saražoto elektroenerģijas apjomu. </w:t>
            </w:r>
            <w:r w:rsidR="00F02558" w:rsidRPr="00B572EA">
              <w:rPr>
                <w:rFonts w:ascii="Times New Roman" w:eastAsia="Times New Roman" w:hAnsi="Times New Roman" w:cs="Times New Roman"/>
                <w:iCs/>
                <w:sz w:val="24"/>
                <w:szCs w:val="24"/>
                <w:lang w:eastAsia="lv-LV"/>
              </w:rPr>
              <w:t xml:space="preserve">1% no šī 1 mēneša bruto peļņas kļūst par drošības naudas apmēru par 1 MW līdz 1,99 MW jaudu (178 </w:t>
            </w:r>
            <w:proofErr w:type="spellStart"/>
            <w:r w:rsidR="00F02558" w:rsidRPr="00B572EA">
              <w:rPr>
                <w:rFonts w:ascii="Times New Roman" w:eastAsia="Times New Roman" w:hAnsi="Times New Roman" w:cs="Times New Roman"/>
                <w:iCs/>
                <w:sz w:val="24"/>
                <w:szCs w:val="24"/>
                <w:lang w:eastAsia="lv-LV"/>
              </w:rPr>
              <w:t>euro</w:t>
            </w:r>
            <w:proofErr w:type="spellEnd"/>
            <w:r w:rsidR="00F02558" w:rsidRPr="00B572EA">
              <w:rPr>
                <w:rFonts w:ascii="Times New Roman" w:eastAsia="Times New Roman" w:hAnsi="Times New Roman" w:cs="Times New Roman"/>
                <w:iCs/>
                <w:sz w:val="24"/>
                <w:szCs w:val="24"/>
                <w:lang w:eastAsia="lv-LV"/>
              </w:rPr>
              <w:t>). 2 MW līdz 2,99 MW jaudas drošības nauda ir 1,5% apmērā no 2018.gada vidējās elektrostaciju 1 mēneša bruto peļņas</w:t>
            </w:r>
            <w:r w:rsidR="0025383F">
              <w:rPr>
                <w:rFonts w:ascii="Times New Roman" w:eastAsia="Times New Roman" w:hAnsi="Times New Roman" w:cs="Times New Roman"/>
                <w:iCs/>
                <w:sz w:val="24"/>
                <w:szCs w:val="24"/>
                <w:lang w:eastAsia="lv-LV"/>
              </w:rPr>
              <w:t xml:space="preserve"> (267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w:t>
            </w:r>
            <w:r w:rsidR="00F02558" w:rsidRPr="00B572EA">
              <w:rPr>
                <w:rFonts w:ascii="Times New Roman" w:eastAsia="Times New Roman" w:hAnsi="Times New Roman" w:cs="Times New Roman"/>
                <w:iCs/>
                <w:sz w:val="24"/>
                <w:szCs w:val="24"/>
                <w:lang w:eastAsia="lv-LV"/>
              </w:rPr>
              <w:t xml:space="preserve">, bet </w:t>
            </w:r>
            <w:r w:rsidR="0025383F">
              <w:rPr>
                <w:rFonts w:ascii="Times New Roman" w:eastAsia="Times New Roman" w:hAnsi="Times New Roman" w:cs="Times New Roman"/>
                <w:iCs/>
                <w:sz w:val="24"/>
                <w:szCs w:val="24"/>
                <w:lang w:eastAsia="lv-LV"/>
              </w:rPr>
              <w:t xml:space="preserve">no </w:t>
            </w:r>
            <w:r w:rsidR="00F02558" w:rsidRPr="00B572EA">
              <w:rPr>
                <w:rFonts w:ascii="Times New Roman" w:eastAsia="Times New Roman" w:hAnsi="Times New Roman" w:cs="Times New Roman"/>
                <w:iCs/>
                <w:sz w:val="24"/>
                <w:szCs w:val="24"/>
                <w:lang w:eastAsia="lv-LV"/>
              </w:rPr>
              <w:t xml:space="preserve">3 MW </w:t>
            </w:r>
            <w:r w:rsidR="0025383F">
              <w:rPr>
                <w:rFonts w:ascii="Times New Roman" w:eastAsia="Times New Roman" w:hAnsi="Times New Roman" w:cs="Times New Roman"/>
                <w:iCs/>
                <w:sz w:val="24"/>
                <w:szCs w:val="24"/>
                <w:lang w:eastAsia="lv-LV"/>
              </w:rPr>
              <w:t xml:space="preserve">līdz 3,99 MW </w:t>
            </w:r>
            <w:r w:rsidR="00F02558" w:rsidRPr="00B572EA">
              <w:rPr>
                <w:rFonts w:ascii="Times New Roman" w:eastAsia="Times New Roman" w:hAnsi="Times New Roman" w:cs="Times New Roman"/>
                <w:iCs/>
                <w:sz w:val="24"/>
                <w:szCs w:val="24"/>
                <w:lang w:eastAsia="lv-LV"/>
              </w:rPr>
              <w:t xml:space="preserve">drošības nauda ir 2% apmērā, kas ir 356 </w:t>
            </w:r>
            <w:proofErr w:type="spellStart"/>
            <w:r w:rsidR="00F02558" w:rsidRPr="00B572EA">
              <w:rPr>
                <w:rFonts w:ascii="Times New Roman" w:eastAsia="Times New Roman" w:hAnsi="Times New Roman" w:cs="Times New Roman"/>
                <w:iCs/>
                <w:sz w:val="24"/>
                <w:szCs w:val="24"/>
                <w:lang w:eastAsia="lv-LV"/>
              </w:rPr>
              <w:t>euro</w:t>
            </w:r>
            <w:proofErr w:type="spellEnd"/>
            <w:r w:rsidR="00F02558" w:rsidRPr="00B572EA">
              <w:rPr>
                <w:rFonts w:ascii="Times New Roman" w:eastAsia="Times New Roman" w:hAnsi="Times New Roman" w:cs="Times New Roman"/>
                <w:iCs/>
                <w:sz w:val="24"/>
                <w:szCs w:val="24"/>
                <w:lang w:eastAsia="lv-LV"/>
              </w:rPr>
              <w:t xml:space="preserve">. </w:t>
            </w:r>
            <w:r w:rsidR="0025383F">
              <w:rPr>
                <w:rFonts w:ascii="Times New Roman" w:eastAsia="Times New Roman" w:hAnsi="Times New Roman" w:cs="Times New Roman"/>
                <w:iCs/>
                <w:sz w:val="24"/>
                <w:szCs w:val="24"/>
                <w:lang w:eastAsia="lv-LV"/>
              </w:rPr>
              <w:t xml:space="preserve">Ja elektrostacijas plānotā jauda ir 4 MW vai vairāk, tad drošības naudas apmērs ir 356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plus 50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par katru MW, kas pārsniedz 3,99 MW. Tas nozīmē, ka elektrostacijai, kuras plānotā jauda ir 10 MW, drošības naudas apmērs būs 356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 (7 x 50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 356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+ 350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 xml:space="preserve"> = 706 </w:t>
            </w:r>
            <w:proofErr w:type="spellStart"/>
            <w:r w:rsidR="0025383F">
              <w:rPr>
                <w:rFonts w:ascii="Times New Roman" w:eastAsia="Times New Roman" w:hAnsi="Times New Roman" w:cs="Times New Roman"/>
                <w:iCs/>
                <w:sz w:val="24"/>
                <w:szCs w:val="24"/>
                <w:lang w:eastAsia="lv-LV"/>
              </w:rPr>
              <w:t>euro</w:t>
            </w:r>
            <w:proofErr w:type="spellEnd"/>
            <w:r w:rsidR="0025383F">
              <w:rPr>
                <w:rFonts w:ascii="Times New Roman" w:eastAsia="Times New Roman" w:hAnsi="Times New Roman" w:cs="Times New Roman"/>
                <w:iCs/>
                <w:sz w:val="24"/>
                <w:szCs w:val="24"/>
                <w:lang w:eastAsia="lv-LV"/>
              </w:rPr>
              <w:t>.</w:t>
            </w:r>
          </w:p>
          <w:p w14:paraId="50C183A3" w14:textId="77777777" w:rsidR="007432C4" w:rsidRDefault="007432C4" w:rsidP="00A47C77">
            <w:pPr>
              <w:pStyle w:val="ListParagraph"/>
              <w:spacing w:after="0" w:line="240" w:lineRule="auto"/>
              <w:ind w:left="0"/>
              <w:jc w:val="both"/>
              <w:rPr>
                <w:rFonts w:ascii="Times New Roman" w:eastAsia="Times New Roman" w:hAnsi="Times New Roman" w:cs="Times New Roman"/>
                <w:iCs/>
                <w:sz w:val="24"/>
                <w:szCs w:val="24"/>
                <w:lang w:eastAsia="lv-LV"/>
              </w:rPr>
            </w:pPr>
          </w:p>
          <w:p w14:paraId="093C8A15" w14:textId="45581447" w:rsidR="00204225" w:rsidRDefault="00A47C77" w:rsidP="00A47C77">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augstāk minēto iemeslu dēļ veido stingrāku normatīvo ietvaru elektrostacijām ar jaudu 1 MW un vairāk, bet vienlaikus mazina administratīvo slogu</w:t>
            </w:r>
            <w:r w:rsidR="0066513F">
              <w:rPr>
                <w:rFonts w:ascii="Times New Roman" w:eastAsia="Times New Roman" w:hAnsi="Times New Roman" w:cs="Times New Roman"/>
                <w:iCs/>
                <w:sz w:val="24"/>
                <w:szCs w:val="24"/>
                <w:lang w:eastAsia="lv-LV"/>
              </w:rPr>
              <w:t xml:space="preserve"> elektrostacijām ar jaudu zem 1 </w:t>
            </w:r>
            <w:r w:rsidR="007432C4">
              <w:rPr>
                <w:rFonts w:ascii="Times New Roman" w:eastAsia="Times New Roman" w:hAnsi="Times New Roman" w:cs="Times New Roman"/>
                <w:iCs/>
                <w:sz w:val="24"/>
                <w:szCs w:val="24"/>
                <w:lang w:eastAsia="lv-LV"/>
              </w:rPr>
              <w:t>MW</w:t>
            </w:r>
            <w:r w:rsidR="0066513F">
              <w:rPr>
                <w:rFonts w:ascii="Times New Roman" w:eastAsia="Times New Roman" w:hAnsi="Times New Roman" w:cs="Times New Roman"/>
                <w:iCs/>
                <w:sz w:val="24"/>
                <w:szCs w:val="24"/>
                <w:lang w:eastAsia="lv-LV"/>
              </w:rPr>
              <w:t xml:space="preserve">. Tā kā </w:t>
            </w:r>
            <w:r w:rsidR="0066513F">
              <w:rPr>
                <w:rFonts w:ascii="Times New Roman" w:eastAsia="Times New Roman" w:hAnsi="Times New Roman" w:cs="Times New Roman"/>
                <w:iCs/>
                <w:sz w:val="24"/>
                <w:szCs w:val="24"/>
                <w:lang w:eastAsia="lv-LV"/>
              </w:rPr>
              <w:lastRenderedPageBreak/>
              <w:t xml:space="preserve">elektrostacijas ar jaudu zem 1 </w:t>
            </w:r>
            <w:r w:rsidR="007432C4">
              <w:rPr>
                <w:rFonts w:ascii="Times New Roman" w:eastAsia="Times New Roman" w:hAnsi="Times New Roman" w:cs="Times New Roman"/>
                <w:iCs/>
                <w:sz w:val="24"/>
                <w:szCs w:val="24"/>
                <w:lang w:eastAsia="lv-LV"/>
              </w:rPr>
              <w:t>MW</w:t>
            </w:r>
            <w:r w:rsidR="0066513F">
              <w:rPr>
                <w:rFonts w:ascii="Times New Roman" w:eastAsia="Times New Roman" w:hAnsi="Times New Roman" w:cs="Times New Roman"/>
                <w:iCs/>
                <w:sz w:val="24"/>
                <w:szCs w:val="24"/>
                <w:lang w:eastAsia="lv-LV"/>
              </w:rPr>
              <w:t xml:space="preserve"> atstāj </w:t>
            </w:r>
            <w:r w:rsidR="007432C4">
              <w:rPr>
                <w:rFonts w:ascii="Times New Roman" w:eastAsia="Times New Roman" w:hAnsi="Times New Roman" w:cs="Times New Roman"/>
                <w:iCs/>
                <w:sz w:val="24"/>
                <w:szCs w:val="24"/>
                <w:lang w:eastAsia="lv-LV"/>
              </w:rPr>
              <w:t xml:space="preserve">salīdzinoši </w:t>
            </w:r>
            <w:r w:rsidR="0066513F">
              <w:rPr>
                <w:rFonts w:ascii="Times New Roman" w:eastAsia="Times New Roman" w:hAnsi="Times New Roman" w:cs="Times New Roman"/>
                <w:iCs/>
                <w:sz w:val="24"/>
                <w:szCs w:val="24"/>
                <w:lang w:eastAsia="lv-LV"/>
              </w:rPr>
              <w:t>ļoti nelielu ietekmi uz energosistēmu kopumā, tad lai veicinātu iedzīvotāju un uzņēmumu interesi pēc elektroenerģijas ražošanas iekārtu ieviešanas</w:t>
            </w:r>
            <w:r w:rsidR="007432C4">
              <w:rPr>
                <w:rFonts w:ascii="Times New Roman" w:eastAsia="Times New Roman" w:hAnsi="Times New Roman" w:cs="Times New Roman"/>
                <w:iCs/>
                <w:sz w:val="24"/>
                <w:szCs w:val="24"/>
                <w:lang w:eastAsia="lv-LV"/>
              </w:rPr>
              <w:t xml:space="preserve"> elektroenerģijas</w:t>
            </w:r>
            <w:r w:rsidR="0066513F">
              <w:rPr>
                <w:rFonts w:ascii="Times New Roman" w:eastAsia="Times New Roman" w:hAnsi="Times New Roman" w:cs="Times New Roman"/>
                <w:iCs/>
                <w:sz w:val="24"/>
                <w:szCs w:val="24"/>
                <w:lang w:eastAsia="lv-LV"/>
              </w:rPr>
              <w:t xml:space="preserve"> pašu patēriņam, tiek samazināts informācijas un datu apjoms, kas jāraksta iesniegumā saskaņā ar</w:t>
            </w:r>
            <w:r w:rsidR="0088094F">
              <w:rPr>
                <w:rFonts w:ascii="Times New Roman" w:eastAsia="Times New Roman" w:hAnsi="Times New Roman" w:cs="Times New Roman"/>
                <w:iCs/>
                <w:sz w:val="24"/>
                <w:szCs w:val="24"/>
                <w:lang w:eastAsia="lv-LV"/>
              </w:rPr>
              <w:t xml:space="preserve"> Noteikumu Nr.883</w:t>
            </w:r>
            <w:r w:rsidR="0066513F">
              <w:rPr>
                <w:rFonts w:ascii="Times New Roman" w:eastAsia="Times New Roman" w:hAnsi="Times New Roman" w:cs="Times New Roman"/>
                <w:iCs/>
                <w:sz w:val="24"/>
                <w:szCs w:val="24"/>
                <w:lang w:eastAsia="lv-LV"/>
              </w:rPr>
              <w:t xml:space="preserve"> 1.pielikum</w:t>
            </w:r>
            <w:r w:rsidR="007432C4">
              <w:rPr>
                <w:rFonts w:ascii="Times New Roman" w:eastAsia="Times New Roman" w:hAnsi="Times New Roman" w:cs="Times New Roman"/>
                <w:iCs/>
                <w:sz w:val="24"/>
                <w:szCs w:val="24"/>
                <w:lang w:eastAsia="lv-LV"/>
              </w:rPr>
              <w:t>u</w:t>
            </w:r>
            <w:r w:rsidR="0066513F">
              <w:rPr>
                <w:rFonts w:ascii="Times New Roman" w:eastAsia="Times New Roman" w:hAnsi="Times New Roman" w:cs="Times New Roman"/>
                <w:iCs/>
                <w:sz w:val="24"/>
                <w:szCs w:val="24"/>
                <w:lang w:eastAsia="lv-LV"/>
              </w:rPr>
              <w:t>. Savukārt</w:t>
            </w:r>
            <w:r w:rsidR="0088094F">
              <w:rPr>
                <w:rFonts w:ascii="Times New Roman" w:eastAsia="Times New Roman" w:hAnsi="Times New Roman" w:cs="Times New Roman"/>
                <w:iCs/>
                <w:sz w:val="24"/>
                <w:szCs w:val="24"/>
                <w:lang w:eastAsia="lv-LV"/>
              </w:rPr>
              <w:t xml:space="preserve"> Noteikumu Nr.883</w:t>
            </w:r>
            <w:r w:rsidR="0066513F">
              <w:rPr>
                <w:rFonts w:ascii="Times New Roman" w:eastAsia="Times New Roman" w:hAnsi="Times New Roman" w:cs="Times New Roman"/>
                <w:iCs/>
                <w:sz w:val="24"/>
                <w:szCs w:val="24"/>
                <w:lang w:eastAsia="lv-LV"/>
              </w:rPr>
              <w:t xml:space="preserve"> </w:t>
            </w:r>
            <w:r w:rsidR="0088094F">
              <w:rPr>
                <w:rFonts w:ascii="Times New Roman" w:eastAsia="Times New Roman" w:hAnsi="Times New Roman" w:cs="Times New Roman"/>
                <w:iCs/>
                <w:sz w:val="24"/>
                <w:szCs w:val="24"/>
                <w:lang w:eastAsia="lv-LV"/>
              </w:rPr>
              <w:t>2</w:t>
            </w:r>
            <w:r w:rsidR="0066513F">
              <w:rPr>
                <w:rFonts w:ascii="Times New Roman" w:eastAsia="Times New Roman" w:hAnsi="Times New Roman" w:cs="Times New Roman"/>
                <w:iCs/>
                <w:sz w:val="24"/>
                <w:szCs w:val="24"/>
                <w:lang w:eastAsia="lv-LV"/>
              </w:rPr>
              <w:t>.pielikums</w:t>
            </w:r>
            <w:r w:rsidR="0088094F">
              <w:rPr>
                <w:rFonts w:ascii="Times New Roman" w:eastAsia="Times New Roman" w:hAnsi="Times New Roman" w:cs="Times New Roman"/>
                <w:iCs/>
                <w:sz w:val="24"/>
                <w:szCs w:val="24"/>
                <w:lang w:eastAsia="lv-LV"/>
              </w:rPr>
              <w:t xml:space="preserve"> (noteikumu projektā tas ir 3.pielikums)</w:t>
            </w:r>
            <w:r w:rsidR="0066513F">
              <w:rPr>
                <w:rFonts w:ascii="Times New Roman" w:eastAsia="Times New Roman" w:hAnsi="Times New Roman" w:cs="Times New Roman"/>
                <w:iCs/>
                <w:sz w:val="24"/>
                <w:szCs w:val="24"/>
                <w:lang w:eastAsia="lv-LV"/>
              </w:rPr>
              <w:t xml:space="preserve">, kurā jāsniedz specifiskāka elektroenerģijas ražošanas iekārtu tehniskā informācija turpmāk tiks attiecināta tikai uz elektroenerģijas ražošanas iekārtām ar jaudu 1 </w:t>
            </w:r>
            <w:r w:rsidR="007432C4">
              <w:rPr>
                <w:rFonts w:ascii="Times New Roman" w:eastAsia="Times New Roman" w:hAnsi="Times New Roman" w:cs="Times New Roman"/>
                <w:iCs/>
                <w:sz w:val="24"/>
                <w:szCs w:val="24"/>
                <w:lang w:eastAsia="lv-LV"/>
              </w:rPr>
              <w:t>MW</w:t>
            </w:r>
            <w:r w:rsidR="0066513F">
              <w:rPr>
                <w:rFonts w:ascii="Times New Roman" w:eastAsia="Times New Roman" w:hAnsi="Times New Roman" w:cs="Times New Roman"/>
                <w:iCs/>
                <w:sz w:val="24"/>
                <w:szCs w:val="24"/>
                <w:lang w:eastAsia="lv-LV"/>
              </w:rPr>
              <w:t xml:space="preserve"> vai vairāk. Tāpat noteikumu projekta 6.punkts, kas attiecas uz augstāk raksturoto pienākumu sniegt apliecinājumu par būvniecības uzsākšanu, attieksies tikai uz tiem elektroenerģijas ražotājiem, kuru elektroenerģijas ražošanas iekārtu jauda būs </w:t>
            </w:r>
            <w:r w:rsidR="007432C4">
              <w:rPr>
                <w:rFonts w:ascii="Times New Roman" w:eastAsia="Times New Roman" w:hAnsi="Times New Roman" w:cs="Times New Roman"/>
                <w:iCs/>
                <w:sz w:val="24"/>
                <w:szCs w:val="24"/>
                <w:lang w:eastAsia="lv-LV"/>
              </w:rPr>
              <w:t xml:space="preserve">1 MW </w:t>
            </w:r>
            <w:r w:rsidR="0066513F">
              <w:rPr>
                <w:rFonts w:ascii="Times New Roman" w:eastAsia="Times New Roman" w:hAnsi="Times New Roman" w:cs="Times New Roman"/>
                <w:iCs/>
                <w:sz w:val="24"/>
                <w:szCs w:val="24"/>
                <w:lang w:eastAsia="lv-LV"/>
              </w:rPr>
              <w:t xml:space="preserve">vai vairāk. Vienlaikus, par elektrostacijām ar jaudu zem </w:t>
            </w:r>
            <w:r w:rsidR="007432C4">
              <w:rPr>
                <w:rFonts w:ascii="Times New Roman" w:eastAsia="Times New Roman" w:hAnsi="Times New Roman" w:cs="Times New Roman"/>
                <w:iCs/>
                <w:sz w:val="24"/>
                <w:szCs w:val="24"/>
                <w:lang w:eastAsia="lv-LV"/>
              </w:rPr>
              <w:t>1 MW</w:t>
            </w:r>
            <w:r w:rsidR="0066513F">
              <w:rPr>
                <w:rFonts w:ascii="Times New Roman" w:eastAsia="Times New Roman" w:hAnsi="Times New Roman" w:cs="Times New Roman"/>
                <w:iCs/>
                <w:sz w:val="24"/>
                <w:szCs w:val="24"/>
                <w:lang w:eastAsia="lv-LV"/>
              </w:rPr>
              <w:t xml:space="preserve"> joprojām būs jāsniedz </w:t>
            </w:r>
            <w:r w:rsidR="0088094F">
              <w:rPr>
                <w:rFonts w:ascii="Times New Roman" w:eastAsia="Times New Roman" w:hAnsi="Times New Roman" w:cs="Times New Roman"/>
                <w:iCs/>
                <w:sz w:val="24"/>
                <w:szCs w:val="24"/>
                <w:lang w:eastAsia="lv-LV"/>
              </w:rPr>
              <w:t xml:space="preserve">noteikumu projekta </w:t>
            </w:r>
            <w:r w:rsidR="0066513F">
              <w:rPr>
                <w:rFonts w:ascii="Times New Roman" w:eastAsia="Times New Roman" w:hAnsi="Times New Roman" w:cs="Times New Roman"/>
                <w:iCs/>
                <w:sz w:val="24"/>
                <w:szCs w:val="24"/>
                <w:lang w:eastAsia="lv-LV"/>
              </w:rPr>
              <w:t>8.punktā minētais apliecinājums par elektroenerģijas ražošanas iekārtu pieslēgšanu tīklam.</w:t>
            </w:r>
          </w:p>
          <w:p w14:paraId="0CD0AA01" w14:textId="28900B16" w:rsidR="00204225" w:rsidRDefault="00204225" w:rsidP="00A47C77">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Jāuzsver, ka līdz ar Elektroenerģijas tirgus likuma 22.panta 1.daļas grozījumiem, kas stājās spēkā 2020.gada 15.februārī, atļauja elektroenerģijas ražošanas iekārtu ieviešanai vai jaudu palielināšanai nepieciešama tikai tad, ja elektroenerģijas ražošanas jauda pārsniedz 11,1 kilovatu. Skaidrības labad tas precizēts arī noteikumu projekta 1.punktā.</w:t>
            </w:r>
          </w:p>
          <w:p w14:paraId="72E57F74" w14:textId="184017C6" w:rsidR="00325A49" w:rsidRPr="00B572EA" w:rsidRDefault="00204225" w:rsidP="00204225">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ar noteikumu projektu tiek svītrotas</w:t>
            </w:r>
            <w:r w:rsidR="0088094F">
              <w:rPr>
                <w:rFonts w:ascii="Times New Roman" w:eastAsia="Times New Roman" w:hAnsi="Times New Roman" w:cs="Times New Roman"/>
                <w:iCs/>
                <w:sz w:val="24"/>
                <w:szCs w:val="24"/>
                <w:lang w:eastAsia="lv-LV"/>
              </w:rPr>
              <w:t xml:space="preserve"> Noteikumu Nr.883</w:t>
            </w:r>
            <w:r>
              <w:rPr>
                <w:rFonts w:ascii="Times New Roman" w:eastAsia="Times New Roman" w:hAnsi="Times New Roman" w:cs="Times New Roman"/>
                <w:iCs/>
                <w:sz w:val="24"/>
                <w:szCs w:val="24"/>
                <w:lang w:eastAsia="lv-LV"/>
              </w:rPr>
              <w:t xml:space="preserve"> 11. un 12. punktā noteiktās vēsturiskās prasības nosūtīt informāciju par izsniegtajām atļaujām Sabiedrisko pakalpojumu regulēšanas </w:t>
            </w:r>
            <w:r w:rsidR="00325A49">
              <w:rPr>
                <w:rFonts w:ascii="Times New Roman" w:eastAsia="Times New Roman" w:hAnsi="Times New Roman" w:cs="Times New Roman"/>
                <w:iCs/>
                <w:sz w:val="24"/>
                <w:szCs w:val="24"/>
                <w:lang w:eastAsia="lv-LV"/>
              </w:rPr>
              <w:t>komisijai</w:t>
            </w:r>
            <w:r>
              <w:rPr>
                <w:rFonts w:ascii="Times New Roman" w:eastAsia="Times New Roman" w:hAnsi="Times New Roman" w:cs="Times New Roman"/>
                <w:iCs/>
                <w:sz w:val="24"/>
                <w:szCs w:val="24"/>
                <w:lang w:eastAsia="lv-LV"/>
              </w:rPr>
              <w:t xml:space="preserve"> un elektroenerģijas pārvades sistēmas operatoram</w:t>
            </w:r>
            <w:r w:rsidR="00325A49">
              <w:rPr>
                <w:rFonts w:ascii="Times New Roman" w:eastAsia="Times New Roman" w:hAnsi="Times New Roman" w:cs="Times New Roman"/>
                <w:iCs/>
                <w:sz w:val="24"/>
                <w:szCs w:val="24"/>
                <w:lang w:eastAsia="lv-LV"/>
              </w:rPr>
              <w:t>. Atbilstoši augstāk raksturotajai situācijai, izsniegtās atļaujas nesniedz objektīvu informāciju par ieviesto elektroenerģijas iekārtu apjomu, to jaudu un citiem parametriem, jo bieži vien iekārtas tomēr netiek ieviestas, tādējādi Sabiedrisko pakalpojumu regulēšanas komisija un pārvades sistēmas operators negūst noderīgu informāciju un datu sūtīšana ir kļuvusi visām pusēm par administratīvo slogu, nevis ieguvumu.</w:t>
            </w:r>
          </w:p>
        </w:tc>
        <w:bookmarkStart w:id="0" w:name="_GoBack"/>
        <w:bookmarkEnd w:id="0"/>
      </w:tr>
      <w:tr w:rsidR="00B572EA" w:rsidRPr="00B572EA" w14:paraId="3CB42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8C53C0"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B75C7B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7B7E97" w14:textId="4E969A84"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B572EA" w:rsidRPr="00B572EA" w14:paraId="18F936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0A776"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75396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27EE98" w14:textId="1F03286F" w:rsidR="00E5323B" w:rsidRPr="00B572EA" w:rsidRDefault="00161FDD"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Nav</w:t>
            </w:r>
          </w:p>
        </w:tc>
      </w:tr>
    </w:tbl>
    <w:p w14:paraId="2BB3758C"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12379C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B14883"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72EA" w:rsidRPr="00B572EA" w14:paraId="6ED3C0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7A30A8"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CA99C69"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Sabiedrības </w:t>
            </w:r>
            <w:proofErr w:type="spellStart"/>
            <w:r w:rsidRPr="00B572EA">
              <w:rPr>
                <w:rFonts w:ascii="Times New Roman" w:eastAsia="Times New Roman" w:hAnsi="Times New Roman" w:cs="Times New Roman"/>
                <w:iCs/>
                <w:sz w:val="24"/>
                <w:szCs w:val="24"/>
                <w:lang w:eastAsia="lv-LV"/>
              </w:rPr>
              <w:t>mērķgrupas</w:t>
            </w:r>
            <w:proofErr w:type="spellEnd"/>
            <w:r w:rsidRPr="00B572E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E239E4" w14:textId="530FB46F" w:rsidR="00E5323B" w:rsidRPr="00B572EA" w:rsidRDefault="00161FDD"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Privātpersonas, kuras plāno ieviest elektroenerģijas ražošanas iekārtas</w:t>
            </w:r>
            <w:r w:rsidR="008D777A" w:rsidRPr="00B572EA">
              <w:rPr>
                <w:rFonts w:ascii="Times New Roman" w:eastAsia="Times New Roman" w:hAnsi="Times New Roman" w:cs="Times New Roman"/>
                <w:iCs/>
                <w:sz w:val="24"/>
                <w:szCs w:val="24"/>
                <w:lang w:eastAsia="lv-LV"/>
              </w:rPr>
              <w:t>; elektroenerģijas sadales un pārvades sistēmas operatori</w:t>
            </w:r>
          </w:p>
        </w:tc>
      </w:tr>
      <w:tr w:rsidR="00B572EA" w:rsidRPr="00B572EA" w14:paraId="0CB24B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0BB8B"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78FB4"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1404C5" w14:textId="7C8EA81C" w:rsidR="008D777A" w:rsidRPr="00B572EA" w:rsidRDefault="008D777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Noteikumu projektam nav ietekmes uz tautsaimniecību.</w:t>
            </w:r>
          </w:p>
          <w:p w14:paraId="12491284" w14:textId="1B4208EC" w:rsidR="00E5323B" w:rsidRPr="00B572EA" w:rsidRDefault="008D777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Prasība veikt IVN pirms atļaujas saņemšanas nav uzskatāma par administratīvā sloga palielināšanu, jo tā ir jebkurā gadījumā veicamu darbību samainīšana vietām. Būvniecības uzsākšanas termiņa saīsinājums ir uzskatām par stimulu, nevis administratīvo slogu. </w:t>
            </w:r>
          </w:p>
          <w:p w14:paraId="738869ED" w14:textId="4F5D1216" w:rsidR="008D777A" w:rsidRDefault="00B572E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Prasība iemaksāt drošības naudu</w:t>
            </w:r>
            <w:r w:rsidR="008D777A" w:rsidRPr="00B572EA">
              <w:rPr>
                <w:rFonts w:ascii="Times New Roman" w:eastAsia="Times New Roman" w:hAnsi="Times New Roman" w:cs="Times New Roman"/>
                <w:iCs/>
                <w:sz w:val="24"/>
                <w:szCs w:val="24"/>
                <w:lang w:eastAsia="lv-LV"/>
              </w:rPr>
              <w:t xml:space="preserve"> varētu tikt uzskatīta par zināmu administratīvā sloga pieaugumu elektrostaciju ieviesējiem, tomēr prakse liecina, ka tas ir vienīgais risinājums kā efektīvi kontrolēt elektroenerģijas jaudu</w:t>
            </w:r>
            <w:r w:rsidRPr="00B572EA">
              <w:rPr>
                <w:rFonts w:ascii="Times New Roman" w:eastAsia="Times New Roman" w:hAnsi="Times New Roman" w:cs="Times New Roman"/>
                <w:iCs/>
                <w:sz w:val="24"/>
                <w:szCs w:val="24"/>
                <w:lang w:eastAsia="lv-LV"/>
              </w:rPr>
              <w:t xml:space="preserve"> ieviešanu, lai sistēma būtu ilgtspējīga un efektīva.</w:t>
            </w:r>
            <w:r w:rsidR="008D777A" w:rsidRPr="00B572EA">
              <w:rPr>
                <w:rFonts w:ascii="Times New Roman" w:eastAsia="Times New Roman" w:hAnsi="Times New Roman" w:cs="Times New Roman"/>
                <w:iCs/>
                <w:sz w:val="24"/>
                <w:szCs w:val="24"/>
                <w:lang w:eastAsia="lv-LV"/>
              </w:rPr>
              <w:t xml:space="preserve"> </w:t>
            </w:r>
          </w:p>
          <w:p w14:paraId="408BB35A" w14:textId="6DDCB6F5" w:rsidR="0021143D" w:rsidRPr="00B572EA" w:rsidRDefault="0021143D" w:rsidP="008D77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Visbeidzot, noteikumu projekts samazina administratīvo slogu tiem topošajiem elektroenerģij</w:t>
            </w:r>
            <w:r w:rsidR="0088094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s ražotājiem, kuri plāno ieviest elektrostaciju ar jaudu zem 1 megavata, jo tiek atvieglotas prasības, kas šiem ražotājiem jāizpilda.</w:t>
            </w:r>
          </w:p>
          <w:p w14:paraId="14409574" w14:textId="7B309821" w:rsidR="008D777A" w:rsidRPr="00B572EA" w:rsidRDefault="008D777A" w:rsidP="008D777A">
            <w:pPr>
              <w:spacing w:after="0" w:line="240" w:lineRule="auto"/>
              <w:jc w:val="both"/>
              <w:rPr>
                <w:rFonts w:ascii="Times New Roman" w:eastAsia="Times New Roman" w:hAnsi="Times New Roman" w:cs="Times New Roman"/>
                <w:iCs/>
                <w:sz w:val="24"/>
                <w:szCs w:val="24"/>
                <w:lang w:eastAsia="lv-LV"/>
              </w:rPr>
            </w:pPr>
          </w:p>
        </w:tc>
      </w:tr>
      <w:tr w:rsidR="00B572EA" w:rsidRPr="00B572EA" w14:paraId="0436C0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F84E1"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997AE7"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0CB2DD" w14:textId="663E004A"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72EA" w:rsidRPr="00B572EA" w14:paraId="2ED685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9D2A2"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627662"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6445CC" w14:textId="7D709B06"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72EA" w:rsidRPr="00B572EA" w14:paraId="1B05A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778C3"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340BDA3"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B7E62A" w14:textId="405A943B"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Nav</w:t>
            </w:r>
          </w:p>
        </w:tc>
      </w:tr>
    </w:tbl>
    <w:p w14:paraId="439DC44C"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5AE5DF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0811C" w14:textId="77777777" w:rsidR="00655F2C" w:rsidRPr="00B572EA" w:rsidRDefault="00E5323B"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III. Tiesību akta projekta ietekme uz valsts budžetu un pašvaldību budžetiem</w:t>
            </w:r>
          </w:p>
        </w:tc>
      </w:tr>
      <w:tr w:rsidR="00B572EA" w:rsidRPr="00B572EA" w14:paraId="4F7BC9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26F7C" w14:textId="71FE6405" w:rsidR="00B572EA" w:rsidRPr="00B572EA" w:rsidRDefault="00B572EA" w:rsidP="00B572EA">
            <w:pPr>
              <w:spacing w:after="0" w:line="240" w:lineRule="auto"/>
              <w:jc w:val="center"/>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5EEEA240"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5EBD62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35DAD" w14:textId="77777777" w:rsidR="00655F2C" w:rsidRPr="00B572EA" w:rsidRDefault="00E5323B"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IV. Tiesību akta projekta ietekme uz spēkā esošo tiesību normu sistēmu</w:t>
            </w:r>
          </w:p>
        </w:tc>
      </w:tr>
      <w:tr w:rsidR="00B572EA" w:rsidRPr="00B572EA" w14:paraId="7179272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8D1C07" w14:textId="43C4E99C" w:rsidR="00B572EA" w:rsidRPr="00B572EA" w:rsidRDefault="00B572EA"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78279407"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01BED1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6D9D0"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572EA" w:rsidRPr="00B572EA" w14:paraId="0E80A71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2131CF" w14:textId="789715D6" w:rsidR="00B572EA" w:rsidRPr="00B572EA" w:rsidRDefault="00B572EA"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4315EA1A" w14:textId="572DB5F1"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116"/>
        <w:gridCol w:w="6499"/>
      </w:tblGrid>
      <w:tr w:rsidR="00B572EA" w:rsidRPr="00B572EA" w14:paraId="599E004C" w14:textId="77777777" w:rsidTr="00B572E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AC2AE1A"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VI. Sabiedrības līdzdalība un komunikācijas aktivitātes</w:t>
            </w:r>
          </w:p>
        </w:tc>
      </w:tr>
      <w:tr w:rsidR="00B572EA" w:rsidRPr="00B572EA" w14:paraId="4BF5998A"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D7E502F"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11D6D61F" w14:textId="77777777" w:rsidR="00E5323B" w:rsidRPr="00760E18" w:rsidRDefault="00E5323B" w:rsidP="00E5323B">
            <w:pPr>
              <w:spacing w:after="0" w:line="240" w:lineRule="auto"/>
              <w:rPr>
                <w:rFonts w:ascii="Times New Roman" w:eastAsia="Times New Roman" w:hAnsi="Times New Roman" w:cs="Times New Roman"/>
                <w:iCs/>
                <w:sz w:val="24"/>
                <w:szCs w:val="24"/>
                <w:lang w:eastAsia="lv-LV"/>
              </w:rPr>
            </w:pPr>
            <w:r w:rsidRPr="00760E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10" w:type="pct"/>
            <w:tcBorders>
              <w:top w:val="outset" w:sz="6" w:space="0" w:color="auto"/>
              <w:left w:val="outset" w:sz="6" w:space="0" w:color="auto"/>
              <w:bottom w:val="outset" w:sz="6" w:space="0" w:color="auto"/>
              <w:right w:val="outset" w:sz="6" w:space="0" w:color="auto"/>
            </w:tcBorders>
            <w:hideMark/>
          </w:tcPr>
          <w:p w14:paraId="439130AF" w14:textId="77777777" w:rsidR="00B572EA" w:rsidRPr="00760E18" w:rsidRDefault="00B572EA" w:rsidP="00B572EA">
            <w:pPr>
              <w:contextualSpacing/>
              <w:jc w:val="both"/>
              <w:rPr>
                <w:rFonts w:ascii="Times New Roman" w:hAnsi="Times New Roman" w:cs="Times New Roman"/>
                <w:sz w:val="24"/>
                <w:szCs w:val="24"/>
              </w:rPr>
            </w:pPr>
            <w:r w:rsidRPr="00760E18">
              <w:rPr>
                <w:rFonts w:ascii="Times New Roman" w:hAnsi="Times New Roman" w:cs="Times New Roman"/>
                <w:sz w:val="24"/>
                <w:szCs w:val="24"/>
              </w:rPr>
              <w:t>Sabiedrības līdzdalība projekta izstrādē nodrošināta saskaņā ar Ministru kabineta 2009. gada 25. augusta noteikumu Nr. 970 “Sabiedrības līdzdalības kārtība attīstības plānošanas procesā” (turpmāk – MK noteikumi Nr. 970) 13. un 14. punktu:</w:t>
            </w:r>
          </w:p>
          <w:p w14:paraId="34058FB4" w14:textId="02024CA8" w:rsidR="00B572EA" w:rsidRPr="00760E18" w:rsidRDefault="00B572EA" w:rsidP="00B572EA">
            <w:pPr>
              <w:spacing w:after="0" w:line="240" w:lineRule="auto"/>
              <w:contextualSpacing/>
              <w:jc w:val="both"/>
              <w:rPr>
                <w:rFonts w:ascii="Times New Roman" w:hAnsi="Times New Roman" w:cs="Times New Roman"/>
                <w:sz w:val="24"/>
                <w:szCs w:val="24"/>
              </w:rPr>
            </w:pPr>
            <w:r w:rsidRPr="00760E18">
              <w:rPr>
                <w:rFonts w:ascii="Times New Roman" w:hAnsi="Times New Roman" w:cs="Times New Roman"/>
                <w:sz w:val="24"/>
                <w:szCs w:val="24"/>
              </w:rPr>
              <w:t>1) Paziņojums par līdzdalības iespējām projekta izstrādes procesā 1</w:t>
            </w:r>
            <w:r w:rsidR="00760E18" w:rsidRPr="00760E18">
              <w:rPr>
                <w:rFonts w:ascii="Times New Roman" w:hAnsi="Times New Roman" w:cs="Times New Roman"/>
                <w:sz w:val="24"/>
                <w:szCs w:val="24"/>
              </w:rPr>
              <w:t>8</w:t>
            </w:r>
            <w:r w:rsidRPr="00760E18">
              <w:rPr>
                <w:rFonts w:ascii="Times New Roman" w:hAnsi="Times New Roman" w:cs="Times New Roman"/>
                <w:sz w:val="24"/>
                <w:szCs w:val="24"/>
              </w:rPr>
              <w:t xml:space="preserve">.05.2020. tika publicēts Ekonomikas ministrijas </w:t>
            </w:r>
            <w:proofErr w:type="spellStart"/>
            <w:r w:rsidRPr="00760E18">
              <w:rPr>
                <w:rFonts w:ascii="Times New Roman" w:hAnsi="Times New Roman" w:cs="Times New Roman"/>
                <w:sz w:val="24"/>
                <w:szCs w:val="24"/>
              </w:rPr>
              <w:t>tīmekļavietnē</w:t>
            </w:r>
            <w:proofErr w:type="spellEnd"/>
            <w:r w:rsidRPr="00760E18">
              <w:rPr>
                <w:rFonts w:ascii="Times New Roman" w:hAnsi="Times New Roman" w:cs="Times New Roman"/>
                <w:sz w:val="24"/>
                <w:szCs w:val="24"/>
              </w:rPr>
              <w:t> </w:t>
            </w:r>
          </w:p>
          <w:p w14:paraId="79E11BD4" w14:textId="0F6E6B87" w:rsidR="00E5323B" w:rsidRPr="00760E18" w:rsidRDefault="00B572EA" w:rsidP="00B572EA">
            <w:pPr>
              <w:spacing w:after="0" w:line="240" w:lineRule="auto"/>
              <w:rPr>
                <w:rFonts w:ascii="Times New Roman" w:eastAsia="Times New Roman" w:hAnsi="Times New Roman" w:cs="Times New Roman"/>
                <w:iCs/>
                <w:sz w:val="24"/>
                <w:szCs w:val="24"/>
                <w:lang w:eastAsia="lv-LV"/>
              </w:rPr>
            </w:pPr>
            <w:r w:rsidRPr="00760E18">
              <w:rPr>
                <w:rFonts w:ascii="Times New Roman" w:hAnsi="Times New Roman" w:cs="Times New Roman"/>
                <w:sz w:val="24"/>
                <w:szCs w:val="24"/>
              </w:rPr>
              <w:lastRenderedPageBreak/>
              <w:t>2) Paziņojums par līdzdalības iespējām projekta izstrādes procesā 1</w:t>
            </w:r>
            <w:r w:rsidR="00760E18" w:rsidRPr="00760E18">
              <w:rPr>
                <w:rFonts w:ascii="Times New Roman" w:hAnsi="Times New Roman" w:cs="Times New Roman"/>
                <w:sz w:val="24"/>
                <w:szCs w:val="24"/>
              </w:rPr>
              <w:t>8</w:t>
            </w:r>
            <w:r w:rsidRPr="00760E18">
              <w:rPr>
                <w:rFonts w:ascii="Times New Roman" w:hAnsi="Times New Roman" w:cs="Times New Roman"/>
                <w:sz w:val="24"/>
                <w:szCs w:val="24"/>
              </w:rPr>
              <w:t xml:space="preserve">.05.2020. publicēts Ministru kabineta tīmekļa vietnē </w:t>
            </w:r>
          </w:p>
        </w:tc>
      </w:tr>
      <w:tr w:rsidR="00B572EA" w:rsidRPr="00B572EA" w14:paraId="32A93406"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81010FC"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2.</w:t>
            </w:r>
          </w:p>
        </w:tc>
        <w:tc>
          <w:tcPr>
            <w:tcW w:w="1145" w:type="pct"/>
            <w:tcBorders>
              <w:top w:val="outset" w:sz="6" w:space="0" w:color="auto"/>
              <w:left w:val="outset" w:sz="6" w:space="0" w:color="auto"/>
              <w:bottom w:val="outset" w:sz="6" w:space="0" w:color="auto"/>
              <w:right w:val="outset" w:sz="6" w:space="0" w:color="auto"/>
            </w:tcBorders>
            <w:hideMark/>
          </w:tcPr>
          <w:p w14:paraId="0B6862D3" w14:textId="77777777" w:rsidR="00E5323B" w:rsidRPr="00760E18" w:rsidRDefault="00E5323B" w:rsidP="00E5323B">
            <w:pPr>
              <w:spacing w:after="0" w:line="240" w:lineRule="auto"/>
              <w:rPr>
                <w:rFonts w:ascii="Times New Roman" w:eastAsia="Times New Roman" w:hAnsi="Times New Roman" w:cs="Times New Roman"/>
                <w:iCs/>
                <w:sz w:val="24"/>
                <w:szCs w:val="24"/>
                <w:lang w:eastAsia="lv-LV"/>
              </w:rPr>
            </w:pPr>
            <w:r w:rsidRPr="00760E18">
              <w:rPr>
                <w:rFonts w:ascii="Times New Roman" w:eastAsia="Times New Roman" w:hAnsi="Times New Roman" w:cs="Times New Roman"/>
                <w:iCs/>
                <w:sz w:val="24"/>
                <w:szCs w:val="24"/>
                <w:lang w:eastAsia="lv-LV"/>
              </w:rPr>
              <w:t>Sabiedrības līdzdalība projekta izstrādē</w:t>
            </w:r>
          </w:p>
        </w:tc>
        <w:tc>
          <w:tcPr>
            <w:tcW w:w="3510" w:type="pct"/>
            <w:tcBorders>
              <w:top w:val="outset" w:sz="6" w:space="0" w:color="auto"/>
              <w:left w:val="outset" w:sz="6" w:space="0" w:color="auto"/>
              <w:bottom w:val="outset" w:sz="6" w:space="0" w:color="auto"/>
              <w:right w:val="outset" w:sz="6" w:space="0" w:color="auto"/>
            </w:tcBorders>
            <w:hideMark/>
          </w:tcPr>
          <w:p w14:paraId="3EA3F2DF" w14:textId="472C5353" w:rsidR="006142C6" w:rsidRPr="00760E18" w:rsidRDefault="00B572EA" w:rsidP="00B572EA">
            <w:pPr>
              <w:spacing w:after="0" w:line="240" w:lineRule="auto"/>
              <w:contextualSpacing/>
              <w:jc w:val="both"/>
              <w:rPr>
                <w:rFonts w:ascii="Times New Roman" w:hAnsi="Times New Roman" w:cs="Times New Roman"/>
                <w:sz w:val="24"/>
                <w:szCs w:val="24"/>
              </w:rPr>
            </w:pPr>
            <w:r w:rsidRPr="00760E18">
              <w:rPr>
                <w:rFonts w:ascii="Times New Roman" w:hAnsi="Times New Roman" w:cs="Times New Roman"/>
                <w:sz w:val="24"/>
                <w:szCs w:val="24"/>
              </w:rPr>
              <w:t xml:space="preserve">Sabiedrībai </w:t>
            </w:r>
            <w:r w:rsidR="0088094F">
              <w:rPr>
                <w:rFonts w:ascii="Times New Roman" w:hAnsi="Times New Roman" w:cs="Times New Roman"/>
                <w:sz w:val="24"/>
                <w:szCs w:val="24"/>
              </w:rPr>
              <w:t>tika</w:t>
            </w:r>
            <w:r w:rsidRPr="00760E18">
              <w:rPr>
                <w:rFonts w:ascii="Times New Roman" w:hAnsi="Times New Roman" w:cs="Times New Roman"/>
                <w:sz w:val="24"/>
                <w:szCs w:val="24"/>
              </w:rPr>
              <w:t xml:space="preserve"> nodrošināta iespēja iepazīties ar </w:t>
            </w:r>
            <w:r w:rsidR="0088094F">
              <w:rPr>
                <w:rFonts w:ascii="Times New Roman" w:hAnsi="Times New Roman" w:cs="Times New Roman"/>
                <w:sz w:val="24"/>
                <w:szCs w:val="24"/>
              </w:rPr>
              <w:t xml:space="preserve">noteikumu </w:t>
            </w:r>
            <w:r w:rsidRPr="00760E18">
              <w:rPr>
                <w:rFonts w:ascii="Times New Roman" w:hAnsi="Times New Roman" w:cs="Times New Roman"/>
                <w:sz w:val="24"/>
                <w:szCs w:val="24"/>
              </w:rPr>
              <w:t xml:space="preserve">projektu Ekonomikas ministrijas tīmekļa vietnē un Ministru kabineta tīmekļa vietnē un izteikt par to viedokli līdz </w:t>
            </w:r>
            <w:r w:rsidR="00C30EDD" w:rsidRPr="00760E18">
              <w:rPr>
                <w:rFonts w:ascii="Times New Roman" w:hAnsi="Times New Roman" w:cs="Times New Roman"/>
                <w:sz w:val="24"/>
                <w:szCs w:val="24"/>
              </w:rPr>
              <w:t>02</w:t>
            </w:r>
            <w:r w:rsidRPr="00760E18">
              <w:rPr>
                <w:rFonts w:ascii="Times New Roman" w:hAnsi="Times New Roman" w:cs="Times New Roman"/>
                <w:sz w:val="24"/>
                <w:szCs w:val="24"/>
              </w:rPr>
              <w:t>.06.2020.</w:t>
            </w:r>
            <w:r w:rsidR="0088094F">
              <w:rPr>
                <w:rFonts w:ascii="Times New Roman" w:hAnsi="Times New Roman" w:cs="Times New Roman"/>
                <w:sz w:val="24"/>
                <w:szCs w:val="24"/>
              </w:rPr>
              <w:t xml:space="preserve"> (sākotnēji noteikumu projekts tika gatavots kā esošo Noteikumu Nr.883 grozījumu projekts, bet beigu stadijā pārveidots kā jauns noteikumu projekts, kas aizstās Noteikumus Nr.883).</w:t>
            </w:r>
          </w:p>
        </w:tc>
      </w:tr>
      <w:tr w:rsidR="00B572EA" w:rsidRPr="00B572EA" w14:paraId="0FE75137"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03D89F2"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14:paraId="73E1D27E"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Sabiedrības līdzdalības rezultāti</w:t>
            </w:r>
          </w:p>
        </w:tc>
        <w:tc>
          <w:tcPr>
            <w:tcW w:w="3510" w:type="pct"/>
            <w:tcBorders>
              <w:top w:val="outset" w:sz="6" w:space="0" w:color="auto"/>
              <w:left w:val="outset" w:sz="6" w:space="0" w:color="auto"/>
              <w:bottom w:val="outset" w:sz="6" w:space="0" w:color="auto"/>
              <w:right w:val="outset" w:sz="6" w:space="0" w:color="auto"/>
            </w:tcBorders>
            <w:hideMark/>
          </w:tcPr>
          <w:p w14:paraId="395513D9" w14:textId="40E6C406" w:rsidR="0021143D" w:rsidRPr="00B572EA" w:rsidRDefault="00E754B9" w:rsidP="002114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Sabiedriskas apspriešanas ietvaros viedokli sniedza</w:t>
            </w:r>
            <w:r w:rsidR="00C30EDD">
              <w:rPr>
                <w:rFonts w:ascii="Times New Roman" w:eastAsia="Times New Roman" w:hAnsi="Times New Roman" w:cs="Times New Roman"/>
                <w:iCs/>
                <w:sz w:val="24"/>
                <w:szCs w:val="24"/>
                <w:lang w:eastAsia="lv-LV"/>
              </w:rPr>
              <w:t xml:space="preserve"> Vēja enerģijas asociācija</w:t>
            </w:r>
            <w:r>
              <w:rPr>
                <w:rFonts w:ascii="Times New Roman" w:eastAsia="Times New Roman" w:hAnsi="Times New Roman" w:cs="Times New Roman"/>
                <w:iCs/>
                <w:sz w:val="24"/>
                <w:szCs w:val="24"/>
                <w:lang w:eastAsia="lv-LV"/>
              </w:rPr>
              <w:t xml:space="preserve">. </w:t>
            </w:r>
            <w:r w:rsidR="006142C6">
              <w:rPr>
                <w:rFonts w:ascii="Times New Roman" w:eastAsia="Times New Roman" w:hAnsi="Times New Roman" w:cs="Times New Roman"/>
                <w:iCs/>
                <w:sz w:val="24"/>
                <w:szCs w:val="24"/>
                <w:lang w:eastAsia="lv-LV"/>
              </w:rPr>
              <w:br/>
              <w:t xml:space="preserve">Pēc projekta izsludināšanas valsts sekretāru sanāksmē, saņemti atzinumi no Latvijas Pašvaldību savienības, Latvijas </w:t>
            </w:r>
            <w:proofErr w:type="spellStart"/>
            <w:r w:rsidR="006142C6">
              <w:rPr>
                <w:rFonts w:ascii="Times New Roman" w:eastAsia="Times New Roman" w:hAnsi="Times New Roman" w:cs="Times New Roman"/>
                <w:iCs/>
                <w:sz w:val="24"/>
                <w:szCs w:val="24"/>
                <w:lang w:eastAsia="lv-LV"/>
              </w:rPr>
              <w:t>siltumuzņēmumu</w:t>
            </w:r>
            <w:proofErr w:type="spellEnd"/>
            <w:r w:rsidR="006142C6">
              <w:rPr>
                <w:rFonts w:ascii="Times New Roman" w:eastAsia="Times New Roman" w:hAnsi="Times New Roman" w:cs="Times New Roman"/>
                <w:iCs/>
                <w:sz w:val="24"/>
                <w:szCs w:val="24"/>
                <w:lang w:eastAsia="lv-LV"/>
              </w:rPr>
              <w:t xml:space="preserve"> asociācijas, Latvijas Brīvo arodbiedrību savienības, Sabiedrisko pakalpojumu regulēšanas komisijas, Finanšu ministrijas, Tieslietu ministrijas, Vides aizsardzības un reģionālās attīstības ministrijas un AS “Sadales tīkls”.</w:t>
            </w:r>
          </w:p>
        </w:tc>
      </w:tr>
      <w:tr w:rsidR="00B572EA" w:rsidRPr="00B572EA" w14:paraId="516DF2F2"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823553E"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3E89F015"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510" w:type="pct"/>
            <w:tcBorders>
              <w:top w:val="outset" w:sz="6" w:space="0" w:color="auto"/>
              <w:left w:val="outset" w:sz="6" w:space="0" w:color="auto"/>
              <w:bottom w:val="outset" w:sz="6" w:space="0" w:color="auto"/>
              <w:right w:val="outset" w:sz="6" w:space="0" w:color="auto"/>
            </w:tcBorders>
            <w:hideMark/>
          </w:tcPr>
          <w:p w14:paraId="4CCC372F" w14:textId="5A4ABCC3"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0E04D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0FD6F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C2DD4"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72EA" w:rsidRPr="00B572EA" w14:paraId="506AD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5098A"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7BD30A"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5C13A6" w14:textId="03E8D69F"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AS “Sadales tīkls”, AS “Augstsprieguma tīkls”</w:t>
            </w:r>
          </w:p>
        </w:tc>
      </w:tr>
      <w:tr w:rsidR="00B572EA" w:rsidRPr="00B572EA" w14:paraId="73FAC9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B250A"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68B99E"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izpildes ietekme uz pārvaldes funkcijām un institucionālo struktūru.</w:t>
            </w:r>
            <w:r w:rsidRPr="00B572E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A592BB" w14:textId="0F93F19A"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sidRPr="00726C05">
              <w:rPr>
                <w:rFonts w:ascii="Times New Roman" w:hAnsi="Times New Roman" w:cs="Times New Roman"/>
                <w:sz w:val="24"/>
                <w:szCs w:val="24"/>
              </w:rPr>
              <w:t>Projekts šo jomu neskar</w:t>
            </w:r>
          </w:p>
        </w:tc>
      </w:tr>
      <w:tr w:rsidR="00E5323B" w:rsidRPr="00B572EA" w14:paraId="357A85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3A57"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9B0089"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705506" w14:textId="559AD000"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4FDEBA" w14:textId="77777777" w:rsidR="00C25B49" w:rsidRPr="00B572EA" w:rsidRDefault="00C25B49" w:rsidP="00894C55">
      <w:pPr>
        <w:spacing w:after="0" w:line="240" w:lineRule="auto"/>
        <w:rPr>
          <w:rFonts w:ascii="Times New Roman" w:hAnsi="Times New Roman" w:cs="Times New Roman"/>
          <w:sz w:val="28"/>
          <w:szCs w:val="28"/>
        </w:rPr>
      </w:pPr>
    </w:p>
    <w:p w14:paraId="6B206194" w14:textId="77777777" w:rsidR="00E5323B" w:rsidRPr="00B572EA" w:rsidRDefault="00E5323B" w:rsidP="00894C55">
      <w:pPr>
        <w:spacing w:after="0" w:line="240" w:lineRule="auto"/>
        <w:rPr>
          <w:rFonts w:ascii="Times New Roman" w:hAnsi="Times New Roman" w:cs="Times New Roman"/>
          <w:sz w:val="28"/>
          <w:szCs w:val="28"/>
        </w:rPr>
      </w:pPr>
    </w:p>
    <w:p w14:paraId="5E1158B4" w14:textId="77777777" w:rsidR="00C30EDD" w:rsidRPr="00726C05" w:rsidRDefault="00C30EDD" w:rsidP="00C30EDD">
      <w:pPr>
        <w:tabs>
          <w:tab w:val="left" w:pos="7655"/>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Iesniedzējs:</w:t>
      </w:r>
    </w:p>
    <w:p w14:paraId="36D0E170" w14:textId="24DCA761" w:rsidR="00C30EDD" w:rsidRPr="00726C05" w:rsidRDefault="00C30EDD" w:rsidP="00541774">
      <w:pPr>
        <w:tabs>
          <w:tab w:val="right" w:pos="9071"/>
        </w:tabs>
        <w:spacing w:after="0" w:line="240" w:lineRule="auto"/>
        <w:ind w:right="1"/>
        <w:rPr>
          <w:rFonts w:ascii="Times New Roman" w:hAnsi="Times New Roman" w:cs="Times New Roman"/>
          <w:sz w:val="24"/>
          <w:szCs w:val="24"/>
        </w:rPr>
      </w:pPr>
      <w:r w:rsidRPr="00726C05">
        <w:rPr>
          <w:rFonts w:ascii="Times New Roman" w:hAnsi="Times New Roman" w:cs="Times New Roman"/>
          <w:sz w:val="24"/>
          <w:szCs w:val="24"/>
        </w:rPr>
        <w:t>Ekonomikas ministr</w:t>
      </w:r>
      <w:r w:rsidR="00541774">
        <w:rPr>
          <w:rFonts w:ascii="Times New Roman" w:hAnsi="Times New Roman" w:cs="Times New Roman"/>
          <w:sz w:val="24"/>
          <w:szCs w:val="24"/>
        </w:rPr>
        <w:t>s</w:t>
      </w:r>
      <w:r w:rsidR="00541774">
        <w:rPr>
          <w:rFonts w:ascii="Times New Roman" w:hAnsi="Times New Roman" w:cs="Times New Roman"/>
          <w:sz w:val="24"/>
          <w:szCs w:val="24"/>
        </w:rPr>
        <w:tab/>
      </w:r>
      <w:proofErr w:type="spellStart"/>
      <w:r w:rsidR="00541774">
        <w:rPr>
          <w:rFonts w:ascii="Times New Roman" w:hAnsi="Times New Roman" w:cs="Times New Roman"/>
          <w:sz w:val="24"/>
          <w:szCs w:val="24"/>
        </w:rPr>
        <w:t>J.Vitenbergs</w:t>
      </w:r>
      <w:proofErr w:type="spellEnd"/>
    </w:p>
    <w:p w14:paraId="06655A83" w14:textId="77777777" w:rsidR="00C30EDD" w:rsidRPr="00726C05" w:rsidRDefault="00C30EDD" w:rsidP="00C30EDD">
      <w:pPr>
        <w:tabs>
          <w:tab w:val="left" w:pos="7938"/>
        </w:tabs>
        <w:spacing w:after="0" w:line="240" w:lineRule="auto"/>
        <w:contextualSpacing/>
        <w:rPr>
          <w:rFonts w:ascii="Times New Roman" w:hAnsi="Times New Roman" w:cs="Times New Roman"/>
          <w:sz w:val="24"/>
          <w:szCs w:val="24"/>
        </w:rPr>
      </w:pPr>
    </w:p>
    <w:p w14:paraId="794DF860" w14:textId="77777777" w:rsidR="00C30EDD" w:rsidRPr="00726C05" w:rsidRDefault="00C30EDD" w:rsidP="00C30EDD">
      <w:pPr>
        <w:tabs>
          <w:tab w:val="left" w:pos="7938"/>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Vīza:</w:t>
      </w:r>
    </w:p>
    <w:p w14:paraId="5C1593CD" w14:textId="7A03BC70" w:rsidR="00C30EDD" w:rsidRPr="00726C05" w:rsidRDefault="00C30EDD" w:rsidP="00C42C60">
      <w:pPr>
        <w:tabs>
          <w:tab w:val="left" w:pos="7655"/>
        </w:tabs>
        <w:spacing w:after="0" w:line="240" w:lineRule="auto"/>
        <w:contextualSpacing/>
        <w:rPr>
          <w:rFonts w:ascii="Times New Roman" w:hAnsi="Times New Roman" w:cs="Times New Roman"/>
          <w:sz w:val="24"/>
          <w:szCs w:val="24"/>
        </w:rPr>
      </w:pPr>
      <w:r w:rsidRPr="00726C05">
        <w:rPr>
          <w:rFonts w:ascii="Times New Roman" w:eastAsia="Times New Roman" w:hAnsi="Times New Roman" w:cs="Times New Roman"/>
          <w:sz w:val="24"/>
          <w:szCs w:val="24"/>
        </w:rPr>
        <w:t>Valsts sekretār</w:t>
      </w:r>
      <w:r w:rsidR="00C42C60">
        <w:rPr>
          <w:rFonts w:ascii="Times New Roman" w:eastAsia="Times New Roman" w:hAnsi="Times New Roman" w:cs="Times New Roman"/>
          <w:sz w:val="24"/>
          <w:szCs w:val="24"/>
        </w:rPr>
        <w:t>s</w:t>
      </w:r>
      <w:r w:rsidR="00C42C60">
        <w:rPr>
          <w:rFonts w:ascii="Times New Roman" w:eastAsia="Times New Roman" w:hAnsi="Times New Roman" w:cs="Times New Roman"/>
          <w:sz w:val="24"/>
          <w:szCs w:val="24"/>
        </w:rPr>
        <w:tab/>
      </w:r>
      <w:r w:rsidR="00C42C60">
        <w:rPr>
          <w:rFonts w:ascii="Times New Roman" w:eastAsia="Times New Roman" w:hAnsi="Times New Roman" w:cs="Times New Roman"/>
          <w:sz w:val="24"/>
          <w:szCs w:val="24"/>
        </w:rPr>
        <w:tab/>
      </w:r>
      <w:proofErr w:type="spellStart"/>
      <w:r w:rsidR="00C42C60">
        <w:rPr>
          <w:rFonts w:ascii="Times New Roman" w:eastAsia="Times New Roman" w:hAnsi="Times New Roman" w:cs="Times New Roman"/>
          <w:sz w:val="24"/>
          <w:szCs w:val="24"/>
        </w:rPr>
        <w:t>E.Valantis</w:t>
      </w:r>
      <w:proofErr w:type="spellEnd"/>
    </w:p>
    <w:p w14:paraId="544C6D11" w14:textId="7363195E" w:rsidR="00894C55" w:rsidRPr="00B572EA" w:rsidRDefault="00894C55" w:rsidP="00894C55">
      <w:pPr>
        <w:tabs>
          <w:tab w:val="left" w:pos="6237"/>
        </w:tabs>
        <w:spacing w:after="0" w:line="240" w:lineRule="auto"/>
        <w:ind w:firstLine="720"/>
        <w:rPr>
          <w:rFonts w:ascii="Times New Roman" w:hAnsi="Times New Roman" w:cs="Times New Roman"/>
          <w:sz w:val="28"/>
          <w:szCs w:val="28"/>
        </w:rPr>
      </w:pPr>
    </w:p>
    <w:p w14:paraId="1300FA39" w14:textId="77777777" w:rsidR="00894C55" w:rsidRPr="00B572EA" w:rsidRDefault="00894C55" w:rsidP="00894C55">
      <w:pPr>
        <w:spacing w:after="0" w:line="240" w:lineRule="auto"/>
        <w:ind w:firstLine="720"/>
        <w:rPr>
          <w:rFonts w:ascii="Times New Roman" w:hAnsi="Times New Roman" w:cs="Times New Roman"/>
          <w:sz w:val="28"/>
          <w:szCs w:val="28"/>
        </w:rPr>
      </w:pPr>
    </w:p>
    <w:p w14:paraId="2509455A" w14:textId="77777777" w:rsidR="00894C55" w:rsidRPr="00B572EA" w:rsidRDefault="00894C55" w:rsidP="00894C55">
      <w:pPr>
        <w:tabs>
          <w:tab w:val="left" w:pos="6237"/>
        </w:tabs>
        <w:spacing w:after="0" w:line="240" w:lineRule="auto"/>
        <w:ind w:firstLine="720"/>
        <w:rPr>
          <w:rFonts w:ascii="Times New Roman" w:hAnsi="Times New Roman" w:cs="Times New Roman"/>
          <w:sz w:val="28"/>
          <w:szCs w:val="28"/>
        </w:rPr>
      </w:pPr>
    </w:p>
    <w:p w14:paraId="6FB641B1" w14:textId="4853F948" w:rsidR="00894C55" w:rsidRPr="00C30EDD" w:rsidRDefault="00C30EDD" w:rsidP="00894C55">
      <w:pPr>
        <w:tabs>
          <w:tab w:val="left" w:pos="6237"/>
        </w:tabs>
        <w:spacing w:after="0" w:line="240" w:lineRule="auto"/>
        <w:rPr>
          <w:rFonts w:ascii="Times New Roman" w:hAnsi="Times New Roman" w:cs="Times New Roman"/>
          <w:sz w:val="20"/>
        </w:rPr>
      </w:pPr>
      <w:r w:rsidRPr="00C30EDD">
        <w:rPr>
          <w:rFonts w:ascii="Times New Roman" w:hAnsi="Times New Roman" w:cs="Times New Roman"/>
          <w:sz w:val="20"/>
        </w:rPr>
        <w:t>Rozentāle</w:t>
      </w:r>
      <w:r>
        <w:rPr>
          <w:rFonts w:ascii="Times New Roman" w:hAnsi="Times New Roman" w:cs="Times New Roman"/>
          <w:sz w:val="20"/>
        </w:rPr>
        <w:t>,</w:t>
      </w:r>
      <w:r w:rsidRPr="00C30EDD">
        <w:rPr>
          <w:rFonts w:ascii="Times New Roman" w:hAnsi="Times New Roman" w:cs="Times New Roman"/>
          <w:sz w:val="20"/>
        </w:rPr>
        <w:t xml:space="preserve"> </w:t>
      </w:r>
      <w:r w:rsidR="00D133F8" w:rsidRPr="00C30EDD">
        <w:rPr>
          <w:rFonts w:ascii="Times New Roman" w:hAnsi="Times New Roman" w:cs="Times New Roman"/>
          <w:sz w:val="20"/>
        </w:rPr>
        <w:t>6701</w:t>
      </w:r>
      <w:r w:rsidRPr="00C30EDD">
        <w:rPr>
          <w:rFonts w:ascii="Times New Roman" w:hAnsi="Times New Roman" w:cs="Times New Roman"/>
          <w:sz w:val="20"/>
        </w:rPr>
        <w:t>3046</w:t>
      </w:r>
    </w:p>
    <w:p w14:paraId="3E0325C0" w14:textId="6CBA7629" w:rsidR="00894C55" w:rsidRPr="00C30EDD" w:rsidRDefault="00C30EDD" w:rsidP="00894C55">
      <w:pPr>
        <w:tabs>
          <w:tab w:val="left" w:pos="6237"/>
        </w:tabs>
        <w:spacing w:after="0" w:line="240" w:lineRule="auto"/>
        <w:rPr>
          <w:rFonts w:ascii="Times New Roman" w:hAnsi="Times New Roman" w:cs="Times New Roman"/>
          <w:sz w:val="20"/>
        </w:rPr>
      </w:pPr>
      <w:r w:rsidRPr="00C30EDD">
        <w:rPr>
          <w:rFonts w:ascii="Times New Roman" w:hAnsi="Times New Roman" w:cs="Times New Roman"/>
          <w:sz w:val="20"/>
        </w:rPr>
        <w:t>Liga.Rozentale@em.gov.lv</w:t>
      </w:r>
    </w:p>
    <w:sectPr w:rsidR="00894C55" w:rsidRPr="00C30ED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7C23" w14:textId="77777777" w:rsidR="0063212A" w:rsidRDefault="0063212A" w:rsidP="00894C55">
      <w:pPr>
        <w:spacing w:after="0" w:line="240" w:lineRule="auto"/>
      </w:pPr>
      <w:r>
        <w:separator/>
      </w:r>
    </w:p>
  </w:endnote>
  <w:endnote w:type="continuationSeparator" w:id="0">
    <w:p w14:paraId="36950409" w14:textId="77777777" w:rsidR="0063212A" w:rsidRDefault="006321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D886" w14:textId="2C97080B" w:rsidR="00894C55" w:rsidRPr="00B572EA" w:rsidRDefault="00B572EA" w:rsidP="00B572EA">
    <w:pPr>
      <w:pStyle w:val="Footer"/>
      <w:rPr>
        <w:rFonts w:ascii="Times New Roman" w:hAnsi="Times New Roman" w:cs="Times New Roman"/>
        <w:sz w:val="20"/>
        <w:szCs w:val="20"/>
      </w:rPr>
    </w:pPr>
    <w:r>
      <w:rPr>
        <w:rFonts w:ascii="Times New Roman" w:hAnsi="Times New Roman" w:cs="Times New Roman"/>
        <w:sz w:val="20"/>
        <w:szCs w:val="20"/>
      </w:rPr>
      <w:t>MKanot_</w:t>
    </w:r>
    <w:r w:rsidR="00BA4CCD">
      <w:rPr>
        <w:rFonts w:ascii="Times New Roman" w:hAnsi="Times New Roman" w:cs="Times New Roman"/>
        <w:sz w:val="20"/>
        <w:szCs w:val="20"/>
      </w:rPr>
      <w:t>1</w:t>
    </w:r>
    <w:r w:rsidR="00E02E31">
      <w:rPr>
        <w:rFonts w:ascii="Times New Roman" w:hAnsi="Times New Roman" w:cs="Times New Roman"/>
        <w:sz w:val="20"/>
        <w:szCs w:val="20"/>
      </w:rPr>
      <w:t>9</w:t>
    </w:r>
    <w:r>
      <w:rPr>
        <w:rFonts w:ascii="Times New Roman" w:hAnsi="Times New Roman" w:cs="Times New Roman"/>
        <w:sz w:val="20"/>
        <w:szCs w:val="20"/>
      </w:rPr>
      <w:t>0</w:t>
    </w:r>
    <w:r w:rsidR="0088094F">
      <w:rPr>
        <w:rFonts w:ascii="Times New Roman" w:hAnsi="Times New Roman" w:cs="Times New Roman"/>
        <w:sz w:val="20"/>
        <w:szCs w:val="20"/>
      </w:rPr>
      <w:t>8</w:t>
    </w:r>
    <w:r>
      <w:rPr>
        <w:rFonts w:ascii="Times New Roman" w:hAnsi="Times New Roman" w:cs="Times New Roman"/>
        <w:sz w:val="20"/>
        <w:szCs w:val="20"/>
      </w:rPr>
      <w:t>20_</w:t>
    </w:r>
    <w:r w:rsidR="00595047">
      <w:rPr>
        <w:rFonts w:ascii="Times New Roman" w:hAnsi="Times New Roman" w:cs="Times New Roman"/>
        <w:sz w:val="20"/>
        <w:szCs w:val="20"/>
      </w:rPr>
      <w:t>el.atlaujas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3266" w14:textId="0FBD25F4" w:rsidR="009A2654" w:rsidRPr="009A2654" w:rsidRDefault="00BA4CCD">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Pr>
        <w:rFonts w:ascii="Times New Roman" w:hAnsi="Times New Roman" w:cs="Times New Roman"/>
        <w:sz w:val="20"/>
        <w:szCs w:val="20"/>
      </w:rPr>
      <w:t>1</w:t>
    </w:r>
    <w:r w:rsidR="00E02E31">
      <w:rPr>
        <w:rFonts w:ascii="Times New Roman" w:hAnsi="Times New Roman" w:cs="Times New Roman"/>
        <w:sz w:val="20"/>
        <w:szCs w:val="20"/>
      </w:rPr>
      <w:t>9</w:t>
    </w:r>
    <w:r w:rsidR="00B572EA">
      <w:rPr>
        <w:rFonts w:ascii="Times New Roman" w:hAnsi="Times New Roman" w:cs="Times New Roman"/>
        <w:sz w:val="20"/>
        <w:szCs w:val="20"/>
      </w:rPr>
      <w:t>0</w:t>
    </w:r>
    <w:r w:rsidR="0088094F">
      <w:rPr>
        <w:rFonts w:ascii="Times New Roman" w:hAnsi="Times New Roman" w:cs="Times New Roman"/>
        <w:sz w:val="20"/>
        <w:szCs w:val="20"/>
      </w:rPr>
      <w:t>8</w:t>
    </w:r>
    <w:r w:rsidR="00B572EA">
      <w:rPr>
        <w:rFonts w:ascii="Times New Roman" w:hAnsi="Times New Roman" w:cs="Times New Roman"/>
        <w:sz w:val="20"/>
        <w:szCs w:val="20"/>
      </w:rPr>
      <w:t>20</w:t>
    </w:r>
    <w:r w:rsidR="009A2654">
      <w:rPr>
        <w:rFonts w:ascii="Times New Roman" w:hAnsi="Times New Roman" w:cs="Times New Roman"/>
        <w:sz w:val="20"/>
        <w:szCs w:val="20"/>
      </w:rPr>
      <w:t>_</w:t>
    </w:r>
    <w:r w:rsidR="0088094F">
      <w:rPr>
        <w:rFonts w:ascii="Times New Roman" w:hAnsi="Times New Roman" w:cs="Times New Roman"/>
        <w:sz w:val="20"/>
        <w:szCs w:val="20"/>
      </w:rPr>
      <w:t>el.atlaujas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42CF" w14:textId="77777777" w:rsidR="0063212A" w:rsidRDefault="0063212A" w:rsidP="00894C55">
      <w:pPr>
        <w:spacing w:after="0" w:line="240" w:lineRule="auto"/>
      </w:pPr>
      <w:r>
        <w:separator/>
      </w:r>
    </w:p>
  </w:footnote>
  <w:footnote w:type="continuationSeparator" w:id="0">
    <w:p w14:paraId="0268BC80" w14:textId="77777777" w:rsidR="0063212A" w:rsidRDefault="0063212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F251EB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37D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C03"/>
    <w:multiLevelType w:val="hybridMultilevel"/>
    <w:tmpl w:val="21A8960C"/>
    <w:lvl w:ilvl="0" w:tplc="364667D2">
      <w:start w:val="1"/>
      <w:numFmt w:val="decimal"/>
      <w:lvlText w:val="%1."/>
      <w:lvlJc w:val="left"/>
      <w:pPr>
        <w:ind w:left="1571" w:hanging="360"/>
      </w:pPr>
    </w:lvl>
    <w:lvl w:ilvl="1" w:tplc="544412FC">
      <w:start w:val="1"/>
      <w:numFmt w:val="lowerLetter"/>
      <w:lvlText w:val="%2."/>
      <w:lvlJc w:val="left"/>
      <w:pPr>
        <w:ind w:left="2291" w:hanging="360"/>
      </w:pPr>
    </w:lvl>
    <w:lvl w:ilvl="2" w:tplc="BBE6DA4C" w:tentative="1">
      <w:start w:val="1"/>
      <w:numFmt w:val="lowerRoman"/>
      <w:lvlText w:val="%3."/>
      <w:lvlJc w:val="right"/>
      <w:pPr>
        <w:ind w:left="3011" w:hanging="180"/>
      </w:pPr>
    </w:lvl>
    <w:lvl w:ilvl="3" w:tplc="136EDDD4" w:tentative="1">
      <w:start w:val="1"/>
      <w:numFmt w:val="decimal"/>
      <w:lvlText w:val="%4."/>
      <w:lvlJc w:val="left"/>
      <w:pPr>
        <w:ind w:left="3731" w:hanging="360"/>
      </w:pPr>
    </w:lvl>
    <w:lvl w:ilvl="4" w:tplc="9502F6DA" w:tentative="1">
      <w:start w:val="1"/>
      <w:numFmt w:val="lowerLetter"/>
      <w:lvlText w:val="%5."/>
      <w:lvlJc w:val="left"/>
      <w:pPr>
        <w:ind w:left="4451" w:hanging="360"/>
      </w:pPr>
    </w:lvl>
    <w:lvl w:ilvl="5" w:tplc="D2383D16" w:tentative="1">
      <w:start w:val="1"/>
      <w:numFmt w:val="lowerRoman"/>
      <w:lvlText w:val="%6."/>
      <w:lvlJc w:val="right"/>
      <w:pPr>
        <w:ind w:left="5171" w:hanging="180"/>
      </w:pPr>
    </w:lvl>
    <w:lvl w:ilvl="6" w:tplc="05587F28" w:tentative="1">
      <w:start w:val="1"/>
      <w:numFmt w:val="decimal"/>
      <w:lvlText w:val="%7."/>
      <w:lvlJc w:val="left"/>
      <w:pPr>
        <w:ind w:left="5891" w:hanging="360"/>
      </w:pPr>
    </w:lvl>
    <w:lvl w:ilvl="7" w:tplc="C46E6526" w:tentative="1">
      <w:start w:val="1"/>
      <w:numFmt w:val="lowerLetter"/>
      <w:lvlText w:val="%8."/>
      <w:lvlJc w:val="left"/>
      <w:pPr>
        <w:ind w:left="6611" w:hanging="360"/>
      </w:pPr>
    </w:lvl>
    <w:lvl w:ilvl="8" w:tplc="BFE0A4DC" w:tentative="1">
      <w:start w:val="1"/>
      <w:numFmt w:val="lowerRoman"/>
      <w:lvlText w:val="%9."/>
      <w:lvlJc w:val="right"/>
      <w:pPr>
        <w:ind w:left="7331" w:hanging="180"/>
      </w:pPr>
    </w:lvl>
  </w:abstractNum>
  <w:abstractNum w:abstractNumId="1" w15:restartNumberingAfterBreak="0">
    <w:nsid w:val="6496126F"/>
    <w:multiLevelType w:val="hybridMultilevel"/>
    <w:tmpl w:val="A82048DE"/>
    <w:lvl w:ilvl="0" w:tplc="D4C41F12">
      <w:start w:val="1"/>
      <w:numFmt w:val="decimal"/>
      <w:lvlText w:val="%1."/>
      <w:lvlJc w:val="left"/>
      <w:pPr>
        <w:ind w:left="1571" w:hanging="360"/>
      </w:pPr>
    </w:lvl>
    <w:lvl w:ilvl="1" w:tplc="487C0DC8">
      <w:start w:val="1"/>
      <w:numFmt w:val="bullet"/>
      <w:lvlText w:val=""/>
      <w:lvlJc w:val="left"/>
      <w:pPr>
        <w:ind w:left="2291" w:hanging="360"/>
      </w:pPr>
      <w:rPr>
        <w:rFonts w:ascii="Wingdings" w:hAnsi="Wingdings" w:hint="default"/>
      </w:rPr>
    </w:lvl>
    <w:lvl w:ilvl="2" w:tplc="18C8F766" w:tentative="1">
      <w:start w:val="1"/>
      <w:numFmt w:val="lowerRoman"/>
      <w:lvlText w:val="%3."/>
      <w:lvlJc w:val="right"/>
      <w:pPr>
        <w:ind w:left="3011" w:hanging="180"/>
      </w:pPr>
    </w:lvl>
    <w:lvl w:ilvl="3" w:tplc="A316198E" w:tentative="1">
      <w:start w:val="1"/>
      <w:numFmt w:val="decimal"/>
      <w:lvlText w:val="%4."/>
      <w:lvlJc w:val="left"/>
      <w:pPr>
        <w:ind w:left="3731" w:hanging="360"/>
      </w:pPr>
    </w:lvl>
    <w:lvl w:ilvl="4" w:tplc="9A5C6A6E" w:tentative="1">
      <w:start w:val="1"/>
      <w:numFmt w:val="lowerLetter"/>
      <w:lvlText w:val="%5."/>
      <w:lvlJc w:val="left"/>
      <w:pPr>
        <w:ind w:left="4451" w:hanging="360"/>
      </w:pPr>
    </w:lvl>
    <w:lvl w:ilvl="5" w:tplc="615EC9B2" w:tentative="1">
      <w:start w:val="1"/>
      <w:numFmt w:val="lowerRoman"/>
      <w:lvlText w:val="%6."/>
      <w:lvlJc w:val="right"/>
      <w:pPr>
        <w:ind w:left="5171" w:hanging="180"/>
      </w:pPr>
    </w:lvl>
    <w:lvl w:ilvl="6" w:tplc="5A2A710A" w:tentative="1">
      <w:start w:val="1"/>
      <w:numFmt w:val="decimal"/>
      <w:lvlText w:val="%7."/>
      <w:lvlJc w:val="left"/>
      <w:pPr>
        <w:ind w:left="5891" w:hanging="360"/>
      </w:pPr>
    </w:lvl>
    <w:lvl w:ilvl="7" w:tplc="F0D47EF4" w:tentative="1">
      <w:start w:val="1"/>
      <w:numFmt w:val="lowerLetter"/>
      <w:lvlText w:val="%8."/>
      <w:lvlJc w:val="left"/>
      <w:pPr>
        <w:ind w:left="6611" w:hanging="360"/>
      </w:pPr>
    </w:lvl>
    <w:lvl w:ilvl="8" w:tplc="EB0E3B04" w:tentative="1">
      <w:start w:val="1"/>
      <w:numFmt w:val="lowerRoman"/>
      <w:lvlText w:val="%9."/>
      <w:lvlJc w:val="right"/>
      <w:pPr>
        <w:ind w:left="7331" w:hanging="180"/>
      </w:pPr>
    </w:lvl>
  </w:abstractNum>
  <w:abstractNum w:abstractNumId="2" w15:restartNumberingAfterBreak="0">
    <w:nsid w:val="6AAF15E3"/>
    <w:multiLevelType w:val="hybridMultilevel"/>
    <w:tmpl w:val="861C7A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63B8"/>
    <w:rsid w:val="000C1BF6"/>
    <w:rsid w:val="00120AEA"/>
    <w:rsid w:val="00161FDD"/>
    <w:rsid w:val="001630F0"/>
    <w:rsid w:val="001E0363"/>
    <w:rsid w:val="00204225"/>
    <w:rsid w:val="0021143D"/>
    <w:rsid w:val="00221AE9"/>
    <w:rsid w:val="00221BD4"/>
    <w:rsid w:val="00226A95"/>
    <w:rsid w:val="0023110A"/>
    <w:rsid w:val="00243426"/>
    <w:rsid w:val="0025383F"/>
    <w:rsid w:val="00260D38"/>
    <w:rsid w:val="002C3C58"/>
    <w:rsid w:val="002D37EB"/>
    <w:rsid w:val="002E1C05"/>
    <w:rsid w:val="00324900"/>
    <w:rsid w:val="00325A49"/>
    <w:rsid w:val="003B0BF9"/>
    <w:rsid w:val="003B6189"/>
    <w:rsid w:val="003E0791"/>
    <w:rsid w:val="003F28AC"/>
    <w:rsid w:val="00425DD3"/>
    <w:rsid w:val="004454FE"/>
    <w:rsid w:val="00456E40"/>
    <w:rsid w:val="00471F27"/>
    <w:rsid w:val="004E693F"/>
    <w:rsid w:val="0050178F"/>
    <w:rsid w:val="00541774"/>
    <w:rsid w:val="00547FA9"/>
    <w:rsid w:val="0057468E"/>
    <w:rsid w:val="005812A0"/>
    <w:rsid w:val="00595047"/>
    <w:rsid w:val="005C4F10"/>
    <w:rsid w:val="005D3AC0"/>
    <w:rsid w:val="006142C6"/>
    <w:rsid w:val="0063212A"/>
    <w:rsid w:val="00652A93"/>
    <w:rsid w:val="0065312B"/>
    <w:rsid w:val="00655F2C"/>
    <w:rsid w:val="0066513F"/>
    <w:rsid w:val="006E1081"/>
    <w:rsid w:val="00720585"/>
    <w:rsid w:val="00731231"/>
    <w:rsid w:val="007432C4"/>
    <w:rsid w:val="00760E18"/>
    <w:rsid w:val="00773AF6"/>
    <w:rsid w:val="00795F71"/>
    <w:rsid w:val="007E5F7A"/>
    <w:rsid w:val="007E73AB"/>
    <w:rsid w:val="00816C11"/>
    <w:rsid w:val="00823D22"/>
    <w:rsid w:val="00824A5D"/>
    <w:rsid w:val="0088094F"/>
    <w:rsid w:val="00894C55"/>
    <w:rsid w:val="008D1E9A"/>
    <w:rsid w:val="008D777A"/>
    <w:rsid w:val="008F10A2"/>
    <w:rsid w:val="009A2654"/>
    <w:rsid w:val="009A4372"/>
    <w:rsid w:val="00A03918"/>
    <w:rsid w:val="00A10FC3"/>
    <w:rsid w:val="00A47C77"/>
    <w:rsid w:val="00A6073E"/>
    <w:rsid w:val="00A663B8"/>
    <w:rsid w:val="00AE5567"/>
    <w:rsid w:val="00AF1239"/>
    <w:rsid w:val="00AF4540"/>
    <w:rsid w:val="00B16480"/>
    <w:rsid w:val="00B2165C"/>
    <w:rsid w:val="00B572EA"/>
    <w:rsid w:val="00BA20AA"/>
    <w:rsid w:val="00BA4CCD"/>
    <w:rsid w:val="00BD4425"/>
    <w:rsid w:val="00C20647"/>
    <w:rsid w:val="00C25B49"/>
    <w:rsid w:val="00C30EDD"/>
    <w:rsid w:val="00C42C60"/>
    <w:rsid w:val="00CC0D2D"/>
    <w:rsid w:val="00CE37D0"/>
    <w:rsid w:val="00CE5657"/>
    <w:rsid w:val="00D133F8"/>
    <w:rsid w:val="00D14A3E"/>
    <w:rsid w:val="00D47510"/>
    <w:rsid w:val="00D56B12"/>
    <w:rsid w:val="00D67DF2"/>
    <w:rsid w:val="00E02E31"/>
    <w:rsid w:val="00E2142E"/>
    <w:rsid w:val="00E36D33"/>
    <w:rsid w:val="00E3716B"/>
    <w:rsid w:val="00E5323B"/>
    <w:rsid w:val="00E624E7"/>
    <w:rsid w:val="00E754B9"/>
    <w:rsid w:val="00E84978"/>
    <w:rsid w:val="00E8749E"/>
    <w:rsid w:val="00E90C01"/>
    <w:rsid w:val="00EA486E"/>
    <w:rsid w:val="00EB3880"/>
    <w:rsid w:val="00F02558"/>
    <w:rsid w:val="00F11666"/>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48C6"/>
  <w15:docId w15:val="{CE0D2A95-1886-43DA-9160-81D9A7A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3D22"/>
    <w:pPr>
      <w:ind w:left="720"/>
      <w:contextualSpacing/>
    </w:pPr>
  </w:style>
  <w:style w:type="character" w:customStyle="1" w:styleId="UnresolvedMention1">
    <w:name w:val="Unresolved Mention1"/>
    <w:basedOn w:val="DefaultParagraphFont"/>
    <w:uiPriority w:val="99"/>
    <w:semiHidden/>
    <w:unhideWhenUsed/>
    <w:rsid w:val="00B572EA"/>
    <w:rPr>
      <w:color w:val="605E5C"/>
      <w:shd w:val="clear" w:color="auto" w:fill="E1DFDD"/>
    </w:rPr>
  </w:style>
  <w:style w:type="character" w:styleId="CommentReference">
    <w:name w:val="annotation reference"/>
    <w:basedOn w:val="DefaultParagraphFont"/>
    <w:uiPriority w:val="99"/>
    <w:semiHidden/>
    <w:unhideWhenUsed/>
    <w:rsid w:val="00324900"/>
    <w:rPr>
      <w:sz w:val="16"/>
      <w:szCs w:val="16"/>
    </w:rPr>
  </w:style>
  <w:style w:type="paragraph" w:styleId="CommentText">
    <w:name w:val="annotation text"/>
    <w:basedOn w:val="Normal"/>
    <w:link w:val="CommentTextChar"/>
    <w:uiPriority w:val="99"/>
    <w:semiHidden/>
    <w:unhideWhenUsed/>
    <w:rsid w:val="00324900"/>
    <w:pPr>
      <w:spacing w:line="240" w:lineRule="auto"/>
    </w:pPr>
    <w:rPr>
      <w:sz w:val="20"/>
      <w:szCs w:val="20"/>
    </w:rPr>
  </w:style>
  <w:style w:type="character" w:customStyle="1" w:styleId="CommentTextChar">
    <w:name w:val="Comment Text Char"/>
    <w:basedOn w:val="DefaultParagraphFont"/>
    <w:link w:val="CommentText"/>
    <w:uiPriority w:val="99"/>
    <w:semiHidden/>
    <w:rsid w:val="00324900"/>
    <w:rPr>
      <w:sz w:val="20"/>
      <w:szCs w:val="20"/>
    </w:rPr>
  </w:style>
  <w:style w:type="paragraph" w:styleId="CommentSubject">
    <w:name w:val="annotation subject"/>
    <w:basedOn w:val="CommentText"/>
    <w:next w:val="CommentText"/>
    <w:link w:val="CommentSubjectChar"/>
    <w:uiPriority w:val="99"/>
    <w:semiHidden/>
    <w:unhideWhenUsed/>
    <w:rsid w:val="00324900"/>
    <w:rPr>
      <w:b/>
      <w:bCs/>
    </w:rPr>
  </w:style>
  <w:style w:type="character" w:customStyle="1" w:styleId="CommentSubjectChar">
    <w:name w:val="Comment Subject Char"/>
    <w:basedOn w:val="CommentTextChar"/>
    <w:link w:val="CommentSubject"/>
    <w:uiPriority w:val="99"/>
    <w:semiHidden/>
    <w:rsid w:val="003249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24325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805FF"/>
    <w:rsid w:val="001B16F8"/>
    <w:rsid w:val="00246404"/>
    <w:rsid w:val="00344186"/>
    <w:rsid w:val="00472F39"/>
    <w:rsid w:val="00523A63"/>
    <w:rsid w:val="0062234A"/>
    <w:rsid w:val="006A0385"/>
    <w:rsid w:val="006E511F"/>
    <w:rsid w:val="00845460"/>
    <w:rsid w:val="0086124E"/>
    <w:rsid w:val="00861854"/>
    <w:rsid w:val="008B623B"/>
    <w:rsid w:val="008D39C9"/>
    <w:rsid w:val="009C1B4C"/>
    <w:rsid w:val="00AD4A2F"/>
    <w:rsid w:val="00B3767C"/>
    <w:rsid w:val="00C00671"/>
    <w:rsid w:val="00C4628C"/>
    <w:rsid w:val="00C86651"/>
    <w:rsid w:val="00C97321"/>
    <w:rsid w:val="00D70760"/>
    <w:rsid w:val="00D87861"/>
    <w:rsid w:val="00DC7534"/>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9819</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Rozentāle</cp:lastModifiedBy>
  <cp:revision>7</cp:revision>
  <dcterms:created xsi:type="dcterms:W3CDTF">2020-08-05T05:44:00Z</dcterms:created>
  <dcterms:modified xsi:type="dcterms:W3CDTF">2020-08-19T08:21:00Z</dcterms:modified>
</cp:coreProperties>
</file>