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631F" w14:textId="5DF0A16B" w:rsidR="004B4325" w:rsidRPr="005D6E41" w:rsidRDefault="004B4325" w:rsidP="005D6E4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D6E41">
        <w:rPr>
          <w:rFonts w:ascii="Times New Roman" w:hAnsi="Times New Roman" w:cs="Times New Roman"/>
          <w:sz w:val="28"/>
          <w:szCs w:val="28"/>
        </w:rPr>
        <w:t xml:space="preserve">5. pielikums </w:t>
      </w:r>
    </w:p>
    <w:p w14:paraId="2B646F49" w14:textId="77777777" w:rsidR="004B4325" w:rsidRPr="005D6E41" w:rsidRDefault="004B4325" w:rsidP="005D6E4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D6E41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70E00E3" w14:textId="2827988F" w:rsidR="004B4325" w:rsidRPr="005D6E41" w:rsidRDefault="004B4325" w:rsidP="005D6E4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D6E41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6D7648" w:rsidRPr="006D7648">
        <w:rPr>
          <w:rFonts w:ascii="Times New Roman" w:hAnsi="Times New Roman" w:cs="Times New Roman"/>
          <w:sz w:val="28"/>
          <w:szCs w:val="28"/>
        </w:rPr>
        <w:t>2. septembr</w:t>
      </w:r>
      <w:r w:rsidR="006D7648" w:rsidRPr="006D7648">
        <w:rPr>
          <w:rFonts w:ascii="Times New Roman" w:hAnsi="Times New Roman" w:cs="Times New Roman"/>
          <w:sz w:val="28"/>
          <w:szCs w:val="28"/>
        </w:rPr>
        <w:t>a</w:t>
      </w:r>
    </w:p>
    <w:p w14:paraId="7F44D53C" w14:textId="3975B789" w:rsidR="004B4325" w:rsidRPr="005D6E41" w:rsidRDefault="004B4325" w:rsidP="005D6E4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D6E41">
        <w:rPr>
          <w:rFonts w:ascii="Times New Roman" w:hAnsi="Times New Roman" w:cs="Times New Roman"/>
          <w:sz w:val="28"/>
          <w:szCs w:val="28"/>
        </w:rPr>
        <w:t>noteikumiem Nr. </w:t>
      </w:r>
      <w:r w:rsidR="006D7648">
        <w:rPr>
          <w:rFonts w:ascii="Times New Roman" w:hAnsi="Times New Roman" w:cs="Times New Roman"/>
          <w:sz w:val="28"/>
          <w:szCs w:val="28"/>
        </w:rPr>
        <w:t>561</w:t>
      </w:r>
      <w:bookmarkStart w:id="0" w:name="_GoBack"/>
      <w:bookmarkEnd w:id="0"/>
    </w:p>
    <w:p w14:paraId="0652874B" w14:textId="77777777" w:rsidR="001F512A" w:rsidRPr="005D6E41" w:rsidRDefault="001F512A" w:rsidP="005D6E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D5A1B0" w14:textId="58F6922C" w:rsidR="009824DA" w:rsidRPr="005D6E41" w:rsidRDefault="009824DA" w:rsidP="005D6E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E41">
        <w:rPr>
          <w:rFonts w:ascii="Times New Roman" w:hAnsi="Times New Roman" w:cs="Times New Roman"/>
          <w:b/>
          <w:bCs/>
          <w:sz w:val="28"/>
          <w:szCs w:val="28"/>
        </w:rPr>
        <w:t>Jaudas komponentes korekcijas aprēķins</w:t>
      </w:r>
    </w:p>
    <w:p w14:paraId="1EA89B6E" w14:textId="271CEB8A" w:rsidR="009824DA" w:rsidRPr="005D6E41" w:rsidRDefault="009824DA" w:rsidP="005D6E41">
      <w:pPr>
        <w:pStyle w:val="labojumupamats"/>
        <w:shd w:val="clear" w:color="auto" w:fill="FFFFFF"/>
        <w:spacing w:before="0" w:beforeAutospacing="0" w:after="0" w:afterAutospacing="0"/>
        <w:ind w:firstLine="300"/>
        <w:jc w:val="center"/>
        <w:rPr>
          <w:i/>
          <w:iCs/>
          <w:sz w:val="20"/>
          <w:szCs w:val="20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118"/>
        <w:gridCol w:w="2135"/>
        <w:gridCol w:w="1545"/>
        <w:gridCol w:w="1538"/>
        <w:gridCol w:w="1719"/>
      </w:tblGrid>
      <w:tr w:rsidR="001F512A" w:rsidRPr="005D6E41" w14:paraId="5FF3681F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5F912B" w14:textId="77777777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6E41">
              <w:rPr>
                <w:sz w:val="22"/>
                <w:szCs w:val="22"/>
              </w:rPr>
              <w:t>Diena, mēnesis, gads, stunda</w:t>
            </w:r>
            <w:r w:rsidRPr="005D6E4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510B87" w14:textId="77777777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6E41">
              <w:rPr>
                <w:sz w:val="22"/>
                <w:szCs w:val="22"/>
              </w:rPr>
              <w:t>Pārdotās elektroenerģijas apjoms</w:t>
            </w:r>
            <w:r w:rsidRPr="005D6E41">
              <w:rPr>
                <w:sz w:val="22"/>
                <w:szCs w:val="22"/>
                <w:vertAlign w:val="superscript"/>
              </w:rPr>
              <w:t>2</w:t>
            </w:r>
            <w:r w:rsidRPr="005D6E41">
              <w:rPr>
                <w:sz w:val="22"/>
                <w:szCs w:val="22"/>
              </w:rPr>
              <w:br/>
              <w:t>(</w:t>
            </w:r>
            <w:proofErr w:type="spellStart"/>
            <w:r w:rsidRPr="005D6E41">
              <w:rPr>
                <w:sz w:val="22"/>
                <w:szCs w:val="22"/>
              </w:rPr>
              <w:t>MWh</w:t>
            </w:r>
            <w:proofErr w:type="spellEnd"/>
            <w:r w:rsidRPr="005D6E41">
              <w:rPr>
                <w:sz w:val="22"/>
                <w:szCs w:val="22"/>
              </w:rPr>
              <w:t>)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342798" w14:textId="3D7457D5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6E41">
              <w:rPr>
                <w:sz w:val="22"/>
                <w:szCs w:val="22"/>
              </w:rPr>
              <w:t>Elektroenerģijas biržas</w:t>
            </w:r>
            <w:r w:rsidRPr="005D6E41">
              <w:rPr>
                <w:sz w:val="22"/>
                <w:szCs w:val="22"/>
              </w:rPr>
              <w:br/>
            </w:r>
            <w:proofErr w:type="spellStart"/>
            <w:r w:rsidRPr="005D6E41">
              <w:rPr>
                <w:sz w:val="22"/>
                <w:szCs w:val="22"/>
              </w:rPr>
              <w:t>spot</w:t>
            </w:r>
            <w:proofErr w:type="spellEnd"/>
            <w:r w:rsidRPr="005D6E41">
              <w:rPr>
                <w:sz w:val="22"/>
                <w:szCs w:val="22"/>
              </w:rPr>
              <w:t xml:space="preserve"> cena</w:t>
            </w:r>
            <w:r w:rsidRPr="005D6E41">
              <w:rPr>
                <w:sz w:val="22"/>
                <w:szCs w:val="22"/>
                <w:vertAlign w:val="superscript"/>
              </w:rPr>
              <w:t>3</w:t>
            </w:r>
            <w:r w:rsidR="005D6E41" w:rsidRPr="005D6E41">
              <w:rPr>
                <w:sz w:val="22"/>
                <w:szCs w:val="22"/>
              </w:rPr>
              <w:t xml:space="preserve"> </w:t>
            </w:r>
            <w:r w:rsidRPr="005D6E41">
              <w:rPr>
                <w:sz w:val="22"/>
                <w:szCs w:val="22"/>
              </w:rPr>
              <w:t>(</w:t>
            </w:r>
            <w:proofErr w:type="spellStart"/>
            <w:r w:rsidR="00282950" w:rsidRPr="005D6E41">
              <w:rPr>
                <w:i/>
                <w:sz w:val="22"/>
                <w:szCs w:val="22"/>
              </w:rPr>
              <w:t>euro</w:t>
            </w:r>
            <w:proofErr w:type="spellEnd"/>
            <w:r w:rsidRPr="005D6E41">
              <w:rPr>
                <w:sz w:val="22"/>
                <w:szCs w:val="22"/>
              </w:rPr>
              <w:t>/</w:t>
            </w:r>
            <w:proofErr w:type="spellStart"/>
            <w:r w:rsidRPr="005D6E41">
              <w:rPr>
                <w:sz w:val="22"/>
                <w:szCs w:val="22"/>
              </w:rPr>
              <w:t>MWh</w:t>
            </w:r>
            <w:proofErr w:type="spellEnd"/>
            <w:r w:rsidRPr="005D6E41">
              <w:rPr>
                <w:sz w:val="22"/>
                <w:szCs w:val="22"/>
              </w:rPr>
              <w:t>)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DF94EA" w14:textId="2E57E870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6E41">
              <w:rPr>
                <w:sz w:val="22"/>
                <w:szCs w:val="22"/>
              </w:rPr>
              <w:t>Koģenerācijas mainīgās izmaksas</w:t>
            </w:r>
            <w:r w:rsidRPr="005D6E41">
              <w:rPr>
                <w:sz w:val="22"/>
                <w:szCs w:val="22"/>
                <w:vertAlign w:val="superscript"/>
              </w:rPr>
              <w:t>4</w:t>
            </w:r>
            <w:r w:rsidR="005D6E41" w:rsidRPr="005D6E41">
              <w:rPr>
                <w:sz w:val="22"/>
                <w:szCs w:val="22"/>
              </w:rPr>
              <w:t xml:space="preserve"> </w:t>
            </w:r>
            <w:r w:rsidRPr="005D6E41">
              <w:rPr>
                <w:sz w:val="22"/>
                <w:szCs w:val="22"/>
              </w:rPr>
              <w:t>(</w:t>
            </w:r>
            <w:proofErr w:type="spellStart"/>
            <w:r w:rsidR="00282950" w:rsidRPr="005D6E41">
              <w:rPr>
                <w:i/>
                <w:sz w:val="22"/>
                <w:szCs w:val="22"/>
              </w:rPr>
              <w:t>euro</w:t>
            </w:r>
            <w:proofErr w:type="spellEnd"/>
            <w:r w:rsidR="00282950" w:rsidRPr="005D6E41">
              <w:rPr>
                <w:sz w:val="22"/>
                <w:szCs w:val="22"/>
              </w:rPr>
              <w:t xml:space="preserve"> </w:t>
            </w:r>
            <w:r w:rsidRPr="005D6E41">
              <w:rPr>
                <w:sz w:val="22"/>
                <w:szCs w:val="22"/>
              </w:rPr>
              <w:t>/</w:t>
            </w:r>
            <w:proofErr w:type="spellStart"/>
            <w:r w:rsidRPr="005D6E41">
              <w:rPr>
                <w:sz w:val="22"/>
                <w:szCs w:val="22"/>
              </w:rPr>
              <w:t>MWh</w:t>
            </w:r>
            <w:proofErr w:type="spellEnd"/>
            <w:r w:rsidRPr="005D6E41">
              <w:rPr>
                <w:sz w:val="22"/>
                <w:szCs w:val="22"/>
              </w:rPr>
              <w:t>)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B527D3" w14:textId="77777777" w:rsidR="005D6E41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6E41">
              <w:rPr>
                <w:sz w:val="22"/>
                <w:szCs w:val="22"/>
              </w:rPr>
              <w:t>Papildus ieņēmumu aprēķins</w:t>
            </w:r>
            <w:r w:rsidRPr="005D6E41">
              <w:rPr>
                <w:sz w:val="22"/>
                <w:szCs w:val="22"/>
                <w:vertAlign w:val="superscript"/>
              </w:rPr>
              <w:t>5</w:t>
            </w:r>
            <w:r w:rsidR="005D6E41" w:rsidRPr="005D6E41">
              <w:rPr>
                <w:sz w:val="22"/>
                <w:szCs w:val="22"/>
                <w:vertAlign w:val="superscript"/>
              </w:rPr>
              <w:t xml:space="preserve"> </w:t>
            </w:r>
            <w:r w:rsidRPr="005D6E41">
              <w:rPr>
                <w:sz w:val="22"/>
                <w:szCs w:val="22"/>
              </w:rPr>
              <w:t>(</w:t>
            </w:r>
            <w:proofErr w:type="spellStart"/>
            <w:r w:rsidR="00282950" w:rsidRPr="005D6E41">
              <w:rPr>
                <w:i/>
                <w:sz w:val="22"/>
                <w:szCs w:val="22"/>
              </w:rPr>
              <w:t>euro</w:t>
            </w:r>
            <w:proofErr w:type="spellEnd"/>
            <w:r w:rsidRPr="005D6E41">
              <w:rPr>
                <w:sz w:val="22"/>
                <w:szCs w:val="22"/>
              </w:rPr>
              <w:t>)</w:t>
            </w:r>
          </w:p>
          <w:p w14:paraId="31608C4E" w14:textId="16B479E6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6E41">
              <w:rPr>
                <w:sz w:val="22"/>
                <w:szCs w:val="22"/>
              </w:rPr>
              <w:t>[(3) – (4)] x (2)</w:t>
            </w:r>
          </w:p>
        </w:tc>
      </w:tr>
      <w:tr w:rsidR="001F512A" w:rsidRPr="005D6E41" w14:paraId="3F1916A8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7EE5AA9" w14:textId="77777777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41">
              <w:rPr>
                <w:sz w:val="20"/>
                <w:szCs w:val="20"/>
              </w:rPr>
              <w:t>(1)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E18C05D" w14:textId="77777777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41">
              <w:rPr>
                <w:sz w:val="20"/>
                <w:szCs w:val="20"/>
              </w:rPr>
              <w:t>(2)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69887C1" w14:textId="77777777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41">
              <w:rPr>
                <w:sz w:val="20"/>
                <w:szCs w:val="20"/>
              </w:rPr>
              <w:t>(3)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49CB408" w14:textId="77777777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41">
              <w:rPr>
                <w:sz w:val="20"/>
                <w:szCs w:val="20"/>
              </w:rPr>
              <w:t>(4)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AB3643C" w14:textId="77777777" w:rsidR="009824DA" w:rsidRPr="005D6E41" w:rsidRDefault="009824DA" w:rsidP="005D6E41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41">
              <w:rPr>
                <w:sz w:val="20"/>
                <w:szCs w:val="20"/>
              </w:rPr>
              <w:t>(5)</w:t>
            </w:r>
          </w:p>
        </w:tc>
      </w:tr>
      <w:tr w:rsidR="001F512A" w:rsidRPr="005D6E41" w14:paraId="39B98FEB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087021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00:00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668557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BA3B502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263F475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FA5E11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391523D8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ED2EC4F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01:00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CC0668C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C2AC627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0008FF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0A01A14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29C758A7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B0CE03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02:00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803B55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151A0F5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3988742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D89C7EA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91E63A2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FA0CB78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03:00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6AA9B67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A188BF8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ABE82DC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9AEFCA0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2AFB64D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DE13211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04:00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34A858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CF14D3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02CAB53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CB54F4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58792A5B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9F1A1C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05:00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5D9432A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AF2683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095DF0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099D47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2E65DCE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B5ABD6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06:00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320D1D1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D1DF7A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1B2620A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367DF17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59DF2AE4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AA989C5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07:00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5170DA1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072A2C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8DB2BC5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B2AF3F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02DD1743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17D61F0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08:00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22330B8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B10D85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0483EC0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E9C079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447192E5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6D2172A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09:00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4CF9E71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FE5374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6D47377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F5E6C67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47C61B95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41D2F1C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10:00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EA52FC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2276AC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D38C4E3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5E61BD1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3CC3CB0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61D0A3C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11:00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31E50DF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D117A3D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28B607C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801454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7FA6483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D41221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12:00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6C60428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59A3BBD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8F286E4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B2DD2BD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A6DD810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EEFD35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13:00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A74D1C3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EA01B2D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F3F7893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101502F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198BFA78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306D878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14:00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8AB5AC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0C615F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A45EC90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7913ADC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387C14CB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A147A7A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15:00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EAB6C97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171C7A1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5043F2F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EF8C3C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68ABA2D4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B36859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16:00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5B0B805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7906572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99080C8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7A9659A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6694215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B928FB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17:00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09FF3C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358487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CE13DB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809AE1D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30461EE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F191EA2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18:00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1B90232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1960DB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499A96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604D8F8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14A3943B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A2DDE60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19:00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CB8C68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7A588C7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47D22AC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FA7D502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48F8EF95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27A617D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20:00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BFAF23F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52C1BB3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82F806F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15F1D6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4FD07CDD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10C132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21:00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7487C58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2D6EB0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A0321B8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5314FD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3CFACF4B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C530600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22:00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819EE10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5CEC144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7D9254C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078950C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61FCB700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CEF333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6E41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D6E41">
              <w:rPr>
                <w:rFonts w:ascii="Times New Roman" w:hAnsi="Times New Roman" w:cs="Times New Roman"/>
              </w:rPr>
              <w:t>. 23:00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F8D471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9EDCD91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2F43021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CE756E0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3B795B30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7055CDB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E41">
              <w:rPr>
                <w:rFonts w:ascii="Times New Roman" w:hAnsi="Times New Roman" w:cs="Times New Roman"/>
                <w:b/>
                <w:bCs/>
              </w:rPr>
              <w:t>Kopā dienā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C81FF0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E26FD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A617E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B17B6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181D8AE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9AC1183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E41">
              <w:rPr>
                <w:rFonts w:ascii="Times New Roman" w:hAnsi="Times New Roman" w:cs="Times New Roman"/>
                <w:b/>
                <w:bCs/>
              </w:rPr>
              <w:t>[…]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89699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26346A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B58F43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5E57F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512A" w:rsidRPr="005D6E41" w14:paraId="74859951" w14:textId="77777777" w:rsidTr="005D6E41">
        <w:trPr>
          <w:trHeight w:val="10"/>
        </w:trPr>
        <w:tc>
          <w:tcPr>
            <w:tcW w:w="11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D62771C" w14:textId="16EBA9E9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E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Jaudas komponentes korekcija mēnesī </w:t>
            </w:r>
            <w:r w:rsidRPr="005D6E4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(</w:t>
            </w:r>
            <w:r w:rsidR="00282950" w:rsidRPr="005D6E41">
              <w:rPr>
                <w:rFonts w:ascii="Times New Roman" w:hAnsi="Times New Roman" w:cs="Times New Roman"/>
                <w:i/>
              </w:rPr>
              <w:t>euro</w:t>
            </w:r>
            <w:r w:rsidRPr="005D6E4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)</w:t>
            </w:r>
            <w:r w:rsidRPr="005D6E41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8041C4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7D8D2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590E3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40877" w14:textId="77777777" w:rsidR="009824DA" w:rsidRPr="005D6E41" w:rsidRDefault="009824DA" w:rsidP="005D6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E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E6E2B9A" w14:textId="77777777" w:rsidR="005D6E41" w:rsidRPr="005D6E41" w:rsidRDefault="005D6E41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</w:p>
    <w:p w14:paraId="44579B55" w14:textId="2C55B0D8" w:rsidR="009824DA" w:rsidRPr="005D6E41" w:rsidRDefault="009824DA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t>Piezīmes.</w:t>
      </w:r>
    </w:p>
    <w:p w14:paraId="6FEEDCB9" w14:textId="181735EC" w:rsidR="009824DA" w:rsidRDefault="009824DA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rPr>
          <w:vertAlign w:val="superscript"/>
        </w:rPr>
        <w:t>1</w:t>
      </w:r>
      <w:r w:rsidRPr="005D6E41">
        <w:t> Iesniedz, sākot ar stundu, kurā koģenerācijas stacijas saražot</w:t>
      </w:r>
      <w:r w:rsidR="00513731">
        <w:t>ā</w:t>
      </w:r>
      <w:r w:rsidRPr="005D6E41">
        <w:t>s un tirgotājam pārdot</w:t>
      </w:r>
      <w:r w:rsidR="00513731">
        <w:t>ā</w:t>
      </w:r>
      <w:r w:rsidRPr="005D6E41">
        <w:t>s elektroenerģijas apjoms pārsniedz lielumu, kuru aprēķina, izmantojot šādu formulu:</w:t>
      </w:r>
    </w:p>
    <w:p w14:paraId="706F3B83" w14:textId="77777777" w:rsidR="005D6E41" w:rsidRPr="005D6E41" w:rsidRDefault="005D6E41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179"/>
      </w:tblGrid>
      <w:tr w:rsidR="001F512A" w:rsidRPr="005D6E41" w14:paraId="14379F9B" w14:textId="77777777" w:rsidTr="009824D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96A509" w14:textId="77777777" w:rsidR="009824DA" w:rsidRPr="005D6E41" w:rsidRDefault="009824DA" w:rsidP="005D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 </w:t>
            </w:r>
            <w:r w:rsidRPr="005D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6E41">
              <w:rPr>
                <w:rStyle w:val="tvhtml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"/>
              </w:rPr>
              <w:t>× 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461F9C" w14:textId="77777777" w:rsidR="009824DA" w:rsidRPr="005D6E41" w:rsidRDefault="009824DA" w:rsidP="005D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41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</w:p>
        </w:tc>
      </w:tr>
      <w:tr w:rsidR="005D6E41" w:rsidRPr="005D6E41" w14:paraId="6FE0C008" w14:textId="77777777" w:rsidTr="009824D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DF9E2B" w14:textId="77777777" w:rsidR="005D6E41" w:rsidRPr="005D6E41" w:rsidRDefault="005D6E41" w:rsidP="005D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3A6BE" w14:textId="77777777" w:rsidR="005D6E41" w:rsidRPr="005D6E41" w:rsidRDefault="005D6E41" w:rsidP="005D6E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2C16B" w14:textId="77777777" w:rsidR="009824DA" w:rsidRPr="005D6E41" w:rsidRDefault="009824DA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rPr>
          <w:i/>
          <w:iCs/>
        </w:rPr>
        <w:t>P</w:t>
      </w:r>
      <w:r w:rsidRPr="005D6E41">
        <w:t> – koģenerācijas stacijā uzstādītā elektriskā jauda (MW).</w:t>
      </w:r>
    </w:p>
    <w:p w14:paraId="5FF303FB" w14:textId="1C33DA29" w:rsidR="009824DA" w:rsidRPr="005D6E41" w:rsidRDefault="009824DA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t xml:space="preserve">Vienā siltumapgādes sistēmas operatora licences zonā esošām vienam komersantam piederošām koģenerācijas stacijām, kas pieslēgtas elektroenerģijas pārvades sistēmai, pārdotās elektroenerģijas apjomu, pēc kura sasniegšanas jāsāk veikt </w:t>
      </w:r>
      <w:proofErr w:type="gramStart"/>
      <w:r w:rsidRPr="005D6E41">
        <w:t>jaudas komponentes korekcijas aprēķins</w:t>
      </w:r>
      <w:proofErr w:type="gramEnd"/>
      <w:r w:rsidRPr="005D6E41">
        <w:t>, nosaka summāri, reizinot koģenerācijas staciju kopējo uzstādīto elektrisko jaudu ar 1200 stundām. Elektroenerģijas apjoma uzskaiti uzsāk katra gada 1.</w:t>
      </w:r>
      <w:r w:rsidR="005D6E41">
        <w:t> </w:t>
      </w:r>
      <w:r w:rsidRPr="005D6E41">
        <w:t>novembrī.</w:t>
      </w:r>
    </w:p>
    <w:p w14:paraId="08EC936C" w14:textId="77777777" w:rsidR="009824DA" w:rsidRPr="005D6E41" w:rsidRDefault="009824DA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rPr>
          <w:vertAlign w:val="superscript"/>
        </w:rPr>
        <w:t>2</w:t>
      </w:r>
      <w:r w:rsidRPr="005D6E41">
        <w:t> Apjomu norāda MWh ar precizitāti trīs zīmes aiz komata.</w:t>
      </w:r>
    </w:p>
    <w:p w14:paraId="76E04489" w14:textId="05DEBC45" w:rsidR="009824DA" w:rsidRPr="005D6E41" w:rsidRDefault="009824DA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rPr>
          <w:vertAlign w:val="superscript"/>
        </w:rPr>
        <w:t>3</w:t>
      </w:r>
      <w:r w:rsidRPr="005D6E41">
        <w:t xml:space="preserve"> Stundas elektroenerģijas biržas </w:t>
      </w:r>
      <w:proofErr w:type="spellStart"/>
      <w:r w:rsidRPr="005D6E41">
        <w:t>spot</w:t>
      </w:r>
      <w:proofErr w:type="spellEnd"/>
      <w:r w:rsidRPr="005D6E41">
        <w:t xml:space="preserve"> cenu nosaka saskaņā ar </w:t>
      </w:r>
      <w:proofErr w:type="spellStart"/>
      <w:r w:rsidRPr="005D6E41">
        <w:rPr>
          <w:i/>
          <w:iCs/>
        </w:rPr>
        <w:t>Nordpoolspot</w:t>
      </w:r>
      <w:proofErr w:type="spellEnd"/>
      <w:r w:rsidRPr="005D6E41">
        <w:t xml:space="preserve"> biržas Latvijas cenu apgabala </w:t>
      </w:r>
      <w:proofErr w:type="spellStart"/>
      <w:r w:rsidRPr="005D6E41">
        <w:t>spot</w:t>
      </w:r>
      <w:proofErr w:type="spellEnd"/>
      <w:r w:rsidRPr="005D6E41">
        <w:t xml:space="preserve"> cenu </w:t>
      </w:r>
      <w:proofErr w:type="spellStart"/>
      <w:r w:rsidR="00282950" w:rsidRPr="005D6E41">
        <w:rPr>
          <w:i/>
        </w:rPr>
        <w:t>euro</w:t>
      </w:r>
      <w:proofErr w:type="spellEnd"/>
      <w:r w:rsidR="00282950" w:rsidRPr="005D6E41">
        <w:t xml:space="preserve"> </w:t>
      </w:r>
      <w:r w:rsidRPr="005D6E41">
        <w:t>/</w:t>
      </w:r>
      <w:proofErr w:type="spellStart"/>
      <w:r w:rsidRPr="005D6E41">
        <w:t>MWh</w:t>
      </w:r>
      <w:proofErr w:type="spellEnd"/>
      <w:r w:rsidRPr="005D6E41">
        <w:t xml:space="preserve"> ar precizitāti divas zīmes aiz komata.</w:t>
      </w:r>
    </w:p>
    <w:p w14:paraId="14B245B7" w14:textId="790848C2" w:rsidR="009824DA" w:rsidRDefault="009824DA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rPr>
          <w:vertAlign w:val="superscript"/>
        </w:rPr>
        <w:t>4</w:t>
      </w:r>
      <w:r w:rsidRPr="005D6E41">
        <w:t> Koģenerācijas mainīgās izmaksas (</w:t>
      </w:r>
      <w:proofErr w:type="spellStart"/>
      <w:r w:rsidR="00282950" w:rsidRPr="005D6E41">
        <w:rPr>
          <w:i/>
        </w:rPr>
        <w:t>euro</w:t>
      </w:r>
      <w:proofErr w:type="spellEnd"/>
      <w:r w:rsidR="00282950" w:rsidRPr="005D6E41">
        <w:t xml:space="preserve"> </w:t>
      </w:r>
      <w:r w:rsidRPr="005D6E41">
        <w:t>/</w:t>
      </w:r>
      <w:proofErr w:type="spellStart"/>
      <w:r w:rsidRPr="005D6E41">
        <w:t>MWh</w:t>
      </w:r>
      <w:proofErr w:type="spellEnd"/>
      <w:r w:rsidRPr="005D6E41">
        <w:t>) ar precizitāti divas zīmes aiz komata aprēķina, izmantojot šādu formulu:</w:t>
      </w:r>
    </w:p>
    <w:p w14:paraId="4DDC2600" w14:textId="77777777" w:rsidR="005D6E41" w:rsidRPr="005D6E41" w:rsidRDefault="005D6E41" w:rsidP="005D6E41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16294065" w14:textId="694B28EC" w:rsidR="009824DA" w:rsidRPr="005D6E41" w:rsidRDefault="009824DA" w:rsidP="005D6E41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i/>
          <w:iCs/>
          <w:sz w:val="20"/>
          <w:szCs w:val="20"/>
        </w:rPr>
      </w:pPr>
      <w:r w:rsidRPr="005D6E41">
        <w:rPr>
          <w:i/>
          <w:iCs/>
          <w:noProof/>
          <w:sz w:val="20"/>
          <w:szCs w:val="20"/>
        </w:rPr>
        <w:drawing>
          <wp:inline distT="0" distB="0" distL="0" distR="0" wp14:anchorId="7AFE9A62" wp14:editId="15369051">
            <wp:extent cx="41338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1E09" w14:textId="066E8717" w:rsidR="009824DA" w:rsidRPr="005D6E41" w:rsidRDefault="009824DA" w:rsidP="0051373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5D6E41">
        <w:rPr>
          <w:i/>
          <w:iCs/>
        </w:rPr>
        <w:t>T</w:t>
      </w:r>
      <w:r w:rsidRPr="005D6E41">
        <w:rPr>
          <w:i/>
          <w:iCs/>
          <w:bdr w:val="none" w:sz="0" w:space="0" w:color="auto" w:frame="1"/>
          <w:vertAlign w:val="subscript"/>
        </w:rPr>
        <w:t>g</w:t>
      </w:r>
      <w:proofErr w:type="spellEnd"/>
      <w:r w:rsidRPr="005D6E41">
        <w:t xml:space="preserve"> – koģenerācijas stacijā par kurināmo izmantotās dabasgāzes faktiskā gala cena bez </w:t>
      </w:r>
      <w:r w:rsidR="005D6E41">
        <w:t>PVN</w:t>
      </w:r>
      <w:r w:rsidRPr="005D6E41">
        <w:t xml:space="preserve"> un dabasgāzes akcīzes nodokļa (</w:t>
      </w:r>
      <w:proofErr w:type="spellStart"/>
      <w:r w:rsidR="00282950" w:rsidRPr="005D6E41">
        <w:rPr>
          <w:i/>
        </w:rPr>
        <w:t>euro</w:t>
      </w:r>
      <w:proofErr w:type="spellEnd"/>
      <w:r w:rsidR="00282950" w:rsidRPr="005D6E41">
        <w:t xml:space="preserve"> </w:t>
      </w:r>
      <w:r w:rsidRPr="005D6E41">
        <w:t>/</w:t>
      </w:r>
      <w:proofErr w:type="spellStart"/>
      <w:r w:rsidRPr="005D6E41">
        <w:t>MWh</w:t>
      </w:r>
      <w:proofErr w:type="spellEnd"/>
      <w:r w:rsidRPr="005D6E41">
        <w:t>);</w:t>
      </w:r>
    </w:p>
    <w:p w14:paraId="31C513B7" w14:textId="538B4D2E" w:rsidR="009824DA" w:rsidRPr="005D6E41" w:rsidRDefault="009824DA" w:rsidP="0051373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5D6E41">
        <w:rPr>
          <w:i/>
          <w:iCs/>
        </w:rPr>
        <w:t>T</w:t>
      </w:r>
      <w:r w:rsidRPr="005D6E41">
        <w:rPr>
          <w:i/>
          <w:iCs/>
          <w:bdr w:val="none" w:sz="0" w:space="0" w:color="auto" w:frame="1"/>
          <w:vertAlign w:val="subscript"/>
        </w:rPr>
        <w:t>a</w:t>
      </w:r>
      <w:proofErr w:type="spellEnd"/>
      <w:r w:rsidRPr="005D6E41">
        <w:t> – dabasgāzes akcīzes nodoklis (</w:t>
      </w:r>
      <w:proofErr w:type="spellStart"/>
      <w:r w:rsidR="00282950" w:rsidRPr="005D6E41">
        <w:rPr>
          <w:i/>
        </w:rPr>
        <w:t>euro</w:t>
      </w:r>
      <w:proofErr w:type="spellEnd"/>
      <w:r w:rsidR="00282950" w:rsidRPr="005D6E41">
        <w:t xml:space="preserve"> </w:t>
      </w:r>
      <w:r w:rsidRPr="005D6E41">
        <w:t>/</w:t>
      </w:r>
      <w:proofErr w:type="spellStart"/>
      <w:r w:rsidRPr="005D6E41">
        <w:t>MWh</w:t>
      </w:r>
      <w:proofErr w:type="spellEnd"/>
      <w:r w:rsidRPr="005D6E41">
        <w:t>), ja tāds koģenerācijas stacijai tiek piemērots;</w:t>
      </w:r>
    </w:p>
    <w:p w14:paraId="70922227" w14:textId="36C7185C" w:rsidR="009824DA" w:rsidRPr="005D6E41" w:rsidRDefault="009824DA" w:rsidP="0051373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rPr>
          <w:i/>
          <w:iCs/>
        </w:rPr>
        <w:t>CO</w:t>
      </w:r>
      <w:r w:rsidRPr="005D6E41">
        <w:rPr>
          <w:i/>
          <w:iCs/>
          <w:bdr w:val="none" w:sz="0" w:space="0" w:color="auto" w:frame="1"/>
          <w:vertAlign w:val="subscript"/>
        </w:rPr>
        <w:t>2</w:t>
      </w:r>
      <w:r w:rsidRPr="005D6E41">
        <w:t> – </w:t>
      </w:r>
      <w:proofErr w:type="spellStart"/>
      <w:r w:rsidRPr="005D6E41">
        <w:rPr>
          <w:i/>
          <w:iCs/>
        </w:rPr>
        <w:t>Intercontinental</w:t>
      </w:r>
      <w:proofErr w:type="spellEnd"/>
      <w:r w:rsidRPr="005D6E41">
        <w:rPr>
          <w:i/>
          <w:iCs/>
        </w:rPr>
        <w:t xml:space="preserve"> </w:t>
      </w:r>
      <w:proofErr w:type="spellStart"/>
      <w:r w:rsidRPr="005D6E41">
        <w:rPr>
          <w:i/>
          <w:iCs/>
        </w:rPr>
        <w:t>Exchange</w:t>
      </w:r>
      <w:proofErr w:type="spellEnd"/>
      <w:r w:rsidRPr="005D6E41">
        <w:t> (ICE) biržā noteiktā</w:t>
      </w:r>
      <w:r w:rsidR="005D6E41">
        <w:t xml:space="preserve"> </w:t>
      </w:r>
      <w:proofErr w:type="spellStart"/>
      <w:r w:rsidRPr="005D6E41">
        <w:rPr>
          <w:i/>
          <w:iCs/>
        </w:rPr>
        <w:t>European</w:t>
      </w:r>
      <w:proofErr w:type="spellEnd"/>
      <w:r w:rsidRPr="005D6E41">
        <w:rPr>
          <w:i/>
          <w:iCs/>
        </w:rPr>
        <w:t xml:space="preserve"> </w:t>
      </w:r>
      <w:proofErr w:type="spellStart"/>
      <w:r w:rsidRPr="005D6E41">
        <w:rPr>
          <w:i/>
          <w:iCs/>
        </w:rPr>
        <w:t>Emission</w:t>
      </w:r>
      <w:proofErr w:type="spellEnd"/>
      <w:r w:rsidRPr="005D6E41">
        <w:rPr>
          <w:i/>
          <w:iCs/>
        </w:rPr>
        <w:t xml:space="preserve"> </w:t>
      </w:r>
      <w:proofErr w:type="spellStart"/>
      <w:r w:rsidRPr="005D6E41">
        <w:rPr>
          <w:i/>
          <w:iCs/>
        </w:rPr>
        <w:t>Allowances</w:t>
      </w:r>
      <w:proofErr w:type="spellEnd"/>
      <w:r w:rsidRPr="005D6E41">
        <w:t> (EUA) cena (</w:t>
      </w:r>
      <w:proofErr w:type="spellStart"/>
      <w:r w:rsidR="00282950" w:rsidRPr="005D6E41">
        <w:rPr>
          <w:i/>
        </w:rPr>
        <w:t>euro</w:t>
      </w:r>
      <w:proofErr w:type="spellEnd"/>
      <w:r w:rsidR="00282950" w:rsidRPr="005D6E41">
        <w:t xml:space="preserve"> </w:t>
      </w:r>
      <w:r w:rsidRPr="005D6E41">
        <w:t>/t).</w:t>
      </w:r>
    </w:p>
    <w:p w14:paraId="313527BB" w14:textId="5AD97AA1" w:rsidR="009824DA" w:rsidRPr="005D6E41" w:rsidRDefault="009824DA" w:rsidP="0051373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rPr>
          <w:vertAlign w:val="superscript"/>
        </w:rPr>
        <w:t>5</w:t>
      </w:r>
      <w:r w:rsidRPr="005D6E41">
        <w:t> Papildu ieņēmumus (</w:t>
      </w:r>
      <w:proofErr w:type="spellStart"/>
      <w:r w:rsidR="00282950" w:rsidRPr="005D6E41">
        <w:rPr>
          <w:i/>
        </w:rPr>
        <w:t>euro</w:t>
      </w:r>
      <w:proofErr w:type="spellEnd"/>
      <w:r w:rsidRPr="005D6E41">
        <w:t>) ar precizitāti divas zīmes aiz komata aprēķina katrai stundai, no elektroenerģijas biržas cenas (3.</w:t>
      </w:r>
      <w:r w:rsidR="005D6E41">
        <w:t> </w:t>
      </w:r>
      <w:r w:rsidRPr="005D6E41">
        <w:t>aile) atņemot koģenerācijas mainīgās izmaksas (4.</w:t>
      </w:r>
      <w:r w:rsidR="005D6E41">
        <w:t> </w:t>
      </w:r>
      <w:r w:rsidRPr="005D6E41">
        <w:t>aile) un rezultātu reizinot ar pārdotās enerģijas apjomiem (2.</w:t>
      </w:r>
      <w:r w:rsidR="005D6E41">
        <w:t> </w:t>
      </w:r>
      <w:r w:rsidRPr="005D6E41">
        <w:t>aile).</w:t>
      </w:r>
    </w:p>
    <w:p w14:paraId="5F420A9F" w14:textId="6442673A" w:rsidR="009824DA" w:rsidRPr="005D6E41" w:rsidRDefault="009824DA" w:rsidP="00513731">
      <w:pPr>
        <w:pStyle w:val="tvhtml"/>
        <w:shd w:val="clear" w:color="auto" w:fill="FFFFFF"/>
        <w:spacing w:before="0" w:beforeAutospacing="0" w:after="0" w:afterAutospacing="0"/>
        <w:ind w:firstLine="709"/>
        <w:jc w:val="both"/>
      </w:pPr>
      <w:r w:rsidRPr="005D6E41">
        <w:rPr>
          <w:vertAlign w:val="superscript"/>
        </w:rPr>
        <w:t>6</w:t>
      </w:r>
      <w:r w:rsidRPr="005D6E41">
        <w:t> Jaudas komponentes korekciju aprēķina, reizinot mēneša kopējo papildu ieņēmumu summu (5.</w:t>
      </w:r>
      <w:r w:rsidR="005D6E41">
        <w:t> </w:t>
      </w:r>
      <w:r w:rsidRPr="005D6E41">
        <w:t>aile) ar koeficientu 0,75. Ja jaudas komponentes korekcija ir negatīvs skaitlis, to pieņem vienādu ar nulli.</w:t>
      </w:r>
    </w:p>
    <w:p w14:paraId="7411A46F" w14:textId="77777777" w:rsidR="00996AEE" w:rsidRPr="005D6E41" w:rsidRDefault="00996AEE" w:rsidP="005D6E41">
      <w:pPr>
        <w:tabs>
          <w:tab w:val="right" w:pos="90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iel8"/>
      <w:bookmarkEnd w:id="1"/>
    </w:p>
    <w:p w14:paraId="10984FBA" w14:textId="77777777" w:rsidR="004B4325" w:rsidRPr="005D6E41" w:rsidRDefault="004B4325" w:rsidP="005D6E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3E374898" w14:textId="77777777" w:rsidR="004B4325" w:rsidRPr="005D6E41" w:rsidRDefault="004B4325" w:rsidP="005D6E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69E8C7A2" w14:textId="77777777" w:rsidR="004B4325" w:rsidRPr="005D6E41" w:rsidRDefault="004B4325" w:rsidP="005D6E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5D6E41">
        <w:rPr>
          <w:rFonts w:ascii="Times New Roman" w:hAnsi="Times New Roman" w:cs="Times New Roman"/>
          <w:color w:val="auto"/>
          <w:sz w:val="28"/>
          <w:lang w:val="de-DE"/>
        </w:rPr>
        <w:t>Ekonomikas ministrs</w:t>
      </w:r>
      <w:r w:rsidRPr="005D6E41">
        <w:rPr>
          <w:rFonts w:ascii="Times New Roman" w:hAnsi="Times New Roman" w:cs="Times New Roman"/>
          <w:color w:val="auto"/>
          <w:sz w:val="28"/>
          <w:lang w:val="de-DE"/>
        </w:rPr>
        <w:tab/>
        <w:t>J. Vitenbergs</w:t>
      </w:r>
    </w:p>
    <w:p w14:paraId="618BAA9A" w14:textId="71327B49" w:rsidR="00996AEE" w:rsidRPr="005D6E41" w:rsidRDefault="00996AEE" w:rsidP="005D6E41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p w14:paraId="461CCD88" w14:textId="77777777" w:rsidR="00996AEE" w:rsidRPr="005D6E41" w:rsidRDefault="00996AEE" w:rsidP="005D6E41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96AEE" w:rsidRPr="005D6E41" w:rsidSect="004B432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6BB9" w14:textId="77777777" w:rsidR="00C7369F" w:rsidRDefault="00C7369F" w:rsidP="00C7369F">
      <w:pPr>
        <w:spacing w:after="0" w:line="240" w:lineRule="auto"/>
      </w:pPr>
      <w:r>
        <w:separator/>
      </w:r>
    </w:p>
  </w:endnote>
  <w:endnote w:type="continuationSeparator" w:id="0">
    <w:p w14:paraId="5FFA49A6" w14:textId="77777777" w:rsidR="00C7369F" w:rsidRDefault="00C7369F" w:rsidP="00C7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8BFD" w14:textId="07C5563F" w:rsidR="00C7369F" w:rsidRPr="004B4325" w:rsidRDefault="004B4325">
    <w:pPr>
      <w:pStyle w:val="Footer"/>
      <w:rPr>
        <w:rFonts w:ascii="Times New Roman" w:hAnsi="Times New Roman" w:cs="Times New Roman"/>
        <w:sz w:val="16"/>
        <w:szCs w:val="16"/>
      </w:rPr>
    </w:pPr>
    <w:r w:rsidRPr="005F5B19">
      <w:rPr>
        <w:rFonts w:ascii="Times New Roman" w:hAnsi="Times New Roman" w:cs="Times New Roman"/>
        <w:sz w:val="16"/>
        <w:szCs w:val="16"/>
      </w:rPr>
      <w:t>N1633_0p</w:t>
    </w:r>
    <w:r>
      <w:rPr>
        <w:rFonts w:ascii="Times New Roman" w:hAnsi="Times New Roman" w:cs="Times New Roman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7B78" w14:textId="577B923E" w:rsidR="00C7369F" w:rsidRPr="004B4325" w:rsidRDefault="004B4325">
    <w:pPr>
      <w:pStyle w:val="Footer"/>
      <w:rPr>
        <w:rFonts w:ascii="Times New Roman" w:hAnsi="Times New Roman" w:cs="Times New Roman"/>
        <w:sz w:val="16"/>
        <w:szCs w:val="16"/>
      </w:rPr>
    </w:pPr>
    <w:r w:rsidRPr="005F5B19">
      <w:rPr>
        <w:rFonts w:ascii="Times New Roman" w:hAnsi="Times New Roman" w:cs="Times New Roman"/>
        <w:sz w:val="16"/>
        <w:szCs w:val="16"/>
      </w:rPr>
      <w:t>N1633_0p</w:t>
    </w:r>
    <w:r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6215" w14:textId="77777777" w:rsidR="00C7369F" w:rsidRDefault="00C7369F" w:rsidP="00C7369F">
      <w:pPr>
        <w:spacing w:after="0" w:line="240" w:lineRule="auto"/>
      </w:pPr>
      <w:r>
        <w:separator/>
      </w:r>
    </w:p>
  </w:footnote>
  <w:footnote w:type="continuationSeparator" w:id="0">
    <w:p w14:paraId="793DDE92" w14:textId="77777777" w:rsidR="00C7369F" w:rsidRDefault="00C7369F" w:rsidP="00C7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995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E5057C" w14:textId="54D222C7" w:rsidR="00C7369F" w:rsidRDefault="00C7369F">
        <w:pPr>
          <w:pStyle w:val="Header"/>
          <w:jc w:val="center"/>
        </w:pPr>
        <w:r w:rsidRPr="00FA552B">
          <w:rPr>
            <w:rFonts w:ascii="Times New Roman" w:hAnsi="Times New Roman" w:cs="Times New Roman"/>
          </w:rPr>
          <w:fldChar w:fldCharType="begin"/>
        </w:r>
        <w:r w:rsidRPr="00FA552B">
          <w:rPr>
            <w:rFonts w:ascii="Times New Roman" w:hAnsi="Times New Roman" w:cs="Times New Roman"/>
          </w:rPr>
          <w:instrText xml:space="preserve"> PAGE   \* MERGEFORMAT </w:instrText>
        </w:r>
        <w:r w:rsidRPr="00FA552B">
          <w:rPr>
            <w:rFonts w:ascii="Times New Roman" w:hAnsi="Times New Roman" w:cs="Times New Roman"/>
          </w:rPr>
          <w:fldChar w:fldCharType="separate"/>
        </w:r>
        <w:r w:rsidRPr="00FA552B">
          <w:rPr>
            <w:rFonts w:ascii="Times New Roman" w:hAnsi="Times New Roman" w:cs="Times New Roman"/>
            <w:noProof/>
          </w:rPr>
          <w:t>2</w:t>
        </w:r>
        <w:r w:rsidRPr="00FA552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755814" w14:textId="77777777" w:rsidR="00C7369F" w:rsidRDefault="00C73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4"/>
    <w:rsid w:val="001F512A"/>
    <w:rsid w:val="0022701E"/>
    <w:rsid w:val="00282950"/>
    <w:rsid w:val="004B4325"/>
    <w:rsid w:val="004E0784"/>
    <w:rsid w:val="00513731"/>
    <w:rsid w:val="005D6E41"/>
    <w:rsid w:val="006D7648"/>
    <w:rsid w:val="009824DA"/>
    <w:rsid w:val="00996AEE"/>
    <w:rsid w:val="00C7369F"/>
    <w:rsid w:val="00E42F35"/>
    <w:rsid w:val="00F11546"/>
    <w:rsid w:val="00F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03CB"/>
  <w15:chartTrackingRefBased/>
  <w15:docId w15:val="{DD9EA878-FD49-4043-97FD-66925CE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4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4E0784"/>
    <w:rPr>
      <w:color w:val="0000FF"/>
      <w:u w:val="single"/>
    </w:rPr>
  </w:style>
  <w:style w:type="paragraph" w:customStyle="1" w:styleId="tvhtml">
    <w:name w:val="tv_html"/>
    <w:basedOn w:val="Normal"/>
    <w:rsid w:val="004E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9824DA"/>
  </w:style>
  <w:style w:type="paragraph" w:styleId="Header">
    <w:name w:val="header"/>
    <w:basedOn w:val="Normal"/>
    <w:link w:val="HeaderChar"/>
    <w:uiPriority w:val="99"/>
    <w:unhideWhenUsed/>
    <w:rsid w:val="00C736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9F"/>
  </w:style>
  <w:style w:type="paragraph" w:styleId="Footer">
    <w:name w:val="footer"/>
    <w:basedOn w:val="Normal"/>
    <w:link w:val="FooterChar"/>
    <w:uiPriority w:val="99"/>
    <w:unhideWhenUsed/>
    <w:rsid w:val="00C736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9F"/>
  </w:style>
  <w:style w:type="paragraph" w:styleId="BalloonText">
    <w:name w:val="Balloon Text"/>
    <w:basedOn w:val="Normal"/>
    <w:link w:val="BalloonTextChar"/>
    <w:uiPriority w:val="99"/>
    <w:semiHidden/>
    <w:unhideWhenUsed/>
    <w:rsid w:val="0028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5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B43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21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59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487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00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1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718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03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48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68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56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760295027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02A0-0975-4895-B57E-B29E3515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Strīķeris</dc:creator>
  <cp:keywords/>
  <dc:description/>
  <cp:lastModifiedBy>Leontine Babkina</cp:lastModifiedBy>
  <cp:revision>11</cp:revision>
  <cp:lastPrinted>2020-09-03T11:43:00Z</cp:lastPrinted>
  <dcterms:created xsi:type="dcterms:W3CDTF">2020-07-24T11:04:00Z</dcterms:created>
  <dcterms:modified xsi:type="dcterms:W3CDTF">2020-09-09T06:24:00Z</dcterms:modified>
</cp:coreProperties>
</file>