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16F" w:rsidRDefault="00AF429C">
      <w:pPr>
        <w:pStyle w:val="naisnod"/>
        <w:spacing w:before="0" w:after="0"/>
        <w:jc w:val="center"/>
        <w:rPr>
          <w:b/>
          <w:bCs/>
          <w:sz w:val="22"/>
          <w:szCs w:val="22"/>
        </w:rPr>
      </w:pPr>
      <w:bookmarkStart w:id="0" w:name="_GoBack"/>
      <w:bookmarkEnd w:id="0"/>
      <w:r>
        <w:rPr>
          <w:b/>
          <w:bCs/>
          <w:sz w:val="22"/>
          <w:szCs w:val="22"/>
        </w:rPr>
        <w:t>Izziņa par atzinumos sniegtajiem iebildumiem</w:t>
      </w:r>
    </w:p>
    <w:p w:rsidR="00A3316F" w:rsidRDefault="00AF429C">
      <w:pPr>
        <w:jc w:val="center"/>
      </w:pPr>
      <w:r>
        <w:rPr>
          <w:sz w:val="22"/>
          <w:szCs w:val="22"/>
        </w:rPr>
        <w:t>Ministru kabineta rīkojuma projekts “</w:t>
      </w:r>
      <w:r>
        <w:rPr>
          <w:rFonts w:eastAsia="Calibri"/>
          <w:sz w:val="22"/>
          <w:szCs w:val="22"/>
        </w:rPr>
        <w:t>Par valstij piekrītošo nekustamo īpašumu nodošanu Ogres novada pašvaldības īpašumā</w:t>
      </w:r>
      <w:r>
        <w:rPr>
          <w:bCs/>
          <w:sz w:val="22"/>
          <w:szCs w:val="22"/>
        </w:rPr>
        <w:t>”</w:t>
      </w:r>
      <w:r>
        <w:rPr>
          <w:b/>
          <w:sz w:val="22"/>
          <w:szCs w:val="22"/>
        </w:rPr>
        <w:t xml:space="preserve"> </w:t>
      </w:r>
      <w:r>
        <w:rPr>
          <w:bCs/>
          <w:sz w:val="22"/>
          <w:szCs w:val="22"/>
        </w:rPr>
        <w:t>VSS-442</w:t>
      </w:r>
    </w:p>
    <w:p w:rsidR="00A3316F" w:rsidRDefault="00A3316F">
      <w:pPr>
        <w:pStyle w:val="naisf"/>
        <w:spacing w:before="0" w:after="0"/>
        <w:rPr>
          <w:b/>
          <w:sz w:val="22"/>
          <w:szCs w:val="22"/>
        </w:rPr>
      </w:pPr>
    </w:p>
    <w:tbl>
      <w:tblPr>
        <w:tblW w:w="14328" w:type="dxa"/>
        <w:tblCellMar>
          <w:left w:w="10" w:type="dxa"/>
          <w:right w:w="10" w:type="dxa"/>
        </w:tblCellMar>
        <w:tblLook w:val="0000" w:firstRow="0" w:lastRow="0" w:firstColumn="0" w:lastColumn="0" w:noHBand="0" w:noVBand="0"/>
      </w:tblPr>
      <w:tblGrid>
        <w:gridCol w:w="6768"/>
        <w:gridCol w:w="7560"/>
      </w:tblGrid>
      <w:tr w:rsidR="00A3316F">
        <w:tblPrEx>
          <w:tblCellMar>
            <w:top w:w="0" w:type="dxa"/>
            <w:bottom w:w="0" w:type="dxa"/>
          </w:tblCellMar>
        </w:tblPrEx>
        <w:tc>
          <w:tcPr>
            <w:tcW w:w="6768" w:type="dxa"/>
            <w:shd w:val="clear" w:color="auto" w:fill="auto"/>
            <w:tcMar>
              <w:top w:w="0" w:type="dxa"/>
              <w:left w:w="108" w:type="dxa"/>
              <w:bottom w:w="0" w:type="dxa"/>
              <w:right w:w="108" w:type="dxa"/>
            </w:tcMar>
          </w:tcPr>
          <w:p w:rsidR="00A3316F" w:rsidRDefault="00AF429C">
            <w:pPr>
              <w:pStyle w:val="naisf"/>
              <w:spacing w:before="0" w:after="0"/>
            </w:pPr>
            <w:r>
              <w:rPr>
                <w:b/>
                <w:sz w:val="22"/>
                <w:szCs w:val="22"/>
              </w:rPr>
              <w:t>Informācija par elektronisko saskaņošanu:</w:t>
            </w:r>
          </w:p>
          <w:p w:rsidR="00A3316F" w:rsidRDefault="00AF429C">
            <w:pPr>
              <w:pStyle w:val="naisf"/>
              <w:spacing w:before="0" w:after="0"/>
            </w:pPr>
            <w:r>
              <w:rPr>
                <w:sz w:val="22"/>
                <w:szCs w:val="22"/>
              </w:rPr>
              <w:t xml:space="preserve">Datums: </w:t>
            </w:r>
          </w:p>
        </w:tc>
        <w:tc>
          <w:tcPr>
            <w:tcW w:w="7560" w:type="dxa"/>
            <w:tcBorders>
              <w:bottom w:val="single" w:sz="4" w:space="0" w:color="000000"/>
            </w:tcBorders>
            <w:shd w:val="clear" w:color="auto" w:fill="auto"/>
            <w:tcMar>
              <w:top w:w="0" w:type="dxa"/>
              <w:left w:w="108" w:type="dxa"/>
              <w:bottom w:w="0" w:type="dxa"/>
              <w:right w:w="108" w:type="dxa"/>
            </w:tcMar>
          </w:tcPr>
          <w:p w:rsidR="00A3316F" w:rsidRDefault="00AF429C">
            <w:pPr>
              <w:pStyle w:val="NormalWeb"/>
              <w:spacing w:before="0" w:after="0"/>
              <w:ind w:firstLine="720"/>
            </w:pPr>
            <w:r>
              <w:rPr>
                <w:sz w:val="22"/>
                <w:szCs w:val="22"/>
              </w:rPr>
              <w:t>03.08.2020. nosūtīts 5 dienu elektroniskai saskaņošanai.</w:t>
            </w:r>
          </w:p>
          <w:p w:rsidR="00A3316F" w:rsidRDefault="00A3316F">
            <w:pPr>
              <w:pStyle w:val="NormalWeb"/>
              <w:spacing w:before="0" w:after="0"/>
              <w:ind w:firstLine="720"/>
            </w:pPr>
          </w:p>
        </w:tc>
      </w:tr>
      <w:tr w:rsidR="00A3316F">
        <w:tblPrEx>
          <w:tblCellMar>
            <w:top w:w="0" w:type="dxa"/>
            <w:bottom w:w="0" w:type="dxa"/>
          </w:tblCellMar>
        </w:tblPrEx>
        <w:trPr>
          <w:trHeight w:val="421"/>
        </w:trPr>
        <w:tc>
          <w:tcPr>
            <w:tcW w:w="6768" w:type="dxa"/>
            <w:shd w:val="clear" w:color="auto" w:fill="auto"/>
            <w:tcMar>
              <w:top w:w="0" w:type="dxa"/>
              <w:left w:w="108" w:type="dxa"/>
              <w:bottom w:w="0" w:type="dxa"/>
              <w:right w:w="108" w:type="dxa"/>
            </w:tcMar>
          </w:tcPr>
          <w:p w:rsidR="00A3316F" w:rsidRDefault="00AF429C">
            <w:pPr>
              <w:pStyle w:val="naiskr"/>
              <w:spacing w:before="0" w:after="0"/>
            </w:pPr>
            <w:r>
              <w:rPr>
                <w:sz w:val="22"/>
                <w:szCs w:val="22"/>
              </w:rPr>
              <w:t>Saskaņošanas dalībnieki:</w:t>
            </w:r>
          </w:p>
        </w:tc>
        <w:tc>
          <w:tcPr>
            <w:tcW w:w="7560" w:type="dxa"/>
            <w:shd w:val="clear" w:color="auto" w:fill="auto"/>
            <w:tcMar>
              <w:top w:w="0" w:type="dxa"/>
              <w:left w:w="108" w:type="dxa"/>
              <w:bottom w:w="0" w:type="dxa"/>
              <w:right w:w="108" w:type="dxa"/>
            </w:tcMar>
          </w:tcPr>
          <w:p w:rsidR="00A3316F" w:rsidRDefault="00AF429C">
            <w:pPr>
              <w:pStyle w:val="NormalWeb"/>
              <w:spacing w:before="0" w:after="0"/>
              <w:ind w:firstLine="720"/>
            </w:pPr>
            <w:r>
              <w:rPr>
                <w:sz w:val="22"/>
                <w:szCs w:val="22"/>
              </w:rPr>
              <w:t>Tieslietu ministrija, Vides aizsardzības un reģionālās attīstības ministrija, Latvijas Pašvaldību savienība</w:t>
            </w:r>
          </w:p>
        </w:tc>
      </w:tr>
      <w:tr w:rsidR="00A3316F">
        <w:tblPrEx>
          <w:tblCellMar>
            <w:top w:w="0" w:type="dxa"/>
            <w:bottom w:w="0" w:type="dxa"/>
          </w:tblCellMar>
        </w:tblPrEx>
        <w:tc>
          <w:tcPr>
            <w:tcW w:w="6768" w:type="dxa"/>
            <w:shd w:val="clear" w:color="auto" w:fill="auto"/>
            <w:tcMar>
              <w:top w:w="0" w:type="dxa"/>
              <w:left w:w="108" w:type="dxa"/>
              <w:bottom w:w="0" w:type="dxa"/>
              <w:right w:w="108" w:type="dxa"/>
            </w:tcMar>
          </w:tcPr>
          <w:p w:rsidR="00A3316F" w:rsidRDefault="00AF429C">
            <w:pPr>
              <w:pStyle w:val="naiskr"/>
              <w:spacing w:before="0" w:after="0"/>
              <w:ind w:firstLine="720"/>
            </w:pPr>
            <w:r>
              <w:rPr>
                <w:sz w:val="22"/>
                <w:szCs w:val="22"/>
              </w:rPr>
              <w:t> </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rsidR="00A3316F" w:rsidRDefault="00A3316F">
            <w:pPr>
              <w:pStyle w:val="naiskr"/>
              <w:spacing w:before="0" w:after="0"/>
              <w:rPr>
                <w:b/>
              </w:rPr>
            </w:pPr>
          </w:p>
        </w:tc>
      </w:tr>
      <w:tr w:rsidR="00A3316F">
        <w:tblPrEx>
          <w:tblCellMar>
            <w:top w:w="0" w:type="dxa"/>
            <w:bottom w:w="0" w:type="dxa"/>
          </w:tblCellMar>
        </w:tblPrEx>
        <w:tc>
          <w:tcPr>
            <w:tcW w:w="6768" w:type="dxa"/>
            <w:shd w:val="clear" w:color="auto" w:fill="auto"/>
            <w:tcMar>
              <w:top w:w="0" w:type="dxa"/>
              <w:left w:w="108" w:type="dxa"/>
              <w:bottom w:w="0" w:type="dxa"/>
              <w:right w:w="108" w:type="dxa"/>
            </w:tcMar>
          </w:tcPr>
          <w:p w:rsidR="00A3316F" w:rsidRDefault="00AF429C">
            <w:pPr>
              <w:pStyle w:val="naiskr"/>
              <w:ind w:firstLine="720"/>
            </w:pPr>
            <w:r>
              <w:rPr>
                <w:sz w:val="22"/>
                <w:szCs w:val="22"/>
              </w:rPr>
              <w:t>Saskaņošanas dalībnieki izskatīja šādu ministriju (citu institūciju) iebildumus</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rsidR="00A3316F" w:rsidRDefault="00AF429C">
            <w:r>
              <w:rPr>
                <w:sz w:val="22"/>
                <w:szCs w:val="22"/>
              </w:rPr>
              <w:t>Tieslietu ministrijas 17.06.2020. atzinums Nr.1-9.1/637;</w:t>
            </w:r>
          </w:p>
          <w:p w:rsidR="00A3316F" w:rsidRDefault="00AF429C">
            <w:r>
              <w:rPr>
                <w:sz w:val="22"/>
                <w:szCs w:val="22"/>
              </w:rPr>
              <w:t>Vides aizsardzības un reģionālās attīstības ministrijas 15.06.2020. atzinums Nr.1-22/5415</w:t>
            </w:r>
          </w:p>
          <w:p w:rsidR="00A3316F" w:rsidRDefault="00A3316F"/>
        </w:tc>
      </w:tr>
      <w:tr w:rsidR="00A3316F">
        <w:tblPrEx>
          <w:tblCellMar>
            <w:top w:w="0" w:type="dxa"/>
            <w:bottom w:w="0" w:type="dxa"/>
          </w:tblCellMar>
        </w:tblPrEx>
        <w:tc>
          <w:tcPr>
            <w:tcW w:w="6768" w:type="dxa"/>
            <w:shd w:val="clear" w:color="auto" w:fill="auto"/>
            <w:tcMar>
              <w:top w:w="0" w:type="dxa"/>
              <w:left w:w="108" w:type="dxa"/>
              <w:bottom w:w="0" w:type="dxa"/>
              <w:right w:w="108" w:type="dxa"/>
            </w:tcMar>
          </w:tcPr>
          <w:p w:rsidR="00A3316F" w:rsidRDefault="00AF429C">
            <w:pPr>
              <w:pStyle w:val="naiskr"/>
              <w:spacing w:before="0" w:after="0"/>
            </w:pPr>
            <w:r>
              <w:rPr>
                <w:sz w:val="22"/>
                <w:szCs w:val="22"/>
              </w:rPr>
              <w:t>Ministrijas (citas institūc</w:t>
            </w:r>
            <w:r>
              <w:rPr>
                <w:sz w:val="22"/>
                <w:szCs w:val="22"/>
              </w:rPr>
              <w:t>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rsidR="00A3316F" w:rsidRDefault="00A3316F">
            <w:pPr>
              <w:pStyle w:val="naiskr"/>
              <w:spacing w:before="0" w:after="0"/>
              <w:ind w:firstLine="720"/>
            </w:pPr>
          </w:p>
        </w:tc>
      </w:tr>
    </w:tbl>
    <w:p w:rsidR="00A3316F" w:rsidRDefault="00AF429C">
      <w:pPr>
        <w:pStyle w:val="ListParagraph"/>
        <w:numPr>
          <w:ilvl w:val="0"/>
          <w:numId w:val="1"/>
        </w:numPr>
        <w:autoSpaceDE/>
        <w:spacing w:after="120" w:line="276" w:lineRule="auto"/>
        <w:rPr>
          <w:rFonts w:ascii="Times New Roman" w:eastAsia="Calibri" w:hAnsi="Times New Roman"/>
          <w:b/>
          <w:bCs/>
          <w:sz w:val="22"/>
          <w:szCs w:val="22"/>
        </w:rPr>
      </w:pPr>
      <w:r>
        <w:rPr>
          <w:rFonts w:ascii="Times New Roman" w:eastAsia="Calibri" w:hAnsi="Times New Roman"/>
          <w:b/>
          <w:bCs/>
          <w:sz w:val="22"/>
          <w:szCs w:val="22"/>
        </w:rPr>
        <w:t>Jautājumi, par kuriem e-saskaņošanā vienošanās nav panākta - nav</w:t>
      </w:r>
    </w:p>
    <w:p w:rsidR="00A3316F" w:rsidRDefault="00A3316F">
      <w:pPr>
        <w:pStyle w:val="ListParagraph"/>
        <w:autoSpaceDE/>
        <w:spacing w:after="120" w:line="276" w:lineRule="auto"/>
        <w:rPr>
          <w:rFonts w:ascii="Times New Roman" w:eastAsia="Calibri" w:hAnsi="Times New Roman"/>
          <w:b/>
          <w:bCs/>
          <w:sz w:val="22"/>
          <w:szCs w:val="22"/>
        </w:rPr>
      </w:pPr>
    </w:p>
    <w:tbl>
      <w:tblPr>
        <w:tblW w:w="14992" w:type="dxa"/>
        <w:tblLayout w:type="fixed"/>
        <w:tblCellMar>
          <w:left w:w="10" w:type="dxa"/>
          <w:right w:w="10" w:type="dxa"/>
        </w:tblCellMar>
        <w:tblLook w:val="0000" w:firstRow="0" w:lastRow="0" w:firstColumn="0" w:lastColumn="0" w:noHBand="0" w:noVBand="0"/>
      </w:tblPr>
      <w:tblGrid>
        <w:gridCol w:w="534"/>
        <w:gridCol w:w="2693"/>
        <w:gridCol w:w="3544"/>
        <w:gridCol w:w="3118"/>
        <w:gridCol w:w="2410"/>
        <w:gridCol w:w="2693"/>
      </w:tblGrid>
      <w:tr w:rsidR="00A3316F">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6F" w:rsidRDefault="00AF429C">
            <w:pPr>
              <w:spacing w:before="75" w:after="75"/>
              <w:jc w:val="center"/>
            </w:pPr>
            <w:r>
              <w:rPr>
                <w:rFonts w:eastAsia="Calibri"/>
                <w:b/>
                <w:sz w:val="22"/>
                <w:szCs w:val="22"/>
              </w:rPr>
              <w:t>Nr.</w:t>
            </w:r>
            <w:r>
              <w:rPr>
                <w:rFonts w:eastAsia="Calibri"/>
                <w:b/>
                <w:sz w:val="22"/>
                <w:szCs w:val="22"/>
              </w:rPr>
              <w:br/>
            </w:r>
            <w:r>
              <w:rPr>
                <w:rFonts w:eastAsia="Calibri"/>
                <w:b/>
                <w:sz w:val="22"/>
                <w:szCs w:val="22"/>
              </w:rPr>
              <w:t> p.k.</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6F" w:rsidRDefault="00AF429C">
            <w:pPr>
              <w:spacing w:before="75" w:after="75"/>
              <w:jc w:val="center"/>
            </w:pPr>
            <w:r>
              <w:rPr>
                <w:rFonts w:eastAsia="Calibri"/>
                <w:b/>
                <w:sz w:val="22"/>
                <w:szCs w:val="22"/>
              </w:rPr>
              <w:t>Saskaņošanai nosūtītā projekta redakcija (konkrēta punkta</w:t>
            </w:r>
            <w:r>
              <w:rPr>
                <w:rFonts w:eastAsia="Calibri"/>
                <w:b/>
                <w:sz w:val="22"/>
                <w:szCs w:val="22"/>
              </w:rPr>
              <w:t xml:space="preserve"> (panta) redakcija)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6F" w:rsidRDefault="00AF429C">
            <w:pPr>
              <w:spacing w:before="75" w:after="75"/>
              <w:jc w:val="center"/>
            </w:pPr>
            <w:r>
              <w:rPr>
                <w:rFonts w:eastAsia="Calibri"/>
                <w:b/>
                <w:sz w:val="22"/>
                <w:szCs w:val="22"/>
              </w:rPr>
              <w:t>Atzinumā norādītais ministrijas (citas institūcijas) iebildums, kā arī saskaņošanā papildus izteiktais iebildums par projekta konkrēto punktu (pantu)</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6F" w:rsidRDefault="00AF429C">
            <w:pPr>
              <w:spacing w:before="75" w:after="75"/>
              <w:jc w:val="center"/>
            </w:pPr>
            <w:r>
              <w:rPr>
                <w:rFonts w:eastAsia="Calibri"/>
                <w:b/>
                <w:sz w:val="22"/>
                <w:szCs w:val="22"/>
              </w:rPr>
              <w:t>Atbildīgās ministrijas pamatojums iebilduma noraidījumam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6F" w:rsidRDefault="00AF429C">
            <w:pPr>
              <w:spacing w:before="75" w:after="75"/>
              <w:jc w:val="center"/>
            </w:pPr>
            <w:r>
              <w:rPr>
                <w:rFonts w:eastAsia="Calibri"/>
                <w:b/>
                <w:sz w:val="22"/>
                <w:szCs w:val="22"/>
              </w:rPr>
              <w:t>Atzinuma sniedzēja uzturētais</w:t>
            </w:r>
            <w:r>
              <w:rPr>
                <w:rFonts w:eastAsia="Calibri"/>
                <w:b/>
                <w:sz w:val="22"/>
                <w:szCs w:val="22"/>
              </w:rPr>
              <w:t xml:space="preserve"> iebildums, ja tas atšķiras no atzinumā norādītā iebilduma pamatojuma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6F" w:rsidRDefault="00AF429C">
            <w:pPr>
              <w:spacing w:before="75" w:after="75"/>
              <w:jc w:val="center"/>
            </w:pPr>
            <w:r>
              <w:rPr>
                <w:rFonts w:eastAsia="Calibri"/>
                <w:b/>
                <w:sz w:val="22"/>
                <w:szCs w:val="22"/>
              </w:rPr>
              <w:t>Projekta attiecīgā punkta (panta) galīgā redakcija</w:t>
            </w:r>
          </w:p>
        </w:tc>
      </w:tr>
    </w:tbl>
    <w:p w:rsidR="00A3316F" w:rsidRDefault="00AF429C">
      <w:pPr>
        <w:pStyle w:val="naisf"/>
        <w:numPr>
          <w:ilvl w:val="0"/>
          <w:numId w:val="1"/>
        </w:numPr>
        <w:spacing w:before="0" w:after="0"/>
        <w:rPr>
          <w:b/>
          <w:sz w:val="22"/>
          <w:szCs w:val="22"/>
        </w:rPr>
      </w:pPr>
      <w:r>
        <w:rPr>
          <w:b/>
          <w:sz w:val="22"/>
          <w:szCs w:val="22"/>
        </w:rPr>
        <w:t>Jautājumi, par kuriem saskaņošanā vienošanās ir panākta</w:t>
      </w:r>
    </w:p>
    <w:tbl>
      <w:tblPr>
        <w:tblW w:w="15018" w:type="dxa"/>
        <w:tblLayout w:type="fixed"/>
        <w:tblCellMar>
          <w:left w:w="10" w:type="dxa"/>
          <w:right w:w="10" w:type="dxa"/>
        </w:tblCellMar>
        <w:tblLook w:val="0000" w:firstRow="0" w:lastRow="0" w:firstColumn="0" w:lastColumn="0" w:noHBand="0" w:noVBand="0"/>
      </w:tblPr>
      <w:tblGrid>
        <w:gridCol w:w="559"/>
        <w:gridCol w:w="1843"/>
        <w:gridCol w:w="4111"/>
        <w:gridCol w:w="4678"/>
        <w:gridCol w:w="3827"/>
      </w:tblGrid>
      <w:tr w:rsidR="00A3316F">
        <w:tblPrEx>
          <w:tblCellMar>
            <w:top w:w="0" w:type="dxa"/>
            <w:bottom w:w="0" w:type="dxa"/>
          </w:tblCellMar>
        </w:tblPrEx>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3316F" w:rsidRDefault="00AF429C">
            <w:pPr>
              <w:pStyle w:val="naisc"/>
            </w:pPr>
            <w:r>
              <w:rPr>
                <w:sz w:val="22"/>
                <w:szCs w:val="22"/>
              </w:rPr>
              <w:t>Nr.p.k.</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3316F" w:rsidRDefault="00AF429C">
            <w:pPr>
              <w:pStyle w:val="naisc"/>
            </w:pPr>
            <w:r>
              <w:rPr>
                <w:b/>
                <w:sz w:val="22"/>
                <w:szCs w:val="22"/>
              </w:rPr>
              <w:t xml:space="preserve"> Saskaņošanai nosūtītā projekta redakcija (konkrētā punkta (panta) </w:t>
            </w:r>
            <w:r>
              <w:rPr>
                <w:b/>
                <w:sz w:val="22"/>
                <w:szCs w:val="22"/>
              </w:rPr>
              <w:t>redakcija)</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3316F" w:rsidRDefault="00AF429C">
            <w:pPr>
              <w:pStyle w:val="naisc"/>
              <w:jc w:val="center"/>
            </w:pPr>
            <w:r>
              <w:rPr>
                <w:b/>
                <w:sz w:val="22"/>
                <w:szCs w:val="22"/>
              </w:rPr>
              <w:t xml:space="preserve">Atzinumā norādītais ministrijas (citas institūcijas) iebildums, kā arī saskaņošanā papildus izteiktais iebildums par projekta konkrēto punktu (pantu) </w:t>
            </w:r>
          </w:p>
        </w:tc>
        <w:tc>
          <w:tcPr>
            <w:tcW w:w="46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3316F" w:rsidRDefault="00AF429C">
            <w:pPr>
              <w:pStyle w:val="naisc"/>
              <w:jc w:val="both"/>
            </w:pPr>
            <w:r>
              <w:rPr>
                <w:b/>
                <w:sz w:val="22"/>
                <w:szCs w:val="22"/>
              </w:rPr>
              <w:t xml:space="preserve">Atbildīgās ministrijas norāde par to, ka iebildums ir ņemts vērā vai informācija par </w:t>
            </w:r>
            <w:r>
              <w:rPr>
                <w:b/>
                <w:sz w:val="22"/>
                <w:szCs w:val="22"/>
              </w:rPr>
              <w:t>saskaņošanā panākto alternatīvo risinājumu</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3316F" w:rsidRDefault="00AF429C">
            <w:pPr>
              <w:pStyle w:val="naisc"/>
              <w:jc w:val="both"/>
            </w:pPr>
            <w:r>
              <w:rPr>
                <w:b/>
                <w:sz w:val="22"/>
                <w:szCs w:val="22"/>
              </w:rPr>
              <w:t xml:space="preserve"> Projekta attiecīgā punkta (panta) galīgā redakcija </w:t>
            </w:r>
          </w:p>
        </w:tc>
      </w:tr>
      <w:tr w:rsidR="00A3316F">
        <w:tblPrEx>
          <w:tblCellMar>
            <w:top w:w="0" w:type="dxa"/>
            <w:bottom w:w="0" w:type="dxa"/>
          </w:tblCellMar>
        </w:tblPrEx>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3316F" w:rsidRDefault="00AF429C">
            <w:pPr>
              <w:pStyle w:val="naisc"/>
              <w:jc w:val="center"/>
            </w:pPr>
            <w:r>
              <w:rPr>
                <w:sz w:val="22"/>
                <w:szCs w:val="22"/>
              </w:rPr>
              <w:lastRenderedPageBreak/>
              <w:t>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3316F" w:rsidRDefault="00AF429C">
            <w:pPr>
              <w:pStyle w:val="naisc"/>
              <w:jc w:val="center"/>
            </w:pPr>
            <w:r>
              <w:rPr>
                <w:sz w:val="22"/>
                <w:szCs w:val="22"/>
              </w:rPr>
              <w:t>2</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3316F" w:rsidRDefault="00AF429C">
            <w:pPr>
              <w:pStyle w:val="naisc"/>
              <w:jc w:val="center"/>
            </w:pPr>
            <w:r>
              <w:rPr>
                <w:sz w:val="22"/>
                <w:szCs w:val="22"/>
              </w:rPr>
              <w:t>3</w:t>
            </w:r>
          </w:p>
        </w:tc>
        <w:tc>
          <w:tcPr>
            <w:tcW w:w="46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3316F" w:rsidRDefault="00AF429C">
            <w:pPr>
              <w:pStyle w:val="naisc"/>
              <w:jc w:val="center"/>
            </w:pPr>
            <w:r>
              <w:rPr>
                <w:sz w:val="22"/>
                <w:szCs w:val="22"/>
              </w:rPr>
              <w:t>4</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3316F" w:rsidRDefault="00AF429C">
            <w:pPr>
              <w:pStyle w:val="naisc"/>
              <w:jc w:val="center"/>
            </w:pPr>
            <w:r>
              <w:rPr>
                <w:sz w:val="22"/>
                <w:szCs w:val="22"/>
              </w:rPr>
              <w:t>5</w:t>
            </w:r>
          </w:p>
        </w:tc>
      </w:tr>
      <w:tr w:rsidR="00A3316F">
        <w:tblPrEx>
          <w:tblCellMar>
            <w:top w:w="0" w:type="dxa"/>
            <w:bottom w:w="0" w:type="dxa"/>
          </w:tblCellMar>
        </w:tblPrEx>
        <w:trPr>
          <w:trHeight w:val="409"/>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3316F" w:rsidRDefault="00A3316F">
            <w:pPr>
              <w:pStyle w:val="naisc"/>
              <w:spacing w:before="0" w:after="0"/>
            </w:pPr>
          </w:p>
          <w:p w:rsidR="00A3316F" w:rsidRDefault="00AF429C">
            <w:pPr>
              <w:pStyle w:val="naisc"/>
              <w:spacing w:before="0" w:after="0"/>
            </w:pPr>
            <w:r>
              <w:rPr>
                <w:sz w:val="22"/>
                <w:szCs w:val="22"/>
              </w:rPr>
              <w:t>1.</w:t>
            </w:r>
          </w:p>
          <w:p w:rsidR="00A3316F" w:rsidRDefault="00A3316F">
            <w:pPr>
              <w:pStyle w:val="naisc"/>
              <w:spacing w:before="0" w:after="0"/>
            </w:pPr>
          </w:p>
          <w:p w:rsidR="00A3316F" w:rsidRDefault="00A3316F">
            <w:pPr>
              <w:pStyle w:val="naisc"/>
              <w:spacing w:before="0" w:after="0"/>
            </w:pPr>
          </w:p>
          <w:p w:rsidR="00A3316F" w:rsidRDefault="00A3316F">
            <w:pPr>
              <w:pStyle w:val="naisc"/>
              <w:spacing w:before="0" w:after="0"/>
            </w:pPr>
          </w:p>
          <w:p w:rsidR="00A3316F" w:rsidRDefault="00A3316F">
            <w:pPr>
              <w:pStyle w:val="naisc"/>
              <w:spacing w:before="0" w:after="0"/>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3316F" w:rsidRDefault="00AF429C">
            <w:pPr>
              <w:pStyle w:val="BodyTextIndent"/>
              <w:spacing w:before="120"/>
              <w:ind w:left="-7"/>
              <w:jc w:val="both"/>
            </w:pPr>
            <w:r>
              <w:rPr>
                <w:i/>
                <w:sz w:val="22"/>
                <w:szCs w:val="22"/>
                <w:lang w:val="lv-LV"/>
              </w:rPr>
              <w:t>Rīkojuma projekta anotācija.</w:t>
            </w:r>
          </w:p>
          <w:p w:rsidR="00A3316F" w:rsidRDefault="00A3316F">
            <w:pPr>
              <w:pStyle w:val="BodyTextIndent"/>
              <w:spacing w:before="120"/>
              <w:ind w:left="-7"/>
              <w:jc w:val="both"/>
              <w:rPr>
                <w:i/>
                <w:szCs w:val="22"/>
                <w:lang w:val="lv-LV"/>
              </w:rPr>
            </w:pPr>
          </w:p>
          <w:p w:rsidR="00A3316F" w:rsidRDefault="00A3316F">
            <w:pPr>
              <w:pStyle w:val="BodyTextIndent"/>
              <w:spacing w:after="0"/>
              <w:ind w:left="-6"/>
              <w:jc w:val="both"/>
              <w:rPr>
                <w:i/>
                <w:szCs w:val="22"/>
                <w:lang w:val="lv-LV"/>
              </w:rPr>
            </w:pPr>
          </w:p>
          <w:p w:rsidR="00A3316F" w:rsidRDefault="00A3316F">
            <w:pPr>
              <w:pStyle w:val="BodyTextIndent"/>
              <w:spacing w:after="0"/>
              <w:ind w:left="0"/>
              <w:jc w:val="both"/>
              <w:rPr>
                <w:szCs w:val="22"/>
                <w:lang w:val="lv-LV"/>
              </w:rPr>
            </w:pP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3316F" w:rsidRDefault="00AF429C">
            <w:pPr>
              <w:spacing w:after="60"/>
              <w:jc w:val="both"/>
            </w:pPr>
            <w:r>
              <w:rPr>
                <w:sz w:val="22"/>
                <w:szCs w:val="22"/>
              </w:rPr>
              <w:t xml:space="preserve">Vides aizsardzības un reģionālās attīstības ministrija par rīkojuma projektu </w:t>
            </w:r>
            <w:r>
              <w:rPr>
                <w:b/>
                <w:bCs/>
                <w:sz w:val="22"/>
                <w:szCs w:val="22"/>
              </w:rPr>
              <w:t xml:space="preserve">izsaka šādu iebildumu: </w:t>
            </w:r>
          </w:p>
          <w:p w:rsidR="00A3316F" w:rsidRDefault="00AF429C">
            <w:pPr>
              <w:ind w:right="57"/>
              <w:jc w:val="both"/>
            </w:pPr>
            <w:r>
              <w:rPr>
                <w:sz w:val="22"/>
                <w:szCs w:val="22"/>
              </w:rPr>
              <w:t>Ministrija no anotācijas konstatē, ka tajā valsts nekustamajiem īpašumiem nav norādīti noteiktie apgrūtinājumi.</w:t>
            </w:r>
          </w:p>
          <w:p w:rsidR="00A3316F" w:rsidRDefault="00A3316F">
            <w:pPr>
              <w:jc w:val="both"/>
              <w:rPr>
                <w:u w:val="single"/>
              </w:rPr>
            </w:pPr>
          </w:p>
        </w:tc>
        <w:tc>
          <w:tcPr>
            <w:tcW w:w="46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3316F" w:rsidRDefault="00AF429C">
            <w:pPr>
              <w:jc w:val="both"/>
            </w:pPr>
            <w:r>
              <w:rPr>
                <w:b/>
                <w:sz w:val="22"/>
                <w:szCs w:val="22"/>
                <w:lang w:eastAsia="en-US"/>
              </w:rPr>
              <w:t>Iebildums izvērtēts, sniedzam šādu skaidrojumu:</w:t>
            </w:r>
          </w:p>
          <w:p w:rsidR="00A3316F" w:rsidRDefault="00AF429C">
            <w:pPr>
              <w:jc w:val="both"/>
            </w:pPr>
            <w:r>
              <w:rPr>
                <w:bCs/>
                <w:sz w:val="22"/>
                <w:szCs w:val="22"/>
                <w:lang w:eastAsia="en-US"/>
              </w:rPr>
              <w:t xml:space="preserve">Saskaņā ar </w:t>
            </w:r>
            <w:r>
              <w:rPr>
                <w:sz w:val="22"/>
                <w:szCs w:val="22"/>
              </w:rPr>
              <w:t xml:space="preserve">Nekustamā īpašuma valsts kadastra informācijas sistēmas </w:t>
            </w:r>
            <w:r>
              <w:rPr>
                <w:bCs/>
                <w:sz w:val="22"/>
                <w:szCs w:val="22"/>
                <w:lang w:eastAsia="en-US"/>
              </w:rPr>
              <w:t>datiem uz 24.07.2020. valsts</w:t>
            </w:r>
            <w:r>
              <w:rPr>
                <w:bCs/>
                <w:sz w:val="22"/>
                <w:szCs w:val="22"/>
                <w:lang w:eastAsia="en-US"/>
              </w:rPr>
              <w:t xml:space="preserve"> nekustamajiem īpašumiem </w:t>
            </w:r>
            <w:r>
              <w:rPr>
                <w:sz w:val="22"/>
                <w:szCs w:val="22"/>
              </w:rPr>
              <w:t>Īrisu ielā 1A, Ogrē, Ogres novadā (nekustamā īpašuma kadastra Nr.7401 003 0687) un Zvaigžņu ielā 101, Ogrē, Ogres novadā (nekustamā īpašuma kadastra Nr.7401 003 0708) nav noteikti apgrūtinājumi.</w:t>
            </w:r>
          </w:p>
          <w:p w:rsidR="00A3316F" w:rsidRDefault="00A3316F">
            <w:pPr>
              <w:jc w:val="both"/>
              <w:rPr>
                <w:rFonts w:eastAsia="Calibri"/>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3316F" w:rsidRDefault="00AF429C">
            <w:pPr>
              <w:pStyle w:val="BodyTextIndent"/>
              <w:ind w:left="0"/>
              <w:jc w:val="both"/>
              <w:rPr>
                <w:b/>
                <w:bCs/>
                <w:szCs w:val="22"/>
                <w:u w:val="single"/>
              </w:rPr>
            </w:pPr>
            <w:r>
              <w:rPr>
                <w:b/>
                <w:bCs/>
                <w:sz w:val="22"/>
                <w:szCs w:val="22"/>
                <w:u w:val="single"/>
              </w:rPr>
              <w:t xml:space="preserve">Rīkojuma projekta anotācija </w:t>
            </w:r>
            <w:r>
              <w:rPr>
                <w:b/>
                <w:bCs/>
                <w:sz w:val="22"/>
                <w:szCs w:val="22"/>
                <w:u w:val="single"/>
              </w:rPr>
              <w:t>papildināta ar šādu informāciju:</w:t>
            </w:r>
          </w:p>
          <w:p w:rsidR="00A3316F" w:rsidRDefault="00AF429C">
            <w:pPr>
              <w:jc w:val="both"/>
            </w:pPr>
            <w:r>
              <w:rPr>
                <w:bCs/>
                <w:sz w:val="22"/>
                <w:szCs w:val="22"/>
                <w:lang w:eastAsia="en-US"/>
              </w:rPr>
              <w:t xml:space="preserve">Valsts nekustamajiem īpašumiem </w:t>
            </w:r>
            <w:r>
              <w:rPr>
                <w:sz w:val="22"/>
                <w:szCs w:val="22"/>
              </w:rPr>
              <w:t>Īrisu ielā 1A, Ogrē, Ogres novadā (nekustamā īpašuma kadastra Nr.7401 003 0687) un Zvaigžņu ielā 101, Ogrē, Ogres novadā (nekustamā īpašuma kadastra Nr.7401 003 0708) nav noteikti apgrūtinājum</w:t>
            </w:r>
            <w:r>
              <w:rPr>
                <w:sz w:val="22"/>
                <w:szCs w:val="22"/>
              </w:rPr>
              <w:t>i.</w:t>
            </w:r>
          </w:p>
          <w:p w:rsidR="00A3316F" w:rsidRDefault="00A3316F">
            <w:pPr>
              <w:pStyle w:val="BodyTextIndent"/>
              <w:spacing w:before="120"/>
              <w:ind w:left="0"/>
              <w:jc w:val="both"/>
              <w:rPr>
                <w:szCs w:val="22"/>
                <w:u w:val="single"/>
              </w:rPr>
            </w:pPr>
          </w:p>
        </w:tc>
      </w:tr>
      <w:tr w:rsidR="00A3316F">
        <w:tblPrEx>
          <w:tblCellMar>
            <w:top w:w="0" w:type="dxa"/>
            <w:bottom w:w="0" w:type="dxa"/>
          </w:tblCellMar>
        </w:tblPrEx>
        <w:trPr>
          <w:trHeight w:val="409"/>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3316F" w:rsidRDefault="00A3316F">
            <w:pPr>
              <w:pStyle w:val="naisc"/>
              <w:spacing w:before="0" w:after="0"/>
            </w:pPr>
          </w:p>
          <w:p w:rsidR="00A3316F" w:rsidRDefault="00AF429C">
            <w:pPr>
              <w:pStyle w:val="naisc"/>
              <w:spacing w:before="0" w:after="0"/>
            </w:pPr>
            <w:r>
              <w:rPr>
                <w:sz w:val="22"/>
                <w:szCs w:val="22"/>
              </w:rPr>
              <w:t>2.</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3316F" w:rsidRDefault="00AF429C">
            <w:pPr>
              <w:pStyle w:val="BodyTextIndent"/>
              <w:spacing w:before="120"/>
              <w:ind w:left="-7"/>
              <w:jc w:val="both"/>
            </w:pPr>
            <w:r>
              <w:rPr>
                <w:i/>
                <w:sz w:val="22"/>
                <w:szCs w:val="22"/>
                <w:lang w:val="lv-LV"/>
              </w:rPr>
              <w:t>Rīkojuma projekta anotācija;</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3316F" w:rsidRDefault="00AF429C">
            <w:pPr>
              <w:spacing w:after="60"/>
              <w:jc w:val="both"/>
            </w:pPr>
            <w:r>
              <w:rPr>
                <w:sz w:val="22"/>
                <w:szCs w:val="22"/>
              </w:rPr>
              <w:t xml:space="preserve">Tieslietu ministrija par rīkojuma projektu </w:t>
            </w:r>
            <w:r>
              <w:rPr>
                <w:b/>
                <w:bCs/>
                <w:sz w:val="22"/>
                <w:szCs w:val="22"/>
              </w:rPr>
              <w:t xml:space="preserve">izsaka šādu iebildumu: </w:t>
            </w:r>
          </w:p>
          <w:p w:rsidR="00A3316F" w:rsidRDefault="00AF429C">
            <w:pPr>
              <w:ind w:right="57"/>
              <w:jc w:val="both"/>
            </w:pPr>
            <w:r>
              <w:rPr>
                <w:sz w:val="22"/>
                <w:szCs w:val="22"/>
              </w:rPr>
              <w:t xml:space="preserve">Saskaņā ar projekta 1.1.apakšpunktu Ogres novada pašvaldībai paredzēts nodot valstij piekrītošo nekustamo īpašumu (nekustamā īpašuma kadastra Nr.7401 </w:t>
            </w:r>
            <w:r>
              <w:rPr>
                <w:sz w:val="22"/>
                <w:szCs w:val="22"/>
              </w:rPr>
              <w:t>003 0708) – zemes vienību (zemes vienības kadastra apzīmējums 7401 003 0708) 0,0210 ha platībā Zvaigžņu ielā 101, Ogrē, Ogres novadā, kopā ar būvi (asfaltēts laukums).</w:t>
            </w:r>
          </w:p>
          <w:p w:rsidR="00A3316F" w:rsidRDefault="00AF429C">
            <w:pPr>
              <w:ind w:right="57"/>
              <w:jc w:val="both"/>
            </w:pPr>
            <w:r>
              <w:rPr>
                <w:sz w:val="22"/>
                <w:szCs w:val="22"/>
              </w:rPr>
              <w:t>Ministrija norāda, ka atbilstoši anotācijā minētajam, no zemesgrāmatas un Nekustamā īpaš</w:t>
            </w:r>
            <w:r>
              <w:rPr>
                <w:sz w:val="22"/>
                <w:szCs w:val="22"/>
              </w:rPr>
              <w:t>uma valsts kadastra informācijas sistēmas nav konstatējams, ka būve būtu reģistrēta nekustamā īpašuma sastāvā.</w:t>
            </w:r>
          </w:p>
          <w:p w:rsidR="00A3316F" w:rsidRDefault="00AF429C">
            <w:pPr>
              <w:ind w:right="57"/>
              <w:jc w:val="both"/>
            </w:pPr>
            <w:r>
              <w:rPr>
                <w:sz w:val="22"/>
                <w:szCs w:val="22"/>
              </w:rPr>
              <w:t xml:space="preserve">Ministrija vērsa uzmanību, ka atbilstoši Nekustamā īpašuma valsts kadastra likuma 13.panta pirmajā daļā noteiktajam nekustamā īpašuma īpašniekam </w:t>
            </w:r>
            <w:r>
              <w:rPr>
                <w:sz w:val="22"/>
                <w:szCs w:val="22"/>
              </w:rPr>
              <w:t xml:space="preserve">vai, ja tāda </w:t>
            </w:r>
            <w:r>
              <w:rPr>
                <w:sz w:val="22"/>
                <w:szCs w:val="22"/>
              </w:rPr>
              <w:lastRenderedPageBreak/>
              <w:t>nav – tiesiskajam valdītājam vai kadastra subjektam ir pienākums ierosināt būves noteikšanu, ja nekustamajā īpašumā ir Kadastra informācijas sistēmā nereģistrēta būve vai Kadastra informācijas sistēmā reģistrēta apvidū neesoša būve. Kadastra s</w:t>
            </w:r>
            <w:r>
              <w:rPr>
                <w:sz w:val="22"/>
                <w:szCs w:val="22"/>
              </w:rPr>
              <w:t>ubjektam ir pienākums ierosināt kadastra objekta kadastra datu aktualizāciju Kadastra informācijas sistēmā, ja mainīts nekustamā īpašuma sastāvs vai nekustamā īpašuma objektu raksturojošie dati.</w:t>
            </w:r>
          </w:p>
          <w:p w:rsidR="00A3316F" w:rsidRDefault="00AF429C">
            <w:pPr>
              <w:ind w:right="57"/>
              <w:jc w:val="both"/>
            </w:pPr>
            <w:r>
              <w:rPr>
                <w:sz w:val="22"/>
                <w:szCs w:val="22"/>
              </w:rPr>
              <w:t>Ievērojot minēto, ministrija aicina Finanšu ministriju ierosi</w:t>
            </w:r>
            <w:r>
              <w:rPr>
                <w:sz w:val="22"/>
                <w:szCs w:val="22"/>
              </w:rPr>
              <w:t>nāt būves noteikšanu, attiecīgi sakārtojot jautājumu par būves tiesisko stāvokli pirms nekustamā īpašuma (kadastra Nr.7401 003 0708) nodošanas Ogres novada pašvaldībai.</w:t>
            </w:r>
          </w:p>
          <w:p w:rsidR="00A3316F" w:rsidRDefault="00A3316F">
            <w:pPr>
              <w:spacing w:after="60"/>
              <w:jc w:val="both"/>
            </w:pPr>
          </w:p>
          <w:p w:rsidR="00A3316F" w:rsidRDefault="00A3316F">
            <w:pPr>
              <w:spacing w:after="60"/>
              <w:jc w:val="both"/>
            </w:pPr>
          </w:p>
          <w:p w:rsidR="00A3316F" w:rsidRDefault="00A3316F">
            <w:pPr>
              <w:spacing w:after="60"/>
              <w:jc w:val="both"/>
            </w:pPr>
          </w:p>
          <w:p w:rsidR="00A3316F" w:rsidRDefault="00A3316F">
            <w:pPr>
              <w:spacing w:after="60"/>
              <w:jc w:val="both"/>
            </w:pPr>
          </w:p>
        </w:tc>
        <w:tc>
          <w:tcPr>
            <w:tcW w:w="46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3316F" w:rsidRDefault="00AF429C">
            <w:pPr>
              <w:jc w:val="both"/>
            </w:pPr>
            <w:r>
              <w:rPr>
                <w:b/>
                <w:sz w:val="22"/>
                <w:szCs w:val="22"/>
                <w:lang w:eastAsia="en-US"/>
              </w:rPr>
              <w:lastRenderedPageBreak/>
              <w:t>Iebildums izvērtēts, sniedzam šādu skaidrojumu:</w:t>
            </w:r>
          </w:p>
          <w:p w:rsidR="00A3316F" w:rsidRDefault="00AF429C">
            <w:pPr>
              <w:pStyle w:val="naisc"/>
              <w:spacing w:before="0" w:after="0"/>
              <w:jc w:val="both"/>
            </w:pPr>
            <w:r>
              <w:rPr>
                <w:sz w:val="22"/>
                <w:szCs w:val="22"/>
              </w:rPr>
              <w:t>Rīkojuma projekts sagatavots saskaņ</w:t>
            </w:r>
            <w:r>
              <w:rPr>
                <w:sz w:val="22"/>
                <w:szCs w:val="22"/>
              </w:rPr>
              <w:t xml:space="preserve">ā ar Publiskas personas mantas atsavināšanas likuma </w:t>
            </w:r>
            <w:r>
              <w:rPr>
                <w:color w:val="000000"/>
                <w:sz w:val="22"/>
                <w:szCs w:val="22"/>
                <w:shd w:val="clear" w:color="auto" w:fill="FFFFFF"/>
              </w:rPr>
              <w:t>42. panta pirmo daļu, 42.</w:t>
            </w:r>
            <w:r>
              <w:rPr>
                <w:color w:val="000000"/>
                <w:sz w:val="22"/>
                <w:szCs w:val="22"/>
                <w:shd w:val="clear" w:color="auto" w:fill="FFFFFF"/>
                <w:vertAlign w:val="superscript"/>
              </w:rPr>
              <w:t>1</w:t>
            </w:r>
            <w:r>
              <w:rPr>
                <w:color w:val="000000"/>
                <w:sz w:val="22"/>
                <w:szCs w:val="22"/>
                <w:shd w:val="clear" w:color="auto" w:fill="FFFFFF"/>
              </w:rPr>
              <w:t xml:space="preserve"> un 43. pantu </w:t>
            </w:r>
          </w:p>
          <w:p w:rsidR="00A3316F" w:rsidRDefault="00AF429C">
            <w:pPr>
              <w:pStyle w:val="naisc"/>
              <w:spacing w:before="0" w:after="0"/>
              <w:jc w:val="both"/>
            </w:pPr>
            <w:r>
              <w:rPr>
                <w:sz w:val="22"/>
                <w:szCs w:val="22"/>
              </w:rPr>
              <w:t>Likuma 42.</w:t>
            </w:r>
            <w:r>
              <w:rPr>
                <w:sz w:val="22"/>
                <w:szCs w:val="22"/>
                <w:vertAlign w:val="superscript"/>
              </w:rPr>
              <w:t>1</w:t>
            </w:r>
            <w:r>
              <w:rPr>
                <w:sz w:val="22"/>
                <w:szCs w:val="22"/>
              </w:rPr>
              <w:t xml:space="preserve"> panta</w:t>
            </w:r>
            <w:r>
              <w:rPr>
                <w:sz w:val="22"/>
                <w:szCs w:val="22"/>
                <w:vertAlign w:val="superscript"/>
              </w:rPr>
              <w:t xml:space="preserve"> </w:t>
            </w:r>
            <w:r>
              <w:rPr>
                <w:sz w:val="22"/>
                <w:szCs w:val="22"/>
              </w:rPr>
              <w:t>trešajā daļā noteikts, ka visas ar valstij vai pašvaldībai piekrītošā nekustamā īpašuma ierakstīšanu zemesgrāmatā saistītās darbības veic ieguvēj</w:t>
            </w:r>
            <w:r>
              <w:rPr>
                <w:sz w:val="22"/>
                <w:szCs w:val="22"/>
              </w:rPr>
              <w:t>s par sava budžeta līdzekļiem, izņemot gadījumu, kad šīs publiskās personas ir vienojušās citādi.</w:t>
            </w:r>
          </w:p>
          <w:p w:rsidR="00A3316F" w:rsidRDefault="00AF429C">
            <w:pPr>
              <w:pStyle w:val="naisc"/>
              <w:spacing w:before="0" w:after="0"/>
              <w:jc w:val="both"/>
            </w:pPr>
            <w:r>
              <w:rPr>
                <w:sz w:val="22"/>
                <w:szCs w:val="22"/>
              </w:rPr>
              <w:t>Finanšu ministrija nav vienojusies ar Ogres pilsētas pašvaldību par citādu rīcību, kā minēts tiesību normā. Līdz ar to Ogres pilsētas pašvaldībai normatīvo ak</w:t>
            </w:r>
            <w:r>
              <w:rPr>
                <w:sz w:val="22"/>
                <w:szCs w:val="22"/>
              </w:rPr>
              <w:t xml:space="preserve">tu noteiktajā kārtībā ir jāveic būves kadastrālā uzmērīšana, kā arī </w:t>
            </w:r>
            <w:r>
              <w:rPr>
                <w:sz w:val="22"/>
                <w:szCs w:val="22"/>
                <w:u w:val="single"/>
              </w:rPr>
              <w:t>citas ar valstij piekrītošā nekustamā īpašuma reģistrēšanu saistītās darbības.</w:t>
            </w:r>
          </w:p>
          <w:p w:rsidR="00A3316F" w:rsidRDefault="00AF429C">
            <w:pPr>
              <w:jc w:val="both"/>
            </w:pPr>
            <w:r>
              <w:rPr>
                <w:sz w:val="22"/>
                <w:szCs w:val="22"/>
              </w:rPr>
              <w:t xml:space="preserve">Izskatot likumprojektu "Grozījums Publiskas personas mantas atsavināšanas likumā" </w:t>
            </w:r>
            <w:r>
              <w:rPr>
                <w:sz w:val="22"/>
                <w:szCs w:val="22"/>
              </w:rPr>
              <w:lastRenderedPageBreak/>
              <w:t>(likumprojekta reģ. Nr. 644</w:t>
            </w:r>
            <w:r>
              <w:rPr>
                <w:sz w:val="22"/>
                <w:szCs w:val="22"/>
              </w:rPr>
              <w:t>/Lp12) 23.03.2017. Saeimā, ar kuru likums tika papildināts ar 42.</w:t>
            </w:r>
            <w:r>
              <w:rPr>
                <w:sz w:val="22"/>
                <w:szCs w:val="22"/>
                <w:vertAlign w:val="superscript"/>
              </w:rPr>
              <w:t>1</w:t>
            </w:r>
            <w:r>
              <w:rPr>
                <w:sz w:val="22"/>
                <w:szCs w:val="22"/>
              </w:rPr>
              <w:t>. pantu, pamatojumā cita starpā ir norādīts, ka</w:t>
            </w:r>
            <w:r>
              <w:rPr>
                <w:i/>
                <w:sz w:val="22"/>
                <w:szCs w:val="22"/>
              </w:rPr>
              <w:t xml:space="preserve"> “Būtiski, ka priekšlikums attiecināms gan uz tiem piekrītošajiem nekustamajiem īpašumiem, kas ir pirmreizēji reģistrēti zemesgrāmatā, gan uz t</w:t>
            </w:r>
            <w:r>
              <w:rPr>
                <w:i/>
                <w:sz w:val="22"/>
                <w:szCs w:val="22"/>
              </w:rPr>
              <w:t xml:space="preserve">iem, </w:t>
            </w:r>
            <w:r>
              <w:rPr>
                <w:i/>
                <w:sz w:val="22"/>
                <w:szCs w:val="22"/>
                <w:u w:val="single"/>
              </w:rPr>
              <w:t>kas nav uzmērīti un ierakstīti zemesgrāmatā.</w:t>
            </w:r>
            <w:r>
              <w:rPr>
                <w:i/>
                <w:sz w:val="22"/>
                <w:szCs w:val="22"/>
              </w:rPr>
              <w:t xml:space="preserve"> Ministru kabineta vai pašvaldības domes lēmums par nekustamā īpašuma nodošanu vienlaikus ir pilnvarojums pašvaldībai vai valsts iestādei parakstīt nostiprinājuma lūgumu par nekustamā īpašumā ierakstīšanu ze</w:t>
            </w:r>
            <w:r>
              <w:rPr>
                <w:i/>
                <w:sz w:val="22"/>
                <w:szCs w:val="22"/>
              </w:rPr>
              <w:t>mesgrāmatā uz valsts vai pašvaldības vārda, kā arī veikt citas nepieciešamās darbības nekustamā īpašuma ierakstīšanai zemesgrāmatā. Šādā gadījumā valsts iestādes un pašvaldības iestādes atbrīvojamas no kancelejas nodevas, kas saistītas ar nekustamā īpašuma</w:t>
            </w:r>
            <w:r>
              <w:rPr>
                <w:i/>
                <w:sz w:val="22"/>
                <w:szCs w:val="22"/>
              </w:rPr>
              <w:t xml:space="preserve"> ierakstīšanu un īpašuma tiesību nostiprināšanu,  samaksas. </w:t>
            </w:r>
            <w:r>
              <w:rPr>
                <w:i/>
                <w:sz w:val="22"/>
                <w:szCs w:val="22"/>
                <w:u w:val="single"/>
              </w:rPr>
              <w:t>Visas ar piekrītošā nekustamā īpašuma reģistrēšanu saistītās darbības (t.sk. ar nekustamā īpašuma uzmērīšanu saistītās darbības) veic pašvaldība no sava budžeta līdzekļiem, ja nekustamo īpašumu no</w:t>
            </w:r>
            <w:r>
              <w:rPr>
                <w:i/>
                <w:sz w:val="22"/>
                <w:szCs w:val="22"/>
                <w:u w:val="single"/>
              </w:rPr>
              <w:t>dod pašvaldībai,</w:t>
            </w:r>
            <w:r>
              <w:rPr>
                <w:i/>
                <w:sz w:val="22"/>
                <w:szCs w:val="22"/>
              </w:rPr>
              <w:t xml:space="preserve"> vai valsts iestāde no valsts budžeta līdzekļiem, ja attiecīgais nekustamais īpašums tiek nodots valstij, izņemot gadījumu, kad attiecīgās publiskās personas ir vienojušās citādi.”</w:t>
            </w:r>
          </w:p>
          <w:p w:rsidR="00A3316F" w:rsidRDefault="00AF429C">
            <w:pPr>
              <w:pStyle w:val="tv213"/>
              <w:spacing w:before="0" w:after="0"/>
              <w:jc w:val="both"/>
            </w:pPr>
            <w:r>
              <w:rPr>
                <w:sz w:val="22"/>
                <w:szCs w:val="22"/>
              </w:rPr>
              <w:t>Rīkojuma projekta anotācijas 2.punkts paredz nodot nekustam</w:t>
            </w:r>
            <w:r>
              <w:rPr>
                <w:sz w:val="22"/>
                <w:szCs w:val="22"/>
              </w:rPr>
              <w:t>o īpašumu Ogres novada pašvaldības īpašumā un pašvaldība kā zemes vienības īpašnieks būs tiesīga veikt darbības būves (asfaltēts laukums) tiesiskā statusa sakārtošanai.</w:t>
            </w:r>
          </w:p>
          <w:p w:rsidR="00A3316F" w:rsidRDefault="00AF429C">
            <w:pPr>
              <w:jc w:val="both"/>
            </w:pPr>
            <w:r>
              <w:rPr>
                <w:bCs/>
                <w:sz w:val="22"/>
                <w:szCs w:val="22"/>
              </w:rPr>
              <w:lastRenderedPageBreak/>
              <w:t>Ņemot vērā to, ka būves ierakstīšana uz cita īpašnieka - šajā gadījumā – uz valsts - vā</w:t>
            </w:r>
            <w:r>
              <w:rPr>
                <w:bCs/>
                <w:sz w:val="22"/>
                <w:szCs w:val="22"/>
              </w:rPr>
              <w:t>rda ir maksas pakalpojums, kā arī to, ka nekustamie īpašumi tiek nodoti Ogres novada pašvaldības īpašumā, līdz ar to no nekustamajiem īpašumiem valsts negūst ieņēmumus, valstij nav lietderīgi veikt Tieslietu ministrijas atzinumā minētās darbības – būves no</w:t>
            </w:r>
            <w:r>
              <w:rPr>
                <w:bCs/>
                <w:sz w:val="22"/>
                <w:szCs w:val="22"/>
              </w:rPr>
              <w:t>teikšanu un reģistrēšanu nekustamā īpašuma sastāvā, jo nepieciešami papildu finanšu, administratīvie un laika resursi.</w:t>
            </w:r>
          </w:p>
          <w:p w:rsidR="00A3316F" w:rsidRDefault="00A3316F">
            <w:pPr>
              <w:jc w:val="both"/>
              <w:rPr>
                <w:bCs/>
                <w:lang w:eastAsia="en-US"/>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3316F" w:rsidRDefault="00AF429C">
            <w:pPr>
              <w:pStyle w:val="BodyTextIndent"/>
              <w:ind w:left="0"/>
              <w:jc w:val="both"/>
              <w:rPr>
                <w:b/>
                <w:bCs/>
                <w:szCs w:val="22"/>
                <w:u w:val="single"/>
              </w:rPr>
            </w:pPr>
            <w:r>
              <w:rPr>
                <w:b/>
                <w:bCs/>
                <w:sz w:val="22"/>
                <w:szCs w:val="22"/>
                <w:u w:val="single"/>
              </w:rPr>
              <w:lastRenderedPageBreak/>
              <w:t>Rīkojuma projekta anotācija papildināta ar šādu informāciju:</w:t>
            </w:r>
          </w:p>
          <w:p w:rsidR="00A3316F" w:rsidRDefault="00AF429C">
            <w:pPr>
              <w:pStyle w:val="BodyTextIndent"/>
              <w:spacing w:after="0"/>
              <w:ind w:left="0"/>
              <w:jc w:val="both"/>
            </w:pPr>
            <w:r>
              <w:rPr>
                <w:sz w:val="22"/>
                <w:szCs w:val="22"/>
                <w:lang w:val="lv-LV"/>
              </w:rPr>
              <w:t>Publiskas personas mantas atsavināšanas likuma 42.</w:t>
            </w:r>
            <w:r>
              <w:rPr>
                <w:sz w:val="22"/>
                <w:szCs w:val="22"/>
                <w:vertAlign w:val="superscript"/>
                <w:lang w:val="lv-LV"/>
              </w:rPr>
              <w:t>1</w:t>
            </w:r>
            <w:r>
              <w:rPr>
                <w:sz w:val="22"/>
                <w:szCs w:val="22"/>
                <w:lang w:val="lv-LV"/>
              </w:rPr>
              <w:t xml:space="preserve"> panta</w:t>
            </w:r>
            <w:r>
              <w:rPr>
                <w:sz w:val="22"/>
                <w:szCs w:val="22"/>
                <w:vertAlign w:val="superscript"/>
                <w:lang w:val="lv-LV"/>
              </w:rPr>
              <w:t xml:space="preserve"> </w:t>
            </w:r>
            <w:r>
              <w:rPr>
                <w:sz w:val="22"/>
                <w:szCs w:val="22"/>
                <w:lang w:val="lv-LV"/>
              </w:rPr>
              <w:t xml:space="preserve">trešajā daļā </w:t>
            </w:r>
            <w:r>
              <w:rPr>
                <w:sz w:val="22"/>
                <w:szCs w:val="22"/>
                <w:lang w:val="lv-LV"/>
              </w:rPr>
              <w:t>noteikts, ka visas ar valstij vai pašvaldībai piekrītošā nekustamā īpašuma ierakstīšanu zemesgrāmatā saistītās darbības veic ieguvējs par sava budžeta līdzekļiem, izņemot gadījumu, kad šīs publiskās personas ir vienojušās citādi.</w:t>
            </w:r>
          </w:p>
          <w:p w:rsidR="00A3316F" w:rsidRDefault="00AF429C">
            <w:pPr>
              <w:pStyle w:val="BodyTextIndent"/>
              <w:spacing w:after="0"/>
              <w:ind w:left="0"/>
              <w:jc w:val="both"/>
            </w:pPr>
            <w:r>
              <w:rPr>
                <w:sz w:val="22"/>
                <w:szCs w:val="22"/>
                <w:lang w:val="lv-LV"/>
              </w:rPr>
              <w:t>Finanšu ministrija nav vie</w:t>
            </w:r>
            <w:r>
              <w:rPr>
                <w:sz w:val="22"/>
                <w:szCs w:val="22"/>
                <w:lang w:val="lv-LV"/>
              </w:rPr>
              <w:t>nojusies ar Ogres pilsētas pašvaldību par citādu rīcību, kā minēts tiesību normā, līdz ar to visas ar valstij piekrītošā nekustamā īpašuma reģistrēšanu saistītās darbības (t.sk. ar būves kadastrālās uzmērīšanu saistītās darbības) normatīvo aktu kārtībā vei</w:t>
            </w:r>
            <w:r>
              <w:rPr>
                <w:sz w:val="22"/>
                <w:szCs w:val="22"/>
                <w:lang w:val="lv-LV"/>
              </w:rPr>
              <w:t>ks Ogres pilsētas pašvaldība no sava budžeta līdzekļiem.</w:t>
            </w:r>
          </w:p>
          <w:p w:rsidR="00A3316F" w:rsidRDefault="00A3316F">
            <w:pPr>
              <w:pStyle w:val="BodyTextIndent"/>
              <w:spacing w:before="120"/>
              <w:ind w:left="31"/>
              <w:jc w:val="both"/>
              <w:rPr>
                <w:iCs/>
                <w:szCs w:val="22"/>
                <w:u w:val="single"/>
                <w:lang w:val="lv-LV"/>
              </w:rPr>
            </w:pPr>
          </w:p>
          <w:p w:rsidR="00A3316F" w:rsidRDefault="00A3316F">
            <w:pPr>
              <w:pStyle w:val="BodyTextIndent"/>
              <w:spacing w:before="120"/>
              <w:ind w:left="0"/>
              <w:jc w:val="both"/>
              <w:rPr>
                <w:szCs w:val="22"/>
                <w:lang w:val="lv-LV" w:eastAsia="lv-LV"/>
              </w:rPr>
            </w:pPr>
          </w:p>
        </w:tc>
      </w:tr>
    </w:tbl>
    <w:p w:rsidR="00A3316F" w:rsidRDefault="00A3316F">
      <w:pPr>
        <w:pStyle w:val="naiskr"/>
        <w:spacing w:before="0" w:after="0"/>
        <w:rPr>
          <w:sz w:val="22"/>
          <w:szCs w:val="22"/>
        </w:rPr>
      </w:pPr>
    </w:p>
    <w:p w:rsidR="00A3316F" w:rsidRDefault="00AF429C">
      <w:pPr>
        <w:pStyle w:val="naisf"/>
        <w:spacing w:before="0" w:after="0"/>
        <w:rPr>
          <w:sz w:val="20"/>
          <w:szCs w:val="20"/>
        </w:rPr>
      </w:pPr>
      <w:r>
        <w:rPr>
          <w:sz w:val="20"/>
          <w:szCs w:val="20"/>
        </w:rPr>
        <w:t>Piezīme. * Dokumenta rekvizītu "paraksts" neaizpilda, ja elektroniskais dokuments ir sagatavots atbilstoši normatīvajiem aktiem par elektronisko dokumentu noformēšanu.</w:t>
      </w:r>
    </w:p>
    <w:p w:rsidR="00A3316F" w:rsidRDefault="00AF429C">
      <w:r>
        <w:t>Ojārs Valkers</w:t>
      </w:r>
    </w:p>
    <w:tbl>
      <w:tblPr>
        <w:tblW w:w="8268" w:type="dxa"/>
        <w:tblCellMar>
          <w:left w:w="10" w:type="dxa"/>
          <w:right w:w="10" w:type="dxa"/>
        </w:tblCellMar>
        <w:tblLook w:val="0000" w:firstRow="0" w:lastRow="0" w:firstColumn="0" w:lastColumn="0" w:noHBand="0" w:noVBand="0"/>
      </w:tblPr>
      <w:tblGrid>
        <w:gridCol w:w="8268"/>
      </w:tblGrid>
      <w:tr w:rsidR="00A3316F">
        <w:tblPrEx>
          <w:tblCellMar>
            <w:top w:w="0" w:type="dxa"/>
            <w:bottom w:w="0" w:type="dxa"/>
          </w:tblCellMar>
        </w:tblPrEx>
        <w:tc>
          <w:tcPr>
            <w:tcW w:w="8268" w:type="dxa"/>
            <w:tcBorders>
              <w:top w:val="single" w:sz="4" w:space="0" w:color="000000"/>
            </w:tcBorders>
            <w:shd w:val="clear" w:color="auto" w:fill="auto"/>
            <w:tcMar>
              <w:top w:w="0" w:type="dxa"/>
              <w:left w:w="108" w:type="dxa"/>
              <w:bottom w:w="0" w:type="dxa"/>
              <w:right w:w="108" w:type="dxa"/>
            </w:tcMar>
          </w:tcPr>
          <w:p w:rsidR="00A3316F" w:rsidRDefault="00AF429C">
            <w:r>
              <w:t>(par projektu</w:t>
            </w:r>
            <w:r>
              <w:t xml:space="preserve"> atbildīgās amatpersonas vārds un uzvārds)</w:t>
            </w:r>
          </w:p>
          <w:p w:rsidR="00A3316F" w:rsidRDefault="00A3316F"/>
        </w:tc>
      </w:tr>
      <w:tr w:rsidR="00A3316F">
        <w:tblPrEx>
          <w:tblCellMar>
            <w:top w:w="0" w:type="dxa"/>
            <w:bottom w:w="0" w:type="dxa"/>
          </w:tblCellMar>
        </w:tblPrEx>
        <w:tc>
          <w:tcPr>
            <w:tcW w:w="8268" w:type="dxa"/>
            <w:tcBorders>
              <w:bottom w:val="single" w:sz="4" w:space="0" w:color="000000"/>
            </w:tcBorders>
            <w:shd w:val="clear" w:color="auto" w:fill="auto"/>
            <w:tcMar>
              <w:top w:w="0" w:type="dxa"/>
              <w:left w:w="108" w:type="dxa"/>
              <w:bottom w:w="0" w:type="dxa"/>
              <w:right w:w="108" w:type="dxa"/>
            </w:tcMar>
          </w:tcPr>
          <w:p w:rsidR="00A3316F" w:rsidRDefault="00AF429C">
            <w:r>
              <w:t>Valsts akciju sabiedrības “Valsts nekustamie īpašumi” izpilddirektors</w:t>
            </w:r>
          </w:p>
        </w:tc>
      </w:tr>
      <w:tr w:rsidR="00A3316F">
        <w:tblPrEx>
          <w:tblCellMar>
            <w:top w:w="0" w:type="dxa"/>
            <w:bottom w:w="0" w:type="dxa"/>
          </w:tblCellMar>
        </w:tblPrEx>
        <w:tc>
          <w:tcPr>
            <w:tcW w:w="8268" w:type="dxa"/>
            <w:tcBorders>
              <w:top w:val="single" w:sz="4" w:space="0" w:color="000000"/>
            </w:tcBorders>
            <w:shd w:val="clear" w:color="auto" w:fill="auto"/>
            <w:tcMar>
              <w:top w:w="0" w:type="dxa"/>
              <w:left w:w="108" w:type="dxa"/>
              <w:bottom w:w="0" w:type="dxa"/>
              <w:right w:w="108" w:type="dxa"/>
            </w:tcMar>
          </w:tcPr>
          <w:p w:rsidR="00A3316F" w:rsidRDefault="00AF429C">
            <w:r>
              <w:t>(amats)</w:t>
            </w:r>
          </w:p>
        </w:tc>
      </w:tr>
      <w:tr w:rsidR="00A3316F">
        <w:tblPrEx>
          <w:tblCellMar>
            <w:top w:w="0" w:type="dxa"/>
            <w:bottom w:w="0" w:type="dxa"/>
          </w:tblCellMar>
        </w:tblPrEx>
        <w:tc>
          <w:tcPr>
            <w:tcW w:w="8268" w:type="dxa"/>
            <w:tcBorders>
              <w:bottom w:val="single" w:sz="4" w:space="0" w:color="000000"/>
            </w:tcBorders>
            <w:shd w:val="clear" w:color="auto" w:fill="auto"/>
            <w:tcMar>
              <w:top w:w="0" w:type="dxa"/>
              <w:left w:w="108" w:type="dxa"/>
              <w:bottom w:w="0" w:type="dxa"/>
              <w:right w:w="108" w:type="dxa"/>
            </w:tcMar>
          </w:tcPr>
          <w:p w:rsidR="00A3316F" w:rsidRDefault="00A3316F"/>
        </w:tc>
      </w:tr>
      <w:tr w:rsidR="00A3316F">
        <w:tblPrEx>
          <w:tblCellMar>
            <w:top w:w="0" w:type="dxa"/>
            <w:bottom w:w="0" w:type="dxa"/>
          </w:tblCellMar>
        </w:tblPrEx>
        <w:tc>
          <w:tcPr>
            <w:tcW w:w="8268" w:type="dxa"/>
            <w:tcBorders>
              <w:top w:val="single" w:sz="4" w:space="0" w:color="000000"/>
            </w:tcBorders>
            <w:shd w:val="clear" w:color="auto" w:fill="auto"/>
            <w:tcMar>
              <w:top w:w="0" w:type="dxa"/>
              <w:left w:w="108" w:type="dxa"/>
              <w:bottom w:w="0" w:type="dxa"/>
              <w:right w:w="108" w:type="dxa"/>
            </w:tcMar>
          </w:tcPr>
          <w:p w:rsidR="00A3316F" w:rsidRDefault="00AF429C">
            <w:r>
              <w:t>(tālruņa un faksa numurs)</w:t>
            </w:r>
          </w:p>
          <w:p w:rsidR="00A3316F" w:rsidRDefault="00A3316F"/>
        </w:tc>
      </w:tr>
      <w:tr w:rsidR="00A3316F">
        <w:tblPrEx>
          <w:tblCellMar>
            <w:top w:w="0" w:type="dxa"/>
            <w:bottom w:w="0" w:type="dxa"/>
          </w:tblCellMar>
        </w:tblPrEx>
        <w:tc>
          <w:tcPr>
            <w:tcW w:w="8268" w:type="dxa"/>
            <w:tcBorders>
              <w:bottom w:val="single" w:sz="4" w:space="0" w:color="000000"/>
            </w:tcBorders>
            <w:shd w:val="clear" w:color="auto" w:fill="auto"/>
            <w:tcMar>
              <w:top w:w="0" w:type="dxa"/>
              <w:left w:w="108" w:type="dxa"/>
              <w:bottom w:w="0" w:type="dxa"/>
              <w:right w:w="108" w:type="dxa"/>
            </w:tcMar>
          </w:tcPr>
          <w:p w:rsidR="00A3316F" w:rsidRDefault="00AF429C">
            <w:r>
              <w:t>Ojars.Valkers@vni.lv</w:t>
            </w:r>
          </w:p>
        </w:tc>
      </w:tr>
      <w:tr w:rsidR="00A3316F">
        <w:tblPrEx>
          <w:tblCellMar>
            <w:top w:w="0" w:type="dxa"/>
            <w:bottom w:w="0" w:type="dxa"/>
          </w:tblCellMar>
        </w:tblPrEx>
        <w:tc>
          <w:tcPr>
            <w:tcW w:w="8268" w:type="dxa"/>
            <w:tcBorders>
              <w:top w:val="single" w:sz="4" w:space="0" w:color="000000"/>
            </w:tcBorders>
            <w:shd w:val="clear" w:color="auto" w:fill="auto"/>
            <w:tcMar>
              <w:top w:w="0" w:type="dxa"/>
              <w:left w:w="108" w:type="dxa"/>
              <w:bottom w:w="0" w:type="dxa"/>
              <w:right w:w="108" w:type="dxa"/>
            </w:tcMar>
          </w:tcPr>
          <w:p w:rsidR="00A3316F" w:rsidRDefault="00AF429C">
            <w:r>
              <w:t>(e-pasta adrese)</w:t>
            </w:r>
          </w:p>
        </w:tc>
      </w:tr>
    </w:tbl>
    <w:p w:rsidR="00A3316F" w:rsidRDefault="00A3316F">
      <w:pPr>
        <w:rPr>
          <w:sz w:val="22"/>
          <w:szCs w:val="22"/>
        </w:rPr>
      </w:pPr>
    </w:p>
    <w:p w:rsidR="00A3316F" w:rsidRDefault="00A3316F">
      <w:pPr>
        <w:rPr>
          <w:sz w:val="22"/>
          <w:szCs w:val="22"/>
        </w:rPr>
      </w:pPr>
    </w:p>
    <w:p w:rsidR="00A3316F" w:rsidRDefault="00A3316F">
      <w:pPr>
        <w:rPr>
          <w:sz w:val="22"/>
          <w:szCs w:val="22"/>
        </w:rPr>
      </w:pPr>
    </w:p>
    <w:tbl>
      <w:tblPr>
        <w:tblW w:w="8533" w:type="dxa"/>
        <w:tblCellMar>
          <w:left w:w="10" w:type="dxa"/>
          <w:right w:w="10" w:type="dxa"/>
        </w:tblCellMar>
        <w:tblLook w:val="0000" w:firstRow="0" w:lastRow="0" w:firstColumn="0" w:lastColumn="0" w:noHBand="0" w:noVBand="0"/>
      </w:tblPr>
      <w:tblGrid>
        <w:gridCol w:w="8533"/>
      </w:tblGrid>
      <w:tr w:rsidR="00A3316F">
        <w:tblPrEx>
          <w:tblCellMar>
            <w:top w:w="0" w:type="dxa"/>
            <w:bottom w:w="0" w:type="dxa"/>
          </w:tblCellMar>
        </w:tblPrEx>
        <w:trPr>
          <w:trHeight w:val="627"/>
        </w:trPr>
        <w:tc>
          <w:tcPr>
            <w:tcW w:w="8533" w:type="dxa"/>
            <w:shd w:val="clear" w:color="auto" w:fill="auto"/>
            <w:tcMar>
              <w:top w:w="0" w:type="dxa"/>
              <w:left w:w="108" w:type="dxa"/>
              <w:bottom w:w="0" w:type="dxa"/>
              <w:right w:w="108" w:type="dxa"/>
            </w:tcMar>
          </w:tcPr>
          <w:p w:rsidR="00A3316F" w:rsidRDefault="00AF429C">
            <w:pPr>
              <w:pStyle w:val="NoSpacing"/>
              <w:ind w:firstLine="0"/>
            </w:pPr>
            <w:r>
              <w:rPr>
                <w:sz w:val="20"/>
                <w:szCs w:val="20"/>
              </w:rPr>
              <w:t>Ilvija Peimane</w:t>
            </w:r>
          </w:p>
          <w:p w:rsidR="00A3316F" w:rsidRDefault="00AF429C">
            <w:pPr>
              <w:pStyle w:val="NoSpacing"/>
              <w:ind w:firstLine="0"/>
            </w:pPr>
            <w:r>
              <w:rPr>
                <w:sz w:val="20"/>
                <w:szCs w:val="20"/>
              </w:rPr>
              <w:t>Tiesību aktu speciālists, 25600849</w:t>
            </w:r>
          </w:p>
          <w:p w:rsidR="00A3316F" w:rsidRDefault="00AF429C">
            <w:pPr>
              <w:pStyle w:val="NoSpacing"/>
              <w:ind w:firstLine="0"/>
            </w:pPr>
            <w:r>
              <w:rPr>
                <w:sz w:val="20"/>
                <w:szCs w:val="20"/>
              </w:rPr>
              <w:t xml:space="preserve">Ilvija.Peimane@vni.lv </w:t>
            </w:r>
          </w:p>
          <w:p w:rsidR="00A3316F" w:rsidRDefault="00A3316F">
            <w:pPr>
              <w:pStyle w:val="NoSpacing"/>
            </w:pPr>
          </w:p>
        </w:tc>
      </w:tr>
    </w:tbl>
    <w:p w:rsidR="00A3316F" w:rsidRDefault="00A3316F"/>
    <w:sectPr w:rsidR="00A3316F">
      <w:footerReference w:type="default" r:id="rId7"/>
      <w:pgSz w:w="16838" w:h="11906" w:orient="landscape"/>
      <w:pgMar w:top="1800" w:right="1440" w:bottom="180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29C" w:rsidRDefault="00AF429C">
      <w:r>
        <w:separator/>
      </w:r>
    </w:p>
  </w:endnote>
  <w:endnote w:type="continuationSeparator" w:id="0">
    <w:p w:rsidR="00AF429C" w:rsidRDefault="00AF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5DC" w:rsidRDefault="00AF429C">
    <w:pPr>
      <w:pStyle w:val="Footer"/>
      <w:rPr>
        <w:sz w:val="20"/>
        <w:szCs w:val="20"/>
      </w:rPr>
    </w:pPr>
    <w:r>
      <w:rPr>
        <w:sz w:val="20"/>
        <w:szCs w:val="20"/>
      </w:rPr>
      <w:t>FMIzz_030820_VSS-442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29C" w:rsidRDefault="00AF429C">
      <w:r>
        <w:rPr>
          <w:color w:val="000000"/>
        </w:rPr>
        <w:separator/>
      </w:r>
    </w:p>
  </w:footnote>
  <w:footnote w:type="continuationSeparator" w:id="0">
    <w:p w:rsidR="00AF429C" w:rsidRDefault="00AF4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69F7"/>
    <w:multiLevelType w:val="multilevel"/>
    <w:tmpl w:val="C91E19E4"/>
    <w:lvl w:ilvl="0">
      <w:start w:val="1"/>
      <w:numFmt w:val="upperRoman"/>
      <w:lvlText w:val="%1."/>
      <w:lvlJc w:val="left"/>
      <w:pPr>
        <w:ind w:left="5040" w:hanging="720"/>
      </w:pPr>
    </w:lvl>
    <w:lvl w:ilvl="1">
      <w:start w:val="1"/>
      <w:numFmt w:val="lowerLetter"/>
      <w:lvlText w:val="%2."/>
      <w:lvlJc w:val="left"/>
      <w:pPr>
        <w:ind w:left="5400" w:hanging="360"/>
      </w:pPr>
    </w:lvl>
    <w:lvl w:ilvl="2">
      <w:start w:val="1"/>
      <w:numFmt w:val="lowerRoman"/>
      <w:lvlText w:val="%3."/>
      <w:lvlJc w:val="right"/>
      <w:pPr>
        <w:ind w:left="6120" w:hanging="180"/>
      </w:pPr>
    </w:lvl>
    <w:lvl w:ilvl="3">
      <w:start w:val="1"/>
      <w:numFmt w:val="decimal"/>
      <w:lvlText w:val="%4."/>
      <w:lvlJc w:val="left"/>
      <w:pPr>
        <w:ind w:left="6840" w:hanging="360"/>
      </w:pPr>
    </w:lvl>
    <w:lvl w:ilvl="4">
      <w:start w:val="1"/>
      <w:numFmt w:val="lowerLetter"/>
      <w:lvlText w:val="%5."/>
      <w:lvlJc w:val="left"/>
      <w:pPr>
        <w:ind w:left="7560" w:hanging="360"/>
      </w:pPr>
    </w:lvl>
    <w:lvl w:ilvl="5">
      <w:start w:val="1"/>
      <w:numFmt w:val="lowerRoman"/>
      <w:lvlText w:val="%6."/>
      <w:lvlJc w:val="right"/>
      <w:pPr>
        <w:ind w:left="8280" w:hanging="180"/>
      </w:pPr>
    </w:lvl>
    <w:lvl w:ilvl="6">
      <w:start w:val="1"/>
      <w:numFmt w:val="decimal"/>
      <w:lvlText w:val="%7."/>
      <w:lvlJc w:val="left"/>
      <w:pPr>
        <w:ind w:left="9000" w:hanging="360"/>
      </w:pPr>
    </w:lvl>
    <w:lvl w:ilvl="7">
      <w:start w:val="1"/>
      <w:numFmt w:val="lowerLetter"/>
      <w:lvlText w:val="%8."/>
      <w:lvlJc w:val="left"/>
      <w:pPr>
        <w:ind w:left="9720" w:hanging="360"/>
      </w:pPr>
    </w:lvl>
    <w:lvl w:ilvl="8">
      <w:start w:val="1"/>
      <w:numFmt w:val="lowerRoman"/>
      <w:lvlText w:val="%9."/>
      <w:lvlJc w:val="right"/>
      <w:pPr>
        <w:ind w:left="104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A3316F"/>
    <w:rsid w:val="00544EEA"/>
    <w:rsid w:val="00A3316F"/>
    <w:rsid w:val="00AF42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4443E-5A21-405C-8982-0269F121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Times New Roman" w:eastAsia="Times New Roman" w:hAnsi="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ind w:firstLine="720"/>
    </w:pPr>
    <w:rPr>
      <w:rFonts w:ascii="Times New Roman" w:hAnsi="Times New Roman"/>
      <w:sz w:val="24"/>
    </w:rPr>
  </w:style>
  <w:style w:type="paragraph" w:customStyle="1" w:styleId="naisnod">
    <w:name w:val="naisnod"/>
    <w:basedOn w:val="Normal"/>
    <w:pPr>
      <w:spacing w:before="100" w:after="100"/>
    </w:pPr>
  </w:style>
  <w:style w:type="paragraph" w:customStyle="1" w:styleId="naisf">
    <w:name w:val="naisf"/>
    <w:basedOn w:val="Normal"/>
    <w:pPr>
      <w:spacing w:before="100" w:after="100"/>
    </w:pPr>
  </w:style>
  <w:style w:type="paragraph" w:customStyle="1" w:styleId="naisc">
    <w:name w:val="naisc"/>
    <w:basedOn w:val="Normal"/>
    <w:pPr>
      <w:spacing w:before="100" w:after="100"/>
    </w:pPr>
  </w:style>
  <w:style w:type="paragraph" w:customStyle="1" w:styleId="naiskr">
    <w:name w:val="naiskr"/>
    <w:basedOn w:val="Normal"/>
    <w:pPr>
      <w:spacing w:before="100" w:after="100"/>
    </w:pPr>
  </w:style>
  <w:style w:type="paragraph" w:styleId="BodyTextIndent">
    <w:name w:val="Body Text Indent"/>
    <w:basedOn w:val="Normal"/>
    <w:pPr>
      <w:spacing w:after="120"/>
      <w:ind w:left="360"/>
    </w:pPr>
    <w:rPr>
      <w:szCs w:val="20"/>
      <w:lang w:val="en-AU" w:eastAsia="en-US"/>
    </w:rPr>
  </w:style>
  <w:style w:type="character" w:customStyle="1" w:styleId="BodyTextIndentChar">
    <w:name w:val="Body Text Indent Char"/>
    <w:basedOn w:val="DefaultParagraphFont"/>
    <w:rPr>
      <w:rFonts w:ascii="Times New Roman" w:eastAsia="Times New Roman" w:hAnsi="Times New Roman" w:cs="Times New Roman"/>
      <w:sz w:val="24"/>
      <w:szCs w:val="20"/>
      <w:lang w:val="en-AU"/>
    </w:rPr>
  </w:style>
  <w:style w:type="paragraph" w:styleId="NormalWeb">
    <w:name w:val="Normal (Web)"/>
    <w:basedOn w:val="Normal"/>
    <w:pPr>
      <w:spacing w:before="100" w:after="100"/>
    </w:pPr>
  </w:style>
  <w:style w:type="character" w:styleId="Hyperlink">
    <w:name w:val="Hyperlink"/>
    <w:rPr>
      <w:color w:val="0000FF"/>
      <w:u w:val="single"/>
    </w:rPr>
  </w:style>
  <w:style w:type="paragraph" w:styleId="ListParagraph">
    <w:name w:val="List Paragraph"/>
    <w:basedOn w:val="Normal"/>
    <w:pPr>
      <w:autoSpaceDE w:val="0"/>
      <w:ind w:left="720"/>
    </w:pPr>
    <w:rPr>
      <w:rFonts w:ascii="Cambria" w:hAnsi="Cambria"/>
    </w:rPr>
  </w:style>
  <w:style w:type="character" w:customStyle="1" w:styleId="ListParagraphChar">
    <w:name w:val="List Paragraph Char"/>
    <w:rPr>
      <w:rFonts w:ascii="Cambria" w:eastAsia="Times New Roman" w:hAnsi="Cambria" w:cs="Times New Roman"/>
      <w:sz w:val="24"/>
      <w:szCs w:val="24"/>
      <w:lang w:eastAsia="lv-LV"/>
    </w:rPr>
  </w:style>
  <w:style w:type="character" w:styleId="FootnoteReference">
    <w:name w:val="footnote reference"/>
    <w:basedOn w:val="DefaultParagraphFont"/>
    <w:rPr>
      <w:position w:val="0"/>
      <w:vertAlign w:val="superscript"/>
    </w:rPr>
  </w:style>
  <w:style w:type="character" w:customStyle="1" w:styleId="FootnoteTextChar">
    <w:name w:val="Footnote Text Char"/>
    <w:basedOn w:val="DefaultParagraphFont"/>
  </w:style>
  <w:style w:type="paragraph" w:styleId="FootnoteText">
    <w:name w:val="footnote text"/>
    <w:basedOn w:val="Normal"/>
    <w:pPr>
      <w:widowControl w:val="0"/>
      <w:jc w:val="both"/>
    </w:pPr>
    <w:rPr>
      <w:rFonts w:ascii="Calibri" w:eastAsia="Calibri" w:hAnsi="Calibri"/>
      <w:sz w:val="22"/>
      <w:szCs w:val="22"/>
      <w:lang w:eastAsia="en-US"/>
    </w:rPr>
  </w:style>
  <w:style w:type="character" w:customStyle="1" w:styleId="FootnoteTextChar1">
    <w:name w:val="Footnote Text Char1"/>
    <w:basedOn w:val="DefaultParagraphFont"/>
    <w:rPr>
      <w:rFonts w:ascii="Times New Roman" w:eastAsia="Times New Roman" w:hAnsi="Times New Roman" w:cs="Times New Roman"/>
      <w:sz w:val="20"/>
      <w:szCs w:val="20"/>
      <w:lang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4"/>
      <w:szCs w:val="24"/>
      <w:lang w:eastAsia="lv-LV"/>
    </w:rPr>
  </w:style>
  <w:style w:type="paragraph" w:styleId="Footer">
    <w:name w:val="footer"/>
    <w:basedOn w:val="Normal"/>
    <w:pPr>
      <w:tabs>
        <w:tab w:val="center" w:pos="4153"/>
        <w:tab w:val="right" w:pos="8306"/>
      </w:tabs>
    </w:pPr>
  </w:style>
  <w:style w:type="character" w:customStyle="1" w:styleId="FooterChar">
    <w:name w:val="Footer Char"/>
    <w:basedOn w:val="DefaultParagraphFont"/>
    <w:rPr>
      <w:rFonts w:ascii="Times New Roman" w:eastAsia="Times New Roman" w:hAnsi="Times New Roman" w:cs="Times New Roman"/>
      <w:sz w:val="24"/>
      <w:szCs w:val="24"/>
      <w:lang w:eastAsia="lv-LV"/>
    </w:rPr>
  </w:style>
  <w:style w:type="paragraph" w:customStyle="1" w:styleId="tv213">
    <w:name w:val="tv213"/>
    <w:basedOn w:val="Normal"/>
    <w:pPr>
      <w:suppressAutoHyphens w:val="0"/>
      <w:spacing w:before="100" w:after="10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5152</Words>
  <Characters>2938</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Ilvija Peimane</dc:creator>
  <dc:description/>
  <cp:lastModifiedBy>Zane Zute</cp:lastModifiedBy>
  <cp:revision>2</cp:revision>
  <dcterms:created xsi:type="dcterms:W3CDTF">2020-08-19T09:11:00Z</dcterms:created>
  <dcterms:modified xsi:type="dcterms:W3CDTF">2020-08-19T09:11:00Z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