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bookmarkStart w:id="0" w:name="_GoBack"/>
      <w:bookmarkEnd w:id="0"/>
      <w:r w:rsidRPr="00250F2E">
        <w:rPr>
          <w:b w:val="0"/>
        </w:rPr>
        <w:t>Izziņa par atzinumos sniegtajiem iebildumiem</w:t>
      </w:r>
    </w:p>
    <w:p w14:paraId="188110EF" w14:textId="52DABFB9" w:rsidR="009F1F3B" w:rsidRPr="000E729F" w:rsidRDefault="00EF767D" w:rsidP="00297AF3">
      <w:pPr>
        <w:pStyle w:val="naisc"/>
        <w:spacing w:before="0" w:after="0"/>
        <w:rPr>
          <w:b/>
          <w:sz w:val="26"/>
          <w:szCs w:val="26"/>
        </w:rPr>
      </w:pPr>
      <w:r w:rsidRPr="000E729F">
        <w:rPr>
          <w:b/>
          <w:sz w:val="26"/>
          <w:szCs w:val="26"/>
        </w:rPr>
        <w:t>Ministru kabineta rīkojums projekts “</w:t>
      </w:r>
      <w:r w:rsidR="00BD3BEF" w:rsidRPr="00BD3BEF">
        <w:rPr>
          <w:b/>
          <w:sz w:val="26"/>
          <w:szCs w:val="26"/>
        </w:rPr>
        <w:t>Par atšķirīgu dividendēs izmaksājamo valsts akciju sabiedrības “Valsts nekustamie īpašumi” peļņas daļu par 2019.gada pārskatu</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7A4EDC" w:rsidRPr="00250F2E" w14:paraId="766CB8FE" w14:textId="77777777" w:rsidTr="009F793E">
        <w:trPr>
          <w:trHeight w:val="260"/>
        </w:trPr>
        <w:tc>
          <w:tcPr>
            <w:tcW w:w="704" w:type="dxa"/>
          </w:tcPr>
          <w:p w14:paraId="3E0B0460" w14:textId="639B3D8F" w:rsidR="007A4EDC" w:rsidRPr="00250F2E" w:rsidRDefault="0046549D" w:rsidP="007A4EDC">
            <w:pPr>
              <w:jc w:val="center"/>
              <w:rPr>
                <w:color w:val="000000" w:themeColor="text1"/>
              </w:rPr>
            </w:pPr>
            <w:r>
              <w:rPr>
                <w:color w:val="000000" w:themeColor="text1"/>
              </w:rPr>
              <w:t>1.</w:t>
            </w:r>
          </w:p>
        </w:tc>
        <w:tc>
          <w:tcPr>
            <w:tcW w:w="2126" w:type="dxa"/>
          </w:tcPr>
          <w:p w14:paraId="479A317B" w14:textId="0858F095" w:rsidR="007715AD" w:rsidRDefault="007715AD" w:rsidP="00E55FFB">
            <w:pPr>
              <w:jc w:val="both"/>
              <w:rPr>
                <w:color w:val="000000" w:themeColor="text1"/>
              </w:rPr>
            </w:pPr>
            <w:r>
              <w:rPr>
                <w:color w:val="000000" w:themeColor="text1"/>
              </w:rPr>
              <w:t xml:space="preserve">Anotācijas </w:t>
            </w:r>
            <w:r w:rsidR="00780F65">
              <w:rPr>
                <w:color w:val="000000" w:themeColor="text1"/>
              </w:rPr>
              <w:t>I sadaļas 2.punktā (2.lpp.)</w:t>
            </w:r>
          </w:p>
          <w:p w14:paraId="47B39B6F" w14:textId="3F0BED44" w:rsidR="007A4EDC" w:rsidRPr="00250F2E" w:rsidRDefault="007715AD" w:rsidP="00E55FFB">
            <w:pPr>
              <w:jc w:val="both"/>
              <w:rPr>
                <w:color w:val="000000" w:themeColor="text1"/>
              </w:rPr>
            </w:pPr>
            <w:r w:rsidRPr="007715AD">
              <w:rPr>
                <w:color w:val="000000" w:themeColor="text1"/>
              </w:rPr>
              <w:t>•</w:t>
            </w:r>
            <w:r w:rsidRPr="007715AD">
              <w:rPr>
                <w:color w:val="000000" w:themeColor="text1"/>
              </w:rPr>
              <w:tab/>
              <w:t xml:space="preserve">3 388 452 </w:t>
            </w:r>
            <w:proofErr w:type="spellStart"/>
            <w:r w:rsidRPr="00780F65">
              <w:rPr>
                <w:i/>
                <w:iCs/>
                <w:color w:val="000000" w:themeColor="text1"/>
              </w:rPr>
              <w:t>euro</w:t>
            </w:r>
            <w:proofErr w:type="spellEnd"/>
            <w:r w:rsidRPr="007715AD">
              <w:rPr>
                <w:color w:val="000000" w:themeColor="text1"/>
              </w:rPr>
              <w:t xml:space="preserve"> atzīt postenī “Nākamo periodu ieņēmumi”, ieguldot vairākos Finanšu ministrijas valdījumā esošos valsts nekustamajos īpašumos, papildus aprēķināt un samaksāt budžetā uzņēmumu ienākuma nodokli saskaņā ar normatīvo aktu prasībām.</w:t>
            </w:r>
          </w:p>
        </w:tc>
        <w:tc>
          <w:tcPr>
            <w:tcW w:w="3969" w:type="dxa"/>
          </w:tcPr>
          <w:p w14:paraId="01CE0BCD" w14:textId="77777777" w:rsidR="005168C3" w:rsidRDefault="00C7521F" w:rsidP="007A4EDC">
            <w:pPr>
              <w:jc w:val="both"/>
              <w:rPr>
                <w:b/>
                <w:bCs/>
              </w:rPr>
            </w:pPr>
            <w:proofErr w:type="spellStart"/>
            <w:r w:rsidRPr="0098379E">
              <w:rPr>
                <w:b/>
                <w:bCs/>
              </w:rPr>
              <w:t>Pārresoru</w:t>
            </w:r>
            <w:proofErr w:type="spellEnd"/>
            <w:r w:rsidRPr="0098379E">
              <w:rPr>
                <w:b/>
                <w:bCs/>
              </w:rPr>
              <w:t xml:space="preserve"> koordinācijas centra 2020.gada 10.jūnija atzinums Nr.1.2-5.1/69</w:t>
            </w:r>
            <w:r w:rsidR="005168C3">
              <w:rPr>
                <w:b/>
                <w:bCs/>
              </w:rPr>
              <w:t>:</w:t>
            </w:r>
          </w:p>
          <w:p w14:paraId="6966DC54" w14:textId="438C8B6F" w:rsidR="008710EF" w:rsidRDefault="008710EF" w:rsidP="007A4EDC">
            <w:pPr>
              <w:jc w:val="both"/>
            </w:pPr>
            <w:proofErr w:type="spellStart"/>
            <w:r w:rsidRPr="008710EF">
              <w:t>Pārresoru</w:t>
            </w:r>
            <w:proofErr w:type="spellEnd"/>
            <w:r w:rsidRPr="008710EF">
              <w:t xml:space="preserve"> koordinācijas centrs (turpmāk – PKC) ir izskatījis Finanšu ministrijas (turpmāk – FM) sagatavoto Ministru kabineta (turpmāk – MK) rīkojuma projektu “Par atšķirīgu dividendēs izmaksājamo valsts akciju sabiedrības “Valsts nekustamie īpašumi” peļņas daļu par 2019.gadu” (turpmāk – projekts), tā sākotnējās ietekmes novērtējuma ziņojumu (turpmāk – anotācija) un izsaka šādus iebildumus.</w:t>
            </w:r>
          </w:p>
          <w:p w14:paraId="4A004229" w14:textId="77777777" w:rsidR="007A4EDC" w:rsidRDefault="007A4EDC" w:rsidP="007A4EDC">
            <w:pPr>
              <w:jc w:val="both"/>
            </w:pPr>
            <w:r w:rsidRPr="002A5804">
              <w:t>1.</w:t>
            </w:r>
            <w:r w:rsidRPr="002A5804">
              <w:tab/>
            </w:r>
            <w:r>
              <w:t>“</w:t>
            </w:r>
            <w:r w:rsidRPr="002A5804">
              <w:t xml:space="preserve">Svītrot no anotācijas 2.lpp. tekstu “atzīt postenī “Nākamo periodu ieņēmumi”, ieguldot vairākos Finanšu ministrijas valdījumā esošos valsts nekustamajos īpašumos, papildus aprēķināt un samaksāt budžetā uzņēmumu ienākuma nodokli saskaņā ar normatīvo aktu prasībām”, jo </w:t>
            </w:r>
            <w:r w:rsidRPr="002A5804">
              <w:lastRenderedPageBreak/>
              <w:t>jautājums par valsts kapitālsabiedrības rīcībā atstāto dividenžu atspoguļošanu bilances posteņos tiek analizēts informatīvā  ziņojuma “Par valsts kapitālsabiedrību rīcībā atstāto dividenžu maksājuma atspoguļošanu kapitālsabiedrības bilances posteņos problemātiku un risinājumiem”, kuru Ministru kabinets vēl nav skatījis un lēmis par praksi, kādu valsts kapitālsabiedrībām būtu jāīsteno, lai korekti atspoguļotu bilancē ar MK lēmumu kapitālsabiedrības rīcībā atstāto pārskata gada peļņu. Turklāt informatīvā ziņojuma projektā izstrādē iesaistītājām ministrijām – Tieslietu un Finanšu, ir savstarpēji pretrunīgi viedokļi par peļņas novirzīšanas pamatotību, lai finansētu valsts pārvaldes uzdevumu īstenošanu.</w:t>
            </w:r>
            <w:r>
              <w:t>”</w:t>
            </w:r>
          </w:p>
          <w:p w14:paraId="505ED2E1" w14:textId="24CF9127" w:rsidR="005A13B1" w:rsidRPr="00250F2E" w:rsidRDefault="005A13B1" w:rsidP="007A4EDC">
            <w:pPr>
              <w:jc w:val="both"/>
              <w:rPr>
                <w:color w:val="000000" w:themeColor="text1"/>
              </w:rPr>
            </w:pPr>
          </w:p>
        </w:tc>
        <w:tc>
          <w:tcPr>
            <w:tcW w:w="3119" w:type="dxa"/>
          </w:tcPr>
          <w:p w14:paraId="0F85E091" w14:textId="6C37271E" w:rsidR="00467F9D" w:rsidRPr="00467F9D" w:rsidRDefault="008622F2" w:rsidP="00C534C4">
            <w:pPr>
              <w:spacing w:after="60"/>
              <w:jc w:val="both"/>
              <w:rPr>
                <w:bCs/>
                <w:iCs/>
              </w:rPr>
            </w:pPr>
            <w:r w:rsidRPr="008622F2">
              <w:rPr>
                <w:b/>
                <w:bCs/>
                <w:iCs/>
              </w:rPr>
              <w:lastRenderedPageBreak/>
              <w:t>Nav panākta vienošanās.</w:t>
            </w:r>
            <w:r w:rsidR="00403F10" w:rsidRPr="008622F2">
              <w:rPr>
                <w:b/>
                <w:bCs/>
                <w:iCs/>
              </w:rPr>
              <w:t xml:space="preserve"> </w:t>
            </w:r>
            <w:r w:rsidR="00467F9D">
              <w:rPr>
                <w:bCs/>
                <w:iCs/>
              </w:rPr>
              <w:t xml:space="preserve">Iebildums </w:t>
            </w:r>
            <w:r w:rsidR="00756916" w:rsidRPr="00467F9D">
              <w:rPr>
                <w:bCs/>
                <w:iCs/>
              </w:rPr>
              <w:t>izvērtēts, sniegts skaidrojums</w:t>
            </w:r>
            <w:r w:rsidR="00467F9D">
              <w:rPr>
                <w:bCs/>
                <w:iCs/>
              </w:rPr>
              <w:t>.</w:t>
            </w:r>
          </w:p>
          <w:p w14:paraId="4873794D" w14:textId="5B41A0B7" w:rsidR="00C534C4" w:rsidRPr="006F031A" w:rsidRDefault="00C534C4" w:rsidP="00C534C4">
            <w:pPr>
              <w:spacing w:after="60"/>
              <w:jc w:val="both"/>
              <w:rPr>
                <w:iCs/>
              </w:rPr>
            </w:pPr>
            <w:r w:rsidRPr="006F031A">
              <w:rPr>
                <w:iCs/>
              </w:rPr>
              <w:t xml:space="preserve">Ministru kabineta rīkojuma projekta “Par atšķirīgu dividendēs izmaksājamo valsts akciju sabiedrības “Valsts nekustamie īpašumi” peļņas daļu par 2019.gada pārskatu” (turpmāk –  projekts) sākotnējās ietekmes novērtējuma ziņojuma (anotācija) 2.lpp. teksts “atzīt postenī “Nākamo periodu ieņēmumi”, ieguldot vairākos Finanšu ministrijas valdījumā esošos valsts nekustamajos īpašumos, papildus aprēķināt un samaksāt budžetā uzņēmumu ienākuma nodokli saskaņā ar normatīvo aktu prasībām” iekļauts atbilstoši </w:t>
            </w:r>
            <w:proofErr w:type="spellStart"/>
            <w:r w:rsidRPr="006F031A">
              <w:rPr>
                <w:iCs/>
              </w:rPr>
              <w:t>Pārresoru</w:t>
            </w:r>
            <w:proofErr w:type="spellEnd"/>
            <w:r w:rsidRPr="006F031A">
              <w:rPr>
                <w:iCs/>
              </w:rPr>
              <w:t xml:space="preserve"> koordinācijas centra</w:t>
            </w:r>
            <w:r w:rsidR="002C5303">
              <w:rPr>
                <w:iCs/>
              </w:rPr>
              <w:t xml:space="preserve"> </w:t>
            </w:r>
            <w:r w:rsidR="002C5303">
              <w:rPr>
                <w:iCs/>
              </w:rPr>
              <w:lastRenderedPageBreak/>
              <w:t>2020.gada 41.aprīlī atsūtītā i</w:t>
            </w:r>
            <w:r w:rsidRPr="006F031A">
              <w:rPr>
                <w:iCs/>
              </w:rPr>
              <w:t xml:space="preserve">nformatīvā ziņojuma “Par valsts kapitālsabiedrību rīcībā atstātās peļņas atspoguļošanas kapitālsabiedrības bilances posteņos problemātiku un risinājumiem” </w:t>
            </w:r>
            <w:r w:rsidR="002C5303">
              <w:rPr>
                <w:iCs/>
              </w:rPr>
              <w:t xml:space="preserve">projekta </w:t>
            </w:r>
            <w:r w:rsidRPr="006F031A">
              <w:rPr>
                <w:iCs/>
              </w:rPr>
              <w:t>(turpmāk – Informatīvais ziņojums) 4.3.punkta 4.3.“Kapitālsabiedrības rīcībā atstātās peļņas atspoguļošana kapitālsabiedrības bilancē un UIN nomaksa” 4.3.1.apakšpunktā sniegtajam skaidrojumam.</w:t>
            </w:r>
          </w:p>
          <w:p w14:paraId="11015CB6" w14:textId="100002BE" w:rsidR="00C534C4" w:rsidRPr="006F031A" w:rsidRDefault="002C5303" w:rsidP="00C534C4">
            <w:pPr>
              <w:spacing w:after="60"/>
              <w:jc w:val="both"/>
              <w:rPr>
                <w:iCs/>
              </w:rPr>
            </w:pPr>
            <w:r>
              <w:rPr>
                <w:iCs/>
              </w:rPr>
              <w:t>Minētā informācija anotācijā ir nepieciešama, lai būtu skaidrība,</w:t>
            </w:r>
            <w:r w:rsidR="00C534C4" w:rsidRPr="006F031A">
              <w:rPr>
                <w:iCs/>
              </w:rPr>
              <w:t xml:space="preserve"> kā atspoguļot grāmatvedībā VAS “Valsts nekustamie īpašumi” (turpmāk – VNĪ) rīcībā atstātās dividendes, un, vai papildus jāaprēķina un jānomaksā uzņēmuma ienākuma nodoklis.</w:t>
            </w:r>
          </w:p>
          <w:p w14:paraId="0C007FDD" w14:textId="6D0DBE75" w:rsidR="007A4EDC" w:rsidRDefault="00C534C4" w:rsidP="00C534C4">
            <w:pPr>
              <w:jc w:val="both"/>
              <w:rPr>
                <w:iCs/>
              </w:rPr>
            </w:pPr>
            <w:r w:rsidRPr="003D53C1">
              <w:rPr>
                <w:iCs/>
              </w:rPr>
              <w:t xml:space="preserve">Vienlaikus, tā kā </w:t>
            </w:r>
            <w:proofErr w:type="spellStart"/>
            <w:r w:rsidRPr="003D53C1">
              <w:rPr>
                <w:iCs/>
              </w:rPr>
              <w:t>Pārresoru</w:t>
            </w:r>
            <w:proofErr w:type="spellEnd"/>
            <w:r w:rsidRPr="003D53C1">
              <w:rPr>
                <w:iCs/>
              </w:rPr>
              <w:t xml:space="preserve"> koordinācijas centrs norāda uz Informatīvā ziņojuma  projekta izstrādē iesaistīto ministriju – Tieslietu un Finanšu, savstarpēji pretrunīgajiem viedokļiem par peļņas novirzīšanas pamatotību, lai finansētu valsts pārvaldes uzdevumu </w:t>
            </w:r>
            <w:r w:rsidRPr="003D53C1">
              <w:rPr>
                <w:iCs/>
              </w:rPr>
              <w:lastRenderedPageBreak/>
              <w:t>īstenošanu, norādām, ka Finanšu ministrijas (VNĪ) virzīto Ministru kabineta rīkojuma projektu “Par atšķirīgu dividendēs izmaksājamo valsts akciju sabiedrības “Valsts nekustamie īpašumi” peļņas daļu par 2019.gada pārskatu” Tieslietu ministrija ir saskaņojusi bez iebildumiem un priekšlikumiem</w:t>
            </w:r>
            <w:r w:rsidR="000E7D32">
              <w:rPr>
                <w:iCs/>
              </w:rPr>
              <w:t xml:space="preserve"> (</w:t>
            </w:r>
            <w:r w:rsidR="00910E6A">
              <w:rPr>
                <w:iCs/>
              </w:rPr>
              <w:t>T</w:t>
            </w:r>
            <w:r w:rsidR="00F25CFC">
              <w:rPr>
                <w:iCs/>
              </w:rPr>
              <w:t>ieslietu ministrijas</w:t>
            </w:r>
            <w:r w:rsidR="002C5303">
              <w:rPr>
                <w:iCs/>
              </w:rPr>
              <w:t xml:space="preserve"> 2020.gada 25.maija un 2020.gada 29.jūnija</w:t>
            </w:r>
            <w:r w:rsidR="0058378E">
              <w:rPr>
                <w:iCs/>
              </w:rPr>
              <w:t xml:space="preserve"> atz</w:t>
            </w:r>
            <w:r w:rsidR="00910E6A">
              <w:rPr>
                <w:iCs/>
              </w:rPr>
              <w:t>i</w:t>
            </w:r>
            <w:r w:rsidR="0058378E">
              <w:rPr>
                <w:iCs/>
              </w:rPr>
              <w:t>numi)</w:t>
            </w:r>
            <w:r w:rsidRPr="003D53C1">
              <w:rPr>
                <w:iCs/>
              </w:rPr>
              <w:t>.</w:t>
            </w:r>
          </w:p>
          <w:p w14:paraId="0A35EBA0" w14:textId="2CBBA816" w:rsidR="006A08D7" w:rsidRPr="00506F68" w:rsidRDefault="006A08D7" w:rsidP="006A08D7">
            <w:pPr>
              <w:jc w:val="both"/>
              <w:rPr>
                <w:color w:val="000000" w:themeColor="text1"/>
              </w:rPr>
            </w:pPr>
            <w:r w:rsidRPr="00506F68">
              <w:rPr>
                <w:color w:val="000000" w:themeColor="text1"/>
              </w:rPr>
              <w:t xml:space="preserve">Papildus norādām, ka līdz šim nekustamo īpašumu iegādēm un kapitālajiem remontiem tikusi novirzīta VNĪ dividendēs neizmaksātā peļņas daļa par 2017. un 2018.gadu. </w:t>
            </w:r>
          </w:p>
          <w:p w14:paraId="519CFE4A" w14:textId="77777777" w:rsidR="006A08D7" w:rsidRPr="00506F68" w:rsidRDefault="006A08D7" w:rsidP="006A08D7">
            <w:pPr>
              <w:jc w:val="both"/>
              <w:rPr>
                <w:color w:val="000000" w:themeColor="text1"/>
              </w:rPr>
            </w:pPr>
            <w:r w:rsidRPr="00506F68">
              <w:rPr>
                <w:color w:val="000000" w:themeColor="text1"/>
              </w:rPr>
              <w:t xml:space="preserve">Pelņas daļa, kas tika novirzīta ieguldījumiem VNĪ īpašumos un VNĪ nekustamo īpašumu iegādēm, tika grāmatota Pašu kapitālā vai pievienota pamatkapitālam. </w:t>
            </w:r>
          </w:p>
          <w:p w14:paraId="0ED43A52" w14:textId="3B0411CF" w:rsidR="006A08D7" w:rsidRPr="00506F68" w:rsidRDefault="006A08D7" w:rsidP="006A08D7">
            <w:pPr>
              <w:jc w:val="both"/>
              <w:rPr>
                <w:color w:val="000000" w:themeColor="text1"/>
              </w:rPr>
            </w:pPr>
            <w:r w:rsidRPr="00506F68">
              <w:rPr>
                <w:color w:val="000000" w:themeColor="text1"/>
              </w:rPr>
              <w:t>Iepriekšējos gados sadalot dividendes nav ticis risināts jautājums par to, kā grāmatojama peļņas daļa,</w:t>
            </w:r>
          </w:p>
          <w:p w14:paraId="7ECE22AB" w14:textId="77777777" w:rsidR="006A08D7" w:rsidRPr="00506F68" w:rsidRDefault="006A08D7" w:rsidP="006A08D7">
            <w:pPr>
              <w:jc w:val="both"/>
              <w:rPr>
                <w:color w:val="000000" w:themeColor="text1"/>
              </w:rPr>
            </w:pPr>
            <w:r w:rsidRPr="00506F68">
              <w:rPr>
                <w:color w:val="000000" w:themeColor="text1"/>
              </w:rPr>
              <w:t xml:space="preserve">kas tiek novirzīta ieguldījumiem FM nekustamajos īpašumos, vai tā </w:t>
            </w:r>
            <w:r w:rsidRPr="00506F68">
              <w:rPr>
                <w:color w:val="000000" w:themeColor="text1"/>
              </w:rPr>
              <w:lastRenderedPageBreak/>
              <w:t xml:space="preserve">grāmatojama atšķirīgi, un par kādu peļņas daļu maksājams UIN. </w:t>
            </w:r>
          </w:p>
          <w:p w14:paraId="4514F3E1" w14:textId="77777777" w:rsidR="006A08D7" w:rsidRPr="00506F68" w:rsidRDefault="006A08D7" w:rsidP="006A08D7">
            <w:pPr>
              <w:jc w:val="both"/>
              <w:rPr>
                <w:color w:val="000000" w:themeColor="text1"/>
              </w:rPr>
            </w:pPr>
            <w:r w:rsidRPr="00506F68">
              <w:rPr>
                <w:color w:val="000000" w:themeColor="text1"/>
              </w:rPr>
              <w:t>VNĪ peļņas daļa, kas tika novirzīta ieguldījumiem FM īpašumos, atspoguļota nesadalītajā peļņā.</w:t>
            </w:r>
          </w:p>
          <w:p w14:paraId="60CCEE9B" w14:textId="76B20E67" w:rsidR="006A08D7" w:rsidRPr="00250F2E" w:rsidRDefault="006A08D7" w:rsidP="00506F68">
            <w:pPr>
              <w:jc w:val="both"/>
              <w:rPr>
                <w:color w:val="000000" w:themeColor="text1"/>
              </w:rPr>
            </w:pPr>
            <w:r w:rsidRPr="00506F68">
              <w:rPr>
                <w:color w:val="000000" w:themeColor="text1"/>
              </w:rPr>
              <w:t xml:space="preserve"> Projekts  nošķir ieguldījumus Finanšu ministrijas īpašumos valsts pārvaldes uzdevuma izpildei un ieguldījumus VNĪ īpašumos, anotācijā skaidrots kā atspoguļojama bilancē Finanšu ministrijas īpašumos ieguldītā peļņas daļa un no kādas daļas maksājams UIN.  </w:t>
            </w:r>
          </w:p>
        </w:tc>
        <w:tc>
          <w:tcPr>
            <w:tcW w:w="2343" w:type="dxa"/>
          </w:tcPr>
          <w:p w14:paraId="140A6794" w14:textId="77777777" w:rsidR="007A4EDC" w:rsidRDefault="00DD6A16" w:rsidP="00DD6A16">
            <w:pPr>
              <w:jc w:val="both"/>
              <w:rPr>
                <w:b/>
                <w:bCs/>
                <w:color w:val="000000" w:themeColor="text1"/>
              </w:rPr>
            </w:pPr>
            <w:proofErr w:type="spellStart"/>
            <w:r w:rsidRPr="005C0045">
              <w:rPr>
                <w:b/>
                <w:bCs/>
                <w:color w:val="000000" w:themeColor="text1"/>
              </w:rPr>
              <w:lastRenderedPageBreak/>
              <w:t>Pārresoru</w:t>
            </w:r>
            <w:proofErr w:type="spellEnd"/>
            <w:r w:rsidRPr="005C0045">
              <w:rPr>
                <w:b/>
                <w:bCs/>
                <w:color w:val="000000" w:themeColor="text1"/>
              </w:rPr>
              <w:t xml:space="preserve"> </w:t>
            </w:r>
            <w:proofErr w:type="spellStart"/>
            <w:r w:rsidRPr="005C0045">
              <w:rPr>
                <w:b/>
                <w:bCs/>
                <w:color w:val="000000" w:themeColor="text1"/>
              </w:rPr>
              <w:t>koordionācijas</w:t>
            </w:r>
            <w:proofErr w:type="spellEnd"/>
            <w:r w:rsidRPr="005C0045">
              <w:rPr>
                <w:b/>
                <w:bCs/>
                <w:color w:val="000000" w:themeColor="text1"/>
              </w:rPr>
              <w:t xml:space="preserve"> centra elektroniskās saskaņošanas 2020.gada 2.jūlija atzinums</w:t>
            </w:r>
            <w:r>
              <w:rPr>
                <w:b/>
                <w:bCs/>
                <w:color w:val="000000" w:themeColor="text1"/>
              </w:rPr>
              <w:t>:</w:t>
            </w:r>
          </w:p>
          <w:p w14:paraId="53D70DF7" w14:textId="77777777" w:rsidR="00B61AE2" w:rsidRPr="00B61AE2" w:rsidRDefault="00B61AE2" w:rsidP="00B61AE2">
            <w:pPr>
              <w:jc w:val="both"/>
              <w:rPr>
                <w:color w:val="000000" w:themeColor="text1"/>
              </w:rPr>
            </w:pPr>
            <w:proofErr w:type="spellStart"/>
            <w:r w:rsidRPr="00B61AE2">
              <w:rPr>
                <w:color w:val="000000" w:themeColor="text1"/>
              </w:rPr>
              <w:t>Pārresoru</w:t>
            </w:r>
            <w:proofErr w:type="spellEnd"/>
            <w:r w:rsidRPr="00B61AE2">
              <w:rPr>
                <w:color w:val="000000" w:themeColor="text1"/>
              </w:rPr>
              <w:t xml:space="preserve"> koordinācijas centrs (turpmāk – PKC) ir izskatījis precizētai saskaņošanai saņemto Finanšu ministrijas (turpmāk – FM) sagatavoto Ministru kabineta rīkojuma “Par atšķirīgu dividendēs izmaksājamo valsts akciju sabiedrības “Valsts nekustamie īpašumi” peļņas daļu par 2019.gada pārskatu”, tam </w:t>
            </w:r>
            <w:r w:rsidRPr="00B61AE2">
              <w:rPr>
                <w:color w:val="000000" w:themeColor="text1"/>
              </w:rPr>
              <w:lastRenderedPageBreak/>
              <w:t>pievienotos dokumentus un uztur iepriekš paustos iebildumus.</w:t>
            </w:r>
          </w:p>
          <w:p w14:paraId="7C3FA148" w14:textId="77777777" w:rsidR="00B61AE2" w:rsidRPr="00B61AE2" w:rsidRDefault="00B61AE2" w:rsidP="00B61AE2">
            <w:pPr>
              <w:jc w:val="both"/>
              <w:rPr>
                <w:color w:val="000000" w:themeColor="text1"/>
              </w:rPr>
            </w:pPr>
            <w:r w:rsidRPr="00B61AE2">
              <w:rPr>
                <w:color w:val="000000" w:themeColor="text1"/>
              </w:rPr>
              <w:t xml:space="preserve">1. Vēršam uzmanību, ka informatīvais ziņojums “Par valsts kapitālsabiedrību rīcībā atstātās peļņas atspoguļošanas kapitālsabiedrības bilances posteņos problemātiku un risinājumiem” (turpmāk – informatīvais ziņojums) ir projekta stadijā, kura izstrādē iesaistīto pušu viedoklis ir vērtējams tikai kā viedoklis, par kuru nav panākta galīgā vienošanās. Turklāt, atbilstoši FM kolēģu priekšlikumam tālākā projekta virzības gaitā ir plānots ar to iepazīstināt arī sertificētus revidentus. Papildus informējam, ka šā gada 17.jūnijā FM nosūtīti agrāk pieņemtu Ministru </w:t>
            </w:r>
            <w:r w:rsidRPr="00B61AE2">
              <w:rPr>
                <w:color w:val="000000" w:themeColor="text1"/>
              </w:rPr>
              <w:lastRenderedPageBreak/>
              <w:t>kabineta rīkojumu piemēri, kuri ilustrē mērķu dažādību, kādiem tiek novirzīta neizmaksātās dividendēs peļņa un lūgts informatīvā ziņojuma izstrādē iesaistītajiem FM speciālistiem sniegt viedokli, kā iegrāmatojuma katrā no šiem gadījumiem dividendēs neizmaksātā peļņa. Lūdzam ņemt vērā, ka katrs Ministru kabineta rīkojums veido piemēru, kuru izmanto citi kapitāla daļu turētāji, pamatojoties uz jau esošu precedentu. Šī iemesla dēļ ir būtiski, ka ir vienota un saskaņota izpratne par atstātās peļņas grāmatojumu jautājumiem gan ministrijām, gan sertificētiem revidentam u.c. iesaistītajiem.</w:t>
            </w:r>
          </w:p>
          <w:p w14:paraId="30EAAD97" w14:textId="301B3E38" w:rsidR="00B61AE2" w:rsidRPr="00250F2E" w:rsidRDefault="00B61AE2" w:rsidP="00B61AE2">
            <w:pPr>
              <w:jc w:val="both"/>
              <w:rPr>
                <w:color w:val="000000" w:themeColor="text1"/>
              </w:rPr>
            </w:pPr>
            <w:r w:rsidRPr="00B61AE2">
              <w:rPr>
                <w:color w:val="000000" w:themeColor="text1"/>
              </w:rPr>
              <w:t xml:space="preserve">2. Jautājumā par to, kā valsts akciju </w:t>
            </w:r>
            <w:r w:rsidRPr="00B61AE2">
              <w:rPr>
                <w:color w:val="000000" w:themeColor="text1"/>
              </w:rPr>
              <w:lastRenderedPageBreak/>
              <w:t>sabiedrības “Valsts nekustamie īpašumi” (turpmāk – VNĪ) grāmatvedības posteņos atspoguļot dividendēs neizmaksāto peļņas daļu, aicinām izvērtēt līdzšinējo FM praksi, kad dividendes no VNĪ konkrēta pārskata gada peļņas tiek novirzītas īpašumu iegādēm vai kapitālajiem remontiem, jo iepriekš jautājums par VNĪ grāmatvedības politiku šajā kontekstā nav aktualizējies kā problēma.</w:t>
            </w:r>
          </w:p>
        </w:tc>
        <w:tc>
          <w:tcPr>
            <w:tcW w:w="2481" w:type="dxa"/>
          </w:tcPr>
          <w:p w14:paraId="22391452" w14:textId="77777777" w:rsidR="00780F65" w:rsidRDefault="00780F65" w:rsidP="00E55FFB">
            <w:pPr>
              <w:jc w:val="both"/>
              <w:rPr>
                <w:color w:val="000000" w:themeColor="text1"/>
              </w:rPr>
            </w:pPr>
            <w:r>
              <w:rPr>
                <w:color w:val="000000" w:themeColor="text1"/>
              </w:rPr>
              <w:lastRenderedPageBreak/>
              <w:t>Anotācijas I sadaļas 2.punktā (2.lpp.)</w:t>
            </w:r>
          </w:p>
          <w:p w14:paraId="3612484E" w14:textId="02CD4C82" w:rsidR="007A4EDC" w:rsidRPr="00250F2E" w:rsidRDefault="00780F65" w:rsidP="00E55FFB">
            <w:pPr>
              <w:jc w:val="both"/>
              <w:rPr>
                <w:color w:val="000000" w:themeColor="text1"/>
              </w:rPr>
            </w:pPr>
            <w:r w:rsidRPr="007715AD">
              <w:rPr>
                <w:color w:val="000000" w:themeColor="text1"/>
              </w:rPr>
              <w:t>•</w:t>
            </w:r>
            <w:r w:rsidRPr="007715AD">
              <w:rPr>
                <w:color w:val="000000" w:themeColor="text1"/>
              </w:rPr>
              <w:tab/>
              <w:t xml:space="preserve">3 388 452 </w:t>
            </w:r>
            <w:proofErr w:type="spellStart"/>
            <w:r w:rsidRPr="00780F65">
              <w:rPr>
                <w:i/>
                <w:iCs/>
                <w:color w:val="000000" w:themeColor="text1"/>
              </w:rPr>
              <w:t>euro</w:t>
            </w:r>
            <w:proofErr w:type="spellEnd"/>
            <w:r w:rsidRPr="007715AD">
              <w:rPr>
                <w:color w:val="000000" w:themeColor="text1"/>
              </w:rPr>
              <w:t xml:space="preserve"> atzīt postenī “Nākamo periodu ieņēmumi”, ieguldot vairākos Finanšu ministrijas valdījumā esošos valsts nekustamajos īpašumos, papildus aprēķināt un samaksāt budžetā uzņēmumu ienākuma nodokli saskaņā ar normatīvo aktu prasībām.</w:t>
            </w:r>
          </w:p>
        </w:tc>
      </w:tr>
      <w:tr w:rsidR="007A4EDC" w:rsidRPr="00250F2E" w14:paraId="6566CF93" w14:textId="77777777" w:rsidTr="009F793E">
        <w:trPr>
          <w:trHeight w:val="260"/>
        </w:trPr>
        <w:tc>
          <w:tcPr>
            <w:tcW w:w="704" w:type="dxa"/>
          </w:tcPr>
          <w:p w14:paraId="5E4F6901" w14:textId="201AF420" w:rsidR="007A4EDC" w:rsidRPr="00250F2E" w:rsidRDefault="00E71212" w:rsidP="007A4EDC">
            <w:pPr>
              <w:jc w:val="center"/>
              <w:rPr>
                <w:color w:val="000000" w:themeColor="text1"/>
              </w:rPr>
            </w:pPr>
            <w:r>
              <w:rPr>
                <w:color w:val="000000" w:themeColor="text1"/>
              </w:rPr>
              <w:lastRenderedPageBreak/>
              <w:t>2.</w:t>
            </w:r>
          </w:p>
        </w:tc>
        <w:tc>
          <w:tcPr>
            <w:tcW w:w="2126" w:type="dxa"/>
          </w:tcPr>
          <w:p w14:paraId="277C3A7C" w14:textId="77777777" w:rsidR="007A4EDC" w:rsidRPr="00250F2E" w:rsidRDefault="007A4EDC" w:rsidP="007A4EDC">
            <w:pPr>
              <w:jc w:val="center"/>
              <w:rPr>
                <w:color w:val="000000" w:themeColor="text1"/>
              </w:rPr>
            </w:pPr>
          </w:p>
        </w:tc>
        <w:tc>
          <w:tcPr>
            <w:tcW w:w="3969" w:type="dxa"/>
          </w:tcPr>
          <w:p w14:paraId="4D63E782" w14:textId="6BD79AFF" w:rsidR="007A4EDC" w:rsidRPr="00BD0DE0" w:rsidRDefault="008538DF" w:rsidP="007A4EDC">
            <w:pPr>
              <w:spacing w:after="60"/>
              <w:jc w:val="both"/>
            </w:pPr>
            <w:r>
              <w:t xml:space="preserve">2. </w:t>
            </w:r>
            <w:r w:rsidR="007A4EDC" w:rsidRPr="00F16065">
              <w:t xml:space="preserve">Projekts paredz, ka 4 158 452 eiro no valsts akciju sabiedrības “Valsts nekustamie īpašumi” (turpmāk – VNĪ) 2019. gada pārskata peļņas netiks iemaksāti valsts budžetā dividenžu veidā, bet gan atstāti VNĪ rīcībā. No šiem līdzekļiem aptuveni 81% tiks ieguldīti VNĪ nepiederošā nekustamajā īpašumā, bet valstij piederošā, kurš nepieciešams dažādu nozaru pārstāvošām valsts institūcijām, </w:t>
            </w:r>
            <w:r w:rsidR="007A4EDC" w:rsidRPr="00C175D6">
              <w:t xml:space="preserve">taču atstāts bez attīstībai nepieciešamiem resursiem, t.i., anotācijā nav ietverts </w:t>
            </w:r>
            <w:r w:rsidR="007A4EDC" w:rsidRPr="00C175D6">
              <w:lastRenderedPageBreak/>
              <w:t xml:space="preserve">vērtējums par VNĪ vidēja termiņa darbības stratēģijā (turpmāk – VNĪ stratēģija) plānoto uzdevumu īstenošanu un tiem nepieciešamā finanšu resursa pietiekamību.  </w:t>
            </w:r>
            <w:r w:rsidR="007A4EDC" w:rsidRPr="00F16065">
              <w:t>Vēršam uzmanību, ka VNĪ stratēģija ir izstrādāta, ņemot vērā VNĪ vispārējo stratēģisko mērķi, t.i., stratēģija ietver konkrētus pasākumus, kuri tiks veikti, lai sekmētu tā sasniegšanu. Atbilstoši MK noteikumu</w:t>
            </w:r>
            <w:r w:rsidR="007A4EDC">
              <w:rPr>
                <w:rStyle w:val="FootnoteReference"/>
              </w:rPr>
              <w:footnoteReference w:id="1"/>
            </w:r>
            <w:r w:rsidR="007A4EDC" w:rsidRPr="00F16065">
              <w:t xml:space="preserve">  2.punktam noteikumu mērķis ir nodrošināt, ka kapitālsabiedrības dividendēs izmaksājamā peļņas daļa tiek prognozēta un noteikta atbilstoši labas korporatīvās pārvaldības principiem, tādējādi veicinot valsts ieguldītā vai kapitālsabiedrības apsaimniekotā valsts kapitāla lielāku atdevi un kapitālsabiedrības vispārējo stratēģisko mērķu sasniegšanu. Vidēja termiņa darbības stratēģija ir instruments, kurš ietver plānotos ieguldījumus, investīcijas un daudzos gadījumos arī vēlamās investīcijas, pie nosacījuma, ja būs pieejami finanšu līdzekļi. </w:t>
            </w:r>
            <w:r w:rsidR="007A4EDC" w:rsidRPr="00C175D6">
              <w:t xml:space="preserve">Ievērojot minēto, lūdzam ietvert anotācijā plānoto ieguldījumu pamatojumu un </w:t>
            </w:r>
            <w:proofErr w:type="spellStart"/>
            <w:r w:rsidR="007A4EDC" w:rsidRPr="00C175D6">
              <w:t>izvērtējumu</w:t>
            </w:r>
            <w:proofErr w:type="spellEnd"/>
            <w:r w:rsidR="007A4EDC" w:rsidRPr="00C175D6">
              <w:t xml:space="preserve"> atbilstoši VNĪ aktuālajai stratēģijai 2018. – 2020.gadam. </w:t>
            </w:r>
            <w:r w:rsidR="007A4EDC" w:rsidRPr="00F16065">
              <w:t xml:space="preserve">Attiecībā uz ieguldījumiem citām nozarēm nepieciešamu nekustamo </w:t>
            </w:r>
            <w:r w:rsidR="007A4EDC" w:rsidRPr="00F16065">
              <w:lastRenderedPageBreak/>
              <w:t>īpašumu, kuru remonts nav plānots VNĪ stratēģijā, PKC ieskatā finansējums sadalāms gadskārtējā valsts budžeta plānošanas ietvaros.</w:t>
            </w:r>
          </w:p>
          <w:p w14:paraId="63DC68D5" w14:textId="77777777" w:rsidR="007A4EDC" w:rsidRPr="00250F2E" w:rsidRDefault="007A4EDC" w:rsidP="007A4EDC">
            <w:pPr>
              <w:jc w:val="center"/>
              <w:rPr>
                <w:color w:val="000000" w:themeColor="text1"/>
              </w:rPr>
            </w:pPr>
          </w:p>
        </w:tc>
        <w:tc>
          <w:tcPr>
            <w:tcW w:w="3119" w:type="dxa"/>
          </w:tcPr>
          <w:p w14:paraId="042D6A30" w14:textId="77777777" w:rsidR="009A3C40" w:rsidRDefault="009A3C40" w:rsidP="009A3C40">
            <w:pPr>
              <w:rPr>
                <w:b/>
              </w:rPr>
            </w:pPr>
            <w:r>
              <w:rPr>
                <w:b/>
              </w:rPr>
              <w:lastRenderedPageBreak/>
              <w:t>Nav panākta vienošanās.</w:t>
            </w:r>
          </w:p>
          <w:p w14:paraId="239FFBFD" w14:textId="67298CA1" w:rsidR="00F022A4" w:rsidRPr="00467F9D" w:rsidRDefault="00F022A4" w:rsidP="00B46194">
            <w:pPr>
              <w:jc w:val="both"/>
            </w:pPr>
            <w:r w:rsidRPr="00467F9D">
              <w:t>Iebildums izvērtēts</w:t>
            </w:r>
            <w:r w:rsidR="00467F9D">
              <w:t>, anotācija papildināta ar informāciju.</w:t>
            </w:r>
          </w:p>
          <w:p w14:paraId="2347BDAC" w14:textId="77777777" w:rsidR="000322A9" w:rsidRPr="00324525" w:rsidRDefault="000322A9" w:rsidP="000322A9">
            <w:pPr>
              <w:spacing w:after="60"/>
              <w:jc w:val="both"/>
              <w:rPr>
                <w:bCs/>
              </w:rPr>
            </w:pPr>
            <w:r w:rsidRPr="00324525">
              <w:rPr>
                <w:bCs/>
              </w:rPr>
              <w:t xml:space="preserve">Ievērojot VNĪ vidēja termiņa darbības stratēģijā 2018.-2022. gadam (turpmāk – VNĪ Stratēģija) ietverto prioritāti “Vērtīgi īpašumi”, VNĪ izstrādāta VNĪ Nekustamā īpašuma portfeļa attīstības stratēģija 2020.-2022. </w:t>
            </w:r>
            <w:r>
              <w:rPr>
                <w:bCs/>
              </w:rPr>
              <w:t>gadam.</w:t>
            </w:r>
          </w:p>
          <w:p w14:paraId="124428A8" w14:textId="77777777" w:rsidR="000322A9" w:rsidRPr="00324525" w:rsidRDefault="000322A9" w:rsidP="000322A9">
            <w:pPr>
              <w:spacing w:after="60"/>
              <w:jc w:val="both"/>
              <w:rPr>
                <w:bCs/>
              </w:rPr>
            </w:pPr>
            <w:r w:rsidRPr="00324525">
              <w:rPr>
                <w:bCs/>
              </w:rPr>
              <w:t xml:space="preserve">Portfeļa attīstības stratēģijas ietvaros veikta VNĪ </w:t>
            </w:r>
            <w:r w:rsidRPr="00324525">
              <w:rPr>
                <w:bCs/>
              </w:rPr>
              <w:lastRenderedPageBreak/>
              <w:t xml:space="preserve">pārvaldībā esošo nekustamo īpašumu (turpmāk - NĪ) analīze, lai noteiktu efektīvāko pārvaldības modeli, segmentējot NĪ, kā arī noteiktu NĪ efektīvāko un rentablāko izmantošanas veidu. Visi NĪ iedalīti trīs portfeļos: pamata portfelis, attīstāmais portfelis un atsavināmais portfelis. </w:t>
            </w:r>
          </w:p>
          <w:p w14:paraId="5BD87F35" w14:textId="0268A7A3" w:rsidR="000322A9" w:rsidRPr="00324525" w:rsidRDefault="000322A9" w:rsidP="000322A9">
            <w:pPr>
              <w:spacing w:after="60"/>
              <w:jc w:val="both"/>
              <w:rPr>
                <w:bCs/>
              </w:rPr>
            </w:pPr>
            <w:r w:rsidRPr="00324525">
              <w:rPr>
                <w:bCs/>
              </w:rPr>
              <w:t xml:space="preserve">Visi īpašumi, kas minēti  projektā, ietverti pamata portfelī. </w:t>
            </w:r>
          </w:p>
          <w:p w14:paraId="1B950DB7" w14:textId="77777777" w:rsidR="000322A9" w:rsidRPr="00324525" w:rsidRDefault="000322A9" w:rsidP="000322A9">
            <w:pPr>
              <w:spacing w:after="60"/>
              <w:jc w:val="both"/>
              <w:rPr>
                <w:bCs/>
              </w:rPr>
            </w:pPr>
            <w:r w:rsidRPr="00324525">
              <w:rPr>
                <w:bCs/>
              </w:rPr>
              <w:t xml:space="preserve">Pamata portfelī ietverti īpašumi, kurus paredzēts saglabāt ilgtermiņā, tai skaitā īpašumi, kurus pašlaik izmanto valsts iestādes, stratēģiskie īpašumi, vērtīgi īpašumi un īpašumi, kas saglabājami valsts iestāžu nepieciešamo telpu nodrošināšanai. </w:t>
            </w:r>
          </w:p>
          <w:p w14:paraId="403BE9D1" w14:textId="03F3CB9F" w:rsidR="000322A9" w:rsidRPr="00324525" w:rsidRDefault="000322A9" w:rsidP="000322A9">
            <w:pPr>
              <w:spacing w:after="60"/>
              <w:jc w:val="both"/>
              <w:rPr>
                <w:bCs/>
              </w:rPr>
            </w:pPr>
            <w:r w:rsidRPr="00324525">
              <w:rPr>
                <w:bCs/>
              </w:rPr>
              <w:t xml:space="preserve">Attiecīgi projektā ietvertais priekšlikums veikt papildus ieguldījumus īpašumos sakrīt ar VNĪ noteiktajām stratēģiskajām prioritātēm. </w:t>
            </w:r>
          </w:p>
          <w:p w14:paraId="5585C394" w14:textId="77777777" w:rsidR="000322A9" w:rsidRDefault="000322A9" w:rsidP="000322A9">
            <w:pPr>
              <w:spacing w:after="60"/>
              <w:jc w:val="both"/>
              <w:rPr>
                <w:bCs/>
              </w:rPr>
            </w:pPr>
            <w:r w:rsidRPr="004011CF">
              <w:rPr>
                <w:bCs/>
              </w:rPr>
              <w:t>Ministru kabinets 201</w:t>
            </w:r>
            <w:r>
              <w:rPr>
                <w:bCs/>
              </w:rPr>
              <w:t xml:space="preserve">7.gada 28.martā, pamatojoties uz Publiskas personas kapitāla </w:t>
            </w:r>
            <w:r>
              <w:rPr>
                <w:bCs/>
              </w:rPr>
              <w:lastRenderedPageBreak/>
              <w:t xml:space="preserve">daļu un kapitālsabiedrību pārvaldības likuma 4. un 7.pantu noteica VNĪ vispārējo stratēģisko mērķi: </w:t>
            </w:r>
            <w:r w:rsidRPr="00A1516D">
              <w:rPr>
                <w:bCs/>
              </w:rPr>
              <w:t>sabiedrības interesēs nodrošināt nekustamo īpašumu, kas ir stratēģiski svarīgi valsts drošībai, nepieciešami valsts institūcijām valsts funkciju veikšanai, kultūras mantojuma saglabāšanai, valsts vai pašvaldību administratīvās teritorijas attīstībai, mērķtiecīgu un efektīvu pārvaldīšanu, tostarp vērtības saglabāšanu un vairošanu</w:t>
            </w:r>
            <w:r>
              <w:rPr>
                <w:bCs/>
              </w:rPr>
              <w:t>,</w:t>
            </w:r>
            <w:r w:rsidRPr="00A1516D">
              <w:rPr>
                <w:bCs/>
              </w:rPr>
              <w:t xml:space="preserve"> nodrošināt lietderīgu rīcību ar valsts funkciju veikšanai neizmantotiem nekustamajiem īpašumiem.</w:t>
            </w:r>
          </w:p>
          <w:p w14:paraId="07ACD7A4" w14:textId="3AD7371B" w:rsidR="000322A9" w:rsidRDefault="000322A9" w:rsidP="000322A9">
            <w:pPr>
              <w:spacing w:after="60"/>
              <w:jc w:val="both"/>
            </w:pPr>
            <w:r w:rsidRPr="008D2054">
              <w:t xml:space="preserve">Ieguldījumi projektā norādītajos VNĪ un valsts nekustamajos īpašumos ir veicami ar mērķi, lai veicinātu VNĪ darbības virzieniem atbilstošu pakalpojuma kvalitātes un pieejamības uzlabošanu publiskas personas institūcijām valsts funkciju īstenošanai, kas ir un būs minēto nekustamo īpašumu lietotāji, kā arī lai veicinātu valsts Nekustamo </w:t>
            </w:r>
            <w:r w:rsidRPr="008D2054">
              <w:lastRenderedPageBreak/>
              <w:t>īpašumu vērtības saglabāšanu un vairošanu.</w:t>
            </w:r>
          </w:p>
          <w:p w14:paraId="0CD95E03" w14:textId="251CC4AE" w:rsidR="000322A9" w:rsidRPr="008D2054" w:rsidRDefault="000322A9" w:rsidP="000322A9">
            <w:pPr>
              <w:spacing w:after="60"/>
              <w:jc w:val="both"/>
            </w:pPr>
            <w:r>
              <w:t>Vēršam uzmanību, ka anotācijā jau ir sniegts pamatojums nepieciešamībai veikt ieguldījumus projektā norādītajos nekustamajos īpašumos.</w:t>
            </w:r>
          </w:p>
          <w:p w14:paraId="09F84BBF" w14:textId="5BB1FEA8" w:rsidR="000322A9" w:rsidRPr="00EC1BED" w:rsidRDefault="000322A9" w:rsidP="000322A9">
            <w:pPr>
              <w:pStyle w:val="xmsonormal"/>
              <w:spacing w:after="60"/>
              <w:jc w:val="both"/>
              <w:rPr>
                <w:rFonts w:ascii="Times New Roman" w:hAnsi="Times New Roman" w:cs="Times New Roman"/>
                <w:sz w:val="24"/>
                <w:szCs w:val="24"/>
                <w:lang w:val="lv-LV"/>
              </w:rPr>
            </w:pPr>
            <w:r w:rsidRPr="00EC1BED">
              <w:rPr>
                <w:rFonts w:ascii="Times New Roman" w:hAnsi="Times New Roman" w:cs="Times New Roman"/>
                <w:sz w:val="24"/>
                <w:szCs w:val="24"/>
                <w:lang w:val="lv-LV"/>
              </w:rPr>
              <w:t>Vienlaikus vēršam uzmanību, ka projekta 3.punkts nosaka pienākumu Finanšu ministrijai kā valsts kapitāla daļu turētājai nodrošināt, ka projekta 2.punktā minēto nekustamo īpašumu, tātad arī, nekustamā īpašuma Lāčplēša ielā 25, Rīgā, (Jaunā Rīgas teātra ēkas rekonstrukcijai),</w:t>
            </w:r>
            <w:r w:rsidRPr="00EC1BED">
              <w:t xml:space="preserve"> </w:t>
            </w:r>
            <w:proofErr w:type="spellStart"/>
            <w:r w:rsidRPr="00EC1BED">
              <w:rPr>
                <w:rFonts w:ascii="Times New Roman" w:hAnsi="Times New Roman" w:cs="Times New Roman"/>
                <w:sz w:val="24"/>
                <w:szCs w:val="24"/>
              </w:rPr>
              <w:t>nekustamo</w:t>
            </w:r>
            <w:proofErr w:type="spellEnd"/>
            <w:r w:rsidRPr="00EC1BED">
              <w:rPr>
                <w:rFonts w:ascii="Times New Roman" w:hAnsi="Times New Roman" w:cs="Times New Roman"/>
                <w:sz w:val="24"/>
                <w:szCs w:val="24"/>
              </w:rPr>
              <w:t xml:space="preserve"> </w:t>
            </w:r>
            <w:proofErr w:type="spellStart"/>
            <w:r w:rsidRPr="00EC1BED">
              <w:rPr>
                <w:rFonts w:ascii="Times New Roman" w:hAnsi="Times New Roman" w:cs="Times New Roman"/>
                <w:sz w:val="24"/>
                <w:szCs w:val="24"/>
              </w:rPr>
              <w:t>īpašumu</w:t>
            </w:r>
            <w:proofErr w:type="spellEnd"/>
            <w:r w:rsidRPr="00EC1BED">
              <w:rPr>
                <w:rFonts w:ascii="Times New Roman" w:hAnsi="Times New Roman" w:cs="Times New Roman"/>
                <w:sz w:val="24"/>
                <w:szCs w:val="24"/>
              </w:rPr>
              <w:t xml:space="preserve"> </w:t>
            </w:r>
            <w:r w:rsidRPr="00EC1BED">
              <w:rPr>
                <w:rFonts w:ascii="Times New Roman" w:hAnsi="Times New Roman" w:cs="Times New Roman"/>
                <w:sz w:val="24"/>
                <w:szCs w:val="24"/>
                <w:lang w:val="lv-LV"/>
              </w:rPr>
              <w:t xml:space="preserve">Zigfrīda </w:t>
            </w:r>
            <w:proofErr w:type="spellStart"/>
            <w:r w:rsidRPr="00EC1BED">
              <w:rPr>
                <w:rFonts w:ascii="Times New Roman" w:hAnsi="Times New Roman" w:cs="Times New Roman"/>
                <w:sz w:val="24"/>
                <w:szCs w:val="24"/>
                <w:lang w:val="lv-LV"/>
              </w:rPr>
              <w:t>Meierovica</w:t>
            </w:r>
            <w:proofErr w:type="spellEnd"/>
            <w:r w:rsidRPr="00EC1BED">
              <w:rPr>
                <w:rFonts w:ascii="Times New Roman" w:hAnsi="Times New Roman" w:cs="Times New Roman"/>
                <w:sz w:val="24"/>
                <w:szCs w:val="24"/>
                <w:lang w:val="lv-LV"/>
              </w:rPr>
              <w:t xml:space="preserve"> prospektā 31, Jūrmalā un Latviešu strēlnieku laukumā 1, Rīgā (Latvijas Okupācijas muzeja pārbūvei un Memoriāla kompleksa izveidošanai), nomas maksas aprēķinā netiek iekļautas ieguldīto līdzekļu izmaksas šā rīkojuma 2.punktā minētajā apmērā.</w:t>
            </w:r>
          </w:p>
          <w:p w14:paraId="19AE9FA7" w14:textId="0E2E08BE" w:rsidR="007A4EDC" w:rsidRPr="00250F2E" w:rsidRDefault="000322A9" w:rsidP="0076446C">
            <w:pPr>
              <w:pStyle w:val="xmsonormal"/>
              <w:spacing w:after="60"/>
              <w:jc w:val="both"/>
              <w:rPr>
                <w:color w:val="000000" w:themeColor="text1"/>
              </w:rPr>
            </w:pPr>
            <w:r w:rsidRPr="00D135FF">
              <w:rPr>
                <w:rFonts w:ascii="Times New Roman" w:hAnsi="Times New Roman" w:cs="Times New Roman"/>
                <w:sz w:val="24"/>
                <w:szCs w:val="24"/>
                <w:lang w:val="lv-LV"/>
              </w:rPr>
              <w:t xml:space="preserve">Ja netiktu atbalstīts priekšlikums par atšķirīgas dividendēs izmaksājamās peļņas daļas noteikšanu, netiktu saglabāta peļņas daļa </w:t>
            </w:r>
            <w:r w:rsidRPr="00D135FF">
              <w:rPr>
                <w:rFonts w:ascii="Times New Roman" w:hAnsi="Times New Roman" w:cs="Times New Roman"/>
                <w:sz w:val="24"/>
                <w:szCs w:val="24"/>
                <w:lang w:val="lv-LV"/>
              </w:rPr>
              <w:lastRenderedPageBreak/>
              <w:t>VNĪ attīstībai un līdz ar to nekustamo īpašumu nomas maksas aprēķinā būtu iekļaujamas VNĪ ieguldīto līdzekļu izmaksas.</w:t>
            </w:r>
          </w:p>
        </w:tc>
        <w:tc>
          <w:tcPr>
            <w:tcW w:w="2343" w:type="dxa"/>
          </w:tcPr>
          <w:p w14:paraId="67D8194B" w14:textId="77777777" w:rsidR="00092D25" w:rsidRDefault="00092D25" w:rsidP="00092D25">
            <w:pPr>
              <w:jc w:val="both"/>
              <w:rPr>
                <w:b/>
                <w:bCs/>
                <w:color w:val="000000" w:themeColor="text1"/>
              </w:rPr>
            </w:pPr>
            <w:proofErr w:type="spellStart"/>
            <w:r w:rsidRPr="005C0045">
              <w:rPr>
                <w:b/>
                <w:bCs/>
                <w:color w:val="000000" w:themeColor="text1"/>
              </w:rPr>
              <w:lastRenderedPageBreak/>
              <w:t>Pārresoru</w:t>
            </w:r>
            <w:proofErr w:type="spellEnd"/>
            <w:r w:rsidRPr="005C0045">
              <w:rPr>
                <w:b/>
                <w:bCs/>
                <w:color w:val="000000" w:themeColor="text1"/>
              </w:rPr>
              <w:t xml:space="preserve"> </w:t>
            </w:r>
            <w:proofErr w:type="spellStart"/>
            <w:r w:rsidRPr="005C0045">
              <w:rPr>
                <w:b/>
                <w:bCs/>
                <w:color w:val="000000" w:themeColor="text1"/>
              </w:rPr>
              <w:t>koordionācijas</w:t>
            </w:r>
            <w:proofErr w:type="spellEnd"/>
            <w:r w:rsidRPr="005C0045">
              <w:rPr>
                <w:b/>
                <w:bCs/>
                <w:color w:val="000000" w:themeColor="text1"/>
              </w:rPr>
              <w:t xml:space="preserve"> centra elektroniskās saskaņošanas 2020.gada 2.jūlija atzinums</w:t>
            </w:r>
            <w:r>
              <w:rPr>
                <w:b/>
                <w:bCs/>
                <w:color w:val="000000" w:themeColor="text1"/>
              </w:rPr>
              <w:t>:</w:t>
            </w:r>
          </w:p>
          <w:p w14:paraId="684F4063" w14:textId="77777777" w:rsidR="00092D25" w:rsidRPr="003D595E" w:rsidRDefault="00092D25" w:rsidP="00092D25">
            <w:pPr>
              <w:jc w:val="both"/>
              <w:rPr>
                <w:b/>
                <w:bCs/>
                <w:color w:val="000000" w:themeColor="text1"/>
              </w:rPr>
            </w:pPr>
            <w:proofErr w:type="spellStart"/>
            <w:r w:rsidRPr="00B61AE2">
              <w:rPr>
                <w:color w:val="000000" w:themeColor="text1"/>
              </w:rPr>
              <w:t>Pārresoru</w:t>
            </w:r>
            <w:proofErr w:type="spellEnd"/>
            <w:r w:rsidRPr="00B61AE2">
              <w:rPr>
                <w:color w:val="000000" w:themeColor="text1"/>
              </w:rPr>
              <w:t xml:space="preserve"> koordinācijas centrs (turpmāk – PKC) ir izskatījis precizētai saskaņošanai saņemto Finanšu ministrijas (turpmāk – FM) </w:t>
            </w:r>
            <w:r w:rsidRPr="00B61AE2">
              <w:rPr>
                <w:color w:val="000000" w:themeColor="text1"/>
              </w:rPr>
              <w:lastRenderedPageBreak/>
              <w:t xml:space="preserve">sagatavoto Ministru kabineta rīkojuma “Par atšķirīgu dividendēs izmaksājamo valsts akciju sabiedrības “Valsts nekustamie īpašumi” peļņas daļu par 2019.gada pārskatu”, tam pievienotos dokumentus </w:t>
            </w:r>
            <w:r w:rsidRPr="003D595E">
              <w:rPr>
                <w:b/>
                <w:bCs/>
                <w:color w:val="000000" w:themeColor="text1"/>
              </w:rPr>
              <w:t>un uztur iepriekš paustos iebildumus.</w:t>
            </w:r>
          </w:p>
          <w:p w14:paraId="4366169E" w14:textId="77777777" w:rsidR="00092D25" w:rsidRPr="00B61AE2" w:rsidRDefault="00092D25" w:rsidP="00092D25">
            <w:pPr>
              <w:jc w:val="both"/>
              <w:rPr>
                <w:color w:val="000000" w:themeColor="text1"/>
              </w:rPr>
            </w:pPr>
            <w:r w:rsidRPr="00B61AE2">
              <w:rPr>
                <w:color w:val="000000" w:themeColor="text1"/>
              </w:rPr>
              <w:t xml:space="preserve">1. Vēršam uzmanību, ka informatīvais ziņojums “Par valsts kapitālsabiedrību rīcībā atstātās peļņas atspoguļošanas kapitālsabiedrības bilances posteņos problemātiku un risinājumiem” (turpmāk – informatīvais ziņojums) ir projekta stadijā, kura izstrādē iesaistīto pušu viedoklis ir vērtējams tikai kā viedoklis, par kuru nav panākta </w:t>
            </w:r>
            <w:r w:rsidRPr="00B61AE2">
              <w:rPr>
                <w:color w:val="000000" w:themeColor="text1"/>
              </w:rPr>
              <w:lastRenderedPageBreak/>
              <w:t xml:space="preserve">galīgā vienošanās. Turklāt, atbilstoši FM kolēģu priekšlikumam tālākā projekta virzības gaitā ir plānots ar to iepazīstināt arī sertificētus revidentus. Papildus informējam, ka šā gada 17.jūnijā FM nosūtīti agrāk pieņemtu Ministru kabineta rīkojumu piemēri, kuri ilustrē mērķu dažādību, kādiem tiek novirzīta neizmaksātās dividendēs peļņa un lūgts informatīvā ziņojuma izstrādē iesaistītajiem FM speciālistiem sniegt viedokli, kā iegrāmatojuma katrā no šiem gadījumiem dividendēs neizmaksātā peļņa. Lūdzam ņemt vērā, ka katrs Ministru kabineta rīkojums veido piemēru, kuru izmanto citi kapitāla daļu turētāji, pamatojoties uz jau </w:t>
            </w:r>
            <w:r w:rsidRPr="00B61AE2">
              <w:rPr>
                <w:color w:val="000000" w:themeColor="text1"/>
              </w:rPr>
              <w:lastRenderedPageBreak/>
              <w:t>esošu precedentu. Šī iemesla dēļ ir būtiski, ka ir vienota un saskaņota izpratne par atstātās peļņas grāmatojumu jautājumiem gan ministrijām, gan sertificētiem revidentam u.c. iesaistītajiem.</w:t>
            </w:r>
          </w:p>
          <w:p w14:paraId="5B2F8F33" w14:textId="595547CF" w:rsidR="007A4EDC" w:rsidRPr="00250F2E" w:rsidRDefault="007A4EDC" w:rsidP="00092D25">
            <w:pPr>
              <w:jc w:val="center"/>
              <w:rPr>
                <w:color w:val="000000" w:themeColor="text1"/>
              </w:rPr>
            </w:pPr>
          </w:p>
        </w:tc>
        <w:tc>
          <w:tcPr>
            <w:tcW w:w="2481" w:type="dxa"/>
          </w:tcPr>
          <w:p w14:paraId="786D68BA" w14:textId="77777777" w:rsidR="008177C6" w:rsidRDefault="008177C6" w:rsidP="008177C6">
            <w:pPr>
              <w:pStyle w:val="BodyTextIndent"/>
              <w:spacing w:after="60"/>
              <w:ind w:left="0"/>
            </w:pPr>
            <w:r>
              <w:lastRenderedPageBreak/>
              <w:t>Anotācijas I sadaļas 2.punktā:</w:t>
            </w:r>
          </w:p>
          <w:p w14:paraId="18579292" w14:textId="77777777" w:rsidR="008177C6" w:rsidRDefault="008177C6" w:rsidP="0086360E">
            <w:pPr>
              <w:pStyle w:val="BodyTextIndent"/>
              <w:spacing w:after="60"/>
              <w:ind w:left="0"/>
              <w:jc w:val="both"/>
            </w:pPr>
            <w:r>
              <w:t xml:space="preserve">“Ievērojot </w:t>
            </w:r>
            <w:r w:rsidRPr="00915EAC">
              <w:t>VNĪ vidējā termiņa darbības stratēģijā 2018.-2022.gadam</w:t>
            </w:r>
            <w:r>
              <w:t xml:space="preserve"> ietverto prioritāti “Vērtīgi īpašumi”, VNĪ izstrādāta VNĪ Nekustamā īpašuma portfeļa attīstības stratēģija 2020.-2022. gadam. Portfeļa </w:t>
            </w:r>
            <w:r>
              <w:lastRenderedPageBreak/>
              <w:t xml:space="preserve">attīstības stratēģijas ietvaros veikta VNĪ pārvaldībā esošo nekustamo īpašumu analīze, lai noteiktu efektīvāko pārvaldības modeli, segmentējot nekustamo īpašumu, kā arī noteiktu nekustamo īpašumu efektīvāko un rentablāko izmantošanas veidu. Visi nekustamie īpašumi iedalīti trīs portfeļos: pamata portfelis, attīstāmais portfelis un atsavināmais portfelis. </w:t>
            </w:r>
          </w:p>
          <w:p w14:paraId="4A9586F2" w14:textId="729EAD33" w:rsidR="007A4EDC" w:rsidRPr="00250F2E" w:rsidRDefault="008177C6" w:rsidP="0086360E">
            <w:pPr>
              <w:jc w:val="both"/>
              <w:rPr>
                <w:color w:val="000000" w:themeColor="text1"/>
              </w:rPr>
            </w:pPr>
            <w:r w:rsidRPr="00071B2F">
              <w:t>Visi rīkojuma projektā norādītie nekustamie īpašumi ietverti pamata portfelī.”</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w:t>
      </w:r>
      <w:r w:rsidRPr="00B7523F">
        <w:rPr>
          <w:b/>
          <w:bCs/>
          <w:u w:val="single"/>
        </w:rPr>
        <w:t>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769ED85" w14:textId="5962A56F" w:rsidR="00751C84" w:rsidRPr="00E165AE" w:rsidRDefault="002C5303" w:rsidP="00E165AE">
            <w:pPr>
              <w:pStyle w:val="naisf"/>
              <w:spacing w:before="0" w:after="0"/>
              <w:ind w:firstLine="0"/>
            </w:pPr>
            <w:r>
              <w:t xml:space="preserve">19.05.2020., </w:t>
            </w:r>
            <w:r w:rsidR="00941BDC" w:rsidRPr="00941BDC">
              <w:t>26</w:t>
            </w:r>
            <w:r w:rsidR="00E165AE" w:rsidRPr="00941BDC">
              <w:t>.0</w:t>
            </w:r>
            <w:r w:rsidR="008F3A50" w:rsidRPr="00941BDC">
              <w:t>6</w:t>
            </w:r>
            <w:r w:rsidR="002835B7" w:rsidRPr="00941BDC">
              <w:t>.20</w:t>
            </w:r>
            <w:r w:rsidR="008F3A50" w:rsidRPr="00941BDC">
              <w:t>20</w:t>
            </w:r>
            <w:r w:rsidR="001E38A0" w:rsidRPr="00941BDC">
              <w:t>.</w:t>
            </w:r>
            <w:r w:rsidR="00751C84" w:rsidRPr="00E165AE">
              <w:t xml:space="preserve"> (</w:t>
            </w:r>
            <w:r w:rsidR="00E165AE" w:rsidRPr="00E165AE">
              <w:rPr>
                <w:i/>
              </w:rPr>
              <w:t>elektroniskā saskaņošana</w:t>
            </w:r>
            <w:r w:rsidR="002835B7" w:rsidRPr="00E165AE">
              <w:t>)</w:t>
            </w: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B13AEC">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hideMark/>
          </w:tcPr>
          <w:p w14:paraId="5E8E49C4" w14:textId="77777777" w:rsidR="00EB0BAF" w:rsidRPr="00EB0BAF" w:rsidRDefault="00EB0BAF" w:rsidP="00297AF3">
            <w:pPr>
              <w:pStyle w:val="naisf"/>
              <w:spacing w:before="0" w:after="0"/>
              <w:ind w:firstLine="0"/>
            </w:pPr>
            <w:r w:rsidRPr="00EB0BAF">
              <w:t xml:space="preserve">Tieslietu ministrija, </w:t>
            </w:r>
            <w:proofErr w:type="spellStart"/>
            <w:r w:rsidR="00EF767D" w:rsidRPr="003213C9">
              <w:rPr>
                <w:bCs/>
              </w:rPr>
              <w:t>P</w:t>
            </w:r>
            <w:r w:rsidR="00EF767D" w:rsidRPr="003213C9">
              <w:rPr>
                <w:color w:val="333333"/>
                <w:shd w:val="clear" w:color="auto" w:fill="FFFFFF"/>
              </w:rPr>
              <w:t>ārresoru</w:t>
            </w:r>
            <w:proofErr w:type="spellEnd"/>
            <w:r w:rsidR="00EF767D" w:rsidRPr="003213C9">
              <w:rPr>
                <w:color w:val="333333"/>
                <w:shd w:val="clear" w:color="auto" w:fill="FFFFFF"/>
              </w:rPr>
              <w:t xml:space="preserve"> koordinācijas centr</w:t>
            </w:r>
            <w:r w:rsidR="00EF767D">
              <w:rPr>
                <w:bCs/>
              </w:rPr>
              <w:t>s</w:t>
            </w:r>
          </w:p>
          <w:p w14:paraId="13B0CF81" w14:textId="77777777" w:rsidR="009F1F3B" w:rsidRPr="00250F2E" w:rsidRDefault="009F1F3B" w:rsidP="00297AF3">
            <w:pPr>
              <w:pStyle w:val="naisf"/>
              <w:spacing w:before="0" w:after="0"/>
              <w:ind w:firstLine="0"/>
            </w:pP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5CE3330E" w:rsidR="009F1F3B" w:rsidRPr="00250F2E" w:rsidRDefault="002C5303" w:rsidP="00297AF3">
            <w:pPr>
              <w:pStyle w:val="naisf"/>
              <w:spacing w:before="0" w:after="0"/>
              <w:ind w:firstLine="0"/>
            </w:pPr>
            <w:proofErr w:type="spellStart"/>
            <w:r>
              <w:t>Pārresoru</w:t>
            </w:r>
            <w:proofErr w:type="spellEnd"/>
            <w:r>
              <w:t xml:space="preserve"> koordinācijas centrs</w:t>
            </w:r>
          </w:p>
          <w:p w14:paraId="2759F328" w14:textId="77777777" w:rsidR="009F1F3B" w:rsidRPr="00250F2E" w:rsidRDefault="009F1F3B" w:rsidP="00297AF3">
            <w:pPr>
              <w:pStyle w:val="naisf"/>
              <w:spacing w:before="0" w:after="0"/>
              <w:ind w:firstLine="0"/>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5163816B" w:rsidR="001F7E75" w:rsidRPr="00250F2E" w:rsidRDefault="00AD07A7" w:rsidP="00574917">
            <w:pPr>
              <w:jc w:val="center"/>
              <w:rPr>
                <w:color w:val="000000" w:themeColor="text1"/>
              </w:rPr>
            </w:pPr>
            <w:r>
              <w:rPr>
                <w:color w:val="000000" w:themeColor="text1"/>
              </w:rPr>
              <w:t>-</w:t>
            </w:r>
          </w:p>
        </w:tc>
        <w:tc>
          <w:tcPr>
            <w:tcW w:w="3183" w:type="dxa"/>
            <w:gridSpan w:val="2"/>
          </w:tcPr>
          <w:p w14:paraId="58F0E5AA" w14:textId="7168D284" w:rsidR="00A60B69" w:rsidRPr="000E729F" w:rsidRDefault="00AD07A7" w:rsidP="00A60B69">
            <w:pPr>
              <w:spacing w:after="120"/>
              <w:rPr>
                <w:color w:val="000000"/>
              </w:rPr>
            </w:pPr>
            <w:r>
              <w:rPr>
                <w:color w:val="000000"/>
              </w:rPr>
              <w:t>-</w:t>
            </w:r>
          </w:p>
          <w:p w14:paraId="2CA793CF" w14:textId="1E23FA3A" w:rsidR="001F7E75" w:rsidRPr="000E729F" w:rsidRDefault="001F7E75" w:rsidP="00A354D0">
            <w:pPr>
              <w:spacing w:after="60"/>
              <w:rPr>
                <w:color w:val="000000"/>
              </w:rPr>
            </w:pPr>
          </w:p>
        </w:tc>
        <w:tc>
          <w:tcPr>
            <w:tcW w:w="4395" w:type="dxa"/>
            <w:gridSpan w:val="2"/>
          </w:tcPr>
          <w:p w14:paraId="0BD9744B" w14:textId="5D60FA54" w:rsidR="00B534E1" w:rsidRPr="000E729F" w:rsidRDefault="00AD07A7" w:rsidP="002D00D4">
            <w:pPr>
              <w:spacing w:after="60"/>
              <w:jc w:val="both"/>
            </w:pPr>
            <w:r>
              <w:t>-</w:t>
            </w:r>
          </w:p>
        </w:tc>
        <w:tc>
          <w:tcPr>
            <w:tcW w:w="3543" w:type="dxa"/>
          </w:tcPr>
          <w:p w14:paraId="4ED07411" w14:textId="6C704367" w:rsidR="00402981" w:rsidRPr="001214A3" w:rsidRDefault="00AD07A7" w:rsidP="001E5EA7">
            <w:pPr>
              <w:spacing w:after="60"/>
              <w:jc w:val="both"/>
              <w:rPr>
                <w:iCs/>
              </w:rPr>
            </w:pPr>
            <w:r>
              <w:rPr>
                <w:iCs/>
              </w:rPr>
              <w:t>-</w:t>
            </w:r>
          </w:p>
        </w:tc>
        <w:tc>
          <w:tcPr>
            <w:tcW w:w="2840" w:type="dxa"/>
          </w:tcPr>
          <w:p w14:paraId="2E017FAD" w14:textId="29D6ACEC" w:rsidR="00A15D67" w:rsidRPr="00E165AE" w:rsidRDefault="00AD07A7" w:rsidP="00E165AE">
            <w:pPr>
              <w:rPr>
                <w:color w:val="000000"/>
              </w:rPr>
            </w:pPr>
            <w:r>
              <w:rPr>
                <w:color w:val="000000"/>
              </w:rPr>
              <w:t>-</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275F3646" w14:textId="77777777" w:rsidR="002E6434" w:rsidRPr="00250F2E" w:rsidRDefault="002E6434" w:rsidP="002E6434">
            <w:pPr>
              <w:pStyle w:val="naiskr"/>
              <w:spacing w:before="0" w:after="0"/>
              <w:jc w:val="center"/>
              <w:rPr>
                <w:sz w:val="16"/>
                <w:szCs w:val="16"/>
              </w:rPr>
            </w:pPr>
          </w:p>
          <w:p w14:paraId="0AB1E16B" w14:textId="77777777" w:rsidR="002E6434" w:rsidRPr="00250F2E" w:rsidRDefault="002E6434" w:rsidP="002E6434">
            <w:pPr>
              <w:pStyle w:val="naiskr"/>
              <w:spacing w:before="0" w:after="0"/>
              <w:jc w:val="center"/>
            </w:pPr>
            <w:r w:rsidRPr="00250F2E">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26F60B1F" w14:textId="77777777" w:rsidR="00127272" w:rsidRDefault="00127272" w:rsidP="00297AF3">
      <w:pPr>
        <w:rPr>
          <w:bCs/>
          <w:sz w:val="20"/>
          <w:szCs w:val="20"/>
        </w:rPr>
      </w:pPr>
    </w:p>
    <w:p w14:paraId="61D8C3C0" w14:textId="53DA7E15" w:rsidR="00C85DD7" w:rsidRDefault="00C85DD7" w:rsidP="00297F62">
      <w:r>
        <w:t>Ojārs Valkers</w:t>
      </w:r>
    </w:p>
    <w:p w14:paraId="460E0248" w14:textId="7CF1C328" w:rsidR="00827960" w:rsidRPr="00596C03" w:rsidRDefault="00054B13" w:rsidP="00297F62">
      <w:pPr>
        <w:rPr>
          <w:u w:val="single"/>
        </w:rPr>
      </w:pPr>
      <w:r>
        <w:lastRenderedPageBreak/>
        <w:t>_______</w:t>
      </w:r>
      <w:r w:rsidR="00827960">
        <w:rPr>
          <w:u w:val="single"/>
        </w:rPr>
        <w:t>_________________________________________________________</w:t>
      </w:r>
    </w:p>
    <w:tbl>
      <w:tblPr>
        <w:tblW w:w="0" w:type="auto"/>
        <w:tblLook w:val="00A0" w:firstRow="1" w:lastRow="0" w:firstColumn="1" w:lastColumn="0" w:noHBand="0" w:noVBand="0"/>
      </w:tblPr>
      <w:tblGrid>
        <w:gridCol w:w="8268"/>
      </w:tblGrid>
      <w:tr w:rsidR="00827960" w:rsidRPr="00404891" w14:paraId="5F626E18" w14:textId="77777777" w:rsidTr="005A6C6B">
        <w:tc>
          <w:tcPr>
            <w:tcW w:w="8268" w:type="dxa"/>
            <w:tcBorders>
              <w:bottom w:val="single" w:sz="4" w:space="0" w:color="000000"/>
            </w:tcBorders>
          </w:tcPr>
          <w:p w14:paraId="227A7167" w14:textId="77777777" w:rsidR="00827960" w:rsidRPr="00596C03" w:rsidRDefault="00827960" w:rsidP="005A6C6B">
            <w:pPr>
              <w:rPr>
                <w:sz w:val="20"/>
                <w:szCs w:val="20"/>
              </w:rPr>
            </w:pPr>
            <w:r w:rsidRPr="00596C03">
              <w:rPr>
                <w:sz w:val="20"/>
                <w:szCs w:val="20"/>
              </w:rPr>
              <w:t>(par projektu atbildīgās amatpersonas vārds un uzvārds)</w:t>
            </w:r>
          </w:p>
          <w:p w14:paraId="4E5D4FD0" w14:textId="77777777" w:rsidR="00827960" w:rsidRDefault="00827960" w:rsidP="005A6C6B"/>
          <w:p w14:paraId="6CCBBEC5" w14:textId="5043ADEB" w:rsidR="00827960" w:rsidRPr="00C85DD7" w:rsidRDefault="00C85DD7" w:rsidP="005A6C6B">
            <w:r w:rsidRPr="00C85DD7">
              <w:t>Valsts akciju sabiedrības “Valsts nekustamie īpašumi” izpilddirektors</w:t>
            </w:r>
          </w:p>
        </w:tc>
      </w:tr>
      <w:tr w:rsidR="00827960" w:rsidRPr="00D9373F" w14:paraId="0776CEB9" w14:textId="77777777" w:rsidTr="005A6C6B">
        <w:tc>
          <w:tcPr>
            <w:tcW w:w="8268" w:type="dxa"/>
            <w:tcBorders>
              <w:top w:val="single" w:sz="4" w:space="0" w:color="000000"/>
            </w:tcBorders>
          </w:tcPr>
          <w:p w14:paraId="5E268986" w14:textId="77777777" w:rsidR="00827960" w:rsidRPr="00D9373F" w:rsidRDefault="00827960" w:rsidP="005A6C6B">
            <w:pPr>
              <w:rPr>
                <w:sz w:val="20"/>
                <w:szCs w:val="20"/>
              </w:rPr>
            </w:pPr>
            <w:r w:rsidRPr="00D9373F">
              <w:rPr>
                <w:sz w:val="20"/>
                <w:szCs w:val="20"/>
              </w:rPr>
              <w:t>(amats)</w:t>
            </w:r>
          </w:p>
        </w:tc>
      </w:tr>
      <w:tr w:rsidR="00827960" w:rsidRPr="00404891" w14:paraId="17935ECE" w14:textId="77777777" w:rsidTr="005A6C6B">
        <w:tc>
          <w:tcPr>
            <w:tcW w:w="8268" w:type="dxa"/>
            <w:tcBorders>
              <w:bottom w:val="single" w:sz="4" w:space="0" w:color="000000"/>
            </w:tcBorders>
          </w:tcPr>
          <w:p w14:paraId="20FE7821" w14:textId="77777777" w:rsidR="00297F62" w:rsidRDefault="00297F62" w:rsidP="005A6C6B">
            <w:pPr>
              <w:rPr>
                <w:color w:val="26252B"/>
                <w:sz w:val="22"/>
                <w:szCs w:val="22"/>
              </w:rPr>
            </w:pPr>
          </w:p>
          <w:p w14:paraId="73E5380A" w14:textId="6B9A7EC7" w:rsidR="00827960" w:rsidRPr="00297F62" w:rsidRDefault="00B40CA6" w:rsidP="005A6C6B">
            <w:pPr>
              <w:rPr>
                <w:sz w:val="22"/>
                <w:szCs w:val="22"/>
              </w:rPr>
            </w:pPr>
            <w:r w:rsidRPr="00297F62">
              <w:rPr>
                <w:color w:val="26252B"/>
                <w:sz w:val="22"/>
                <w:szCs w:val="22"/>
              </w:rPr>
              <w:t>29448434</w:t>
            </w:r>
          </w:p>
          <w:p w14:paraId="3BA3D79C" w14:textId="222DE045" w:rsidR="00827960" w:rsidRPr="00D9373F" w:rsidRDefault="00827960" w:rsidP="005A6C6B">
            <w:pPr>
              <w:rPr>
                <w:b/>
                <w:bCs/>
                <w:sz w:val="22"/>
                <w:szCs w:val="22"/>
              </w:rPr>
            </w:pPr>
          </w:p>
        </w:tc>
      </w:tr>
      <w:tr w:rsidR="00827960" w:rsidRPr="00D9373F" w14:paraId="647CB22B" w14:textId="77777777" w:rsidTr="005A6C6B">
        <w:tc>
          <w:tcPr>
            <w:tcW w:w="8268" w:type="dxa"/>
            <w:tcBorders>
              <w:top w:val="single" w:sz="4" w:space="0" w:color="000000"/>
            </w:tcBorders>
          </w:tcPr>
          <w:p w14:paraId="0BA8C43B" w14:textId="77777777" w:rsidR="00827960" w:rsidRPr="00D9373F" w:rsidRDefault="00827960" w:rsidP="005A6C6B">
            <w:pPr>
              <w:rPr>
                <w:sz w:val="20"/>
                <w:szCs w:val="20"/>
              </w:rPr>
            </w:pPr>
            <w:r w:rsidRPr="00D9373F">
              <w:rPr>
                <w:sz w:val="20"/>
                <w:szCs w:val="20"/>
              </w:rPr>
              <w:t>(tālruņa un faksa numurs)</w:t>
            </w:r>
          </w:p>
        </w:tc>
      </w:tr>
      <w:tr w:rsidR="00827960" w:rsidRPr="00404891" w14:paraId="5720BBAE" w14:textId="77777777" w:rsidTr="005A6C6B">
        <w:tc>
          <w:tcPr>
            <w:tcW w:w="8268" w:type="dxa"/>
            <w:tcBorders>
              <w:bottom w:val="single" w:sz="4" w:space="0" w:color="000000"/>
            </w:tcBorders>
          </w:tcPr>
          <w:p w14:paraId="1ECC184E" w14:textId="77777777" w:rsidR="00827960" w:rsidRDefault="00827960" w:rsidP="005A6C6B">
            <w:pPr>
              <w:tabs>
                <w:tab w:val="left" w:pos="1065"/>
              </w:tabs>
              <w:rPr>
                <w:b/>
                <w:bCs/>
                <w:sz w:val="22"/>
                <w:szCs w:val="22"/>
              </w:rPr>
            </w:pPr>
          </w:p>
          <w:p w14:paraId="2FEC68C3" w14:textId="5E9835E4" w:rsidR="00827960" w:rsidRPr="00C85DD7" w:rsidRDefault="00C85DD7" w:rsidP="005A6C6B">
            <w:pPr>
              <w:tabs>
                <w:tab w:val="left" w:pos="1065"/>
              </w:tabs>
              <w:rPr>
                <w:sz w:val="22"/>
                <w:szCs w:val="22"/>
              </w:rPr>
            </w:pPr>
            <w:r w:rsidRPr="00C85DD7">
              <w:rPr>
                <w:sz w:val="22"/>
                <w:szCs w:val="22"/>
              </w:rPr>
              <w:t>Ojars.Valkers@vni.lv</w:t>
            </w:r>
          </w:p>
          <w:p w14:paraId="16CD2568" w14:textId="4F73FE37" w:rsidR="00C85DD7" w:rsidRPr="00D9373F" w:rsidRDefault="00C85DD7" w:rsidP="005A6C6B">
            <w:pPr>
              <w:tabs>
                <w:tab w:val="left" w:pos="1065"/>
              </w:tabs>
              <w:rPr>
                <w:b/>
                <w:bCs/>
                <w:sz w:val="22"/>
                <w:szCs w:val="22"/>
              </w:rPr>
            </w:pPr>
          </w:p>
        </w:tc>
      </w:tr>
      <w:tr w:rsidR="00827960" w:rsidRPr="00404891" w14:paraId="5881609E" w14:textId="77777777" w:rsidTr="005A6C6B">
        <w:tc>
          <w:tcPr>
            <w:tcW w:w="8268" w:type="dxa"/>
            <w:tcBorders>
              <w:top w:val="single" w:sz="4" w:space="0" w:color="000000"/>
            </w:tcBorders>
          </w:tcPr>
          <w:p w14:paraId="1DCCE532" w14:textId="77777777" w:rsidR="00827960" w:rsidRPr="00D9373F" w:rsidRDefault="00827960" w:rsidP="005A6C6B">
            <w:pPr>
              <w:rPr>
                <w:sz w:val="20"/>
                <w:szCs w:val="20"/>
              </w:rPr>
            </w:pPr>
            <w:r w:rsidRPr="00D9373F">
              <w:rPr>
                <w:sz w:val="20"/>
                <w:szCs w:val="20"/>
              </w:rPr>
              <w:t>(e-pasta adrese)</w:t>
            </w:r>
          </w:p>
        </w:tc>
      </w:tr>
    </w:tbl>
    <w:p w14:paraId="7804461C" w14:textId="77777777" w:rsidR="00127272" w:rsidRDefault="00127272" w:rsidP="00297AF3">
      <w:pPr>
        <w:rPr>
          <w:bCs/>
          <w:sz w:val="20"/>
          <w:szCs w:val="20"/>
        </w:rPr>
      </w:pPr>
    </w:p>
    <w:p w14:paraId="1B0BB1D5" w14:textId="77777777" w:rsidR="00127272" w:rsidRDefault="00127272" w:rsidP="00297AF3">
      <w:pPr>
        <w:rPr>
          <w:bCs/>
          <w:sz w:val="20"/>
          <w:szCs w:val="20"/>
        </w:rPr>
      </w:pPr>
    </w:p>
    <w:p w14:paraId="2E6DA0D7" w14:textId="5702A1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47DD8E72" w14:textId="6CAB622D" w:rsidR="009F1F3B" w:rsidRPr="006764D1" w:rsidRDefault="00362FB2" w:rsidP="00297AF3">
      <w:pPr>
        <w:rPr>
          <w:rStyle w:val="Emphasis"/>
          <w:bCs/>
          <w:i w:val="0"/>
          <w:sz w:val="20"/>
          <w:szCs w:val="20"/>
        </w:rPr>
      </w:pPr>
      <w:hyperlink r:id="rId11" w:history="1">
        <w:r w:rsidR="006764D1" w:rsidRPr="006764D1">
          <w:rPr>
            <w:rStyle w:val="Hyperlink"/>
            <w:bCs/>
            <w:sz w:val="20"/>
            <w:szCs w:val="20"/>
          </w:rPr>
          <w:t>Liga.Rozenberga@vni.lv</w:t>
        </w:r>
      </w:hyperlink>
    </w:p>
    <w:p w14:paraId="60B04D28" w14:textId="77777777" w:rsidR="006764D1" w:rsidRPr="00250F2E" w:rsidRDefault="006764D1" w:rsidP="00297AF3">
      <w:pPr>
        <w:rPr>
          <w:sz w:val="23"/>
          <w:szCs w:val="23"/>
        </w:rPr>
      </w:pPr>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5647" w14:textId="77777777" w:rsidR="0068203B" w:rsidRDefault="0068203B">
      <w:r>
        <w:separator/>
      </w:r>
    </w:p>
  </w:endnote>
  <w:endnote w:type="continuationSeparator" w:id="0">
    <w:p w14:paraId="6C3B205A" w14:textId="77777777" w:rsidR="0068203B" w:rsidRDefault="0068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5349C2A2" w:rsidR="00565635" w:rsidRDefault="006F5700" w:rsidP="00EF767D">
    <w:pPr>
      <w:pStyle w:val="Footer"/>
      <w:rPr>
        <w:sz w:val="20"/>
        <w:szCs w:val="20"/>
      </w:rPr>
    </w:pPr>
    <w:r>
      <w:rPr>
        <w:sz w:val="20"/>
        <w:szCs w:val="20"/>
      </w:rPr>
      <w:t>FMIzz_</w:t>
    </w:r>
    <w:r w:rsidR="007C4FD1">
      <w:rPr>
        <w:sz w:val="20"/>
        <w:szCs w:val="20"/>
      </w:rPr>
      <w:t>0408</w:t>
    </w:r>
    <w:r w:rsidR="00DD5E28">
      <w:rPr>
        <w:sz w:val="20"/>
        <w:szCs w:val="20"/>
      </w:rPr>
      <w:t>20</w:t>
    </w:r>
    <w:r w:rsidR="00EF767D" w:rsidRPr="00EF767D">
      <w:rPr>
        <w:sz w:val="20"/>
        <w:szCs w:val="20"/>
      </w:rPr>
      <w:t>_VNIdivid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360FA734" w:rsidR="00565635" w:rsidRDefault="006F5700" w:rsidP="001E38A0">
    <w:pPr>
      <w:pStyle w:val="Footer"/>
      <w:rPr>
        <w:sz w:val="20"/>
        <w:szCs w:val="20"/>
      </w:rPr>
    </w:pPr>
    <w:r>
      <w:rPr>
        <w:sz w:val="20"/>
        <w:szCs w:val="20"/>
      </w:rPr>
      <w:t>FMIzz_</w:t>
    </w:r>
    <w:r w:rsidR="007C4FD1">
      <w:rPr>
        <w:sz w:val="20"/>
        <w:szCs w:val="20"/>
      </w:rPr>
      <w:t>0408</w:t>
    </w:r>
    <w:r w:rsidR="00192507">
      <w:rPr>
        <w:sz w:val="20"/>
        <w:szCs w:val="20"/>
      </w:rPr>
      <w:t>20</w:t>
    </w:r>
    <w:r w:rsidR="00EF767D" w:rsidRPr="00EF767D">
      <w:rPr>
        <w:sz w:val="20"/>
        <w:szCs w:val="20"/>
      </w:rPr>
      <w:t>_VNIdivid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1BBB8" w14:textId="77777777" w:rsidR="0068203B" w:rsidRDefault="0068203B">
      <w:r>
        <w:separator/>
      </w:r>
    </w:p>
  </w:footnote>
  <w:footnote w:type="continuationSeparator" w:id="0">
    <w:p w14:paraId="29F5B398" w14:textId="77777777" w:rsidR="0068203B" w:rsidRDefault="0068203B">
      <w:r>
        <w:continuationSeparator/>
      </w:r>
    </w:p>
  </w:footnote>
  <w:footnote w:id="1">
    <w:p w14:paraId="0CB552CD" w14:textId="77777777" w:rsidR="007A4EDC" w:rsidRPr="00825F5C" w:rsidRDefault="007A4EDC" w:rsidP="007A4EDC">
      <w:pPr>
        <w:pStyle w:val="FootnoteText"/>
        <w:jc w:val="both"/>
        <w:rPr>
          <w:lang w:val="lv-LV"/>
        </w:rPr>
      </w:pPr>
      <w:r>
        <w:rPr>
          <w:rStyle w:val="FootnoteReference"/>
        </w:rPr>
        <w:footnoteRef/>
      </w:r>
      <w:r>
        <w:t xml:space="preserve"> </w:t>
      </w:r>
      <w:r w:rsidRPr="00825F5C">
        <w:rPr>
          <w:lang w:val="lv-LV"/>
        </w:rPr>
        <w:t>Ministru kabineta 2015.gada 22.decembra noteikumi Nr.806 “Kārtība, kādā valsts kapitālsabiedrības un publiski privātas kapitālsabiedrības, kurās valsts ir dalībnieks (akcionārs), prognozē un nosaka dividendēs izmaksājamo peļņas daļu un veic maksājumus valsts budžetā par valsts kapitāla izmantošanu”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4AA8F60A"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5303">
      <w:rPr>
        <w:rStyle w:val="PageNumber"/>
        <w:noProof/>
      </w:rPr>
      <w:t>9</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8871E88"/>
    <w:multiLevelType w:val="hybridMultilevel"/>
    <w:tmpl w:val="95706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7"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5"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6"/>
  </w:num>
  <w:num w:numId="5">
    <w:abstractNumId w:val="11"/>
  </w:num>
  <w:num w:numId="6">
    <w:abstractNumId w:val="5"/>
  </w:num>
  <w:num w:numId="7">
    <w:abstractNumId w:val="23"/>
  </w:num>
  <w:num w:numId="8">
    <w:abstractNumId w:val="17"/>
  </w:num>
  <w:num w:numId="9">
    <w:abstractNumId w:val="21"/>
  </w:num>
  <w:num w:numId="10">
    <w:abstractNumId w:val="7"/>
  </w:num>
  <w:num w:numId="11">
    <w:abstractNumId w:val="8"/>
  </w:num>
  <w:num w:numId="12">
    <w:abstractNumId w:val="25"/>
  </w:num>
  <w:num w:numId="13">
    <w:abstractNumId w:val="27"/>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8"/>
  </w:num>
  <w:num w:numId="18">
    <w:abstractNumId w:val="12"/>
  </w:num>
  <w:num w:numId="19">
    <w:abstractNumId w:val="9"/>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13"/>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64C8"/>
    <w:rsid w:val="0000720D"/>
    <w:rsid w:val="000105B2"/>
    <w:rsid w:val="000135DC"/>
    <w:rsid w:val="00014691"/>
    <w:rsid w:val="00015D88"/>
    <w:rsid w:val="00021378"/>
    <w:rsid w:val="000322A9"/>
    <w:rsid w:val="00037761"/>
    <w:rsid w:val="00037AB3"/>
    <w:rsid w:val="00042235"/>
    <w:rsid w:val="0004610A"/>
    <w:rsid w:val="00051CC6"/>
    <w:rsid w:val="000534DE"/>
    <w:rsid w:val="00054799"/>
    <w:rsid w:val="00054B13"/>
    <w:rsid w:val="000625F0"/>
    <w:rsid w:val="00062845"/>
    <w:rsid w:val="0006349E"/>
    <w:rsid w:val="00071B2F"/>
    <w:rsid w:val="0007668E"/>
    <w:rsid w:val="000813C9"/>
    <w:rsid w:val="00081780"/>
    <w:rsid w:val="00082A73"/>
    <w:rsid w:val="0008387F"/>
    <w:rsid w:val="00084571"/>
    <w:rsid w:val="00090793"/>
    <w:rsid w:val="00092D25"/>
    <w:rsid w:val="000B5DE2"/>
    <w:rsid w:val="000C3B7C"/>
    <w:rsid w:val="000C76E7"/>
    <w:rsid w:val="000D02B5"/>
    <w:rsid w:val="000D2F97"/>
    <w:rsid w:val="000D5422"/>
    <w:rsid w:val="000D6300"/>
    <w:rsid w:val="000E5170"/>
    <w:rsid w:val="000E729F"/>
    <w:rsid w:val="000E7D32"/>
    <w:rsid w:val="000F26AE"/>
    <w:rsid w:val="000F7294"/>
    <w:rsid w:val="001064FF"/>
    <w:rsid w:val="00106C2D"/>
    <w:rsid w:val="001106AE"/>
    <w:rsid w:val="001132EC"/>
    <w:rsid w:val="00115C1A"/>
    <w:rsid w:val="001172FB"/>
    <w:rsid w:val="001214A3"/>
    <w:rsid w:val="00124FEE"/>
    <w:rsid w:val="00127272"/>
    <w:rsid w:val="00137029"/>
    <w:rsid w:val="0013795D"/>
    <w:rsid w:val="00140157"/>
    <w:rsid w:val="00141154"/>
    <w:rsid w:val="00141682"/>
    <w:rsid w:val="0014203E"/>
    <w:rsid w:val="001429FE"/>
    <w:rsid w:val="001438F7"/>
    <w:rsid w:val="00144801"/>
    <w:rsid w:val="00147A9A"/>
    <w:rsid w:val="00150166"/>
    <w:rsid w:val="001502C0"/>
    <w:rsid w:val="0015155A"/>
    <w:rsid w:val="00156C89"/>
    <w:rsid w:val="00160040"/>
    <w:rsid w:val="00161F38"/>
    <w:rsid w:val="0016452D"/>
    <w:rsid w:val="0017091E"/>
    <w:rsid w:val="001731D4"/>
    <w:rsid w:val="001740DA"/>
    <w:rsid w:val="00175C06"/>
    <w:rsid w:val="0017717A"/>
    <w:rsid w:val="00184AA6"/>
    <w:rsid w:val="00185A3D"/>
    <w:rsid w:val="00191181"/>
    <w:rsid w:val="00192507"/>
    <w:rsid w:val="00194F86"/>
    <w:rsid w:val="00195635"/>
    <w:rsid w:val="00195FC0"/>
    <w:rsid w:val="00196D76"/>
    <w:rsid w:val="001A2DF9"/>
    <w:rsid w:val="001A3DAA"/>
    <w:rsid w:val="001A5CBE"/>
    <w:rsid w:val="001A77C9"/>
    <w:rsid w:val="001B18A5"/>
    <w:rsid w:val="001D21A7"/>
    <w:rsid w:val="001E28ED"/>
    <w:rsid w:val="001E38A0"/>
    <w:rsid w:val="001E425F"/>
    <w:rsid w:val="001E477F"/>
    <w:rsid w:val="001E5EA7"/>
    <w:rsid w:val="001F3778"/>
    <w:rsid w:val="001F4846"/>
    <w:rsid w:val="001F7E75"/>
    <w:rsid w:val="002044F5"/>
    <w:rsid w:val="00206857"/>
    <w:rsid w:val="0021642B"/>
    <w:rsid w:val="002167EF"/>
    <w:rsid w:val="00217875"/>
    <w:rsid w:val="002179CF"/>
    <w:rsid w:val="002237A0"/>
    <w:rsid w:val="002364CE"/>
    <w:rsid w:val="002473DD"/>
    <w:rsid w:val="00250F2E"/>
    <w:rsid w:val="00257B44"/>
    <w:rsid w:val="002608BA"/>
    <w:rsid w:val="00261265"/>
    <w:rsid w:val="00262EDC"/>
    <w:rsid w:val="0026451C"/>
    <w:rsid w:val="00271699"/>
    <w:rsid w:val="00273424"/>
    <w:rsid w:val="002735AF"/>
    <w:rsid w:val="0027721E"/>
    <w:rsid w:val="0028007D"/>
    <w:rsid w:val="002835B7"/>
    <w:rsid w:val="0028411D"/>
    <w:rsid w:val="0028601B"/>
    <w:rsid w:val="00291B0B"/>
    <w:rsid w:val="00296E8B"/>
    <w:rsid w:val="00297AF3"/>
    <w:rsid w:val="00297F62"/>
    <w:rsid w:val="002A05E2"/>
    <w:rsid w:val="002A2CE5"/>
    <w:rsid w:val="002A3B60"/>
    <w:rsid w:val="002A4A6F"/>
    <w:rsid w:val="002A5804"/>
    <w:rsid w:val="002B2471"/>
    <w:rsid w:val="002B428D"/>
    <w:rsid w:val="002B5D71"/>
    <w:rsid w:val="002B752F"/>
    <w:rsid w:val="002B7667"/>
    <w:rsid w:val="002C231C"/>
    <w:rsid w:val="002C5303"/>
    <w:rsid w:val="002D00D4"/>
    <w:rsid w:val="002D087C"/>
    <w:rsid w:val="002D5C46"/>
    <w:rsid w:val="002E0F8F"/>
    <w:rsid w:val="002E6434"/>
    <w:rsid w:val="002F4604"/>
    <w:rsid w:val="00302A2F"/>
    <w:rsid w:val="00303F8D"/>
    <w:rsid w:val="003043D8"/>
    <w:rsid w:val="00307767"/>
    <w:rsid w:val="003102A2"/>
    <w:rsid w:val="00311FE4"/>
    <w:rsid w:val="00313F39"/>
    <w:rsid w:val="0031571D"/>
    <w:rsid w:val="00321146"/>
    <w:rsid w:val="0032149A"/>
    <w:rsid w:val="00324525"/>
    <w:rsid w:val="00327816"/>
    <w:rsid w:val="00331477"/>
    <w:rsid w:val="003351DA"/>
    <w:rsid w:val="0033754F"/>
    <w:rsid w:val="00344A55"/>
    <w:rsid w:val="00344E7F"/>
    <w:rsid w:val="003532B2"/>
    <w:rsid w:val="003563CD"/>
    <w:rsid w:val="00357430"/>
    <w:rsid w:val="00362819"/>
    <w:rsid w:val="00362FB2"/>
    <w:rsid w:val="00367BEB"/>
    <w:rsid w:val="003708EA"/>
    <w:rsid w:val="003831F9"/>
    <w:rsid w:val="00385484"/>
    <w:rsid w:val="0039275C"/>
    <w:rsid w:val="00397BB3"/>
    <w:rsid w:val="003B0739"/>
    <w:rsid w:val="003B0F47"/>
    <w:rsid w:val="003B1C27"/>
    <w:rsid w:val="003B27A7"/>
    <w:rsid w:val="003B4A4B"/>
    <w:rsid w:val="003C2BB0"/>
    <w:rsid w:val="003C4A3C"/>
    <w:rsid w:val="003D2429"/>
    <w:rsid w:val="003D24E5"/>
    <w:rsid w:val="003D4D8E"/>
    <w:rsid w:val="003D50F2"/>
    <w:rsid w:val="003D53C1"/>
    <w:rsid w:val="003D595E"/>
    <w:rsid w:val="003E02A0"/>
    <w:rsid w:val="003E312D"/>
    <w:rsid w:val="003E3B87"/>
    <w:rsid w:val="003E4225"/>
    <w:rsid w:val="003F31F6"/>
    <w:rsid w:val="003F4612"/>
    <w:rsid w:val="003F5115"/>
    <w:rsid w:val="004011CF"/>
    <w:rsid w:val="004011FB"/>
    <w:rsid w:val="00402981"/>
    <w:rsid w:val="00402E8B"/>
    <w:rsid w:val="00403F10"/>
    <w:rsid w:val="004112F0"/>
    <w:rsid w:val="00414B82"/>
    <w:rsid w:val="004245D1"/>
    <w:rsid w:val="00432B42"/>
    <w:rsid w:val="00433488"/>
    <w:rsid w:val="00435AA4"/>
    <w:rsid w:val="004526C1"/>
    <w:rsid w:val="00457AD4"/>
    <w:rsid w:val="004600CF"/>
    <w:rsid w:val="0046194F"/>
    <w:rsid w:val="0046549D"/>
    <w:rsid w:val="004656B6"/>
    <w:rsid w:val="00467F9D"/>
    <w:rsid w:val="00477D93"/>
    <w:rsid w:val="00483C24"/>
    <w:rsid w:val="00486048"/>
    <w:rsid w:val="004A2804"/>
    <w:rsid w:val="004A58B6"/>
    <w:rsid w:val="004C068B"/>
    <w:rsid w:val="004C2167"/>
    <w:rsid w:val="004C244C"/>
    <w:rsid w:val="004D00E9"/>
    <w:rsid w:val="004D1123"/>
    <w:rsid w:val="004D546C"/>
    <w:rsid w:val="004D55F4"/>
    <w:rsid w:val="004F1CDB"/>
    <w:rsid w:val="004F69B4"/>
    <w:rsid w:val="005060BC"/>
    <w:rsid w:val="00506F68"/>
    <w:rsid w:val="00512E4E"/>
    <w:rsid w:val="005165CB"/>
    <w:rsid w:val="005168C3"/>
    <w:rsid w:val="00521CA6"/>
    <w:rsid w:val="00525780"/>
    <w:rsid w:val="00531D9C"/>
    <w:rsid w:val="00534BE1"/>
    <w:rsid w:val="005352AB"/>
    <w:rsid w:val="00536FF0"/>
    <w:rsid w:val="005450D0"/>
    <w:rsid w:val="00545423"/>
    <w:rsid w:val="005503BC"/>
    <w:rsid w:val="00552BA1"/>
    <w:rsid w:val="00553F71"/>
    <w:rsid w:val="00554985"/>
    <w:rsid w:val="00560542"/>
    <w:rsid w:val="0056170C"/>
    <w:rsid w:val="00565635"/>
    <w:rsid w:val="00574917"/>
    <w:rsid w:val="00576B17"/>
    <w:rsid w:val="0058378E"/>
    <w:rsid w:val="00585C75"/>
    <w:rsid w:val="00587D07"/>
    <w:rsid w:val="005916F3"/>
    <w:rsid w:val="00591767"/>
    <w:rsid w:val="00594A40"/>
    <w:rsid w:val="005A13B1"/>
    <w:rsid w:val="005A38EE"/>
    <w:rsid w:val="005A62CA"/>
    <w:rsid w:val="005A633F"/>
    <w:rsid w:val="005B28CE"/>
    <w:rsid w:val="005C0045"/>
    <w:rsid w:val="005D04A9"/>
    <w:rsid w:val="005D3AD9"/>
    <w:rsid w:val="005D4B7D"/>
    <w:rsid w:val="005D4DAD"/>
    <w:rsid w:val="005D5433"/>
    <w:rsid w:val="005D65D0"/>
    <w:rsid w:val="005E618A"/>
    <w:rsid w:val="005F2C7F"/>
    <w:rsid w:val="005F47A1"/>
    <w:rsid w:val="005F6733"/>
    <w:rsid w:val="006007A2"/>
    <w:rsid w:val="0060088A"/>
    <w:rsid w:val="0060210C"/>
    <w:rsid w:val="00602799"/>
    <w:rsid w:val="00613948"/>
    <w:rsid w:val="006177B3"/>
    <w:rsid w:val="00622B44"/>
    <w:rsid w:val="00623192"/>
    <w:rsid w:val="00625EF1"/>
    <w:rsid w:val="00642F9E"/>
    <w:rsid w:val="00656ABD"/>
    <w:rsid w:val="0066388E"/>
    <w:rsid w:val="00671D5B"/>
    <w:rsid w:val="00674FAF"/>
    <w:rsid w:val="00675447"/>
    <w:rsid w:val="006756BE"/>
    <w:rsid w:val="006764D1"/>
    <w:rsid w:val="0068203B"/>
    <w:rsid w:val="0069036D"/>
    <w:rsid w:val="00694358"/>
    <w:rsid w:val="00696661"/>
    <w:rsid w:val="006A08D7"/>
    <w:rsid w:val="006A232A"/>
    <w:rsid w:val="006A7EB1"/>
    <w:rsid w:val="006B079D"/>
    <w:rsid w:val="006B4DA9"/>
    <w:rsid w:val="006C16A6"/>
    <w:rsid w:val="006D0662"/>
    <w:rsid w:val="006D1A9D"/>
    <w:rsid w:val="006D6871"/>
    <w:rsid w:val="006E17DE"/>
    <w:rsid w:val="006E3639"/>
    <w:rsid w:val="006F031A"/>
    <w:rsid w:val="006F5700"/>
    <w:rsid w:val="00706E9E"/>
    <w:rsid w:val="00707BF8"/>
    <w:rsid w:val="007101C9"/>
    <w:rsid w:val="00716264"/>
    <w:rsid w:val="0072592D"/>
    <w:rsid w:val="0073225E"/>
    <w:rsid w:val="00743D20"/>
    <w:rsid w:val="00746240"/>
    <w:rsid w:val="00751C84"/>
    <w:rsid w:val="007527F4"/>
    <w:rsid w:val="00756916"/>
    <w:rsid w:val="00762615"/>
    <w:rsid w:val="0076446C"/>
    <w:rsid w:val="00765A82"/>
    <w:rsid w:val="00766923"/>
    <w:rsid w:val="007702C1"/>
    <w:rsid w:val="007715AD"/>
    <w:rsid w:val="00780934"/>
    <w:rsid w:val="00780F65"/>
    <w:rsid w:val="0079333E"/>
    <w:rsid w:val="00794C70"/>
    <w:rsid w:val="007965CF"/>
    <w:rsid w:val="00797731"/>
    <w:rsid w:val="007A13D2"/>
    <w:rsid w:val="007A1BCD"/>
    <w:rsid w:val="007A1BE6"/>
    <w:rsid w:val="007A2494"/>
    <w:rsid w:val="007A3014"/>
    <w:rsid w:val="007A4EDC"/>
    <w:rsid w:val="007B07C9"/>
    <w:rsid w:val="007B1B0C"/>
    <w:rsid w:val="007B71AB"/>
    <w:rsid w:val="007C0F18"/>
    <w:rsid w:val="007C0F55"/>
    <w:rsid w:val="007C4FD1"/>
    <w:rsid w:val="007D32A1"/>
    <w:rsid w:val="007D3DFF"/>
    <w:rsid w:val="007D42CA"/>
    <w:rsid w:val="007F1B21"/>
    <w:rsid w:val="007F1C2A"/>
    <w:rsid w:val="007F2D78"/>
    <w:rsid w:val="00800EDE"/>
    <w:rsid w:val="00805215"/>
    <w:rsid w:val="00811C1F"/>
    <w:rsid w:val="00812CF3"/>
    <w:rsid w:val="00816FC0"/>
    <w:rsid w:val="008177C6"/>
    <w:rsid w:val="00825F5C"/>
    <w:rsid w:val="00827960"/>
    <w:rsid w:val="00832EE5"/>
    <w:rsid w:val="0083618E"/>
    <w:rsid w:val="008365BB"/>
    <w:rsid w:val="00847F60"/>
    <w:rsid w:val="008538DF"/>
    <w:rsid w:val="0085495D"/>
    <w:rsid w:val="008565D7"/>
    <w:rsid w:val="00856EAD"/>
    <w:rsid w:val="008608B1"/>
    <w:rsid w:val="008622F2"/>
    <w:rsid w:val="0086360E"/>
    <w:rsid w:val="0086499F"/>
    <w:rsid w:val="008710EF"/>
    <w:rsid w:val="00875C2F"/>
    <w:rsid w:val="008767A0"/>
    <w:rsid w:val="00886FF2"/>
    <w:rsid w:val="00890108"/>
    <w:rsid w:val="00890DC4"/>
    <w:rsid w:val="008A13F5"/>
    <w:rsid w:val="008A33EA"/>
    <w:rsid w:val="008A4F46"/>
    <w:rsid w:val="008B1A68"/>
    <w:rsid w:val="008B712E"/>
    <w:rsid w:val="008C2BEA"/>
    <w:rsid w:val="008C36FF"/>
    <w:rsid w:val="008C4EFE"/>
    <w:rsid w:val="008D005F"/>
    <w:rsid w:val="008D1F04"/>
    <w:rsid w:val="008D2054"/>
    <w:rsid w:val="008E0837"/>
    <w:rsid w:val="008E75AB"/>
    <w:rsid w:val="008F0D1E"/>
    <w:rsid w:val="008F3A50"/>
    <w:rsid w:val="008F71C5"/>
    <w:rsid w:val="008F791A"/>
    <w:rsid w:val="00904E3A"/>
    <w:rsid w:val="00910E6A"/>
    <w:rsid w:val="009140C6"/>
    <w:rsid w:val="00915EAC"/>
    <w:rsid w:val="00916A77"/>
    <w:rsid w:val="00917830"/>
    <w:rsid w:val="00925374"/>
    <w:rsid w:val="00926C35"/>
    <w:rsid w:val="00933A9A"/>
    <w:rsid w:val="009400B5"/>
    <w:rsid w:val="00941BDC"/>
    <w:rsid w:val="00942010"/>
    <w:rsid w:val="0094520E"/>
    <w:rsid w:val="00945A6A"/>
    <w:rsid w:val="0095544F"/>
    <w:rsid w:val="009574C8"/>
    <w:rsid w:val="00970645"/>
    <w:rsid w:val="009740C9"/>
    <w:rsid w:val="0098379E"/>
    <w:rsid w:val="009870B8"/>
    <w:rsid w:val="0099748B"/>
    <w:rsid w:val="009A2A85"/>
    <w:rsid w:val="009A3061"/>
    <w:rsid w:val="009A3C40"/>
    <w:rsid w:val="009A4447"/>
    <w:rsid w:val="009B6BDA"/>
    <w:rsid w:val="009C5A3B"/>
    <w:rsid w:val="009D31DC"/>
    <w:rsid w:val="009D7C9C"/>
    <w:rsid w:val="009E6BBA"/>
    <w:rsid w:val="009F1F3B"/>
    <w:rsid w:val="009F7382"/>
    <w:rsid w:val="009F793E"/>
    <w:rsid w:val="00A077C9"/>
    <w:rsid w:val="00A1155D"/>
    <w:rsid w:val="00A15143"/>
    <w:rsid w:val="00A1516D"/>
    <w:rsid w:val="00A15D67"/>
    <w:rsid w:val="00A20CEB"/>
    <w:rsid w:val="00A22C08"/>
    <w:rsid w:val="00A267DE"/>
    <w:rsid w:val="00A354D0"/>
    <w:rsid w:val="00A4499C"/>
    <w:rsid w:val="00A450B8"/>
    <w:rsid w:val="00A5124E"/>
    <w:rsid w:val="00A60B69"/>
    <w:rsid w:val="00A64BCF"/>
    <w:rsid w:val="00A65489"/>
    <w:rsid w:val="00A66EBB"/>
    <w:rsid w:val="00A75F76"/>
    <w:rsid w:val="00A90EC7"/>
    <w:rsid w:val="00A970EB"/>
    <w:rsid w:val="00AB0C15"/>
    <w:rsid w:val="00AB5954"/>
    <w:rsid w:val="00AC60D6"/>
    <w:rsid w:val="00AD07A7"/>
    <w:rsid w:val="00AD1105"/>
    <w:rsid w:val="00AD6719"/>
    <w:rsid w:val="00AE0022"/>
    <w:rsid w:val="00AE3D9E"/>
    <w:rsid w:val="00AF06D9"/>
    <w:rsid w:val="00AF22D5"/>
    <w:rsid w:val="00AF31E0"/>
    <w:rsid w:val="00AF59B2"/>
    <w:rsid w:val="00B014E4"/>
    <w:rsid w:val="00B04171"/>
    <w:rsid w:val="00B11696"/>
    <w:rsid w:val="00B11E2D"/>
    <w:rsid w:val="00B13AEC"/>
    <w:rsid w:val="00B25890"/>
    <w:rsid w:val="00B264A4"/>
    <w:rsid w:val="00B30026"/>
    <w:rsid w:val="00B37BB0"/>
    <w:rsid w:val="00B40CA6"/>
    <w:rsid w:val="00B41B06"/>
    <w:rsid w:val="00B46194"/>
    <w:rsid w:val="00B5156C"/>
    <w:rsid w:val="00B534E1"/>
    <w:rsid w:val="00B54ED8"/>
    <w:rsid w:val="00B610B7"/>
    <w:rsid w:val="00B61AE2"/>
    <w:rsid w:val="00B66CD9"/>
    <w:rsid w:val="00B74678"/>
    <w:rsid w:val="00B7523F"/>
    <w:rsid w:val="00B81B71"/>
    <w:rsid w:val="00B838F8"/>
    <w:rsid w:val="00BA1579"/>
    <w:rsid w:val="00BA23EB"/>
    <w:rsid w:val="00BA5438"/>
    <w:rsid w:val="00BB55BA"/>
    <w:rsid w:val="00BB5E0D"/>
    <w:rsid w:val="00BC1DD7"/>
    <w:rsid w:val="00BC1DF7"/>
    <w:rsid w:val="00BC29D5"/>
    <w:rsid w:val="00BC30BA"/>
    <w:rsid w:val="00BD0DE0"/>
    <w:rsid w:val="00BD3BEF"/>
    <w:rsid w:val="00BE1689"/>
    <w:rsid w:val="00BE65CD"/>
    <w:rsid w:val="00BF3CA1"/>
    <w:rsid w:val="00C01487"/>
    <w:rsid w:val="00C02E4C"/>
    <w:rsid w:val="00C06925"/>
    <w:rsid w:val="00C10EBA"/>
    <w:rsid w:val="00C175D6"/>
    <w:rsid w:val="00C24D3D"/>
    <w:rsid w:val="00C26ADC"/>
    <w:rsid w:val="00C342EE"/>
    <w:rsid w:val="00C36B64"/>
    <w:rsid w:val="00C479DA"/>
    <w:rsid w:val="00C534C4"/>
    <w:rsid w:val="00C6711E"/>
    <w:rsid w:val="00C71120"/>
    <w:rsid w:val="00C72C11"/>
    <w:rsid w:val="00C730FD"/>
    <w:rsid w:val="00C7401F"/>
    <w:rsid w:val="00C7521F"/>
    <w:rsid w:val="00C8126F"/>
    <w:rsid w:val="00C816F3"/>
    <w:rsid w:val="00C81F73"/>
    <w:rsid w:val="00C85DD7"/>
    <w:rsid w:val="00C947C2"/>
    <w:rsid w:val="00CA0D4E"/>
    <w:rsid w:val="00CA6BA4"/>
    <w:rsid w:val="00CB034F"/>
    <w:rsid w:val="00CB3314"/>
    <w:rsid w:val="00CC0C9F"/>
    <w:rsid w:val="00CD2B58"/>
    <w:rsid w:val="00CD73ED"/>
    <w:rsid w:val="00CD7494"/>
    <w:rsid w:val="00CE7A34"/>
    <w:rsid w:val="00CF2D9D"/>
    <w:rsid w:val="00D022A7"/>
    <w:rsid w:val="00D031DE"/>
    <w:rsid w:val="00D040EB"/>
    <w:rsid w:val="00D05FF4"/>
    <w:rsid w:val="00D06039"/>
    <w:rsid w:val="00D06A8E"/>
    <w:rsid w:val="00D135FF"/>
    <w:rsid w:val="00D45B5C"/>
    <w:rsid w:val="00D4775D"/>
    <w:rsid w:val="00D533A1"/>
    <w:rsid w:val="00D54E86"/>
    <w:rsid w:val="00D675AF"/>
    <w:rsid w:val="00D71926"/>
    <w:rsid w:val="00D72975"/>
    <w:rsid w:val="00D8048A"/>
    <w:rsid w:val="00D828BB"/>
    <w:rsid w:val="00D852C8"/>
    <w:rsid w:val="00D85519"/>
    <w:rsid w:val="00D95900"/>
    <w:rsid w:val="00DA0928"/>
    <w:rsid w:val="00DA2BD8"/>
    <w:rsid w:val="00DA734F"/>
    <w:rsid w:val="00DB0A48"/>
    <w:rsid w:val="00DC42BF"/>
    <w:rsid w:val="00DC4CE6"/>
    <w:rsid w:val="00DD0688"/>
    <w:rsid w:val="00DD10B2"/>
    <w:rsid w:val="00DD15E2"/>
    <w:rsid w:val="00DD334D"/>
    <w:rsid w:val="00DD387B"/>
    <w:rsid w:val="00DD5007"/>
    <w:rsid w:val="00DD5E28"/>
    <w:rsid w:val="00DD6A16"/>
    <w:rsid w:val="00DF15EE"/>
    <w:rsid w:val="00DF1D52"/>
    <w:rsid w:val="00DF76A4"/>
    <w:rsid w:val="00E0079E"/>
    <w:rsid w:val="00E0149A"/>
    <w:rsid w:val="00E03324"/>
    <w:rsid w:val="00E06CEF"/>
    <w:rsid w:val="00E104FA"/>
    <w:rsid w:val="00E11276"/>
    <w:rsid w:val="00E11AC4"/>
    <w:rsid w:val="00E12810"/>
    <w:rsid w:val="00E12C21"/>
    <w:rsid w:val="00E12D30"/>
    <w:rsid w:val="00E1330E"/>
    <w:rsid w:val="00E157EC"/>
    <w:rsid w:val="00E165AE"/>
    <w:rsid w:val="00E176EA"/>
    <w:rsid w:val="00E21533"/>
    <w:rsid w:val="00E21BB8"/>
    <w:rsid w:val="00E5528A"/>
    <w:rsid w:val="00E55FFB"/>
    <w:rsid w:val="00E612DE"/>
    <w:rsid w:val="00E6144B"/>
    <w:rsid w:val="00E616F7"/>
    <w:rsid w:val="00E71212"/>
    <w:rsid w:val="00E73433"/>
    <w:rsid w:val="00E8462E"/>
    <w:rsid w:val="00E8513B"/>
    <w:rsid w:val="00E927D9"/>
    <w:rsid w:val="00EA070C"/>
    <w:rsid w:val="00EA12FA"/>
    <w:rsid w:val="00EA49D9"/>
    <w:rsid w:val="00EA53A1"/>
    <w:rsid w:val="00EA6D79"/>
    <w:rsid w:val="00EB01EF"/>
    <w:rsid w:val="00EB0BAF"/>
    <w:rsid w:val="00EB3DFB"/>
    <w:rsid w:val="00EC1BED"/>
    <w:rsid w:val="00EC5767"/>
    <w:rsid w:val="00EC5C89"/>
    <w:rsid w:val="00ED21D8"/>
    <w:rsid w:val="00ED6064"/>
    <w:rsid w:val="00EE0A78"/>
    <w:rsid w:val="00EF0DD3"/>
    <w:rsid w:val="00EF2C88"/>
    <w:rsid w:val="00EF68D9"/>
    <w:rsid w:val="00EF767D"/>
    <w:rsid w:val="00F022A4"/>
    <w:rsid w:val="00F0652B"/>
    <w:rsid w:val="00F11523"/>
    <w:rsid w:val="00F14283"/>
    <w:rsid w:val="00F16065"/>
    <w:rsid w:val="00F174A7"/>
    <w:rsid w:val="00F225EF"/>
    <w:rsid w:val="00F25CFC"/>
    <w:rsid w:val="00F30557"/>
    <w:rsid w:val="00F33109"/>
    <w:rsid w:val="00F4337B"/>
    <w:rsid w:val="00F46FF8"/>
    <w:rsid w:val="00F507CB"/>
    <w:rsid w:val="00F52B48"/>
    <w:rsid w:val="00F546A9"/>
    <w:rsid w:val="00F561EB"/>
    <w:rsid w:val="00F5762B"/>
    <w:rsid w:val="00F6439A"/>
    <w:rsid w:val="00F64FEB"/>
    <w:rsid w:val="00F658BA"/>
    <w:rsid w:val="00F730CF"/>
    <w:rsid w:val="00F81F2B"/>
    <w:rsid w:val="00F8302F"/>
    <w:rsid w:val="00F867BF"/>
    <w:rsid w:val="00F92AFA"/>
    <w:rsid w:val="00F93479"/>
    <w:rsid w:val="00F95BA8"/>
    <w:rsid w:val="00FA66BD"/>
    <w:rsid w:val="00FB1A83"/>
    <w:rsid w:val="00FB3D21"/>
    <w:rsid w:val="00FD619A"/>
    <w:rsid w:val="00FE61F9"/>
    <w:rsid w:val="00FF0D96"/>
    <w:rsid w:val="00FF0DA3"/>
    <w:rsid w:val="00FF7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22"/>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customStyle="1" w:styleId="UnresolvedMention1">
    <w:name w:val="Unresolved Mention1"/>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C4C91A-1675-46FE-997A-A218EC29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10266</Words>
  <Characters>5853</Characters>
  <Application>Microsoft Office Word</Application>
  <DocSecurity>4</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atšķirīgu dividendēs izmaksājamo valsts akciju sabiedrības “Valsts nekustamie īpašumi” peļņas daļu par 2019.gada pārskatu"</vt:lpstr>
    </vt:vector>
  </TitlesOfParts>
  <Company>Finanšu ministrija (VNĪ)</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atšķirīgu dividendēs izmaksājamo valsts akciju sabiedrības “Valsts nekustamie īpašumi” peļņas daļu par 2019.gada pārskatu"</dc:title>
  <dc:subject>Izziņa par atzinumos sniegtajiem iebildumiem</dc:subject>
  <dc:creator>Liga.Rozenberga@vni.lv</dc:creator>
  <cp:keywords/>
  <dc:description>Liga.Rozenberga@vni.lv
22046774</dc:description>
  <cp:lastModifiedBy>Līga Rozenberga</cp:lastModifiedBy>
  <cp:revision>2</cp:revision>
  <cp:lastPrinted>2019-07-01T14:25:00Z</cp:lastPrinted>
  <dcterms:created xsi:type="dcterms:W3CDTF">2020-08-07T06:47:00Z</dcterms:created>
  <dcterms:modified xsi:type="dcterms:W3CDTF">2020-08-07T06:47:00Z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