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2F" w:rsidRPr="00461101" w:rsidRDefault="00324414" w:rsidP="00324414">
      <w:pPr>
        <w:jc w:val="center"/>
        <w:rPr>
          <w:rFonts w:ascii="Times New Roman" w:hAnsi="Times New Roman" w:cs="Times New Roman"/>
          <w:b/>
          <w:sz w:val="28"/>
          <w:szCs w:val="28"/>
        </w:rPr>
      </w:pPr>
      <w:r w:rsidRPr="00461101">
        <w:rPr>
          <w:rFonts w:ascii="Times New Roman" w:hAnsi="Times New Roman" w:cs="Times New Roman"/>
          <w:b/>
          <w:sz w:val="28"/>
          <w:szCs w:val="28"/>
        </w:rPr>
        <w:t xml:space="preserve">Informatīvais </w:t>
      </w:r>
      <w:r w:rsidRPr="00461101">
        <w:rPr>
          <w:rFonts w:ascii="Times New Roman" w:hAnsi="Times New Roman" w:cs="Times New Roman"/>
          <w:b/>
          <w:color w:val="000000" w:themeColor="text1"/>
          <w:sz w:val="28"/>
          <w:szCs w:val="28"/>
        </w:rPr>
        <w:t>ziņojums “</w:t>
      </w:r>
      <w:r w:rsidR="00FD55C1" w:rsidRPr="00461101">
        <w:rPr>
          <w:rFonts w:ascii="Times New Roman" w:hAnsi="Times New Roman" w:cs="Times New Roman"/>
          <w:b/>
          <w:color w:val="000000" w:themeColor="text1"/>
          <w:sz w:val="28"/>
          <w:szCs w:val="28"/>
        </w:rPr>
        <w:t xml:space="preserve">Par </w:t>
      </w:r>
      <w:r w:rsidR="00F35DAD" w:rsidRPr="00461101">
        <w:rPr>
          <w:rFonts w:ascii="Times New Roman" w:hAnsi="Times New Roman" w:cs="Times New Roman"/>
          <w:b/>
          <w:color w:val="000000" w:themeColor="text1"/>
          <w:sz w:val="28"/>
          <w:szCs w:val="28"/>
        </w:rPr>
        <w:t>priekšlikumiem valsts budžeta ieņēmumiem un izdevumiem</w:t>
      </w:r>
      <w:r w:rsidR="00FD55C1" w:rsidRPr="00461101">
        <w:rPr>
          <w:rFonts w:ascii="Times New Roman" w:hAnsi="Times New Roman" w:cs="Times New Roman"/>
          <w:b/>
          <w:sz w:val="28"/>
          <w:szCs w:val="28"/>
        </w:rPr>
        <w:t xml:space="preserve"> 20</w:t>
      </w:r>
      <w:r w:rsidR="0037629F" w:rsidRPr="00461101">
        <w:rPr>
          <w:rFonts w:ascii="Times New Roman" w:hAnsi="Times New Roman" w:cs="Times New Roman"/>
          <w:b/>
          <w:sz w:val="28"/>
          <w:szCs w:val="28"/>
        </w:rPr>
        <w:t>2</w:t>
      </w:r>
      <w:r w:rsidR="00CA7626" w:rsidRPr="00461101">
        <w:rPr>
          <w:rFonts w:ascii="Times New Roman" w:hAnsi="Times New Roman" w:cs="Times New Roman"/>
          <w:b/>
          <w:sz w:val="28"/>
          <w:szCs w:val="28"/>
        </w:rPr>
        <w:t>1</w:t>
      </w:r>
      <w:r w:rsidR="00FD55C1" w:rsidRPr="00461101">
        <w:rPr>
          <w:rFonts w:ascii="Times New Roman" w:hAnsi="Times New Roman" w:cs="Times New Roman"/>
          <w:b/>
          <w:sz w:val="28"/>
          <w:szCs w:val="28"/>
        </w:rPr>
        <w:t>.gadam un ietvaram 20</w:t>
      </w:r>
      <w:r w:rsidR="0037629F" w:rsidRPr="00461101">
        <w:rPr>
          <w:rFonts w:ascii="Times New Roman" w:hAnsi="Times New Roman" w:cs="Times New Roman"/>
          <w:b/>
          <w:sz w:val="28"/>
          <w:szCs w:val="28"/>
        </w:rPr>
        <w:t>2</w:t>
      </w:r>
      <w:r w:rsidR="00CA7626" w:rsidRPr="00461101">
        <w:rPr>
          <w:rFonts w:ascii="Times New Roman" w:hAnsi="Times New Roman" w:cs="Times New Roman"/>
          <w:b/>
          <w:sz w:val="28"/>
          <w:szCs w:val="28"/>
        </w:rPr>
        <w:t>1</w:t>
      </w:r>
      <w:r w:rsidR="0037629F" w:rsidRPr="00461101">
        <w:rPr>
          <w:rFonts w:ascii="Times New Roman" w:hAnsi="Times New Roman" w:cs="Times New Roman"/>
          <w:b/>
          <w:sz w:val="28"/>
          <w:szCs w:val="28"/>
        </w:rPr>
        <w:t>.–202</w:t>
      </w:r>
      <w:r w:rsidR="00CA7626" w:rsidRPr="00461101">
        <w:rPr>
          <w:rFonts w:ascii="Times New Roman" w:hAnsi="Times New Roman" w:cs="Times New Roman"/>
          <w:b/>
          <w:sz w:val="28"/>
          <w:szCs w:val="28"/>
        </w:rPr>
        <w:t>3</w:t>
      </w:r>
      <w:r w:rsidR="00FD55C1" w:rsidRPr="00461101">
        <w:rPr>
          <w:rFonts w:ascii="Times New Roman" w:hAnsi="Times New Roman" w:cs="Times New Roman"/>
          <w:b/>
          <w:sz w:val="28"/>
          <w:szCs w:val="28"/>
        </w:rPr>
        <w:t>.gadam”</w:t>
      </w:r>
    </w:p>
    <w:p w:rsidR="008A001C" w:rsidRPr="00461101" w:rsidRDefault="008A001C" w:rsidP="00324414">
      <w:pPr>
        <w:jc w:val="center"/>
        <w:rPr>
          <w:rFonts w:ascii="Times New Roman" w:hAnsi="Times New Roman" w:cs="Times New Roman"/>
          <w:b/>
          <w:sz w:val="28"/>
          <w:szCs w:val="28"/>
        </w:rPr>
      </w:pPr>
    </w:p>
    <w:p w:rsidR="00677C78" w:rsidRPr="00461101" w:rsidRDefault="001E4A6C" w:rsidP="00E97779">
      <w:pPr>
        <w:spacing w:before="120" w:after="120" w:line="240" w:lineRule="auto"/>
        <w:ind w:firstLine="709"/>
        <w:jc w:val="both"/>
        <w:rPr>
          <w:rFonts w:ascii="Times New Roman" w:hAnsi="Times New Roman" w:cs="Times New Roman"/>
          <w:color w:val="000000"/>
          <w:sz w:val="24"/>
          <w:szCs w:val="24"/>
        </w:rPr>
      </w:pPr>
      <w:r w:rsidRPr="00461101">
        <w:rPr>
          <w:rFonts w:ascii="Times New Roman" w:hAnsi="Times New Roman" w:cs="Times New Roman"/>
          <w:sz w:val="24"/>
          <w:szCs w:val="24"/>
        </w:rPr>
        <w:t xml:space="preserve">Pamatojoties uz Ministru kabineta (turpmāk – MK) </w:t>
      </w:r>
      <w:r w:rsidR="00780F38" w:rsidRPr="00461101">
        <w:rPr>
          <w:rFonts w:ascii="Times New Roman" w:hAnsi="Times New Roman" w:cs="Times New Roman"/>
          <w:sz w:val="24"/>
          <w:szCs w:val="24"/>
        </w:rPr>
        <w:t>20</w:t>
      </w:r>
      <w:r w:rsidR="00F85AF6" w:rsidRPr="00461101">
        <w:rPr>
          <w:rFonts w:ascii="Times New Roman" w:hAnsi="Times New Roman" w:cs="Times New Roman"/>
          <w:sz w:val="24"/>
          <w:szCs w:val="24"/>
        </w:rPr>
        <w:t>20</w:t>
      </w:r>
      <w:r w:rsidR="00780F38" w:rsidRPr="00461101">
        <w:rPr>
          <w:rFonts w:ascii="Times New Roman" w:hAnsi="Times New Roman" w:cs="Times New Roman"/>
          <w:sz w:val="24"/>
          <w:szCs w:val="24"/>
        </w:rPr>
        <w:t>.gada 2</w:t>
      </w:r>
      <w:r w:rsidR="00F85AF6" w:rsidRPr="00461101">
        <w:rPr>
          <w:rFonts w:ascii="Times New Roman" w:hAnsi="Times New Roman" w:cs="Times New Roman"/>
          <w:sz w:val="24"/>
          <w:szCs w:val="24"/>
        </w:rPr>
        <w:t>6</w:t>
      </w:r>
      <w:r w:rsidR="00780F38" w:rsidRPr="00461101">
        <w:rPr>
          <w:rFonts w:ascii="Times New Roman" w:hAnsi="Times New Roman" w:cs="Times New Roman"/>
          <w:sz w:val="24"/>
          <w:szCs w:val="24"/>
        </w:rPr>
        <w:t>.</w:t>
      </w:r>
      <w:r w:rsidR="00F85AF6" w:rsidRPr="00461101">
        <w:rPr>
          <w:rFonts w:ascii="Times New Roman" w:hAnsi="Times New Roman" w:cs="Times New Roman"/>
          <w:sz w:val="24"/>
          <w:szCs w:val="24"/>
        </w:rPr>
        <w:t>februāra</w:t>
      </w:r>
      <w:r w:rsidR="00780F38" w:rsidRPr="00461101">
        <w:rPr>
          <w:rFonts w:ascii="Times New Roman" w:hAnsi="Times New Roman" w:cs="Times New Roman"/>
          <w:sz w:val="24"/>
          <w:szCs w:val="24"/>
        </w:rPr>
        <w:t xml:space="preserve"> rīkojum</w:t>
      </w:r>
      <w:r w:rsidR="00E00C48" w:rsidRPr="00461101">
        <w:rPr>
          <w:rFonts w:ascii="Times New Roman" w:hAnsi="Times New Roman" w:cs="Times New Roman"/>
          <w:sz w:val="24"/>
          <w:szCs w:val="24"/>
        </w:rPr>
        <w:t>u</w:t>
      </w:r>
      <w:r w:rsidR="00780F38" w:rsidRPr="00461101">
        <w:rPr>
          <w:rFonts w:ascii="Times New Roman" w:hAnsi="Times New Roman" w:cs="Times New Roman"/>
          <w:sz w:val="24"/>
          <w:szCs w:val="24"/>
        </w:rPr>
        <w:t xml:space="preserve"> Nr.</w:t>
      </w:r>
      <w:r w:rsidR="00F85AF6" w:rsidRPr="00461101">
        <w:rPr>
          <w:rFonts w:ascii="Times New Roman" w:hAnsi="Times New Roman" w:cs="Times New Roman"/>
          <w:sz w:val="24"/>
          <w:szCs w:val="24"/>
        </w:rPr>
        <w:t>67</w:t>
      </w:r>
      <w:r w:rsidR="00780F38" w:rsidRPr="00461101">
        <w:rPr>
          <w:rFonts w:ascii="Times New Roman" w:hAnsi="Times New Roman" w:cs="Times New Roman"/>
          <w:sz w:val="24"/>
          <w:szCs w:val="24"/>
        </w:rPr>
        <w:t xml:space="preserve"> “Par likumprojekta “Par vidēja termiņa budžeta ietvaru 202</w:t>
      </w:r>
      <w:r w:rsidR="00F85AF6" w:rsidRPr="00461101">
        <w:rPr>
          <w:rFonts w:ascii="Times New Roman" w:hAnsi="Times New Roman" w:cs="Times New Roman"/>
          <w:sz w:val="24"/>
          <w:szCs w:val="24"/>
        </w:rPr>
        <w:t>1</w:t>
      </w:r>
      <w:r w:rsidR="00780F38" w:rsidRPr="00461101">
        <w:rPr>
          <w:rFonts w:ascii="Times New Roman" w:hAnsi="Times New Roman" w:cs="Times New Roman"/>
          <w:sz w:val="24"/>
          <w:szCs w:val="24"/>
        </w:rPr>
        <w:t>., 202</w:t>
      </w:r>
      <w:r w:rsidR="00F85AF6" w:rsidRPr="00461101">
        <w:rPr>
          <w:rFonts w:ascii="Times New Roman" w:hAnsi="Times New Roman" w:cs="Times New Roman"/>
          <w:sz w:val="24"/>
          <w:szCs w:val="24"/>
        </w:rPr>
        <w:t>2. un 2023</w:t>
      </w:r>
      <w:r w:rsidR="00780F38" w:rsidRPr="00461101">
        <w:rPr>
          <w:rFonts w:ascii="Times New Roman" w:hAnsi="Times New Roman" w:cs="Times New Roman"/>
          <w:sz w:val="24"/>
          <w:szCs w:val="24"/>
        </w:rPr>
        <w:t>.gadam” un likumprojekta “Par valsts budžetu 202</w:t>
      </w:r>
      <w:r w:rsidR="00F85AF6" w:rsidRPr="00461101">
        <w:rPr>
          <w:rFonts w:ascii="Times New Roman" w:hAnsi="Times New Roman" w:cs="Times New Roman"/>
          <w:sz w:val="24"/>
          <w:szCs w:val="24"/>
        </w:rPr>
        <w:t>1</w:t>
      </w:r>
      <w:r w:rsidR="00780F38" w:rsidRPr="00461101">
        <w:rPr>
          <w:rFonts w:ascii="Times New Roman" w:hAnsi="Times New Roman" w:cs="Times New Roman"/>
          <w:sz w:val="24"/>
          <w:szCs w:val="24"/>
        </w:rPr>
        <w:t xml:space="preserve">.gadam” sagatavošanas grafiku” </w:t>
      </w:r>
      <w:r w:rsidR="00997136" w:rsidRPr="00461101">
        <w:rPr>
          <w:rFonts w:ascii="Times New Roman" w:hAnsi="Times New Roman" w:cs="Times New Roman"/>
          <w:sz w:val="24"/>
          <w:szCs w:val="24"/>
        </w:rPr>
        <w:t>un 20</w:t>
      </w:r>
      <w:r w:rsidR="00F85AF6" w:rsidRPr="00461101">
        <w:rPr>
          <w:rFonts w:ascii="Times New Roman" w:hAnsi="Times New Roman" w:cs="Times New Roman"/>
          <w:sz w:val="24"/>
          <w:szCs w:val="24"/>
        </w:rPr>
        <w:t>20</w:t>
      </w:r>
      <w:r w:rsidR="00997136" w:rsidRPr="00461101">
        <w:rPr>
          <w:rFonts w:ascii="Times New Roman" w:hAnsi="Times New Roman" w:cs="Times New Roman"/>
          <w:sz w:val="24"/>
          <w:szCs w:val="24"/>
        </w:rPr>
        <w:t xml:space="preserve">.gada </w:t>
      </w:r>
      <w:r w:rsidR="00F85AF6" w:rsidRPr="00461101">
        <w:rPr>
          <w:rFonts w:ascii="Times New Roman" w:hAnsi="Times New Roman" w:cs="Times New Roman"/>
          <w:sz w:val="24"/>
          <w:szCs w:val="24"/>
        </w:rPr>
        <w:t>2</w:t>
      </w:r>
      <w:r w:rsidR="00780F38" w:rsidRPr="00461101">
        <w:rPr>
          <w:rFonts w:ascii="Times New Roman" w:hAnsi="Times New Roman" w:cs="Times New Roman"/>
          <w:sz w:val="24"/>
          <w:szCs w:val="24"/>
        </w:rPr>
        <w:t>.</w:t>
      </w:r>
      <w:r w:rsidR="00F85AF6" w:rsidRPr="00461101">
        <w:rPr>
          <w:rFonts w:ascii="Times New Roman" w:hAnsi="Times New Roman" w:cs="Times New Roman"/>
          <w:sz w:val="24"/>
          <w:szCs w:val="24"/>
        </w:rPr>
        <w:t>septembra</w:t>
      </w:r>
      <w:r w:rsidR="00997136" w:rsidRPr="00461101">
        <w:rPr>
          <w:rFonts w:ascii="Times New Roman" w:hAnsi="Times New Roman" w:cs="Times New Roman"/>
          <w:sz w:val="24"/>
          <w:szCs w:val="24"/>
        </w:rPr>
        <w:t xml:space="preserve"> MK sēdē nolemto, </w:t>
      </w:r>
      <w:r w:rsidR="00B07E38" w:rsidRPr="00461101">
        <w:rPr>
          <w:rFonts w:ascii="Times New Roman" w:hAnsi="Times New Roman" w:cs="Times New Roman"/>
          <w:sz w:val="24"/>
          <w:szCs w:val="24"/>
        </w:rPr>
        <w:t>F</w:t>
      </w:r>
      <w:r w:rsidRPr="00461101">
        <w:rPr>
          <w:rFonts w:ascii="Times New Roman" w:hAnsi="Times New Roman" w:cs="Times New Roman"/>
          <w:sz w:val="24"/>
          <w:szCs w:val="24"/>
        </w:rPr>
        <w:t xml:space="preserve">inanšu ministrija ir sagatavojusi informatīvo ziņojumu </w:t>
      </w:r>
      <w:r w:rsidR="00677C78" w:rsidRPr="00461101">
        <w:rPr>
          <w:rFonts w:ascii="Times New Roman" w:hAnsi="Times New Roman" w:cs="Times New Roman"/>
          <w:sz w:val="24"/>
          <w:szCs w:val="24"/>
        </w:rPr>
        <w:t xml:space="preserve">“Par </w:t>
      </w:r>
      <w:r w:rsidR="00F35DAD" w:rsidRPr="00461101">
        <w:rPr>
          <w:rFonts w:ascii="Times New Roman" w:hAnsi="Times New Roman" w:cs="Times New Roman"/>
          <w:sz w:val="24"/>
          <w:szCs w:val="24"/>
        </w:rPr>
        <w:t>priekšlikumiem valsts budžeta ieņēmumiem un izdevumiem</w:t>
      </w:r>
      <w:r w:rsidR="00677C78" w:rsidRPr="00461101">
        <w:rPr>
          <w:rFonts w:ascii="Times New Roman" w:hAnsi="Times New Roman" w:cs="Times New Roman"/>
          <w:sz w:val="24"/>
          <w:szCs w:val="24"/>
        </w:rPr>
        <w:t xml:space="preserve"> 202</w:t>
      </w:r>
      <w:r w:rsidR="00F85AF6" w:rsidRPr="00461101">
        <w:rPr>
          <w:rFonts w:ascii="Times New Roman" w:hAnsi="Times New Roman" w:cs="Times New Roman"/>
          <w:sz w:val="24"/>
          <w:szCs w:val="24"/>
        </w:rPr>
        <w:t>1</w:t>
      </w:r>
      <w:r w:rsidR="00677C78" w:rsidRPr="00461101">
        <w:rPr>
          <w:rFonts w:ascii="Times New Roman" w:hAnsi="Times New Roman" w:cs="Times New Roman"/>
          <w:sz w:val="24"/>
          <w:szCs w:val="24"/>
        </w:rPr>
        <w:t>.gadam un ietvaram 202</w:t>
      </w:r>
      <w:r w:rsidR="00F85AF6" w:rsidRPr="00461101">
        <w:rPr>
          <w:rFonts w:ascii="Times New Roman" w:hAnsi="Times New Roman" w:cs="Times New Roman"/>
          <w:sz w:val="24"/>
          <w:szCs w:val="24"/>
        </w:rPr>
        <w:t>1</w:t>
      </w:r>
      <w:r w:rsidR="00677C78" w:rsidRPr="00461101">
        <w:rPr>
          <w:rFonts w:ascii="Times New Roman" w:hAnsi="Times New Roman" w:cs="Times New Roman"/>
          <w:sz w:val="24"/>
          <w:szCs w:val="24"/>
        </w:rPr>
        <w:t>.–202</w:t>
      </w:r>
      <w:r w:rsidR="00F85AF6" w:rsidRPr="00461101">
        <w:rPr>
          <w:rFonts w:ascii="Times New Roman" w:hAnsi="Times New Roman" w:cs="Times New Roman"/>
          <w:sz w:val="24"/>
          <w:szCs w:val="24"/>
        </w:rPr>
        <w:t>3</w:t>
      </w:r>
      <w:r w:rsidR="00677C78" w:rsidRPr="00461101">
        <w:rPr>
          <w:rFonts w:ascii="Times New Roman" w:hAnsi="Times New Roman" w:cs="Times New Roman"/>
          <w:sz w:val="24"/>
          <w:szCs w:val="24"/>
        </w:rPr>
        <w:t>.gadam” (turpmāk – informatīvais ziņojums)</w:t>
      </w:r>
      <w:r w:rsidR="00677C78" w:rsidRPr="00461101">
        <w:rPr>
          <w:rFonts w:ascii="Times New Roman" w:hAnsi="Times New Roman" w:cs="Times New Roman"/>
          <w:color w:val="000000"/>
          <w:sz w:val="24"/>
          <w:szCs w:val="24"/>
        </w:rPr>
        <w:t>.</w:t>
      </w:r>
    </w:p>
    <w:p w:rsidR="00EC5231" w:rsidRPr="00461101" w:rsidRDefault="00EC5231" w:rsidP="00E97779">
      <w:pPr>
        <w:spacing w:before="120" w:after="120" w:line="240" w:lineRule="auto"/>
        <w:ind w:firstLine="709"/>
        <w:jc w:val="both"/>
        <w:rPr>
          <w:rFonts w:ascii="Times New Roman" w:hAnsi="Times New Roman" w:cs="Times New Roman"/>
          <w:color w:val="000000"/>
          <w:sz w:val="24"/>
          <w:szCs w:val="24"/>
        </w:rPr>
      </w:pPr>
    </w:p>
    <w:p w:rsidR="00A01338" w:rsidRPr="00461101" w:rsidRDefault="00A01338" w:rsidP="006D48C2">
      <w:pPr>
        <w:pStyle w:val="ListParagraph"/>
        <w:numPr>
          <w:ilvl w:val="0"/>
          <w:numId w:val="1"/>
        </w:numPr>
        <w:shd w:val="clear" w:color="auto" w:fill="FFD966" w:themeFill="accent4" w:themeFillTint="99"/>
        <w:tabs>
          <w:tab w:val="left" w:pos="0"/>
          <w:tab w:val="left" w:pos="993"/>
        </w:tabs>
        <w:spacing w:before="120" w:after="120" w:line="240" w:lineRule="auto"/>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Vispārējās valdības budžeta bilance pie nemainīgas valdības politikas</w:t>
      </w:r>
    </w:p>
    <w:p w:rsidR="002B59B3" w:rsidRDefault="006C6594" w:rsidP="00147D3C">
      <w:pPr>
        <w:spacing w:before="120" w:after="120" w:line="240" w:lineRule="auto"/>
        <w:ind w:firstLine="720"/>
        <w:jc w:val="both"/>
        <w:rPr>
          <w:rFonts w:ascii="Times New Roman" w:hAnsi="Times New Roman" w:cs="Times New Roman"/>
          <w:noProof/>
          <w:sz w:val="24"/>
          <w:szCs w:val="24"/>
        </w:rPr>
      </w:pPr>
      <w:r w:rsidRPr="00461101">
        <w:rPr>
          <w:rFonts w:ascii="Times New Roman" w:hAnsi="Times New Roman" w:cs="Times New Roman"/>
          <w:sz w:val="24"/>
          <w:szCs w:val="24"/>
        </w:rPr>
        <w:t>MK 20</w:t>
      </w:r>
      <w:r w:rsidR="007D7A2E" w:rsidRPr="00461101">
        <w:rPr>
          <w:rFonts w:ascii="Times New Roman" w:hAnsi="Times New Roman" w:cs="Times New Roman"/>
          <w:sz w:val="24"/>
          <w:szCs w:val="24"/>
        </w:rPr>
        <w:t>20</w:t>
      </w:r>
      <w:r w:rsidR="0084432B" w:rsidRPr="00461101">
        <w:rPr>
          <w:rFonts w:ascii="Times New Roman" w:hAnsi="Times New Roman" w:cs="Times New Roman"/>
          <w:sz w:val="24"/>
          <w:szCs w:val="24"/>
        </w:rPr>
        <w:t xml:space="preserve">.gada </w:t>
      </w:r>
      <w:r w:rsidR="007D7A2E" w:rsidRPr="00461101">
        <w:rPr>
          <w:rFonts w:ascii="Times New Roman" w:hAnsi="Times New Roman" w:cs="Times New Roman"/>
          <w:sz w:val="24"/>
          <w:szCs w:val="24"/>
        </w:rPr>
        <w:t>18</w:t>
      </w:r>
      <w:r w:rsidR="0084432B" w:rsidRPr="00461101">
        <w:rPr>
          <w:rFonts w:ascii="Times New Roman" w:hAnsi="Times New Roman" w:cs="Times New Roman"/>
          <w:sz w:val="24"/>
          <w:szCs w:val="24"/>
        </w:rPr>
        <w:t>.augusta sēdē</w:t>
      </w:r>
      <w:r w:rsidR="002B59B3" w:rsidRPr="00461101">
        <w:rPr>
          <w:rFonts w:ascii="Times New Roman" w:hAnsi="Times New Roman" w:cs="Times New Roman"/>
          <w:sz w:val="24"/>
          <w:szCs w:val="24"/>
        </w:rPr>
        <w:t>,</w:t>
      </w:r>
      <w:r w:rsidR="00C13E5C" w:rsidRPr="00461101">
        <w:rPr>
          <w:rFonts w:ascii="Times New Roman" w:hAnsi="Times New Roman" w:cs="Times New Roman"/>
          <w:sz w:val="24"/>
          <w:szCs w:val="24"/>
        </w:rPr>
        <w:t xml:space="preserve"> izskat</w:t>
      </w:r>
      <w:r w:rsidR="002B59B3" w:rsidRPr="00461101">
        <w:rPr>
          <w:rFonts w:ascii="Times New Roman" w:hAnsi="Times New Roman" w:cs="Times New Roman"/>
          <w:sz w:val="24"/>
          <w:szCs w:val="24"/>
        </w:rPr>
        <w:t>ot</w:t>
      </w:r>
      <w:r w:rsidR="0084432B" w:rsidRPr="00461101">
        <w:rPr>
          <w:rFonts w:ascii="Times New Roman" w:hAnsi="Times New Roman" w:cs="Times New Roman"/>
          <w:sz w:val="24"/>
          <w:szCs w:val="24"/>
        </w:rPr>
        <w:t xml:space="preserve"> Finanšu ministrijas sagatavot</w:t>
      </w:r>
      <w:r w:rsidR="002B59B3" w:rsidRPr="00461101">
        <w:rPr>
          <w:rFonts w:ascii="Times New Roman" w:hAnsi="Times New Roman" w:cs="Times New Roman"/>
          <w:sz w:val="24"/>
          <w:szCs w:val="24"/>
        </w:rPr>
        <w:t>o</w:t>
      </w:r>
      <w:r w:rsidR="0084432B" w:rsidRPr="00461101">
        <w:rPr>
          <w:rFonts w:ascii="Times New Roman" w:hAnsi="Times New Roman" w:cs="Times New Roman"/>
          <w:sz w:val="24"/>
          <w:szCs w:val="24"/>
        </w:rPr>
        <w:t xml:space="preserve"> informatīv</w:t>
      </w:r>
      <w:r w:rsidR="002B59B3" w:rsidRPr="00461101">
        <w:rPr>
          <w:rFonts w:ascii="Times New Roman" w:hAnsi="Times New Roman" w:cs="Times New Roman"/>
          <w:sz w:val="24"/>
          <w:szCs w:val="24"/>
        </w:rPr>
        <w:t>o</w:t>
      </w:r>
      <w:r w:rsidR="00C13E5C" w:rsidRPr="00461101">
        <w:rPr>
          <w:rFonts w:ascii="Times New Roman" w:hAnsi="Times New Roman" w:cs="Times New Roman"/>
          <w:sz w:val="24"/>
          <w:szCs w:val="24"/>
        </w:rPr>
        <w:t xml:space="preserve"> </w:t>
      </w:r>
      <w:r w:rsidR="0084432B" w:rsidRPr="00461101">
        <w:rPr>
          <w:rFonts w:ascii="Times New Roman" w:hAnsi="Times New Roman" w:cs="Times New Roman"/>
          <w:sz w:val="24"/>
          <w:szCs w:val="24"/>
        </w:rPr>
        <w:t>ziņojum</w:t>
      </w:r>
      <w:r w:rsidR="002B59B3" w:rsidRPr="00461101">
        <w:rPr>
          <w:rFonts w:ascii="Times New Roman" w:hAnsi="Times New Roman" w:cs="Times New Roman"/>
          <w:sz w:val="24"/>
          <w:szCs w:val="24"/>
        </w:rPr>
        <w:t>u</w:t>
      </w:r>
      <w:r w:rsidR="0084432B" w:rsidRPr="00461101">
        <w:rPr>
          <w:rFonts w:ascii="Times New Roman" w:hAnsi="Times New Roman" w:cs="Times New Roman"/>
          <w:sz w:val="24"/>
          <w:szCs w:val="24"/>
        </w:rPr>
        <w:t xml:space="preserve"> </w:t>
      </w:r>
      <w:r w:rsidR="002B59B3" w:rsidRPr="00461101">
        <w:rPr>
          <w:rFonts w:ascii="Times New Roman" w:hAnsi="Times New Roman" w:cs="Times New Roman"/>
          <w:sz w:val="24"/>
          <w:szCs w:val="24"/>
        </w:rPr>
        <w:t>„Par makroekonomisko rādītāju, ieņēmumu un vispārējās valdības budžeta bilances prognozēm 202</w:t>
      </w:r>
      <w:r w:rsidR="007D7A2E" w:rsidRPr="00461101">
        <w:rPr>
          <w:rFonts w:ascii="Times New Roman" w:hAnsi="Times New Roman" w:cs="Times New Roman"/>
          <w:sz w:val="24"/>
          <w:szCs w:val="24"/>
        </w:rPr>
        <w:t>1</w:t>
      </w:r>
      <w:r w:rsidR="002B59B3" w:rsidRPr="00461101">
        <w:rPr>
          <w:rFonts w:ascii="Times New Roman" w:hAnsi="Times New Roman" w:cs="Times New Roman"/>
          <w:sz w:val="24"/>
          <w:szCs w:val="24"/>
        </w:rPr>
        <w:t>.-202</w:t>
      </w:r>
      <w:r w:rsidR="007D7A2E" w:rsidRPr="00461101">
        <w:rPr>
          <w:rFonts w:ascii="Times New Roman" w:hAnsi="Times New Roman" w:cs="Times New Roman"/>
          <w:sz w:val="24"/>
          <w:szCs w:val="24"/>
        </w:rPr>
        <w:t>3</w:t>
      </w:r>
      <w:r w:rsidR="002B59B3" w:rsidRPr="00461101">
        <w:rPr>
          <w:rFonts w:ascii="Times New Roman" w:hAnsi="Times New Roman" w:cs="Times New Roman"/>
          <w:sz w:val="24"/>
          <w:szCs w:val="24"/>
        </w:rPr>
        <w:t xml:space="preserve">.gadā”, tika </w:t>
      </w:r>
      <w:r w:rsidR="007D7A2E" w:rsidRPr="00461101">
        <w:rPr>
          <w:rFonts w:ascii="Times New Roman" w:hAnsi="Times New Roman" w:cs="Times New Roman"/>
          <w:sz w:val="24"/>
          <w:szCs w:val="24"/>
        </w:rPr>
        <w:t>pieņemts zināšanai</w:t>
      </w:r>
      <w:r w:rsidR="002B59B3" w:rsidRPr="00461101">
        <w:rPr>
          <w:rFonts w:ascii="Times New Roman" w:hAnsi="Times New Roman" w:cs="Times New Roman"/>
          <w:sz w:val="24"/>
          <w:szCs w:val="24"/>
        </w:rPr>
        <w:t xml:space="preserve">, ka </w:t>
      </w:r>
      <w:r w:rsidR="007D7A2E" w:rsidRPr="00461101">
        <w:rPr>
          <w:rFonts w:ascii="Times New Roman" w:hAnsi="Times New Roman" w:cs="Times New Roman"/>
          <w:sz w:val="24"/>
          <w:szCs w:val="24"/>
        </w:rPr>
        <w:t xml:space="preserve">bāzes scenārijā vispārējās valdības budžeta bilance pie nemainīgas valdības politikas tiek prognozēta </w:t>
      </w:r>
      <w:r w:rsidR="002B59B3" w:rsidRPr="00461101">
        <w:rPr>
          <w:rFonts w:ascii="Times New Roman" w:hAnsi="Times New Roman" w:cs="Times New Roman"/>
          <w:sz w:val="24"/>
          <w:szCs w:val="24"/>
        </w:rPr>
        <w:t xml:space="preserve"> </w:t>
      </w:r>
      <w:r w:rsidR="007D7A2E" w:rsidRPr="00461101">
        <w:rPr>
          <w:rFonts w:ascii="Times New Roman" w:hAnsi="Times New Roman" w:cs="Times New Roman"/>
          <w:noProof/>
          <w:sz w:val="24"/>
          <w:szCs w:val="24"/>
        </w:rPr>
        <w:t>2021.</w:t>
      </w:r>
      <w:r w:rsidR="002B59B3" w:rsidRPr="00461101">
        <w:rPr>
          <w:rFonts w:ascii="Times New Roman" w:hAnsi="Times New Roman" w:cs="Times New Roman"/>
          <w:noProof/>
          <w:sz w:val="24"/>
          <w:szCs w:val="24"/>
        </w:rPr>
        <w:t>gadā -</w:t>
      </w:r>
      <w:r w:rsidR="007D7A2E" w:rsidRPr="00461101">
        <w:rPr>
          <w:rFonts w:ascii="Times New Roman" w:hAnsi="Times New Roman" w:cs="Times New Roman"/>
          <w:noProof/>
          <w:sz w:val="24"/>
          <w:szCs w:val="24"/>
        </w:rPr>
        <w:t>1184,9</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2B59B3" w:rsidRPr="00461101">
        <w:rPr>
          <w:rFonts w:ascii="Times New Roman" w:hAnsi="Times New Roman" w:cs="Times New Roman"/>
          <w:noProof/>
          <w:sz w:val="24"/>
          <w:szCs w:val="24"/>
        </w:rPr>
        <w:t>, 202</w:t>
      </w:r>
      <w:r w:rsidR="007D7A2E" w:rsidRPr="00461101">
        <w:rPr>
          <w:rFonts w:ascii="Times New Roman" w:hAnsi="Times New Roman" w:cs="Times New Roman"/>
          <w:noProof/>
          <w:sz w:val="24"/>
          <w:szCs w:val="24"/>
        </w:rPr>
        <w:t>2</w:t>
      </w:r>
      <w:r w:rsidR="002B59B3" w:rsidRPr="00461101">
        <w:rPr>
          <w:rFonts w:ascii="Times New Roman" w:hAnsi="Times New Roman" w:cs="Times New Roman"/>
          <w:noProof/>
          <w:sz w:val="24"/>
          <w:szCs w:val="24"/>
        </w:rPr>
        <w:t xml:space="preserve">.gadā  </w:t>
      </w:r>
      <w:r w:rsidR="007D7A2E" w:rsidRPr="00461101">
        <w:rPr>
          <w:rFonts w:ascii="Times New Roman" w:hAnsi="Times New Roman" w:cs="Times New Roman"/>
          <w:noProof/>
          <w:sz w:val="24"/>
          <w:szCs w:val="24"/>
        </w:rPr>
        <w:t>-876</w:t>
      </w:r>
      <w:r w:rsidR="002B59B3" w:rsidRPr="00461101">
        <w:rPr>
          <w:rFonts w:ascii="Times New Roman" w:hAnsi="Times New Roman" w:cs="Times New Roman"/>
          <w:noProof/>
          <w:sz w:val="24"/>
          <w:szCs w:val="24"/>
        </w:rPr>
        <w:t>,</w:t>
      </w:r>
      <w:r w:rsidR="007D7A2E" w:rsidRPr="00461101">
        <w:rPr>
          <w:rFonts w:ascii="Times New Roman" w:hAnsi="Times New Roman" w:cs="Times New Roman"/>
          <w:noProof/>
          <w:sz w:val="24"/>
          <w:szCs w:val="24"/>
        </w:rPr>
        <w:t>9</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2B59B3" w:rsidRPr="00461101">
        <w:rPr>
          <w:rFonts w:ascii="Times New Roman" w:hAnsi="Times New Roman" w:cs="Times New Roman"/>
          <w:noProof/>
          <w:sz w:val="24"/>
          <w:szCs w:val="24"/>
        </w:rPr>
        <w:t xml:space="preserve"> un</w:t>
      </w:r>
      <w:r w:rsidR="002B59B3" w:rsidRPr="00461101">
        <w:rPr>
          <w:rFonts w:ascii="Times New Roman" w:hAnsi="Times New Roman" w:cs="Times New Roman"/>
          <w:sz w:val="24"/>
          <w:szCs w:val="24"/>
        </w:rPr>
        <w:t xml:space="preserve"> </w:t>
      </w:r>
      <w:r w:rsidR="002B59B3" w:rsidRPr="00461101">
        <w:rPr>
          <w:rFonts w:ascii="Times New Roman" w:hAnsi="Times New Roman" w:cs="Times New Roman"/>
          <w:noProof/>
          <w:sz w:val="24"/>
          <w:szCs w:val="24"/>
        </w:rPr>
        <w:t>202</w:t>
      </w:r>
      <w:r w:rsidR="007D7A2E" w:rsidRPr="00461101">
        <w:rPr>
          <w:rFonts w:ascii="Times New Roman" w:hAnsi="Times New Roman" w:cs="Times New Roman"/>
          <w:noProof/>
          <w:sz w:val="24"/>
          <w:szCs w:val="24"/>
        </w:rPr>
        <w:t>3.</w:t>
      </w:r>
      <w:r w:rsidR="002B59B3" w:rsidRPr="00461101">
        <w:rPr>
          <w:rFonts w:ascii="Times New Roman" w:hAnsi="Times New Roman" w:cs="Times New Roman"/>
          <w:noProof/>
          <w:sz w:val="24"/>
          <w:szCs w:val="24"/>
        </w:rPr>
        <w:t xml:space="preserve">gadā  </w:t>
      </w:r>
      <w:r w:rsidR="007D7A2E" w:rsidRPr="00461101">
        <w:rPr>
          <w:rFonts w:ascii="Times New Roman" w:hAnsi="Times New Roman" w:cs="Times New Roman"/>
          <w:noProof/>
          <w:sz w:val="24"/>
          <w:szCs w:val="24"/>
        </w:rPr>
        <w:t>-563,8</w:t>
      </w:r>
      <w:r w:rsidR="002B59B3" w:rsidRPr="00461101">
        <w:rPr>
          <w:rFonts w:ascii="Times New Roman" w:hAnsi="Times New Roman" w:cs="Times New Roman"/>
          <w:noProof/>
          <w:sz w:val="24"/>
          <w:szCs w:val="24"/>
        </w:rPr>
        <w:t xml:space="preserve"> milj. </w:t>
      </w:r>
      <w:r w:rsidR="002B59B3" w:rsidRPr="00461101">
        <w:rPr>
          <w:rFonts w:ascii="Times New Roman" w:hAnsi="Times New Roman" w:cs="Times New Roman"/>
          <w:i/>
          <w:noProof/>
          <w:sz w:val="24"/>
          <w:szCs w:val="24"/>
        </w:rPr>
        <w:t>euro</w:t>
      </w:r>
      <w:r w:rsidR="002B59B3" w:rsidRPr="00461101">
        <w:rPr>
          <w:rFonts w:ascii="Times New Roman" w:hAnsi="Times New Roman" w:cs="Times New Roman"/>
          <w:noProof/>
          <w:sz w:val="24"/>
          <w:szCs w:val="24"/>
        </w:rPr>
        <w:t>.</w:t>
      </w:r>
    </w:p>
    <w:p w:rsidR="00192F8C" w:rsidRPr="00461101" w:rsidRDefault="00192F8C" w:rsidP="00147D3C">
      <w:pPr>
        <w:spacing w:before="120" w:after="120" w:line="240" w:lineRule="auto"/>
        <w:ind w:firstLine="720"/>
        <w:jc w:val="both"/>
        <w:rPr>
          <w:rFonts w:ascii="Times New Roman" w:hAnsi="Times New Roman" w:cs="Times New Roman"/>
          <w:noProof/>
          <w:sz w:val="24"/>
          <w:szCs w:val="24"/>
        </w:rPr>
      </w:pP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253"/>
        <w:gridCol w:w="1701"/>
        <w:gridCol w:w="1701"/>
        <w:gridCol w:w="1701"/>
      </w:tblGrid>
      <w:tr w:rsidR="00B47381" w:rsidRPr="00461101" w:rsidTr="00147D3C">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bottom w:val="none" w:sz="0" w:space="0" w:color="auto"/>
              <w:right w:val="none" w:sz="0" w:space="0" w:color="auto"/>
            </w:tcBorders>
            <w:shd w:val="clear" w:color="auto" w:fill="auto"/>
          </w:tcPr>
          <w:p w:rsidR="00B47381" w:rsidRPr="00461101" w:rsidRDefault="00B47381" w:rsidP="00210902">
            <w:pPr>
              <w:tabs>
                <w:tab w:val="left" w:pos="851"/>
              </w:tabs>
              <w:spacing w:after="120"/>
              <w:rPr>
                <w:rFonts w:ascii="Times New Roman" w:hAnsi="Times New Roman" w:cs="Times New Roman"/>
                <w:b w:val="0"/>
                <w:sz w:val="20"/>
                <w:szCs w:val="20"/>
              </w:rPr>
            </w:pPr>
          </w:p>
        </w:tc>
        <w:tc>
          <w:tcPr>
            <w:tcW w:w="1701" w:type="dxa"/>
            <w:tcBorders>
              <w:top w:val="none" w:sz="0" w:space="0" w:color="auto"/>
              <w:left w:val="none" w:sz="0" w:space="0" w:color="auto"/>
              <w:bottom w:val="none" w:sz="0" w:space="0" w:color="auto"/>
              <w:right w:val="none" w:sz="0" w:space="0" w:color="auto"/>
            </w:tcBorders>
            <w:shd w:val="clear" w:color="auto" w:fill="auto"/>
          </w:tcPr>
          <w:p w:rsidR="00B47381" w:rsidRPr="00147D3C" w:rsidRDefault="00B47381" w:rsidP="00147D3C">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2021.gadā</w:t>
            </w:r>
            <w:r w:rsidR="00147D3C">
              <w:rPr>
                <w:rFonts w:ascii="Times New Roman" w:hAnsi="Times New Roman" w:cs="Times New Roman"/>
                <w:sz w:val="20"/>
                <w:szCs w:val="20"/>
              </w:rPr>
              <w:t xml:space="preserve">, </w:t>
            </w:r>
            <w:r w:rsidR="00147D3C" w:rsidRPr="00147D3C">
              <w:rPr>
                <w:rFonts w:ascii="Times New Roman" w:hAnsi="Times New Roman" w:cs="Times New Roman"/>
                <w:b w:val="0"/>
                <w:sz w:val="20"/>
                <w:szCs w:val="20"/>
              </w:rPr>
              <w:t>milj.</w:t>
            </w:r>
            <w:r w:rsidR="00147D3C">
              <w:rPr>
                <w:rFonts w:ascii="Times New Roman" w:hAnsi="Times New Roman" w:cs="Times New Roman"/>
                <w:sz w:val="20"/>
                <w:szCs w:val="20"/>
              </w:rPr>
              <w:t xml:space="preserve"> </w:t>
            </w:r>
            <w:proofErr w:type="spellStart"/>
            <w:r w:rsidR="00147D3C">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right w:val="none" w:sz="0" w:space="0" w:color="auto"/>
            </w:tcBorders>
            <w:shd w:val="clear" w:color="auto" w:fill="auto"/>
          </w:tcPr>
          <w:p w:rsidR="00B47381" w:rsidRPr="00147D3C" w:rsidRDefault="00B47381" w:rsidP="00210902">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2022.gadā</w:t>
            </w:r>
            <w:r w:rsidR="00147D3C">
              <w:rPr>
                <w:rFonts w:ascii="Times New Roman" w:hAnsi="Times New Roman" w:cs="Times New Roman"/>
                <w:sz w:val="20"/>
                <w:szCs w:val="20"/>
              </w:rPr>
              <w:t xml:space="preserve">, </w:t>
            </w:r>
            <w:r w:rsidR="00147D3C" w:rsidRPr="00147D3C">
              <w:rPr>
                <w:rFonts w:ascii="Times New Roman" w:hAnsi="Times New Roman" w:cs="Times New Roman"/>
                <w:b w:val="0"/>
                <w:sz w:val="20"/>
                <w:szCs w:val="20"/>
              </w:rPr>
              <w:t>milj.</w:t>
            </w:r>
            <w:r w:rsidR="00147D3C">
              <w:rPr>
                <w:rFonts w:ascii="Times New Roman" w:hAnsi="Times New Roman" w:cs="Times New Roman"/>
                <w:sz w:val="20"/>
                <w:szCs w:val="20"/>
              </w:rPr>
              <w:t xml:space="preserve"> </w:t>
            </w:r>
            <w:proofErr w:type="spellStart"/>
            <w:r w:rsidR="00147D3C">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tcBorders>
            <w:shd w:val="clear" w:color="auto" w:fill="auto"/>
          </w:tcPr>
          <w:p w:rsidR="00B47381" w:rsidRPr="00461101" w:rsidRDefault="00B47381" w:rsidP="00210902">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2023.gadā</w:t>
            </w:r>
            <w:r w:rsidR="00147D3C">
              <w:rPr>
                <w:rFonts w:ascii="Times New Roman" w:hAnsi="Times New Roman" w:cs="Times New Roman"/>
                <w:sz w:val="20"/>
                <w:szCs w:val="20"/>
              </w:rPr>
              <w:t xml:space="preserve">, </w:t>
            </w:r>
            <w:r w:rsidR="00147D3C" w:rsidRPr="00147D3C">
              <w:rPr>
                <w:rFonts w:ascii="Times New Roman" w:hAnsi="Times New Roman" w:cs="Times New Roman"/>
                <w:b w:val="0"/>
                <w:sz w:val="20"/>
                <w:szCs w:val="20"/>
              </w:rPr>
              <w:t>milj.</w:t>
            </w:r>
            <w:r w:rsidR="00147D3C">
              <w:rPr>
                <w:rFonts w:ascii="Times New Roman" w:hAnsi="Times New Roman" w:cs="Times New Roman"/>
                <w:sz w:val="20"/>
                <w:szCs w:val="20"/>
              </w:rPr>
              <w:t xml:space="preserve"> </w:t>
            </w:r>
            <w:proofErr w:type="spellStart"/>
            <w:r w:rsidR="00147D3C">
              <w:rPr>
                <w:rFonts w:ascii="Times New Roman" w:hAnsi="Times New Roman" w:cs="Times New Roman"/>
                <w:b w:val="0"/>
                <w:i/>
                <w:sz w:val="20"/>
                <w:szCs w:val="20"/>
              </w:rPr>
              <w:t>euro</w:t>
            </w:r>
            <w:proofErr w:type="spellEnd"/>
          </w:p>
        </w:tc>
      </w:tr>
      <w:tr w:rsidR="000E31B7" w:rsidRPr="00461101" w:rsidTr="00147D3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253" w:type="dxa"/>
          </w:tcPr>
          <w:p w:rsidR="00B47381" w:rsidRPr="00461101" w:rsidRDefault="00B47381" w:rsidP="004E7619">
            <w:pPr>
              <w:tabs>
                <w:tab w:val="left" w:pos="851"/>
              </w:tabs>
              <w:spacing w:after="120"/>
              <w:rPr>
                <w:rFonts w:ascii="Times New Roman" w:hAnsi="Times New Roman" w:cs="Times New Roman"/>
                <w:sz w:val="20"/>
                <w:szCs w:val="20"/>
              </w:rPr>
            </w:pPr>
            <w:r w:rsidRPr="00461101">
              <w:rPr>
                <w:rFonts w:ascii="Times New Roman" w:hAnsi="Times New Roman" w:cs="Times New Roman"/>
                <w:sz w:val="20"/>
                <w:szCs w:val="20"/>
              </w:rPr>
              <w:t>Vispārējās valdības budžeta bilance pie</w:t>
            </w:r>
            <w:r w:rsidR="004E7619" w:rsidRPr="00461101">
              <w:rPr>
                <w:rFonts w:ascii="Times New Roman" w:hAnsi="Times New Roman" w:cs="Times New Roman"/>
                <w:sz w:val="20"/>
                <w:szCs w:val="20"/>
              </w:rPr>
              <w:t xml:space="preserve"> nemainīgas valdības politikas</w:t>
            </w:r>
          </w:p>
        </w:tc>
        <w:tc>
          <w:tcPr>
            <w:tcW w:w="1701" w:type="dxa"/>
          </w:tcPr>
          <w:p w:rsidR="00B47381" w:rsidRPr="00461101"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61101">
              <w:rPr>
                <w:rFonts w:ascii="Times New Roman" w:hAnsi="Times New Roman" w:cs="Times New Roman"/>
                <w:b/>
                <w:noProof/>
                <w:sz w:val="20"/>
                <w:szCs w:val="20"/>
              </w:rPr>
              <w:t>-1184,9 </w:t>
            </w:r>
          </w:p>
        </w:tc>
        <w:tc>
          <w:tcPr>
            <w:tcW w:w="1701" w:type="dxa"/>
          </w:tcPr>
          <w:p w:rsidR="00B47381" w:rsidRPr="00461101"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61101">
              <w:rPr>
                <w:rFonts w:ascii="Times New Roman" w:hAnsi="Times New Roman" w:cs="Times New Roman"/>
                <w:b/>
                <w:noProof/>
                <w:sz w:val="20"/>
                <w:szCs w:val="20"/>
              </w:rPr>
              <w:t>-876,9 </w:t>
            </w:r>
          </w:p>
        </w:tc>
        <w:tc>
          <w:tcPr>
            <w:tcW w:w="1701" w:type="dxa"/>
          </w:tcPr>
          <w:p w:rsidR="00B47381" w:rsidRPr="00461101" w:rsidRDefault="00B47381" w:rsidP="00210902">
            <w:pPr>
              <w:tabs>
                <w:tab w:val="left" w:pos="851"/>
              </w:tabs>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61101">
              <w:rPr>
                <w:rFonts w:ascii="Times New Roman" w:hAnsi="Times New Roman" w:cs="Times New Roman"/>
                <w:b/>
                <w:noProof/>
                <w:sz w:val="20"/>
                <w:szCs w:val="20"/>
              </w:rPr>
              <w:t>-563,8 </w:t>
            </w:r>
          </w:p>
        </w:tc>
      </w:tr>
    </w:tbl>
    <w:p w:rsidR="00B47381" w:rsidRPr="00461101" w:rsidRDefault="00B47381" w:rsidP="00815D06">
      <w:pPr>
        <w:spacing w:after="120" w:line="240" w:lineRule="auto"/>
        <w:ind w:firstLine="720"/>
        <w:jc w:val="both"/>
        <w:rPr>
          <w:rFonts w:ascii="Times New Roman" w:hAnsi="Times New Roman" w:cs="Times New Roman"/>
          <w:noProof/>
          <w:sz w:val="24"/>
          <w:szCs w:val="24"/>
        </w:rPr>
      </w:pPr>
    </w:p>
    <w:p w:rsidR="00B21820" w:rsidRPr="00461101" w:rsidRDefault="00B21820" w:rsidP="006D48C2">
      <w:pPr>
        <w:pStyle w:val="ListParagraph"/>
        <w:numPr>
          <w:ilvl w:val="0"/>
          <w:numId w:val="1"/>
        </w:numPr>
        <w:shd w:val="clear" w:color="auto" w:fill="FFD966" w:themeFill="accent4" w:themeFillTint="99"/>
        <w:tabs>
          <w:tab w:val="left" w:pos="0"/>
          <w:tab w:val="left" w:pos="993"/>
        </w:tabs>
        <w:spacing w:after="120" w:line="240" w:lineRule="auto"/>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Nodokļu ieņēmumu pasākumu ietekme uz valsts budžetu</w:t>
      </w:r>
    </w:p>
    <w:p w:rsidR="009003D3" w:rsidRDefault="00B21820" w:rsidP="00DD5A39">
      <w:pPr>
        <w:spacing w:before="120" w:after="120" w:line="240" w:lineRule="auto"/>
        <w:ind w:firstLine="720"/>
        <w:jc w:val="both"/>
        <w:rPr>
          <w:rFonts w:ascii="Times New Roman" w:hAnsi="Times New Roman" w:cs="Times New Roman"/>
          <w:color w:val="000000"/>
          <w:sz w:val="24"/>
          <w:szCs w:val="24"/>
        </w:rPr>
      </w:pPr>
      <w:r w:rsidRPr="00461101">
        <w:rPr>
          <w:rFonts w:ascii="Times New Roman" w:hAnsi="Times New Roman" w:cs="Times New Roman"/>
          <w:sz w:val="24"/>
          <w:szCs w:val="24"/>
        </w:rPr>
        <w:t xml:space="preserve">MK 2020.gada 2.septembra sēdē (prot. Nr.51 </w:t>
      </w:r>
      <w:r w:rsidR="00574AC1">
        <w:rPr>
          <w:rFonts w:ascii="Times New Roman" w:hAnsi="Times New Roman" w:cs="Times New Roman"/>
          <w:sz w:val="24"/>
          <w:szCs w:val="24"/>
        </w:rPr>
        <w:t>45</w:t>
      </w:r>
      <w:r w:rsidR="009558C3">
        <w:rPr>
          <w:rFonts w:ascii="Times New Roman" w:hAnsi="Times New Roman" w:cs="Times New Roman"/>
          <w:sz w:val="24"/>
          <w:szCs w:val="24"/>
        </w:rPr>
        <w:t>.§)</w:t>
      </w:r>
      <w:r w:rsidRPr="00461101">
        <w:rPr>
          <w:rFonts w:ascii="Times New Roman" w:hAnsi="Times New Roman" w:cs="Times New Roman"/>
          <w:sz w:val="24"/>
          <w:szCs w:val="24"/>
        </w:rPr>
        <w:t xml:space="preserve"> </w:t>
      </w:r>
      <w:r w:rsidR="009558C3">
        <w:rPr>
          <w:rFonts w:ascii="Times New Roman" w:hAnsi="Times New Roman" w:cs="Times New Roman"/>
          <w:sz w:val="24"/>
          <w:szCs w:val="24"/>
        </w:rPr>
        <w:t>tika izskatīts</w:t>
      </w:r>
      <w:r w:rsidRPr="00461101">
        <w:rPr>
          <w:rFonts w:ascii="Times New Roman" w:hAnsi="Times New Roman" w:cs="Times New Roman"/>
          <w:sz w:val="24"/>
          <w:szCs w:val="24"/>
        </w:rPr>
        <w:t xml:space="preserve"> i</w:t>
      </w:r>
      <w:r w:rsidR="009558C3">
        <w:rPr>
          <w:rFonts w:ascii="Times New Roman" w:hAnsi="Times New Roman" w:cs="Times New Roman"/>
          <w:color w:val="000000"/>
          <w:sz w:val="24"/>
          <w:szCs w:val="24"/>
        </w:rPr>
        <w:t>nformatīvais ziņojums</w:t>
      </w:r>
      <w:r w:rsidRPr="00461101">
        <w:rPr>
          <w:rFonts w:ascii="Times New Roman" w:hAnsi="Times New Roman" w:cs="Times New Roman"/>
          <w:color w:val="000000"/>
          <w:sz w:val="24"/>
          <w:szCs w:val="24"/>
        </w:rPr>
        <w:t xml:space="preserve"> </w:t>
      </w:r>
      <w:r w:rsidRPr="00461101">
        <w:rPr>
          <w:rFonts w:ascii="Times New Roman" w:hAnsi="Times New Roman" w:cs="Times New Roman"/>
          <w:sz w:val="24"/>
          <w:szCs w:val="24"/>
        </w:rPr>
        <w:t>„</w:t>
      </w:r>
      <w:r w:rsidRPr="00461101">
        <w:rPr>
          <w:rFonts w:ascii="Times New Roman" w:hAnsi="Times New Roman" w:cs="Times New Roman"/>
          <w:iCs/>
          <w:sz w:val="24"/>
          <w:szCs w:val="24"/>
          <w:lang w:eastAsia="lv-LV"/>
        </w:rPr>
        <w:t>Par nodokļu politikas attīstības virzieniem, valsts sociālās ilgtspējas un ekonomikas konkurētspējas veicināšanai</w:t>
      </w:r>
      <w:r w:rsidRPr="00461101">
        <w:rPr>
          <w:rFonts w:ascii="Times New Roman" w:hAnsi="Times New Roman" w:cs="Times New Roman"/>
          <w:sz w:val="24"/>
          <w:szCs w:val="24"/>
        </w:rPr>
        <w:t>”</w:t>
      </w:r>
      <w:r w:rsidRPr="00461101">
        <w:rPr>
          <w:rFonts w:ascii="Times New Roman" w:hAnsi="Times New Roman" w:cs="Times New Roman"/>
          <w:color w:val="000000"/>
          <w:sz w:val="24"/>
          <w:szCs w:val="24"/>
        </w:rPr>
        <w:t>,</w:t>
      </w:r>
      <w:r w:rsidR="00284DEB" w:rsidRPr="00461101">
        <w:rPr>
          <w:rFonts w:ascii="Times New Roman" w:hAnsi="Times New Roman" w:cs="Times New Roman"/>
          <w:color w:val="000000"/>
          <w:sz w:val="24"/>
          <w:szCs w:val="24"/>
        </w:rPr>
        <w:t xml:space="preserve"> </w:t>
      </w:r>
      <w:r w:rsidR="009558C3">
        <w:rPr>
          <w:rFonts w:ascii="Times New Roman" w:hAnsi="Times New Roman" w:cs="Times New Roman"/>
          <w:color w:val="000000"/>
          <w:sz w:val="24"/>
          <w:szCs w:val="24"/>
        </w:rPr>
        <w:t>kurā paredzētas</w:t>
      </w:r>
      <w:r w:rsidR="00284DEB" w:rsidRPr="00461101">
        <w:rPr>
          <w:rFonts w:ascii="Times New Roman" w:hAnsi="Times New Roman" w:cs="Times New Roman"/>
          <w:color w:val="000000"/>
          <w:sz w:val="24"/>
          <w:szCs w:val="24"/>
        </w:rPr>
        <w:t xml:space="preserve"> izmaiņas vairāku nodokļu</w:t>
      </w:r>
      <w:r w:rsidR="004E7619" w:rsidRPr="00461101">
        <w:rPr>
          <w:rFonts w:ascii="Times New Roman" w:hAnsi="Times New Roman" w:cs="Times New Roman"/>
          <w:color w:val="000000"/>
          <w:sz w:val="24"/>
          <w:szCs w:val="24"/>
        </w:rPr>
        <w:t xml:space="preserve"> likumu</w:t>
      </w:r>
      <w:r w:rsidR="00F51BB5">
        <w:rPr>
          <w:rFonts w:ascii="Times New Roman" w:hAnsi="Times New Roman" w:cs="Times New Roman"/>
          <w:color w:val="000000"/>
          <w:sz w:val="24"/>
          <w:szCs w:val="24"/>
        </w:rPr>
        <w:t xml:space="preserve"> normās.</w:t>
      </w:r>
    </w:p>
    <w:p w:rsidR="00F51BB5" w:rsidRPr="00461101" w:rsidRDefault="00F51BB5" w:rsidP="00DD5A39">
      <w:pPr>
        <w:spacing w:before="120" w:after="120" w:line="240" w:lineRule="auto"/>
        <w:ind w:firstLine="720"/>
        <w:jc w:val="both"/>
        <w:rPr>
          <w:rFonts w:ascii="Times New Roman" w:hAnsi="Times New Roman" w:cs="Times New Roman"/>
          <w:noProof/>
          <w:sz w:val="24"/>
          <w:szCs w:val="24"/>
        </w:rPr>
      </w:pP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59"/>
        <w:gridCol w:w="1595"/>
        <w:gridCol w:w="1701"/>
        <w:gridCol w:w="1701"/>
      </w:tblGrid>
      <w:tr w:rsidR="00FF505B" w:rsidRPr="00461101" w:rsidTr="00AD497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tcBorders>
              <w:top w:val="none" w:sz="0" w:space="0" w:color="auto"/>
              <w:bottom w:val="none" w:sz="0" w:space="0" w:color="auto"/>
              <w:right w:val="none" w:sz="0" w:space="0" w:color="auto"/>
            </w:tcBorders>
            <w:shd w:val="clear" w:color="auto" w:fill="auto"/>
          </w:tcPr>
          <w:p w:rsidR="00FF505B" w:rsidRPr="00461101" w:rsidRDefault="00FF505B" w:rsidP="00FF505B">
            <w:pPr>
              <w:tabs>
                <w:tab w:val="left" w:pos="851"/>
              </w:tabs>
              <w:spacing w:after="120"/>
              <w:rPr>
                <w:rFonts w:ascii="Times New Roman" w:hAnsi="Times New Roman" w:cs="Times New Roman"/>
                <w:b w:val="0"/>
                <w:sz w:val="20"/>
                <w:szCs w:val="20"/>
              </w:rPr>
            </w:pPr>
          </w:p>
        </w:tc>
        <w:tc>
          <w:tcPr>
            <w:tcW w:w="1595" w:type="dxa"/>
            <w:tcBorders>
              <w:top w:val="none" w:sz="0" w:space="0" w:color="auto"/>
              <w:left w:val="none" w:sz="0" w:space="0" w:color="auto"/>
              <w:bottom w:val="none" w:sz="0" w:space="0" w:color="auto"/>
              <w:right w:val="none" w:sz="0" w:space="0" w:color="auto"/>
            </w:tcBorders>
            <w:shd w:val="clear" w:color="auto" w:fill="auto"/>
          </w:tcPr>
          <w:p w:rsidR="00FF505B" w:rsidRPr="00147D3C" w:rsidRDefault="00FF505B" w:rsidP="00FF505B">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2021.gadā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right w:val="none" w:sz="0" w:space="0" w:color="auto"/>
            </w:tcBorders>
            <w:shd w:val="clear" w:color="auto" w:fill="auto"/>
          </w:tcPr>
          <w:p w:rsidR="00FF505B" w:rsidRPr="00147D3C" w:rsidRDefault="00FF505B" w:rsidP="00FF505B">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2022.gadā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tcBorders>
            <w:shd w:val="clear" w:color="auto" w:fill="auto"/>
          </w:tcPr>
          <w:p w:rsidR="00FF505B" w:rsidRPr="00461101" w:rsidRDefault="00FF505B" w:rsidP="00FF505B">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2023.gadā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r>
      <w:tr w:rsidR="00FF5C88" w:rsidRPr="00461101" w:rsidTr="00EF528E">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359" w:type="dxa"/>
          </w:tcPr>
          <w:p w:rsidR="004E7619" w:rsidRPr="00461101" w:rsidRDefault="004E7619" w:rsidP="004E7619">
            <w:pPr>
              <w:rPr>
                <w:rFonts w:ascii="Times New Roman" w:hAnsi="Times New Roman" w:cs="Times New Roman"/>
                <w:b w:val="0"/>
                <w:bCs w:val="0"/>
                <w:sz w:val="20"/>
                <w:szCs w:val="20"/>
              </w:rPr>
            </w:pPr>
            <w:r w:rsidRPr="00461101">
              <w:rPr>
                <w:rFonts w:ascii="Times New Roman" w:hAnsi="Times New Roman" w:cs="Times New Roman"/>
                <w:sz w:val="20"/>
                <w:szCs w:val="20"/>
              </w:rPr>
              <w:t>Nodokļu pasākumu fiskālā ietekme uz valsts budžetu</w:t>
            </w:r>
          </w:p>
        </w:tc>
        <w:tc>
          <w:tcPr>
            <w:tcW w:w="1595" w:type="dxa"/>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0"/>
                <w:szCs w:val="20"/>
              </w:rPr>
            </w:pPr>
            <w:r w:rsidRPr="00461101">
              <w:rPr>
                <w:rFonts w:ascii="Times New Roman" w:hAnsi="Times New Roman" w:cs="Times New Roman"/>
                <w:b/>
                <w:bCs/>
                <w:iCs/>
                <w:sz w:val="20"/>
                <w:szCs w:val="20"/>
              </w:rPr>
              <w:t>+69,9</w:t>
            </w:r>
          </w:p>
        </w:tc>
        <w:tc>
          <w:tcPr>
            <w:tcW w:w="1701" w:type="dxa"/>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0"/>
                <w:szCs w:val="20"/>
              </w:rPr>
            </w:pPr>
            <w:r w:rsidRPr="00461101">
              <w:rPr>
                <w:rFonts w:ascii="Times New Roman" w:hAnsi="Times New Roman" w:cs="Times New Roman"/>
                <w:b/>
                <w:bCs/>
                <w:iCs/>
                <w:sz w:val="20"/>
                <w:szCs w:val="20"/>
              </w:rPr>
              <w:t>+140,7</w:t>
            </w:r>
          </w:p>
        </w:tc>
        <w:tc>
          <w:tcPr>
            <w:tcW w:w="1701" w:type="dxa"/>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0"/>
                <w:szCs w:val="20"/>
              </w:rPr>
            </w:pPr>
            <w:r w:rsidRPr="00461101">
              <w:rPr>
                <w:rFonts w:ascii="Times New Roman" w:hAnsi="Times New Roman" w:cs="Times New Roman"/>
                <w:b/>
                <w:bCs/>
                <w:iCs/>
                <w:sz w:val="20"/>
                <w:szCs w:val="20"/>
              </w:rPr>
              <w:t>+162,7</w:t>
            </w:r>
          </w:p>
        </w:tc>
      </w:tr>
      <w:tr w:rsidR="004E7619" w:rsidRPr="00461101" w:rsidTr="00AD4971">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tcPr>
          <w:p w:rsidR="004E7619" w:rsidRPr="00461101" w:rsidRDefault="004E7619" w:rsidP="004E7619">
            <w:pPr>
              <w:rPr>
                <w:rFonts w:ascii="Times New Roman" w:hAnsi="Times New Roman" w:cs="Times New Roman"/>
                <w:b w:val="0"/>
                <w:iCs/>
                <w:color w:val="000000"/>
                <w:sz w:val="20"/>
                <w:szCs w:val="20"/>
              </w:rPr>
            </w:pPr>
            <w:r w:rsidRPr="00461101">
              <w:rPr>
                <w:rFonts w:ascii="Times New Roman" w:hAnsi="Times New Roman" w:cs="Times New Roman"/>
                <w:b w:val="0"/>
                <w:iCs/>
                <w:color w:val="000000"/>
                <w:sz w:val="20"/>
                <w:szCs w:val="20"/>
              </w:rPr>
              <w:t>VSAOI likmes samazināšana par 1%  (0.5% darba devējam un 0,5% darba ņēmējam)</w:t>
            </w:r>
          </w:p>
        </w:tc>
        <w:tc>
          <w:tcPr>
            <w:tcW w:w="1595"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61101">
              <w:rPr>
                <w:rFonts w:ascii="Times New Roman" w:hAnsi="Times New Roman" w:cs="Times New Roman"/>
                <w:color w:val="000000"/>
                <w:sz w:val="20"/>
                <w:szCs w:val="20"/>
              </w:rPr>
              <w:t>-81,4</w:t>
            </w:r>
          </w:p>
        </w:tc>
        <w:tc>
          <w:tcPr>
            <w:tcW w:w="1701"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61101">
              <w:rPr>
                <w:rFonts w:ascii="Times New Roman" w:hAnsi="Times New Roman" w:cs="Times New Roman"/>
                <w:color w:val="000000"/>
                <w:sz w:val="20"/>
                <w:szCs w:val="20"/>
              </w:rPr>
              <w:t>-81,4</w:t>
            </w:r>
          </w:p>
        </w:tc>
        <w:tc>
          <w:tcPr>
            <w:tcW w:w="1701"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61101">
              <w:rPr>
                <w:rFonts w:ascii="Times New Roman" w:hAnsi="Times New Roman" w:cs="Times New Roman"/>
                <w:color w:val="000000"/>
                <w:sz w:val="20"/>
                <w:szCs w:val="20"/>
              </w:rPr>
              <w:t>-81,4</w:t>
            </w:r>
          </w:p>
        </w:tc>
      </w:tr>
      <w:tr w:rsidR="00FF5C88" w:rsidRPr="00461101" w:rsidTr="00AD497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tcPr>
          <w:p w:rsidR="004E7619" w:rsidRPr="00461101" w:rsidRDefault="004E7619" w:rsidP="004E7619">
            <w:pPr>
              <w:rPr>
                <w:rFonts w:ascii="Times New Roman" w:hAnsi="Times New Roman" w:cs="Times New Roman"/>
                <w:b w:val="0"/>
                <w:iCs/>
                <w:color w:val="000000"/>
                <w:sz w:val="20"/>
                <w:szCs w:val="20"/>
              </w:rPr>
            </w:pPr>
            <w:r w:rsidRPr="00461101">
              <w:rPr>
                <w:rFonts w:ascii="Times New Roman" w:hAnsi="Times New Roman" w:cs="Times New Roman"/>
                <w:b w:val="0"/>
                <w:iCs/>
                <w:color w:val="000000"/>
                <w:sz w:val="20"/>
                <w:szCs w:val="20"/>
              </w:rPr>
              <w:t xml:space="preserve">DNM 300 </w:t>
            </w:r>
            <w:proofErr w:type="spellStart"/>
            <w:r w:rsidRPr="00461101">
              <w:rPr>
                <w:rFonts w:ascii="Times New Roman" w:hAnsi="Times New Roman" w:cs="Times New Roman"/>
                <w:b w:val="0"/>
                <w:i/>
                <w:iCs/>
                <w:color w:val="000000"/>
                <w:sz w:val="20"/>
                <w:szCs w:val="20"/>
              </w:rPr>
              <w:t>euro</w:t>
            </w:r>
            <w:proofErr w:type="spellEnd"/>
            <w:r w:rsidRPr="00461101">
              <w:rPr>
                <w:rFonts w:ascii="Times New Roman" w:hAnsi="Times New Roman" w:cs="Times New Roman"/>
                <w:b w:val="0"/>
                <w:iCs/>
                <w:color w:val="000000"/>
                <w:sz w:val="20"/>
                <w:szCs w:val="20"/>
              </w:rPr>
              <w:t xml:space="preserve"> mēnesī Ienākumi, līdz kuriem piemēro  DNM 500 - 1800 (2020.gadā 1200 </w:t>
            </w:r>
            <w:proofErr w:type="spellStart"/>
            <w:r w:rsidRPr="00461101">
              <w:rPr>
                <w:rFonts w:ascii="Times New Roman" w:hAnsi="Times New Roman" w:cs="Times New Roman"/>
                <w:b w:val="0"/>
                <w:i/>
                <w:iCs/>
                <w:color w:val="000000"/>
                <w:sz w:val="20"/>
                <w:szCs w:val="20"/>
              </w:rPr>
              <w:t>euro</w:t>
            </w:r>
            <w:proofErr w:type="spellEnd"/>
            <w:r w:rsidRPr="00461101">
              <w:rPr>
                <w:rFonts w:ascii="Times New Roman" w:hAnsi="Times New Roman" w:cs="Times New Roman"/>
                <w:b w:val="0"/>
                <w:iCs/>
                <w:color w:val="000000"/>
                <w:sz w:val="20"/>
                <w:szCs w:val="20"/>
              </w:rPr>
              <w:t xml:space="preserve">), </w:t>
            </w:r>
            <w:proofErr w:type="spellStart"/>
            <w:r w:rsidRPr="00461101">
              <w:rPr>
                <w:rFonts w:ascii="Times New Roman" w:hAnsi="Times New Roman" w:cs="Times New Roman"/>
                <w:b w:val="0"/>
                <w:i/>
                <w:iCs/>
                <w:color w:val="000000"/>
                <w:sz w:val="20"/>
                <w:szCs w:val="20"/>
              </w:rPr>
              <w:t>euro</w:t>
            </w:r>
            <w:proofErr w:type="spellEnd"/>
            <w:r w:rsidRPr="00461101">
              <w:rPr>
                <w:rFonts w:ascii="Times New Roman" w:hAnsi="Times New Roman" w:cs="Times New Roman"/>
                <w:b w:val="0"/>
                <w:iCs/>
                <w:color w:val="000000"/>
                <w:sz w:val="20"/>
                <w:szCs w:val="20"/>
              </w:rPr>
              <w:t xml:space="preserve"> mēnesī</w:t>
            </w:r>
          </w:p>
        </w:tc>
        <w:tc>
          <w:tcPr>
            <w:tcW w:w="1595"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61101">
              <w:rPr>
                <w:rFonts w:ascii="Times New Roman" w:hAnsi="Times New Roman" w:cs="Times New Roman"/>
                <w:color w:val="000000"/>
                <w:sz w:val="20"/>
                <w:szCs w:val="20"/>
              </w:rPr>
              <w:t>-10,4</w:t>
            </w:r>
          </w:p>
        </w:tc>
        <w:tc>
          <w:tcPr>
            <w:tcW w:w="1701"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61101">
              <w:rPr>
                <w:rFonts w:ascii="Times New Roman" w:hAnsi="Times New Roman" w:cs="Times New Roman"/>
                <w:color w:val="000000"/>
                <w:sz w:val="20"/>
                <w:szCs w:val="20"/>
              </w:rPr>
              <w:t>-10,4</w:t>
            </w:r>
          </w:p>
        </w:tc>
        <w:tc>
          <w:tcPr>
            <w:tcW w:w="1701"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61101">
              <w:rPr>
                <w:rFonts w:ascii="Times New Roman" w:hAnsi="Times New Roman" w:cs="Times New Roman"/>
                <w:color w:val="000000"/>
                <w:sz w:val="20"/>
                <w:szCs w:val="20"/>
              </w:rPr>
              <w:t>-10,4</w:t>
            </w:r>
          </w:p>
        </w:tc>
      </w:tr>
      <w:tr w:rsidR="004E7619" w:rsidRPr="00461101" w:rsidTr="00AD4971">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tcPr>
          <w:p w:rsidR="004E7619" w:rsidRPr="00461101" w:rsidRDefault="004E7619" w:rsidP="004E7619">
            <w:pPr>
              <w:rPr>
                <w:rFonts w:ascii="Times New Roman" w:hAnsi="Times New Roman" w:cs="Times New Roman"/>
                <w:b w:val="0"/>
                <w:iCs/>
                <w:color w:val="000000"/>
                <w:sz w:val="20"/>
                <w:szCs w:val="20"/>
              </w:rPr>
            </w:pPr>
            <w:r w:rsidRPr="00461101">
              <w:rPr>
                <w:rFonts w:ascii="Times New Roman" w:hAnsi="Times New Roman" w:cs="Times New Roman"/>
                <w:b w:val="0"/>
                <w:iCs/>
                <w:color w:val="000000"/>
                <w:sz w:val="20"/>
                <w:szCs w:val="20"/>
              </w:rPr>
              <w:t>IIN pārdale uz 75%/25%</w:t>
            </w:r>
          </w:p>
        </w:tc>
        <w:tc>
          <w:tcPr>
            <w:tcW w:w="1595"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+90,9</w:t>
            </w:r>
          </w:p>
        </w:tc>
        <w:tc>
          <w:tcPr>
            <w:tcW w:w="1701"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+90,9</w:t>
            </w:r>
          </w:p>
        </w:tc>
        <w:tc>
          <w:tcPr>
            <w:tcW w:w="1701"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+90,9</w:t>
            </w:r>
          </w:p>
        </w:tc>
      </w:tr>
      <w:tr w:rsidR="00FF5C88" w:rsidRPr="00461101" w:rsidTr="00AD497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tcPr>
          <w:p w:rsidR="004E7619" w:rsidRPr="00461101" w:rsidRDefault="004E7619" w:rsidP="004E7619">
            <w:pPr>
              <w:rPr>
                <w:rFonts w:ascii="Times New Roman" w:hAnsi="Times New Roman" w:cs="Times New Roman"/>
                <w:b w:val="0"/>
                <w:iCs/>
                <w:color w:val="000000"/>
                <w:sz w:val="20"/>
                <w:szCs w:val="20"/>
              </w:rPr>
            </w:pPr>
            <w:r w:rsidRPr="00461101">
              <w:rPr>
                <w:rFonts w:ascii="Times New Roman" w:hAnsi="Times New Roman" w:cs="Times New Roman"/>
                <w:b w:val="0"/>
                <w:iCs/>
                <w:color w:val="000000"/>
                <w:sz w:val="20"/>
                <w:szCs w:val="20"/>
              </w:rPr>
              <w:t>Minimālā VSAOI objekta ieviešana</w:t>
            </w:r>
          </w:p>
        </w:tc>
        <w:tc>
          <w:tcPr>
            <w:tcW w:w="1595"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+53,3</w:t>
            </w:r>
          </w:p>
        </w:tc>
        <w:tc>
          <w:tcPr>
            <w:tcW w:w="1701"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+118,9</w:t>
            </w:r>
          </w:p>
        </w:tc>
        <w:tc>
          <w:tcPr>
            <w:tcW w:w="1701"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+137,2</w:t>
            </w:r>
          </w:p>
        </w:tc>
      </w:tr>
      <w:tr w:rsidR="004E7619" w:rsidRPr="00461101" w:rsidTr="00AD4971">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tcPr>
          <w:p w:rsidR="004E7619" w:rsidRPr="00461101" w:rsidRDefault="004E7619" w:rsidP="004E7619">
            <w:pPr>
              <w:rPr>
                <w:rFonts w:ascii="Times New Roman" w:hAnsi="Times New Roman" w:cs="Times New Roman"/>
                <w:b w:val="0"/>
                <w:iCs/>
                <w:color w:val="000000"/>
                <w:sz w:val="20"/>
                <w:szCs w:val="20"/>
              </w:rPr>
            </w:pPr>
            <w:r w:rsidRPr="00461101">
              <w:rPr>
                <w:rFonts w:ascii="Times New Roman" w:hAnsi="Times New Roman" w:cs="Times New Roman"/>
                <w:b w:val="0"/>
                <w:iCs/>
                <w:color w:val="000000"/>
                <w:sz w:val="20"/>
                <w:szCs w:val="20"/>
              </w:rPr>
              <w:t>Akcīzes nodokļa likmju paaugstināšana tabakas izstrādājumiem  (no 2022.gada 2% jāparedz KKF izdevumu pieaugumam)</w:t>
            </w:r>
          </w:p>
        </w:tc>
        <w:tc>
          <w:tcPr>
            <w:tcW w:w="1595"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+5,0</w:t>
            </w:r>
          </w:p>
        </w:tc>
        <w:tc>
          <w:tcPr>
            <w:tcW w:w="1701"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+10,2</w:t>
            </w:r>
          </w:p>
        </w:tc>
        <w:tc>
          <w:tcPr>
            <w:tcW w:w="1701" w:type="dxa"/>
            <w:shd w:val="clear" w:color="auto" w:fill="auto"/>
          </w:tcPr>
          <w:p w:rsidR="004E7619" w:rsidRPr="00461101" w:rsidRDefault="004E7619" w:rsidP="004E761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+14,0</w:t>
            </w:r>
          </w:p>
        </w:tc>
      </w:tr>
      <w:tr w:rsidR="00FF5C88" w:rsidRPr="00461101" w:rsidTr="00AD497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tcPr>
          <w:p w:rsidR="004E7619" w:rsidRPr="00461101" w:rsidRDefault="004E7619" w:rsidP="004E7619">
            <w:pPr>
              <w:rPr>
                <w:rFonts w:ascii="Times New Roman" w:hAnsi="Times New Roman" w:cs="Times New Roman"/>
                <w:b w:val="0"/>
                <w:iCs/>
                <w:sz w:val="20"/>
                <w:szCs w:val="20"/>
              </w:rPr>
            </w:pPr>
            <w:r w:rsidRPr="00461101">
              <w:rPr>
                <w:rFonts w:ascii="Times New Roman" w:hAnsi="Times New Roman" w:cs="Times New Roman"/>
                <w:b w:val="0"/>
                <w:iCs/>
                <w:sz w:val="20"/>
                <w:szCs w:val="20"/>
              </w:rPr>
              <w:t>Transportlīdzekļu nodokļi un nodevas (valsts pamatbudžetā)</w:t>
            </w:r>
          </w:p>
        </w:tc>
        <w:tc>
          <w:tcPr>
            <w:tcW w:w="1595"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+12,4</w:t>
            </w:r>
          </w:p>
        </w:tc>
        <w:tc>
          <w:tcPr>
            <w:tcW w:w="1701"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+12,4</w:t>
            </w:r>
          </w:p>
        </w:tc>
        <w:tc>
          <w:tcPr>
            <w:tcW w:w="1701" w:type="dxa"/>
            <w:shd w:val="clear" w:color="auto" w:fill="auto"/>
          </w:tcPr>
          <w:p w:rsidR="004E7619" w:rsidRPr="00461101" w:rsidRDefault="004E7619" w:rsidP="004E761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461101">
              <w:rPr>
                <w:rFonts w:ascii="Times New Roman" w:hAnsi="Times New Roman" w:cs="Times New Roman"/>
                <w:iCs/>
                <w:sz w:val="20"/>
                <w:szCs w:val="20"/>
              </w:rPr>
              <w:t>+12,4</w:t>
            </w:r>
          </w:p>
        </w:tc>
      </w:tr>
    </w:tbl>
    <w:p w:rsidR="007D634A" w:rsidRPr="003E1087" w:rsidRDefault="007D634A" w:rsidP="007D634A">
      <w:pPr>
        <w:pStyle w:val="xxmsonormal"/>
        <w:spacing w:before="120" w:after="120"/>
        <w:ind w:firstLine="720"/>
        <w:jc w:val="both"/>
        <w:rPr>
          <w:rFonts w:ascii="Times New Roman" w:hAnsi="Times New Roman" w:cs="Times New Roman"/>
          <w:sz w:val="24"/>
          <w:szCs w:val="24"/>
        </w:rPr>
      </w:pPr>
      <w:r w:rsidRPr="003E1087">
        <w:rPr>
          <w:rStyle w:val="xxspelle"/>
          <w:rFonts w:ascii="Times New Roman" w:hAnsi="Times New Roman" w:cs="Times New Roman"/>
          <w:sz w:val="24"/>
          <w:szCs w:val="24"/>
        </w:rPr>
        <w:t>Atbildīgajām ministrijām, i</w:t>
      </w:r>
      <w:r w:rsidRPr="003E1087">
        <w:rPr>
          <w:rFonts w:ascii="Times New Roman" w:hAnsi="Times New Roman" w:cs="Times New Roman"/>
          <w:sz w:val="24"/>
          <w:szCs w:val="24"/>
        </w:rPr>
        <w:t xml:space="preserve">zstrādājot </w:t>
      </w:r>
      <w:r w:rsidRPr="003E1087">
        <w:rPr>
          <w:rStyle w:val="xxspelle"/>
          <w:rFonts w:ascii="Times New Roman" w:hAnsi="Times New Roman" w:cs="Times New Roman"/>
          <w:sz w:val="24"/>
          <w:szCs w:val="24"/>
        </w:rPr>
        <w:t>normatīvo aktu grozījumus izskatīšanai kopā ar likumprojektu "Par vidēja termiņa budžeta ietvaru 2021., 2022. un 2023.gadam" un likumprojekta "Par valsts budžetu 2021.gadam" a</w:t>
      </w:r>
      <w:r w:rsidRPr="003E1087">
        <w:rPr>
          <w:rFonts w:ascii="Times New Roman" w:hAnsi="Times New Roman" w:cs="Times New Roman"/>
          <w:sz w:val="24"/>
          <w:szCs w:val="24"/>
        </w:rPr>
        <w:t xml:space="preserve">tbilstoši 2020.gada 2.septembra Ministru kabineta sēdē </w:t>
      </w:r>
      <w:r w:rsidRPr="003E1087">
        <w:rPr>
          <w:rFonts w:ascii="Times New Roman" w:hAnsi="Times New Roman" w:cs="Times New Roman"/>
          <w:sz w:val="24"/>
          <w:szCs w:val="24"/>
        </w:rPr>
        <w:lastRenderedPageBreak/>
        <w:t xml:space="preserve">izskatītajam un atbalstītajam Finanšu ministrijas sagatavotajam informatīvajam ziņojumam </w:t>
      </w:r>
      <w:r w:rsidRPr="003E1087">
        <w:rPr>
          <w:rFonts w:ascii="Times New Roman" w:hAnsi="Times New Roman" w:cs="Times New Roman"/>
          <w:i/>
          <w:iCs/>
          <w:sz w:val="24"/>
          <w:szCs w:val="24"/>
        </w:rPr>
        <w:t xml:space="preserve">„Par nodokļu politikas attīstības virzieniem, valsts sociālās ilgtspējas un ekonomikas konkurētspējas veicināšanai” </w:t>
      </w:r>
      <w:r w:rsidRPr="003E1087">
        <w:rPr>
          <w:rFonts w:ascii="Times New Roman" w:hAnsi="Times New Roman" w:cs="Times New Roman"/>
          <w:sz w:val="24"/>
          <w:szCs w:val="24"/>
        </w:rPr>
        <w:t>(TA-1643;</w:t>
      </w:r>
      <w:r w:rsidRPr="003E1087">
        <w:rPr>
          <w:rFonts w:ascii="Times New Roman" w:hAnsi="Times New Roman" w:cs="Times New Roman"/>
          <w:i/>
          <w:iCs/>
          <w:sz w:val="24"/>
          <w:szCs w:val="24"/>
        </w:rPr>
        <w:t xml:space="preserve"> </w:t>
      </w:r>
      <w:r w:rsidRPr="003E1087">
        <w:rPr>
          <w:rFonts w:ascii="Times New Roman" w:hAnsi="Times New Roman" w:cs="Times New Roman"/>
          <w:sz w:val="24"/>
          <w:szCs w:val="24"/>
        </w:rPr>
        <w:t>turpmāk – informatīvais ziņojums)</w:t>
      </w:r>
      <w:r w:rsidRPr="003E1087">
        <w:rPr>
          <w:rFonts w:ascii="Times New Roman" w:hAnsi="Times New Roman" w:cs="Times New Roman"/>
          <w:i/>
          <w:iCs/>
          <w:sz w:val="24"/>
          <w:szCs w:val="24"/>
        </w:rPr>
        <w:t xml:space="preserve"> </w:t>
      </w:r>
      <w:r w:rsidRPr="003E1087">
        <w:rPr>
          <w:rFonts w:ascii="Times New Roman" w:hAnsi="Times New Roman" w:cs="Times New Roman"/>
          <w:sz w:val="24"/>
          <w:szCs w:val="24"/>
        </w:rPr>
        <w:t>tam</w:t>
      </w:r>
      <w:r w:rsidRPr="003E1087">
        <w:rPr>
          <w:rStyle w:val="xxspelle"/>
          <w:rFonts w:ascii="Times New Roman" w:hAnsi="Times New Roman" w:cs="Times New Roman"/>
          <w:sz w:val="24"/>
          <w:szCs w:val="24"/>
        </w:rPr>
        <w:t xml:space="preserve"> pievienotajam </w:t>
      </w:r>
      <w:r w:rsidRPr="003E1087">
        <w:rPr>
          <w:rFonts w:ascii="Times New Roman" w:hAnsi="Times New Roman" w:cs="Times New Roman"/>
          <w:sz w:val="24"/>
          <w:szCs w:val="24"/>
        </w:rPr>
        <w:t xml:space="preserve">Ministru kabineta </w:t>
      </w:r>
      <w:proofErr w:type="spellStart"/>
      <w:r w:rsidRPr="003E1087">
        <w:rPr>
          <w:rStyle w:val="xxspelle"/>
          <w:rFonts w:ascii="Times New Roman" w:hAnsi="Times New Roman" w:cs="Times New Roman"/>
          <w:sz w:val="24"/>
          <w:szCs w:val="24"/>
        </w:rPr>
        <w:t>protokollēmuma</w:t>
      </w:r>
      <w:proofErr w:type="spellEnd"/>
      <w:r w:rsidRPr="003E1087">
        <w:rPr>
          <w:rStyle w:val="xxspelle"/>
          <w:rFonts w:ascii="Times New Roman" w:hAnsi="Times New Roman" w:cs="Times New Roman"/>
          <w:sz w:val="24"/>
          <w:szCs w:val="24"/>
        </w:rPr>
        <w:t xml:space="preserve"> 45§, </w:t>
      </w:r>
      <w:r w:rsidRPr="003E1087">
        <w:rPr>
          <w:rStyle w:val="xxspelle"/>
          <w:rFonts w:ascii="Times New Roman" w:hAnsi="Times New Roman" w:cs="Times New Roman"/>
          <w:b/>
          <w:bCs/>
          <w:sz w:val="24"/>
          <w:szCs w:val="24"/>
        </w:rPr>
        <w:t>nodrošināt, ka</w:t>
      </w:r>
      <w:r w:rsidRPr="003E1087">
        <w:rPr>
          <w:rStyle w:val="xxspelle"/>
          <w:rFonts w:ascii="Times New Roman" w:hAnsi="Times New Roman" w:cs="Times New Roman"/>
          <w:sz w:val="24"/>
          <w:szCs w:val="24"/>
        </w:rPr>
        <w:t xml:space="preserve"> </w:t>
      </w:r>
      <w:r w:rsidRPr="003E1087">
        <w:rPr>
          <w:rStyle w:val="xxspelle"/>
          <w:rFonts w:ascii="Times New Roman" w:hAnsi="Times New Roman" w:cs="Times New Roman"/>
          <w:b/>
          <w:bCs/>
          <w:sz w:val="24"/>
          <w:szCs w:val="24"/>
        </w:rPr>
        <w:t>normatīvo aktu anotācijā tiek atspoguļotas</w:t>
      </w:r>
      <w:r w:rsidRPr="003E1087">
        <w:rPr>
          <w:rStyle w:val="xxspelle"/>
          <w:rFonts w:ascii="Times New Roman" w:hAnsi="Times New Roman" w:cs="Times New Roman"/>
          <w:sz w:val="24"/>
          <w:szCs w:val="24"/>
        </w:rPr>
        <w:t xml:space="preserve"> </w:t>
      </w:r>
      <w:r w:rsidRPr="003E1087">
        <w:rPr>
          <w:rFonts w:ascii="Times New Roman" w:hAnsi="Times New Roman" w:cs="Times New Roman"/>
          <w:b/>
          <w:bCs/>
          <w:color w:val="000000"/>
          <w:sz w:val="24"/>
          <w:szCs w:val="24"/>
          <w:shd w:val="clear" w:color="auto" w:fill="FFFFFF"/>
        </w:rPr>
        <w:t xml:space="preserve">tiesību akta projekta ietekmes uz nodokļu ieņēmumiem, kas atbilst </w:t>
      </w:r>
      <w:r w:rsidR="0004268C">
        <w:rPr>
          <w:rFonts w:ascii="Times New Roman" w:hAnsi="Times New Roman" w:cs="Times New Roman"/>
          <w:b/>
          <w:bCs/>
          <w:sz w:val="24"/>
          <w:szCs w:val="24"/>
        </w:rPr>
        <w:t>informatīvajā</w:t>
      </w:r>
      <w:r w:rsidRPr="003E1087">
        <w:rPr>
          <w:rFonts w:ascii="Times New Roman" w:hAnsi="Times New Roman" w:cs="Times New Roman"/>
          <w:b/>
          <w:bCs/>
          <w:sz w:val="24"/>
          <w:szCs w:val="24"/>
        </w:rPr>
        <w:t xml:space="preserve"> ziņojumā aprēķinātajām ietekmēm </w:t>
      </w:r>
      <w:r w:rsidRPr="003E1087">
        <w:rPr>
          <w:rFonts w:ascii="Times New Roman" w:hAnsi="Times New Roman" w:cs="Times New Roman"/>
          <w:sz w:val="24"/>
          <w:szCs w:val="24"/>
        </w:rPr>
        <w:t>(skat. informatīvā ziņojuma 25.tabulu), proti:</w:t>
      </w:r>
    </w:p>
    <w:p w:rsidR="007D634A" w:rsidRPr="003E1087" w:rsidRDefault="007D634A" w:rsidP="007D634A">
      <w:pPr>
        <w:pStyle w:val="xxmsolistparagraph"/>
        <w:numPr>
          <w:ilvl w:val="0"/>
          <w:numId w:val="18"/>
        </w:numPr>
        <w:spacing w:before="120" w:after="120"/>
        <w:jc w:val="both"/>
        <w:rPr>
          <w:sz w:val="24"/>
          <w:szCs w:val="24"/>
        </w:rPr>
      </w:pPr>
      <w:r w:rsidRPr="003E1087">
        <w:rPr>
          <w:sz w:val="24"/>
          <w:szCs w:val="24"/>
        </w:rPr>
        <w:t xml:space="preserve">valsts sociālās apdrošināšanas obligāto iemaksu (VSAOI) likmes mazināšanas par 1 procentpunktu – kopējā fiskālā ietekme uz valsts kopbudžetu ir negatīva: </w:t>
      </w:r>
      <w:r w:rsidRPr="003E1087">
        <w:rPr>
          <w:b/>
          <w:bCs/>
          <w:sz w:val="24"/>
          <w:szCs w:val="24"/>
        </w:rPr>
        <w:t>-75,6</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2021.gadā, </w:t>
      </w:r>
      <w:r w:rsidRPr="003E1087">
        <w:rPr>
          <w:b/>
          <w:bCs/>
          <w:sz w:val="24"/>
          <w:szCs w:val="24"/>
        </w:rPr>
        <w:t>-75,6</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2022.gadā un </w:t>
      </w:r>
      <w:r w:rsidRPr="003E1087">
        <w:rPr>
          <w:b/>
          <w:bCs/>
          <w:sz w:val="24"/>
          <w:szCs w:val="24"/>
        </w:rPr>
        <w:t>-75,6</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2023.gadā;</w:t>
      </w:r>
    </w:p>
    <w:p w:rsidR="007D634A" w:rsidRPr="003E1087" w:rsidRDefault="007D634A" w:rsidP="007D634A">
      <w:pPr>
        <w:pStyle w:val="xxmsolistparagraph"/>
        <w:numPr>
          <w:ilvl w:val="0"/>
          <w:numId w:val="18"/>
        </w:numPr>
        <w:spacing w:before="120" w:after="120"/>
        <w:jc w:val="both"/>
        <w:rPr>
          <w:sz w:val="24"/>
          <w:szCs w:val="24"/>
        </w:rPr>
      </w:pPr>
      <w:r w:rsidRPr="003E1087">
        <w:rPr>
          <w:color w:val="000000"/>
          <w:sz w:val="24"/>
          <w:szCs w:val="24"/>
        </w:rPr>
        <w:t xml:space="preserve">ienākumu sliekšņa līdz kuram piemēro diferencēto neapliekamo minimumu, paaugstināšana līdz 1 800 </w:t>
      </w:r>
      <w:proofErr w:type="spellStart"/>
      <w:r w:rsidRPr="003E1087">
        <w:rPr>
          <w:i/>
          <w:iCs/>
          <w:color w:val="000000"/>
          <w:sz w:val="24"/>
          <w:szCs w:val="24"/>
        </w:rPr>
        <w:t>euro</w:t>
      </w:r>
      <w:proofErr w:type="spellEnd"/>
      <w:r w:rsidRPr="003E1087">
        <w:rPr>
          <w:i/>
          <w:iCs/>
          <w:color w:val="000000"/>
          <w:sz w:val="24"/>
          <w:szCs w:val="24"/>
        </w:rPr>
        <w:t xml:space="preserve"> </w:t>
      </w:r>
      <w:r w:rsidRPr="003E1087">
        <w:rPr>
          <w:color w:val="000000"/>
          <w:sz w:val="24"/>
          <w:szCs w:val="24"/>
        </w:rPr>
        <w:t xml:space="preserve">mēnesī – </w:t>
      </w:r>
      <w:r w:rsidRPr="003E1087">
        <w:rPr>
          <w:sz w:val="24"/>
          <w:szCs w:val="24"/>
        </w:rPr>
        <w:t xml:space="preserve">kopējā fiskālā ietekme uz valsts kopbudžetu ir negatīva: </w:t>
      </w:r>
      <w:r w:rsidRPr="003E1087">
        <w:rPr>
          <w:b/>
          <w:bCs/>
          <w:sz w:val="24"/>
          <w:szCs w:val="24"/>
        </w:rPr>
        <w:t>-41,6</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2021.gadā, </w:t>
      </w:r>
      <w:r w:rsidRPr="003E1087">
        <w:rPr>
          <w:b/>
          <w:bCs/>
          <w:sz w:val="24"/>
          <w:szCs w:val="24"/>
        </w:rPr>
        <w:t>-41,6</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2022.gadā un </w:t>
      </w:r>
      <w:r w:rsidRPr="003E1087">
        <w:rPr>
          <w:b/>
          <w:bCs/>
          <w:sz w:val="24"/>
          <w:szCs w:val="24"/>
        </w:rPr>
        <w:t>-41,6</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2023.gadā;</w:t>
      </w:r>
    </w:p>
    <w:p w:rsidR="007D634A" w:rsidRPr="003E1087" w:rsidRDefault="007D634A" w:rsidP="007D634A">
      <w:pPr>
        <w:pStyle w:val="xxmsolistparagraph"/>
        <w:numPr>
          <w:ilvl w:val="0"/>
          <w:numId w:val="18"/>
        </w:numPr>
        <w:spacing w:before="120" w:after="120"/>
        <w:jc w:val="both"/>
        <w:rPr>
          <w:sz w:val="24"/>
          <w:szCs w:val="24"/>
        </w:rPr>
      </w:pPr>
      <w:r w:rsidRPr="003E1087">
        <w:rPr>
          <w:color w:val="000000"/>
          <w:sz w:val="24"/>
          <w:szCs w:val="24"/>
        </w:rPr>
        <w:t xml:space="preserve">minimālā VSAOI apmēra ieviešana – </w:t>
      </w:r>
      <w:r w:rsidRPr="003E1087">
        <w:rPr>
          <w:sz w:val="24"/>
          <w:szCs w:val="24"/>
        </w:rPr>
        <w:t xml:space="preserve">kopējā fiskālā ietekme uz valsts kopbudžetu ir pozitīva: </w:t>
      </w:r>
      <w:r w:rsidRPr="003E1087">
        <w:rPr>
          <w:b/>
          <w:bCs/>
          <w:sz w:val="24"/>
          <w:szCs w:val="24"/>
        </w:rPr>
        <w:t>+73,3</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2021.gadā, </w:t>
      </w:r>
      <w:r w:rsidRPr="003E1087">
        <w:rPr>
          <w:b/>
          <w:bCs/>
          <w:sz w:val="24"/>
          <w:szCs w:val="24"/>
        </w:rPr>
        <w:t>+150,5</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2022.gadā un +</w:t>
      </w:r>
      <w:r w:rsidRPr="003E1087">
        <w:rPr>
          <w:b/>
          <w:bCs/>
          <w:sz w:val="24"/>
          <w:szCs w:val="24"/>
        </w:rPr>
        <w:t>166,9</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2023.gadā;</w:t>
      </w:r>
    </w:p>
    <w:p w:rsidR="007D634A" w:rsidRPr="003E1087" w:rsidRDefault="007D634A" w:rsidP="007D634A">
      <w:pPr>
        <w:pStyle w:val="xxmsolistparagraph"/>
        <w:numPr>
          <w:ilvl w:val="0"/>
          <w:numId w:val="18"/>
        </w:numPr>
        <w:spacing w:before="120" w:after="120"/>
        <w:jc w:val="both"/>
        <w:rPr>
          <w:sz w:val="24"/>
          <w:szCs w:val="24"/>
        </w:rPr>
      </w:pPr>
      <w:r w:rsidRPr="003E1087">
        <w:rPr>
          <w:color w:val="000000"/>
          <w:sz w:val="24"/>
          <w:szCs w:val="24"/>
        </w:rPr>
        <w:t>akcīzes nodokļa likmju tabakas izstrādājumiem paaugstināšana</w:t>
      </w:r>
      <w:r w:rsidRPr="003E1087">
        <w:rPr>
          <w:b/>
          <w:bCs/>
          <w:color w:val="000000"/>
          <w:sz w:val="24"/>
          <w:szCs w:val="24"/>
        </w:rPr>
        <w:t xml:space="preserve"> </w:t>
      </w:r>
      <w:r w:rsidRPr="003E1087">
        <w:rPr>
          <w:color w:val="000000"/>
          <w:sz w:val="24"/>
          <w:szCs w:val="24"/>
        </w:rPr>
        <w:t xml:space="preserve">– </w:t>
      </w:r>
      <w:r w:rsidRPr="003E1087">
        <w:rPr>
          <w:sz w:val="24"/>
          <w:szCs w:val="24"/>
        </w:rPr>
        <w:t xml:space="preserve">kopējā fiskālā ietekme uz valsts kopbudžetu ir pozitīva: </w:t>
      </w:r>
      <w:r w:rsidRPr="003E1087">
        <w:rPr>
          <w:b/>
          <w:bCs/>
          <w:sz w:val="24"/>
          <w:szCs w:val="24"/>
        </w:rPr>
        <w:t>+5,0</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2021.gadā, </w:t>
      </w:r>
      <w:r w:rsidRPr="003E1087">
        <w:rPr>
          <w:b/>
          <w:bCs/>
          <w:sz w:val="24"/>
          <w:szCs w:val="24"/>
        </w:rPr>
        <w:t>+10,2</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2022.gadā un +</w:t>
      </w:r>
      <w:r w:rsidRPr="003E1087">
        <w:rPr>
          <w:b/>
          <w:bCs/>
          <w:sz w:val="24"/>
          <w:szCs w:val="24"/>
        </w:rPr>
        <w:t>14,0</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2023.gadā;</w:t>
      </w:r>
    </w:p>
    <w:p w:rsidR="007D634A" w:rsidRPr="003E1087" w:rsidRDefault="007D634A" w:rsidP="007D634A">
      <w:pPr>
        <w:pStyle w:val="xxmsolistparagraph"/>
        <w:numPr>
          <w:ilvl w:val="0"/>
          <w:numId w:val="18"/>
        </w:numPr>
        <w:spacing w:before="120" w:after="120"/>
        <w:jc w:val="both"/>
        <w:rPr>
          <w:sz w:val="24"/>
          <w:szCs w:val="24"/>
        </w:rPr>
      </w:pPr>
      <w:r w:rsidRPr="003E1087">
        <w:rPr>
          <w:color w:val="000000"/>
          <w:sz w:val="24"/>
          <w:szCs w:val="24"/>
        </w:rPr>
        <w:t>transportlīdzekļu nodokļu un nodevu izmaiņas</w:t>
      </w:r>
      <w:r w:rsidRPr="003E1087">
        <w:rPr>
          <w:b/>
          <w:bCs/>
          <w:color w:val="000000"/>
          <w:sz w:val="24"/>
          <w:szCs w:val="24"/>
        </w:rPr>
        <w:t xml:space="preserve"> </w:t>
      </w:r>
      <w:r w:rsidRPr="003E1087">
        <w:rPr>
          <w:color w:val="000000"/>
          <w:sz w:val="24"/>
          <w:szCs w:val="24"/>
        </w:rPr>
        <w:t xml:space="preserve">– </w:t>
      </w:r>
      <w:r w:rsidRPr="003E1087">
        <w:rPr>
          <w:sz w:val="24"/>
          <w:szCs w:val="24"/>
        </w:rPr>
        <w:t xml:space="preserve">kopējā fiskālā ietekme uz valsts kopbudžetu ir pozitīva: </w:t>
      </w:r>
      <w:r w:rsidRPr="003E1087">
        <w:rPr>
          <w:b/>
          <w:bCs/>
          <w:sz w:val="24"/>
          <w:szCs w:val="24"/>
        </w:rPr>
        <w:t>+12,4</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 xml:space="preserve">2021.gadā, </w:t>
      </w:r>
      <w:r w:rsidRPr="003E1087">
        <w:rPr>
          <w:b/>
          <w:bCs/>
          <w:sz w:val="24"/>
          <w:szCs w:val="24"/>
        </w:rPr>
        <w:t>+12,4</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2022.gadā un +</w:t>
      </w:r>
      <w:r w:rsidRPr="003E1087">
        <w:rPr>
          <w:b/>
          <w:bCs/>
          <w:sz w:val="24"/>
          <w:szCs w:val="24"/>
        </w:rPr>
        <w:t>12,4</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r w:rsidRPr="003E1087">
        <w:rPr>
          <w:i/>
          <w:iCs/>
          <w:sz w:val="24"/>
          <w:szCs w:val="24"/>
        </w:rPr>
        <w:t xml:space="preserve"> </w:t>
      </w:r>
      <w:r w:rsidRPr="003E1087">
        <w:rPr>
          <w:sz w:val="24"/>
          <w:szCs w:val="24"/>
        </w:rPr>
        <w:t>2023.gadā.</w:t>
      </w:r>
    </w:p>
    <w:p w:rsidR="007D634A" w:rsidRPr="003E1087" w:rsidRDefault="007D634A" w:rsidP="007D634A">
      <w:pPr>
        <w:pStyle w:val="xxmsolistparagraph"/>
        <w:numPr>
          <w:ilvl w:val="0"/>
          <w:numId w:val="18"/>
        </w:numPr>
        <w:spacing w:before="120" w:after="120"/>
        <w:jc w:val="both"/>
        <w:rPr>
          <w:sz w:val="24"/>
          <w:szCs w:val="24"/>
        </w:rPr>
      </w:pPr>
      <w:r w:rsidRPr="003E1087">
        <w:rPr>
          <w:sz w:val="24"/>
          <w:szCs w:val="24"/>
        </w:rPr>
        <w:t>iedzīvotāju ienākuma nodokļa pārdale pašvaldību budžetā no 80% uz 75% - fiskālā ietekme  </w:t>
      </w:r>
      <w:r w:rsidRPr="003E1087">
        <w:rPr>
          <w:b/>
          <w:bCs/>
          <w:sz w:val="24"/>
          <w:szCs w:val="24"/>
        </w:rPr>
        <w:t>-90,9</w:t>
      </w:r>
      <w:r w:rsidRPr="003E1087">
        <w:rPr>
          <w:sz w:val="24"/>
          <w:szCs w:val="24"/>
        </w:rPr>
        <w:t xml:space="preserve"> milj. </w:t>
      </w:r>
      <w:proofErr w:type="spellStart"/>
      <w:r w:rsidRPr="003E1087">
        <w:rPr>
          <w:i/>
          <w:iCs/>
          <w:sz w:val="24"/>
          <w:szCs w:val="24"/>
        </w:rPr>
        <w:t>euro</w:t>
      </w:r>
      <w:proofErr w:type="spellEnd"/>
      <w:r w:rsidRPr="003E1087">
        <w:rPr>
          <w:sz w:val="24"/>
          <w:szCs w:val="24"/>
        </w:rPr>
        <w:t xml:space="preserve"> apmērā un valsts pamatbudžetā no 20% uz 25% - fiskālā ietekme </w:t>
      </w:r>
      <w:r w:rsidRPr="003E1087">
        <w:rPr>
          <w:b/>
          <w:bCs/>
          <w:sz w:val="24"/>
          <w:szCs w:val="24"/>
        </w:rPr>
        <w:t>+90,9</w:t>
      </w:r>
      <w:r w:rsidRPr="003E1087">
        <w:rPr>
          <w:sz w:val="24"/>
          <w:szCs w:val="24"/>
        </w:rPr>
        <w:t xml:space="preserve"> milj. </w:t>
      </w:r>
      <w:proofErr w:type="spellStart"/>
      <w:r w:rsidRPr="003E1087">
        <w:rPr>
          <w:i/>
          <w:iCs/>
          <w:sz w:val="24"/>
          <w:szCs w:val="24"/>
        </w:rPr>
        <w:t>euro</w:t>
      </w:r>
      <w:proofErr w:type="spellEnd"/>
      <w:r w:rsidRPr="003E1087">
        <w:rPr>
          <w:i/>
          <w:iCs/>
          <w:sz w:val="24"/>
          <w:szCs w:val="24"/>
        </w:rPr>
        <w:t xml:space="preserve"> </w:t>
      </w:r>
      <w:r w:rsidRPr="003E1087">
        <w:rPr>
          <w:sz w:val="24"/>
          <w:szCs w:val="24"/>
        </w:rPr>
        <w:t>apmērā.</w:t>
      </w:r>
    </w:p>
    <w:p w:rsidR="007D634A" w:rsidRDefault="007D634A" w:rsidP="0096795C">
      <w:pPr>
        <w:pStyle w:val="xxmsonormal"/>
        <w:spacing w:before="120" w:after="120"/>
        <w:ind w:firstLine="720"/>
        <w:jc w:val="both"/>
        <w:rPr>
          <w:rFonts w:ascii="Times New Roman" w:hAnsi="Times New Roman" w:cs="Times New Roman"/>
          <w:b/>
          <w:bCs/>
          <w:sz w:val="24"/>
          <w:szCs w:val="24"/>
        </w:rPr>
      </w:pPr>
      <w:r w:rsidRPr="003E1087">
        <w:rPr>
          <w:rFonts w:ascii="Times New Roman" w:hAnsi="Times New Roman" w:cs="Times New Roman"/>
          <w:b/>
          <w:bCs/>
          <w:sz w:val="24"/>
          <w:szCs w:val="24"/>
        </w:rPr>
        <w:t xml:space="preserve">Ja </w:t>
      </w:r>
      <w:r w:rsidRPr="003E1087">
        <w:rPr>
          <w:rStyle w:val="xxspelle"/>
          <w:rFonts w:ascii="Times New Roman" w:hAnsi="Times New Roman" w:cs="Times New Roman"/>
          <w:b/>
          <w:bCs/>
          <w:sz w:val="24"/>
          <w:szCs w:val="24"/>
        </w:rPr>
        <w:t xml:space="preserve">normatīvo aktu </w:t>
      </w:r>
      <w:r w:rsidRPr="003E1087">
        <w:rPr>
          <w:rFonts w:ascii="Times New Roman" w:hAnsi="Times New Roman" w:cs="Times New Roman"/>
          <w:b/>
          <w:bCs/>
          <w:sz w:val="24"/>
          <w:szCs w:val="24"/>
          <w:shd w:val="clear" w:color="auto" w:fill="FFFFFF"/>
        </w:rPr>
        <w:t>projekta</w:t>
      </w:r>
      <w:r w:rsidR="006277EE" w:rsidRPr="003E1087">
        <w:rPr>
          <w:rFonts w:ascii="Times New Roman" w:hAnsi="Times New Roman" w:cs="Times New Roman"/>
          <w:b/>
          <w:bCs/>
          <w:sz w:val="24"/>
          <w:szCs w:val="24"/>
          <w:shd w:val="clear" w:color="auto" w:fill="FFFFFF"/>
        </w:rPr>
        <w:t xml:space="preserve"> ietekme uz kopējiem nodokļu ieņ</w:t>
      </w:r>
      <w:r w:rsidRPr="003E1087">
        <w:rPr>
          <w:rFonts w:ascii="Times New Roman" w:hAnsi="Times New Roman" w:cs="Times New Roman"/>
          <w:b/>
          <w:bCs/>
          <w:sz w:val="24"/>
          <w:szCs w:val="24"/>
          <w:shd w:val="clear" w:color="auto" w:fill="FFFFFF"/>
        </w:rPr>
        <w:t>ēmumiem</w:t>
      </w:r>
      <w:r w:rsidRPr="003E1087">
        <w:rPr>
          <w:rFonts w:ascii="Times New Roman" w:hAnsi="Times New Roman" w:cs="Times New Roman"/>
          <w:b/>
          <w:bCs/>
          <w:sz w:val="24"/>
          <w:szCs w:val="24"/>
        </w:rPr>
        <w:t xml:space="preserve"> zemāka par informatīvajā ziņojumā aprēķinātajām ietekmēm </w:t>
      </w:r>
      <w:r w:rsidRPr="003E1087">
        <w:rPr>
          <w:rFonts w:ascii="Times New Roman" w:hAnsi="Times New Roman" w:cs="Times New Roman"/>
          <w:sz w:val="24"/>
          <w:szCs w:val="24"/>
        </w:rPr>
        <w:t>(skat. informatīvā ziņojuma 25.tabulu)</w:t>
      </w:r>
      <w:r w:rsidRPr="003E1087">
        <w:rPr>
          <w:rFonts w:ascii="Times New Roman" w:hAnsi="Times New Roman" w:cs="Times New Roman"/>
          <w:b/>
          <w:bCs/>
          <w:sz w:val="24"/>
          <w:szCs w:val="24"/>
        </w:rPr>
        <w:t xml:space="preserve">, </w:t>
      </w:r>
      <w:r w:rsidRPr="003E1087">
        <w:rPr>
          <w:rStyle w:val="xxspelle"/>
          <w:rFonts w:ascii="Times New Roman" w:hAnsi="Times New Roman" w:cs="Times New Roman"/>
          <w:b/>
          <w:bCs/>
          <w:sz w:val="24"/>
          <w:szCs w:val="24"/>
        </w:rPr>
        <w:t>atbildīgajām ministrijām</w:t>
      </w:r>
      <w:r w:rsidRPr="003E1087">
        <w:rPr>
          <w:rFonts w:ascii="Times New Roman" w:hAnsi="Times New Roman" w:cs="Times New Roman"/>
          <w:b/>
          <w:bCs/>
          <w:sz w:val="24"/>
          <w:szCs w:val="24"/>
        </w:rPr>
        <w:t xml:space="preserve"> jāpiedāvā citi kompensējošie pasākumi.</w:t>
      </w:r>
    </w:p>
    <w:p w:rsidR="00800E53" w:rsidRPr="007D634A" w:rsidRDefault="00800E53" w:rsidP="0096795C">
      <w:pPr>
        <w:pStyle w:val="xxmsonormal"/>
        <w:spacing w:before="120" w:after="120"/>
        <w:ind w:firstLine="720"/>
        <w:jc w:val="both"/>
        <w:rPr>
          <w:rFonts w:ascii="Times New Roman" w:hAnsi="Times New Roman" w:cs="Times New Roman"/>
          <w:sz w:val="24"/>
          <w:szCs w:val="24"/>
        </w:rPr>
      </w:pP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59"/>
        <w:gridCol w:w="1595"/>
        <w:gridCol w:w="1701"/>
        <w:gridCol w:w="1701"/>
      </w:tblGrid>
      <w:tr w:rsidR="0096795C" w:rsidRPr="00461101" w:rsidTr="00C66C9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tcBorders>
              <w:top w:val="none" w:sz="0" w:space="0" w:color="auto"/>
              <w:bottom w:val="none" w:sz="0" w:space="0" w:color="auto"/>
              <w:right w:val="none" w:sz="0" w:space="0" w:color="auto"/>
            </w:tcBorders>
            <w:shd w:val="clear" w:color="auto" w:fill="auto"/>
          </w:tcPr>
          <w:p w:rsidR="0096795C" w:rsidRPr="00461101" w:rsidRDefault="0096795C" w:rsidP="0096795C">
            <w:pPr>
              <w:tabs>
                <w:tab w:val="left" w:pos="851"/>
              </w:tabs>
              <w:spacing w:after="120"/>
              <w:rPr>
                <w:rFonts w:ascii="Times New Roman" w:hAnsi="Times New Roman" w:cs="Times New Roman"/>
                <w:b w:val="0"/>
                <w:sz w:val="20"/>
                <w:szCs w:val="20"/>
              </w:rPr>
            </w:pPr>
          </w:p>
        </w:tc>
        <w:tc>
          <w:tcPr>
            <w:tcW w:w="1595" w:type="dxa"/>
            <w:tcBorders>
              <w:top w:val="none" w:sz="0" w:space="0" w:color="auto"/>
              <w:left w:val="none" w:sz="0" w:space="0" w:color="auto"/>
              <w:bottom w:val="none" w:sz="0" w:space="0" w:color="auto"/>
              <w:right w:val="none" w:sz="0" w:space="0" w:color="auto"/>
            </w:tcBorders>
            <w:shd w:val="clear" w:color="auto" w:fill="auto"/>
          </w:tcPr>
          <w:p w:rsidR="0096795C" w:rsidRPr="00147D3C" w:rsidRDefault="0096795C" w:rsidP="0096795C">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2021.gadā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right w:val="none" w:sz="0" w:space="0" w:color="auto"/>
            </w:tcBorders>
            <w:shd w:val="clear" w:color="auto" w:fill="auto"/>
          </w:tcPr>
          <w:p w:rsidR="0096795C" w:rsidRPr="00147D3C" w:rsidRDefault="0096795C" w:rsidP="0096795C">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2022.gadā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tcBorders>
            <w:shd w:val="clear" w:color="auto" w:fill="auto"/>
          </w:tcPr>
          <w:p w:rsidR="0096795C" w:rsidRPr="00461101" w:rsidRDefault="0096795C" w:rsidP="0096795C">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2023.gadā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r>
      <w:tr w:rsidR="0096795C" w:rsidRPr="00461101" w:rsidTr="007E4F0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359" w:type="dxa"/>
            <w:vAlign w:val="bottom"/>
          </w:tcPr>
          <w:p w:rsidR="0096795C" w:rsidRPr="0096795C" w:rsidRDefault="0096795C" w:rsidP="0096795C">
            <w:pPr>
              <w:rPr>
                <w:rFonts w:ascii="Times New Roman" w:hAnsi="Times New Roman" w:cs="Times New Roman"/>
                <w:bCs w:val="0"/>
                <w:sz w:val="20"/>
                <w:szCs w:val="20"/>
              </w:rPr>
            </w:pPr>
            <w:r w:rsidRPr="0096795C">
              <w:rPr>
                <w:rFonts w:ascii="Times New Roman" w:hAnsi="Times New Roman" w:cs="Times New Roman"/>
                <w:sz w:val="20"/>
                <w:szCs w:val="20"/>
              </w:rPr>
              <w:t>Izdevumu samazinājums saistībā ar VSAOI likmes samazināšana par 0.5% darba devējiem</w:t>
            </w:r>
          </w:p>
        </w:tc>
        <w:tc>
          <w:tcPr>
            <w:tcW w:w="1595" w:type="dxa"/>
            <w:vAlign w:val="center"/>
          </w:tcPr>
          <w:p w:rsidR="0096795C" w:rsidRPr="0096795C" w:rsidRDefault="0096795C" w:rsidP="009679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6795C">
              <w:rPr>
                <w:rFonts w:ascii="Times New Roman" w:hAnsi="Times New Roman" w:cs="Times New Roman"/>
                <w:b/>
                <w:sz w:val="20"/>
                <w:szCs w:val="20"/>
              </w:rPr>
              <w:t>-6,2</w:t>
            </w:r>
          </w:p>
        </w:tc>
        <w:tc>
          <w:tcPr>
            <w:tcW w:w="1701" w:type="dxa"/>
            <w:vAlign w:val="center"/>
          </w:tcPr>
          <w:p w:rsidR="0096795C" w:rsidRPr="0096795C" w:rsidRDefault="0096795C" w:rsidP="009679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6795C">
              <w:rPr>
                <w:rFonts w:ascii="Times New Roman" w:hAnsi="Times New Roman" w:cs="Times New Roman"/>
                <w:b/>
                <w:sz w:val="20"/>
                <w:szCs w:val="20"/>
              </w:rPr>
              <w:t>-6,2</w:t>
            </w:r>
          </w:p>
        </w:tc>
        <w:tc>
          <w:tcPr>
            <w:tcW w:w="1701" w:type="dxa"/>
            <w:vAlign w:val="center"/>
          </w:tcPr>
          <w:p w:rsidR="0096795C" w:rsidRPr="0096795C" w:rsidRDefault="0096795C" w:rsidP="009679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6795C">
              <w:rPr>
                <w:rFonts w:ascii="Times New Roman" w:hAnsi="Times New Roman" w:cs="Times New Roman"/>
                <w:b/>
                <w:sz w:val="20"/>
                <w:szCs w:val="20"/>
              </w:rPr>
              <w:t>-6,2</w:t>
            </w:r>
          </w:p>
        </w:tc>
      </w:tr>
    </w:tbl>
    <w:p w:rsidR="00B21820" w:rsidRPr="00461101" w:rsidRDefault="00B21820" w:rsidP="00815D06">
      <w:pPr>
        <w:spacing w:after="120" w:line="240" w:lineRule="auto"/>
        <w:ind w:firstLine="720"/>
        <w:jc w:val="both"/>
        <w:rPr>
          <w:rFonts w:ascii="Times New Roman" w:hAnsi="Times New Roman" w:cs="Times New Roman"/>
          <w:noProof/>
          <w:sz w:val="24"/>
          <w:szCs w:val="24"/>
        </w:rPr>
      </w:pPr>
    </w:p>
    <w:p w:rsidR="003150E7" w:rsidRPr="00461101" w:rsidRDefault="003150E7" w:rsidP="002925F3">
      <w:pPr>
        <w:spacing w:after="120" w:line="240" w:lineRule="auto"/>
        <w:ind w:firstLine="720"/>
        <w:jc w:val="both"/>
        <w:rPr>
          <w:rFonts w:ascii="Times New Roman" w:hAnsi="Times New Roman" w:cs="Times New Roman"/>
          <w:sz w:val="24"/>
          <w:szCs w:val="24"/>
        </w:rPr>
      </w:pPr>
    </w:p>
    <w:p w:rsidR="00B603D2" w:rsidRPr="00461101" w:rsidRDefault="009E0B58" w:rsidP="006D48C2">
      <w:pPr>
        <w:pStyle w:val="ListParagraph"/>
        <w:numPr>
          <w:ilvl w:val="0"/>
          <w:numId w:val="1"/>
        </w:numPr>
        <w:shd w:val="clear" w:color="auto" w:fill="FFD966" w:themeFill="accent4" w:themeFillTint="99"/>
        <w:spacing w:after="120" w:line="240" w:lineRule="auto"/>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Priekšlikumi prioritārajiem pasākumiem</w:t>
      </w:r>
    </w:p>
    <w:p w:rsidR="00D23211" w:rsidRDefault="0070062C" w:rsidP="00D23211">
      <w:pPr>
        <w:spacing w:before="120" w:after="120" w:line="240" w:lineRule="auto"/>
        <w:ind w:firstLine="720"/>
        <w:jc w:val="both"/>
        <w:rPr>
          <w:rFonts w:ascii="Times New Roman" w:hAnsi="Times New Roman" w:cs="Times New Roman"/>
          <w:color w:val="000000"/>
          <w:sz w:val="24"/>
          <w:szCs w:val="24"/>
        </w:rPr>
      </w:pPr>
      <w:r w:rsidRPr="00D23211">
        <w:rPr>
          <w:rFonts w:ascii="Times New Roman" w:hAnsi="Times New Roman" w:cs="Times New Roman"/>
          <w:sz w:val="24"/>
          <w:szCs w:val="24"/>
        </w:rPr>
        <w:t>MK 20</w:t>
      </w:r>
      <w:r w:rsidR="00826249" w:rsidRPr="00D23211">
        <w:rPr>
          <w:rFonts w:ascii="Times New Roman" w:hAnsi="Times New Roman" w:cs="Times New Roman"/>
          <w:sz w:val="24"/>
          <w:szCs w:val="24"/>
        </w:rPr>
        <w:t>20</w:t>
      </w:r>
      <w:r w:rsidRPr="00D23211">
        <w:rPr>
          <w:rFonts w:ascii="Times New Roman" w:hAnsi="Times New Roman" w:cs="Times New Roman"/>
          <w:sz w:val="24"/>
          <w:szCs w:val="24"/>
        </w:rPr>
        <w:t xml:space="preserve">.gada </w:t>
      </w:r>
      <w:r w:rsidR="00826249" w:rsidRPr="00D23211">
        <w:rPr>
          <w:rFonts w:ascii="Times New Roman" w:hAnsi="Times New Roman" w:cs="Times New Roman"/>
          <w:sz w:val="24"/>
          <w:szCs w:val="24"/>
        </w:rPr>
        <w:t>2</w:t>
      </w:r>
      <w:r w:rsidR="00C8730E" w:rsidRPr="00D23211">
        <w:rPr>
          <w:rFonts w:ascii="Times New Roman" w:hAnsi="Times New Roman" w:cs="Times New Roman"/>
          <w:sz w:val="24"/>
          <w:szCs w:val="24"/>
        </w:rPr>
        <w:t>.</w:t>
      </w:r>
      <w:r w:rsidR="00826249" w:rsidRPr="00D23211">
        <w:rPr>
          <w:rFonts w:ascii="Times New Roman" w:hAnsi="Times New Roman" w:cs="Times New Roman"/>
          <w:sz w:val="24"/>
          <w:szCs w:val="24"/>
        </w:rPr>
        <w:t>septembra</w:t>
      </w:r>
      <w:r w:rsidR="00931F3E" w:rsidRPr="00D23211">
        <w:rPr>
          <w:rFonts w:ascii="Times New Roman" w:hAnsi="Times New Roman" w:cs="Times New Roman"/>
          <w:sz w:val="24"/>
          <w:szCs w:val="24"/>
        </w:rPr>
        <w:t xml:space="preserve"> sēdē</w:t>
      </w:r>
      <w:r w:rsidR="00494FFF" w:rsidRPr="00D23211">
        <w:rPr>
          <w:rFonts w:ascii="Times New Roman" w:hAnsi="Times New Roman" w:cs="Times New Roman"/>
          <w:sz w:val="24"/>
          <w:szCs w:val="24"/>
        </w:rPr>
        <w:t xml:space="preserve"> (prot. Nr.51 </w:t>
      </w:r>
      <w:r w:rsidR="002B7F33" w:rsidRPr="00D23211">
        <w:rPr>
          <w:rFonts w:ascii="Times New Roman" w:hAnsi="Times New Roman" w:cs="Times New Roman"/>
          <w:sz w:val="24"/>
          <w:szCs w:val="24"/>
        </w:rPr>
        <w:t>54</w:t>
      </w:r>
      <w:r w:rsidR="00494FFF" w:rsidRPr="00D23211">
        <w:rPr>
          <w:rFonts w:ascii="Times New Roman" w:hAnsi="Times New Roman" w:cs="Times New Roman"/>
          <w:sz w:val="24"/>
          <w:szCs w:val="24"/>
        </w:rPr>
        <w:t>.§)</w:t>
      </w:r>
      <w:r w:rsidR="00931F3E" w:rsidRPr="00D23211">
        <w:rPr>
          <w:rFonts w:ascii="Times New Roman" w:hAnsi="Times New Roman" w:cs="Times New Roman"/>
          <w:sz w:val="24"/>
          <w:szCs w:val="24"/>
        </w:rPr>
        <w:t>, izskatot i</w:t>
      </w:r>
      <w:r w:rsidR="00931F3E" w:rsidRPr="00D23211">
        <w:rPr>
          <w:rFonts w:ascii="Times New Roman" w:hAnsi="Times New Roman" w:cs="Times New Roman"/>
          <w:color w:val="000000"/>
          <w:sz w:val="24"/>
          <w:szCs w:val="24"/>
        </w:rPr>
        <w:t>nformatīvo ziņojumu “Par ministriju un citu centrālo valsts iestāžu prioritārajiem pasākumiem 2021., 2022. un 2023. gadam”, tika atbalstīts papildu finansējum</w:t>
      </w:r>
      <w:r w:rsidR="00494FFF" w:rsidRPr="00D23211">
        <w:rPr>
          <w:rFonts w:ascii="Times New Roman" w:hAnsi="Times New Roman" w:cs="Times New Roman"/>
          <w:color w:val="000000"/>
          <w:sz w:val="24"/>
          <w:szCs w:val="24"/>
        </w:rPr>
        <w:t>a pieprasījums</w:t>
      </w:r>
      <w:r w:rsidR="00931F3E" w:rsidRPr="00D23211">
        <w:rPr>
          <w:rFonts w:ascii="Times New Roman" w:hAnsi="Times New Roman" w:cs="Times New Roman"/>
          <w:color w:val="000000"/>
          <w:sz w:val="24"/>
          <w:szCs w:val="24"/>
        </w:rPr>
        <w:t xml:space="preserve"> </w:t>
      </w:r>
      <w:r w:rsidR="00494FFF" w:rsidRPr="00D23211">
        <w:rPr>
          <w:rFonts w:ascii="Times New Roman" w:hAnsi="Times New Roman" w:cs="Times New Roman"/>
          <w:color w:val="000000"/>
          <w:sz w:val="24"/>
          <w:szCs w:val="24"/>
        </w:rPr>
        <w:t xml:space="preserve">atsevišķiem </w:t>
      </w:r>
      <w:proofErr w:type="spellStart"/>
      <w:r w:rsidR="00931F3E" w:rsidRPr="00D23211">
        <w:rPr>
          <w:rFonts w:ascii="Times New Roman" w:hAnsi="Times New Roman" w:cs="Times New Roman"/>
          <w:color w:val="000000"/>
          <w:sz w:val="24"/>
          <w:szCs w:val="24"/>
        </w:rPr>
        <w:t>Tiesībsarga</w:t>
      </w:r>
      <w:proofErr w:type="spellEnd"/>
      <w:r w:rsidR="00931F3E" w:rsidRPr="00D23211">
        <w:rPr>
          <w:rFonts w:ascii="Times New Roman" w:hAnsi="Times New Roman" w:cs="Times New Roman"/>
          <w:color w:val="000000"/>
          <w:sz w:val="24"/>
          <w:szCs w:val="24"/>
        </w:rPr>
        <w:t xml:space="preserve"> biroja,</w:t>
      </w:r>
      <w:r w:rsidR="00494FFF" w:rsidRPr="00D23211">
        <w:rPr>
          <w:rFonts w:ascii="Times New Roman" w:hAnsi="Times New Roman" w:cs="Times New Roman"/>
          <w:color w:val="000000"/>
          <w:sz w:val="24"/>
          <w:szCs w:val="24"/>
        </w:rPr>
        <w:t xml:space="preserve"> Prokuratūras un Nacionālās elektronisko plašsaziņas līdzekļu padomes</w:t>
      </w:r>
      <w:r w:rsidR="00931F3E" w:rsidRPr="00D23211">
        <w:rPr>
          <w:rFonts w:ascii="Times New Roman" w:hAnsi="Times New Roman" w:cs="Times New Roman"/>
          <w:color w:val="000000"/>
          <w:sz w:val="24"/>
          <w:szCs w:val="24"/>
        </w:rPr>
        <w:t xml:space="preserve"> </w:t>
      </w:r>
      <w:r w:rsidR="00494FFF" w:rsidRPr="00D23211">
        <w:rPr>
          <w:rFonts w:ascii="Times New Roman" w:hAnsi="Times New Roman" w:cs="Times New Roman"/>
          <w:color w:val="000000"/>
          <w:sz w:val="24"/>
          <w:szCs w:val="24"/>
        </w:rPr>
        <w:t xml:space="preserve">prioritārajiem pasākumiem. </w:t>
      </w:r>
    </w:p>
    <w:p w:rsidR="002051CA" w:rsidRDefault="002051CA" w:rsidP="002051CA">
      <w:pPr>
        <w:spacing w:after="120" w:line="240" w:lineRule="auto"/>
        <w:ind w:firstLine="720"/>
        <w:jc w:val="both"/>
        <w:rPr>
          <w:rFonts w:ascii="Times New Roman" w:hAnsi="Times New Roman" w:cs="Times New Roman"/>
          <w:sz w:val="24"/>
          <w:szCs w:val="24"/>
        </w:rPr>
      </w:pPr>
      <w:r w:rsidRPr="00AD36DC">
        <w:rPr>
          <w:rFonts w:ascii="Times New Roman" w:hAnsi="Times New Roman"/>
          <w:sz w:val="24"/>
          <w:szCs w:val="24"/>
        </w:rPr>
        <w:t>Valdību veidojošo partiju budžeta veidošanas darba grupa</w:t>
      </w:r>
      <w:r>
        <w:rPr>
          <w:rFonts w:ascii="Times New Roman" w:hAnsi="Times New Roman"/>
          <w:sz w:val="24"/>
          <w:szCs w:val="24"/>
        </w:rPr>
        <w:t xml:space="preserve"> </w:t>
      </w:r>
      <w:r w:rsidRPr="00DA3143">
        <w:rPr>
          <w:rFonts w:ascii="Times New Roman" w:hAnsi="Times New Roman" w:cs="Times New Roman"/>
          <w:sz w:val="24"/>
          <w:szCs w:val="24"/>
        </w:rPr>
        <w:t>pēc MK 20</w:t>
      </w:r>
      <w:r>
        <w:rPr>
          <w:rFonts w:ascii="Times New Roman" w:hAnsi="Times New Roman" w:cs="Times New Roman"/>
          <w:sz w:val="24"/>
          <w:szCs w:val="24"/>
        </w:rPr>
        <w:t>20</w:t>
      </w:r>
      <w:r w:rsidRPr="00DA3143">
        <w:rPr>
          <w:rFonts w:ascii="Times New Roman" w:hAnsi="Times New Roman" w:cs="Times New Roman"/>
          <w:sz w:val="24"/>
          <w:szCs w:val="24"/>
        </w:rPr>
        <w:t xml:space="preserve">.gada </w:t>
      </w:r>
      <w:r>
        <w:rPr>
          <w:rFonts w:ascii="Times New Roman" w:hAnsi="Times New Roman" w:cs="Times New Roman"/>
          <w:sz w:val="24"/>
          <w:szCs w:val="24"/>
        </w:rPr>
        <w:t>2.septembra</w:t>
      </w:r>
      <w:r w:rsidRPr="00DA3143">
        <w:rPr>
          <w:rFonts w:ascii="Times New Roman" w:hAnsi="Times New Roman" w:cs="Times New Roman"/>
          <w:sz w:val="24"/>
          <w:szCs w:val="24"/>
        </w:rPr>
        <w:t xml:space="preserve"> sēdes ir sagatavojuši priekšlikumus atbalstāmajiem prioritārajiem pasākumiem ministrijām, citām centrālajām valsts iestādēm (turpmāk – ministrija) un neatkarīgajām iestādēm saskaņā ar informatīvā ziņojuma</w:t>
      </w:r>
      <w:r>
        <w:rPr>
          <w:rFonts w:ascii="Times New Roman" w:hAnsi="Times New Roman" w:cs="Times New Roman"/>
          <w:sz w:val="24"/>
          <w:szCs w:val="24"/>
        </w:rPr>
        <w:t xml:space="preserve"> </w:t>
      </w:r>
      <w:r w:rsidR="00B96688">
        <w:rPr>
          <w:rFonts w:ascii="Times New Roman" w:hAnsi="Times New Roman" w:cs="Times New Roman"/>
          <w:sz w:val="24"/>
          <w:szCs w:val="24"/>
        </w:rPr>
        <w:t>1. un 2.</w:t>
      </w:r>
      <w:r w:rsidRPr="00DA3143">
        <w:rPr>
          <w:rFonts w:ascii="Times New Roman" w:hAnsi="Times New Roman" w:cs="Times New Roman"/>
          <w:sz w:val="24"/>
          <w:szCs w:val="24"/>
        </w:rPr>
        <w:t>pielikumu.</w:t>
      </w:r>
    </w:p>
    <w:p w:rsidR="002051CA" w:rsidRDefault="002051CA" w:rsidP="00D23211">
      <w:pPr>
        <w:spacing w:before="120" w:after="120" w:line="240" w:lineRule="auto"/>
        <w:ind w:firstLine="720"/>
        <w:jc w:val="both"/>
        <w:rPr>
          <w:rFonts w:ascii="Times New Roman" w:hAnsi="Times New Roman" w:cs="Times New Roman"/>
          <w:color w:val="000000"/>
          <w:sz w:val="24"/>
          <w:szCs w:val="24"/>
        </w:rPr>
      </w:pPr>
    </w:p>
    <w:p w:rsidR="00D23211" w:rsidRPr="003E1087" w:rsidRDefault="00D23211" w:rsidP="00D23211">
      <w:pPr>
        <w:spacing w:before="120" w:after="120" w:line="240" w:lineRule="auto"/>
        <w:ind w:firstLine="720"/>
        <w:jc w:val="both"/>
        <w:rPr>
          <w:rFonts w:ascii="Times New Roman" w:hAnsi="Times New Roman" w:cs="Times New Roman"/>
          <w:color w:val="000000"/>
          <w:sz w:val="24"/>
          <w:szCs w:val="24"/>
        </w:rPr>
      </w:pPr>
      <w:r w:rsidRPr="003E1087">
        <w:rPr>
          <w:rFonts w:ascii="Times New Roman" w:hAnsi="Times New Roman" w:cs="Times New Roman"/>
          <w:sz w:val="24"/>
          <w:szCs w:val="24"/>
        </w:rPr>
        <w:t xml:space="preserve">Ministru kabineta 2020.gada 2.septembra sēdē </w:t>
      </w:r>
      <w:r w:rsidRPr="003E1087">
        <w:rPr>
          <w:rFonts w:ascii="Times New Roman" w:eastAsia="Times New Roman" w:hAnsi="Times New Roman" w:cs="Times New Roman"/>
          <w:sz w:val="24"/>
          <w:szCs w:val="24"/>
          <w:u w:val="single"/>
          <w:lang w:eastAsia="lv-LV"/>
        </w:rPr>
        <w:t>tika uzdots Tieslietu ministrijai sadarbībā ar Augstāko tiesu un Prokuratūru pārskatīt tiesu un prokuratūras darbinieku atalgojuma paaugstināšanai pieprasīto finansējumu</w:t>
      </w:r>
      <w:r w:rsidRPr="003E1087">
        <w:rPr>
          <w:rFonts w:ascii="Times New Roman" w:eastAsia="Times New Roman" w:hAnsi="Times New Roman" w:cs="Times New Roman"/>
          <w:sz w:val="24"/>
          <w:szCs w:val="24"/>
          <w:lang w:eastAsia="lv-LV"/>
        </w:rPr>
        <w:t>, nodrošinot, ka atalgojuma paaugstināšanai visiem tiesu un prokuratūras darbiniekiem tiek ievēroti vienlīdzīgi principi, un līdz 2020.gada 4.septembrim iesniegt attiecīgu informāciju Finanšu ministrijā.</w:t>
      </w:r>
    </w:p>
    <w:p w:rsidR="00D23211" w:rsidRPr="003E1087" w:rsidRDefault="00D23211" w:rsidP="00D23211">
      <w:pPr>
        <w:spacing w:before="120" w:after="120" w:line="240" w:lineRule="auto"/>
        <w:ind w:firstLine="720"/>
        <w:jc w:val="both"/>
        <w:rPr>
          <w:rFonts w:ascii="Times New Roman" w:hAnsi="Times New Roman" w:cs="Times New Roman"/>
          <w:color w:val="000000"/>
          <w:sz w:val="24"/>
          <w:szCs w:val="24"/>
        </w:rPr>
      </w:pPr>
      <w:r w:rsidRPr="003E1087">
        <w:rPr>
          <w:rFonts w:ascii="Times New Roman" w:eastAsia="Times New Roman" w:hAnsi="Times New Roman" w:cs="Times New Roman"/>
          <w:sz w:val="24"/>
          <w:szCs w:val="24"/>
          <w:lang w:eastAsia="lv-LV"/>
        </w:rPr>
        <w:t xml:space="preserve">Tieslietu ministrija š. g. 7.septembrī ir atsūtījusi informāciju, ka </w:t>
      </w:r>
      <w:r w:rsidRPr="003E1087">
        <w:rPr>
          <w:rFonts w:ascii="Times New Roman" w:hAnsi="Times New Roman" w:cs="Times New Roman"/>
          <w:sz w:val="24"/>
          <w:szCs w:val="24"/>
        </w:rPr>
        <w:t xml:space="preserve">izpildot MK doto uzdevumu  Tieslietu ministrija lūdza Augstāko tiesu un Prokuratūru atsūtīt precizētus aprēķinus, piemērojot aprēķiniem Tieslietu ministrijas pielietotos kritērijus. Gan no Augstākās tiesas, gan Ģenerālprokuratūras 2020.gada 3. septembrī tika saņemta atbilde, ka Finanšu ministrijā iesniegtie pieprasījumi ir aprēķināti atbilstoši normatīvajiem aktiem un netiks mainīti. </w:t>
      </w:r>
    </w:p>
    <w:p w:rsidR="00D23211" w:rsidRPr="004B1548" w:rsidRDefault="00D23211" w:rsidP="00D23211">
      <w:pPr>
        <w:spacing w:before="120" w:after="120" w:line="240" w:lineRule="auto"/>
        <w:ind w:left="74" w:right="74" w:firstLine="720"/>
        <w:jc w:val="both"/>
        <w:rPr>
          <w:rFonts w:ascii="Times New Roman" w:hAnsi="Times New Roman" w:cs="Times New Roman"/>
          <w:sz w:val="24"/>
          <w:szCs w:val="24"/>
        </w:rPr>
      </w:pPr>
      <w:r w:rsidRPr="003E1087">
        <w:rPr>
          <w:rFonts w:ascii="Times New Roman" w:hAnsi="Times New Roman" w:cs="Times New Roman"/>
          <w:sz w:val="24"/>
          <w:szCs w:val="24"/>
        </w:rPr>
        <w:t>Ņemot vērā to, ka Augstākā tiesa un Prokuratūra ir neatkarīgas iestādes, Tieslietu ministrija ir informējusi, ka bez šo iestāžu iesaistes Tieslietu ministrija nevar izpildīt MK doto uzdevumu.</w:t>
      </w:r>
    </w:p>
    <w:p w:rsidR="004D69B4" w:rsidRPr="00461101" w:rsidRDefault="004D69B4" w:rsidP="00DD5A39">
      <w:pPr>
        <w:spacing w:before="120" w:after="120" w:line="240" w:lineRule="auto"/>
        <w:ind w:firstLine="709"/>
        <w:jc w:val="both"/>
        <w:rPr>
          <w:rFonts w:ascii="Times New Roman" w:hAnsi="Times New Roman" w:cs="Times New Roman"/>
          <w:color w:val="000000"/>
          <w:sz w:val="24"/>
          <w:szCs w:val="24"/>
        </w:rPr>
      </w:pPr>
      <w:r w:rsidRPr="00461101">
        <w:rPr>
          <w:rFonts w:ascii="Times New Roman" w:hAnsi="Times New Roman" w:cs="Times New Roman"/>
          <w:sz w:val="24"/>
          <w:szCs w:val="24"/>
        </w:rPr>
        <w:t>Bez tam,</w:t>
      </w:r>
      <w:r w:rsidRPr="00461101">
        <w:rPr>
          <w:rFonts w:ascii="Times New Roman" w:hAnsi="Times New Roman" w:cs="Times New Roman"/>
          <w:sz w:val="24"/>
          <w:szCs w:val="24"/>
          <w:lang w:eastAsia="lv-LV"/>
        </w:rPr>
        <w:t xml:space="preserve"> paredzēta papildu finansējuma novirzīšana ar valsts drošību saistītiem prioritāriem pasākumiem, kā arī solījumu izpildei veselības un izglītības jomā, tajā skaitā Veselības aprūpes finansēšanas likuma normu izpildei un pedagogu atlīdzības pieauguma grafika izpildei un atsevišķiem citiem nozīmīgiem prioritārajiem pasākumiem.</w:t>
      </w:r>
    </w:p>
    <w:p w:rsidR="004D69B4" w:rsidRDefault="004D69B4" w:rsidP="00DD5A39">
      <w:pPr>
        <w:spacing w:before="120" w:after="120" w:line="240" w:lineRule="auto"/>
        <w:ind w:firstLine="720"/>
        <w:jc w:val="both"/>
        <w:rPr>
          <w:rFonts w:ascii="Times New Roman" w:hAnsi="Times New Roman" w:cs="Times New Roman"/>
          <w:sz w:val="24"/>
          <w:szCs w:val="24"/>
        </w:rPr>
      </w:pPr>
      <w:r w:rsidRPr="00461101">
        <w:rPr>
          <w:rFonts w:ascii="Times New Roman" w:hAnsi="Times New Roman" w:cs="Times New Roman"/>
          <w:sz w:val="24"/>
          <w:szCs w:val="24"/>
        </w:rPr>
        <w:t>Tāpat paredzēts papildu finansējums Satversmes tiesas spriedumu izpildei labklājības jomā.</w:t>
      </w:r>
    </w:p>
    <w:p w:rsidR="006D48C2" w:rsidRPr="006D48C2" w:rsidRDefault="006D48C2" w:rsidP="006D48C2">
      <w:pPr>
        <w:spacing w:before="120" w:after="120" w:line="240" w:lineRule="auto"/>
        <w:jc w:val="center"/>
        <w:rPr>
          <w:rFonts w:ascii="Times New Roman" w:hAnsi="Times New Roman" w:cs="Times New Roman"/>
          <w:b/>
          <w:sz w:val="24"/>
          <w:szCs w:val="24"/>
        </w:rPr>
      </w:pPr>
      <w:r w:rsidRPr="006D48C2">
        <w:rPr>
          <w:rFonts w:ascii="Times New Roman" w:hAnsi="Times New Roman" w:cs="Times New Roman"/>
          <w:b/>
          <w:sz w:val="24"/>
          <w:szCs w:val="24"/>
        </w:rPr>
        <w:t>Satversmes tiesas spriedumu izpilde labklājības jomā</w:t>
      </w:r>
    </w:p>
    <w:p w:rsidR="00700BA1" w:rsidRPr="00901EFC" w:rsidRDefault="00700BA1" w:rsidP="00700BA1">
      <w:pPr>
        <w:spacing w:before="120" w:after="120" w:line="240" w:lineRule="auto"/>
        <w:ind w:firstLine="720"/>
        <w:rPr>
          <w:rFonts w:ascii="Times New Roman" w:hAnsi="Times New Roman" w:cs="Times New Roman"/>
          <w:sz w:val="24"/>
          <w:szCs w:val="24"/>
        </w:rPr>
      </w:pPr>
      <w:r w:rsidRPr="00DE7A4F">
        <w:rPr>
          <w:rFonts w:ascii="Times New Roman" w:hAnsi="Times New Roman" w:cs="Times New Roman"/>
          <w:sz w:val="24"/>
          <w:szCs w:val="24"/>
        </w:rPr>
        <w:t>Labklājības ministrija (turpmāk – LM) ir iesniegusi (LM š.</w:t>
      </w:r>
      <w:r w:rsidR="00F5447E" w:rsidRPr="00DE7A4F">
        <w:rPr>
          <w:rFonts w:ascii="Times New Roman" w:hAnsi="Times New Roman" w:cs="Times New Roman"/>
          <w:sz w:val="24"/>
          <w:szCs w:val="24"/>
        </w:rPr>
        <w:t xml:space="preserve"> </w:t>
      </w:r>
      <w:r w:rsidRPr="00DE7A4F">
        <w:rPr>
          <w:rFonts w:ascii="Times New Roman" w:hAnsi="Times New Roman" w:cs="Times New Roman"/>
          <w:sz w:val="24"/>
          <w:szCs w:val="24"/>
        </w:rPr>
        <w:t>g. 3.septembra vēstule Nr.25-1-01/62) priekšlikumus Satversmes tiesas spriedumu izpildei labklājības jomā.</w:t>
      </w:r>
    </w:p>
    <w:p w:rsidR="006D48C2" w:rsidRPr="006D48C2" w:rsidRDefault="006D48C2" w:rsidP="00085E89">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Latvijā jau vairāk nekā 15 gadus saglabājas relatīvi augsts nabadzības risks, jo iedzīvotāju minimālie ienākumi gan no algota darba, gan sociālās aizsardzības sistēmas nav pietiekami, lai mazinātu nabadzību valstī. Lai arī nabadzības problemātika ir jau zināma, taču tieši krīzes situācijas liek ne tikai Latvijai, bet arī citām valstīm izvērtēt sociālās politikas efektivitāti, lai identificētu trūkumus un nepilnības un piedāvātu risinājumus to novēršanai.</w:t>
      </w:r>
    </w:p>
    <w:p w:rsidR="006D48C2" w:rsidRPr="006D48C2" w:rsidRDefault="006D48C2" w:rsidP="00085E89">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Latvijas Republikas Satversmes tiesa (turpmāk – Satversmes tiesa) ir pieņēmusi šādus spriedumus: </w:t>
      </w:r>
    </w:p>
    <w:p w:rsidR="006D48C2" w:rsidRPr="006D48C2" w:rsidRDefault="006D48C2" w:rsidP="00085E89">
      <w:pPr>
        <w:numPr>
          <w:ilvl w:val="0"/>
          <w:numId w:val="11"/>
        </w:numPr>
        <w:spacing w:before="120" w:after="120" w:line="240" w:lineRule="auto"/>
        <w:ind w:left="0" w:firstLine="924"/>
        <w:jc w:val="both"/>
        <w:rPr>
          <w:rFonts w:ascii="Times New Roman" w:eastAsia="Calibri" w:hAnsi="Times New Roman" w:cs="Times New Roman"/>
          <w:i/>
          <w:sz w:val="24"/>
          <w:szCs w:val="24"/>
        </w:rPr>
      </w:pPr>
      <w:r w:rsidRPr="006D48C2">
        <w:rPr>
          <w:rFonts w:ascii="Times New Roman" w:eastAsia="Calibri" w:hAnsi="Times New Roman" w:cs="Times New Roman"/>
          <w:sz w:val="24"/>
          <w:szCs w:val="24"/>
        </w:rPr>
        <w:t xml:space="preserve">2020.gada 25.jūnija spriedums lietā Nr.2019-24-03 “Par Ministru kabineta 2012.gada 18.decembra noteikumu Nr.913 “Noteikumi par garantēto minimālo ienākumu līmeni” 2.punkta atbilstību Latvijas Republikas Satversmes 1. un 109.pantam” (turpmāk - lieta Nr.2019-24-03) – atzīt Ministru kabineta 2012.gada 18.decembra noteikumu Nr.913 “Noteikumi par garantēto minimālo ienākumu līmeni” 2.punktu par neatbilstošu Latvijas Republikas Satversmes 1. un 109.pantam un </w:t>
      </w:r>
      <w:r w:rsidRPr="006D48C2">
        <w:rPr>
          <w:rFonts w:ascii="Times New Roman" w:eastAsia="Calibri" w:hAnsi="Times New Roman" w:cs="Times New Roman"/>
          <w:i/>
          <w:sz w:val="24"/>
          <w:szCs w:val="24"/>
        </w:rPr>
        <w:t>spēkā neesošu no 2021.gada 1.janvāra;</w:t>
      </w:r>
    </w:p>
    <w:p w:rsidR="006D48C2" w:rsidRPr="006D48C2" w:rsidRDefault="006D48C2" w:rsidP="00085E89">
      <w:pPr>
        <w:numPr>
          <w:ilvl w:val="0"/>
          <w:numId w:val="11"/>
        </w:numPr>
        <w:spacing w:before="120" w:after="120" w:line="240" w:lineRule="auto"/>
        <w:ind w:left="0" w:firstLine="924"/>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2020.gada 9.jūlija spriedums lietā Nr.2019-27-03 “Par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(turpmāk - lieta Nr.2019-27-03) – atzīt Ministru kabineta 2009.gada 22.decembra noteikumu Nr.1605 “Noteikumi par valsts sociālā nodrošinājuma pabalsta un apbedīšanas pabalsta apmēru, tā pārskatīšanas kārtību un pabalstu piešķiršanas un izmaksas kārtību” 2.punktu, ciktāl tas nosaka valsts sociālā nodrošinājuma pabalsta apmēru nenodarbinātām personām ar invaliditāti un senioriem, par neatbilstošu Latvijas Republikas Satversmes 1., 91. un 109.pantam un </w:t>
      </w:r>
      <w:r w:rsidRPr="006D48C2">
        <w:rPr>
          <w:rFonts w:ascii="Times New Roman" w:eastAsia="Calibri" w:hAnsi="Times New Roman" w:cs="Times New Roman"/>
          <w:i/>
          <w:sz w:val="24"/>
          <w:szCs w:val="24"/>
        </w:rPr>
        <w:t>spēkā neesošu no 2021.gada 1.janvāra</w:t>
      </w:r>
      <w:r w:rsidRPr="006D48C2">
        <w:rPr>
          <w:rFonts w:ascii="Times New Roman" w:eastAsia="Calibri" w:hAnsi="Times New Roman" w:cs="Times New Roman"/>
          <w:sz w:val="24"/>
          <w:szCs w:val="24"/>
        </w:rPr>
        <w:t>;</w:t>
      </w:r>
    </w:p>
    <w:p w:rsidR="006D48C2" w:rsidRPr="006D48C2" w:rsidRDefault="006D48C2" w:rsidP="00085E89">
      <w:pPr>
        <w:numPr>
          <w:ilvl w:val="0"/>
          <w:numId w:val="11"/>
        </w:numPr>
        <w:spacing w:before="120" w:after="120" w:line="240" w:lineRule="auto"/>
        <w:ind w:left="0" w:firstLine="924"/>
        <w:jc w:val="both"/>
        <w:rPr>
          <w:rFonts w:ascii="Times New Roman" w:eastAsia="Calibri" w:hAnsi="Times New Roman" w:cs="Times New Roman"/>
          <w:i/>
          <w:sz w:val="24"/>
          <w:szCs w:val="24"/>
        </w:rPr>
      </w:pPr>
      <w:r w:rsidRPr="006D48C2">
        <w:rPr>
          <w:rFonts w:ascii="Times New Roman" w:eastAsia="Calibri" w:hAnsi="Times New Roman" w:cs="Times New Roman"/>
          <w:sz w:val="24"/>
          <w:szCs w:val="24"/>
        </w:rPr>
        <w:t xml:space="preserve">2020.gada 16.jūlija spriedums lietā Nr.2019-25-03 “Par Ministru kabineta 2010.gada 30.marta noteikumu Nr.299 “Noteikumi par ģimenes vai atsevišķi dzīvojošas personas atzīšanu par trūcīgu” 2.punkta vārdu “ja tās vidējie ienākumi katram ģimenes loceklim mēnesī pēdējo triju mēnešu laikā nepārsniedz 128,06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atbilstību Latvijas Republikas Satversmes 1. un 109.pantam” (turpmāk - lieta Nr.2019-25-03) – atzīt Ministru kabineta 2010.gada 30.marta noteikumu Nr.299 ”Noteikumi par ģimenes vai atsevišķi dzīvojošas personas atzīšanu par trūcīgu” 2.punkta vārdus “ja tās vidējie ienākumi katram ģimenes loceklim mēnesī pēdējo triju mēnešu laikā nepārsniedz 128,06 </w:t>
      </w:r>
      <w:proofErr w:type="spellStart"/>
      <w:r w:rsidRPr="00085E89">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par neatbilstošiem Latvijas Republikas Satversmes 1. un 109.pantam un </w:t>
      </w:r>
      <w:r w:rsidRPr="006D48C2">
        <w:rPr>
          <w:rFonts w:ascii="Times New Roman" w:eastAsia="Calibri" w:hAnsi="Times New Roman" w:cs="Times New Roman"/>
          <w:i/>
          <w:sz w:val="24"/>
          <w:szCs w:val="24"/>
        </w:rPr>
        <w:t>spēkā neesošiem no 2021.gada 1.janvāra.</w:t>
      </w:r>
    </w:p>
    <w:p w:rsidR="006D48C2" w:rsidRPr="006D48C2" w:rsidRDefault="006D48C2" w:rsidP="00085E89">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Satversmes tiesa savos spriedumos lietās Nr.2019-24-03, Nr.2019-25-03, Nr.2019-27-03 ir uzsvērusi, ka valstij ir pienākums regulāri vērtēt sniegtā sociālās palīdzības apmēra pietiekamību, lai garantētu, ka tas ir </w:t>
      </w:r>
      <w:proofErr w:type="spellStart"/>
      <w:r w:rsidRPr="006D48C2">
        <w:rPr>
          <w:rFonts w:ascii="Times New Roman" w:hAnsi="Times New Roman" w:cs="Times New Roman"/>
          <w:sz w:val="24"/>
          <w:szCs w:val="24"/>
          <w:lang w:eastAsia="lv-LV"/>
        </w:rPr>
        <w:t>cieņpilns</w:t>
      </w:r>
      <w:proofErr w:type="spellEnd"/>
      <w:r w:rsidRPr="006D48C2">
        <w:rPr>
          <w:rFonts w:ascii="Times New Roman" w:hAnsi="Times New Roman" w:cs="Times New Roman"/>
          <w:sz w:val="24"/>
          <w:szCs w:val="24"/>
          <w:lang w:eastAsia="lv-LV"/>
        </w:rPr>
        <w:t>, atbilst sociālajai realitātei un iedzīvotājiem ar zemiem ienākumiem tiek nodrošināta tām nepieciešamā palīdzība. Visus iepriekšminētos Satversmes tiesas spriedumus caurvij tādi uzsvari kā:</w:t>
      </w:r>
    </w:p>
    <w:p w:rsidR="006D48C2" w:rsidRPr="006D48C2" w:rsidRDefault="006D48C2" w:rsidP="00C35639">
      <w:pPr>
        <w:numPr>
          <w:ilvl w:val="0"/>
          <w:numId w:val="15"/>
        </w:numPr>
        <w:spacing w:before="120" w:after="120" w:line="240" w:lineRule="auto"/>
        <w:jc w:val="both"/>
        <w:rPr>
          <w:rFonts w:ascii="Times New Roman" w:hAnsi="Times New Roman" w:cs="Times New Roman"/>
          <w:sz w:val="24"/>
          <w:szCs w:val="24"/>
          <w:lang w:eastAsia="lv-LV"/>
        </w:rPr>
      </w:pPr>
      <w:r w:rsidRPr="006D48C2">
        <w:rPr>
          <w:rFonts w:ascii="Times New Roman" w:eastAsia="Calibri" w:hAnsi="Times New Roman" w:cs="Times New Roman"/>
          <w:bCs/>
          <w:sz w:val="24"/>
          <w:szCs w:val="24"/>
        </w:rPr>
        <w:t>likumdevēja pienākums noteikt vienotu metodi minimālo ienākumu sliekšņu noteikšanā un izstrādāt konkrētu kritēriju kopu sociālās palīdzības minimuma noteikšanā;</w:t>
      </w:r>
    </w:p>
    <w:p w:rsidR="006D48C2" w:rsidRPr="006D48C2" w:rsidRDefault="006D48C2" w:rsidP="00C35639">
      <w:pPr>
        <w:numPr>
          <w:ilvl w:val="0"/>
          <w:numId w:val="15"/>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līdzsvara saglabāšana starp personas vajadzībām un sabiedrības iespējām;</w:t>
      </w:r>
    </w:p>
    <w:p w:rsidR="006D48C2" w:rsidRPr="006D48C2" w:rsidRDefault="006D48C2" w:rsidP="00C35639">
      <w:pPr>
        <w:numPr>
          <w:ilvl w:val="0"/>
          <w:numId w:val="15"/>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sociālās nevienlīdzības mazināšana kā būtisks aspekts sabiedrības ilgtspējai;</w:t>
      </w:r>
    </w:p>
    <w:p w:rsidR="006D48C2" w:rsidRPr="006D48C2" w:rsidRDefault="006D48C2" w:rsidP="00C35639">
      <w:pPr>
        <w:numPr>
          <w:ilvl w:val="0"/>
          <w:numId w:val="15"/>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minimālo ienākumu sliekšņu piesaiste konkrētam sociālekonomiskajam rādītājam, lai nodrošinātu to adekvātumu attiecībā pret reālo sociālekonomisko situāciju valstī.</w:t>
      </w:r>
    </w:p>
    <w:p w:rsidR="006D48C2" w:rsidRPr="006D48C2" w:rsidRDefault="006D48C2" w:rsidP="006D48C2">
      <w:pPr>
        <w:spacing w:before="120" w:after="120" w:line="240" w:lineRule="auto"/>
        <w:ind w:firstLine="720"/>
        <w:jc w:val="both"/>
        <w:rPr>
          <w:rFonts w:ascii="Times New Roman" w:hAnsi="Times New Roman" w:cs="Times New Roman"/>
          <w:sz w:val="24"/>
          <w:szCs w:val="24"/>
          <w:lang w:eastAsia="lv-LV"/>
        </w:rPr>
      </w:pPr>
      <w:r w:rsidRPr="006D48C2">
        <w:rPr>
          <w:rFonts w:ascii="Times New Roman" w:eastAsia="Calibri" w:hAnsi="Times New Roman" w:cs="Times New Roman"/>
          <w:sz w:val="24"/>
          <w:szCs w:val="24"/>
        </w:rPr>
        <w:t>Līdz ar to, lai izpildītu Satversmes tiesas minētos spriedumus, ir paredzēts noteikt</w:t>
      </w:r>
      <w:r w:rsidRPr="006D48C2">
        <w:rPr>
          <w:rFonts w:ascii="Times New Roman" w:hAnsi="Times New Roman" w:cs="Times New Roman"/>
          <w:sz w:val="24"/>
          <w:szCs w:val="24"/>
          <w:lang w:eastAsia="lv-LV"/>
        </w:rPr>
        <w:t xml:space="preserve"> vienotu metodi minimālo ienākumu sliekšņu noteikšanā, kas balstīta uz sociālekonomisko situāciju valstī,  tādējādi sekmējot nabadzības un ienākumu nevienlīdzības mazināšanos visā valsts teritorijā.</w:t>
      </w:r>
    </w:p>
    <w:p w:rsidR="006D48C2" w:rsidRPr="006D48C2" w:rsidRDefault="006D48C2" w:rsidP="006D48C2">
      <w:pPr>
        <w:spacing w:before="120" w:after="120" w:line="240" w:lineRule="auto"/>
        <w:jc w:val="both"/>
        <w:rPr>
          <w:rFonts w:ascii="Times New Roman" w:eastAsia="Calibri" w:hAnsi="Times New Roman" w:cs="Times New Roman"/>
          <w:b/>
          <w:bCs/>
          <w:i/>
          <w:sz w:val="24"/>
          <w:szCs w:val="24"/>
        </w:rPr>
      </w:pPr>
      <w:r w:rsidRPr="006D48C2">
        <w:rPr>
          <w:rFonts w:ascii="Times New Roman" w:eastAsia="Calibri" w:hAnsi="Times New Roman" w:cs="Times New Roman"/>
          <w:b/>
          <w:bCs/>
          <w:i/>
          <w:sz w:val="24"/>
          <w:szCs w:val="24"/>
        </w:rPr>
        <w:t>Minimālo ienākumu sliekšņu noteikšana pēc vienotas metodoloģiskās pieejas</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z w:val="24"/>
          <w:szCs w:val="24"/>
          <w:lang w:eastAsia="lv-LV"/>
        </w:rPr>
        <w:t>Lai izpildītu Satversmes tiesas spiedumus, tiek piedāvāts noteikt ienākumu mediānu</w:t>
      </w:r>
      <w:r w:rsidRPr="006D48C2">
        <w:rPr>
          <w:rFonts w:ascii="Times New Roman" w:eastAsia="Calibri" w:hAnsi="Times New Roman" w:cs="Times New Roman"/>
          <w:sz w:val="24"/>
          <w:szCs w:val="24"/>
          <w:vertAlign w:val="superscript"/>
        </w:rPr>
        <w:footnoteReference w:id="1"/>
      </w:r>
      <w:r w:rsidRPr="006D48C2">
        <w:rPr>
          <w:rFonts w:ascii="Times New Roman" w:hAnsi="Times New Roman" w:cs="Times New Roman"/>
          <w:sz w:val="24"/>
          <w:szCs w:val="24"/>
          <w:lang w:eastAsia="lv-LV"/>
        </w:rPr>
        <w:t xml:space="preserve"> (turpmāk – ienākumu mediāna) kā atskaites punktu </w:t>
      </w:r>
      <w:r w:rsidRPr="006D48C2">
        <w:rPr>
          <w:rFonts w:ascii="Times New Roman" w:eastAsia="Calibri" w:hAnsi="Times New Roman" w:cs="Times New Roman"/>
          <w:bCs/>
          <w:sz w:val="24"/>
          <w:szCs w:val="24"/>
        </w:rPr>
        <w:t>minimālo ienākumu sliekšņu noteikšanā</w:t>
      </w:r>
      <w:r w:rsidRPr="006D48C2">
        <w:rPr>
          <w:rFonts w:ascii="Times New Roman" w:hAnsi="Times New Roman" w:cs="Times New Roman"/>
          <w:sz w:val="24"/>
          <w:szCs w:val="24"/>
          <w:lang w:eastAsia="lv-LV"/>
        </w:rPr>
        <w:t xml:space="preserve"> sociālās aizsardzības jomā, tādējādi sekmējot nabadzības un ienākumu nevienlīdzības mazināšanos visā valsts teritorijā. </w:t>
      </w:r>
      <w:r w:rsidRPr="006D48C2">
        <w:rPr>
          <w:rFonts w:ascii="Times New Roman" w:eastAsia="Calibri" w:hAnsi="Times New Roman" w:cs="Times New Roman"/>
          <w:sz w:val="24"/>
          <w:szCs w:val="24"/>
        </w:rPr>
        <w:t xml:space="preserve">Eiropas Savienībā, nosakot iedzīvotāju ekvivalentos ienākumus, piemēro Ekonomiskās sadarbības un attīstības organizācijas (turpmāk – OECD) modificēto ekvivalences skalu, pieņemot, ka pirmajam pieaugušajam mājsaimniecībā ekvivalentais svars ir 1, otrajam un katram nākamajam mājsaimniecības loceklim virs 14 gadu vecuma – 0,5 un bērniem līdz 14 gadu vecumam – 0,3 (1, 0,5, 0,3). </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z w:val="24"/>
          <w:szCs w:val="24"/>
          <w:lang w:eastAsia="lv-LV"/>
        </w:rPr>
        <w:t xml:space="preserve">2014.gadā Ministru kabinets atbalstīja Labklājības ministrijas (turpmāk – LM) izstrādāto koncepciju "Par minimālā ienākuma līmeņa noteikšanu" (turpmāk – Koncepcija), kuras </w:t>
      </w:r>
      <w:proofErr w:type="spellStart"/>
      <w:r w:rsidRPr="006D48C2">
        <w:rPr>
          <w:rFonts w:ascii="Times New Roman" w:hAnsi="Times New Roman" w:cs="Times New Roman"/>
          <w:sz w:val="24"/>
          <w:szCs w:val="24"/>
          <w:lang w:eastAsia="lv-LV"/>
        </w:rPr>
        <w:t>virsmērķis</w:t>
      </w:r>
      <w:proofErr w:type="spellEnd"/>
      <w:r w:rsidRPr="006D48C2">
        <w:rPr>
          <w:rFonts w:ascii="Times New Roman" w:hAnsi="Times New Roman" w:cs="Times New Roman"/>
          <w:sz w:val="24"/>
          <w:szCs w:val="24"/>
          <w:lang w:eastAsia="lv-LV"/>
        </w:rPr>
        <w:t xml:space="preserve"> ir uz solidaritātes principiem balstīta nabadzības un ienākumu nevienlīdzības mazināšana, nosakot metodoloģiski pamatotu un sociālekonomiskajai situācijai atbilstošus minimālo ienākumu sliekšņus. Koncepcijā</w:t>
      </w:r>
      <w:r w:rsidRPr="006D48C2">
        <w:rPr>
          <w:rFonts w:ascii="Times New Roman" w:eastAsia="Calibri" w:hAnsi="Times New Roman" w:cs="Times New Roman"/>
          <w:sz w:val="24"/>
          <w:szCs w:val="24"/>
        </w:rPr>
        <w:t xml:space="preserve"> </w:t>
      </w:r>
      <w:r w:rsidRPr="006D48C2">
        <w:rPr>
          <w:rFonts w:ascii="Times New Roman" w:hAnsi="Times New Roman" w:cs="Times New Roman"/>
          <w:sz w:val="24"/>
          <w:szCs w:val="24"/>
          <w:lang w:eastAsia="lv-LV"/>
        </w:rPr>
        <w:t xml:space="preserve">piedāvāts, nosakot iedzīvotāju ekvivalentos ienākumus, piemērot ekvivalences skalu, </w:t>
      </w:r>
      <w:bookmarkStart w:id="0" w:name="_Hlk49959749"/>
      <w:r w:rsidRPr="006D48C2">
        <w:rPr>
          <w:rFonts w:ascii="Times New Roman" w:hAnsi="Times New Roman" w:cs="Times New Roman"/>
          <w:sz w:val="24"/>
          <w:szCs w:val="24"/>
          <w:lang w:eastAsia="lv-LV"/>
        </w:rPr>
        <w:t xml:space="preserve">kurā </w:t>
      </w:r>
      <w:r w:rsidRPr="006D48C2">
        <w:rPr>
          <w:rFonts w:ascii="Times New Roman" w:eastAsia="Calibri" w:hAnsi="Times New Roman" w:cs="Times New Roman"/>
          <w:sz w:val="24"/>
          <w:szCs w:val="24"/>
        </w:rPr>
        <w:t>pirmajam pieaugušajam mājsaimniecībā ekvivalentais svars ir 1, katram nākamajam mājsaimniecības loceklim, tostarp bērnam, ekvivalences svars ir 0,7</w:t>
      </w:r>
      <w:bookmarkEnd w:id="0"/>
      <w:r w:rsidRPr="006D48C2">
        <w:rPr>
          <w:rFonts w:ascii="Times New Roman" w:eastAsia="Calibri" w:hAnsi="Times New Roman" w:cs="Times New Roman"/>
          <w:sz w:val="24"/>
          <w:szCs w:val="24"/>
        </w:rPr>
        <w:t xml:space="preserve"> (turpmāk – Latvijas ekvivalences skala). </w:t>
      </w:r>
    </w:p>
    <w:p w:rsidR="006D48C2" w:rsidRPr="006D48C2" w:rsidRDefault="006D48C2" w:rsidP="006D48C2">
      <w:pPr>
        <w:spacing w:before="120" w:after="120" w:line="240" w:lineRule="auto"/>
        <w:ind w:firstLine="720"/>
        <w:jc w:val="both"/>
        <w:rPr>
          <w:rFonts w:ascii="Times New Roman" w:hAnsi="Times New Roman" w:cs="Times New Roman"/>
          <w:iCs/>
          <w:sz w:val="24"/>
          <w:szCs w:val="24"/>
          <w:lang w:eastAsia="lv-LV"/>
        </w:rPr>
      </w:pPr>
      <w:r w:rsidRPr="006D48C2">
        <w:rPr>
          <w:rFonts w:ascii="Times New Roman" w:eastAsia="Calibri" w:hAnsi="Times New Roman" w:cs="Times New Roman"/>
          <w:sz w:val="24"/>
          <w:szCs w:val="24"/>
        </w:rPr>
        <w:t xml:space="preserve">Minimālo ienākumu sliekšņu noteikšanā tiek piedāvāts izmantot relatīvo metodi, kura balstīta uz reālo sociālekonomisko situāciju valstī, ņemot vērā ienākumus starp dažādām sabiedrības grupām. Ienākumu mediānas aprēķinā ir ņemta vērā Latvijas izvēlētā ekvivalences skala, </w:t>
      </w:r>
      <w:r w:rsidRPr="006D48C2">
        <w:rPr>
          <w:rFonts w:ascii="Times New Roman" w:hAnsi="Times New Roman" w:cs="Times New Roman"/>
          <w:sz w:val="24"/>
          <w:szCs w:val="24"/>
          <w:lang w:eastAsia="lv-LV"/>
        </w:rPr>
        <w:t xml:space="preserve">kurā </w:t>
      </w:r>
      <w:r w:rsidRPr="006D48C2">
        <w:rPr>
          <w:rFonts w:ascii="Times New Roman" w:eastAsia="Calibri" w:hAnsi="Times New Roman" w:cs="Times New Roman"/>
          <w:sz w:val="24"/>
          <w:szCs w:val="24"/>
        </w:rPr>
        <w:t xml:space="preserve">pirmajam pieaugušajam mājsaimniecībā ekvivalentais svars ir 1, katram nākamajam mājsaimniecības loceklim, tostarp bērnam, ekvivalences svars ir 0,7. Šāda pieeja nodrošinās, ka mainoties ekonomiskai situācijai valstī, līdzi mainīsies arī minimālo ienākumu sliekšņu apmēri, tādējādi veidojot samērīgu proporciju, kādā sabiedrības vairākums ir finansiāli spējīgs atbalstīt sabiedrības mazākumu ar zemiem ienākumiem. </w:t>
      </w:r>
    </w:p>
    <w:p w:rsidR="006D48C2" w:rsidRPr="006D48C2" w:rsidRDefault="006D48C2" w:rsidP="006D48C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lang w:eastAsia="lv-LV"/>
        </w:rPr>
        <w:t xml:space="preserve">Minimālo ienākumu sliekšņus paredzēts noteikt procentuālā apmērā no ienākumu mediānas. </w:t>
      </w:r>
      <w:r w:rsidRPr="006D48C2">
        <w:rPr>
          <w:rFonts w:ascii="Times New Roman" w:hAnsi="Times New Roman" w:cs="Times New Roman"/>
          <w:iCs/>
          <w:sz w:val="24"/>
          <w:szCs w:val="24"/>
          <w:lang w:eastAsia="lv-LV"/>
        </w:rPr>
        <w:t xml:space="preserve">Ienākumu mediāna pēc pēdējiem EU-SILC </w:t>
      </w:r>
      <w:proofErr w:type="spellStart"/>
      <w:r w:rsidRPr="006D48C2">
        <w:rPr>
          <w:rFonts w:ascii="Times New Roman" w:hAnsi="Times New Roman" w:cs="Times New Roman"/>
          <w:iCs/>
          <w:sz w:val="24"/>
          <w:szCs w:val="24"/>
          <w:lang w:eastAsia="lv-LV"/>
        </w:rPr>
        <w:t>apsekojuma</w:t>
      </w:r>
      <w:proofErr w:type="spellEnd"/>
      <w:r w:rsidRPr="006D48C2">
        <w:rPr>
          <w:rFonts w:ascii="Times New Roman" w:hAnsi="Times New Roman" w:cs="Times New Roman"/>
          <w:iCs/>
          <w:sz w:val="24"/>
          <w:szCs w:val="24"/>
          <w:lang w:eastAsia="lv-LV"/>
        </w:rPr>
        <w:t xml:space="preserve"> datiem 2018.gadā ir 544,41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
          <w:iCs/>
          <w:sz w:val="24"/>
          <w:szCs w:val="24"/>
          <w:lang w:eastAsia="lv-LV"/>
        </w:rPr>
        <w:t xml:space="preserve"> </w:t>
      </w:r>
      <w:r w:rsidRPr="006D48C2">
        <w:rPr>
          <w:rFonts w:ascii="Times New Roman" w:hAnsi="Times New Roman" w:cs="Times New Roman"/>
          <w:iCs/>
          <w:sz w:val="24"/>
          <w:szCs w:val="24"/>
          <w:lang w:eastAsia="lv-LV"/>
        </w:rPr>
        <w:t>uz vienu ekvivalento patērētāju</w:t>
      </w:r>
      <w:r w:rsidRPr="006D48C2">
        <w:rPr>
          <w:rFonts w:ascii="Times New Roman" w:eastAsia="Calibri" w:hAnsi="Times New Roman" w:cs="Times New Roman"/>
        </w:rPr>
        <w:t>.</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shd w:val="clear" w:color="auto" w:fill="FFFFFF"/>
        </w:rPr>
      </w:pPr>
      <w:r w:rsidRPr="006D48C2">
        <w:rPr>
          <w:rFonts w:ascii="Times New Roman" w:eastAsia="Calibri" w:hAnsi="Times New Roman" w:cs="Times New Roman"/>
          <w:sz w:val="24"/>
          <w:szCs w:val="24"/>
        </w:rPr>
        <w:t>Materiālajam atbalstam visnabadzīgākajiem iedzīvotājiem katra ES dalībvalsts izmanto savu izvēlēto pieeju un statistisko informāciju. Parasti materiāls atbalsts ES valstīs (sociālās palīdzības pabalsti) tiek sniegts, ja iedzīvotāju ienākumi ir vidēji 25% no ienākumu mediānas, bet vairumā gadījumā tas ir ap 20%</w:t>
      </w:r>
      <w:r w:rsidRPr="006D48C2">
        <w:rPr>
          <w:rFonts w:ascii="Times New Roman" w:eastAsia="Calibri" w:hAnsi="Times New Roman" w:cs="Times New Roman"/>
          <w:sz w:val="24"/>
          <w:szCs w:val="24"/>
          <w:vertAlign w:val="superscript"/>
        </w:rPr>
        <w:footnoteReference w:id="2"/>
      </w:r>
      <w:r w:rsidRPr="006D48C2">
        <w:rPr>
          <w:rFonts w:ascii="Times New Roman" w:eastAsia="Calibri" w:hAnsi="Times New Roman" w:cs="Times New Roman"/>
          <w:sz w:val="24"/>
          <w:szCs w:val="24"/>
        </w:rPr>
        <w:t>.</w:t>
      </w:r>
      <w:r w:rsidRPr="006D48C2">
        <w:rPr>
          <w:rFonts w:ascii="Times New Roman" w:eastAsia="Calibri" w:hAnsi="Times New Roman" w:cs="Times New Roman"/>
          <w:sz w:val="24"/>
          <w:szCs w:val="24"/>
          <w:shd w:val="clear" w:color="auto" w:fill="FFFFFF"/>
        </w:rPr>
        <w:t xml:space="preserve"> </w:t>
      </w:r>
    </w:p>
    <w:p w:rsidR="006D48C2" w:rsidRPr="006D48C2" w:rsidRDefault="006D48C2" w:rsidP="006D48C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Tiek paredzēts noteikt, ka minimālo ienākumu slieksnis nevar būt zemāks kā 20% no pārskata gadā publicētās ienākuma mediānas apmēra. Ar šo normu tiks noteikts </w:t>
      </w:r>
      <w:bookmarkStart w:id="1" w:name="_Hlk50119458"/>
      <w:r w:rsidRPr="006D48C2">
        <w:rPr>
          <w:rFonts w:ascii="Times New Roman" w:hAnsi="Times New Roman" w:cs="Times New Roman"/>
          <w:sz w:val="24"/>
          <w:szCs w:val="24"/>
          <w:lang w:eastAsia="lv-LV"/>
        </w:rPr>
        <w:t>zemākais iespējamais slieksnis</w:t>
      </w:r>
      <w:bookmarkEnd w:id="1"/>
      <w:r w:rsidRPr="006D48C2">
        <w:rPr>
          <w:rFonts w:ascii="Times New Roman" w:hAnsi="Times New Roman" w:cs="Times New Roman"/>
          <w:sz w:val="24"/>
          <w:szCs w:val="24"/>
          <w:lang w:eastAsia="lv-LV"/>
        </w:rPr>
        <w:t xml:space="preserve">, pie kura cilvēkam ir sniedzams atbalsts no publiskajiem resursiem. </w:t>
      </w:r>
    </w:p>
    <w:p w:rsidR="006D48C2" w:rsidRPr="00421876" w:rsidRDefault="00022444" w:rsidP="006D48C2">
      <w:pPr>
        <w:spacing w:before="120" w:after="120" w:line="240" w:lineRule="auto"/>
        <w:ind w:firstLine="720"/>
        <w:jc w:val="both"/>
        <w:rPr>
          <w:rFonts w:ascii="Times New Roman" w:hAnsi="Times New Roman" w:cs="Times New Roman"/>
          <w:sz w:val="24"/>
          <w:szCs w:val="24"/>
        </w:rPr>
      </w:pPr>
      <w:r w:rsidRPr="00421876">
        <w:rPr>
          <w:rFonts w:ascii="Times New Roman" w:hAnsi="Times New Roman" w:cs="Times New Roman"/>
          <w:sz w:val="24"/>
          <w:szCs w:val="24"/>
          <w:lang w:eastAsia="lv-LV"/>
        </w:rPr>
        <w:t xml:space="preserve">Satversmes tiesa secinājusi, ka likumdevējam minimālo ienākumu sliekšņu noteikšanai ir pienākums izvēlēties pamatotu un argumentētu metodi, objektīvus pabalsta apmēra noteikšanas kritērijus, kā arī minimālo ienākumu sliekšņi ir regulāri jāpārskata atbilstoši sociālekonomiskajai situācijai. </w:t>
      </w:r>
      <w:r w:rsidR="006D48C2" w:rsidRPr="00421876">
        <w:rPr>
          <w:rFonts w:ascii="Times New Roman" w:hAnsi="Times New Roman" w:cs="Times New Roman"/>
          <w:sz w:val="24"/>
          <w:szCs w:val="24"/>
          <w:lang w:eastAsia="lv-LV"/>
        </w:rPr>
        <w:t>L</w:t>
      </w:r>
      <w:r w:rsidR="006D48C2" w:rsidRPr="00421876">
        <w:rPr>
          <w:rFonts w:ascii="Times New Roman" w:hAnsi="Times New Roman" w:cs="Times New Roman"/>
          <w:sz w:val="24"/>
          <w:szCs w:val="24"/>
        </w:rPr>
        <w:t>ai nodrošinātu iedzīvotāju ar zemiem ienākumiem iespēju saņemt adekvātu un vienlaikus ar pārējās sabiedrības interesēm samērīgu atbalstu, nepieciešams noteikt regulāru minimālo ienākumu sliekšņu pārskatīšanu atbilstoši sociālekonomiskajām izmaiņām valstī. Līdz ar to ir nepieciešams noteikt minimālo ienākumu sliekšņu regulāru pārskatīšanas kārtību, paredzot, minimālo ienākumu sliekšņu pārskatīšanu veikt reizi gadā – 1.jūlijā -  pamatojoties uz Centrālās statistikas pārvaldes tīmekļa vietnē publicēto aktuālo ienākumu mediānas vērtību</w:t>
      </w:r>
      <w:r w:rsidR="004D0253" w:rsidRPr="00421876">
        <w:rPr>
          <w:rStyle w:val="FootnoteReference"/>
          <w:rFonts w:ascii="Times New Roman" w:hAnsi="Times New Roman" w:cs="Times New Roman"/>
          <w:sz w:val="24"/>
          <w:szCs w:val="24"/>
        </w:rPr>
        <w:footnoteReference w:id="3"/>
      </w:r>
      <w:r w:rsidR="006D48C2" w:rsidRPr="00421876">
        <w:rPr>
          <w:rFonts w:ascii="Times New Roman" w:hAnsi="Times New Roman" w:cs="Times New Roman"/>
          <w:sz w:val="24"/>
          <w:szCs w:val="24"/>
        </w:rPr>
        <w:t xml:space="preserve">. </w:t>
      </w:r>
    </w:p>
    <w:p w:rsidR="004D0253" w:rsidRPr="00421876" w:rsidRDefault="004D0253" w:rsidP="004D0253">
      <w:pPr>
        <w:spacing w:before="120" w:after="120" w:line="240" w:lineRule="auto"/>
        <w:ind w:firstLine="720"/>
        <w:jc w:val="both"/>
        <w:rPr>
          <w:rFonts w:ascii="Times New Roman" w:hAnsi="Times New Roman" w:cs="Times New Roman"/>
          <w:sz w:val="24"/>
          <w:szCs w:val="24"/>
        </w:rPr>
      </w:pPr>
      <w:r w:rsidRPr="00421876">
        <w:rPr>
          <w:rFonts w:ascii="Times New Roman" w:hAnsi="Times New Roman" w:cs="Times New Roman"/>
          <w:sz w:val="24"/>
          <w:szCs w:val="24"/>
        </w:rPr>
        <w:t xml:space="preserve">Tomēr ņemot vērā, ka jaunie minimālo ienākumu sliekšņu apmēri stāsies spēkā ar 2021.gada 1.janvāri, pamatojoties uz 2018.gada ienākumu mediānu, vispirms ir nepieciešams veikt nepieciešamos priekšdarbus, t.sk. informācijas sistēmas pielāgošanu, jaunā tiesiskā regulējuma ieviešanai būs nepieciešams pārejas periods līdz 2021.gada jūnijam. Atkārtota ienākumu sliekšņu pārskatīšana būtu jāveic tā paša gada 1.jūlijā, kas no administrēšanas un piemērošanas viedokļa būtu nesamērīgi un laikietilpīgi - viena gada ietvaros ieviest jaunos apmērus un vēl pārskatīt minimālo ienākumu sliekšņu apmērus. Līdz ar to, pirmā minimālo ienākumu sliekšņu pārskatīšana paredzēta 2022.gada 1.jūlijā, kas tiks veikta, ņemot vērā pēdējo aktuālo ienākumu mediānu (kas būs 2020.gada ienākumu mediāna). Līdz ar to papildu nepieciešamais finansējums ienākumu sliekšņu pārskatīšanai jāparedz, sagatavojot 2022.gada valsts budžetu. Ņemot vērā, ka uz 2022.gada budžeta sagatavošanas brīdi 2020.gada ienākumu mediāna vēl nebūs zināma, tādēļ būs nepieciešams izdarīt pieņēmumus par papildu nepieciešamo finansējumu 2022.gadam. Ņemot vērā, ka pārskatīšanu paredzēts veikt balstoties uz 2,5 gadus veciem mājsaimniecību ienākumu datiem (jaunākie iespējamie dati n gadā), nobīdīt un veikt pārskatīšanu nevis 1.jūlijā, bet vēl nākamā gada 1.janvārī, nozīmētu nepamatotu kavēšanos ar minimālo ienākumu pārskatīšanu, lai nodrošinātu iedzīvotājiem ar viszemākajiem ienākumiem sociālekonomiskajai situācijai atbilstošu un samērīgu ienākumu atbalstu. </w:t>
      </w:r>
    </w:p>
    <w:p w:rsidR="004D0253" w:rsidRPr="004D0253" w:rsidRDefault="004D0253" w:rsidP="004D0253">
      <w:pPr>
        <w:spacing w:before="120" w:after="120" w:line="240" w:lineRule="auto"/>
        <w:ind w:firstLine="720"/>
        <w:jc w:val="both"/>
        <w:rPr>
          <w:rFonts w:ascii="Times New Roman" w:hAnsi="Times New Roman" w:cs="Times New Roman"/>
          <w:sz w:val="24"/>
          <w:szCs w:val="24"/>
        </w:rPr>
      </w:pPr>
      <w:r w:rsidRPr="00421876">
        <w:rPr>
          <w:rFonts w:ascii="Times New Roman" w:hAnsi="Times New Roman" w:cs="Times New Roman"/>
          <w:sz w:val="24"/>
          <w:szCs w:val="24"/>
        </w:rPr>
        <w:t>Tādēļ paredzēts pārejas noteikumos noteikt, ka pirmā minimālo ienākumu sliekšņu pārskatīšana notiks 2022.gadā.</w:t>
      </w:r>
    </w:p>
    <w:p w:rsidR="006D48C2" w:rsidRPr="006D48C2" w:rsidRDefault="006D48C2" w:rsidP="006D48C2">
      <w:pPr>
        <w:shd w:val="clear" w:color="auto" w:fill="FFFFFF"/>
        <w:spacing w:before="120" w:after="120" w:line="240" w:lineRule="auto"/>
        <w:ind w:firstLine="720"/>
        <w:jc w:val="both"/>
        <w:rPr>
          <w:rFonts w:ascii="Times New Roman" w:hAnsi="Times New Roman" w:cs="Times New Roman"/>
          <w:bCs/>
          <w:sz w:val="24"/>
          <w:szCs w:val="24"/>
          <w:lang w:eastAsia="lv-LV"/>
        </w:rPr>
      </w:pPr>
      <w:r w:rsidRPr="006D48C2">
        <w:rPr>
          <w:rFonts w:ascii="Times New Roman" w:hAnsi="Times New Roman" w:cs="Times New Roman"/>
          <w:bCs/>
          <w:sz w:val="24"/>
          <w:szCs w:val="24"/>
          <w:lang w:eastAsia="lv-LV"/>
        </w:rPr>
        <w:t>Paredzēts minimālo ienākumu sliekšņu apmērus noteikt attiecīgajos sociālos pakalpojumus un sociālo palīdzību reglamentējošos likumos, nosakot šo sliekšņu piemērošanas kritērijus, pakalpojumu un sociālās palīdzības pabalstu piešķiršanas un izmaksas kārtību. Paredzēts, ka noteiktā metode tiks piemērota, nosakot šādus minimālo ienākumu sliekšņus:</w:t>
      </w:r>
    </w:p>
    <w:p w:rsidR="006D48C2" w:rsidRPr="006D48C2" w:rsidRDefault="006D48C2" w:rsidP="00C35639">
      <w:pPr>
        <w:numPr>
          <w:ilvl w:val="0"/>
          <w:numId w:val="16"/>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trūcīgas mājsaimniecības ienākuma slieksnis;</w:t>
      </w:r>
    </w:p>
    <w:p w:rsidR="006D48C2" w:rsidRPr="006D48C2" w:rsidRDefault="006D48C2" w:rsidP="00C35639">
      <w:pPr>
        <w:numPr>
          <w:ilvl w:val="0"/>
          <w:numId w:val="16"/>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GMI slieksnis;</w:t>
      </w:r>
    </w:p>
    <w:p w:rsidR="006D48C2" w:rsidRPr="006D48C2" w:rsidRDefault="006D48C2" w:rsidP="00C35639">
      <w:pPr>
        <w:numPr>
          <w:ilvl w:val="0"/>
          <w:numId w:val="16"/>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valsts sociālā nodrošinājuma pabalsts;</w:t>
      </w:r>
    </w:p>
    <w:p w:rsidR="006D48C2" w:rsidRPr="006D48C2" w:rsidRDefault="006D48C2" w:rsidP="00C35639">
      <w:pPr>
        <w:numPr>
          <w:ilvl w:val="0"/>
          <w:numId w:val="16"/>
        </w:numPr>
        <w:spacing w:before="120" w:after="120" w:line="240" w:lineRule="auto"/>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valsts minimālās pensijas (vecuma, invaliditātes, apgādnieka zaudējuma  pensijas).</w:t>
      </w:r>
    </w:p>
    <w:p w:rsidR="006D48C2" w:rsidRPr="006D48C2" w:rsidRDefault="006D48C2" w:rsidP="006D48C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Ja pārskata gadā ienākumu mediānas vērtība nemainās vai samazinās, minimālo ienākumu sliekšņi paliek iepriekš noteiktajā apmērā, tādējādi nodrošinot, ka nepasliktinās atbalsta saņēmēju līdzšinējā situācija. Ņemot vērā, ka jaunā metode tiks ieviesta no 2021.gada 1.janvāra, šajā gadā minimālo ienākumu sliekšņi netiks pārskatīti.</w:t>
      </w:r>
    </w:p>
    <w:p w:rsidR="006D48C2" w:rsidRPr="006D48C2" w:rsidRDefault="006D48C2" w:rsidP="006D48C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 xml:space="preserve">Minimālo ienākumu sliekšņu pārskatīšana pozitīvi ietekmēs aptuveni 140 tūkst. valsts iedzīvotāju ar zemiem un ļoti zemiem ienākumiem, tostarp minimālo pensiju un valsts sociālā nodrošinājuma pabalsta saņēmējus, kā arī garantētā minimālā ienākuma pabalsta saņēmējus. </w:t>
      </w:r>
    </w:p>
    <w:p w:rsidR="006D48C2" w:rsidRPr="006D48C2" w:rsidRDefault="006D48C2" w:rsidP="006D48C2">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Garantētā minimālā ienākumu un trūcīgas mājsaimniecības ienākumu sliekšņa noteikšana un vienoti mājokļa pabalsta piešķiršanas nosacījumi</w:t>
      </w:r>
    </w:p>
    <w:p w:rsidR="006D48C2" w:rsidRPr="006D48C2" w:rsidRDefault="006D48C2" w:rsidP="006D48C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Pasākuma mērķis ir noteikt svarīgākos ar sociālās palīdzības minimuma piemērošanu saistītos jautājumus, kas nodrošinātu trūcīgām personām iespēju izmantot savas sociālās tiesības vismaz minimālā apmērā visā valsts teritorijā. Paredzēts noteikt garantēto minimālo ienākumu (turpmāk – GMI) slieksni un trūcīgas mājsaimniecības ienākumu slieksni sociālās palīdzības saņemšanai. </w:t>
      </w:r>
    </w:p>
    <w:p w:rsidR="006D48C2" w:rsidRPr="006D48C2" w:rsidRDefault="006D48C2" w:rsidP="006D48C2">
      <w:pPr>
        <w:spacing w:before="120" w:after="120" w:line="240" w:lineRule="auto"/>
        <w:ind w:firstLine="720"/>
        <w:jc w:val="both"/>
        <w:rPr>
          <w:rFonts w:ascii="Times New Roman" w:hAnsi="Times New Roman" w:cs="Times New Roman"/>
          <w:i/>
          <w:iCs/>
          <w:sz w:val="24"/>
          <w:szCs w:val="24"/>
          <w:lang w:eastAsia="lv-LV"/>
        </w:rPr>
      </w:pPr>
      <w:r w:rsidRPr="006D48C2">
        <w:rPr>
          <w:rFonts w:ascii="Times New Roman" w:hAnsi="Times New Roman" w:cs="Times New Roman"/>
          <w:iCs/>
          <w:sz w:val="24"/>
          <w:szCs w:val="24"/>
          <w:lang w:eastAsia="lv-LV"/>
        </w:rPr>
        <w:t xml:space="preserve">Atbilstoši Ministru kabineta 2012.gada 18.decembra noteikumu Nr.913 “Noteikumi par garantēto minimālo ienākumu līmeni” 2.punktā noteiktajam GMI līmenis 2018.–2019.gadā bija 53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personai mēnesī un no 2020.gada 1.janvāra – 64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
          <w:iCs/>
          <w:sz w:val="24"/>
          <w:szCs w:val="24"/>
          <w:lang w:eastAsia="lv-LV"/>
        </w:rPr>
        <w:t>.</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rPr>
        <w:t xml:space="preserve">Satversmes tiesa lietā Nr.2019-24-03 norāda, ka likumdevējam jānosaka sociālās palīdzības mērķis un kādas pamatvajadzības tiek nodrošinātas ar katru pabalsta veidu. Satversmes tiesa </w:t>
      </w:r>
      <w:r w:rsidRPr="006D48C2">
        <w:rPr>
          <w:rFonts w:ascii="Times New Roman" w:eastAsia="Calibri" w:hAnsi="Times New Roman" w:cs="Times New Roman"/>
          <w:sz w:val="24"/>
          <w:szCs w:val="24"/>
          <w:lang w:eastAsia="lv-LV"/>
        </w:rPr>
        <w:t xml:space="preserve">spriedumā par GMI līmeni norāda, ka “lai ikviens varētu dzīvot tādu dzīvi, kas atbilst cilvēka cieņai, sociālās palīdzības minimumam vajadzētu būt tādam, ka ikviens var nodrošināt sev </w:t>
      </w:r>
      <w:r w:rsidRPr="006D48C2">
        <w:rPr>
          <w:rFonts w:ascii="Times New Roman" w:eastAsia="Calibri" w:hAnsi="Times New Roman" w:cs="Times New Roman"/>
          <w:i/>
          <w:sz w:val="24"/>
          <w:szCs w:val="24"/>
          <w:lang w:eastAsia="lv-LV"/>
        </w:rPr>
        <w:t>pārtiku, apģērbu, mājokli un medicīnisko palīdzību</w:t>
      </w:r>
      <w:r w:rsidRPr="006D48C2">
        <w:rPr>
          <w:rFonts w:ascii="Times New Roman" w:eastAsia="Calibri" w:hAnsi="Times New Roman" w:cs="Times New Roman"/>
          <w:sz w:val="24"/>
          <w:szCs w:val="24"/>
          <w:lang w:eastAsia="lv-LV"/>
        </w:rPr>
        <w:t xml:space="preserve"> – visu to, kas nepieciešams elementāras izdzīvošanas garantēšanai jebkuram cilvēkam, kā arī nodrošināt ikvienai personai iespējas izmantot savas tiesības uz pamatizglītību. Turklāt sociālajai palīdzībai ir jāgarantē personai </w:t>
      </w:r>
      <w:r w:rsidRPr="006D48C2">
        <w:rPr>
          <w:rFonts w:ascii="Times New Roman" w:eastAsia="Calibri" w:hAnsi="Times New Roman" w:cs="Times New Roman"/>
          <w:i/>
          <w:sz w:val="24"/>
          <w:szCs w:val="24"/>
          <w:lang w:eastAsia="lv-LV"/>
        </w:rPr>
        <w:t>iespējas piedalīties sociālajā, politiskajā un kultūras dzīvē,</w:t>
      </w:r>
      <w:r w:rsidRPr="006D48C2">
        <w:rPr>
          <w:rFonts w:ascii="Times New Roman" w:eastAsia="Calibri" w:hAnsi="Times New Roman" w:cs="Times New Roman"/>
          <w:sz w:val="24"/>
          <w:szCs w:val="24"/>
          <w:lang w:eastAsia="lv-LV"/>
        </w:rPr>
        <w:t xml:space="preserve"> tādējādi ikvienai personai nodrošinot pilnvērtīga sabiedrības locekļa statusu”.</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iCs/>
          <w:sz w:val="24"/>
          <w:szCs w:val="24"/>
          <w:lang w:eastAsia="lv-LV"/>
        </w:rPr>
        <w:t xml:space="preserve">GMI slieksnis ir zemākais tiesību aktos noteiktais minimālo ienākumu vai resursu līmenis, kas ļauj personai, kura atzīta par trūcīgu, pretendēt uz noteikta veida materiālo atbalstu. </w:t>
      </w:r>
      <w:r w:rsidRPr="006D48C2">
        <w:rPr>
          <w:rFonts w:ascii="Times New Roman" w:hAnsi="Times New Roman" w:cs="Times New Roman"/>
          <w:sz w:val="24"/>
          <w:szCs w:val="24"/>
          <w:lang w:eastAsia="lv-LV"/>
        </w:rPr>
        <w:t xml:space="preserve">Plānots noteikt, ka </w:t>
      </w:r>
      <w:r w:rsidRPr="006D48C2">
        <w:rPr>
          <w:rFonts w:ascii="Times New Roman" w:eastAsia="Calibri" w:hAnsi="Times New Roman" w:cs="Times New Roman"/>
          <w:sz w:val="24"/>
          <w:szCs w:val="24"/>
        </w:rPr>
        <w:t xml:space="preserve">GMI slieksnis ir 20 procentu apmērā no mājsaimniecību rīcībā esošo ienākumu mediānas uz vienu ekvivalento patērētāju, piemērojot koeficientu 1 pirmajai vai vienīgajai personai mājsaimniecībā un  pārējām personām mājsaimniecībā - koeficientu 0,7. Attiecīgi </w:t>
      </w:r>
      <w:r w:rsidRPr="006D48C2">
        <w:rPr>
          <w:rFonts w:ascii="Times New Roman" w:eastAsia="Calibri" w:hAnsi="Times New Roman" w:cs="Times New Roman"/>
          <w:b/>
          <w:i/>
          <w:sz w:val="24"/>
          <w:szCs w:val="24"/>
        </w:rPr>
        <w:t>no</w:t>
      </w:r>
      <w:r w:rsidRPr="006D48C2">
        <w:rPr>
          <w:rFonts w:ascii="Times New Roman" w:eastAsia="Calibri" w:hAnsi="Times New Roman" w:cs="Times New Roman"/>
          <w:sz w:val="24"/>
          <w:szCs w:val="24"/>
        </w:rPr>
        <w:t xml:space="preserve"> </w:t>
      </w:r>
      <w:r w:rsidRPr="006D48C2">
        <w:rPr>
          <w:rFonts w:ascii="Times New Roman" w:eastAsia="Calibri" w:hAnsi="Times New Roman" w:cs="Times New Roman"/>
          <w:b/>
          <w:i/>
          <w:sz w:val="24"/>
          <w:szCs w:val="24"/>
        </w:rPr>
        <w:t xml:space="preserve">2021.gada 1.janvāra GMI slieksnis tiek plānots 109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 xml:space="preserve"> pirmajai vai vienīgajai personai mājsaimniecībā un 76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 xml:space="preserve"> katrai nākamajai personai mājsaimniecībā</w:t>
      </w:r>
      <w:r w:rsidRPr="006D48C2">
        <w:rPr>
          <w:rFonts w:ascii="Times New Roman" w:eastAsia="Calibri" w:hAnsi="Times New Roman" w:cs="Times New Roman"/>
          <w:sz w:val="24"/>
          <w:szCs w:val="24"/>
        </w:rPr>
        <w:t xml:space="preserve">. </w:t>
      </w:r>
    </w:p>
    <w:p w:rsidR="006D48C2" w:rsidRPr="006D48C2" w:rsidRDefault="006D48C2" w:rsidP="006D48C2">
      <w:pPr>
        <w:spacing w:before="120" w:after="120" w:line="240" w:lineRule="auto"/>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ab/>
      </w:r>
      <w:r w:rsidRPr="006D48C2">
        <w:rPr>
          <w:rFonts w:ascii="Times New Roman" w:hAnsi="Times New Roman" w:cs="Times New Roman"/>
          <w:iCs/>
          <w:sz w:val="24"/>
          <w:szCs w:val="24"/>
          <w:lang w:eastAsia="lv-LV"/>
        </w:rPr>
        <w:t>Lai nodrošinātu GMI slieksni 20 procentu apmērā no</w:t>
      </w:r>
      <w:r w:rsidRPr="006D48C2">
        <w:rPr>
          <w:rFonts w:ascii="Times New Roman" w:eastAsia="Calibri" w:hAnsi="Times New Roman" w:cs="Times New Roman"/>
          <w:sz w:val="24"/>
          <w:szCs w:val="24"/>
        </w:rPr>
        <w:t xml:space="preserve"> mājsaimniecību rīcībā esošo ienākumu mediānas uz vienu ekvivalento patērētāju, </w:t>
      </w:r>
      <w:r w:rsidRPr="006D48C2">
        <w:rPr>
          <w:rFonts w:ascii="Times New Roman" w:eastAsia="Calibri" w:hAnsi="Times New Roman" w:cs="Times New Roman"/>
          <w:sz w:val="24"/>
          <w:szCs w:val="24"/>
          <w:shd w:val="clear" w:color="auto" w:fill="FFFFFF"/>
        </w:rPr>
        <w:t xml:space="preserve">pašvaldībām nepieciešami papildus 2021.gadā  - 8 446 477 </w:t>
      </w:r>
      <w:proofErr w:type="spellStart"/>
      <w:r w:rsidRPr="006D48C2">
        <w:rPr>
          <w:rFonts w:ascii="Times New Roman" w:eastAsia="Calibri" w:hAnsi="Times New Roman" w:cs="Times New Roman"/>
          <w:i/>
          <w:sz w:val="24"/>
          <w:szCs w:val="24"/>
          <w:shd w:val="clear" w:color="auto" w:fill="FFFFFF"/>
        </w:rPr>
        <w:t>euro</w:t>
      </w:r>
      <w:proofErr w:type="spellEnd"/>
      <w:r w:rsidRPr="006D48C2">
        <w:rPr>
          <w:rFonts w:ascii="Times New Roman" w:eastAsia="Calibri" w:hAnsi="Times New Roman" w:cs="Times New Roman"/>
          <w:i/>
          <w:sz w:val="24"/>
          <w:szCs w:val="24"/>
          <w:shd w:val="clear" w:color="auto" w:fill="FFFFFF"/>
        </w:rPr>
        <w:t>,</w:t>
      </w:r>
      <w:r w:rsidRPr="006D48C2">
        <w:rPr>
          <w:rFonts w:ascii="Times New Roman" w:eastAsia="Calibri" w:hAnsi="Times New Roman" w:cs="Times New Roman"/>
          <w:sz w:val="24"/>
          <w:szCs w:val="24"/>
          <w:shd w:val="clear" w:color="auto" w:fill="FFFFFF"/>
        </w:rPr>
        <w:t xml:space="preserve"> 2022.gadā - 7 920 460 </w:t>
      </w:r>
      <w:proofErr w:type="spellStart"/>
      <w:r w:rsidRPr="006D48C2">
        <w:rPr>
          <w:rFonts w:ascii="Times New Roman" w:eastAsia="Calibri" w:hAnsi="Times New Roman" w:cs="Times New Roman"/>
          <w:i/>
          <w:sz w:val="24"/>
          <w:szCs w:val="24"/>
          <w:shd w:val="clear" w:color="auto" w:fill="FFFFFF"/>
        </w:rPr>
        <w:t>euro</w:t>
      </w:r>
      <w:proofErr w:type="spellEnd"/>
      <w:r w:rsidRPr="006D48C2">
        <w:rPr>
          <w:rFonts w:ascii="Times New Roman" w:eastAsia="Calibri" w:hAnsi="Times New Roman" w:cs="Times New Roman"/>
          <w:sz w:val="24"/>
          <w:szCs w:val="24"/>
          <w:shd w:val="clear" w:color="auto" w:fill="FFFFFF"/>
        </w:rPr>
        <w:t xml:space="preserve">, 2023.gadā - 7 417 672 </w:t>
      </w:r>
      <w:proofErr w:type="spellStart"/>
      <w:r w:rsidRPr="006D48C2">
        <w:rPr>
          <w:rFonts w:ascii="Times New Roman" w:eastAsia="Calibri" w:hAnsi="Times New Roman" w:cs="Times New Roman"/>
          <w:i/>
          <w:sz w:val="24"/>
          <w:szCs w:val="24"/>
          <w:shd w:val="clear" w:color="auto" w:fill="FFFFFF"/>
        </w:rPr>
        <w:t>euro</w:t>
      </w:r>
      <w:proofErr w:type="spellEnd"/>
      <w:r w:rsidRPr="006D48C2">
        <w:rPr>
          <w:rFonts w:ascii="Times New Roman" w:eastAsia="Calibri" w:hAnsi="Times New Roman" w:cs="Times New Roman"/>
          <w:sz w:val="24"/>
          <w:szCs w:val="24"/>
          <w:shd w:val="clear" w:color="auto" w:fill="FFFFFF"/>
        </w:rPr>
        <w:t xml:space="preserve">, kas dos iespēju mājsaimniecībām saņemt materiālu atbalstu pašu nepieciešamāko, minimālo ikdienas izdevumu segšanai </w:t>
      </w:r>
      <w:r w:rsidRPr="006D48C2">
        <w:rPr>
          <w:rFonts w:ascii="Times New Roman" w:hAnsi="Times New Roman" w:cs="Times New Roman"/>
          <w:iCs/>
          <w:sz w:val="24"/>
          <w:szCs w:val="24"/>
          <w:lang w:eastAsia="lv-LV"/>
        </w:rPr>
        <w:t xml:space="preserve">(ēdienam, apģērbam, apaviem, personīgai higiēnai, mājas kopšanas līdzekļiem, nelieliem personas un ģimenes ikdienas izdevumiem) - </w:t>
      </w:r>
      <w:r w:rsidRPr="006D48C2">
        <w:rPr>
          <w:rFonts w:ascii="Times New Roman" w:eastAsia="Calibri" w:hAnsi="Times New Roman" w:cs="Times New Roman"/>
          <w:sz w:val="24"/>
          <w:szCs w:val="24"/>
          <w:shd w:val="clear" w:color="auto" w:fill="FFFFFF"/>
        </w:rPr>
        <w:t>GMI pabalsta veidā.</w:t>
      </w:r>
    </w:p>
    <w:p w:rsidR="006D48C2" w:rsidRPr="006D48C2" w:rsidRDefault="006D48C2" w:rsidP="006D48C2">
      <w:pPr>
        <w:spacing w:before="120" w:after="120" w:line="240" w:lineRule="auto"/>
        <w:ind w:firstLine="720"/>
        <w:jc w:val="both"/>
        <w:rPr>
          <w:rFonts w:ascii="Times New Roman" w:hAnsi="Times New Roman" w:cs="Times New Roman"/>
          <w:iCs/>
          <w:sz w:val="24"/>
          <w:szCs w:val="24"/>
          <w:lang w:eastAsia="lv-LV"/>
        </w:rPr>
      </w:pPr>
      <w:r w:rsidRPr="006D48C2">
        <w:rPr>
          <w:rFonts w:ascii="Times New Roman" w:hAnsi="Times New Roman" w:cs="Times New Roman"/>
          <w:iCs/>
          <w:sz w:val="24"/>
          <w:szCs w:val="24"/>
          <w:lang w:eastAsia="lv-LV"/>
        </w:rPr>
        <w:t xml:space="preserve">Atbilstoši Ministru kabineta 2010.gada 30.marta noteikumu Nr.299 ”Noteikumi par ģimenes vai atsevišķi dzīvojošas personas atzīšanu par trūcīgu” 2.punktā noteiktajam trūcīgas ģimenes (personas) ienākumu līmenis ir 128,06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personai mēnesī (no 2009.gada).</w:t>
      </w:r>
    </w:p>
    <w:p w:rsidR="006D48C2" w:rsidRPr="006D48C2" w:rsidRDefault="006D48C2" w:rsidP="006D48C2">
      <w:pPr>
        <w:shd w:val="clear" w:color="auto" w:fill="FFFFFF"/>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Eiropas Savienības līmenī 2018.gadā noteiktais nabadzības riska slieksnis bija 409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sz w:val="24"/>
          <w:szCs w:val="24"/>
          <w:lang w:eastAsia="lv-LV"/>
        </w:rPr>
        <w:t xml:space="preserve"> vienas personas mājsaimniecībā jeb 60% no mājsaimniecību rīcībā esošo ienākumu mediānas uz vienu ekvivalento patērētāju.</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lang w:val="lt-LT"/>
        </w:rPr>
        <w:t xml:space="preserve">Plānots noteikt, ka </w:t>
      </w:r>
      <w:r w:rsidRPr="006D48C2">
        <w:rPr>
          <w:rFonts w:ascii="Times New Roman" w:eastAsia="Calibri" w:hAnsi="Times New Roman" w:cs="Times New Roman"/>
          <w:sz w:val="24"/>
          <w:szCs w:val="24"/>
        </w:rPr>
        <w:t xml:space="preserve">trūcīgas mājsaimniecības ienākumu slieksnis ir 50 procentu apmērā no mājsaimniecību rīcībā esošo ienākumu mediānas uz vienu ekvivalento patērētāju, piemērojot iepriekšminēto skalu. Tā rezultātā </w:t>
      </w:r>
      <w:r w:rsidRPr="006D48C2">
        <w:rPr>
          <w:rFonts w:ascii="Times New Roman" w:eastAsia="Calibri" w:hAnsi="Times New Roman" w:cs="Times New Roman"/>
          <w:b/>
          <w:i/>
          <w:sz w:val="24"/>
          <w:szCs w:val="24"/>
        </w:rPr>
        <w:t xml:space="preserve">no 2021.gada 1.janvāra trūcīgas mājsaimniecības ienākumu slieksnis tiek plānots 272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 xml:space="preserve"> pirmajai vai vienīgajai personai mājsaimniecībā un 190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 xml:space="preserve"> katrai nākamajai personai mājsaimniecībā</w:t>
      </w:r>
      <w:r w:rsidRPr="006D48C2">
        <w:rPr>
          <w:rFonts w:ascii="Times New Roman" w:eastAsia="Calibri" w:hAnsi="Times New Roman" w:cs="Times New Roman"/>
          <w:sz w:val="24"/>
          <w:szCs w:val="24"/>
        </w:rPr>
        <w:t xml:space="preserve">. </w:t>
      </w:r>
    </w:p>
    <w:p w:rsidR="006D48C2" w:rsidRPr="006D48C2" w:rsidRDefault="006D48C2" w:rsidP="006D48C2">
      <w:pPr>
        <w:spacing w:before="120" w:after="120" w:line="240" w:lineRule="auto"/>
        <w:ind w:firstLine="720"/>
        <w:jc w:val="both"/>
        <w:rPr>
          <w:rFonts w:ascii="Times New Roman" w:hAnsi="Times New Roman" w:cs="Times New Roman"/>
          <w:iCs/>
          <w:sz w:val="24"/>
          <w:szCs w:val="24"/>
          <w:lang w:eastAsia="lv-LV"/>
        </w:rPr>
      </w:pPr>
      <w:r w:rsidRPr="006D48C2">
        <w:rPr>
          <w:rFonts w:ascii="Times New Roman" w:hAnsi="Times New Roman" w:cs="Times New Roman"/>
          <w:sz w:val="24"/>
          <w:szCs w:val="24"/>
          <w:lang w:eastAsia="en-GB"/>
        </w:rPr>
        <w:t xml:space="preserve">Palielinot trūcīgas mājsaimniecības ienākumu slieksni līdz 50 procentiem </w:t>
      </w:r>
      <w:r w:rsidRPr="006D48C2">
        <w:rPr>
          <w:rFonts w:ascii="Times New Roman" w:eastAsia="Calibri" w:hAnsi="Times New Roman" w:cs="Times New Roman"/>
          <w:sz w:val="24"/>
          <w:szCs w:val="24"/>
        </w:rPr>
        <w:t>no mājsaimniecību rīcībā esošo ienākumu mediānas uz vienu ekvivalento patērētāju</w:t>
      </w:r>
      <w:r w:rsidRPr="006D48C2">
        <w:rPr>
          <w:rFonts w:ascii="Times New Roman" w:hAnsi="Times New Roman" w:cs="Times New Roman"/>
          <w:sz w:val="24"/>
          <w:szCs w:val="24"/>
          <w:lang w:eastAsia="en-GB"/>
        </w:rPr>
        <w:t>,</w:t>
      </w:r>
      <w:r w:rsidRPr="006D48C2">
        <w:rPr>
          <w:rFonts w:ascii="Times New Roman" w:hAnsi="Times New Roman" w:cs="Times New Roman"/>
          <w:iCs/>
          <w:sz w:val="24"/>
          <w:szCs w:val="24"/>
          <w:lang w:eastAsia="lv-LV"/>
        </w:rPr>
        <w:t xml:space="preserve"> nepieciešams palielināt finansējumu veselības aprūpes pakalpojumiem (pacientu līdzmaksājumu kompensācija, ambulatorai ārstēšanai paredzēto zāļu iegādes izdevumu kompensācija) trūcīgām </w:t>
      </w:r>
      <w:r w:rsidRPr="006D48C2">
        <w:rPr>
          <w:rFonts w:ascii="Times New Roman" w:hAnsi="Times New Roman" w:cs="Times New Roman"/>
          <w:sz w:val="24"/>
          <w:szCs w:val="24"/>
          <w:lang w:eastAsia="lv-LV"/>
        </w:rPr>
        <w:t>pilngadīgām personām</w:t>
      </w:r>
      <w:r w:rsidRPr="006D48C2">
        <w:rPr>
          <w:rFonts w:ascii="Times New Roman" w:hAnsi="Times New Roman" w:cs="Times New Roman"/>
          <w:iCs/>
          <w:sz w:val="24"/>
          <w:szCs w:val="24"/>
          <w:lang w:eastAsia="lv-LV"/>
        </w:rPr>
        <w:t xml:space="preserve">. Veselības ministrijai papildu nepieciešamais finansējums 2021.gadā - 1 582 480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2022.gadā - 1 361 437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un 2023.gadā - 1 151 550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z w:val="24"/>
          <w:szCs w:val="24"/>
          <w:lang w:eastAsia="lv-LV"/>
        </w:rPr>
        <w:t>Ievērojami palielinot trūcīgas personas ienākumu slieksni,</w:t>
      </w:r>
      <w:r w:rsidRPr="006D48C2">
        <w:rPr>
          <w:rFonts w:ascii="Times New Roman" w:eastAsia="Calibri" w:hAnsi="Times New Roman" w:cs="Times New Roman"/>
          <w:sz w:val="24"/>
          <w:szCs w:val="24"/>
        </w:rPr>
        <w:t xml:space="preserve"> tiek plānots </w:t>
      </w:r>
      <w:r w:rsidRPr="006D48C2">
        <w:rPr>
          <w:rFonts w:ascii="Times New Roman" w:eastAsia="Calibri" w:hAnsi="Times New Roman" w:cs="Times New Roman"/>
          <w:sz w:val="24"/>
          <w:szCs w:val="24"/>
          <w:lang w:val="lt-LT"/>
        </w:rPr>
        <w:t xml:space="preserve">apvienot trūcīgas un maznodrošinātas ģimenes (personas) ienākumu līmeni, aizstājot to ar vienu - trūcīgas mājsaimniecības slieksni, </w:t>
      </w:r>
      <w:r w:rsidRPr="006D48C2">
        <w:rPr>
          <w:rFonts w:ascii="Times New Roman" w:eastAsia="Calibri" w:hAnsi="Times New Roman" w:cs="Times New Roman"/>
          <w:sz w:val="24"/>
          <w:szCs w:val="24"/>
        </w:rPr>
        <w:t>k</w:t>
      </w:r>
      <w:r w:rsidRPr="006D48C2">
        <w:rPr>
          <w:rFonts w:ascii="Times New Roman" w:hAnsi="Times New Roman" w:cs="Times New Roman"/>
          <w:iCs/>
          <w:sz w:val="24"/>
          <w:szCs w:val="24"/>
          <w:lang w:eastAsia="lv-LV"/>
        </w:rPr>
        <w:t xml:space="preserve">as dotu iespēju vienādos vai līdzīgos apstākļos esošām ģimenēm vai personām visā valsts teritorijā saņemt atbilstošu atbalstu. Kā liecina </w:t>
      </w:r>
      <w:r w:rsidRPr="006D48C2">
        <w:rPr>
          <w:rFonts w:ascii="Times New Roman" w:eastAsia="Calibri" w:hAnsi="Times New Roman" w:cs="Times New Roman"/>
          <w:sz w:val="24"/>
          <w:szCs w:val="24"/>
        </w:rPr>
        <w:t xml:space="preserve">pašvaldību par 2019.gadu iesniegtā oficiālā statistika, </w:t>
      </w:r>
      <w:r w:rsidRPr="006D48C2">
        <w:rPr>
          <w:rFonts w:ascii="Times New Roman" w:hAnsi="Times New Roman" w:cs="Times New Roman"/>
          <w:iCs/>
          <w:sz w:val="24"/>
          <w:szCs w:val="24"/>
          <w:lang w:eastAsia="lv-LV"/>
        </w:rPr>
        <w:t xml:space="preserve">maznodrošinātas ģimenes (personas) ienākumu līmenis valstī bija noteikts ļoti atšķirīgs: no 135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personai mēnesī Valmierā līdz 430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personai mēnesī Garkalnes un Salaspils novados. </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Sociālo pakalpojumu un sociālās palīdzības likumā nav ietverta dzīvokļa pabalsta definīcija, bet ir noteikts, ka dzīvokļa pabalsts ir viens no diviem pašvaldību obligāti nodrošināmiem sociālās palīdzības pabalstu veidiem, kas tiek izmaksāts no pašvaldības pamatbudžeta, kā arī ietverts deleģējums pašvaldībām saistošajos noteikumos noteikt dzīvokļa pabalsta apmēru, izmaksas kārtību un personas, kuras ir tiesīgas saņemt šo pabalstu.</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Dzīvokļa pabalsta definīcija un tiesiskais regulējums ir ietverts likumā „</w:t>
      </w:r>
      <w:r w:rsidRPr="006D48C2">
        <w:rPr>
          <w:rFonts w:ascii="Times New Roman" w:eastAsia="Calibri" w:hAnsi="Times New Roman" w:cs="Times New Roman"/>
          <w:i/>
          <w:sz w:val="24"/>
          <w:szCs w:val="24"/>
        </w:rPr>
        <w:t>Par palīdzību dzīvokļa jautājumu risināšanā</w:t>
      </w:r>
      <w:r w:rsidRPr="006D48C2">
        <w:rPr>
          <w:rFonts w:ascii="Times New Roman" w:eastAsia="Calibri" w:hAnsi="Times New Roman" w:cs="Times New Roman"/>
          <w:sz w:val="24"/>
          <w:szCs w:val="24"/>
        </w:rPr>
        <w:t xml:space="preserve">”: dzīvokļa pabalsts ir pabalsts dzīvojamās telpas īres maksas un maksas par pakalpojumiem, kas saistīti ar dzīvojamās telpas lietošanu, segšanai (turpmāk — dzīvokļa pabalsts); 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 Pašvaldības dome saistošajos noteikumos var noteikt arī citas personu kategorijas, kurām ir tiesības saņemt dzīvokļa pabalstu. </w:t>
      </w:r>
    </w:p>
    <w:p w:rsidR="006D48C2" w:rsidRPr="006D48C2" w:rsidRDefault="006D48C2" w:rsidP="006D48C2">
      <w:pPr>
        <w:spacing w:before="120" w:after="120" w:line="240" w:lineRule="auto"/>
        <w:ind w:firstLine="720"/>
        <w:jc w:val="both"/>
        <w:rPr>
          <w:rFonts w:ascii="Times New Roman" w:hAnsi="Times New Roman" w:cs="Times New Roman"/>
          <w:iCs/>
          <w:sz w:val="24"/>
          <w:szCs w:val="24"/>
          <w:lang w:eastAsia="lv-LV"/>
        </w:rPr>
      </w:pPr>
      <w:r w:rsidRPr="006D48C2">
        <w:rPr>
          <w:rFonts w:ascii="Times New Roman" w:hAnsi="Times New Roman" w:cs="Times New Roman"/>
          <w:iCs/>
          <w:sz w:val="24"/>
          <w:szCs w:val="24"/>
          <w:lang w:eastAsia="lv-LV"/>
        </w:rPr>
        <w:t xml:space="preserve">Latvijas Republikas Satversmes tiesa (lietā Nr.2019-24-03) ir atzinusi, ka likumdevējs ir veicis pasākumus, lai izveidotu sociālās drošības sistēmu, kas nodrošinātu trūcīgām personām iespēju izmantot sociālās tiesības. Taču, pārbaudot, vai veiktie pasākumi trūcīgas personas sociālo tiesību īstenošanā ir veikti pienācīgi un vai tie dod iespēju visām trūcīgām personām izmantot savas sociālās tiesības vismaz minimālā apmērā, secina, ka daudzi būtiski jautājumi ir deleģēti Ministru kabinetam un pašvaldībām, kas kopsakarā ar citiem valsts īstenotajiem sociālās drošības sistēmas pasākumiem nav sekmējuši visām trūcīgām personām cilvēka cieņai atbilstošas dzīves nodrošinājumu. </w:t>
      </w:r>
      <w:r w:rsidRPr="006D48C2">
        <w:rPr>
          <w:rFonts w:ascii="Times New Roman" w:eastAsia="Calibri" w:hAnsi="Times New Roman" w:cs="Times New Roman"/>
          <w:sz w:val="24"/>
          <w:szCs w:val="24"/>
        </w:rPr>
        <w:t xml:space="preserve">Taču sociālās palīdzības pabalstu apmēri un pārklājums dažādās pašvaldībās ir ļoti atšķirīgi un negarantē pienācīgas sociālo tiesību nodrošināšanas iespējas iedzīvotājiem visās pašvaldībās.     </w:t>
      </w:r>
      <w:r w:rsidRPr="006D48C2">
        <w:rPr>
          <w:rFonts w:ascii="Times New Roman" w:hAnsi="Times New Roman" w:cs="Times New Roman"/>
          <w:iCs/>
          <w:sz w:val="24"/>
          <w:szCs w:val="24"/>
          <w:lang w:eastAsia="lv-LV"/>
        </w:rPr>
        <w:t xml:space="preserve">  </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 xml:space="preserve">Lai nodrošinātu vienotu tiesisko regulējumu vienas no svarīgākajām pamatvajadzībām – mājoklis – nodrošināšanai, paredzēts </w:t>
      </w:r>
      <w:r w:rsidRPr="006D48C2">
        <w:rPr>
          <w:rFonts w:ascii="Times New Roman" w:eastAsia="Calibri" w:hAnsi="Times New Roman" w:cs="Times New Roman"/>
          <w:sz w:val="24"/>
          <w:szCs w:val="24"/>
          <w:shd w:val="clear" w:color="auto" w:fill="FFFFFF"/>
        </w:rPr>
        <w:t xml:space="preserve">Sociālo pakalpojumu un sociālās palīdzības </w:t>
      </w:r>
      <w:r w:rsidRPr="006D48C2">
        <w:rPr>
          <w:rFonts w:ascii="Times New Roman" w:eastAsia="Calibri" w:hAnsi="Times New Roman" w:cs="Times New Roman"/>
          <w:sz w:val="24"/>
          <w:szCs w:val="24"/>
          <w:lang w:eastAsia="lv-LV"/>
        </w:rPr>
        <w:t>likumā noteikt vienotu tiesisko regulējumu mājokļa pabalsta nodrošināšanai, nosakot izdevumu pozīcijas, kuras tiks izmantotas mājokļa pabalsta apmēra aprēķināšanai, un deleģējumu Ministru kabinetam noteikt normas šīm izdevumu pozīcijām, kā arī mājokļa pabalsta apmēra aprēķināšanas, piešķiršanas un izmaksas kārtību.</w:t>
      </w:r>
    </w:p>
    <w:p w:rsidR="006D48C2" w:rsidRPr="006D48C2" w:rsidRDefault="006D48C2" w:rsidP="006D48C2">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rPr>
        <w:t>Izdevumus, kurus paredzēts ņemt vērā mājokļa pabalsta aprēķinā, plānots noteikt šādus:</w:t>
      </w:r>
    </w:p>
    <w:p w:rsidR="006D48C2" w:rsidRPr="006D48C2" w:rsidRDefault="006D48C2" w:rsidP="006D48C2">
      <w:pPr>
        <w:shd w:val="clear" w:color="auto" w:fill="FFFFFF"/>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1) izdevumi par dzīvojamās telpas lietošanu (īres maksa, nepieciešamie izdevumi par obligāti veicamajām pārvaldīšanas darbībām);</w:t>
      </w:r>
    </w:p>
    <w:p w:rsidR="006D48C2" w:rsidRPr="006D48C2" w:rsidRDefault="006D48C2" w:rsidP="006D48C2">
      <w:pPr>
        <w:shd w:val="clear" w:color="auto" w:fill="FFFFFF"/>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2) izdevumi 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rsidR="006D48C2" w:rsidRPr="006D48C2" w:rsidRDefault="006D48C2" w:rsidP="006D48C2">
      <w:pPr>
        <w:shd w:val="clear" w:color="auto" w:fill="FFFFFF"/>
        <w:spacing w:before="120" w:after="120" w:line="240" w:lineRule="auto"/>
        <w:ind w:firstLine="9"/>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            3) izdevumi par interneta un tālruņa lietošanu, izdevumi par ūdens skaitītāju uzstādīšanu un  pārbaudi.</w:t>
      </w:r>
      <w:r w:rsidRPr="006D48C2">
        <w:rPr>
          <w:rFonts w:ascii="Times New Roman" w:eastAsia="Calibri" w:hAnsi="Times New Roman" w:cs="Times New Roman"/>
          <w:b/>
          <w:bCs/>
          <w:sz w:val="24"/>
          <w:szCs w:val="24"/>
          <w:lang w:eastAsia="lv-LV"/>
        </w:rPr>
        <w:t xml:space="preserve"> </w:t>
      </w:r>
    </w:p>
    <w:p w:rsidR="006D48C2" w:rsidRPr="006D48C2" w:rsidRDefault="006D48C2" w:rsidP="006D48C2">
      <w:pPr>
        <w:shd w:val="clear" w:color="auto" w:fill="FFFFFF"/>
        <w:spacing w:before="120" w:after="120" w:line="240" w:lineRule="auto"/>
        <w:ind w:firstLine="720"/>
        <w:jc w:val="both"/>
        <w:rPr>
          <w:rFonts w:ascii="Times New Roman" w:eastAsia="Calibri" w:hAnsi="Times New Roman" w:cs="Times New Roman"/>
          <w:sz w:val="24"/>
          <w:szCs w:val="24"/>
          <w:shd w:val="clear" w:color="auto" w:fill="FFFFFF"/>
        </w:rPr>
      </w:pPr>
      <w:r w:rsidRPr="006D48C2">
        <w:rPr>
          <w:rFonts w:ascii="Times New Roman" w:eastAsia="Calibri" w:hAnsi="Times New Roman" w:cs="Times New Roman"/>
          <w:sz w:val="24"/>
          <w:szCs w:val="24"/>
        </w:rPr>
        <w:t xml:space="preserve">Lai sniegtu atbalstu mājsaimniecībām </w:t>
      </w:r>
      <w:r w:rsidRPr="006D48C2">
        <w:rPr>
          <w:rFonts w:ascii="Times New Roman" w:eastAsia="Calibri" w:hAnsi="Times New Roman" w:cs="Times New Roman"/>
          <w:i/>
          <w:sz w:val="24"/>
          <w:szCs w:val="24"/>
        </w:rPr>
        <w:t>mājokļa pabalsta</w:t>
      </w:r>
      <w:r w:rsidRPr="006D48C2">
        <w:rPr>
          <w:rFonts w:ascii="Times New Roman" w:eastAsia="Calibri" w:hAnsi="Times New Roman" w:cs="Times New Roman"/>
          <w:sz w:val="24"/>
          <w:szCs w:val="24"/>
        </w:rPr>
        <w:t xml:space="preserve"> veidā, nodrošinot vienotu pieeju noteiktu </w:t>
      </w:r>
      <w:r w:rsidRPr="006D48C2">
        <w:rPr>
          <w:rFonts w:ascii="Times New Roman" w:hAnsi="Times New Roman" w:cs="Times New Roman"/>
          <w:iCs/>
          <w:sz w:val="24"/>
          <w:szCs w:val="24"/>
          <w:lang w:eastAsia="lv-LV"/>
        </w:rPr>
        <w:t>mājokļa</w:t>
      </w:r>
      <w:r w:rsidRPr="006D48C2">
        <w:rPr>
          <w:rFonts w:ascii="Times New Roman" w:hAnsi="Times New Roman" w:cs="Times New Roman"/>
          <w:i/>
          <w:iCs/>
          <w:sz w:val="24"/>
          <w:szCs w:val="24"/>
          <w:lang w:eastAsia="lv-LV"/>
        </w:rPr>
        <w:t xml:space="preserve"> </w:t>
      </w:r>
      <w:r w:rsidRPr="006D48C2">
        <w:rPr>
          <w:rFonts w:ascii="Times New Roman" w:hAnsi="Times New Roman" w:cs="Times New Roman"/>
          <w:iCs/>
          <w:sz w:val="24"/>
          <w:szCs w:val="24"/>
          <w:lang w:eastAsia="lv-LV"/>
        </w:rPr>
        <w:t xml:space="preserve">izdevumu segšanai, </w:t>
      </w:r>
      <w:r w:rsidRPr="006D48C2">
        <w:rPr>
          <w:rFonts w:ascii="Times New Roman" w:eastAsia="Calibri" w:hAnsi="Times New Roman" w:cs="Times New Roman"/>
          <w:sz w:val="24"/>
          <w:szCs w:val="24"/>
          <w:shd w:val="clear" w:color="auto" w:fill="FFFFFF"/>
        </w:rPr>
        <w:t xml:space="preserve">pašvaldībām papildus 2021.gadā nepieciešami 15 330 987 </w:t>
      </w:r>
      <w:proofErr w:type="spellStart"/>
      <w:r w:rsidRPr="006D48C2">
        <w:rPr>
          <w:rFonts w:ascii="Times New Roman" w:eastAsia="Calibri" w:hAnsi="Times New Roman" w:cs="Times New Roman"/>
          <w:i/>
          <w:sz w:val="24"/>
          <w:szCs w:val="24"/>
          <w:shd w:val="clear" w:color="auto" w:fill="FFFFFF"/>
        </w:rPr>
        <w:t>euro</w:t>
      </w:r>
      <w:proofErr w:type="spellEnd"/>
      <w:r w:rsidRPr="006D48C2">
        <w:rPr>
          <w:rFonts w:ascii="Times New Roman" w:eastAsia="Calibri" w:hAnsi="Times New Roman" w:cs="Times New Roman"/>
          <w:i/>
          <w:sz w:val="24"/>
          <w:szCs w:val="24"/>
          <w:shd w:val="clear" w:color="auto" w:fill="FFFFFF"/>
        </w:rPr>
        <w:t>,</w:t>
      </w:r>
      <w:r w:rsidRPr="006D48C2">
        <w:rPr>
          <w:rFonts w:ascii="Times New Roman" w:eastAsia="Calibri" w:hAnsi="Times New Roman" w:cs="Times New Roman"/>
          <w:sz w:val="24"/>
          <w:szCs w:val="24"/>
          <w:shd w:val="clear" w:color="auto" w:fill="FFFFFF"/>
        </w:rPr>
        <w:t xml:space="preserve"> 2022.gadā - 13 876 137 </w:t>
      </w:r>
      <w:proofErr w:type="spellStart"/>
      <w:r w:rsidRPr="006D48C2">
        <w:rPr>
          <w:rFonts w:ascii="Times New Roman" w:eastAsia="Calibri" w:hAnsi="Times New Roman" w:cs="Times New Roman"/>
          <w:i/>
          <w:sz w:val="24"/>
          <w:szCs w:val="24"/>
          <w:shd w:val="clear" w:color="auto" w:fill="FFFFFF"/>
        </w:rPr>
        <w:t>euro</w:t>
      </w:r>
      <w:proofErr w:type="spellEnd"/>
      <w:r w:rsidRPr="006D48C2">
        <w:rPr>
          <w:rFonts w:ascii="Times New Roman" w:eastAsia="Calibri" w:hAnsi="Times New Roman" w:cs="Times New Roman"/>
          <w:sz w:val="24"/>
          <w:szCs w:val="24"/>
          <w:shd w:val="clear" w:color="auto" w:fill="FFFFFF"/>
        </w:rPr>
        <w:t xml:space="preserve">, 2023.gadā - 12 494 187 </w:t>
      </w:r>
      <w:proofErr w:type="spellStart"/>
      <w:r w:rsidRPr="006D48C2">
        <w:rPr>
          <w:rFonts w:ascii="Times New Roman" w:eastAsia="Calibri" w:hAnsi="Times New Roman" w:cs="Times New Roman"/>
          <w:i/>
          <w:sz w:val="24"/>
          <w:szCs w:val="24"/>
          <w:shd w:val="clear" w:color="auto" w:fill="FFFFFF"/>
        </w:rPr>
        <w:t>euro</w:t>
      </w:r>
      <w:proofErr w:type="spellEnd"/>
      <w:r w:rsidRPr="006D48C2">
        <w:rPr>
          <w:rFonts w:ascii="Times New Roman" w:eastAsia="Calibri" w:hAnsi="Times New Roman" w:cs="Times New Roman"/>
          <w:i/>
          <w:sz w:val="24"/>
          <w:szCs w:val="24"/>
          <w:shd w:val="clear" w:color="auto" w:fill="FFFFFF"/>
        </w:rPr>
        <w:t>.</w:t>
      </w:r>
    </w:p>
    <w:p w:rsidR="006D48C2" w:rsidRPr="006D48C2" w:rsidRDefault="006D48C2" w:rsidP="00896FE2">
      <w:pPr>
        <w:shd w:val="clear" w:color="auto" w:fill="FFFFFF"/>
        <w:spacing w:before="120" w:after="120" w:line="240" w:lineRule="auto"/>
        <w:ind w:firstLine="720"/>
        <w:jc w:val="both"/>
        <w:rPr>
          <w:rFonts w:ascii="Times New Roman" w:eastAsia="Calibri" w:hAnsi="Times New Roman" w:cs="Times New Roman"/>
          <w:sz w:val="24"/>
          <w:szCs w:val="24"/>
          <w:shd w:val="clear" w:color="auto" w:fill="FFFFFF"/>
        </w:rPr>
      </w:pPr>
      <w:r w:rsidRPr="006D48C2">
        <w:rPr>
          <w:rFonts w:ascii="Times New Roman" w:eastAsia="Calibri" w:hAnsi="Times New Roman" w:cs="Times New Roman"/>
          <w:sz w:val="24"/>
          <w:szCs w:val="24"/>
        </w:rPr>
        <w:t xml:space="preserve">Laika periodā no 2017.gada līdz 2019.gadam trūcīgo personu skaits un GMI pabalsta saņēmēju skaits samazinājās 1,5 reizes: trūcīgās personas no 62 260 personām 2017.gadā līdz 41 522 personām 2019.gadā un GMI pabalsta saņēmēji no 25 823 personām 2017.gadā līdz 17 249 personām 2019.gadā. Dzīvokļa pabalsta saņēmēju skaits trīs gadu periodā samazinājies 1,3 reizes: no 93 738 trūcīgām un maznodrošinātam personām 2017.gadā līdz 70 954 personām 2019.gadā.    </w:t>
      </w:r>
    </w:p>
    <w:p w:rsidR="006D48C2" w:rsidRPr="006D48C2" w:rsidRDefault="006D48C2" w:rsidP="006D48C2">
      <w:pPr>
        <w:spacing w:after="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Prognozētā atbalsta saņēmēju skaita dinamika 2020. - 2023.gadā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276"/>
        <w:gridCol w:w="1134"/>
        <w:gridCol w:w="1276"/>
        <w:gridCol w:w="1446"/>
      </w:tblGrid>
      <w:tr w:rsidR="006D48C2" w:rsidRPr="006D48C2" w:rsidTr="00325D1C">
        <w:trPr>
          <w:trHeight w:val="378"/>
        </w:trPr>
        <w:tc>
          <w:tcPr>
            <w:tcW w:w="4224" w:type="dxa"/>
            <w:tcBorders>
              <w:top w:val="single" w:sz="4" w:space="0" w:color="auto"/>
              <w:left w:val="single" w:sz="4" w:space="0" w:color="auto"/>
              <w:bottom w:val="single" w:sz="4" w:space="0" w:color="auto"/>
              <w:right w:val="single" w:sz="4" w:space="0" w:color="auto"/>
            </w:tcBorders>
            <w:vAlign w:val="center"/>
            <w:hideMark/>
          </w:tcPr>
          <w:p w:rsidR="006D48C2" w:rsidRPr="006D48C2" w:rsidRDefault="006D48C2" w:rsidP="006D48C2">
            <w:pPr>
              <w:spacing w:after="0"/>
              <w:jc w:val="both"/>
              <w:rPr>
                <w:rFonts w:ascii="Times New Roman" w:hAnsi="Times New Roman" w:cs="Times New Roman"/>
                <w:b/>
                <w:bCs/>
                <w:sz w:val="20"/>
                <w:szCs w:val="20"/>
                <w:lang w:eastAsia="lv-LV"/>
              </w:rPr>
            </w:pPr>
            <w:r w:rsidRPr="006D48C2">
              <w:rPr>
                <w:rFonts w:ascii="Times New Roman" w:hAnsi="Times New Roman" w:cs="Times New Roman"/>
                <w:sz w:val="20"/>
                <w:szCs w:val="20"/>
                <w:lang w:eastAsia="lv-LV"/>
              </w:rPr>
              <w:t>Indikatori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325D1C">
            <w:pPr>
              <w:spacing w:after="0"/>
              <w:jc w:val="center"/>
              <w:rPr>
                <w:rFonts w:ascii="Times New Roman" w:hAnsi="Times New Roman" w:cs="Times New Roman"/>
                <w:bCs/>
                <w:sz w:val="20"/>
                <w:szCs w:val="20"/>
                <w:lang w:eastAsia="lv-LV"/>
              </w:rPr>
            </w:pPr>
            <w:r w:rsidRPr="006D48C2">
              <w:rPr>
                <w:rFonts w:ascii="Times New Roman" w:hAnsi="Times New Roman" w:cs="Times New Roman"/>
                <w:bCs/>
                <w:sz w:val="20"/>
                <w:szCs w:val="20"/>
                <w:lang w:eastAsia="lv-LV"/>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8C2" w:rsidRPr="006D48C2" w:rsidRDefault="006D48C2" w:rsidP="00325D1C">
            <w:pPr>
              <w:spacing w:after="0"/>
              <w:jc w:val="center"/>
              <w:rPr>
                <w:rFonts w:ascii="Times New Roman" w:hAnsi="Times New Roman" w:cs="Times New Roman"/>
                <w:bCs/>
                <w:sz w:val="20"/>
                <w:szCs w:val="20"/>
                <w:lang w:eastAsia="lv-LV"/>
              </w:rPr>
            </w:pPr>
            <w:r w:rsidRPr="006D48C2">
              <w:rPr>
                <w:rFonts w:ascii="Times New Roman" w:hAnsi="Times New Roman" w:cs="Times New Roman"/>
                <w:bCs/>
                <w:sz w:val="20"/>
                <w:szCs w:val="20"/>
                <w:lang w:eastAsia="lv-LV"/>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48C2" w:rsidRPr="006D48C2" w:rsidRDefault="006D48C2" w:rsidP="00325D1C">
            <w:pPr>
              <w:spacing w:after="0"/>
              <w:jc w:val="center"/>
              <w:rPr>
                <w:rFonts w:ascii="Times New Roman" w:hAnsi="Times New Roman" w:cs="Times New Roman"/>
                <w:bCs/>
                <w:sz w:val="20"/>
                <w:szCs w:val="20"/>
                <w:lang w:eastAsia="lv-LV"/>
              </w:rPr>
            </w:pPr>
            <w:r w:rsidRPr="006D48C2">
              <w:rPr>
                <w:rFonts w:ascii="Times New Roman" w:hAnsi="Times New Roman" w:cs="Times New Roman"/>
                <w:bCs/>
                <w:sz w:val="20"/>
                <w:szCs w:val="20"/>
                <w:lang w:eastAsia="lv-LV"/>
              </w:rPr>
              <w:t>2022</w:t>
            </w:r>
          </w:p>
        </w:tc>
        <w:tc>
          <w:tcPr>
            <w:tcW w:w="1446" w:type="dxa"/>
            <w:tcBorders>
              <w:top w:val="single" w:sz="4" w:space="0" w:color="auto"/>
              <w:left w:val="single" w:sz="4" w:space="0" w:color="auto"/>
              <w:bottom w:val="single" w:sz="4" w:space="0" w:color="auto"/>
              <w:right w:val="single" w:sz="4" w:space="0" w:color="auto"/>
            </w:tcBorders>
            <w:vAlign w:val="center"/>
            <w:hideMark/>
          </w:tcPr>
          <w:p w:rsidR="006D48C2" w:rsidRPr="006D48C2" w:rsidRDefault="006D48C2" w:rsidP="00325D1C">
            <w:pPr>
              <w:spacing w:after="0"/>
              <w:jc w:val="center"/>
              <w:rPr>
                <w:rFonts w:ascii="Times New Roman" w:hAnsi="Times New Roman" w:cs="Times New Roman"/>
                <w:bCs/>
                <w:sz w:val="20"/>
                <w:szCs w:val="20"/>
                <w:lang w:eastAsia="lv-LV"/>
              </w:rPr>
            </w:pPr>
            <w:r w:rsidRPr="006D48C2">
              <w:rPr>
                <w:rFonts w:ascii="Times New Roman" w:hAnsi="Times New Roman" w:cs="Times New Roman"/>
                <w:bCs/>
                <w:sz w:val="20"/>
                <w:szCs w:val="20"/>
                <w:lang w:eastAsia="lv-LV"/>
              </w:rPr>
              <w:t>2023</w:t>
            </w:r>
          </w:p>
        </w:tc>
      </w:tr>
      <w:tr w:rsidR="006D48C2" w:rsidRPr="006D48C2" w:rsidTr="00325D1C">
        <w:trPr>
          <w:trHeight w:val="125"/>
        </w:trPr>
        <w:tc>
          <w:tcPr>
            <w:tcW w:w="4224"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Trūcīgo personu skaits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37 565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64 667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61 434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58 363</w:t>
            </w:r>
          </w:p>
        </w:tc>
      </w:tr>
      <w:tr w:rsidR="006D48C2" w:rsidRPr="006D48C2" w:rsidTr="00325D1C">
        <w:trPr>
          <w:trHeight w:val="172"/>
        </w:trPr>
        <w:tc>
          <w:tcPr>
            <w:tcW w:w="4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GMI pabalstu saņēmušo personu skaits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18 852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26 759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25 694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24 671</w:t>
            </w:r>
          </w:p>
        </w:tc>
      </w:tr>
      <w:tr w:rsidR="006D48C2" w:rsidRPr="006D48C2" w:rsidTr="00325D1C">
        <w:trPr>
          <w:trHeight w:val="218"/>
        </w:trPr>
        <w:tc>
          <w:tcPr>
            <w:tcW w:w="4224"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Mājokļa pabalstu saņēmušo personu skaits</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63 149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64 667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61 434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6D48C2" w:rsidRPr="006D48C2" w:rsidRDefault="006D48C2" w:rsidP="00325D1C">
            <w:pPr>
              <w:spacing w:after="0"/>
              <w:contextualSpacing/>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58 633</w:t>
            </w:r>
          </w:p>
        </w:tc>
      </w:tr>
    </w:tbl>
    <w:p w:rsidR="006D48C2" w:rsidRPr="006D48C2" w:rsidRDefault="006D48C2" w:rsidP="00635A01">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hAnsi="Times New Roman" w:cs="Times New Roman"/>
          <w:iCs/>
          <w:sz w:val="24"/>
          <w:szCs w:val="24"/>
          <w:lang w:eastAsia="lv-LV"/>
        </w:rPr>
        <w:t xml:space="preserve">Palielinot trūcīgas mājsaimniecības ienākumu slieksni, GMI slieksni, un mainot to noteikšanas algoritmu, būs nepieciešams veikt izmaiņas pašvaldību sociālās palīdzības un sociālo pakalpojumu administrēšanas lietojumprogrammā (SOPA). Lai ieviestu visā Latvijā mājokļa pabalsta aprēķināšanu un izmaksu pēc vienotiem principiem, būs jānodrošina pāreja no atšķirīgām komunālo maksājumu datu ievades un uzkrāšanas sistēmām uz vienotu datu apstrādes sistēmu. Tāpat SOPA būs jāapstrādā pārejas perioda deklarācijas, kad spēkā būs jaunie Ministru kabineta noteikumi, bet mājsaimniecībām vēl būs spēkā vecās iztikas līdzekļu deklarācijas, pamatojoties uz kurām piešķirts dzīvokļa pabalsts. Nepieciešama vienreizēja mērķdotācija 2021.gadā 52 998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
          <w:iCs/>
          <w:sz w:val="24"/>
          <w:szCs w:val="24"/>
          <w:lang w:eastAsia="lv-LV"/>
        </w:rPr>
        <w:t xml:space="preserve"> </w:t>
      </w:r>
      <w:r w:rsidRPr="006D48C2">
        <w:rPr>
          <w:rFonts w:ascii="Times New Roman" w:hAnsi="Times New Roman" w:cs="Times New Roman"/>
          <w:iCs/>
          <w:sz w:val="24"/>
          <w:szCs w:val="24"/>
          <w:lang w:eastAsia="lv-LV"/>
        </w:rPr>
        <w:t xml:space="preserve">apmērā Rīgas domes Informācijas tehnoloģiju centram SOPA izmaiņu veikšanai ar nosacījumu, ka veiktās izmaiņas tiek ieviestas visām pašvaldībām bezmaksas lietošanā. Savukārt </w:t>
      </w:r>
      <w:r w:rsidRPr="006D48C2">
        <w:rPr>
          <w:rFonts w:ascii="Times New Roman" w:eastAsia="Calibri" w:hAnsi="Times New Roman" w:cs="Times New Roman"/>
          <w:sz w:val="24"/>
          <w:szCs w:val="24"/>
          <w:shd w:val="clear" w:color="auto" w:fill="FFFFFF"/>
        </w:rPr>
        <w:t>Vienotās sociālās politikas monitoringa informācijas sistēmas (</w:t>
      </w:r>
      <w:r w:rsidRPr="006D48C2">
        <w:rPr>
          <w:rFonts w:ascii="Times New Roman" w:eastAsia="Calibri" w:hAnsi="Times New Roman" w:cs="Times New Roman"/>
          <w:bCs/>
          <w:i/>
          <w:iCs/>
          <w:sz w:val="24"/>
          <w:szCs w:val="24"/>
          <w:shd w:val="clear" w:color="auto" w:fill="FFFFFF"/>
        </w:rPr>
        <w:t>SPOLIS)</w:t>
      </w:r>
      <w:r w:rsidRPr="006D48C2">
        <w:rPr>
          <w:rFonts w:ascii="Times New Roman" w:eastAsia="Calibri" w:hAnsi="Times New Roman" w:cs="Times New Roman"/>
          <w:sz w:val="24"/>
          <w:szCs w:val="24"/>
          <w:lang w:eastAsia="lv-LV"/>
        </w:rPr>
        <w:t xml:space="preserve"> izmaiņu veikšanai un sasaistes nodrošināšanai ar SOPA nepieciešamais finansējums ir 20 264 </w:t>
      </w:r>
      <w:proofErr w:type="spellStart"/>
      <w:r w:rsidRPr="006D48C2">
        <w:rPr>
          <w:rFonts w:ascii="Times New Roman" w:eastAsia="Calibri" w:hAnsi="Times New Roman" w:cs="Times New Roman"/>
          <w:i/>
          <w:sz w:val="24"/>
          <w:szCs w:val="24"/>
          <w:lang w:eastAsia="lv-LV"/>
        </w:rPr>
        <w:t>euro</w:t>
      </w:r>
      <w:proofErr w:type="spellEnd"/>
      <w:r w:rsidRPr="006D48C2">
        <w:rPr>
          <w:rFonts w:ascii="Times New Roman" w:eastAsia="Calibri" w:hAnsi="Times New Roman" w:cs="Times New Roman"/>
          <w:sz w:val="24"/>
          <w:szCs w:val="24"/>
          <w:lang w:eastAsia="lv-LV"/>
        </w:rPr>
        <w:t xml:space="preserve">. Līdz ar to LM pamatbudžetā papildu nepieciešams finansējums 73 262 </w:t>
      </w:r>
      <w:proofErr w:type="spellStart"/>
      <w:r w:rsidRPr="006D48C2">
        <w:rPr>
          <w:rFonts w:ascii="Times New Roman" w:eastAsia="Calibri" w:hAnsi="Times New Roman" w:cs="Times New Roman"/>
          <w:i/>
          <w:sz w:val="24"/>
          <w:szCs w:val="24"/>
          <w:lang w:eastAsia="lv-LV"/>
        </w:rPr>
        <w:t>euro</w:t>
      </w:r>
      <w:proofErr w:type="spellEnd"/>
      <w:r w:rsidRPr="006D48C2">
        <w:rPr>
          <w:rFonts w:ascii="Times New Roman" w:eastAsia="Calibri" w:hAnsi="Times New Roman" w:cs="Times New Roman"/>
          <w:sz w:val="24"/>
          <w:szCs w:val="24"/>
          <w:lang w:eastAsia="lv-LV"/>
        </w:rPr>
        <w:t xml:space="preserve"> apmērā.</w:t>
      </w:r>
    </w:p>
    <w:p w:rsidR="006D48C2" w:rsidRPr="006D48C2" w:rsidRDefault="006D48C2" w:rsidP="00635A01">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Lai ieviestu minētās izmaiņas, nepieciešams veikt grozījumus likumā “Par sociālo drošību” un Sociālo pakalpojumu un sociālās palīdzības likumā.</w:t>
      </w:r>
    </w:p>
    <w:p w:rsidR="006D48C2" w:rsidRPr="006D48C2" w:rsidRDefault="006D48C2" w:rsidP="00635A01">
      <w:pPr>
        <w:spacing w:before="120" w:after="120" w:line="240" w:lineRule="auto"/>
        <w:ind w:left="720"/>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 xml:space="preserve">    </w:t>
      </w:r>
    </w:p>
    <w:tbl>
      <w:tblPr>
        <w:tblW w:w="9296" w:type="dxa"/>
        <w:jc w:val="center"/>
        <w:tblLayout w:type="fixed"/>
        <w:tblLook w:val="04A0" w:firstRow="1" w:lastRow="0" w:firstColumn="1" w:lastColumn="0" w:noHBand="0" w:noVBand="1"/>
      </w:tblPr>
      <w:tblGrid>
        <w:gridCol w:w="4332"/>
        <w:gridCol w:w="1560"/>
        <w:gridCol w:w="1702"/>
        <w:gridCol w:w="1702"/>
      </w:tblGrid>
      <w:tr w:rsidR="006D48C2" w:rsidRPr="006D48C2" w:rsidTr="00325D1C">
        <w:trPr>
          <w:trHeight w:val="413"/>
          <w:tblHeader/>
          <w:jc w:val="center"/>
        </w:trPr>
        <w:tc>
          <w:tcPr>
            <w:tcW w:w="433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60"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2"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2"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325D1C">
        <w:trPr>
          <w:trHeight w:val="20"/>
          <w:tblHeader/>
          <w:jc w:val="center"/>
        </w:trPr>
        <w:tc>
          <w:tcPr>
            <w:tcW w:w="4332"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Pašvaldību budžets (GMI)</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8 446 477</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7 920 460</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7 417 672</w:t>
            </w:r>
          </w:p>
        </w:tc>
      </w:tr>
      <w:tr w:rsidR="006D48C2" w:rsidRPr="006D48C2" w:rsidTr="00325D1C">
        <w:trPr>
          <w:trHeight w:val="20"/>
          <w:tblHeader/>
          <w:jc w:val="center"/>
        </w:trPr>
        <w:tc>
          <w:tcPr>
            <w:tcW w:w="4332"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Pašvaldību budžets (mājokļa pabalsts)</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15 330 987</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13 876 137</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12 494 187</w:t>
            </w:r>
          </w:p>
        </w:tc>
      </w:tr>
      <w:tr w:rsidR="006D48C2" w:rsidRPr="006D48C2" w:rsidTr="00325D1C">
        <w:trPr>
          <w:trHeight w:val="20"/>
          <w:tblHeader/>
          <w:jc w:val="center"/>
        </w:trPr>
        <w:tc>
          <w:tcPr>
            <w:tcW w:w="4332"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Labklājības ministrijas pamatbudžets</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73 262</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p>
        </w:tc>
      </w:tr>
      <w:tr w:rsidR="006D48C2" w:rsidRPr="006D48C2" w:rsidTr="00325D1C">
        <w:trPr>
          <w:trHeight w:val="20"/>
          <w:tblHeader/>
          <w:jc w:val="center"/>
        </w:trPr>
        <w:tc>
          <w:tcPr>
            <w:tcW w:w="4332" w:type="dxa"/>
            <w:tcBorders>
              <w:top w:val="single" w:sz="4" w:space="0" w:color="auto"/>
              <w:left w:val="single" w:sz="4" w:space="0" w:color="auto"/>
              <w:bottom w:val="single" w:sz="4" w:space="0" w:color="auto"/>
              <w:right w:val="single" w:sz="4" w:space="0" w:color="auto"/>
            </w:tcBorders>
            <w:noWrap/>
            <w:vAlign w:val="center"/>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Veselības ministrijas pamatbudžets (trūcīgām personām)</w:t>
            </w:r>
          </w:p>
        </w:tc>
        <w:tc>
          <w:tcPr>
            <w:tcW w:w="1560" w:type="dxa"/>
            <w:tcBorders>
              <w:top w:val="single" w:sz="4" w:space="0" w:color="auto"/>
              <w:left w:val="nil"/>
              <w:bottom w:val="single" w:sz="4" w:space="0" w:color="auto"/>
              <w:right w:val="single" w:sz="4" w:space="0" w:color="auto"/>
            </w:tcBorders>
            <w:noWrap/>
            <w:vAlign w:val="center"/>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1 582 480</w:t>
            </w:r>
          </w:p>
        </w:tc>
        <w:tc>
          <w:tcPr>
            <w:tcW w:w="1702" w:type="dxa"/>
            <w:tcBorders>
              <w:top w:val="single" w:sz="4" w:space="0" w:color="auto"/>
              <w:left w:val="nil"/>
              <w:bottom w:val="single" w:sz="4" w:space="0" w:color="auto"/>
              <w:right w:val="single" w:sz="4" w:space="0" w:color="auto"/>
            </w:tcBorders>
            <w:vAlign w:val="center"/>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1 361 437</w:t>
            </w:r>
          </w:p>
        </w:tc>
        <w:tc>
          <w:tcPr>
            <w:tcW w:w="1702" w:type="dxa"/>
            <w:tcBorders>
              <w:top w:val="single" w:sz="4" w:space="0" w:color="auto"/>
              <w:left w:val="nil"/>
              <w:bottom w:val="single" w:sz="4" w:space="0" w:color="auto"/>
              <w:right w:val="single" w:sz="4" w:space="0" w:color="auto"/>
            </w:tcBorders>
            <w:vAlign w:val="center"/>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1 151 550</w:t>
            </w:r>
          </w:p>
        </w:tc>
      </w:tr>
    </w:tbl>
    <w:p w:rsidR="006D48C2" w:rsidRPr="006D48C2" w:rsidRDefault="006D48C2" w:rsidP="005B7C55">
      <w:pPr>
        <w:spacing w:before="120" w:after="120" w:line="240" w:lineRule="auto"/>
        <w:jc w:val="both"/>
        <w:rPr>
          <w:rFonts w:ascii="Times New Roman" w:eastAsia="Calibri" w:hAnsi="Times New Roman" w:cs="Times New Roman"/>
          <w:i/>
          <w:sz w:val="20"/>
          <w:szCs w:val="20"/>
        </w:rPr>
      </w:pPr>
      <w:r w:rsidRPr="006D48C2">
        <w:rPr>
          <w:rFonts w:ascii="Times New Roman" w:eastAsia="Calibri" w:hAnsi="Times New Roman" w:cs="Times New Roman"/>
          <w:b/>
          <w:i/>
          <w:sz w:val="24"/>
          <w:szCs w:val="24"/>
        </w:rPr>
        <w:t xml:space="preserve">                                                                       </w:t>
      </w:r>
    </w:p>
    <w:p w:rsidR="006D48C2" w:rsidRPr="006D48C2" w:rsidRDefault="006D48C2" w:rsidP="005B7C55">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Sociālo garantiju palielināšana bāreņiem un bez vecāku gādības palikušiem bērniem</w:t>
      </w:r>
    </w:p>
    <w:p w:rsidR="006D48C2" w:rsidRPr="006D48C2" w:rsidRDefault="006D48C2" w:rsidP="005B7C55">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Pasākuma mērķis ir </w:t>
      </w:r>
      <w:bookmarkStart w:id="2" w:name="_Hlk49954615"/>
      <w:r w:rsidRPr="006D48C2">
        <w:rPr>
          <w:rFonts w:ascii="Times New Roman" w:eastAsia="Calibri" w:hAnsi="Times New Roman" w:cs="Times New Roman"/>
          <w:sz w:val="24"/>
          <w:szCs w:val="24"/>
        </w:rPr>
        <w:t xml:space="preserve">palielināt materiālo atbalstu bāreņiem un bez vecāku gādības palikušiem bērniem pēc </w:t>
      </w:r>
      <w:proofErr w:type="spellStart"/>
      <w:r w:rsidRPr="006D48C2">
        <w:rPr>
          <w:rFonts w:ascii="Times New Roman" w:eastAsia="Calibri" w:hAnsi="Times New Roman" w:cs="Times New Roman"/>
          <w:sz w:val="24"/>
          <w:szCs w:val="24"/>
        </w:rPr>
        <w:t>ārpusģimenes</w:t>
      </w:r>
      <w:proofErr w:type="spellEnd"/>
      <w:r w:rsidRPr="006D48C2">
        <w:rPr>
          <w:rFonts w:ascii="Times New Roman" w:eastAsia="Calibri" w:hAnsi="Times New Roman" w:cs="Times New Roman"/>
          <w:sz w:val="24"/>
          <w:szCs w:val="24"/>
        </w:rPr>
        <w:t xml:space="preserve"> aprūpes, sasniedzot pilngadību.</w:t>
      </w:r>
    </w:p>
    <w:bookmarkEnd w:id="2"/>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Ministru kabineta 2005.gada 15.novembra noteikumos Nr.857 “Noteikumi par sociālajām garantijām bārenim un bez vecāku gādības palikušiem bērnam, kurš ir </w:t>
      </w:r>
      <w:proofErr w:type="spellStart"/>
      <w:r w:rsidRPr="006D48C2">
        <w:rPr>
          <w:rFonts w:ascii="Times New Roman" w:eastAsia="Calibri" w:hAnsi="Times New Roman" w:cs="Times New Roman"/>
          <w:sz w:val="24"/>
          <w:szCs w:val="24"/>
        </w:rPr>
        <w:t>ārpusģimenes</w:t>
      </w:r>
      <w:proofErr w:type="spellEnd"/>
      <w:r w:rsidRPr="006D48C2">
        <w:rPr>
          <w:rFonts w:ascii="Times New Roman" w:eastAsia="Calibri" w:hAnsi="Times New Roman" w:cs="Times New Roman"/>
          <w:sz w:val="24"/>
          <w:szCs w:val="24"/>
        </w:rPr>
        <w:t xml:space="preserve"> aprūpē, kā arī pēc </w:t>
      </w:r>
      <w:proofErr w:type="spellStart"/>
      <w:r w:rsidRPr="006D48C2">
        <w:rPr>
          <w:rFonts w:ascii="Times New Roman" w:eastAsia="Calibri" w:hAnsi="Times New Roman" w:cs="Times New Roman"/>
          <w:sz w:val="24"/>
          <w:szCs w:val="24"/>
        </w:rPr>
        <w:t>ārpusģimenes</w:t>
      </w:r>
      <w:proofErr w:type="spellEnd"/>
      <w:r w:rsidRPr="006D48C2">
        <w:rPr>
          <w:rFonts w:ascii="Times New Roman" w:eastAsia="Calibri" w:hAnsi="Times New Roman" w:cs="Times New Roman"/>
          <w:sz w:val="24"/>
          <w:szCs w:val="24"/>
        </w:rPr>
        <w:t xml:space="preserve"> aprūpes beigšanās” noteikts, ka bārenim vai bez vecāku gādības palikušam bērnam, sasniedzot pilngadību ir tiesības uz pabalstu patstāvīgas dzīves uzsākšanai, </w:t>
      </w:r>
      <w:r w:rsidRPr="006D48C2">
        <w:rPr>
          <w:rFonts w:ascii="Times New Roman" w:hAnsi="Times New Roman" w:cs="Times New Roman"/>
          <w:sz w:val="24"/>
          <w:szCs w:val="24"/>
        </w:rPr>
        <w:t>kas nav mazāks par divu valsts sociālo nodrošinājuma pabalsta apmēru,</w:t>
      </w:r>
      <w:r w:rsidRPr="006D48C2">
        <w:rPr>
          <w:rFonts w:ascii="Times New Roman" w:eastAsia="Calibri" w:hAnsi="Times New Roman" w:cs="Times New Roman"/>
          <w:sz w:val="24"/>
          <w:szCs w:val="24"/>
        </w:rPr>
        <w:t xml:space="preserve"> pabalstu ikmēneša izdevumiem, ja sekmīgi mācās, un pabalstu sadzīves priekšmetu un mīkstā inventāra iegādei, kas nedrīkst būt mazāks par 249,71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(tā ir puse no summas, kas nepieciešama, lai aprīkotu mājokli ar nepieciešamo sadzīves priekšmetu un mīkstā inventāra minimumu patstāvīgas dzīves uzsākšanai). Lai sniegtu nepieciešamo atbalstu bāreņiem un bez vecāku gādības palikušiem bērniem, uzsākot patstāvīgu dzīvu, un veicinātu iekļaušanos sabiedrībā un izglītības iegūšanu, plānots palielināt:</w:t>
      </w:r>
    </w:p>
    <w:p w:rsidR="006D48C2" w:rsidRPr="006D48C2" w:rsidRDefault="005B7C55" w:rsidP="00136F9F">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D48C2" w:rsidRPr="006D48C2">
        <w:rPr>
          <w:rFonts w:ascii="Times New Roman" w:eastAsia="Calibri" w:hAnsi="Times New Roman" w:cs="Times New Roman"/>
          <w:sz w:val="24"/>
          <w:szCs w:val="24"/>
        </w:rPr>
        <w:t xml:space="preserve">vienreizējo pabalstu patstāvīgas dzīves uzsākšanai, nosakot to 40% apmērā no ienākumu mediānas, t.i. 218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(šobrīd - 128,06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pabalsta apmērs tiktu palielināts par 89,94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savukārt jauniešiem ar invaliditāti kopš bērnības 60% apmērā, t.i. 327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(šobrīd – 245,38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pabalsta apmērs tiktu palielināts par 76,29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w:t>
      </w:r>
    </w:p>
    <w:p w:rsidR="006D48C2" w:rsidRPr="006D48C2" w:rsidRDefault="005B7C55" w:rsidP="00136F9F">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D48C2" w:rsidRPr="006D48C2">
        <w:rPr>
          <w:rFonts w:ascii="Times New Roman" w:eastAsia="Calibri" w:hAnsi="Times New Roman" w:cs="Times New Roman"/>
          <w:sz w:val="24"/>
          <w:szCs w:val="24"/>
        </w:rPr>
        <w:t xml:space="preserve">pabalstu ikmēneša izdevumiem 20% apmērā no ienākumu mediānas, t.i. 109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(šobrīd noteikts 64,03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pabalsta apmērs tiktu palielināts par 44,97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savukārt jauniešiem ar invaliditāti kopš bērnības 30% apmērā, t.i. 163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(šobrīd – 122,69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pabalsta apmērs tiktu palielināts par 40,31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w:t>
      </w:r>
    </w:p>
    <w:p w:rsidR="006D48C2" w:rsidRPr="006D48C2" w:rsidRDefault="005B7C55" w:rsidP="00136F9F">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D48C2" w:rsidRPr="006D48C2">
        <w:rPr>
          <w:rFonts w:ascii="Times New Roman" w:eastAsia="Calibri" w:hAnsi="Times New Roman" w:cs="Times New Roman"/>
          <w:sz w:val="24"/>
          <w:szCs w:val="24"/>
        </w:rPr>
        <w:t>pabalstu sadzīves priekšmetu un mīkstā inventāra iegādei, nosakot to pilnā apmērā  un koriģējot atbilstoši inflācijas pieaugumam 64,2% apmērā (</w:t>
      </w:r>
      <w:r w:rsidR="006D48C2" w:rsidRPr="006D48C2">
        <w:rPr>
          <w:rFonts w:ascii="Times New Roman" w:hAnsi="Times New Roman" w:cs="Times New Roman"/>
          <w:bCs/>
          <w:sz w:val="24"/>
          <w:szCs w:val="24"/>
        </w:rPr>
        <w:t xml:space="preserve">ņemtas vērā </w:t>
      </w:r>
      <w:r w:rsidR="006D48C2" w:rsidRPr="006D48C2">
        <w:rPr>
          <w:rFonts w:ascii="Times New Roman" w:hAnsi="Times New Roman" w:cs="Times New Roman"/>
          <w:bCs/>
          <w:color w:val="000000"/>
          <w:sz w:val="24"/>
          <w:szCs w:val="24"/>
        </w:rPr>
        <w:t>patēriņa cenu izmaiņas (inflācija), izmantojot Centrālās statistiskāks pārvaldes inflācijas kalkulatoru no 2005.gada maija līdz 2020.gada martam)</w:t>
      </w:r>
      <w:r w:rsidR="006D48C2" w:rsidRPr="006D48C2">
        <w:rPr>
          <w:rFonts w:ascii="Times New Roman" w:eastAsia="Calibri" w:hAnsi="Times New Roman" w:cs="Times New Roman"/>
          <w:sz w:val="24"/>
          <w:szCs w:val="24"/>
        </w:rPr>
        <w:t xml:space="preserve">, t.i. 820,05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(šobrīd – 249,71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pabalsta apmērs tiktu palielināts par 570,34 </w:t>
      </w:r>
      <w:proofErr w:type="spellStart"/>
      <w:r w:rsidR="006D48C2" w:rsidRPr="006D48C2">
        <w:rPr>
          <w:rFonts w:ascii="Times New Roman" w:eastAsia="Calibri" w:hAnsi="Times New Roman" w:cs="Times New Roman"/>
          <w:i/>
          <w:sz w:val="24"/>
          <w:szCs w:val="24"/>
        </w:rPr>
        <w:t>euro</w:t>
      </w:r>
      <w:proofErr w:type="spellEnd"/>
      <w:r w:rsidR="006D48C2" w:rsidRPr="006D48C2">
        <w:rPr>
          <w:rFonts w:ascii="Times New Roman" w:eastAsia="Calibri" w:hAnsi="Times New Roman" w:cs="Times New Roman"/>
          <w:sz w:val="24"/>
          <w:szCs w:val="24"/>
        </w:rPr>
        <w:t xml:space="preserve">). </w:t>
      </w:r>
    </w:p>
    <w:p w:rsidR="006D48C2" w:rsidRPr="006D48C2" w:rsidRDefault="006D48C2" w:rsidP="00896FE2">
      <w:pPr>
        <w:spacing w:before="120" w:after="120" w:line="240" w:lineRule="auto"/>
        <w:jc w:val="both"/>
        <w:rPr>
          <w:rFonts w:ascii="Times New Roman" w:hAnsi="Times New Roman" w:cs="Times New Roman"/>
          <w:color w:val="000000"/>
          <w:sz w:val="24"/>
          <w:szCs w:val="24"/>
          <w:lang w:eastAsia="lv-LV"/>
        </w:rPr>
      </w:pPr>
      <w:r w:rsidRPr="006D48C2">
        <w:rPr>
          <w:rFonts w:ascii="Times New Roman" w:eastAsia="Calibri" w:hAnsi="Times New Roman" w:cs="Times New Roman"/>
          <w:sz w:val="24"/>
          <w:szCs w:val="24"/>
        </w:rPr>
        <w:tab/>
      </w:r>
      <w:r w:rsidRPr="006D48C2">
        <w:rPr>
          <w:rFonts w:ascii="Times New Roman" w:hAnsi="Times New Roman" w:cs="Times New Roman"/>
          <w:color w:val="000000"/>
          <w:sz w:val="24"/>
          <w:szCs w:val="24"/>
          <w:lang w:eastAsia="lv-LV"/>
        </w:rPr>
        <w:t>Atbilstoši statistikas datiem 2019.gadā pilngadību sasniedza 499 bāreņi vai bez vecāku gādības palikušie bērni un 21 persona ar invaliditāti kopš dzimšanas, sekmīgi mācījās 1517 pilngadību sasniegušie bāreņi vai bez vecāku gādības palikušie bērni un 82 personas ar invaliditāti kopš dzimšanas, savukārt pabalstu sadzīves priekšmetu un mīkstā inventāra iegādei saņēma 629 jaunieši.</w:t>
      </w:r>
    </w:p>
    <w:p w:rsidR="006D48C2" w:rsidRPr="006D48C2" w:rsidRDefault="006D48C2" w:rsidP="00896FE2">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 xml:space="preserve">      </w:t>
      </w:r>
    </w:p>
    <w:tbl>
      <w:tblPr>
        <w:tblW w:w="9296" w:type="dxa"/>
        <w:jc w:val="center"/>
        <w:tblLayout w:type="fixed"/>
        <w:tblLook w:val="04A0" w:firstRow="1" w:lastRow="0" w:firstColumn="1" w:lastColumn="0" w:noHBand="0" w:noVBand="1"/>
      </w:tblPr>
      <w:tblGrid>
        <w:gridCol w:w="4332"/>
        <w:gridCol w:w="1560"/>
        <w:gridCol w:w="1702"/>
        <w:gridCol w:w="1702"/>
      </w:tblGrid>
      <w:tr w:rsidR="006D48C2" w:rsidRPr="006D48C2" w:rsidTr="00B656B1">
        <w:trPr>
          <w:trHeight w:val="309"/>
          <w:tblHeader/>
          <w:jc w:val="center"/>
        </w:trPr>
        <w:tc>
          <w:tcPr>
            <w:tcW w:w="433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60"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2"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2"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B656B1">
        <w:trPr>
          <w:trHeight w:val="20"/>
          <w:tblHeader/>
          <w:jc w:val="center"/>
        </w:trPr>
        <w:tc>
          <w:tcPr>
            <w:tcW w:w="4332"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 xml:space="preserve">Pašvaldību budžets </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1 263 637</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1 263 637</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1 263 637</w:t>
            </w:r>
          </w:p>
        </w:tc>
      </w:tr>
    </w:tbl>
    <w:p w:rsidR="006D48C2" w:rsidRPr="006D48C2" w:rsidRDefault="006D48C2" w:rsidP="004B480F">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                                                                                                      </w:t>
      </w:r>
    </w:p>
    <w:p w:rsidR="006D48C2" w:rsidRPr="006D48C2" w:rsidRDefault="006D48C2" w:rsidP="004B480F">
      <w:pPr>
        <w:spacing w:before="120" w:after="120" w:line="240" w:lineRule="auto"/>
        <w:ind w:firstLine="720"/>
        <w:jc w:val="both"/>
        <w:rPr>
          <w:rFonts w:ascii="Times New Roman" w:hAnsi="Times New Roman" w:cs="Times New Roman"/>
          <w:sz w:val="24"/>
          <w:szCs w:val="24"/>
          <w:shd w:val="clear" w:color="auto" w:fill="FFFFFF"/>
        </w:rPr>
      </w:pPr>
      <w:r w:rsidRPr="006D48C2">
        <w:rPr>
          <w:rFonts w:ascii="Times New Roman" w:eastAsia="Calibri" w:hAnsi="Times New Roman" w:cs="Times New Roman"/>
          <w:sz w:val="24"/>
          <w:szCs w:val="24"/>
        </w:rPr>
        <w:t xml:space="preserve">Latvijas Republikas </w:t>
      </w:r>
      <w:r w:rsidRPr="006D48C2">
        <w:rPr>
          <w:rFonts w:ascii="Times New Roman" w:hAnsi="Times New Roman" w:cs="Times New Roman"/>
          <w:sz w:val="24"/>
          <w:szCs w:val="24"/>
          <w:shd w:val="clear" w:color="auto" w:fill="FFFFFF"/>
        </w:rPr>
        <w:t>Satversmes tiesā tiesvedībā ir sekojošas lietas:</w:t>
      </w:r>
    </w:p>
    <w:p w:rsidR="006D48C2" w:rsidRPr="006D48C2" w:rsidRDefault="006D48C2" w:rsidP="00077C7A">
      <w:pPr>
        <w:numPr>
          <w:ilvl w:val="0"/>
          <w:numId w:val="13"/>
        </w:numPr>
        <w:spacing w:before="120" w:after="120" w:line="240" w:lineRule="auto"/>
        <w:ind w:left="0" w:firstLine="284"/>
        <w:jc w:val="both"/>
        <w:rPr>
          <w:rFonts w:ascii="Times New Roman" w:hAnsi="Times New Roman" w:cs="Times New Roman"/>
          <w:sz w:val="24"/>
          <w:szCs w:val="24"/>
        </w:rPr>
      </w:pPr>
      <w:r w:rsidRPr="006D48C2">
        <w:rPr>
          <w:rFonts w:ascii="Times New Roman" w:hAnsi="Times New Roman" w:cs="Times New Roman"/>
          <w:sz w:val="24"/>
          <w:szCs w:val="24"/>
          <w:shd w:val="clear" w:color="auto" w:fill="FFFFFF"/>
        </w:rPr>
        <w:t>lieta Nr.2020-07-03 “</w:t>
      </w:r>
      <w:r w:rsidRPr="006D48C2">
        <w:rPr>
          <w:rFonts w:ascii="Times New Roman" w:hAnsi="Times New Roman" w:cs="Times New Roman"/>
          <w:bCs/>
          <w:sz w:val="24"/>
          <w:szCs w:val="24"/>
          <w:shd w:val="clear" w:color="auto" w:fill="FFFFFF"/>
        </w:rPr>
        <w:t>Par Ministru kabineta 2011.gada 5.decembra noteikumu Nr.924 “Noteikumi par vecuma pensijas minimālo apmēru” 2.2.apakšpunkta, Ministru kabineta 2009.gada 22.decembra noteikumu Nr.1605 “Noteikumi par valsts sociālā nodrošinājuma pabalsta un apbedīšanas pabalsta apmēru, tā pārskatīšanas kārtību un pabalstu piešķiršanas un izmaksas kārtību” 2.1.apakšpunkta (redakcijā, kas bija spēkā līdz 2019.gada 31.decembrim), kā arī Ministru kabineta 2019.gada 3.decembra noteikumu Nr.579 “Noteikumi par minimālās valsts vecuma pensijas apmēru” 2.punkta un 3.2.apakšpunkta atbilstību Latvijas Republikas Satversmes 109.pantam” (turpmāk – lieta Nr.</w:t>
      </w:r>
      <w:r w:rsidRPr="006D48C2">
        <w:rPr>
          <w:rFonts w:ascii="Times New Roman" w:hAnsi="Times New Roman" w:cs="Times New Roman"/>
          <w:sz w:val="24"/>
          <w:szCs w:val="24"/>
          <w:shd w:val="clear" w:color="auto" w:fill="FFFFFF"/>
        </w:rPr>
        <w:t>2020-07-03);</w:t>
      </w:r>
    </w:p>
    <w:p w:rsidR="006D48C2" w:rsidRPr="006D48C2" w:rsidRDefault="006D48C2" w:rsidP="00077C7A">
      <w:pPr>
        <w:numPr>
          <w:ilvl w:val="0"/>
          <w:numId w:val="13"/>
        </w:numPr>
        <w:spacing w:before="120" w:after="120" w:line="240" w:lineRule="auto"/>
        <w:ind w:left="0" w:firstLine="284"/>
        <w:jc w:val="both"/>
        <w:rPr>
          <w:rFonts w:ascii="Times New Roman" w:hAnsi="Times New Roman" w:cs="Times New Roman"/>
          <w:sz w:val="24"/>
          <w:szCs w:val="24"/>
        </w:rPr>
      </w:pPr>
      <w:r w:rsidRPr="006D48C2">
        <w:rPr>
          <w:rFonts w:ascii="Times New Roman" w:hAnsi="Times New Roman" w:cs="Times New Roman"/>
          <w:sz w:val="24"/>
          <w:szCs w:val="24"/>
          <w:shd w:val="clear" w:color="auto" w:fill="FFFFFF"/>
        </w:rPr>
        <w:t>lieta Nr.2020-19-0103 “</w:t>
      </w:r>
      <w:r w:rsidRPr="006D48C2">
        <w:rPr>
          <w:rFonts w:ascii="Times New Roman" w:hAnsi="Times New Roman" w:cs="Times New Roman"/>
          <w:bCs/>
          <w:sz w:val="24"/>
          <w:szCs w:val="24"/>
          <w:shd w:val="clear" w:color="auto" w:fill="FFFFFF"/>
        </w:rPr>
        <w:t>Par likuma “Par valsts pensijām” 16.panta pirmās daļas 2.punkta un otrās daļas, kā arī Ministru kabineta 2009.gada 22.decembra noteikumu Nr.1605 “Noteikumi par valsts sociālā nodrošinājuma pabalsta un apbedīšanas pabalsta apmēru, tā pārskatīšanas kārtību un pabalstu piešķiršanas un izmaksas kārtību” 2.2. un 2.3.apakšpunkta atbilstību Latvijas Republikas Satversmes 1.pantam, 91.panta otrajam teikumam un 109.pantam</w:t>
      </w:r>
      <w:r w:rsidRPr="006D48C2">
        <w:rPr>
          <w:rFonts w:ascii="Times New Roman" w:hAnsi="Times New Roman" w:cs="Times New Roman"/>
          <w:sz w:val="24"/>
          <w:szCs w:val="24"/>
          <w:shd w:val="clear" w:color="auto" w:fill="FFFFFF"/>
        </w:rPr>
        <w:t>”</w:t>
      </w:r>
      <w:r w:rsidRPr="006D48C2">
        <w:rPr>
          <w:rFonts w:ascii="Times New Roman" w:hAnsi="Times New Roman" w:cs="Times New Roman"/>
          <w:bCs/>
          <w:sz w:val="24"/>
          <w:szCs w:val="24"/>
          <w:shd w:val="clear" w:color="auto" w:fill="FFFFFF"/>
        </w:rPr>
        <w:t xml:space="preserve"> (turpmāk – lieta Nr.</w:t>
      </w:r>
      <w:r w:rsidRPr="006D48C2">
        <w:rPr>
          <w:rFonts w:ascii="Times New Roman" w:hAnsi="Times New Roman" w:cs="Times New Roman"/>
          <w:sz w:val="24"/>
          <w:szCs w:val="24"/>
          <w:shd w:val="clear" w:color="auto" w:fill="FFFFFF"/>
        </w:rPr>
        <w:t>2020-19-0103);</w:t>
      </w:r>
    </w:p>
    <w:p w:rsidR="006D48C2" w:rsidRPr="006D48C2" w:rsidRDefault="006D48C2" w:rsidP="00077C7A">
      <w:pPr>
        <w:numPr>
          <w:ilvl w:val="0"/>
          <w:numId w:val="13"/>
        </w:numPr>
        <w:spacing w:before="120" w:after="120" w:line="240" w:lineRule="auto"/>
        <w:ind w:left="0" w:firstLine="284"/>
        <w:jc w:val="both"/>
        <w:rPr>
          <w:rFonts w:ascii="Times New Roman" w:hAnsi="Times New Roman" w:cs="Times New Roman"/>
          <w:sz w:val="24"/>
          <w:szCs w:val="24"/>
        </w:rPr>
      </w:pPr>
      <w:r w:rsidRPr="006D48C2">
        <w:rPr>
          <w:rFonts w:ascii="Times New Roman" w:hAnsi="Times New Roman" w:cs="Times New Roman"/>
          <w:sz w:val="24"/>
          <w:szCs w:val="24"/>
          <w:shd w:val="clear" w:color="auto" w:fill="FFFFFF"/>
        </w:rPr>
        <w:t>lieta Nr.2020-28-03 “</w:t>
      </w:r>
      <w:r w:rsidRPr="006D48C2">
        <w:rPr>
          <w:rFonts w:ascii="Times New Roman" w:hAnsi="Times New Roman" w:cs="Times New Roman"/>
          <w:bCs/>
          <w:sz w:val="24"/>
          <w:szCs w:val="24"/>
          <w:shd w:val="clear" w:color="auto" w:fill="FFFFFF"/>
        </w:rPr>
        <w:t>Par Ministru kabineta 2019.gada 3.decembra noteikumu Nr.579 “Noteikumi par minimālās vecuma pensijas apmēru” 2. un 3.punkta atbilstību Latvijas Republikas Satversmes 1., 91. un 109.pantam” (turpmāk – lieta Nr.</w:t>
      </w:r>
      <w:r w:rsidRPr="006D48C2">
        <w:rPr>
          <w:rFonts w:ascii="Times New Roman" w:hAnsi="Times New Roman" w:cs="Times New Roman"/>
          <w:sz w:val="24"/>
          <w:szCs w:val="24"/>
          <w:shd w:val="clear" w:color="auto" w:fill="FFFFFF"/>
        </w:rPr>
        <w:t>2020-28-03)</w:t>
      </w:r>
      <w:r w:rsidRPr="006D48C2">
        <w:rPr>
          <w:rFonts w:ascii="Times New Roman" w:hAnsi="Times New Roman" w:cs="Times New Roman"/>
          <w:bCs/>
          <w:sz w:val="24"/>
          <w:szCs w:val="24"/>
          <w:shd w:val="clear" w:color="auto" w:fill="FFFFFF"/>
        </w:rPr>
        <w:t>.</w:t>
      </w:r>
    </w:p>
    <w:p w:rsidR="006D48C2" w:rsidRPr="006D48C2" w:rsidRDefault="006D48C2" w:rsidP="00077C7A">
      <w:pPr>
        <w:spacing w:before="120" w:after="120" w:line="240" w:lineRule="auto"/>
        <w:ind w:firstLine="709"/>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Visas ierosinātās lietas ir saistītas vai nu ar valsts sociālā nodrošinājuma pabalsta apmēru, vai ar minimālajiem vecuma un invaliditātes pensiju apmēriem, kas gan tieši, gan netieši izriet no valsts sociālā nodrošinājuma pabalsta apmēra. Izpildot Satversmes tiesas spriedumu lietā Nr.2019-27-03, mērķis ir noteikt reālajā sociālekonomiskajā situācijā atbilstošu valsts sociālā nodrošinājuma pabalsta apmēru, izmantojot relatīvo metodi minimālo ienākumu sliekšņu noteikšanā, tādējādi nosakot vienotu pieeju valsts atbalsta sniegšanā iedzīvotājiem ar zemiem un ļoti zemiem ienākumiem Līdz ar to LM uzskata, ka preventīvi jāpārskata arī vecuma un invaliditātes pensijas minimālie apmēri, piesaistot tos noteiktam </w:t>
      </w:r>
      <w:r w:rsidRPr="006D48C2">
        <w:rPr>
          <w:rFonts w:ascii="Times New Roman" w:eastAsia="Calibri" w:hAnsi="Times New Roman" w:cs="Times New Roman"/>
          <w:bCs/>
          <w:sz w:val="24"/>
          <w:szCs w:val="24"/>
        </w:rPr>
        <w:t>procentuālajam apmēram no mājsaimniecību rīcībā esošās ienākumu mediānas uz vienu ekvivalento patērētāju, kā tas tiek piedāvāts noteikt valsts sociālā nodrošinājuma pabalsta apmēram. Vienlaikus, lai iegūtu tiesības uz vecuma vai invaliditātes pensiju, personai jānostrādā noteikts laika periods (vecuma pensijai – 15 gadi, no 2025.gada – 20 gadi, invaliditātes pensijai – 3 gadi), līdz ar to minimālajam ienākumu slieksnim jābūt noteiktam augstākam kā personai, kurai nav pietiekams apdrošināšanas stāžs.</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Minimālo vecuma pensiju paaugstināšana</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Pasākuma mērķis ir palielināt </w:t>
      </w:r>
      <w:r w:rsidRPr="006D48C2">
        <w:rPr>
          <w:rFonts w:ascii="Times New Roman" w:eastAsia="Calibri" w:hAnsi="Times New Roman" w:cs="Times New Roman"/>
          <w:iCs/>
          <w:sz w:val="24"/>
          <w:szCs w:val="24"/>
        </w:rPr>
        <w:t>minimālās vecuma pensijas</w:t>
      </w:r>
      <w:r w:rsidRPr="006D48C2">
        <w:rPr>
          <w:rFonts w:ascii="Times New Roman" w:eastAsia="Calibri" w:hAnsi="Times New Roman" w:cs="Times New Roman"/>
          <w:sz w:val="24"/>
          <w:szCs w:val="24"/>
        </w:rPr>
        <w:t xml:space="preserve"> aprēķina bāzi, nosakot to</w:t>
      </w:r>
      <w:r w:rsidRPr="006D48C2">
        <w:rPr>
          <w:rFonts w:ascii="Times New Roman" w:eastAsia="Calibri" w:hAnsi="Times New Roman" w:cs="Times New Roman"/>
          <w:iCs/>
          <w:sz w:val="24"/>
          <w:szCs w:val="24"/>
        </w:rPr>
        <w:t xml:space="preserve"> </w:t>
      </w:r>
      <w:r w:rsidRPr="006D48C2">
        <w:rPr>
          <w:rFonts w:ascii="Times New Roman" w:eastAsia="Calibri" w:hAnsi="Times New Roman" w:cs="Times New Roman"/>
          <w:bCs/>
          <w:sz w:val="24"/>
          <w:szCs w:val="24"/>
        </w:rPr>
        <w:t>procentuālā apmērā no mājsaimniecību rīcībā esošās ienākumu mediānas uz vienu ekvivalento patērētāju, kā arī p</w:t>
      </w:r>
      <w:r w:rsidRPr="006D48C2">
        <w:rPr>
          <w:rFonts w:ascii="Times New Roman" w:eastAsia="Calibri" w:hAnsi="Times New Roman" w:cs="Times New Roman"/>
          <w:sz w:val="24"/>
          <w:szCs w:val="24"/>
        </w:rPr>
        <w:t xml:space="preserve">aredzēts, ka minimālo vecuma pensijas apmēru noteiktu par katru apdrošināšanas stāža gadu. </w:t>
      </w:r>
    </w:p>
    <w:p w:rsidR="006D48C2" w:rsidRPr="006D48C2" w:rsidRDefault="006D48C2" w:rsidP="00077C7A">
      <w:pPr>
        <w:spacing w:before="120" w:after="120" w:line="240" w:lineRule="auto"/>
        <w:ind w:firstLine="720"/>
        <w:jc w:val="both"/>
        <w:rPr>
          <w:rFonts w:ascii="Times New Roman" w:hAnsi="Times New Roman" w:cs="Times New Roman"/>
          <w:iCs/>
          <w:noProof/>
          <w:sz w:val="24"/>
          <w:szCs w:val="24"/>
          <w:lang w:eastAsia="lv-LV"/>
        </w:rPr>
      </w:pPr>
      <w:r w:rsidRPr="006D48C2">
        <w:rPr>
          <w:rFonts w:ascii="Times New Roman" w:hAnsi="Times New Roman" w:cs="Times New Roman"/>
          <w:iCs/>
          <w:sz w:val="24"/>
          <w:szCs w:val="24"/>
          <w:lang w:eastAsia="lv-LV"/>
        </w:rPr>
        <w:t xml:space="preserve">Saskaņā ar likuma “Par valsts pensijām” 12.panta otro daļu un Ministru kabineta 2019.gada 3.decembra noteikumiem Nr.579 “Noteikumi par minimālās valsts vecuma pensijas apmēru” no </w:t>
      </w:r>
      <w:r w:rsidRPr="006D48C2">
        <w:rPr>
          <w:rFonts w:ascii="Times New Roman" w:hAnsi="Times New Roman" w:cs="Times New Roman"/>
          <w:iCs/>
          <w:noProof/>
          <w:sz w:val="24"/>
          <w:szCs w:val="24"/>
          <w:lang w:eastAsia="lv-LV"/>
        </w:rPr>
        <w:t xml:space="preserve">2020.gada 1.janvāra minimālo vecuma pensijas apmēru nosaka, ņemot vērā minimālo aprēķina bāzi 80 </w:t>
      </w:r>
      <w:r w:rsidRPr="006D48C2">
        <w:rPr>
          <w:rFonts w:ascii="Times New Roman" w:hAnsi="Times New Roman" w:cs="Times New Roman"/>
          <w:i/>
          <w:iCs/>
          <w:noProof/>
          <w:sz w:val="24"/>
          <w:szCs w:val="24"/>
          <w:lang w:eastAsia="lv-LV"/>
        </w:rPr>
        <w:t>euro</w:t>
      </w:r>
      <w:r w:rsidRPr="006D48C2">
        <w:rPr>
          <w:rFonts w:ascii="Times New Roman" w:hAnsi="Times New Roman" w:cs="Times New Roman"/>
          <w:iCs/>
          <w:noProof/>
          <w:sz w:val="24"/>
          <w:szCs w:val="24"/>
          <w:lang w:eastAsia="lv-LV"/>
        </w:rPr>
        <w:t xml:space="preserve">, bet personām ar invaliditāti kopš bērnības – 122,69 </w:t>
      </w:r>
      <w:r w:rsidRPr="006D48C2">
        <w:rPr>
          <w:rFonts w:ascii="Times New Roman" w:hAnsi="Times New Roman" w:cs="Times New Roman"/>
          <w:i/>
          <w:iCs/>
          <w:noProof/>
          <w:sz w:val="24"/>
          <w:szCs w:val="24"/>
          <w:lang w:eastAsia="lv-LV"/>
        </w:rPr>
        <w:t>euro</w:t>
      </w:r>
      <w:r w:rsidRPr="006D48C2">
        <w:rPr>
          <w:rFonts w:ascii="Times New Roman" w:hAnsi="Times New Roman" w:cs="Times New Roman"/>
          <w:iCs/>
          <w:noProof/>
          <w:sz w:val="24"/>
          <w:szCs w:val="24"/>
          <w:lang w:eastAsia="lv-LV"/>
        </w:rPr>
        <w:t>, kurai atkarībā no personas apdrošināšanas stāža (pilnos gados) piemēro noteiktu koeficientu. Š</w:t>
      </w:r>
      <w:proofErr w:type="spellStart"/>
      <w:r w:rsidRPr="006D48C2">
        <w:rPr>
          <w:rFonts w:ascii="Times New Roman" w:eastAsia="Calibri" w:hAnsi="Times New Roman" w:cs="Times New Roman"/>
          <w:sz w:val="24"/>
          <w:szCs w:val="24"/>
        </w:rPr>
        <w:t>obrīd</w:t>
      </w:r>
      <w:proofErr w:type="spellEnd"/>
      <w:r w:rsidRPr="006D48C2">
        <w:rPr>
          <w:rFonts w:ascii="Times New Roman" w:eastAsia="Calibri" w:hAnsi="Times New Roman" w:cs="Times New Roman"/>
          <w:sz w:val="24"/>
          <w:szCs w:val="24"/>
        </w:rPr>
        <w:t xml:space="preserve"> tās ir četras stāžu grupas:</w:t>
      </w:r>
    </w:p>
    <w:tbl>
      <w:tblPr>
        <w:tblW w:w="7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737"/>
        <w:gridCol w:w="1560"/>
        <w:gridCol w:w="1775"/>
      </w:tblGrid>
      <w:tr w:rsidR="006D48C2" w:rsidRPr="006D48C2" w:rsidTr="00210902">
        <w:trPr>
          <w:trHeight w:val="218"/>
          <w:jc w:val="center"/>
        </w:trPr>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Apdrošināšanas stāžs gados</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proofErr w:type="spellStart"/>
            <w:r w:rsidRPr="006D48C2">
              <w:rPr>
                <w:rFonts w:ascii="Times New Roman" w:eastAsia="Calibri" w:hAnsi="Times New Roman" w:cs="Times New Roman"/>
                <w:i/>
                <w:iCs/>
                <w:sz w:val="20"/>
                <w:szCs w:val="20"/>
              </w:rPr>
              <w:t>Koef</w:t>
            </w:r>
            <w:proofErr w:type="spellEnd"/>
            <w:r w:rsidRPr="006D48C2">
              <w:rPr>
                <w:rFonts w:ascii="Times New Roman" w:eastAsia="Calibri" w:hAnsi="Times New Roman" w:cs="Times New Roman"/>
                <w:i/>
                <w:iCs/>
                <w:sz w:val="20"/>
                <w:szCs w:val="20"/>
              </w:rPr>
              <w:t>.</w:t>
            </w:r>
          </w:p>
        </w:tc>
        <w:tc>
          <w:tcPr>
            <w:tcW w:w="333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bCs/>
                <w:sz w:val="20"/>
                <w:szCs w:val="20"/>
                <w:lang w:eastAsia="lv-LV"/>
              </w:rPr>
              <w:t>Esošais apmērs</w:t>
            </w:r>
          </w:p>
        </w:tc>
      </w:tr>
      <w:tr w:rsidR="006D48C2" w:rsidRPr="006D48C2" w:rsidTr="00210902">
        <w:trPr>
          <w:trHeight w:val="457"/>
          <w:jc w:val="center"/>
        </w:trPr>
        <w:tc>
          <w:tcPr>
            <w:tcW w:w="3086" w:type="dxa"/>
            <w:tcBorders>
              <w:top w:val="single" w:sz="4" w:space="0" w:color="auto"/>
              <w:left w:val="single" w:sz="4" w:space="0" w:color="auto"/>
              <w:bottom w:val="single" w:sz="4" w:space="0" w:color="auto"/>
              <w:right w:val="single" w:sz="4" w:space="0" w:color="auto"/>
            </w:tcBorders>
            <w:shd w:val="clear" w:color="auto" w:fill="auto"/>
          </w:tcPr>
          <w:p w:rsidR="006D48C2" w:rsidRPr="006D48C2" w:rsidRDefault="006D48C2" w:rsidP="006D48C2">
            <w:pPr>
              <w:spacing w:after="200"/>
              <w:contextualSpacing/>
              <w:jc w:val="both"/>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6D48C2" w:rsidRPr="006D48C2" w:rsidRDefault="006D48C2" w:rsidP="006D48C2">
            <w:pPr>
              <w:spacing w:after="200"/>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Ar bāzi 80,00</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Ar bāzi 122,69 inv. kopš bērnības</w:t>
            </w:r>
          </w:p>
        </w:tc>
      </w:tr>
      <w:tr w:rsidR="006D48C2" w:rsidRPr="006D48C2" w:rsidTr="00210902">
        <w:trPr>
          <w:jc w:val="center"/>
        </w:trPr>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no 15 gadiem līdz 20 gadiem</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i/>
                <w:sz w:val="20"/>
                <w:szCs w:val="20"/>
              </w:rPr>
            </w:pPr>
            <w:r w:rsidRPr="006D48C2">
              <w:rPr>
                <w:rFonts w:ascii="Times New Roman" w:eastAsia="Calibri" w:hAnsi="Times New Roman" w:cs="Times New Roman"/>
                <w:i/>
                <w:sz w:val="20"/>
                <w:szCs w:val="20"/>
              </w:rPr>
              <w:t>1,1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88</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134,96</w:t>
            </w:r>
          </w:p>
        </w:tc>
      </w:tr>
      <w:tr w:rsidR="006D48C2" w:rsidRPr="006D48C2" w:rsidTr="00210902">
        <w:trPr>
          <w:jc w:val="center"/>
        </w:trPr>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no 21 gada līdz 30 gadiem</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i/>
                <w:sz w:val="20"/>
                <w:szCs w:val="20"/>
              </w:rPr>
            </w:pPr>
            <w:r w:rsidRPr="006D48C2">
              <w:rPr>
                <w:rFonts w:ascii="Times New Roman" w:eastAsia="Calibri" w:hAnsi="Times New Roman" w:cs="Times New Roman"/>
                <w:i/>
                <w:sz w:val="20"/>
                <w:szCs w:val="20"/>
              </w:rPr>
              <w:t>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104</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159,50</w:t>
            </w:r>
          </w:p>
        </w:tc>
      </w:tr>
      <w:tr w:rsidR="006D48C2" w:rsidRPr="006D48C2" w:rsidTr="00210902">
        <w:trPr>
          <w:jc w:val="center"/>
        </w:trPr>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no 31 gada līdz 40 gadiem</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i/>
                <w:sz w:val="20"/>
                <w:szCs w:val="20"/>
              </w:rPr>
            </w:pPr>
            <w:r w:rsidRPr="006D48C2">
              <w:rPr>
                <w:rFonts w:ascii="Times New Roman" w:eastAsia="Calibri" w:hAnsi="Times New Roman" w:cs="Times New Roman"/>
                <w:i/>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120</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184,04</w:t>
            </w:r>
          </w:p>
        </w:tc>
      </w:tr>
      <w:tr w:rsidR="006D48C2" w:rsidRPr="006D48C2" w:rsidTr="00210902">
        <w:trPr>
          <w:jc w:val="center"/>
        </w:trPr>
        <w:tc>
          <w:tcPr>
            <w:tcW w:w="3086"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41 gads un vairāk gadu</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6D48C2">
            <w:pPr>
              <w:spacing w:after="200"/>
              <w:contextualSpacing/>
              <w:jc w:val="both"/>
              <w:rPr>
                <w:rFonts w:ascii="Times New Roman" w:eastAsia="Calibri" w:hAnsi="Times New Roman" w:cs="Times New Roman"/>
                <w:i/>
                <w:sz w:val="20"/>
                <w:szCs w:val="20"/>
              </w:rPr>
            </w:pPr>
            <w:r w:rsidRPr="006D48C2">
              <w:rPr>
                <w:rFonts w:ascii="Times New Roman" w:eastAsia="Calibri" w:hAnsi="Times New Roman" w:cs="Times New Roman"/>
                <w:i/>
                <w:sz w:val="20"/>
                <w:szCs w:val="20"/>
              </w:rPr>
              <w:t>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136</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6D48C2" w:rsidRPr="006D48C2" w:rsidRDefault="006D48C2" w:rsidP="00BF7BC0">
            <w:pPr>
              <w:spacing w:after="200"/>
              <w:contextualSpacing/>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208,57</w:t>
            </w:r>
          </w:p>
        </w:tc>
      </w:tr>
    </w:tbl>
    <w:p w:rsidR="006D48C2" w:rsidRPr="006D48C2" w:rsidRDefault="006D48C2" w:rsidP="00077C7A">
      <w:pPr>
        <w:spacing w:before="120" w:after="120" w:line="240" w:lineRule="auto"/>
        <w:jc w:val="both"/>
        <w:rPr>
          <w:rFonts w:ascii="Times New Roman" w:hAnsi="Times New Roman" w:cs="Times New Roman"/>
          <w:iCs/>
          <w:noProof/>
          <w:sz w:val="16"/>
          <w:szCs w:val="16"/>
          <w:lang w:eastAsia="lv-LV"/>
        </w:rPr>
      </w:pP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iCs/>
          <w:sz w:val="24"/>
          <w:szCs w:val="24"/>
        </w:rPr>
        <w:t>Plānots minimālās vecuma pensijas</w:t>
      </w:r>
      <w:r w:rsidRPr="006D48C2">
        <w:rPr>
          <w:rFonts w:ascii="Times New Roman" w:eastAsia="Calibri" w:hAnsi="Times New Roman" w:cs="Times New Roman"/>
          <w:sz w:val="24"/>
          <w:szCs w:val="24"/>
        </w:rPr>
        <w:t xml:space="preserve"> aprēķina bāzi </w:t>
      </w:r>
      <w:r w:rsidRPr="006D48C2">
        <w:rPr>
          <w:rFonts w:ascii="Times New Roman" w:eastAsia="Calibri" w:hAnsi="Times New Roman" w:cs="Times New Roman"/>
          <w:iCs/>
          <w:sz w:val="24"/>
          <w:szCs w:val="24"/>
        </w:rPr>
        <w:t xml:space="preserve">noteikt 25% no ienākumu mediānas (136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 xml:space="preserve">), savukārt personām ar invaliditāti kopš bērnības 30% no ienākumu mediānas (163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 M</w:t>
      </w:r>
      <w:r w:rsidRPr="006D48C2">
        <w:rPr>
          <w:rFonts w:ascii="Times New Roman" w:eastAsia="Calibri" w:hAnsi="Times New Roman" w:cs="Times New Roman"/>
          <w:sz w:val="24"/>
          <w:szCs w:val="24"/>
        </w:rPr>
        <w:t xml:space="preserve">inimālo vecuma pensijas apmēru par katru apdrošināšanas stāža gadu paredzēts noteikt, piemērojot </w:t>
      </w:r>
      <w:r w:rsidRPr="006D48C2">
        <w:rPr>
          <w:rFonts w:ascii="Times New Roman" w:eastAsia="Calibri" w:hAnsi="Times New Roman" w:cs="Times New Roman"/>
          <w:sz w:val="24"/>
          <w:szCs w:val="24"/>
          <w:lang w:eastAsia="lv-LV"/>
        </w:rPr>
        <w:t>vecuma pensijas aprēķina bāzei koeficientu – 1,1 (laikā no 2021.-2024.gadam un koeficientu 1,2 no 2025.gada), un par katru nākamo gadu, kas pārsniedz vecuma pensijas piešķiršanai nepieciešamo apdrošināšanas stāžu, apmēru palielinot par diviem procentiem no minimālās vecuma pensijas aprēķina bāzes. Tiek prognozēts, ka minētais pasākums attieksies uz 31 373 minimālās vecuma pensijas saņēmējiem vidēji mēnesī 2021.gadā, 31 269 minimālās vecuma pensijas saņēmējiem vidēji mēnesī 2022.gadā un 31 183 minimālās vecuma pensijas saņēmējiem vidēji mēnesī 2023.gadā.</w:t>
      </w:r>
    </w:p>
    <w:p w:rsidR="006D48C2" w:rsidRPr="006D48C2" w:rsidRDefault="006D48C2" w:rsidP="006D48C2">
      <w:pPr>
        <w:spacing w:before="120"/>
        <w:jc w:val="both"/>
        <w:rPr>
          <w:rFonts w:ascii="Times New Roman" w:eastAsia="Calibri" w:hAnsi="Times New Roman" w:cs="Times New Roman"/>
          <w:sz w:val="24"/>
          <w:szCs w:val="24"/>
        </w:rPr>
      </w:pPr>
      <w:r w:rsidRPr="006D48C2">
        <w:rPr>
          <w:rFonts w:ascii="Times New Roman" w:eastAsia="Calibri" w:hAnsi="Times New Roman" w:cs="Times New Roman"/>
          <w:noProof/>
          <w:sz w:val="24"/>
          <w:szCs w:val="24"/>
          <w:lang w:eastAsia="lv-LV"/>
        </w:rPr>
        <w:drawing>
          <wp:inline distT="0" distB="0" distL="0" distR="0">
            <wp:extent cx="6124575"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2971800"/>
                    </a:xfrm>
                    <a:prstGeom prst="rect">
                      <a:avLst/>
                    </a:prstGeom>
                    <a:noFill/>
                    <a:ln>
                      <a:noFill/>
                    </a:ln>
                  </pic:spPr>
                </pic:pic>
              </a:graphicData>
            </a:graphic>
          </wp:inline>
        </w:drawing>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Palielinot minimālo vecuma pensiju apmērus, paaugstināsies apbedīšanas pabalstu un pabalstu pārdzīvojušajam laulātajam apmēri.</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ayout w:type="fixed"/>
        <w:tblLook w:val="04A0" w:firstRow="1" w:lastRow="0" w:firstColumn="1" w:lastColumn="0" w:noHBand="0" w:noVBand="1"/>
      </w:tblPr>
      <w:tblGrid>
        <w:gridCol w:w="4549"/>
        <w:gridCol w:w="1560"/>
        <w:gridCol w:w="1702"/>
        <w:gridCol w:w="1540"/>
      </w:tblGrid>
      <w:tr w:rsidR="006D48C2" w:rsidRPr="006D48C2" w:rsidTr="00B656B1">
        <w:trPr>
          <w:trHeight w:val="20"/>
          <w:tblHeader/>
          <w:jc w:val="center"/>
        </w:trPr>
        <w:tc>
          <w:tcPr>
            <w:tcW w:w="45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60"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2"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540"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B656B1">
        <w:trPr>
          <w:trHeight w:val="20"/>
          <w:tblHeader/>
          <w:jc w:val="center"/>
        </w:trPr>
        <w:tc>
          <w:tcPr>
            <w:tcW w:w="4549"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Vecuma pensijas</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22 053 964</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21 980 856</w:t>
            </w:r>
          </w:p>
        </w:tc>
        <w:tc>
          <w:tcPr>
            <w:tcW w:w="1540"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21 920 402</w:t>
            </w:r>
          </w:p>
        </w:tc>
      </w:tr>
      <w:tr w:rsidR="006D48C2" w:rsidRPr="006D48C2" w:rsidTr="00B656B1">
        <w:trPr>
          <w:trHeight w:val="20"/>
          <w:tblHeader/>
          <w:jc w:val="center"/>
        </w:trPr>
        <w:tc>
          <w:tcPr>
            <w:tcW w:w="4549"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Pabalsts pārdzīvojušajam laulātajam (vecuma pensijas gadījumā)</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150 433</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150 433</w:t>
            </w:r>
          </w:p>
        </w:tc>
        <w:tc>
          <w:tcPr>
            <w:tcW w:w="1540"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150 433</w:t>
            </w:r>
          </w:p>
        </w:tc>
      </w:tr>
      <w:tr w:rsidR="006D48C2" w:rsidRPr="006D48C2" w:rsidTr="00B656B1">
        <w:trPr>
          <w:trHeight w:val="20"/>
          <w:tblHeader/>
          <w:jc w:val="center"/>
        </w:trPr>
        <w:tc>
          <w:tcPr>
            <w:tcW w:w="4549"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Apbedīšanas pabalsts pensijas saņēmēja nāves gadījumā</w:t>
            </w:r>
          </w:p>
        </w:tc>
        <w:tc>
          <w:tcPr>
            <w:tcW w:w="1560"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304 244</w:t>
            </w:r>
          </w:p>
        </w:tc>
        <w:tc>
          <w:tcPr>
            <w:tcW w:w="1702"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304 162</w:t>
            </w:r>
          </w:p>
        </w:tc>
        <w:tc>
          <w:tcPr>
            <w:tcW w:w="1540"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304 080</w:t>
            </w:r>
          </w:p>
        </w:tc>
      </w:tr>
    </w:tbl>
    <w:p w:rsidR="006D48C2" w:rsidRPr="006D48C2" w:rsidRDefault="006D48C2" w:rsidP="006D48C2">
      <w:pPr>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pensiju saņēmējiem, kuru pensijas apmērs ir līdz jaunajam minimumam, un to vidējiem apmēriem, īpatsvars pielīdzināts budžeta bāzes kontingentam.</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z w:val="24"/>
          <w:szCs w:val="24"/>
        </w:rPr>
        <w:t xml:space="preserve">Lai ieviestu minētās izmaiņas, nepieciešams veikt grozījumus </w:t>
      </w:r>
      <w:r w:rsidRPr="006D48C2">
        <w:rPr>
          <w:rFonts w:ascii="Times New Roman" w:eastAsia="Calibri" w:hAnsi="Times New Roman" w:cs="Times New Roman"/>
          <w:sz w:val="24"/>
          <w:szCs w:val="24"/>
        </w:rPr>
        <w:t xml:space="preserve">likumā “Par valsts pensijām”. </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Minimālo invaliditātes pensiju paaugstināšana</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iCs/>
          <w:sz w:val="24"/>
          <w:szCs w:val="24"/>
          <w:lang w:eastAsia="lv-LV"/>
        </w:rPr>
        <w:t>Pasākuma mērķis ir palielināt minimālās invaliditātes pensijas, nosakot attiecīgās invaliditātes grupas minimālo apmēru procentuālā apmērā no mājsaimniecību rīcībā esošās ienākumu mediānas uz vienu ekvivalento patērētāju</w:t>
      </w:r>
      <w:r w:rsidRPr="006D48C2">
        <w:rPr>
          <w:rFonts w:ascii="Times New Roman" w:eastAsia="Calibri" w:hAnsi="Times New Roman" w:cs="Times New Roman"/>
          <w:sz w:val="24"/>
          <w:szCs w:val="24"/>
        </w:rPr>
        <w:t xml:space="preserve">. </w:t>
      </w:r>
    </w:p>
    <w:p w:rsidR="006D48C2" w:rsidRPr="006D48C2" w:rsidRDefault="006D48C2" w:rsidP="00077C7A">
      <w:pPr>
        <w:spacing w:before="120" w:after="120" w:line="240" w:lineRule="auto"/>
        <w:ind w:firstLine="720"/>
        <w:jc w:val="both"/>
        <w:rPr>
          <w:rFonts w:ascii="Times New Roman" w:hAnsi="Times New Roman" w:cs="Times New Roman"/>
          <w:iCs/>
          <w:sz w:val="24"/>
          <w:szCs w:val="24"/>
          <w:lang w:eastAsia="lv-LV"/>
        </w:rPr>
      </w:pPr>
      <w:r w:rsidRPr="006D48C2">
        <w:rPr>
          <w:rFonts w:ascii="Times New Roman" w:hAnsi="Times New Roman" w:cs="Times New Roman"/>
          <w:iCs/>
          <w:sz w:val="24"/>
          <w:szCs w:val="24"/>
          <w:lang w:eastAsia="lv-LV"/>
        </w:rPr>
        <w:t>Likuma “Par valsts pensijām” 16.pantā noteikta invaliditātes pensiju aprēķināšanas kārtība, tostarp 16.panta pirmās daļas 2.punktā noteikts, ka III grupas invaliditātes gadījumā invaliditātes pensija tiek noteikta valsts sociālā nodrošinājuma pabalsta līmenī. Savukārt, I un II grupas invaliditātes pensijas apmērs nedrīkst būt mazāks par valsts sociālā nodrošinājuma pabalstu, kuram piemērots koeficients 1,6 I grupas invaliditātes gadījumā un 1,4 II grupas invaliditātes gadījumā.</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hAnsi="Times New Roman" w:cs="Times New Roman"/>
          <w:iCs/>
          <w:sz w:val="24"/>
          <w:szCs w:val="24"/>
          <w:lang w:eastAsia="lv-LV"/>
        </w:rPr>
        <w:t>Plānots noteikt, ka III grupas invaliditātes gadījumā invaliditātes pensija tiek noteikta 25</w:t>
      </w:r>
      <w:r w:rsidRPr="006D48C2">
        <w:rPr>
          <w:rFonts w:ascii="Times New Roman" w:eastAsia="Calibri" w:hAnsi="Times New Roman" w:cs="Times New Roman"/>
          <w:iCs/>
          <w:sz w:val="24"/>
          <w:szCs w:val="24"/>
        </w:rPr>
        <w:t xml:space="preserve">% no ienākumu mediānas (136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 xml:space="preserve">) un personām ar invaliditāti kopš bērnības 30% no ienākumu mediānas (163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 xml:space="preserve">). </w:t>
      </w:r>
      <w:r w:rsidRPr="006D48C2">
        <w:rPr>
          <w:rFonts w:ascii="Times New Roman" w:hAnsi="Times New Roman" w:cs="Times New Roman"/>
          <w:iCs/>
          <w:sz w:val="24"/>
          <w:szCs w:val="24"/>
          <w:lang w:eastAsia="lv-LV"/>
        </w:rPr>
        <w:t xml:space="preserve"> Savukārt I un II grupas invaliditātes pensijas apmērs nedrīkst būt mazāks par 25</w:t>
      </w:r>
      <w:r w:rsidRPr="006D48C2">
        <w:rPr>
          <w:rFonts w:ascii="Times New Roman" w:eastAsia="Calibri" w:hAnsi="Times New Roman" w:cs="Times New Roman"/>
          <w:iCs/>
          <w:sz w:val="24"/>
          <w:szCs w:val="24"/>
        </w:rPr>
        <w:t xml:space="preserve">% no ienākumu mediānas (136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 xml:space="preserve">), (personām ar invaliditāti kopš bērnības 30% no ienākumu mediānas (163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w:t>
      </w:r>
      <w:r w:rsidRPr="006D48C2">
        <w:rPr>
          <w:rFonts w:ascii="Times New Roman" w:hAnsi="Times New Roman" w:cs="Times New Roman"/>
          <w:iCs/>
          <w:sz w:val="24"/>
          <w:szCs w:val="24"/>
          <w:lang w:eastAsia="lv-LV"/>
        </w:rPr>
        <w:t xml:space="preserve">, kurai piemērots koeficients 1,6 I grupas invaliditātes gadījumā un 1,4 II grupas invaliditātes gadījumā. </w:t>
      </w:r>
      <w:r w:rsidRPr="006D48C2">
        <w:rPr>
          <w:rFonts w:ascii="Times New Roman" w:eastAsia="Calibri" w:hAnsi="Times New Roman" w:cs="Times New Roman"/>
          <w:sz w:val="24"/>
          <w:szCs w:val="24"/>
          <w:lang w:eastAsia="lv-LV"/>
        </w:rPr>
        <w:t>Tiek prognozēts, ka minētais pasākums attieksies uz 44 306 minimālās invaliditātes pensijas saņēmējiem vidēji mēnesī 2021.gadā, 44 750 minimālās invaliditātes pensijas saņēmējiem vidēji mēnesī 2022.gadā un 45 201 minimālās vecuma pensijas saņēmējiem vidēji mēnesī 2023.gadā.</w:t>
      </w:r>
    </w:p>
    <w:p w:rsidR="006D48C2" w:rsidRPr="006D48C2" w:rsidRDefault="006D48C2" w:rsidP="00BF7BC0">
      <w:pPr>
        <w:spacing w:before="120" w:after="120" w:line="240" w:lineRule="auto"/>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Priekšlikums minimālās invaliditātes pensijas paaugstināšanai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760"/>
        <w:gridCol w:w="1648"/>
        <w:gridCol w:w="1808"/>
      </w:tblGrid>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tcPr>
          <w:p w:rsidR="006D48C2" w:rsidRPr="006D48C2" w:rsidRDefault="006D48C2" w:rsidP="006D48C2">
            <w:pPr>
              <w:jc w:val="both"/>
              <w:rPr>
                <w:rFonts w:ascii="Times New Roman" w:eastAsia="Calibri" w:hAnsi="Times New Roman" w:cs="Times New Roman"/>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proofErr w:type="spellStart"/>
            <w:r w:rsidRPr="006D48C2">
              <w:rPr>
                <w:rFonts w:ascii="Times New Roman" w:eastAsia="Calibri" w:hAnsi="Times New Roman" w:cs="Times New Roman"/>
                <w:i/>
                <w:iCs/>
                <w:sz w:val="20"/>
                <w:szCs w:val="20"/>
              </w:rPr>
              <w:t>Koef</w:t>
            </w:r>
            <w:proofErr w:type="spellEnd"/>
            <w:r w:rsidRPr="006D48C2">
              <w:rPr>
                <w:rFonts w:ascii="Times New Roman" w:eastAsia="Calibri" w:hAnsi="Times New Roman" w:cs="Times New Roman"/>
                <w:i/>
                <w:iCs/>
                <w:sz w:val="20"/>
                <w:szCs w:val="20"/>
              </w:rPr>
              <w:t>.</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bCs/>
                <w:sz w:val="20"/>
                <w:szCs w:val="20"/>
                <w:lang w:eastAsia="lv-LV"/>
              </w:rPr>
              <w:t>Esošais apmērs</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bCs/>
                <w:sz w:val="20"/>
                <w:szCs w:val="20"/>
                <w:lang w:eastAsia="lv-LV"/>
              </w:rPr>
              <w:t>Plānotais apmērs</w:t>
            </w:r>
          </w:p>
        </w:tc>
      </w:tr>
      <w:tr w:rsidR="006D48C2" w:rsidRPr="006D48C2" w:rsidTr="00210902">
        <w:trPr>
          <w:trHeight w:val="315"/>
          <w:jc w:val="center"/>
        </w:trPr>
        <w:tc>
          <w:tcPr>
            <w:tcW w:w="713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b/>
                <w:sz w:val="20"/>
                <w:szCs w:val="20"/>
              </w:rPr>
            </w:pPr>
            <w:r w:rsidRPr="006D48C2">
              <w:rPr>
                <w:rFonts w:ascii="Times New Roman" w:eastAsia="Calibri" w:hAnsi="Times New Roman" w:cs="Times New Roman"/>
                <w:b/>
                <w:sz w:val="20"/>
                <w:szCs w:val="20"/>
              </w:rPr>
              <w:t>Personas ar invaliditāti kopš bērnības</w:t>
            </w:r>
          </w:p>
        </w:tc>
      </w:tr>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 grupa</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r w:rsidRPr="006D48C2">
              <w:rPr>
                <w:rFonts w:ascii="Times New Roman" w:eastAsia="Calibri" w:hAnsi="Times New Roman" w:cs="Times New Roman"/>
                <w:i/>
                <w:iCs/>
                <w:sz w:val="20"/>
                <w:szCs w:val="20"/>
              </w:rPr>
              <w:t>1,6</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196,30</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260,80</w:t>
            </w:r>
          </w:p>
        </w:tc>
      </w:tr>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II grupa</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r w:rsidRPr="006D48C2">
              <w:rPr>
                <w:rFonts w:ascii="Times New Roman" w:eastAsia="Calibri" w:hAnsi="Times New Roman" w:cs="Times New Roman"/>
                <w:i/>
                <w:iCs/>
                <w:sz w:val="20"/>
                <w:szCs w:val="20"/>
              </w:rPr>
              <w:t>1,4</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171,77</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228,20</w:t>
            </w:r>
          </w:p>
        </w:tc>
      </w:tr>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III grupa</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r w:rsidRPr="006D48C2">
              <w:rPr>
                <w:rFonts w:ascii="Times New Roman" w:eastAsia="Calibri" w:hAnsi="Times New Roman" w:cs="Times New Roman"/>
                <w:i/>
                <w:iCs/>
                <w:sz w:val="20"/>
                <w:szCs w:val="20"/>
              </w:rPr>
              <w:t>Bāze</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122,69</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163 (30% no ienākumu mediānas)</w:t>
            </w:r>
          </w:p>
        </w:tc>
      </w:tr>
      <w:tr w:rsidR="006D48C2" w:rsidRPr="006D48C2" w:rsidTr="00210902">
        <w:trPr>
          <w:trHeight w:val="227"/>
          <w:jc w:val="center"/>
        </w:trPr>
        <w:tc>
          <w:tcPr>
            <w:tcW w:w="71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C2" w:rsidRPr="006D48C2" w:rsidRDefault="006D48C2" w:rsidP="006D48C2">
            <w:pPr>
              <w:jc w:val="both"/>
              <w:rPr>
                <w:rFonts w:ascii="Times New Roman" w:eastAsia="Calibri" w:hAnsi="Times New Roman" w:cs="Times New Roman"/>
                <w:b/>
                <w:sz w:val="20"/>
                <w:szCs w:val="20"/>
              </w:rPr>
            </w:pPr>
            <w:r w:rsidRPr="006D48C2">
              <w:rPr>
                <w:rFonts w:ascii="Times New Roman" w:eastAsia="Calibri" w:hAnsi="Times New Roman" w:cs="Times New Roman"/>
                <w:b/>
                <w:sz w:val="20"/>
                <w:szCs w:val="20"/>
              </w:rPr>
              <w:t>Personas ar invaliditāti</w:t>
            </w:r>
          </w:p>
        </w:tc>
      </w:tr>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 grupa</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r w:rsidRPr="006D48C2">
              <w:rPr>
                <w:rFonts w:ascii="Times New Roman" w:eastAsia="Calibri" w:hAnsi="Times New Roman" w:cs="Times New Roman"/>
                <w:i/>
                <w:iCs/>
                <w:sz w:val="20"/>
                <w:szCs w:val="20"/>
              </w:rPr>
              <w:t>1,6</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128</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217,60</w:t>
            </w:r>
          </w:p>
        </w:tc>
      </w:tr>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II grupa</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r w:rsidRPr="006D48C2">
              <w:rPr>
                <w:rFonts w:ascii="Times New Roman" w:eastAsia="Calibri" w:hAnsi="Times New Roman" w:cs="Times New Roman"/>
                <w:i/>
                <w:iCs/>
                <w:sz w:val="20"/>
                <w:szCs w:val="20"/>
              </w:rPr>
              <w:t>1,4</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112</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190,40</w:t>
            </w:r>
          </w:p>
        </w:tc>
      </w:tr>
      <w:tr w:rsidR="006D48C2" w:rsidRPr="006D48C2" w:rsidTr="00210902">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III grupa</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i/>
                <w:iCs/>
                <w:sz w:val="20"/>
                <w:szCs w:val="20"/>
              </w:rPr>
            </w:pPr>
            <w:r w:rsidRPr="006D48C2">
              <w:rPr>
                <w:rFonts w:ascii="Times New Roman" w:eastAsia="Calibri" w:hAnsi="Times New Roman" w:cs="Times New Roman"/>
                <w:i/>
                <w:iCs/>
                <w:sz w:val="20"/>
                <w:szCs w:val="20"/>
              </w:rPr>
              <w:t>Bāze</w:t>
            </w:r>
          </w:p>
        </w:tc>
        <w:tc>
          <w:tcPr>
            <w:tcW w:w="164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80</w:t>
            </w:r>
          </w:p>
        </w:tc>
        <w:tc>
          <w:tcPr>
            <w:tcW w:w="1808" w:type="dxa"/>
            <w:tcBorders>
              <w:top w:val="single" w:sz="4" w:space="0" w:color="auto"/>
              <w:left w:val="single" w:sz="4" w:space="0" w:color="auto"/>
              <w:bottom w:val="single" w:sz="4" w:space="0" w:color="auto"/>
              <w:right w:val="single" w:sz="4" w:space="0" w:color="auto"/>
            </w:tcBorders>
            <w:shd w:val="clear" w:color="auto" w:fill="auto"/>
            <w:noWrap/>
            <w:hideMark/>
          </w:tcPr>
          <w:p w:rsidR="006D48C2" w:rsidRPr="006D48C2" w:rsidRDefault="006D48C2" w:rsidP="006D48C2">
            <w:pPr>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136 (25% no ienākumu mediānas)</w:t>
            </w:r>
          </w:p>
        </w:tc>
      </w:tr>
    </w:tbl>
    <w:p w:rsidR="006D48C2" w:rsidRPr="006D48C2" w:rsidRDefault="006D48C2" w:rsidP="006D48C2">
      <w:pPr>
        <w:jc w:val="both"/>
        <w:rPr>
          <w:rFonts w:ascii="Times New Roman" w:eastAsia="Calibri" w:hAnsi="Times New Roman" w:cs="Times New Roman"/>
        </w:rPr>
      </w:pP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Palielinot minimālo invaliditātes pensiju apmērus, paaugstināsies pabalstu pārdzīvojušajam laulātajam apmēri invaliditātes pensijas saņēmēja nāves gadījumā.</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BF7BC0">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BF7BC0">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BF7BC0">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Invaliditātes pensijas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28 663 074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28 950 319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29 241 759</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Pabalsts pārdzīvojušajam laulātajam (invaliditātes pensijas gadījumā)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69 557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69 557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69 557</w:t>
            </w:r>
          </w:p>
        </w:tc>
      </w:tr>
    </w:tbl>
    <w:p w:rsidR="006D48C2" w:rsidRPr="006D48C2" w:rsidRDefault="006D48C2" w:rsidP="006D48C2">
      <w:pPr>
        <w:jc w:val="both"/>
        <w:rPr>
          <w:rFonts w:ascii="Times New Roman" w:eastAsia="Calibri" w:hAnsi="Times New Roman" w:cs="Times New Roman"/>
          <w:i/>
          <w:sz w:val="20"/>
          <w:szCs w:val="24"/>
        </w:rPr>
      </w:pPr>
      <w:bookmarkStart w:id="3" w:name="_Hlk50023224"/>
      <w:bookmarkStart w:id="4" w:name="_Hlk50023819"/>
      <w:r w:rsidRPr="006D48C2">
        <w:rPr>
          <w:rFonts w:ascii="Times New Roman" w:eastAsia="Calibri" w:hAnsi="Times New Roman" w:cs="Times New Roman"/>
          <w:i/>
          <w:sz w:val="20"/>
          <w:szCs w:val="24"/>
        </w:rPr>
        <w:t>*ņemta vērā VSAA statistika par pensiju saņēmējiem, kuru pensijas apmērs ir līdz jaunajam minimumam, un to vidējiem apmēriem, īpatsvars pielīdzināts budžeta bāzes kontingentam</w:t>
      </w:r>
      <w:bookmarkEnd w:id="3"/>
      <w:r w:rsidRPr="006D48C2">
        <w:rPr>
          <w:rFonts w:ascii="Times New Roman" w:eastAsia="Calibri" w:hAnsi="Times New Roman" w:cs="Times New Roman"/>
          <w:i/>
          <w:sz w:val="20"/>
          <w:szCs w:val="24"/>
        </w:rPr>
        <w:t>.</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z w:val="24"/>
          <w:szCs w:val="24"/>
        </w:rPr>
        <w:t xml:space="preserve">Lai ieviestu minētās izmaiņas, nepieciešams veikt grozījumus </w:t>
      </w:r>
      <w:r w:rsidRPr="006D48C2">
        <w:rPr>
          <w:rFonts w:ascii="Times New Roman" w:eastAsia="Calibri" w:hAnsi="Times New Roman" w:cs="Times New Roman"/>
          <w:sz w:val="24"/>
          <w:szCs w:val="24"/>
        </w:rPr>
        <w:t xml:space="preserve">likumā “Par valsts pensijām”. </w:t>
      </w:r>
    </w:p>
    <w:bookmarkEnd w:id="4"/>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Valsts sociālā nodrošinājuma pabalsta apmēra pārskatīšana</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Pasākuma mērķis ir noteikt reālajā sociālekonomiskajā situācijā atbilstošu valsts sociālā nodrošinājuma pabalsta apmēru, izmantojot relatīvo metodi minimālo ienākumu sliekšņu noteikšanā, tādējādi nosakot vienotu pieeju valsts atbalsta sniegšanā iedzīvotājiem ar zemiem un ļoti zemiem ienākumiem, sekmējot nabadzības un sociālās atstumtība mazināšanos, kas ir būtisks priekšnosacījums valsts ilgtspējas attīstībai. </w:t>
      </w:r>
    </w:p>
    <w:p w:rsidR="006D48C2" w:rsidRPr="006D48C2" w:rsidRDefault="006D48C2" w:rsidP="00077C7A">
      <w:pPr>
        <w:numPr>
          <w:ilvl w:val="0"/>
          <w:numId w:val="7"/>
        </w:numPr>
        <w:spacing w:before="120" w:after="120" w:line="240" w:lineRule="auto"/>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Vecuma gadījumā</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shd w:val="clear" w:color="auto" w:fill="FFFFFF"/>
        </w:rPr>
      </w:pPr>
      <w:r w:rsidRPr="006D48C2">
        <w:rPr>
          <w:rFonts w:ascii="Times New Roman" w:eastAsia="Calibri" w:hAnsi="Times New Roman" w:cs="Times New Roman"/>
          <w:sz w:val="24"/>
          <w:szCs w:val="24"/>
        </w:rPr>
        <w:t xml:space="preserve">Saskaņā ar Valsts sociālo pabalstu likuma 13.panta pirmās daļas 1.punktu valsts sociālā nodrošinājuma pabalstu piešķir personai, kurai nav tiesību saņemt valsts pensiju (izņemot apgādnieka zaudējuma pensiju personai ar invaliditāti) vai apdrošināšanas atlīdzību sakarā ar nelaimes gadījumu darbā vai arodslimību, ja persona nav nodarbināta (nav uzskatāma par darba ņēmēju vai </w:t>
      </w:r>
      <w:proofErr w:type="spellStart"/>
      <w:r w:rsidRPr="006D48C2">
        <w:rPr>
          <w:rFonts w:ascii="Times New Roman" w:eastAsia="Calibri" w:hAnsi="Times New Roman" w:cs="Times New Roman"/>
          <w:sz w:val="24"/>
          <w:szCs w:val="24"/>
        </w:rPr>
        <w:t>pašnodarbināto</w:t>
      </w:r>
      <w:proofErr w:type="spellEnd"/>
      <w:r w:rsidRPr="006D48C2">
        <w:rPr>
          <w:rFonts w:ascii="Times New Roman" w:eastAsia="Calibri" w:hAnsi="Times New Roman" w:cs="Times New Roman"/>
          <w:sz w:val="24"/>
          <w:szCs w:val="24"/>
        </w:rPr>
        <w:t xml:space="preserve"> saskaņā ar likumu “Par valsts sociālo apdrošināšanu”) un ir sasniegusi vecumu, kāds saskaņā ar likumu “Par valsts pensijām” noteikts personai, lai tā iegūtu tiesības uz vecuma pensiju. Šīm personām valsts sociālā nodrošinājuma pabalstu piešķir uz mūžu. Saskaņā ar Ministru kabineta 2009.gada 22.decembra noteikumu Nr.1605 “</w:t>
      </w:r>
      <w:r w:rsidRPr="006D48C2">
        <w:rPr>
          <w:rFonts w:ascii="Times New Roman" w:hAnsi="Times New Roman" w:cs="Times New Roman"/>
          <w:bCs/>
          <w:sz w:val="24"/>
          <w:szCs w:val="24"/>
        </w:rPr>
        <w:t>Noteikumi par valsts sociālā nodrošinājuma pabalsta un apbedīšanas pabalsta apmēru, tā pārskatīšanas kārtību un pabalstu piešķiršanas un izmaksas kārtību</w:t>
      </w:r>
      <w:r w:rsidRPr="006D48C2">
        <w:rPr>
          <w:rFonts w:ascii="Times New Roman" w:eastAsia="Calibri" w:hAnsi="Times New Roman" w:cs="Times New Roman"/>
          <w:sz w:val="24"/>
          <w:szCs w:val="24"/>
        </w:rPr>
        <w:t xml:space="preserve">” (turpmāk – MK noteikumi Nr.1605) 2.punktam pensijas vecumu sasniegušajām personām valsts sociālā nodrošinājuma pabalsts ir 64,03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mēnesī. </w:t>
      </w:r>
      <w:r w:rsidRPr="006D48C2">
        <w:rPr>
          <w:rFonts w:ascii="Times New Roman" w:eastAsia="Calibri" w:hAnsi="Times New Roman" w:cs="Times New Roman"/>
          <w:sz w:val="24"/>
          <w:szCs w:val="24"/>
          <w:shd w:val="clear" w:color="auto" w:fill="FFFFFF"/>
        </w:rPr>
        <w:t>Atbilstoši Satversmes tiesas spriedumam lietā Nr.2019-27-03 minēto noteikumu punkts atzīts par spēkā neesošu no 2021.gada 1.janvāra,</w:t>
      </w:r>
      <w:r w:rsidRPr="006D48C2">
        <w:rPr>
          <w:rFonts w:ascii="Times New Roman" w:eastAsia="Calibri" w:hAnsi="Times New Roman" w:cs="Times New Roman"/>
          <w:sz w:val="24"/>
          <w:szCs w:val="24"/>
        </w:rPr>
        <w:t xml:space="preserve"> ciktāl tas nosaka valsts sociālā nodrošinājuma pabalsta apmēru nenodarbinātām personām ar invaliditāti un senioriem</w:t>
      </w:r>
      <w:r w:rsidRPr="006D48C2">
        <w:rPr>
          <w:rFonts w:ascii="Times New Roman" w:eastAsia="Calibri" w:hAnsi="Times New Roman" w:cs="Times New Roman"/>
          <w:sz w:val="24"/>
          <w:szCs w:val="24"/>
          <w:shd w:val="clear" w:color="auto" w:fill="FFFFFF"/>
        </w:rPr>
        <w:t>.</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 xml:space="preserve">Lai arī Satversmes tiesa savā spriedumā lietā </w:t>
      </w:r>
      <w:r w:rsidRPr="006D48C2">
        <w:rPr>
          <w:rFonts w:ascii="Times New Roman" w:eastAsia="Calibri" w:hAnsi="Times New Roman" w:cs="Times New Roman"/>
          <w:sz w:val="24"/>
          <w:szCs w:val="24"/>
        </w:rPr>
        <w:t xml:space="preserve">Nr.2019-27-03 ir atzinusi </w:t>
      </w:r>
      <w:r w:rsidRPr="006D48C2">
        <w:rPr>
          <w:rFonts w:ascii="Times New Roman" w:eastAsia="Calibri" w:hAnsi="Times New Roman" w:cs="Times New Roman"/>
          <w:sz w:val="24"/>
          <w:szCs w:val="24"/>
          <w:lang w:eastAsia="lv-LV"/>
        </w:rPr>
        <w:t>par neatbilstošu Satversmei valsts sociālā nodrošinājuma pabalsta apmēru senioriem un nestrādājošām personām ar invaliditāti, tomēr sekmējot, ka jebkura persona, kuras ienākumi pilnībā vai daļēji ir atkarīgi no valsts sociālā nodrošinājuma pabalsta, saņemtu to tādā apmērā, kas ir atbilstošs reālajai sociālekonomiskajai situācijai valstī, vienlaikus saglabājot tā apmēra samērīgu pret pārējās sabiedrības interesēm un iespējām to nodrošināt, ir nepieciešams veikt valsts sociālā nodrošinājuma pabalsta apmēra pārskatīšanu visām personām, kurām ir uz to tiesības.</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rPr>
        <w:t xml:space="preserve">Plānots valsts sociālā </w:t>
      </w:r>
      <w:r w:rsidRPr="006D48C2">
        <w:rPr>
          <w:rFonts w:ascii="Times New Roman" w:eastAsia="Calibri" w:hAnsi="Times New Roman" w:cs="Times New Roman"/>
          <w:iCs/>
          <w:sz w:val="24"/>
          <w:szCs w:val="24"/>
        </w:rPr>
        <w:t xml:space="preserve">nodrošinājuma pabalsta apmēru noteikt kā procentuālo apmēru no ienākumu mediānas, kas vecuma gadījumā būtu 20% no ienākumu mediānas (109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iCs/>
          <w:sz w:val="24"/>
          <w:szCs w:val="24"/>
        </w:rPr>
        <w:t xml:space="preserve">). </w:t>
      </w:r>
      <w:r w:rsidRPr="006D48C2">
        <w:rPr>
          <w:rFonts w:ascii="Times New Roman" w:eastAsia="Calibri" w:hAnsi="Times New Roman" w:cs="Times New Roman"/>
          <w:sz w:val="24"/>
          <w:szCs w:val="24"/>
        </w:rPr>
        <w:t xml:space="preserve">Tas saistāms ar to, ka ar 2021.gada 1.janvāri plānots GMI slieksni noteikt 20% apmērā no ienākumu mediānas, proti, 109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sz w:val="24"/>
          <w:szCs w:val="24"/>
        </w:rPr>
        <w:t xml:space="preserve"> apmērā. Lai sniegtu solidāru valsts un pašvaldības atbalstu iedzīvotājiem ar zemiem ienākumiem, valsts sniegtajam zemākajam atbalstam jābūt vismaz tādā pašā līmenī, kāds caur GMI pabalstu tiek nodrošināts pašvaldību sociālās palīdzības ietvaros.</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 xml:space="preserve">Tiek prognozēts, ka minētais pasākums attieksies uz 1 677 </w:t>
      </w:r>
      <w:r w:rsidRPr="006D48C2">
        <w:rPr>
          <w:rFonts w:ascii="Times New Roman" w:eastAsia="Calibri" w:hAnsi="Times New Roman" w:cs="Times New Roman"/>
          <w:sz w:val="24"/>
          <w:szCs w:val="24"/>
        </w:rPr>
        <w:t>valsts sociālā</w:t>
      </w:r>
      <w:r w:rsidRPr="006D48C2">
        <w:rPr>
          <w:rFonts w:ascii="Times New Roman" w:eastAsia="Calibri" w:hAnsi="Times New Roman" w:cs="Times New Roman"/>
          <w:sz w:val="24"/>
          <w:szCs w:val="24"/>
          <w:lang w:eastAsia="lv-LV"/>
        </w:rPr>
        <w:t xml:space="preserve"> nodrošinājuma pabalsta saņēmējiem vidēji mēnesī 2021.gadā, 1 698 </w:t>
      </w:r>
      <w:r w:rsidRPr="006D48C2">
        <w:rPr>
          <w:rFonts w:ascii="Times New Roman" w:eastAsia="Calibri" w:hAnsi="Times New Roman" w:cs="Times New Roman"/>
          <w:sz w:val="24"/>
          <w:szCs w:val="24"/>
        </w:rPr>
        <w:t>valsts sociālā</w:t>
      </w:r>
      <w:r w:rsidRPr="006D48C2">
        <w:rPr>
          <w:rFonts w:ascii="Times New Roman" w:eastAsia="Calibri" w:hAnsi="Times New Roman" w:cs="Times New Roman"/>
          <w:sz w:val="24"/>
          <w:szCs w:val="24"/>
          <w:lang w:eastAsia="lv-LV"/>
        </w:rPr>
        <w:t xml:space="preserve"> nodrošinājuma pabalsta saņēmējiem vidēji mēnesī 2022.gadā un 1 718 </w:t>
      </w:r>
      <w:r w:rsidRPr="006D48C2">
        <w:rPr>
          <w:rFonts w:ascii="Times New Roman" w:eastAsia="Calibri" w:hAnsi="Times New Roman" w:cs="Times New Roman"/>
          <w:sz w:val="24"/>
          <w:szCs w:val="24"/>
        </w:rPr>
        <w:t>valsts sociālā</w:t>
      </w:r>
      <w:r w:rsidRPr="006D48C2">
        <w:rPr>
          <w:rFonts w:ascii="Times New Roman" w:eastAsia="Calibri" w:hAnsi="Times New Roman" w:cs="Times New Roman"/>
          <w:sz w:val="24"/>
          <w:szCs w:val="24"/>
          <w:lang w:eastAsia="lv-LV"/>
        </w:rPr>
        <w:t xml:space="preserve"> nodrošinājuma pabalsta saņēmējiem vidēji mēnesī 2023.gadā.</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bookmarkStart w:id="5" w:name="_Hlk50014509"/>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BF7BC0">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BF7BC0">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BF7BC0">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VSNP noteikto vecumu sasniegušajām personām</w:t>
            </w:r>
          </w:p>
        </w:tc>
        <w:tc>
          <w:tcPr>
            <w:tcW w:w="1559" w:type="dxa"/>
            <w:tcBorders>
              <w:top w:val="single" w:sz="4" w:space="0" w:color="auto"/>
              <w:left w:val="nil"/>
              <w:bottom w:val="single" w:sz="4" w:space="0" w:color="auto"/>
              <w:right w:val="single" w:sz="4" w:space="0" w:color="auto"/>
            </w:tcBorders>
            <w:noWrap/>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829 562</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916 309</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BF7BC0">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927 102</w:t>
            </w:r>
          </w:p>
        </w:tc>
      </w:tr>
    </w:tbl>
    <w:bookmarkEnd w:id="5"/>
    <w:p w:rsidR="006D48C2" w:rsidRPr="006D48C2" w:rsidRDefault="006D48C2" w:rsidP="009B481F">
      <w:pPr>
        <w:spacing w:line="256" w:lineRule="auto"/>
        <w:ind w:left="360"/>
        <w:contextualSpacing/>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VSNP saņēmējiem kopā, to sadalījums par personu kategorijām, īpatsvars pielīdzināts budžeta bāzes kontingentam.</w:t>
      </w:r>
    </w:p>
    <w:p w:rsidR="006D48C2" w:rsidRPr="006D48C2" w:rsidRDefault="006D48C2" w:rsidP="006D48C2">
      <w:pPr>
        <w:spacing w:line="256" w:lineRule="auto"/>
        <w:ind w:left="720"/>
        <w:contextualSpacing/>
        <w:jc w:val="both"/>
        <w:rPr>
          <w:rFonts w:ascii="Times New Roman" w:eastAsia="Calibri" w:hAnsi="Times New Roman" w:cs="Times New Roman"/>
          <w:sz w:val="24"/>
          <w:szCs w:val="24"/>
        </w:rPr>
      </w:pPr>
    </w:p>
    <w:p w:rsidR="006D48C2" w:rsidRPr="006D48C2" w:rsidRDefault="006D48C2" w:rsidP="00077C7A">
      <w:pPr>
        <w:numPr>
          <w:ilvl w:val="0"/>
          <w:numId w:val="7"/>
        </w:numPr>
        <w:spacing w:before="120" w:after="120" w:line="240" w:lineRule="auto"/>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Invaliditātes gadījumā</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Saskaņā ar Valsts sociālo pabalstu likuma 13.panta pirmās daļas 2.punktu personām ar invaliditāti (personas, kas vecākas par 18 gadiem), ja tām nav tiesības uz valsts pensiju, t.sk. invaliditātes pensiju, tiek piešķirts valsts sociālā nodrošinājuma pabalsts.</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Saskaņā ar MK noteikumu Nr.1605 2.punktam valsts sociālā nodrošinājuma pabalsta apmērs personām ar invaliditāti ir 80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sz w:val="24"/>
          <w:szCs w:val="24"/>
        </w:rPr>
        <w:t xml:space="preserve"> mēnesī, savukārt personām ar invaliditāti kopš bērnības – 122,69 </w:t>
      </w:r>
      <w:proofErr w:type="spellStart"/>
      <w:r w:rsidRPr="006D48C2">
        <w:rPr>
          <w:rFonts w:ascii="Times New Roman" w:eastAsia="Calibri" w:hAnsi="Times New Roman" w:cs="Times New Roman"/>
          <w:i/>
          <w:iCs/>
          <w:sz w:val="24"/>
          <w:szCs w:val="24"/>
        </w:rPr>
        <w:t>euro</w:t>
      </w:r>
      <w:proofErr w:type="spellEnd"/>
      <w:r w:rsidRPr="006D48C2">
        <w:rPr>
          <w:rFonts w:ascii="Times New Roman" w:eastAsia="Calibri" w:hAnsi="Times New Roman" w:cs="Times New Roman"/>
          <w:sz w:val="24"/>
          <w:szCs w:val="24"/>
        </w:rPr>
        <w:t xml:space="preserve"> mēnesī. Piešķirot valsts sociālā nodrošinājuma pabalstu personām ar I invaliditātes grupu, iepriekš minētajam pabalsta apmēram piemēro koeficientu 1,3, bet, piešķirot minēto pabalstu personām ar II invaliditātes grupu, piemēro koeficientu 1,2.</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Personas ar I invaliditātes grupu (ļoti smaga invaliditāte, darbspēju zudums 80-100%) un personas ar II invaliditātes grupu (smaga invaliditāte, darbspēju zudums 60-79%) savā ikdienā saskaras ar papildu izdevumiem savu vajadzību nodrošināšanā un viņu iespējas iekļauties darba tirgū piemītošo funkcionēšanas ierobežojumu dēļ ir apgrūtinātas. Vēl jo vairāk tas ir jūtams, ja valsts sociālā nodrošinājuma pabalsts ir vienīgais ienākuma avots. Tādēļ atbilstoši Satversmes tiesas spriedumam</w:t>
      </w:r>
      <w:r w:rsidRPr="006D48C2">
        <w:rPr>
          <w:rFonts w:ascii="Times New Roman" w:eastAsia="Calibri" w:hAnsi="Times New Roman" w:cs="Times New Roman"/>
          <w:sz w:val="24"/>
          <w:szCs w:val="24"/>
        </w:rPr>
        <w:t xml:space="preserve"> lietā Nr.2019-27-03 </w:t>
      </w:r>
      <w:r w:rsidRPr="006D48C2">
        <w:rPr>
          <w:rFonts w:ascii="Times New Roman" w:eastAsia="Calibri" w:hAnsi="Times New Roman" w:cs="Times New Roman"/>
          <w:sz w:val="24"/>
          <w:szCs w:val="24"/>
          <w:lang w:eastAsia="lv-LV"/>
        </w:rPr>
        <w:t>nestrādājošām personām ar invaliditāti ir sniedzams lielāks valsts atbalsts.</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lang w:eastAsia="lv-LV"/>
        </w:rPr>
      </w:pPr>
      <w:r w:rsidRPr="006D48C2">
        <w:rPr>
          <w:rFonts w:ascii="Times New Roman" w:eastAsia="Calibri" w:hAnsi="Times New Roman" w:cs="Times New Roman"/>
          <w:sz w:val="24"/>
          <w:szCs w:val="24"/>
          <w:lang w:eastAsia="lv-LV"/>
        </w:rPr>
        <w:t xml:space="preserve">Atbilstoši VSAA sniegtajiem datiem no 3695 personām ar I invaliditātes grupu, kuras 2020.gada janvārī bija VSAA uzskaitē kā valsts sociālā nodrošinājuma pabalsta saņēmējas, 3% bija nodarbinātas, savukārt starp 9539 personām ar II invaliditātes grupu, kuras bija valsts sociālā nodrošinājuma pabalsta saņēmējas, nodarbinātas bija 13% personas.  </w:t>
      </w:r>
    </w:p>
    <w:p w:rsidR="006D48C2" w:rsidRPr="006D48C2" w:rsidRDefault="006D48C2" w:rsidP="00077C7A">
      <w:pPr>
        <w:spacing w:before="120" w:after="120" w:line="240" w:lineRule="auto"/>
        <w:ind w:firstLine="720"/>
        <w:jc w:val="both"/>
        <w:rPr>
          <w:rFonts w:ascii="Times New Roman" w:eastAsia="Calibri" w:hAnsi="Times New Roman" w:cs="Times New Roman"/>
          <w:iCs/>
          <w:sz w:val="24"/>
          <w:szCs w:val="24"/>
        </w:rPr>
      </w:pPr>
      <w:r w:rsidRPr="006D48C2">
        <w:rPr>
          <w:rFonts w:ascii="Times New Roman" w:eastAsia="Calibri" w:hAnsi="Times New Roman" w:cs="Times New Roman"/>
          <w:sz w:val="24"/>
          <w:szCs w:val="24"/>
        </w:rPr>
        <w:t>Līdz ar to plānots valsts sociālā</w:t>
      </w:r>
      <w:r w:rsidRPr="006D48C2">
        <w:rPr>
          <w:rFonts w:ascii="Times New Roman" w:eastAsia="Calibri" w:hAnsi="Times New Roman" w:cs="Times New Roman"/>
          <w:iCs/>
          <w:sz w:val="24"/>
          <w:szCs w:val="24"/>
        </w:rPr>
        <w:t xml:space="preserve"> nodrošinājuma pabalsta apmēru noteikt: </w:t>
      </w:r>
    </w:p>
    <w:p w:rsidR="006D48C2" w:rsidRPr="006D48C2" w:rsidRDefault="006D48C2" w:rsidP="00077C7A">
      <w:pPr>
        <w:numPr>
          <w:ilvl w:val="0"/>
          <w:numId w:val="10"/>
        </w:numPr>
        <w:spacing w:before="120" w:after="120" w:line="240" w:lineRule="auto"/>
        <w:jc w:val="both"/>
        <w:rPr>
          <w:rFonts w:ascii="Times New Roman" w:eastAsia="Calibri" w:hAnsi="Times New Roman" w:cs="Times New Roman"/>
          <w:sz w:val="24"/>
          <w:szCs w:val="24"/>
        </w:rPr>
      </w:pPr>
      <w:r w:rsidRPr="006D48C2">
        <w:rPr>
          <w:rFonts w:ascii="Times New Roman" w:eastAsia="Calibri" w:hAnsi="Times New Roman" w:cs="Times New Roman"/>
          <w:iCs/>
          <w:sz w:val="24"/>
          <w:szCs w:val="24"/>
        </w:rPr>
        <w:t>kā proporcionālu apmēru no ienākumu mediānas</w:t>
      </w:r>
      <w:r w:rsidRPr="006D48C2">
        <w:rPr>
          <w:rFonts w:ascii="Times New Roman" w:eastAsia="Calibri" w:hAnsi="Times New Roman" w:cs="Times New Roman"/>
          <w:sz w:val="24"/>
          <w:szCs w:val="24"/>
        </w:rPr>
        <w:t>:</w:t>
      </w:r>
    </w:p>
    <w:p w:rsidR="006D48C2" w:rsidRPr="006D48C2" w:rsidRDefault="006D48C2" w:rsidP="00077C7A">
      <w:pPr>
        <w:numPr>
          <w:ilvl w:val="0"/>
          <w:numId w:val="8"/>
        </w:numPr>
        <w:spacing w:before="120" w:after="120" w:line="240" w:lineRule="auto"/>
        <w:ind w:left="426" w:firstLine="141"/>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personām ar invaliditāti - 20% apmērā no ienākumu mediānas jeb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077C7A">
      <w:pPr>
        <w:numPr>
          <w:ilvl w:val="0"/>
          <w:numId w:val="8"/>
        </w:numPr>
        <w:spacing w:before="120" w:after="120" w:line="240" w:lineRule="auto"/>
        <w:ind w:left="426" w:firstLine="141"/>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personām ar invaliditāti kopš bērnības 25% apmērā no ienākumu mediānas jeb 136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077C7A">
      <w:pPr>
        <w:numPr>
          <w:ilvl w:val="0"/>
          <w:numId w:val="9"/>
        </w:numPr>
        <w:spacing w:before="120" w:after="120" w:line="240" w:lineRule="auto"/>
        <w:ind w:left="709" w:hanging="283"/>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personām ar I invaliditātes grupu valsts sociālā nodrošinājuma pabalsta aprēķinā piemērot koeficientu 1,4 (līdzšinējo 1,3 vietā), personām ar II invaliditātes grupu – 1,2;</w:t>
      </w:r>
    </w:p>
    <w:p w:rsidR="006D48C2" w:rsidRPr="006D48C2" w:rsidRDefault="006D48C2" w:rsidP="00077C7A">
      <w:pPr>
        <w:numPr>
          <w:ilvl w:val="0"/>
          <w:numId w:val="9"/>
        </w:numPr>
        <w:spacing w:before="120" w:after="120" w:line="240" w:lineRule="auto"/>
        <w:ind w:left="709" w:hanging="284"/>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nenodarbinātām personām ar I un II invaliditātes grupu veikt piemaksu no valsts sociālā nodrošinājuma pabalsta apmēra – personām ar I invaliditātes grupu 30% apmērā no personas ar I invaliditātes grupu valsts sociālā nodrošinājuma pabalsta apmēra, personām ar II invaliditātes grupu 20% apmērā no personas ar II invaliditātes grupu valsts sociālā nodrošinājuma pabalsta apmēra. </w:t>
      </w:r>
      <w:r w:rsidRPr="006D48C2">
        <w:rPr>
          <w:rFonts w:ascii="Times New Roman" w:eastAsia="Calibri" w:hAnsi="Times New Roman" w:cs="Times New Roman"/>
          <w:sz w:val="24"/>
          <w:szCs w:val="24"/>
          <w:lang w:eastAsia="lv-LV"/>
        </w:rPr>
        <w:t xml:space="preserve">Šādas piemaksas apmērs ir veidots, lai sekmētu ienākumu pieaugumu nestrādājošām personām ar I un II invaliditātes grupu, bet tas būtu samērīgs pret tām personām ar invaliditāti, kuras ir strādājušas, maksājušas nodokļus un saņem invaliditātes pensiju, kas ir izrietoša no veiktajām sociālajām iemaksām. Pēc VSAA sniegtajiem datiem 2019.gadā decembrī vidējā piešķirtā pensija ar piemaksu starp personām ar I invaliditātes grupu bija 276,39 </w:t>
      </w:r>
      <w:proofErr w:type="spellStart"/>
      <w:r w:rsidRPr="006D48C2">
        <w:rPr>
          <w:rFonts w:ascii="Times New Roman" w:eastAsia="Calibri" w:hAnsi="Times New Roman" w:cs="Times New Roman"/>
          <w:i/>
          <w:iCs/>
          <w:sz w:val="24"/>
          <w:szCs w:val="24"/>
          <w:lang w:eastAsia="lv-LV"/>
        </w:rPr>
        <w:t>euro</w:t>
      </w:r>
      <w:proofErr w:type="spellEnd"/>
      <w:r w:rsidRPr="006D48C2">
        <w:rPr>
          <w:rFonts w:ascii="Times New Roman" w:eastAsia="Calibri" w:hAnsi="Times New Roman" w:cs="Times New Roman"/>
          <w:sz w:val="24"/>
          <w:szCs w:val="24"/>
          <w:lang w:eastAsia="lv-LV"/>
        </w:rPr>
        <w:t xml:space="preserve">, savukārt personām ar II invaliditātes grupu – 258,04 </w:t>
      </w:r>
      <w:proofErr w:type="spellStart"/>
      <w:r w:rsidRPr="006D48C2">
        <w:rPr>
          <w:rFonts w:ascii="Times New Roman" w:eastAsia="Calibri" w:hAnsi="Times New Roman" w:cs="Times New Roman"/>
          <w:i/>
          <w:iCs/>
          <w:sz w:val="24"/>
          <w:szCs w:val="24"/>
          <w:lang w:eastAsia="lv-LV"/>
        </w:rPr>
        <w:t>euro</w:t>
      </w:r>
      <w:proofErr w:type="spellEnd"/>
      <w:r w:rsidRPr="006D48C2">
        <w:rPr>
          <w:rFonts w:ascii="Times New Roman" w:eastAsia="Calibri" w:hAnsi="Times New Roman" w:cs="Times New Roman"/>
          <w:sz w:val="24"/>
          <w:szCs w:val="24"/>
          <w:lang w:eastAsia="lv-LV"/>
        </w:rPr>
        <w:t xml:space="preserve">. </w:t>
      </w:r>
    </w:p>
    <w:p w:rsidR="006D48C2" w:rsidRPr="006D48C2" w:rsidRDefault="006D48C2" w:rsidP="00077C7A">
      <w:pPr>
        <w:spacing w:before="120" w:after="120" w:line="240" w:lineRule="auto"/>
        <w:jc w:val="both"/>
        <w:rPr>
          <w:rFonts w:ascii="Times New Roman" w:eastAsia="Calibri" w:hAnsi="Times New Roman" w:cs="Times New Roman"/>
          <w:sz w:val="24"/>
          <w:szCs w:val="24"/>
        </w:rPr>
      </w:pPr>
    </w:p>
    <w:p w:rsidR="006D48C2" w:rsidRPr="006D48C2" w:rsidRDefault="006D48C2" w:rsidP="00077C7A">
      <w:pPr>
        <w:spacing w:before="120" w:after="120" w:line="240" w:lineRule="auto"/>
        <w:jc w:val="both"/>
        <w:rPr>
          <w:rFonts w:ascii="Times New Roman" w:hAnsi="Times New Roman" w:cs="Times New Roman"/>
          <w:sz w:val="24"/>
          <w:szCs w:val="24"/>
          <w:lang w:eastAsia="lv-LV"/>
        </w:rPr>
      </w:pPr>
      <w:r w:rsidRPr="006D48C2">
        <w:rPr>
          <w:rFonts w:ascii="Times New Roman" w:eastAsia="Calibri" w:hAnsi="Times New Roman" w:cs="Times New Roman"/>
          <w:sz w:val="24"/>
          <w:szCs w:val="24"/>
        </w:rPr>
        <w:t>Valsts sociālā</w:t>
      </w:r>
      <w:r w:rsidRPr="006D48C2">
        <w:rPr>
          <w:rFonts w:ascii="Times New Roman" w:hAnsi="Times New Roman" w:cs="Times New Roman"/>
          <w:sz w:val="24"/>
          <w:szCs w:val="24"/>
          <w:lang w:eastAsia="lv-LV"/>
        </w:rPr>
        <w:t xml:space="preserve"> nodrošinājuma pabalsta apmēra izmaiņas attiecībā pret 2020.gadu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33"/>
        <w:gridCol w:w="1551"/>
        <w:gridCol w:w="1269"/>
        <w:gridCol w:w="1843"/>
        <w:gridCol w:w="3260"/>
      </w:tblGrid>
      <w:tr w:rsidR="006D48C2" w:rsidRPr="006D48C2" w:rsidTr="00677F27">
        <w:trPr>
          <w:trHeight w:val="177"/>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6D48C2" w:rsidRPr="006D48C2" w:rsidRDefault="006D48C2" w:rsidP="006D48C2">
            <w:pPr>
              <w:spacing w:after="0"/>
              <w:jc w:val="both"/>
              <w:textAlignment w:val="baseline"/>
              <w:rPr>
                <w:rFonts w:ascii="Times New Roman" w:eastAsia="MS PGothic" w:hAnsi="Times New Roman" w:cs="Times New Roman"/>
                <w:kern w:val="24"/>
                <w:sz w:val="20"/>
                <w:szCs w:val="20"/>
                <w:lang w:eastAsia="lv-LV"/>
              </w:rPr>
            </w:pP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eastAsia="MS PGothic" w:hAnsi="Times New Roman" w:cs="Times New Roman"/>
                <w:i/>
                <w:iCs/>
                <w:kern w:val="24"/>
                <w:sz w:val="20"/>
                <w:szCs w:val="20"/>
                <w:lang w:eastAsia="lv-LV"/>
              </w:rPr>
            </w:pPr>
            <w:proofErr w:type="spellStart"/>
            <w:r w:rsidRPr="006D48C2">
              <w:rPr>
                <w:rFonts w:ascii="Times New Roman" w:eastAsia="MS PGothic" w:hAnsi="Times New Roman" w:cs="Times New Roman"/>
                <w:bCs/>
                <w:i/>
                <w:iCs/>
                <w:kern w:val="24"/>
                <w:sz w:val="20"/>
                <w:szCs w:val="20"/>
                <w:lang w:eastAsia="lv-LV"/>
              </w:rPr>
              <w:t>Koef</w:t>
            </w:r>
            <w:proofErr w:type="spellEnd"/>
            <w:r w:rsidRPr="006D48C2">
              <w:rPr>
                <w:rFonts w:ascii="Times New Roman" w:eastAsia="MS PGothic" w:hAnsi="Times New Roman" w:cs="Times New Roman"/>
                <w:bCs/>
                <w:i/>
                <w:iCs/>
                <w:kern w:val="24"/>
                <w:sz w:val="20"/>
                <w:szCs w:val="20"/>
                <w:lang w:eastAsia="lv-LV"/>
              </w:rPr>
              <w:t>.</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eastAsia="MS PGothic" w:hAnsi="Times New Roman" w:cs="Times New Roman"/>
                <w:iCs/>
                <w:kern w:val="24"/>
                <w:sz w:val="20"/>
                <w:szCs w:val="20"/>
                <w:lang w:eastAsia="lv-LV"/>
              </w:rPr>
            </w:pPr>
            <w:r w:rsidRPr="006D48C2">
              <w:rPr>
                <w:rFonts w:ascii="Times New Roman" w:eastAsia="MS PGothic" w:hAnsi="Times New Roman" w:cs="Times New Roman"/>
                <w:bCs/>
                <w:iCs/>
                <w:kern w:val="24"/>
                <w:sz w:val="20"/>
                <w:szCs w:val="20"/>
                <w:lang w:eastAsia="lv-LV"/>
              </w:rPr>
              <w:t>Esošais apmērs</w:t>
            </w:r>
          </w:p>
        </w:tc>
        <w:tc>
          <w:tcPr>
            <w:tcW w:w="18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eastAsia="MS PGothic" w:hAnsi="Times New Roman" w:cs="Times New Roman"/>
                <w:bCs/>
                <w:kern w:val="24"/>
                <w:sz w:val="20"/>
                <w:szCs w:val="20"/>
                <w:lang w:eastAsia="lv-LV"/>
              </w:rPr>
            </w:pPr>
            <w:r w:rsidRPr="006D48C2">
              <w:rPr>
                <w:rFonts w:ascii="Times New Roman" w:eastAsia="MS PGothic" w:hAnsi="Times New Roman" w:cs="Times New Roman"/>
                <w:bCs/>
                <w:kern w:val="24"/>
                <w:sz w:val="20"/>
                <w:szCs w:val="20"/>
                <w:lang w:eastAsia="lv-LV"/>
              </w:rPr>
              <w:t>Plānotais apmērs strādājošiem</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eastAsia="MS PGothic" w:hAnsi="Times New Roman" w:cs="Times New Roman"/>
                <w:bCs/>
                <w:kern w:val="24"/>
                <w:sz w:val="20"/>
                <w:szCs w:val="20"/>
                <w:lang w:eastAsia="lv-LV"/>
              </w:rPr>
            </w:pPr>
            <w:r w:rsidRPr="006D48C2">
              <w:rPr>
                <w:rFonts w:ascii="Times New Roman" w:eastAsia="MS PGothic" w:hAnsi="Times New Roman" w:cs="Times New Roman"/>
                <w:bCs/>
                <w:kern w:val="24"/>
                <w:sz w:val="20"/>
                <w:szCs w:val="20"/>
                <w:lang w:eastAsia="lv-LV"/>
              </w:rPr>
              <w:t>Plānotais apmērs nestrādājošiem (+30% piemaksa I gr., +20% II gr.)</w:t>
            </w:r>
          </w:p>
        </w:tc>
      </w:tr>
      <w:tr w:rsidR="006D48C2" w:rsidRPr="006D48C2" w:rsidTr="00677F27">
        <w:trPr>
          <w:trHeight w:val="239"/>
        </w:trPr>
        <w:tc>
          <w:tcPr>
            <w:tcW w:w="935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iCs/>
                <w:kern w:val="24"/>
                <w:sz w:val="20"/>
                <w:szCs w:val="20"/>
                <w:lang w:eastAsia="lv-LV"/>
              </w:rPr>
              <w:t>Personas ar invaliditāti</w:t>
            </w:r>
          </w:p>
        </w:tc>
      </w:tr>
      <w:tr w:rsidR="006D48C2" w:rsidRPr="006D48C2" w:rsidTr="00677F27">
        <w:trPr>
          <w:trHeight w:val="515"/>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eastAsia="lv-LV"/>
              </w:rPr>
              <w:t>I grupa</w:t>
            </w: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1,3 (2020.g.) 1,4 (ar 2021.g)</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Cs/>
                <w:kern w:val="24"/>
                <w:sz w:val="20"/>
                <w:szCs w:val="20"/>
                <w:lang w:eastAsia="lv-LV"/>
              </w:rPr>
              <w:t>104</w:t>
            </w:r>
          </w:p>
        </w:tc>
        <w:tc>
          <w:tcPr>
            <w:tcW w:w="18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152,60 </w:t>
            </w:r>
            <w:r w:rsidRPr="006D48C2">
              <w:rPr>
                <w:rFonts w:ascii="Times New Roman" w:eastAsia="MS PGothic" w:hAnsi="Times New Roman" w:cs="Times New Roman"/>
                <w:i/>
                <w:iCs/>
                <w:kern w:val="24"/>
                <w:sz w:val="20"/>
                <w:szCs w:val="20"/>
                <w:lang w:eastAsia="lv-LV"/>
              </w:rPr>
              <w:t>(+48,60)</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198,38 </w:t>
            </w:r>
            <w:r w:rsidRPr="006D48C2">
              <w:rPr>
                <w:rFonts w:ascii="Times New Roman" w:eastAsia="MS PGothic" w:hAnsi="Times New Roman" w:cs="Times New Roman"/>
                <w:i/>
                <w:iCs/>
                <w:kern w:val="24"/>
                <w:sz w:val="20"/>
                <w:szCs w:val="20"/>
                <w:lang w:eastAsia="lv-LV"/>
              </w:rPr>
              <w:t>(+94,38)</w:t>
            </w:r>
          </w:p>
        </w:tc>
      </w:tr>
      <w:tr w:rsidR="006D48C2" w:rsidRPr="006D48C2" w:rsidTr="00677F27">
        <w:trPr>
          <w:trHeight w:val="391"/>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eastAsia="lv-LV"/>
              </w:rPr>
              <w:t>II grupa</w:t>
            </w: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1,2</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Cs/>
                <w:kern w:val="24"/>
                <w:sz w:val="20"/>
                <w:szCs w:val="20"/>
                <w:lang w:eastAsia="lv-LV"/>
              </w:rPr>
              <w:t>96</w:t>
            </w:r>
          </w:p>
        </w:tc>
        <w:tc>
          <w:tcPr>
            <w:tcW w:w="18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130,80  </w:t>
            </w:r>
            <w:r w:rsidRPr="006D48C2">
              <w:rPr>
                <w:rFonts w:ascii="Times New Roman" w:eastAsia="MS PGothic" w:hAnsi="Times New Roman" w:cs="Times New Roman"/>
                <w:i/>
                <w:iCs/>
                <w:kern w:val="24"/>
                <w:sz w:val="20"/>
                <w:szCs w:val="20"/>
                <w:lang w:eastAsia="lv-LV"/>
              </w:rPr>
              <w:t>(+34,80)</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156,96  </w:t>
            </w:r>
            <w:r w:rsidRPr="006D48C2">
              <w:rPr>
                <w:rFonts w:ascii="Times New Roman" w:eastAsia="MS PGothic" w:hAnsi="Times New Roman" w:cs="Times New Roman"/>
                <w:i/>
                <w:iCs/>
                <w:kern w:val="24"/>
                <w:sz w:val="20"/>
                <w:szCs w:val="20"/>
                <w:lang w:eastAsia="lv-LV"/>
              </w:rPr>
              <w:t>(+60,96)</w:t>
            </w:r>
          </w:p>
        </w:tc>
      </w:tr>
      <w:tr w:rsidR="006D48C2" w:rsidRPr="006D48C2" w:rsidTr="00677F27">
        <w:trPr>
          <w:trHeight w:val="415"/>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eastAsia="lv-LV"/>
              </w:rPr>
              <w:t>III grupa</w:t>
            </w: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Bāze</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Cs/>
                <w:kern w:val="24"/>
                <w:sz w:val="20"/>
                <w:szCs w:val="20"/>
                <w:lang w:eastAsia="lv-LV"/>
              </w:rPr>
              <w:t>80</w:t>
            </w:r>
          </w:p>
        </w:tc>
        <w:tc>
          <w:tcPr>
            <w:tcW w:w="510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109 </w:t>
            </w:r>
            <w:r w:rsidRPr="006D48C2">
              <w:rPr>
                <w:rFonts w:ascii="Times New Roman" w:eastAsia="MS PGothic" w:hAnsi="Times New Roman" w:cs="Times New Roman"/>
                <w:bCs/>
                <w:kern w:val="24"/>
                <w:sz w:val="20"/>
                <w:szCs w:val="20"/>
                <w:lang w:eastAsia="lv-LV"/>
              </w:rPr>
              <w:t>(20% no ienākumu mediānas</w:t>
            </w:r>
            <w:r w:rsidRPr="006D48C2">
              <w:rPr>
                <w:rFonts w:ascii="Times New Roman" w:eastAsia="MS PGothic" w:hAnsi="Times New Roman" w:cs="Times New Roman"/>
                <w:b/>
                <w:bCs/>
                <w:kern w:val="24"/>
                <w:sz w:val="20"/>
                <w:szCs w:val="20"/>
                <w:lang w:eastAsia="lv-LV"/>
              </w:rPr>
              <w:t xml:space="preserve">) </w:t>
            </w:r>
            <w:r w:rsidRPr="006D48C2">
              <w:rPr>
                <w:rFonts w:ascii="Times New Roman" w:eastAsia="MS PGothic" w:hAnsi="Times New Roman" w:cs="Times New Roman"/>
                <w:i/>
                <w:iCs/>
                <w:kern w:val="24"/>
                <w:sz w:val="20"/>
                <w:szCs w:val="20"/>
                <w:lang w:eastAsia="lv-LV"/>
              </w:rPr>
              <w:t>(+29)</w:t>
            </w:r>
          </w:p>
        </w:tc>
      </w:tr>
      <w:tr w:rsidR="006D48C2" w:rsidRPr="006D48C2" w:rsidTr="00677F27">
        <w:trPr>
          <w:trHeight w:val="177"/>
        </w:trPr>
        <w:tc>
          <w:tcPr>
            <w:tcW w:w="9356"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eastAsia="MS PGothic" w:hAnsi="Times New Roman" w:cs="Times New Roman"/>
                <w:b/>
                <w:bCs/>
                <w:kern w:val="24"/>
                <w:sz w:val="20"/>
                <w:szCs w:val="20"/>
                <w:lang w:eastAsia="lv-LV"/>
              </w:rPr>
            </w:pPr>
            <w:r w:rsidRPr="006D48C2">
              <w:rPr>
                <w:rFonts w:ascii="Times New Roman" w:eastAsia="MS PGothic" w:hAnsi="Times New Roman" w:cs="Times New Roman"/>
                <w:b/>
                <w:bCs/>
                <w:iCs/>
                <w:kern w:val="24"/>
                <w:sz w:val="20"/>
                <w:szCs w:val="20"/>
                <w:lang w:eastAsia="lv-LV"/>
              </w:rPr>
              <w:t>Personas ar invaliditāti kopš bērnības</w:t>
            </w:r>
          </w:p>
        </w:tc>
      </w:tr>
      <w:tr w:rsidR="006D48C2" w:rsidRPr="006D48C2" w:rsidTr="00677F27">
        <w:trPr>
          <w:trHeight w:val="177"/>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eastAsia="lv-LV"/>
              </w:rPr>
              <w:t>I grupa</w:t>
            </w: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1,3 (2020.g), 1,4 (ar 2021.g)</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Cs/>
                <w:kern w:val="24"/>
                <w:sz w:val="20"/>
                <w:szCs w:val="20"/>
                <w:lang w:eastAsia="lv-LV"/>
              </w:rPr>
              <w:t>159,50</w:t>
            </w:r>
          </w:p>
        </w:tc>
        <w:tc>
          <w:tcPr>
            <w:tcW w:w="18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190,40 </w:t>
            </w:r>
            <w:r w:rsidRPr="006D48C2">
              <w:rPr>
                <w:rFonts w:ascii="Times New Roman" w:eastAsia="MS PGothic" w:hAnsi="Times New Roman" w:cs="Times New Roman"/>
                <w:i/>
                <w:iCs/>
                <w:kern w:val="24"/>
                <w:sz w:val="20"/>
                <w:szCs w:val="20"/>
                <w:lang w:eastAsia="lv-LV"/>
              </w:rPr>
              <w:t>(+30,90)</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247,52 </w:t>
            </w:r>
            <w:r w:rsidRPr="006D48C2">
              <w:rPr>
                <w:rFonts w:ascii="Times New Roman" w:eastAsia="MS PGothic" w:hAnsi="Times New Roman" w:cs="Times New Roman"/>
                <w:i/>
                <w:iCs/>
                <w:kern w:val="24"/>
                <w:sz w:val="20"/>
                <w:szCs w:val="20"/>
                <w:lang w:eastAsia="lv-LV"/>
              </w:rPr>
              <w:t>(+88,02)</w:t>
            </w:r>
          </w:p>
        </w:tc>
      </w:tr>
      <w:tr w:rsidR="006D48C2" w:rsidRPr="006D48C2" w:rsidTr="00677F27">
        <w:trPr>
          <w:trHeight w:val="387"/>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eastAsia="lv-LV"/>
              </w:rPr>
              <w:t>II grupa</w:t>
            </w: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1,2</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Cs/>
                <w:kern w:val="24"/>
                <w:sz w:val="20"/>
                <w:szCs w:val="20"/>
                <w:lang w:eastAsia="lv-LV"/>
              </w:rPr>
              <w:t>147,23</w:t>
            </w:r>
          </w:p>
        </w:tc>
        <w:tc>
          <w:tcPr>
            <w:tcW w:w="18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163,20 </w:t>
            </w:r>
            <w:r w:rsidRPr="006D48C2">
              <w:rPr>
                <w:rFonts w:ascii="Times New Roman" w:eastAsia="MS PGothic" w:hAnsi="Times New Roman" w:cs="Times New Roman"/>
                <w:i/>
                <w:iCs/>
                <w:kern w:val="24"/>
                <w:sz w:val="20"/>
                <w:szCs w:val="20"/>
                <w:lang w:eastAsia="lv-LV"/>
              </w:rPr>
              <w:t>(+15,97)</w:t>
            </w:r>
          </w:p>
        </w:tc>
        <w:tc>
          <w:tcPr>
            <w:tcW w:w="3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195,84 </w:t>
            </w:r>
            <w:r w:rsidRPr="006D48C2">
              <w:rPr>
                <w:rFonts w:ascii="Times New Roman" w:eastAsia="MS PGothic" w:hAnsi="Times New Roman" w:cs="Times New Roman"/>
                <w:i/>
                <w:iCs/>
                <w:kern w:val="24"/>
                <w:sz w:val="20"/>
                <w:szCs w:val="20"/>
                <w:lang w:eastAsia="lv-LV"/>
              </w:rPr>
              <w:t>(+48,61)</w:t>
            </w:r>
          </w:p>
        </w:tc>
      </w:tr>
      <w:tr w:rsidR="006D48C2" w:rsidRPr="006D48C2" w:rsidTr="00677F27">
        <w:trPr>
          <w:trHeight w:val="423"/>
        </w:trPr>
        <w:tc>
          <w:tcPr>
            <w:tcW w:w="14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eastAsia="lv-LV"/>
              </w:rPr>
              <w:t>III grupa</w:t>
            </w:r>
          </w:p>
        </w:tc>
        <w:tc>
          <w:tcPr>
            <w:tcW w:w="15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Bāze</w:t>
            </w:r>
          </w:p>
        </w:tc>
        <w:tc>
          <w:tcPr>
            <w:tcW w:w="12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Cs/>
                <w:kern w:val="24"/>
                <w:sz w:val="20"/>
                <w:szCs w:val="20"/>
                <w:lang w:eastAsia="lv-LV"/>
              </w:rPr>
              <w:t>122,69</w:t>
            </w:r>
          </w:p>
        </w:tc>
        <w:tc>
          <w:tcPr>
            <w:tcW w:w="510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eastAsia="lv-LV"/>
              </w:rPr>
              <w:t xml:space="preserve">136 </w:t>
            </w:r>
            <w:r w:rsidRPr="006D48C2">
              <w:rPr>
                <w:rFonts w:ascii="Times New Roman" w:eastAsia="MS PGothic" w:hAnsi="Times New Roman" w:cs="Times New Roman"/>
                <w:bCs/>
                <w:kern w:val="24"/>
                <w:sz w:val="20"/>
                <w:szCs w:val="20"/>
                <w:lang w:eastAsia="lv-LV"/>
              </w:rPr>
              <w:t xml:space="preserve">(25% no ienākumu mediānas) </w:t>
            </w:r>
            <w:r w:rsidRPr="006D48C2">
              <w:rPr>
                <w:rFonts w:ascii="Times New Roman" w:eastAsia="MS PGothic" w:hAnsi="Times New Roman" w:cs="Times New Roman"/>
                <w:i/>
                <w:iCs/>
                <w:kern w:val="24"/>
                <w:sz w:val="20"/>
                <w:szCs w:val="20"/>
                <w:lang w:eastAsia="lv-LV"/>
              </w:rPr>
              <w:t>(+13,31)</w:t>
            </w:r>
          </w:p>
        </w:tc>
      </w:tr>
    </w:tbl>
    <w:p w:rsidR="006D48C2" w:rsidRPr="006D48C2" w:rsidRDefault="006D48C2" w:rsidP="00BF7BC0">
      <w:pPr>
        <w:spacing w:before="120" w:after="120" w:line="240" w:lineRule="auto"/>
        <w:ind w:firstLine="426"/>
        <w:jc w:val="both"/>
        <w:rPr>
          <w:rFonts w:ascii="Times New Roman" w:hAnsi="Times New Roman" w:cs="Times New Roman"/>
          <w:sz w:val="24"/>
          <w:szCs w:val="24"/>
          <w:highlight w:val="yellow"/>
          <w:lang w:eastAsia="lv-LV"/>
        </w:rPr>
      </w:pPr>
    </w:p>
    <w:p w:rsidR="006D48C2" w:rsidRPr="006D48C2" w:rsidRDefault="006D48C2" w:rsidP="00BF7BC0">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Tiek prognozēts, ka minētais pasākums attieksies uz 18 248 valsts sociālā nodrošinājuma pabalsta saņēmējiem ar invaliditāti vidēji mēnesī 2021.gadā, 18 466 valsts sociālā nodrošinājuma pabalsta saņēmējiem ar invaliditāti vidēji mēnesī 2022.gadā un 18 679 valsts sociālā nodrošinājuma pabalsta saņēmējiem ar invaliditāti vidēji mēnesī 2023.gadā.</w:t>
      </w:r>
    </w:p>
    <w:p w:rsidR="006D48C2" w:rsidRPr="006D48C2" w:rsidRDefault="006D48C2" w:rsidP="00BF7BC0">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Lai nodrošinātu valsts sociālā nodrošinājuma pabalsta izmaksu jaunajā apmērā un veiktu valsts sociālā nodrošinājuma pabalsta izmaksas kārtības maiņu no kārtējā uz iepriekšējo mēnesi, tādējādi korekti fiksējot nodarbinātības/</w:t>
      </w:r>
      <w:proofErr w:type="spellStart"/>
      <w:r w:rsidRPr="006D48C2">
        <w:rPr>
          <w:rFonts w:ascii="Times New Roman" w:hAnsi="Times New Roman" w:cs="Times New Roman"/>
          <w:sz w:val="24"/>
          <w:szCs w:val="24"/>
          <w:lang w:eastAsia="lv-LV"/>
        </w:rPr>
        <w:t>nenodarbinātības</w:t>
      </w:r>
      <w:proofErr w:type="spellEnd"/>
      <w:r w:rsidRPr="006D48C2">
        <w:rPr>
          <w:rFonts w:ascii="Times New Roman" w:hAnsi="Times New Roman" w:cs="Times New Roman"/>
          <w:sz w:val="24"/>
          <w:szCs w:val="24"/>
          <w:lang w:eastAsia="lv-LV"/>
        </w:rPr>
        <w:t xml:space="preserve"> faktu personām ar invaliditāti, VSAA ir nepieciešams veikt izmaiņas informāciju sistēmā, kas vidēji prasa piecus mēnešu.</w:t>
      </w:r>
      <w:r w:rsidRPr="006D48C2">
        <w:rPr>
          <w:rFonts w:ascii="Times New Roman" w:eastAsia="Calibri" w:hAnsi="Times New Roman" w:cs="Times New Roman"/>
          <w:sz w:val="24"/>
          <w:szCs w:val="24"/>
        </w:rPr>
        <w:t xml:space="preserve">  </w:t>
      </w:r>
      <w:r w:rsidRPr="006D48C2">
        <w:rPr>
          <w:rFonts w:ascii="Times New Roman" w:hAnsi="Times New Roman" w:cs="Times New Roman"/>
          <w:sz w:val="24"/>
          <w:szCs w:val="24"/>
          <w:lang w:eastAsia="lv-LV"/>
        </w:rPr>
        <w:t xml:space="preserve">Līdz 2021.gada 30.aprīlim valsts sociālā nodrošinājuma pabalsta izmaksa tiktu nodrošināta tādā apmērā, kā to noteica normatīvais regulējums līdz 2020.gada 31.decembrim, saglabājot esošo izmaksas kārtību. Savukārt valsts sociālā nodrošinājuma pabalsta pārrēķins un pabalsta starpības izmaksa par periodu no 2021.gada 1.janvāra līdz 30.aprīlim VSAA būtu nepieciešams nodrošināt līdz 2021.gada 1.jūnijam. </w:t>
      </w:r>
      <w:r w:rsidRPr="006D48C2">
        <w:rPr>
          <w:rFonts w:ascii="Times New Roman" w:eastAsia="Calibri" w:hAnsi="Times New Roman" w:cs="Times New Roman"/>
          <w:sz w:val="24"/>
          <w:szCs w:val="24"/>
        </w:rPr>
        <w:t xml:space="preserve">Valsts sociālā nodrošinājuma pabalsta izmaksu par iepriekšējo mēnesi plānots uzsākt ar 2021.gada maiju, t.i., izmaksa par maiju tiktu nodrošināta jūnija mēnesī, par jūnija mēnesi jūlija mēnesī utt.. </w:t>
      </w:r>
    </w:p>
    <w:p w:rsidR="006D48C2" w:rsidRPr="006D48C2" w:rsidRDefault="006D48C2" w:rsidP="00BF7BC0">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Lai neveidotos situācija, ka 2021.gada maijā, saņemot tikai pārrēķināto valsts sociālā nodrošinājuma pabalsta starpību par periodu no 2021.gada 1.janvāra līdz 30.aprīlim, daļai no valsts sociālā nodrošinājuma pabalsta saņēmējiem ienākumi ir zemāki kā aprīlī aprēķinātais valsts sociālā nodrošinājuma pabalsta apmērs, ir nepieciešams nodrošināt vienreizēju piemaksu, lai sasniegtu personai 2021.gada aprīlī piešķirtā valsts sociālā nodrošinājuma pabalsta apmēru, tādējādi nepasliktinot personas ienākumu situāciju attiecībā pret aprīļa mēnesi.</w:t>
      </w:r>
    </w:p>
    <w:p w:rsidR="006D48C2" w:rsidRPr="006D48C2" w:rsidRDefault="006D48C2" w:rsidP="00BF7BC0">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Vienreizējās piemaksas nodrošināšanai 2021.gada maijā indikatīvi būs nepieciešami </w:t>
      </w:r>
      <w:r w:rsidRPr="006D48C2">
        <w:rPr>
          <w:rFonts w:ascii="Times New Roman" w:hAnsi="Times New Roman" w:cs="Times New Roman"/>
          <w:sz w:val="24"/>
          <w:szCs w:val="24"/>
          <w:lang w:eastAsia="lv-LV"/>
        </w:rPr>
        <w:t xml:space="preserve">466 132 </w:t>
      </w:r>
      <w:proofErr w:type="spellStart"/>
      <w:r w:rsidRPr="006D48C2">
        <w:rPr>
          <w:rFonts w:ascii="Times New Roman" w:hAnsi="Times New Roman" w:cs="Times New Roman"/>
          <w:i/>
          <w:sz w:val="24"/>
          <w:szCs w:val="24"/>
          <w:lang w:eastAsia="lv-LV"/>
        </w:rPr>
        <w:t>euro</w:t>
      </w:r>
      <w:proofErr w:type="spellEnd"/>
      <w:r w:rsidRPr="006D48C2">
        <w:rPr>
          <w:rFonts w:ascii="Times New Roman" w:hAnsi="Times New Roman" w:cs="Times New Roman"/>
          <w:sz w:val="24"/>
          <w:szCs w:val="24"/>
          <w:lang w:eastAsia="lv-LV"/>
        </w:rPr>
        <w:t>, pieņemot, ka persona ar  I un II invaliditātes grupu visu mēnesi vai nu strādā vai nestrādā. Līdz ar to vienreizējā piemaksa indikatīvi būs jānodrošina nestrādājošām personām ar  II invaliditātes grupu kopš bērnības, personām ar III invaliditātes grupu kopš bērnības, strādājošām personām ar I un II invaliditātes grupu kopš bērnības, kā arī tiem bērniem līdz 6 gadu vecumam ar invaliditāti, kuri ir valsts sociālā nodrošinājuma pabalsta apgādnieka zaudējuma gadījumā saņēmēji un kuriem vecais normatīvais regulējums paredzēja valsts sociālā nodrošinājuma pabalsta apmēru 106,72</w:t>
      </w:r>
      <w:r w:rsidRPr="006D48C2">
        <w:rPr>
          <w:rFonts w:ascii="Times New Roman" w:hAnsi="Times New Roman" w:cs="Times New Roman"/>
          <w:i/>
          <w:sz w:val="24"/>
          <w:szCs w:val="24"/>
          <w:lang w:eastAsia="lv-LV"/>
        </w:rPr>
        <w:t xml:space="preserve"> </w:t>
      </w:r>
      <w:proofErr w:type="spellStart"/>
      <w:r w:rsidRPr="006D48C2">
        <w:rPr>
          <w:rFonts w:ascii="Times New Roman" w:hAnsi="Times New Roman" w:cs="Times New Roman"/>
          <w:i/>
          <w:sz w:val="24"/>
          <w:szCs w:val="24"/>
          <w:lang w:eastAsia="lv-LV"/>
        </w:rPr>
        <w:t>euro</w:t>
      </w:r>
      <w:proofErr w:type="spellEnd"/>
      <w:r w:rsidRPr="006D48C2">
        <w:rPr>
          <w:rFonts w:ascii="Times New Roman" w:hAnsi="Times New Roman" w:cs="Times New Roman"/>
          <w:sz w:val="24"/>
          <w:szCs w:val="24"/>
          <w:lang w:eastAsia="lv-LV"/>
        </w:rPr>
        <w:t xml:space="preserve"> apmērā. </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noWrap/>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VSNP personām ar invaliditāti</w:t>
            </w:r>
          </w:p>
        </w:tc>
        <w:tc>
          <w:tcPr>
            <w:tcW w:w="1559" w:type="dxa"/>
            <w:tcBorders>
              <w:top w:val="single" w:sz="4" w:space="0" w:color="auto"/>
              <w:left w:val="nil"/>
              <w:bottom w:val="single" w:sz="4" w:space="0" w:color="auto"/>
              <w:right w:val="single" w:sz="4" w:space="0" w:color="auto"/>
            </w:tcBorders>
            <w:noWrap/>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8 899 910</w:t>
            </w:r>
          </w:p>
        </w:tc>
        <w:tc>
          <w:tcPr>
            <w:tcW w:w="1701" w:type="dxa"/>
            <w:tcBorders>
              <w:top w:val="single" w:sz="4" w:space="0" w:color="auto"/>
              <w:left w:val="nil"/>
              <w:bottom w:val="single" w:sz="4" w:space="0" w:color="auto"/>
              <w:right w:val="single" w:sz="4" w:space="0" w:color="auto"/>
            </w:tcBorders>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9 824 718</w:t>
            </w:r>
          </w:p>
        </w:tc>
        <w:tc>
          <w:tcPr>
            <w:tcW w:w="1701" w:type="dxa"/>
            <w:tcBorders>
              <w:top w:val="single" w:sz="4" w:space="0" w:color="auto"/>
              <w:left w:val="nil"/>
              <w:bottom w:val="single" w:sz="4" w:space="0" w:color="auto"/>
              <w:right w:val="single" w:sz="4" w:space="0" w:color="auto"/>
            </w:tcBorders>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9 937 960</w:t>
            </w:r>
          </w:p>
        </w:tc>
      </w:tr>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noWrap/>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hAnsi="Times New Roman" w:cs="Times New Roman"/>
                <w:color w:val="000000"/>
                <w:sz w:val="20"/>
                <w:szCs w:val="20"/>
                <w:lang w:eastAsia="lv-LV"/>
              </w:rPr>
              <w:t>Vienreizējās piemaksas nodrošināšana 2021.gada maijā</w:t>
            </w:r>
          </w:p>
        </w:tc>
        <w:tc>
          <w:tcPr>
            <w:tcW w:w="1559" w:type="dxa"/>
            <w:tcBorders>
              <w:top w:val="single" w:sz="4" w:space="0" w:color="auto"/>
              <w:left w:val="nil"/>
              <w:bottom w:val="single" w:sz="4" w:space="0" w:color="auto"/>
              <w:right w:val="single" w:sz="4" w:space="0" w:color="auto"/>
            </w:tcBorders>
            <w:noWrap/>
            <w:vAlign w:val="center"/>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466 132</w:t>
            </w:r>
          </w:p>
        </w:tc>
        <w:tc>
          <w:tcPr>
            <w:tcW w:w="1701" w:type="dxa"/>
            <w:tcBorders>
              <w:top w:val="single" w:sz="4" w:space="0" w:color="auto"/>
              <w:left w:val="nil"/>
              <w:bottom w:val="single" w:sz="4" w:space="0" w:color="auto"/>
              <w:right w:val="single" w:sz="4" w:space="0" w:color="auto"/>
            </w:tcBorders>
          </w:tcPr>
          <w:p w:rsidR="006D48C2" w:rsidRPr="006D48C2" w:rsidRDefault="006D48C2" w:rsidP="00A81F17">
            <w:pPr>
              <w:spacing w:after="0"/>
              <w:jc w:val="center"/>
              <w:rPr>
                <w:rFonts w:ascii="Times New Roman" w:eastAsia="Calibri" w:hAnsi="Times New Roman" w:cs="Times New Roman"/>
                <w:sz w:val="20"/>
                <w:szCs w:val="20"/>
                <w:highlight w:val="yellow"/>
              </w:rPr>
            </w:pPr>
          </w:p>
        </w:tc>
        <w:tc>
          <w:tcPr>
            <w:tcW w:w="1701" w:type="dxa"/>
            <w:tcBorders>
              <w:top w:val="single" w:sz="4" w:space="0" w:color="auto"/>
              <w:left w:val="nil"/>
              <w:bottom w:val="single" w:sz="4" w:space="0" w:color="auto"/>
              <w:right w:val="single" w:sz="4" w:space="0" w:color="auto"/>
            </w:tcBorders>
          </w:tcPr>
          <w:p w:rsidR="006D48C2" w:rsidRPr="006D48C2" w:rsidRDefault="006D48C2" w:rsidP="00A81F17">
            <w:pPr>
              <w:spacing w:after="0"/>
              <w:jc w:val="center"/>
              <w:rPr>
                <w:rFonts w:ascii="Times New Roman" w:eastAsia="Calibri" w:hAnsi="Times New Roman" w:cs="Times New Roman"/>
                <w:sz w:val="20"/>
                <w:szCs w:val="20"/>
                <w:highlight w:val="yellow"/>
              </w:rPr>
            </w:pPr>
          </w:p>
        </w:tc>
      </w:tr>
    </w:tbl>
    <w:p w:rsidR="006D48C2" w:rsidRPr="006D48C2" w:rsidRDefault="006D48C2" w:rsidP="0016077B">
      <w:pPr>
        <w:spacing w:line="256" w:lineRule="auto"/>
        <w:contextualSpacing/>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VSNP saņēmējiem kopā, to sadalījums pēc personu kategorijām, īpatsvars pielīdzināts budžeta bāzes kontingentam.</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z w:val="24"/>
          <w:szCs w:val="24"/>
        </w:rPr>
        <w:t xml:space="preserve">Lai ieviestu minētās izmaiņas, nepieciešams veikt grozījumus </w:t>
      </w:r>
      <w:r w:rsidRPr="006D48C2">
        <w:rPr>
          <w:rFonts w:ascii="Times New Roman" w:eastAsia="Calibri" w:hAnsi="Times New Roman" w:cs="Times New Roman"/>
          <w:sz w:val="24"/>
          <w:szCs w:val="24"/>
        </w:rPr>
        <w:t>Valsts sociālo pabalstu likumā.</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Ar valsts sociālā nodrošinājuma pabalsta un pensiju apmēru pārskatīšanu saistītie pakalpojumi</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Saistībā ar Satversmes tiesas sprieduma lietā Nr.2019-27-03 izpildi tiek plānots noteikt atšķirīgus valsts sociālā nodrošinājuma pabalsta apmērus Valsts sociālo pabalstu likuma 13.panta pirmajā daļā minētajām personu grupām. Līdz ar to nepieciešams veikt izmaiņas tiesību aktos, kuros būtu noteikts kāds tieši valsts sociālā nodrošinājuma pabalsta apmērs jāpiemēro konkrētā situācijā.</w:t>
      </w:r>
    </w:p>
    <w:p w:rsidR="006D48C2" w:rsidRPr="006D48C2" w:rsidRDefault="006D48C2" w:rsidP="00077C7A">
      <w:pPr>
        <w:spacing w:before="120" w:after="120" w:line="240" w:lineRule="auto"/>
        <w:jc w:val="both"/>
        <w:rPr>
          <w:rFonts w:ascii="Times New Roman" w:hAnsi="Times New Roman" w:cs="Times New Roman"/>
          <w:b/>
          <w:bCs/>
          <w:iCs/>
          <w:sz w:val="24"/>
          <w:szCs w:val="24"/>
        </w:rPr>
      </w:pPr>
      <w:r w:rsidRPr="006D48C2">
        <w:rPr>
          <w:rFonts w:ascii="Times New Roman" w:hAnsi="Times New Roman" w:cs="Times New Roman"/>
          <w:b/>
          <w:bCs/>
          <w:iCs/>
          <w:sz w:val="24"/>
          <w:szCs w:val="24"/>
        </w:rPr>
        <w:t xml:space="preserve">• Valsts sociālās aprūpes centru un </w:t>
      </w:r>
      <w:proofErr w:type="spellStart"/>
      <w:r w:rsidRPr="006D48C2">
        <w:rPr>
          <w:rFonts w:ascii="Times New Roman" w:hAnsi="Times New Roman" w:cs="Times New Roman"/>
          <w:b/>
          <w:bCs/>
          <w:iCs/>
          <w:sz w:val="24"/>
          <w:szCs w:val="24"/>
        </w:rPr>
        <w:t>līguminstitūciju</w:t>
      </w:r>
      <w:proofErr w:type="spellEnd"/>
      <w:r w:rsidRPr="006D48C2">
        <w:rPr>
          <w:rFonts w:ascii="Times New Roman" w:hAnsi="Times New Roman" w:cs="Times New Roman"/>
          <w:b/>
          <w:bCs/>
          <w:iCs/>
          <w:sz w:val="24"/>
          <w:szCs w:val="24"/>
        </w:rPr>
        <w:t xml:space="preserve"> klientiem pienākošos naudas summas personiskiem izdevumiem palielināšana</w:t>
      </w:r>
    </w:p>
    <w:p w:rsidR="006D48C2" w:rsidRPr="006D48C2" w:rsidRDefault="006D48C2" w:rsidP="00077C7A">
      <w:pPr>
        <w:spacing w:before="120" w:after="120" w:line="240" w:lineRule="auto"/>
        <w:ind w:firstLine="720"/>
        <w:jc w:val="both"/>
        <w:rPr>
          <w:rFonts w:ascii="Times New Roman" w:hAnsi="Times New Roman" w:cs="Times New Roman"/>
          <w:sz w:val="24"/>
          <w:szCs w:val="24"/>
          <w:highlight w:val="yellow"/>
        </w:rPr>
      </w:pPr>
      <w:r w:rsidRPr="006D48C2">
        <w:rPr>
          <w:rFonts w:ascii="Times New Roman" w:hAnsi="Times New Roman" w:cs="Times New Roman"/>
          <w:sz w:val="24"/>
          <w:szCs w:val="24"/>
        </w:rPr>
        <w:t xml:space="preserve">Ņemot vērā, ka izmaiņas </w:t>
      </w:r>
      <w:r w:rsidRPr="006D48C2">
        <w:rPr>
          <w:rFonts w:ascii="Times New Roman" w:eastAsia="Calibri" w:hAnsi="Times New Roman" w:cs="Times New Roman"/>
          <w:sz w:val="24"/>
          <w:szCs w:val="24"/>
        </w:rPr>
        <w:t>valsts sociālā</w:t>
      </w:r>
      <w:r w:rsidRPr="006D48C2">
        <w:rPr>
          <w:rFonts w:ascii="Times New Roman" w:hAnsi="Times New Roman" w:cs="Times New Roman"/>
          <w:sz w:val="24"/>
          <w:szCs w:val="24"/>
        </w:rPr>
        <w:t xml:space="preserve"> nodrošinājuma pabalsta jomā ir tieši saistītas arī ar valsts sociālās aprūpes centru un </w:t>
      </w:r>
      <w:proofErr w:type="spellStart"/>
      <w:r w:rsidRPr="006D48C2">
        <w:rPr>
          <w:rFonts w:ascii="Times New Roman" w:hAnsi="Times New Roman" w:cs="Times New Roman"/>
          <w:sz w:val="24"/>
          <w:szCs w:val="24"/>
        </w:rPr>
        <w:t>līguminstitūciju</w:t>
      </w:r>
      <w:proofErr w:type="spellEnd"/>
      <w:r w:rsidRPr="006D48C2">
        <w:rPr>
          <w:rFonts w:ascii="Times New Roman" w:hAnsi="Times New Roman" w:cs="Times New Roman"/>
          <w:sz w:val="24"/>
          <w:szCs w:val="24"/>
        </w:rPr>
        <w:t xml:space="preserve"> klientiem pienākošos naudas summu personiskiem izdevumiem – kabatas naudas tiek aprēķinātas 15% apmērā no pensijas vai atlīdzības, vai valsts sociālā nodrošinājuma pabalsta, ko paredz Sociālo pakalpojumu un sociālās palīdzības likums, – nepieciešams papildu finansējums, lai nodrošinātu</w:t>
      </w:r>
      <w:r w:rsidRPr="006D48C2">
        <w:rPr>
          <w:rFonts w:ascii="Times New Roman" w:hAnsi="Times New Roman" w:cs="Times New Roman"/>
          <w:iCs/>
          <w:sz w:val="24"/>
          <w:szCs w:val="24"/>
          <w:lang w:eastAsia="lv-LV"/>
        </w:rPr>
        <w:t xml:space="preserve"> pienākošos naudas summu personiskiem izdevumiem izmaksas </w:t>
      </w:r>
      <w:r w:rsidRPr="006D48C2">
        <w:rPr>
          <w:rFonts w:ascii="Times New Roman" w:hAnsi="Times New Roman" w:cs="Times New Roman"/>
          <w:sz w:val="24"/>
          <w:szCs w:val="24"/>
        </w:rPr>
        <w:t xml:space="preserve">valsts sociālās aprūpes centru un </w:t>
      </w:r>
      <w:proofErr w:type="spellStart"/>
      <w:r w:rsidRPr="006D48C2">
        <w:rPr>
          <w:rFonts w:ascii="Times New Roman" w:hAnsi="Times New Roman" w:cs="Times New Roman"/>
          <w:sz w:val="24"/>
          <w:szCs w:val="24"/>
        </w:rPr>
        <w:t>līguminstitūciju</w:t>
      </w:r>
      <w:proofErr w:type="spellEnd"/>
      <w:r w:rsidRPr="006D48C2">
        <w:rPr>
          <w:rFonts w:ascii="Times New Roman" w:hAnsi="Times New Roman" w:cs="Times New Roman"/>
          <w:sz w:val="24"/>
          <w:szCs w:val="24"/>
        </w:rPr>
        <w:t xml:space="preserve"> klientiem.</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28"/>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329"/>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8C2" w:rsidRPr="006D48C2" w:rsidRDefault="006D48C2" w:rsidP="006D48C2">
            <w:pPr>
              <w:jc w:val="both"/>
              <w:rPr>
                <w:rFonts w:ascii="Times New Roman" w:eastAsia="Calibri" w:hAnsi="Times New Roman" w:cs="Times New Roman"/>
                <w:sz w:val="20"/>
                <w:szCs w:val="20"/>
              </w:rPr>
            </w:pPr>
            <w:proofErr w:type="spellStart"/>
            <w:r w:rsidRPr="006D48C2">
              <w:rPr>
                <w:rFonts w:ascii="Times New Roman" w:hAnsi="Times New Roman" w:cs="Times New Roman"/>
                <w:bCs/>
                <w:iCs/>
                <w:sz w:val="20"/>
                <w:szCs w:val="20"/>
              </w:rPr>
              <w:t>Līguminstitūciju</w:t>
            </w:r>
            <w:proofErr w:type="spellEnd"/>
            <w:r w:rsidRPr="006D48C2">
              <w:rPr>
                <w:rFonts w:ascii="Times New Roman" w:hAnsi="Times New Roman" w:cs="Times New Roman"/>
                <w:bCs/>
                <w:iCs/>
                <w:sz w:val="20"/>
                <w:szCs w:val="20"/>
              </w:rPr>
              <w:t xml:space="preserve"> klientiem pienākošo naudas summu personiskiem izdevumiem izmaksas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33 318</w:t>
            </w:r>
          </w:p>
        </w:tc>
        <w:tc>
          <w:tcPr>
            <w:tcW w:w="1701"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33 318</w:t>
            </w:r>
          </w:p>
        </w:tc>
        <w:tc>
          <w:tcPr>
            <w:tcW w:w="1701"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33 318</w:t>
            </w:r>
          </w:p>
        </w:tc>
      </w:tr>
      <w:tr w:rsidR="006D48C2" w:rsidRPr="006D48C2" w:rsidTr="00210902">
        <w:trPr>
          <w:trHeight w:val="381"/>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jc w:val="both"/>
              <w:rPr>
                <w:rFonts w:ascii="Times New Roman" w:hAnsi="Times New Roman" w:cs="Times New Roman"/>
                <w:sz w:val="20"/>
                <w:szCs w:val="20"/>
                <w:lang w:eastAsia="lv-LV"/>
              </w:rPr>
            </w:pPr>
            <w:r w:rsidRPr="006D48C2">
              <w:rPr>
                <w:rFonts w:ascii="Times New Roman" w:hAnsi="Times New Roman" w:cs="Times New Roman"/>
                <w:bCs/>
                <w:iCs/>
                <w:sz w:val="20"/>
                <w:szCs w:val="20"/>
              </w:rPr>
              <w:t>Valsts sociālās aprūpes centru klientiem pienākošo naudas summu personiskiem izdevumiem izmaksas</w:t>
            </w:r>
          </w:p>
        </w:tc>
        <w:tc>
          <w:tcPr>
            <w:tcW w:w="1559" w:type="dxa"/>
            <w:tcBorders>
              <w:top w:val="single" w:sz="4" w:space="0" w:color="auto"/>
              <w:left w:val="nil"/>
              <w:bottom w:val="single" w:sz="4" w:space="0" w:color="auto"/>
              <w:right w:val="single" w:sz="4" w:space="0" w:color="auto"/>
            </w:tcBorders>
            <w:noWrap/>
            <w:vAlign w:val="center"/>
          </w:tcPr>
          <w:p w:rsidR="006D48C2" w:rsidRPr="006D48C2" w:rsidRDefault="006D48C2" w:rsidP="00A81F17">
            <w:pPr>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219 779</w:t>
            </w:r>
          </w:p>
        </w:tc>
        <w:tc>
          <w:tcPr>
            <w:tcW w:w="1701" w:type="dxa"/>
            <w:tcBorders>
              <w:top w:val="single" w:sz="4" w:space="0" w:color="auto"/>
              <w:left w:val="nil"/>
              <w:bottom w:val="single" w:sz="4" w:space="0" w:color="auto"/>
              <w:right w:val="single" w:sz="4" w:space="0" w:color="auto"/>
            </w:tcBorders>
            <w:vAlign w:val="center"/>
          </w:tcPr>
          <w:p w:rsidR="006D48C2" w:rsidRPr="006D48C2" w:rsidRDefault="006D48C2" w:rsidP="00A81F17">
            <w:pPr>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219 779</w:t>
            </w:r>
          </w:p>
        </w:tc>
        <w:tc>
          <w:tcPr>
            <w:tcW w:w="1701" w:type="dxa"/>
            <w:tcBorders>
              <w:top w:val="single" w:sz="4" w:space="0" w:color="auto"/>
              <w:left w:val="nil"/>
              <w:bottom w:val="single" w:sz="4" w:space="0" w:color="auto"/>
              <w:right w:val="single" w:sz="4" w:space="0" w:color="auto"/>
            </w:tcBorders>
            <w:vAlign w:val="center"/>
          </w:tcPr>
          <w:p w:rsidR="006D48C2" w:rsidRPr="006D48C2" w:rsidRDefault="006D48C2" w:rsidP="00A81F17">
            <w:pPr>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219 779</w:t>
            </w:r>
          </w:p>
        </w:tc>
      </w:tr>
    </w:tbl>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sz w:val="24"/>
          <w:szCs w:val="24"/>
        </w:rPr>
        <w:t xml:space="preserve">• Apbedīšanas pabalsts </w:t>
      </w:r>
      <w:r w:rsidRPr="006D48C2">
        <w:rPr>
          <w:rFonts w:ascii="Times New Roman" w:hAnsi="Times New Roman" w:cs="Times New Roman"/>
          <w:b/>
          <w:sz w:val="24"/>
          <w:szCs w:val="24"/>
          <w:lang w:eastAsia="lv-LV"/>
        </w:rPr>
        <w:t xml:space="preserve">apdrošinātās personas apgādībā bijuša ģimenes locekļa nāves gadījumā </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Saskaņā ar likuma “Par maternitātes un slimības apdrošināšanu”</w:t>
      </w:r>
      <w:r w:rsidRPr="006D48C2">
        <w:rPr>
          <w:rFonts w:ascii="Times New Roman" w:hAnsi="Times New Roman" w:cs="Times New Roman"/>
          <w:bCs/>
          <w:sz w:val="24"/>
          <w:szCs w:val="24"/>
          <w:lang w:eastAsia="lv-LV"/>
        </w:rPr>
        <w:t xml:space="preserve"> 23.panta otro daļu </w:t>
      </w:r>
      <w:r w:rsidRPr="006D48C2">
        <w:rPr>
          <w:rFonts w:ascii="Times New Roman" w:hAnsi="Times New Roman" w:cs="Times New Roman"/>
          <w:sz w:val="24"/>
          <w:szCs w:val="24"/>
        </w:rPr>
        <w:t xml:space="preserve">apbedīšanas pabalstu </w:t>
      </w:r>
      <w:r w:rsidRPr="006D48C2">
        <w:rPr>
          <w:rFonts w:ascii="Times New Roman" w:hAnsi="Times New Roman" w:cs="Times New Roman"/>
          <w:sz w:val="24"/>
          <w:szCs w:val="24"/>
          <w:lang w:eastAsia="lv-LV"/>
        </w:rPr>
        <w:t xml:space="preserve">apdrošinātās personas apgādībā bijuša ģimenes locekļa nāves gadījumā </w:t>
      </w:r>
      <w:r w:rsidRPr="006D48C2">
        <w:rPr>
          <w:rFonts w:ascii="Times New Roman" w:hAnsi="Times New Roman" w:cs="Times New Roman"/>
          <w:sz w:val="24"/>
          <w:szCs w:val="24"/>
        </w:rPr>
        <w:t xml:space="preserve">piešķir </w:t>
      </w:r>
      <w:r w:rsidRPr="006D48C2">
        <w:rPr>
          <w:rFonts w:ascii="Times New Roman" w:hAnsi="Times New Roman" w:cs="Times New Roman"/>
          <w:sz w:val="24"/>
          <w:szCs w:val="24"/>
          <w:shd w:val="clear" w:color="auto" w:fill="FFFFFF"/>
        </w:rPr>
        <w:t xml:space="preserve">un izmaksā tādas kopējās summas apmērā, kura atbilst trīskāršam valsts sociālā nodrošinājuma pabalstam, kāds bija spēkā ģimenes locekļa nāves dienā </w:t>
      </w:r>
      <w:r w:rsidRPr="006D48C2">
        <w:rPr>
          <w:rFonts w:ascii="Times New Roman" w:hAnsi="Times New Roman" w:cs="Times New Roman"/>
          <w:sz w:val="24"/>
          <w:szCs w:val="24"/>
        </w:rPr>
        <w:t xml:space="preserve">(šobrīd 192,09 </w:t>
      </w:r>
      <w:proofErr w:type="spellStart"/>
      <w:r w:rsidRPr="006D48C2">
        <w:rPr>
          <w:rFonts w:ascii="Times New Roman" w:hAnsi="Times New Roman" w:cs="Times New Roman"/>
          <w:i/>
          <w:sz w:val="24"/>
          <w:szCs w:val="24"/>
        </w:rPr>
        <w:t>euro</w:t>
      </w:r>
      <w:proofErr w:type="spellEnd"/>
      <w:r w:rsidRPr="006D48C2">
        <w:rPr>
          <w:rFonts w:ascii="Times New Roman" w:hAnsi="Times New Roman" w:cs="Times New Roman"/>
          <w:sz w:val="24"/>
          <w:szCs w:val="24"/>
        </w:rPr>
        <w:t>).</w:t>
      </w:r>
    </w:p>
    <w:p w:rsidR="006D48C2" w:rsidRPr="006D48C2" w:rsidRDefault="006D48C2" w:rsidP="004D6289">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pacing w:val="-4"/>
          <w:sz w:val="24"/>
          <w:szCs w:val="24"/>
        </w:rPr>
        <w:t>Plānots pārskatīt apbedīšanas pabalsta apmēru, piesaistot to valsts sociālā nodrošinājuma pabalsta apmēram</w:t>
      </w:r>
      <w:r w:rsidRPr="006D48C2">
        <w:rPr>
          <w:rFonts w:ascii="Times New Roman" w:eastAsia="Calibri" w:hAnsi="Times New Roman" w:cs="Times New Roman"/>
          <w:sz w:val="24"/>
          <w:szCs w:val="24"/>
        </w:rPr>
        <w:t xml:space="preserve">, kāds tiks noteikts Valsts sociālo pabalstu likuma 13.panta pirmās daļas 1.punktā minētajām personām, t.i. 20% no ienākumu mediānas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Apbedīšanas pabalsta apmērs tādā gadījumā būtu 327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Apbedīšanas pabalsts sociāli apdrošinātas personas apgādībā bijuša ģimenes locekļa nāves gadījumā</w:t>
            </w:r>
          </w:p>
        </w:tc>
        <w:tc>
          <w:tcPr>
            <w:tcW w:w="1559" w:type="dxa"/>
            <w:tcBorders>
              <w:top w:val="single" w:sz="4" w:space="0" w:color="auto"/>
              <w:left w:val="nil"/>
              <w:bottom w:val="single" w:sz="4" w:space="0" w:color="auto"/>
              <w:right w:val="single" w:sz="4" w:space="0" w:color="auto"/>
            </w:tcBorders>
            <w:noWrap/>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17 808</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17 808</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17 808</w:t>
            </w:r>
          </w:p>
        </w:tc>
      </w:tr>
    </w:tbl>
    <w:p w:rsidR="006D48C2" w:rsidRPr="006D48C2" w:rsidRDefault="006D48C2" w:rsidP="00A81F17">
      <w:pPr>
        <w:spacing w:after="240" w:line="257" w:lineRule="auto"/>
        <w:ind w:left="-284" w:firstLine="284"/>
        <w:contextualSpacing/>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w:t>
      </w:r>
      <w:r w:rsidRPr="006D48C2">
        <w:rPr>
          <w:rFonts w:ascii="Times New Roman" w:hAnsi="Times New Roman" w:cs="Times New Roman"/>
        </w:rPr>
        <w:t xml:space="preserve"> </w:t>
      </w:r>
      <w:r w:rsidRPr="006D48C2">
        <w:rPr>
          <w:rFonts w:ascii="Times New Roman" w:eastAsia="Calibri" w:hAnsi="Times New Roman" w:cs="Times New Roman"/>
          <w:i/>
          <w:sz w:val="20"/>
          <w:szCs w:val="24"/>
        </w:rPr>
        <w:t>ņemta vērā VSAA vēsturiskā statistika un pakalpojuma bāzes apmēra palielinājums.</w:t>
      </w:r>
    </w:p>
    <w:p w:rsidR="006D48C2" w:rsidRPr="006D48C2" w:rsidRDefault="006D48C2" w:rsidP="00077C7A">
      <w:pPr>
        <w:spacing w:before="120" w:after="120" w:line="240" w:lineRule="auto"/>
        <w:ind w:firstLine="720"/>
        <w:jc w:val="both"/>
        <w:rPr>
          <w:rFonts w:ascii="Times New Roman" w:eastAsia="Calibri" w:hAnsi="Times New Roman" w:cs="Times New Roman"/>
          <w:b/>
          <w:i/>
          <w:sz w:val="24"/>
          <w:szCs w:val="24"/>
        </w:rPr>
      </w:pPr>
      <w:r w:rsidRPr="006D48C2">
        <w:rPr>
          <w:rFonts w:ascii="Times New Roman" w:eastAsia="Calibri" w:hAnsi="Times New Roman" w:cs="Times New Roman"/>
          <w:sz w:val="24"/>
          <w:szCs w:val="24"/>
        </w:rPr>
        <w:t>Nepieciešams veikt grozījumus likumā “Par maternitātes un slimības apdrošināšanu”.</w:t>
      </w:r>
    </w:p>
    <w:p w:rsidR="006D48C2" w:rsidRPr="006D48C2" w:rsidRDefault="006D48C2" w:rsidP="00077C7A">
      <w:pPr>
        <w:spacing w:before="120" w:after="120" w:line="240" w:lineRule="auto"/>
        <w:jc w:val="both"/>
        <w:rPr>
          <w:rFonts w:ascii="Times New Roman" w:eastAsia="Calibri" w:hAnsi="Times New Roman" w:cs="Times New Roman"/>
          <w:b/>
        </w:rPr>
      </w:pPr>
      <w:r w:rsidRPr="006D48C2">
        <w:rPr>
          <w:rFonts w:ascii="Times New Roman" w:hAnsi="Times New Roman" w:cs="Times New Roman"/>
          <w:b/>
          <w:spacing w:val="-4"/>
          <w:sz w:val="24"/>
          <w:szCs w:val="24"/>
        </w:rPr>
        <w:t xml:space="preserve">• Apbedīšanas pabalsts </w:t>
      </w:r>
      <w:r w:rsidRPr="006D48C2">
        <w:rPr>
          <w:rFonts w:ascii="Times New Roman" w:hAnsi="Times New Roman" w:cs="Times New Roman"/>
          <w:b/>
          <w:iCs/>
          <w:sz w:val="24"/>
          <w:szCs w:val="24"/>
          <w:lang w:eastAsia="lv-LV"/>
        </w:rPr>
        <w:t xml:space="preserve">bezdarbnieka pabalsta saņēmēja nāves gadījumā </w:t>
      </w:r>
    </w:p>
    <w:p w:rsidR="006D48C2" w:rsidRPr="006D48C2" w:rsidRDefault="006D48C2" w:rsidP="004D6289">
      <w:pPr>
        <w:spacing w:before="120" w:after="120" w:line="240" w:lineRule="auto"/>
        <w:ind w:firstLine="720"/>
        <w:jc w:val="both"/>
        <w:rPr>
          <w:rFonts w:ascii="Times New Roman" w:hAnsi="Times New Roman" w:cs="Times New Roman"/>
          <w:bCs/>
          <w:sz w:val="24"/>
          <w:szCs w:val="24"/>
          <w:lang w:eastAsia="lv-LV"/>
        </w:rPr>
      </w:pPr>
      <w:bookmarkStart w:id="6" w:name="_Hlk50019996"/>
      <w:r w:rsidRPr="006D48C2">
        <w:rPr>
          <w:rFonts w:ascii="Times New Roman" w:eastAsia="Calibri" w:hAnsi="Times New Roman" w:cs="Times New Roman"/>
          <w:sz w:val="24"/>
          <w:szCs w:val="24"/>
        </w:rPr>
        <w:t>Saskaņā ar likumu “Par apdrošināšanu bezdarba gadījumam”</w:t>
      </w:r>
      <w:r w:rsidRPr="006D48C2">
        <w:rPr>
          <w:rFonts w:ascii="Times New Roman" w:hAnsi="Times New Roman" w:cs="Times New Roman"/>
          <w:bCs/>
          <w:sz w:val="24"/>
          <w:szCs w:val="24"/>
          <w:lang w:eastAsia="lv-LV"/>
        </w:rPr>
        <w:t xml:space="preserve"> 12.panta otro daļu apbedīšanas pabalstu bezdarbnieka pabalsta saņēmēja nāves gadījumā piešķir</w:t>
      </w:r>
      <w:r w:rsidRPr="006D48C2">
        <w:rPr>
          <w:rFonts w:ascii="Times New Roman" w:hAnsi="Times New Roman" w:cs="Times New Roman"/>
          <w:sz w:val="24"/>
          <w:szCs w:val="24"/>
          <w:shd w:val="clear" w:color="auto" w:fill="FFFFFF"/>
          <w:lang w:eastAsia="lv-LV"/>
        </w:rPr>
        <w:t xml:space="preserve"> </w:t>
      </w:r>
      <w:r w:rsidRPr="006D48C2">
        <w:rPr>
          <w:rFonts w:ascii="Times New Roman" w:hAnsi="Times New Roman" w:cs="Times New Roman"/>
          <w:iCs/>
          <w:sz w:val="24"/>
          <w:szCs w:val="24"/>
        </w:rPr>
        <w:t>bezdarbnieka nāves dienā spēkā esošā valsts sociālā nodrošinājuma pabalsta trīskāršā apmērā</w:t>
      </w:r>
      <w:r w:rsidRPr="006D48C2">
        <w:rPr>
          <w:rFonts w:ascii="Times New Roman" w:hAnsi="Times New Roman" w:cs="Times New Roman"/>
          <w:sz w:val="24"/>
          <w:szCs w:val="24"/>
          <w:shd w:val="clear" w:color="auto" w:fill="FFFFFF"/>
          <w:lang w:eastAsia="lv-LV"/>
        </w:rPr>
        <w:t xml:space="preserve"> (šobrīd – 192,09 </w:t>
      </w:r>
      <w:proofErr w:type="spellStart"/>
      <w:r w:rsidRPr="006D48C2">
        <w:rPr>
          <w:rFonts w:ascii="Times New Roman" w:hAnsi="Times New Roman" w:cs="Times New Roman"/>
          <w:i/>
          <w:sz w:val="24"/>
          <w:szCs w:val="24"/>
          <w:shd w:val="clear" w:color="auto" w:fill="FFFFFF"/>
          <w:lang w:eastAsia="lv-LV"/>
        </w:rPr>
        <w:t>euro</w:t>
      </w:r>
      <w:proofErr w:type="spellEnd"/>
      <w:r w:rsidRPr="006D48C2">
        <w:rPr>
          <w:rFonts w:ascii="Times New Roman" w:hAnsi="Times New Roman" w:cs="Times New Roman"/>
          <w:sz w:val="24"/>
          <w:szCs w:val="24"/>
          <w:shd w:val="clear" w:color="auto" w:fill="FFFFFF"/>
          <w:lang w:eastAsia="lv-LV"/>
        </w:rPr>
        <w:t>).</w:t>
      </w:r>
      <w:r w:rsidRPr="006D48C2">
        <w:rPr>
          <w:rFonts w:ascii="Times New Roman" w:hAnsi="Times New Roman" w:cs="Times New Roman"/>
          <w:bCs/>
          <w:sz w:val="24"/>
          <w:szCs w:val="24"/>
          <w:lang w:eastAsia="lv-LV"/>
        </w:rPr>
        <w:t xml:space="preserve"> </w:t>
      </w:r>
    </w:p>
    <w:p w:rsidR="006D48C2" w:rsidRPr="006D48C2" w:rsidRDefault="006D48C2" w:rsidP="004D6289">
      <w:pPr>
        <w:spacing w:before="120" w:after="120" w:line="240" w:lineRule="auto"/>
        <w:ind w:firstLine="720"/>
        <w:jc w:val="both"/>
        <w:rPr>
          <w:rFonts w:ascii="Times New Roman" w:hAnsi="Times New Roman" w:cs="Times New Roman"/>
          <w:spacing w:val="-4"/>
          <w:sz w:val="24"/>
          <w:szCs w:val="24"/>
        </w:rPr>
      </w:pPr>
      <w:r w:rsidRPr="006D48C2">
        <w:rPr>
          <w:rFonts w:ascii="Times New Roman" w:hAnsi="Times New Roman" w:cs="Times New Roman"/>
          <w:spacing w:val="-4"/>
          <w:sz w:val="24"/>
          <w:szCs w:val="24"/>
        </w:rPr>
        <w:t>Plānots pārskatīt apbedīšanas pabalsta apmēru, piesaistot to valsts sociālā nodrošinājuma pabalsta apmēram</w:t>
      </w:r>
      <w:r w:rsidRPr="006D48C2">
        <w:rPr>
          <w:rFonts w:ascii="Times New Roman" w:eastAsia="Calibri" w:hAnsi="Times New Roman" w:cs="Times New Roman"/>
          <w:sz w:val="24"/>
          <w:szCs w:val="24"/>
        </w:rPr>
        <w:t xml:space="preserve">, kāds tiks noteikts Valsts sociālo pabalstu likuma 13.panta pirmās daļas 1.punktā minētajām personām, t.i. 20% no ienākumu mediānas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Apbedīšanas pabalsta apmērs tādā gadījumā būtu 327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bookmarkEnd w:id="6"/>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4D38AD">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4D38AD">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4D38AD">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86"/>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Apbedīšanas pabalsts bezdarbnieka pabalsta saņēmēja nāves gadījumā</w:t>
            </w:r>
          </w:p>
        </w:tc>
        <w:tc>
          <w:tcPr>
            <w:tcW w:w="1559" w:type="dxa"/>
            <w:tcBorders>
              <w:top w:val="single" w:sz="4" w:space="0" w:color="auto"/>
              <w:left w:val="nil"/>
              <w:bottom w:val="single" w:sz="4" w:space="0" w:color="auto"/>
              <w:right w:val="single" w:sz="4" w:space="0" w:color="auto"/>
            </w:tcBorders>
            <w:noWrap/>
            <w:vAlign w:val="center"/>
            <w:hideMark/>
          </w:tcPr>
          <w:p w:rsidR="006D48C2" w:rsidRPr="006D48C2" w:rsidRDefault="006D48C2" w:rsidP="004D38A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19 427</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4D38A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19 427</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4D38A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19 427</w:t>
            </w:r>
          </w:p>
        </w:tc>
      </w:tr>
    </w:tbl>
    <w:p w:rsidR="006D48C2" w:rsidRPr="006D48C2" w:rsidRDefault="006D48C2" w:rsidP="00A81F17">
      <w:pPr>
        <w:spacing w:line="256" w:lineRule="auto"/>
        <w:ind w:left="-284" w:firstLine="284"/>
        <w:contextualSpacing/>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*ņemts vērā budžeta bāzes kontingents un pakalpojumu bāzes apmēru palielinājums.</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Nepieciešams veikt grozījumus likumā “Par apdrošināšanu bezdarba gadījumam”.</w:t>
      </w:r>
    </w:p>
    <w:p w:rsidR="006D48C2" w:rsidRPr="006D48C2" w:rsidRDefault="006D48C2" w:rsidP="00077C7A">
      <w:pPr>
        <w:spacing w:before="120" w:after="120" w:line="240" w:lineRule="auto"/>
        <w:jc w:val="both"/>
        <w:rPr>
          <w:rFonts w:ascii="Times New Roman" w:eastAsia="Calibri" w:hAnsi="Times New Roman" w:cs="Times New Roman"/>
          <w:b/>
          <w:sz w:val="24"/>
          <w:szCs w:val="24"/>
        </w:rPr>
      </w:pPr>
      <w:r w:rsidRPr="006D48C2">
        <w:rPr>
          <w:rFonts w:ascii="Times New Roman" w:eastAsia="Calibri" w:hAnsi="Times New Roman" w:cs="Times New Roman"/>
          <w:b/>
          <w:sz w:val="24"/>
          <w:szCs w:val="24"/>
        </w:rPr>
        <w:t>• Bezdarbnieka pabalsta apmērs situācijā, ja iemaksas bezdarba gadījumam ir veiktas no valsts pamatbudžeta</w:t>
      </w:r>
    </w:p>
    <w:p w:rsidR="006D48C2" w:rsidRPr="006D48C2" w:rsidRDefault="006D48C2" w:rsidP="00077C7A">
      <w:pPr>
        <w:spacing w:before="120" w:after="120" w:line="240" w:lineRule="auto"/>
        <w:ind w:firstLine="357"/>
        <w:jc w:val="both"/>
        <w:rPr>
          <w:rFonts w:ascii="Times New Roman" w:eastAsia="Calibri" w:hAnsi="Times New Roman" w:cs="Times New Roman"/>
          <w:sz w:val="24"/>
          <w:szCs w:val="24"/>
        </w:rPr>
      </w:pPr>
      <w:r w:rsidRPr="006D48C2">
        <w:rPr>
          <w:rFonts w:ascii="Times New Roman" w:eastAsia="Calibri" w:hAnsi="Times New Roman" w:cs="Times New Roman"/>
          <w:b/>
          <w:sz w:val="24"/>
          <w:szCs w:val="24"/>
        </w:rPr>
        <w:tab/>
      </w:r>
      <w:r w:rsidRPr="006D48C2">
        <w:rPr>
          <w:rFonts w:ascii="Times New Roman" w:eastAsia="Calibri" w:hAnsi="Times New Roman" w:cs="Times New Roman"/>
          <w:sz w:val="24"/>
          <w:szCs w:val="24"/>
        </w:rPr>
        <w:t xml:space="preserve">Saskaņā ar likumu “Par apdrošināšanu bezdarba gadījumam” bezdarbnieka pabalstu 60% apmērā no bezdarbnieka pabalsta pieprasīšanas dienā spēkā esošā valsts sociālā nodrošinājuma pabalsta divkārša apmēra (šobrīd – 128,06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nosaka bezdarbniekam: </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1) par kuru visā vidējās apdrošināšanas iemaksu algas aprēķināšanas periodā, iemaksas bezdarba gadījumam ir veiktas no valsts pamatbudžeta; </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2) </w:t>
      </w:r>
      <w:r w:rsidRPr="006D48C2">
        <w:rPr>
          <w:rFonts w:ascii="Times New Roman" w:hAnsi="Times New Roman" w:cs="Times New Roman"/>
          <w:sz w:val="24"/>
          <w:szCs w:val="24"/>
          <w:lang w:eastAsia="lv-LV"/>
        </w:rPr>
        <w:t>par kuru pēdējo 16 mēnešu periodā pirms bezdarbnieka statusa iegūšanas dienas iemaksas bezdarba gadījumam nav veiktas vai ir veiktas, vai bija jāveic mazāk nekā 12 mēnešus, ja persona pēc invaliditātes ir atguvusi darbspējas vai kopusi bērnu ar invaliditāti līdz 18 gadu vecumam;</w:t>
      </w:r>
      <w:r w:rsidRPr="006D48C2">
        <w:rPr>
          <w:rFonts w:ascii="Times New Roman" w:eastAsia="Calibri" w:hAnsi="Times New Roman" w:cs="Times New Roman"/>
          <w:sz w:val="24"/>
          <w:szCs w:val="24"/>
        </w:rPr>
        <w:t xml:space="preserve"> </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3) </w:t>
      </w:r>
      <w:r w:rsidRPr="006D48C2">
        <w:rPr>
          <w:rFonts w:ascii="Times New Roman" w:eastAsia="Calibri" w:hAnsi="Times New Roman" w:cs="Times New Roman"/>
          <w:spacing w:val="-4"/>
          <w:sz w:val="24"/>
          <w:szCs w:val="24"/>
        </w:rPr>
        <w:t>par kuru vidējās apdrošināšanas iemaksu algas aprēķināšanas periodā iemaksas bezdarba gadījumam ir veicis gan pats pabalsta pieprasītājs un viņa darba devējs, gan valsts;</w:t>
      </w:r>
      <w:r w:rsidRPr="006D48C2">
        <w:rPr>
          <w:rFonts w:ascii="Times New Roman" w:eastAsia="Calibri" w:hAnsi="Times New Roman" w:cs="Times New Roman"/>
          <w:sz w:val="24"/>
          <w:szCs w:val="24"/>
        </w:rPr>
        <w:t xml:space="preserve"> </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4) </w:t>
      </w:r>
      <w:r w:rsidRPr="006D48C2">
        <w:rPr>
          <w:rFonts w:ascii="Times New Roman" w:eastAsia="Calibri" w:hAnsi="Times New Roman" w:cs="Times New Roman"/>
          <w:spacing w:val="-4"/>
          <w:sz w:val="24"/>
          <w:szCs w:val="24"/>
        </w:rPr>
        <w:t>kurš visā vidējās apdrošināšanas iemaksu algas aprēķināšanas periodā nav bijis darba ņēmējs un par kuru iemaksas bezdarba gadījumam ir veiktas no valsts sociālās apdrošināšanas speciālā budžeta.</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pacing w:val="-4"/>
          <w:sz w:val="24"/>
          <w:szCs w:val="24"/>
        </w:rPr>
        <w:t>Plānots pārskatīt bezdarbnieka pabalsta apmēru minētajām personām, piesaistot to valsts sociālā nodrošinājuma pabalsta apmēram</w:t>
      </w:r>
      <w:r w:rsidRPr="006D48C2">
        <w:rPr>
          <w:rFonts w:ascii="Times New Roman" w:eastAsia="Calibri" w:hAnsi="Times New Roman" w:cs="Times New Roman"/>
          <w:sz w:val="24"/>
          <w:szCs w:val="24"/>
        </w:rPr>
        <w:t xml:space="preserve">, kāds noteikts Valsts sociālo pabalstu likuma 13.panta pirmās daļas 1.punktā minētajām personām, t.i. 20% no ienākumu mediānas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xml:space="preserve">). Bezdarbnieka pabalsta apmērs tādā gadījumā tiktu rēķināts 60% no 218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36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Bezdarbnieka pabalsts</w:t>
            </w:r>
          </w:p>
        </w:tc>
        <w:tc>
          <w:tcPr>
            <w:tcW w:w="1559" w:type="dxa"/>
            <w:tcBorders>
              <w:top w:val="single" w:sz="4" w:space="0" w:color="auto"/>
              <w:left w:val="nil"/>
              <w:bottom w:val="single" w:sz="4" w:space="0" w:color="auto"/>
              <w:right w:val="single" w:sz="4" w:space="0" w:color="auto"/>
            </w:tcBorders>
            <w:noWrap/>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210 259</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172 271</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151 952</w:t>
            </w:r>
          </w:p>
        </w:tc>
      </w:tr>
      <w:tr w:rsidR="006D48C2" w:rsidRPr="006D48C2" w:rsidTr="00210902">
        <w:trPr>
          <w:trHeight w:val="20"/>
          <w:jc w:val="center"/>
        </w:trPr>
        <w:tc>
          <w:tcPr>
            <w:tcW w:w="4390" w:type="dxa"/>
            <w:tcBorders>
              <w:top w:val="nil"/>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Iemaksas pensiju apdrošināšanai (20%) par bezdarbnieka pabalsta saņēmējiem</w:t>
            </w:r>
          </w:p>
        </w:tc>
        <w:tc>
          <w:tcPr>
            <w:tcW w:w="1559" w:type="dxa"/>
            <w:tcBorders>
              <w:top w:val="nil"/>
              <w:left w:val="nil"/>
              <w:bottom w:val="single" w:sz="4" w:space="0" w:color="auto"/>
              <w:right w:val="single" w:sz="4" w:space="0" w:color="auto"/>
            </w:tcBorders>
            <w:noWrap/>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42 040</w:t>
            </w:r>
          </w:p>
        </w:tc>
        <w:tc>
          <w:tcPr>
            <w:tcW w:w="1701" w:type="dxa"/>
            <w:tcBorders>
              <w:top w:val="nil"/>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34 445</w:t>
            </w:r>
          </w:p>
        </w:tc>
        <w:tc>
          <w:tcPr>
            <w:tcW w:w="1701" w:type="dxa"/>
            <w:tcBorders>
              <w:top w:val="nil"/>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30 382</w:t>
            </w:r>
          </w:p>
        </w:tc>
      </w:tr>
    </w:tbl>
    <w:p w:rsidR="006D48C2" w:rsidRPr="006D48C2" w:rsidRDefault="006D48C2" w:rsidP="006D48C2">
      <w:pPr>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pabalstiem, kuru apmērs ir līdz jaunajam minimumam, īpatsvars pielīdzināts budžeta bāzes kontingentam.</w:t>
      </w:r>
    </w:p>
    <w:p w:rsidR="006D48C2" w:rsidRPr="006D48C2" w:rsidRDefault="006D48C2" w:rsidP="00077C7A">
      <w:pPr>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Nepieciešams veikt grozījumus likumā “Par apdrošināšanu bezdarba gadījumam”. </w:t>
      </w:r>
    </w:p>
    <w:p w:rsidR="006D48C2" w:rsidRPr="006D48C2" w:rsidRDefault="006D48C2" w:rsidP="00077C7A">
      <w:pPr>
        <w:spacing w:before="120" w:after="120" w:line="240" w:lineRule="auto"/>
        <w:jc w:val="both"/>
        <w:rPr>
          <w:rFonts w:ascii="Times New Roman" w:eastAsia="Calibri" w:hAnsi="Times New Roman" w:cs="Times New Roman"/>
          <w:b/>
          <w:sz w:val="24"/>
          <w:szCs w:val="24"/>
        </w:rPr>
      </w:pPr>
      <w:r w:rsidRPr="006D48C2">
        <w:rPr>
          <w:rFonts w:ascii="Times New Roman" w:eastAsia="Calibri" w:hAnsi="Times New Roman" w:cs="Times New Roman"/>
          <w:b/>
          <w:sz w:val="24"/>
          <w:szCs w:val="24"/>
        </w:rPr>
        <w:t>• Apbedīšanas pabalsts valsts sociālā</w:t>
      </w:r>
      <w:r w:rsidRPr="006D48C2">
        <w:rPr>
          <w:rFonts w:ascii="Times New Roman" w:eastAsia="Calibri" w:hAnsi="Times New Roman" w:cs="Times New Roman"/>
          <w:b/>
          <w:iCs/>
          <w:sz w:val="24"/>
          <w:szCs w:val="24"/>
        </w:rPr>
        <w:t xml:space="preserve"> nodrošinājuma pabalsta saņēmēja</w:t>
      </w:r>
      <w:r w:rsidRPr="006D48C2">
        <w:rPr>
          <w:rFonts w:ascii="Times New Roman" w:eastAsia="Calibri" w:hAnsi="Times New Roman" w:cs="Times New Roman"/>
          <w:b/>
          <w:sz w:val="24"/>
          <w:szCs w:val="24"/>
        </w:rPr>
        <w:t xml:space="preserve"> nāves gadījumā</w:t>
      </w:r>
    </w:p>
    <w:p w:rsidR="006D48C2" w:rsidRPr="006D48C2" w:rsidRDefault="006D48C2" w:rsidP="00077C7A">
      <w:pPr>
        <w:spacing w:before="120" w:after="120" w:line="240" w:lineRule="auto"/>
        <w:ind w:firstLine="720"/>
        <w:jc w:val="both"/>
        <w:rPr>
          <w:rFonts w:ascii="Times New Roman" w:hAnsi="Times New Roman" w:cs="Times New Roman"/>
          <w:bCs/>
          <w:sz w:val="24"/>
          <w:szCs w:val="24"/>
          <w:lang w:eastAsia="lv-LV"/>
        </w:rPr>
      </w:pPr>
      <w:r w:rsidRPr="006D48C2">
        <w:rPr>
          <w:rFonts w:ascii="Times New Roman" w:eastAsia="Calibri" w:hAnsi="Times New Roman" w:cs="Times New Roman"/>
          <w:sz w:val="24"/>
          <w:szCs w:val="24"/>
        </w:rPr>
        <w:t>Saskaņā ar MK noteikumiem Nr.1605</w:t>
      </w:r>
      <w:r w:rsidRPr="006D48C2">
        <w:rPr>
          <w:rFonts w:ascii="Times New Roman" w:hAnsi="Times New Roman" w:cs="Times New Roman"/>
          <w:bCs/>
          <w:sz w:val="24"/>
          <w:szCs w:val="24"/>
          <w:lang w:eastAsia="lv-LV"/>
        </w:rPr>
        <w:t xml:space="preserve"> apbedīšanas pabalsta apmērs </w:t>
      </w:r>
      <w:r w:rsidRPr="006D48C2">
        <w:rPr>
          <w:rFonts w:ascii="Times New Roman" w:eastAsia="Calibri" w:hAnsi="Times New Roman" w:cs="Times New Roman"/>
          <w:sz w:val="24"/>
          <w:szCs w:val="24"/>
        </w:rPr>
        <w:t>valsts sociālā</w:t>
      </w:r>
      <w:r w:rsidRPr="006D48C2">
        <w:rPr>
          <w:rFonts w:ascii="Times New Roman" w:hAnsi="Times New Roman" w:cs="Times New Roman"/>
          <w:bCs/>
          <w:sz w:val="24"/>
          <w:szCs w:val="24"/>
          <w:lang w:eastAsia="lv-LV"/>
        </w:rPr>
        <w:t xml:space="preserve"> nodrošinājuma pabalsta vecuma gadījumā un apgādnieka zaudējuma gadījumā saņēmēja nāves gadījumā noteikts divkāršā</w:t>
      </w:r>
      <w:r w:rsidRPr="006D48C2">
        <w:rPr>
          <w:rFonts w:ascii="Times New Roman" w:hAnsi="Times New Roman" w:cs="Times New Roman"/>
          <w:sz w:val="24"/>
          <w:szCs w:val="24"/>
          <w:shd w:val="clear" w:color="auto" w:fill="FFFFFF"/>
          <w:lang w:eastAsia="lv-LV"/>
        </w:rPr>
        <w:t xml:space="preserve"> valsts sociālā nodrošinājuma pabalsta apmērā, kāds bija piešķirts mirušajam </w:t>
      </w:r>
      <w:r w:rsidRPr="006D48C2">
        <w:rPr>
          <w:rFonts w:ascii="Times New Roman" w:eastAsia="Calibri" w:hAnsi="Times New Roman" w:cs="Times New Roman"/>
          <w:sz w:val="24"/>
          <w:szCs w:val="24"/>
        </w:rPr>
        <w:t>valsts sociālā</w:t>
      </w:r>
      <w:r w:rsidRPr="006D48C2">
        <w:rPr>
          <w:rFonts w:ascii="Times New Roman" w:hAnsi="Times New Roman" w:cs="Times New Roman"/>
          <w:sz w:val="24"/>
          <w:szCs w:val="24"/>
          <w:shd w:val="clear" w:color="auto" w:fill="FFFFFF"/>
          <w:lang w:eastAsia="lv-LV"/>
        </w:rPr>
        <w:t xml:space="preserve"> nodrošinājuma pabalsta saņēmējam. Savukārt personas ar invaliditāti nāves gadījumā </w:t>
      </w:r>
      <w:r w:rsidRPr="006D48C2">
        <w:rPr>
          <w:rFonts w:ascii="Times New Roman" w:hAnsi="Times New Roman" w:cs="Times New Roman"/>
          <w:bCs/>
          <w:sz w:val="24"/>
          <w:szCs w:val="24"/>
          <w:lang w:eastAsia="lv-LV"/>
        </w:rPr>
        <w:t xml:space="preserve">apbedīšanas pabalsta apmērs noteikts divkāršā </w:t>
      </w:r>
      <w:r w:rsidRPr="006D48C2">
        <w:rPr>
          <w:rFonts w:ascii="Times New Roman" w:eastAsia="Calibri" w:hAnsi="Times New Roman" w:cs="Times New Roman"/>
          <w:sz w:val="24"/>
          <w:szCs w:val="24"/>
        </w:rPr>
        <w:t>valsts sociālā</w:t>
      </w:r>
      <w:r w:rsidRPr="006D48C2">
        <w:rPr>
          <w:rFonts w:ascii="Times New Roman" w:hAnsi="Times New Roman" w:cs="Times New Roman"/>
          <w:bCs/>
          <w:sz w:val="24"/>
          <w:szCs w:val="24"/>
          <w:lang w:eastAsia="lv-LV"/>
        </w:rPr>
        <w:t xml:space="preserve"> nodrošinājuma pabalsta apmērā, piemērojot koeficientu 1,3 I invaliditātes gadījumā un koeficientu 1,2 – II invaliditātes gadījumā.</w:t>
      </w:r>
    </w:p>
    <w:p w:rsidR="006D48C2" w:rsidRPr="006D48C2" w:rsidRDefault="006D48C2" w:rsidP="00077C7A">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Lai arī personām ar I un II invaliditātes grupu valsts sociālā nodrošinājuma pabalsts ir atkarīgs no tā, vai persona iepriekšējā mēnesī ir vai nav bijusi nodarbināta, sekmējot to, ka ģimenei tiek sniegts maksimāls atbalsts sakarā ar tuvinieka nāvi, plānots noteikt, ka apbedīšanas pabalsta aprēķinā personām ar I un II grupas invaliditāti netiek ņemts vērā nodarbinātības fakts. </w:t>
      </w:r>
    </w:p>
    <w:p w:rsidR="006D48C2" w:rsidRPr="006D48C2" w:rsidRDefault="006D48C2" w:rsidP="00077C7A">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27"/>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 xml:space="preserve">Apbedīšanas pabalsts VSNP saņēmēja nāves gadījumā </w:t>
            </w:r>
          </w:p>
        </w:tc>
        <w:tc>
          <w:tcPr>
            <w:tcW w:w="1559" w:type="dxa"/>
            <w:tcBorders>
              <w:top w:val="single" w:sz="4" w:space="0" w:color="auto"/>
              <w:left w:val="nil"/>
              <w:bottom w:val="single" w:sz="4" w:space="0" w:color="auto"/>
              <w:right w:val="single" w:sz="4" w:space="0" w:color="auto"/>
            </w:tcBorders>
            <w:noWrap/>
            <w:vAlign w:val="center"/>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46 494</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47 598</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48 700</w:t>
            </w:r>
          </w:p>
        </w:tc>
      </w:tr>
    </w:tbl>
    <w:p w:rsidR="006D48C2" w:rsidRPr="006D48C2" w:rsidRDefault="006D48C2" w:rsidP="006D48C2">
      <w:pPr>
        <w:spacing w:after="240" w:line="257" w:lineRule="auto"/>
        <w:ind w:left="-284"/>
        <w:contextualSpacing/>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*ņemts vērā budžeta bāzes kontingents un pakalpojumu bāzes apmēru palielinājums.</w:t>
      </w:r>
    </w:p>
    <w:p w:rsidR="006D48C2" w:rsidRPr="006D48C2" w:rsidRDefault="006D48C2" w:rsidP="00210902">
      <w:pPr>
        <w:spacing w:before="120" w:after="120" w:line="240" w:lineRule="auto"/>
        <w:ind w:firstLine="720"/>
        <w:jc w:val="both"/>
        <w:rPr>
          <w:rFonts w:ascii="Times New Roman" w:eastAsia="Calibri" w:hAnsi="Times New Roman" w:cs="Times New Roman"/>
          <w:b/>
          <w:i/>
          <w:sz w:val="24"/>
          <w:szCs w:val="24"/>
        </w:rPr>
      </w:pPr>
      <w:r w:rsidRPr="006D48C2">
        <w:rPr>
          <w:rFonts w:ascii="Times New Roman" w:eastAsia="Calibri" w:hAnsi="Times New Roman" w:cs="Times New Roman"/>
          <w:sz w:val="24"/>
          <w:szCs w:val="24"/>
        </w:rPr>
        <w:t>Nepieciešams veikt grozījumus Valsts sociālo pabalstu likumā.</w:t>
      </w:r>
    </w:p>
    <w:p w:rsidR="006D48C2" w:rsidRPr="006D48C2" w:rsidRDefault="006D48C2" w:rsidP="00210902">
      <w:pPr>
        <w:shd w:val="clear" w:color="auto" w:fill="FFFFFF"/>
        <w:spacing w:before="120" w:after="120" w:line="240" w:lineRule="auto"/>
        <w:jc w:val="both"/>
        <w:rPr>
          <w:rFonts w:ascii="Times New Roman" w:hAnsi="Times New Roman" w:cs="Times New Roman"/>
          <w:b/>
          <w:spacing w:val="-4"/>
          <w:sz w:val="24"/>
          <w:szCs w:val="24"/>
        </w:rPr>
      </w:pPr>
      <w:r w:rsidRPr="006D48C2">
        <w:rPr>
          <w:rFonts w:ascii="Times New Roman" w:hAnsi="Times New Roman" w:cs="Times New Roman"/>
          <w:b/>
          <w:spacing w:val="-4"/>
          <w:sz w:val="24"/>
          <w:szCs w:val="24"/>
        </w:rPr>
        <w:t>• Apdrošināšanas atlīdzība sakarā ar nelaimes gadījumiem darbā un arodslimībām</w:t>
      </w:r>
    </w:p>
    <w:p w:rsidR="006D48C2" w:rsidRPr="006D48C2" w:rsidRDefault="006D48C2" w:rsidP="00210902">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pacing w:val="-4"/>
          <w:sz w:val="24"/>
          <w:szCs w:val="24"/>
        </w:rPr>
        <w:t xml:space="preserve">Saskaņā ar likuma “Par obligāto sociālo apdrošināšanu pret nelaimes gadījumiem darbā un arodslimībām” 14.panta piekto daļu mēnesī izmaksājamais slimības pabalsts, atlīdzība par darbspēju zaudējumu, atlīdzība par apgādnieka zaudējumu, kā arī </w:t>
      </w:r>
      <w:r w:rsidRPr="006D48C2">
        <w:rPr>
          <w:rFonts w:ascii="Times New Roman" w:eastAsia="Calibri" w:hAnsi="Times New Roman" w:cs="Times New Roman"/>
          <w:sz w:val="24"/>
          <w:szCs w:val="24"/>
        </w:rPr>
        <w:t>apdrošināšanas atlīdzības par ārstēšanās un rehabilitācijas izdevumiem kopējā summa</w:t>
      </w:r>
      <w:r w:rsidRPr="006D48C2">
        <w:rPr>
          <w:rFonts w:ascii="Times New Roman" w:eastAsia="Calibri" w:hAnsi="Times New Roman" w:cs="Times New Roman"/>
          <w:b/>
          <w:sz w:val="24"/>
          <w:szCs w:val="24"/>
        </w:rPr>
        <w:t xml:space="preserve"> </w:t>
      </w:r>
      <w:r w:rsidRPr="006D48C2">
        <w:rPr>
          <w:rFonts w:ascii="Times New Roman" w:eastAsia="Calibri" w:hAnsi="Times New Roman" w:cs="Times New Roman"/>
          <w:sz w:val="24"/>
          <w:szCs w:val="24"/>
        </w:rPr>
        <w:t xml:space="preserve">vienam gadījumam, nedrīkst pārsniegt </w:t>
      </w:r>
      <w:proofErr w:type="spellStart"/>
      <w:r w:rsidRPr="006D48C2">
        <w:rPr>
          <w:rFonts w:ascii="Times New Roman" w:eastAsia="Calibri" w:hAnsi="Times New Roman" w:cs="Times New Roman"/>
          <w:sz w:val="24"/>
          <w:szCs w:val="24"/>
        </w:rPr>
        <w:t>divdesmitpieckāršu</w:t>
      </w:r>
      <w:proofErr w:type="spellEnd"/>
      <w:r w:rsidRPr="006D48C2">
        <w:rPr>
          <w:rFonts w:ascii="Times New Roman" w:eastAsia="Calibri" w:hAnsi="Times New Roman" w:cs="Times New Roman"/>
          <w:sz w:val="24"/>
          <w:szCs w:val="24"/>
        </w:rPr>
        <w:t xml:space="preserve"> valsts sociālā nodrošinājuma pabalsta apmēru, </w:t>
      </w:r>
      <w:r w:rsidRPr="006D48C2">
        <w:rPr>
          <w:rFonts w:ascii="Times New Roman" w:hAnsi="Times New Roman" w:cs="Times New Roman"/>
          <w:sz w:val="24"/>
          <w:szCs w:val="24"/>
          <w:shd w:val="clear" w:color="auto" w:fill="FFFFFF"/>
        </w:rPr>
        <w:t>kas noteikts </w:t>
      </w:r>
      <w:hyperlink r:id="rId9" w:tgtFrame="_blank" w:history="1">
        <w:r w:rsidRPr="006D48C2">
          <w:rPr>
            <w:rFonts w:ascii="Times New Roman" w:hAnsi="Times New Roman" w:cs="Times New Roman"/>
            <w:sz w:val="24"/>
            <w:szCs w:val="24"/>
            <w:shd w:val="clear" w:color="auto" w:fill="FFFFFF"/>
          </w:rPr>
          <w:t>Valsts</w:t>
        </w:r>
      </w:hyperlink>
      <w:r w:rsidRPr="006D48C2">
        <w:rPr>
          <w:rFonts w:ascii="Times New Roman" w:hAnsi="Times New Roman" w:cs="Times New Roman"/>
          <w:sz w:val="24"/>
          <w:szCs w:val="24"/>
          <w:shd w:val="clear" w:color="auto" w:fill="FFFFFF"/>
        </w:rPr>
        <w:t xml:space="preserve"> sociālo pabalstu likuma </w:t>
      </w:r>
      <w:hyperlink r:id="rId10" w:anchor="p13" w:tgtFrame="_blank" w:history="1">
        <w:r w:rsidRPr="006D48C2">
          <w:rPr>
            <w:rFonts w:ascii="Times New Roman" w:hAnsi="Times New Roman" w:cs="Times New Roman"/>
            <w:sz w:val="24"/>
            <w:szCs w:val="24"/>
            <w:shd w:val="clear" w:color="auto" w:fill="FFFFFF"/>
          </w:rPr>
          <w:t>13.</w:t>
        </w:r>
      </w:hyperlink>
      <w:r w:rsidRPr="006D48C2">
        <w:rPr>
          <w:rFonts w:ascii="Times New Roman" w:hAnsi="Times New Roman" w:cs="Times New Roman"/>
          <w:sz w:val="24"/>
          <w:szCs w:val="24"/>
          <w:shd w:val="clear" w:color="auto" w:fill="FFFFFF"/>
        </w:rPr>
        <w:t>panta pirmās daļas 1.punktā minētajām personām</w:t>
      </w:r>
      <w:r w:rsidRPr="006D48C2">
        <w:rPr>
          <w:rFonts w:ascii="Times New Roman" w:eastAsia="Calibri" w:hAnsi="Times New Roman" w:cs="Times New Roman"/>
          <w:b/>
          <w:sz w:val="24"/>
          <w:szCs w:val="24"/>
        </w:rPr>
        <w:t xml:space="preserve"> </w:t>
      </w:r>
      <w:r w:rsidRPr="006D48C2">
        <w:rPr>
          <w:rFonts w:ascii="Times New Roman" w:eastAsia="Calibri" w:hAnsi="Times New Roman" w:cs="Times New Roman"/>
          <w:sz w:val="24"/>
          <w:szCs w:val="24"/>
        </w:rPr>
        <w:t xml:space="preserve">(šobrīd 64,03x25=1 600,75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210902">
      <w:pPr>
        <w:spacing w:before="120" w:after="120" w:line="240" w:lineRule="auto"/>
        <w:ind w:firstLine="720"/>
        <w:jc w:val="both"/>
        <w:rPr>
          <w:rFonts w:ascii="Times New Roman" w:eastAsia="Calibri" w:hAnsi="Times New Roman" w:cs="Times New Roman"/>
          <w:b/>
          <w:sz w:val="24"/>
          <w:szCs w:val="24"/>
        </w:rPr>
      </w:pPr>
      <w:r w:rsidRPr="006D48C2">
        <w:rPr>
          <w:rFonts w:ascii="Times New Roman" w:hAnsi="Times New Roman" w:cs="Times New Roman"/>
          <w:spacing w:val="-4"/>
          <w:sz w:val="24"/>
          <w:szCs w:val="24"/>
        </w:rPr>
        <w:t xml:space="preserve">Ņemot vērā, ka valsts sociālā nodrošinājuma pabalsta apmēru </w:t>
      </w:r>
      <w:hyperlink r:id="rId11" w:tgtFrame="_blank" w:history="1">
        <w:r w:rsidRPr="006D48C2">
          <w:rPr>
            <w:rFonts w:ascii="Times New Roman" w:hAnsi="Times New Roman" w:cs="Times New Roman"/>
            <w:sz w:val="24"/>
            <w:szCs w:val="24"/>
            <w:shd w:val="clear" w:color="auto" w:fill="FFFFFF"/>
          </w:rPr>
          <w:t>Valsts</w:t>
        </w:r>
      </w:hyperlink>
      <w:r w:rsidRPr="006D48C2">
        <w:rPr>
          <w:rFonts w:ascii="Times New Roman" w:hAnsi="Times New Roman" w:cs="Times New Roman"/>
          <w:sz w:val="24"/>
          <w:szCs w:val="24"/>
          <w:shd w:val="clear" w:color="auto" w:fill="FFFFFF"/>
        </w:rPr>
        <w:t xml:space="preserve"> sociālo pabalstu likuma</w:t>
      </w:r>
      <w:r w:rsidRPr="006D48C2">
        <w:rPr>
          <w:rFonts w:ascii="Times New Roman" w:eastAsia="Calibri" w:hAnsi="Times New Roman" w:cs="Times New Roman"/>
          <w:sz w:val="24"/>
          <w:szCs w:val="24"/>
        </w:rPr>
        <w:t xml:space="preserve"> 13.panta pirmās daļas 1.punktā minētajām personām plānots noteikt 20 procentus  no ienākumu mediānas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 tad no 2021.gada maksimālā summa</w:t>
      </w:r>
      <w:r w:rsidRPr="006D48C2">
        <w:rPr>
          <w:rFonts w:ascii="Times New Roman" w:eastAsia="Calibri" w:hAnsi="Times New Roman" w:cs="Times New Roman"/>
          <w:b/>
          <w:sz w:val="24"/>
          <w:szCs w:val="24"/>
        </w:rPr>
        <w:t xml:space="preserve"> </w:t>
      </w:r>
      <w:r w:rsidRPr="006D48C2">
        <w:rPr>
          <w:rFonts w:ascii="Times New Roman" w:eastAsia="Calibri" w:hAnsi="Times New Roman" w:cs="Times New Roman"/>
          <w:sz w:val="24"/>
          <w:szCs w:val="24"/>
        </w:rPr>
        <w:t xml:space="preserve">nedrīkstēs pārsniegt 2 725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210902">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399"/>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spacing w:after="0"/>
              <w:jc w:val="both"/>
              <w:rPr>
                <w:rFonts w:ascii="Times New Roman" w:eastAsia="Calibri"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Atlīdzība par ārstēšanās izdevumiem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40 473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40 473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40 473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Slimības pabalsts (saistībā ar maksimālo apmēru)</w:t>
            </w:r>
          </w:p>
        </w:tc>
        <w:tc>
          <w:tcPr>
            <w:tcW w:w="1559" w:type="dxa"/>
            <w:tcBorders>
              <w:top w:val="single" w:sz="4" w:space="0" w:color="auto"/>
              <w:left w:val="nil"/>
              <w:bottom w:val="single" w:sz="4" w:space="0" w:color="auto"/>
              <w:right w:val="single" w:sz="4" w:space="0" w:color="auto"/>
            </w:tcBorders>
            <w:shd w:val="clear" w:color="auto" w:fill="auto"/>
            <w:noWrap/>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151 632</w:t>
            </w:r>
          </w:p>
        </w:tc>
        <w:tc>
          <w:tcPr>
            <w:tcW w:w="1701" w:type="dxa"/>
            <w:tcBorders>
              <w:top w:val="single" w:sz="4" w:space="0" w:color="auto"/>
              <w:left w:val="nil"/>
              <w:bottom w:val="single" w:sz="4" w:space="0" w:color="auto"/>
              <w:right w:val="single" w:sz="4" w:space="0" w:color="auto"/>
            </w:tcBorders>
            <w:shd w:val="clear" w:color="auto" w:fill="auto"/>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151 632</w:t>
            </w:r>
          </w:p>
        </w:tc>
        <w:tc>
          <w:tcPr>
            <w:tcW w:w="1701" w:type="dxa"/>
            <w:tcBorders>
              <w:top w:val="single" w:sz="4" w:space="0" w:color="auto"/>
              <w:left w:val="nil"/>
              <w:bottom w:val="single" w:sz="4" w:space="0" w:color="auto"/>
              <w:right w:val="single" w:sz="4" w:space="0" w:color="auto"/>
            </w:tcBorders>
            <w:shd w:val="clear" w:color="auto" w:fill="auto"/>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151 632</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Apdrošināšanas atlīdzība par darbspēju zaudējumu (saistībā ar maksimālo apmēru)</w:t>
            </w:r>
          </w:p>
        </w:tc>
        <w:tc>
          <w:tcPr>
            <w:tcW w:w="1559" w:type="dxa"/>
            <w:tcBorders>
              <w:top w:val="single" w:sz="4" w:space="0" w:color="auto"/>
              <w:left w:val="nil"/>
              <w:bottom w:val="single" w:sz="4" w:space="0" w:color="auto"/>
              <w:right w:val="single" w:sz="4" w:space="0" w:color="auto"/>
            </w:tcBorders>
            <w:shd w:val="clear" w:color="auto" w:fill="auto"/>
            <w:noWrap/>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258 617</w:t>
            </w:r>
          </w:p>
        </w:tc>
        <w:tc>
          <w:tcPr>
            <w:tcW w:w="1701" w:type="dxa"/>
            <w:tcBorders>
              <w:top w:val="single" w:sz="4" w:space="0" w:color="auto"/>
              <w:left w:val="nil"/>
              <w:bottom w:val="single" w:sz="4" w:space="0" w:color="auto"/>
              <w:right w:val="single" w:sz="4" w:space="0" w:color="auto"/>
            </w:tcBorders>
            <w:shd w:val="clear" w:color="auto" w:fill="auto"/>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258 617</w:t>
            </w:r>
          </w:p>
        </w:tc>
        <w:tc>
          <w:tcPr>
            <w:tcW w:w="1701" w:type="dxa"/>
            <w:tcBorders>
              <w:top w:val="single" w:sz="4" w:space="0" w:color="auto"/>
              <w:left w:val="nil"/>
              <w:bottom w:val="single" w:sz="4" w:space="0" w:color="auto"/>
              <w:right w:val="single" w:sz="4" w:space="0" w:color="auto"/>
            </w:tcBorders>
            <w:shd w:val="clear" w:color="auto" w:fill="auto"/>
          </w:tcPr>
          <w:p w:rsidR="006D48C2" w:rsidRPr="006D48C2" w:rsidRDefault="006D48C2" w:rsidP="00A81F17">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258 617</w:t>
            </w:r>
          </w:p>
        </w:tc>
      </w:tr>
    </w:tbl>
    <w:p w:rsidR="006D48C2" w:rsidRPr="006D48C2" w:rsidRDefault="006D48C2" w:rsidP="006D48C2">
      <w:pPr>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pakalpojumu saņēmējiem, kuru apmērs ir līdz jaunajam minimumam vai pārsniedz</w:t>
      </w:r>
      <w:r w:rsidRPr="006D48C2">
        <w:rPr>
          <w:rFonts w:ascii="Times New Roman" w:eastAsia="Calibri" w:hAnsi="Times New Roman" w:cs="Times New Roman"/>
        </w:rPr>
        <w:t xml:space="preserve"> </w:t>
      </w:r>
      <w:r w:rsidRPr="006D48C2">
        <w:rPr>
          <w:rFonts w:ascii="Times New Roman" w:eastAsia="Calibri" w:hAnsi="Times New Roman" w:cs="Times New Roman"/>
          <w:i/>
          <w:sz w:val="20"/>
          <w:szCs w:val="20"/>
        </w:rPr>
        <w:t>esošo</w:t>
      </w:r>
      <w:r w:rsidRPr="006D48C2">
        <w:rPr>
          <w:rFonts w:ascii="Times New Roman" w:eastAsia="Calibri" w:hAnsi="Times New Roman" w:cs="Times New Roman"/>
        </w:rPr>
        <w:t xml:space="preserve"> </w:t>
      </w:r>
      <w:proofErr w:type="spellStart"/>
      <w:r w:rsidRPr="006D48C2">
        <w:rPr>
          <w:rFonts w:ascii="Times New Roman" w:eastAsia="Calibri" w:hAnsi="Times New Roman" w:cs="Times New Roman"/>
          <w:i/>
          <w:sz w:val="20"/>
          <w:szCs w:val="24"/>
        </w:rPr>
        <w:t>divdesmitpieckāršu</w:t>
      </w:r>
      <w:proofErr w:type="spellEnd"/>
      <w:r w:rsidRPr="006D48C2">
        <w:rPr>
          <w:rFonts w:ascii="Times New Roman" w:eastAsia="Calibri" w:hAnsi="Times New Roman" w:cs="Times New Roman"/>
          <w:i/>
          <w:sz w:val="20"/>
          <w:szCs w:val="24"/>
        </w:rPr>
        <w:t xml:space="preserve"> valsts sociālā nodrošinājuma pabalstu, un to vidējiem apmēriem, īpatsvars pielīdzināts budžeta bāzes kontingentam.</w:t>
      </w:r>
    </w:p>
    <w:p w:rsidR="006D48C2" w:rsidRPr="006D48C2" w:rsidRDefault="006D48C2" w:rsidP="00210902">
      <w:pPr>
        <w:spacing w:before="120" w:after="120" w:line="240" w:lineRule="auto"/>
        <w:jc w:val="both"/>
        <w:rPr>
          <w:rFonts w:ascii="Times New Roman" w:eastAsia="Calibri" w:hAnsi="Times New Roman" w:cs="Times New Roman"/>
          <w:b/>
          <w:sz w:val="24"/>
          <w:szCs w:val="24"/>
        </w:rPr>
      </w:pPr>
      <w:r w:rsidRPr="006D48C2">
        <w:rPr>
          <w:rFonts w:ascii="Times New Roman" w:eastAsia="Calibri" w:hAnsi="Times New Roman" w:cs="Times New Roman"/>
          <w:b/>
          <w:sz w:val="24"/>
          <w:szCs w:val="24"/>
        </w:rPr>
        <w:t>• Darbā nodarītā kaitējuma atlīdzība</w:t>
      </w:r>
      <w:r w:rsidRPr="006D48C2">
        <w:rPr>
          <w:rFonts w:ascii="Times New Roman" w:eastAsia="Calibri" w:hAnsi="Times New Roman" w:cs="Times New Roman"/>
          <w:sz w:val="24"/>
          <w:szCs w:val="24"/>
        </w:rPr>
        <w:tab/>
      </w:r>
    </w:p>
    <w:p w:rsidR="006D48C2" w:rsidRPr="006D48C2" w:rsidRDefault="006D48C2" w:rsidP="00210902">
      <w:pPr>
        <w:spacing w:before="120" w:after="120" w:line="240" w:lineRule="auto"/>
        <w:ind w:firstLine="720"/>
        <w:jc w:val="both"/>
        <w:rPr>
          <w:rFonts w:ascii="Times New Roman" w:hAnsi="Times New Roman" w:cs="Times New Roman"/>
          <w:spacing w:val="-4"/>
          <w:sz w:val="24"/>
          <w:szCs w:val="24"/>
        </w:rPr>
      </w:pPr>
      <w:r w:rsidRPr="006D48C2">
        <w:rPr>
          <w:rFonts w:ascii="Times New Roman" w:eastAsia="Calibri" w:hAnsi="Times New Roman" w:cs="Times New Roman"/>
          <w:sz w:val="24"/>
          <w:szCs w:val="24"/>
        </w:rPr>
        <w:t>Saskaņā ar Ministru kabineta 2001.gada 23.augusta noteikumu Nr.378 „Darbā nodarītā kaitējuma atlīdzības aprēķināšanas, finansēšanas un izmaksas kārtība” 25.2.apakšpunktu, kaitējuma atlīdzību darbiniekam, ja VDEĀVK noteikusi darbspēju zaudējumu bez invaliditātes grupas piešķiršanas, kā arī, ja darbiniekam piešķirta citas valsts pensija vai izdienas pensija pēc speciālajiem likumiem, aprēķina, ņemot vērā valsts sociālā nodrošinājuma pabalstu, kuram atkarībā no darbspēju zaudējuma pakāpes piemērots noteikts koeficients (1,0 – ja darbinieka darbspēju zaudējums ir 20 un vairāk procentu; 0,7 – ja darbinieka darbspēju zaudējums ir 10-19 procentu).</w:t>
      </w:r>
      <w:r w:rsidRPr="006D48C2">
        <w:rPr>
          <w:rFonts w:ascii="Times New Roman" w:hAnsi="Times New Roman" w:cs="Times New Roman"/>
          <w:spacing w:val="-4"/>
          <w:sz w:val="24"/>
          <w:szCs w:val="24"/>
        </w:rPr>
        <w:t xml:space="preserve"> </w:t>
      </w:r>
    </w:p>
    <w:p w:rsidR="006D48C2" w:rsidRPr="006D48C2" w:rsidRDefault="006D48C2" w:rsidP="00210902">
      <w:pPr>
        <w:spacing w:before="120" w:after="120" w:line="240" w:lineRule="auto"/>
        <w:ind w:firstLine="720"/>
        <w:jc w:val="both"/>
        <w:rPr>
          <w:rFonts w:ascii="Times New Roman" w:eastAsia="Calibri" w:hAnsi="Times New Roman" w:cs="Times New Roman"/>
          <w:sz w:val="24"/>
          <w:szCs w:val="24"/>
        </w:rPr>
      </w:pPr>
      <w:r w:rsidRPr="006D48C2">
        <w:rPr>
          <w:rFonts w:ascii="Times New Roman" w:hAnsi="Times New Roman" w:cs="Times New Roman"/>
          <w:spacing w:val="-4"/>
          <w:sz w:val="24"/>
          <w:szCs w:val="24"/>
        </w:rPr>
        <w:t xml:space="preserve">Plānots pārskatīt kaitējuma atlīdzības apmēru, piesaistot to </w:t>
      </w:r>
      <w:r w:rsidRPr="006D48C2">
        <w:rPr>
          <w:rFonts w:ascii="Times New Roman" w:eastAsia="Calibri" w:hAnsi="Times New Roman" w:cs="Times New Roman"/>
          <w:sz w:val="24"/>
          <w:szCs w:val="24"/>
        </w:rPr>
        <w:t>valsts sociālā</w:t>
      </w:r>
      <w:r w:rsidRPr="006D48C2">
        <w:rPr>
          <w:rFonts w:ascii="Times New Roman" w:hAnsi="Times New Roman" w:cs="Times New Roman"/>
          <w:spacing w:val="-4"/>
          <w:sz w:val="24"/>
          <w:szCs w:val="24"/>
        </w:rPr>
        <w:t xml:space="preserve"> nodrošinājuma pabalsta apmēram</w:t>
      </w:r>
      <w:r w:rsidRPr="006D48C2">
        <w:rPr>
          <w:rFonts w:ascii="Times New Roman" w:eastAsia="Calibri" w:hAnsi="Times New Roman" w:cs="Times New Roman"/>
          <w:sz w:val="24"/>
          <w:szCs w:val="24"/>
        </w:rPr>
        <w:t xml:space="preserve">, kāds tiks noteikts Valsts sociālo pabalstu likuma 13.panta pirmās daļas 1.punktā minētajām personām, t.i. 20% no ienākumu mediānas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210902">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81F17">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Darbā nodarītā kaitējuma atlīdzība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414 525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414 525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A81F17">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414 525</w:t>
            </w:r>
          </w:p>
        </w:tc>
      </w:tr>
    </w:tbl>
    <w:p w:rsidR="006D48C2" w:rsidRPr="006D48C2" w:rsidRDefault="006D48C2" w:rsidP="006D48C2">
      <w:pPr>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pakalpojumu saņēmējiem, kuru apmērs ir līdz jaunajam minimumam, un to vidējiem apmēriem.</w:t>
      </w:r>
    </w:p>
    <w:p w:rsidR="006D48C2" w:rsidRPr="006D48C2" w:rsidRDefault="006D48C2" w:rsidP="00210902">
      <w:pPr>
        <w:spacing w:before="120" w:after="120" w:line="240" w:lineRule="auto"/>
        <w:jc w:val="both"/>
        <w:rPr>
          <w:rFonts w:ascii="Times New Roman" w:hAnsi="Times New Roman" w:cs="Times New Roman"/>
          <w:b/>
          <w:sz w:val="24"/>
          <w:szCs w:val="24"/>
          <w:lang w:eastAsia="lv-LV"/>
        </w:rPr>
      </w:pPr>
      <w:r w:rsidRPr="006D48C2">
        <w:rPr>
          <w:rFonts w:ascii="Times New Roman" w:hAnsi="Times New Roman" w:cs="Times New Roman"/>
          <w:b/>
          <w:sz w:val="24"/>
          <w:szCs w:val="24"/>
          <w:lang w:eastAsia="lv-LV"/>
        </w:rPr>
        <w:t>• Valsts sociālais pabalsts Černobiļas atomelektrostacijas avārijas seku likvidēšanas dalībniekiem un mirušo Černobiļas atomelektrostacijas avārijas seku likvidēšanas dalībnieku ģimenēm</w:t>
      </w:r>
    </w:p>
    <w:p w:rsidR="006D48C2" w:rsidRPr="006D48C2" w:rsidRDefault="006D48C2" w:rsidP="00210902">
      <w:pPr>
        <w:tabs>
          <w:tab w:val="left" w:pos="567"/>
        </w:tabs>
        <w:autoSpaceDE w:val="0"/>
        <w:autoSpaceDN w:val="0"/>
        <w:adjustRightInd w:val="0"/>
        <w:spacing w:before="120" w:after="120" w:line="240" w:lineRule="auto"/>
        <w:ind w:firstLine="567"/>
        <w:jc w:val="both"/>
        <w:rPr>
          <w:rFonts w:ascii="Times New Roman" w:eastAsia="Calibri" w:hAnsi="Times New Roman" w:cs="Times New Roman"/>
          <w:sz w:val="24"/>
          <w:szCs w:val="24"/>
        </w:rPr>
      </w:pPr>
      <w:r w:rsidRPr="006D48C2">
        <w:rPr>
          <w:rFonts w:ascii="Times New Roman" w:hAnsi="Times New Roman" w:cs="Times New Roman"/>
          <w:spacing w:val="-4"/>
          <w:sz w:val="24"/>
          <w:szCs w:val="24"/>
        </w:rPr>
        <w:tab/>
      </w:r>
      <w:r w:rsidRPr="006D48C2">
        <w:rPr>
          <w:rFonts w:ascii="Times New Roman" w:hAnsi="Times New Roman" w:cs="Times New Roman"/>
          <w:sz w:val="24"/>
          <w:szCs w:val="24"/>
          <w:lang w:eastAsia="lv-LV"/>
        </w:rPr>
        <w:t xml:space="preserve">Saskaņā ar Černobiļas atomelektrostacijas avārijas seku likvidēšanas dalībnieku un Černobiļas atomelektrostacijas avārijas rezultātā cietušo personu sociālās aizsardzības likumu (turpmāk - ČAES likums) Černobiļas AES avārijas seku likvidēšanas dalībniekam — ja viņam ir noteikta invaliditātes cēloņsakarība ar Černobiļas AES avārijas seku likvidēšanas darbu veikšanu, un viņa nāves gadījumā, Černobiļas atomelektrostacijas avārijas seku likvidēšanas dalībnieku ģimenei, ir tiesības uz valsts sociālo pabalstu.  </w:t>
      </w:r>
      <w:r w:rsidRPr="006D48C2">
        <w:rPr>
          <w:rFonts w:ascii="Times New Roman" w:hAnsi="Times New Roman" w:cs="Times New Roman"/>
          <w:spacing w:val="-4"/>
          <w:sz w:val="24"/>
          <w:szCs w:val="24"/>
        </w:rPr>
        <w:t xml:space="preserve">Saskaņā ar </w:t>
      </w:r>
      <w:r w:rsidRPr="006D48C2">
        <w:rPr>
          <w:rFonts w:ascii="Times New Roman" w:hAnsi="Times New Roman" w:cs="Times New Roman"/>
          <w:sz w:val="24"/>
          <w:szCs w:val="24"/>
          <w:lang w:eastAsia="lv-LV"/>
        </w:rPr>
        <w:t xml:space="preserve">ČAES likuma 11.panta ceturto daļu </w:t>
      </w:r>
      <w:r w:rsidRPr="006D48C2">
        <w:rPr>
          <w:rFonts w:ascii="Times New Roman" w:eastAsia="Calibri" w:hAnsi="Times New Roman" w:cs="Times New Roman"/>
          <w:sz w:val="24"/>
          <w:szCs w:val="24"/>
          <w:shd w:val="clear" w:color="auto" w:fill="FFFFFF"/>
        </w:rPr>
        <w:t>valsts sociālā pabalsta apmērs nedrīkst būt mazāks par valsts sociālā nodrošinājuma pabalstu. Saskaņā ar Ministru kabineta 2010.gada 30.novembra noteikumiem Nr.1077 “</w:t>
      </w:r>
      <w:r w:rsidRPr="006D48C2">
        <w:rPr>
          <w:rFonts w:ascii="Times New Roman" w:hAnsi="Times New Roman" w:cs="Times New Roman"/>
          <w:bCs/>
          <w:sz w:val="24"/>
          <w:szCs w:val="24"/>
        </w:rPr>
        <w:t>Noteikumi par valsts sociālo pabalstu Černobiļas atomelektrostacijas avārijas seku likvidēšanas dalībniekiem un mirušo Černobiļas atomelektrostacijas avārijas seku likvidēšanas dalībnieku ģimenēm”</w:t>
      </w:r>
      <w:r w:rsidRPr="006D48C2">
        <w:rPr>
          <w:rFonts w:ascii="Times New Roman" w:eastAsia="Calibri" w:hAnsi="Times New Roman" w:cs="Times New Roman"/>
          <w:sz w:val="24"/>
          <w:szCs w:val="24"/>
          <w:shd w:val="clear" w:color="auto" w:fill="FFFFFF"/>
        </w:rPr>
        <w:t xml:space="preserve"> valsts sociālais pabalsts </w:t>
      </w:r>
      <w:r w:rsidRPr="006D48C2">
        <w:rPr>
          <w:rFonts w:ascii="Times New Roman" w:hAnsi="Times New Roman" w:cs="Times New Roman"/>
          <w:spacing w:val="-4"/>
          <w:sz w:val="24"/>
          <w:szCs w:val="24"/>
        </w:rPr>
        <w:t xml:space="preserve">Černobiļas atomelektrostacijas avārijas seku likvidēšanas dalībniekiem un mirušo Černobiļas atomelektrostacijas avārijas seku likvidēšanas dalībnieku ģimenēm ir 100 </w:t>
      </w:r>
      <w:proofErr w:type="spellStart"/>
      <w:r w:rsidRPr="006D48C2">
        <w:rPr>
          <w:rFonts w:ascii="Times New Roman" w:hAnsi="Times New Roman" w:cs="Times New Roman"/>
          <w:i/>
          <w:spacing w:val="-4"/>
          <w:sz w:val="24"/>
          <w:szCs w:val="24"/>
        </w:rPr>
        <w:t>euro</w:t>
      </w:r>
      <w:proofErr w:type="spellEnd"/>
      <w:r w:rsidRPr="006D48C2">
        <w:rPr>
          <w:rFonts w:ascii="Times New Roman" w:hAnsi="Times New Roman" w:cs="Times New Roman"/>
          <w:i/>
          <w:spacing w:val="-4"/>
          <w:sz w:val="24"/>
          <w:szCs w:val="24"/>
        </w:rPr>
        <w:t xml:space="preserve"> </w:t>
      </w:r>
      <w:r w:rsidRPr="006D48C2">
        <w:rPr>
          <w:rFonts w:ascii="Times New Roman" w:hAnsi="Times New Roman" w:cs="Times New Roman"/>
          <w:spacing w:val="-4"/>
          <w:sz w:val="24"/>
          <w:szCs w:val="24"/>
        </w:rPr>
        <w:t>mēnesī.</w:t>
      </w:r>
    </w:p>
    <w:p w:rsidR="006D48C2" w:rsidRPr="006D48C2" w:rsidRDefault="006D48C2" w:rsidP="00210902">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Ņemot vērā, ka valsts sociālā pabalsta apmērs nedrīkst būt mazāks par valsts sociālā nodrošinājuma pabalsta apmēru, tad plānots </w:t>
      </w:r>
      <w:r w:rsidRPr="006D48C2">
        <w:rPr>
          <w:rFonts w:ascii="Times New Roman" w:hAnsi="Times New Roman" w:cs="Times New Roman"/>
          <w:sz w:val="24"/>
          <w:szCs w:val="24"/>
          <w:lang w:eastAsia="lv-LV"/>
        </w:rPr>
        <w:t>noteikt, ka v</w:t>
      </w:r>
      <w:r w:rsidRPr="006D48C2">
        <w:rPr>
          <w:rFonts w:ascii="Times New Roman" w:eastAsia="Calibri" w:hAnsi="Times New Roman" w:cs="Times New Roman"/>
          <w:sz w:val="24"/>
          <w:szCs w:val="24"/>
          <w:shd w:val="clear" w:color="auto" w:fill="FFFFFF"/>
        </w:rPr>
        <w:t xml:space="preserve">alsts sociālā pabalsta Černobiļas </w:t>
      </w:r>
      <w:r w:rsidRPr="006D48C2">
        <w:rPr>
          <w:rFonts w:ascii="Times New Roman" w:hAnsi="Times New Roman" w:cs="Times New Roman"/>
          <w:sz w:val="24"/>
          <w:szCs w:val="24"/>
          <w:lang w:eastAsia="lv-LV"/>
        </w:rPr>
        <w:t>atomelektrostacijas</w:t>
      </w:r>
      <w:r w:rsidRPr="006D48C2">
        <w:rPr>
          <w:rFonts w:ascii="Times New Roman" w:eastAsia="Calibri" w:hAnsi="Times New Roman" w:cs="Times New Roman"/>
          <w:sz w:val="24"/>
          <w:szCs w:val="24"/>
          <w:shd w:val="clear" w:color="auto" w:fill="FFFFFF"/>
        </w:rPr>
        <w:t xml:space="preserve"> avārijas seku likvidēšanas dalībniekam un mirušā Černobiļas </w:t>
      </w:r>
      <w:r w:rsidRPr="006D48C2">
        <w:rPr>
          <w:rFonts w:ascii="Times New Roman" w:hAnsi="Times New Roman" w:cs="Times New Roman"/>
          <w:sz w:val="24"/>
          <w:szCs w:val="24"/>
          <w:lang w:eastAsia="lv-LV"/>
        </w:rPr>
        <w:t>atomelektrostacijas</w:t>
      </w:r>
      <w:r w:rsidRPr="006D48C2">
        <w:rPr>
          <w:rFonts w:ascii="Times New Roman" w:eastAsia="Calibri" w:hAnsi="Times New Roman" w:cs="Times New Roman"/>
          <w:sz w:val="24"/>
          <w:szCs w:val="24"/>
          <w:shd w:val="clear" w:color="auto" w:fill="FFFFFF"/>
        </w:rPr>
        <w:t xml:space="preserve"> avārijas seku likvidēšanas dalībnieka ģimenei apmērs tiek</w:t>
      </w:r>
      <w:r w:rsidRPr="006D48C2">
        <w:rPr>
          <w:rFonts w:ascii="Times New Roman" w:eastAsia="Calibri" w:hAnsi="Times New Roman" w:cs="Times New Roman"/>
          <w:sz w:val="24"/>
          <w:szCs w:val="24"/>
        </w:rPr>
        <w:t xml:space="preserve"> piesaistīts valsts sociālā nodrošinājuma pabalsta apmēram, kāds tiks noteikts Valsts sociālo pabalstu likuma 13.panta pirmās daļas 1.punktā minētajām personām, t.i. 20% no ienākumu mediānas (109 </w:t>
      </w:r>
      <w:proofErr w:type="spellStart"/>
      <w:r w:rsidRPr="006D48C2">
        <w:rPr>
          <w:rFonts w:ascii="Times New Roman" w:eastAsia="Calibri" w:hAnsi="Times New Roman" w:cs="Times New Roman"/>
          <w:i/>
          <w:sz w:val="24"/>
          <w:szCs w:val="24"/>
        </w:rPr>
        <w:t>euro</w:t>
      </w:r>
      <w:proofErr w:type="spellEnd"/>
      <w:r w:rsidRPr="006D48C2">
        <w:rPr>
          <w:rFonts w:ascii="Times New Roman" w:eastAsia="Calibri" w:hAnsi="Times New Roman" w:cs="Times New Roman"/>
          <w:sz w:val="24"/>
          <w:szCs w:val="24"/>
        </w:rPr>
        <w:t>).</w:t>
      </w:r>
    </w:p>
    <w:p w:rsidR="006D48C2" w:rsidRPr="006D48C2" w:rsidRDefault="006D48C2" w:rsidP="00210902">
      <w:pPr>
        <w:spacing w:before="120" w:after="120" w:line="240" w:lineRule="auto"/>
        <w:jc w:val="both"/>
        <w:rPr>
          <w:rFonts w:ascii="Times New Roman" w:eastAsia="Calibri" w:hAnsi="Times New Roman" w:cs="Times New Roman"/>
          <w:b/>
          <w:i/>
          <w:sz w:val="24"/>
          <w:szCs w:val="24"/>
        </w:rPr>
      </w:pPr>
      <w:bookmarkStart w:id="7" w:name="_Hlk50021247"/>
      <w:bookmarkStart w:id="8" w:name="_Hlk50041589"/>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bookmarkEnd w:id="7"/>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376"/>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0106B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0106B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0106B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 xml:space="preserve">Valsts sociālais pabalsts Černobiļas </w:t>
            </w:r>
            <w:proofErr w:type="spellStart"/>
            <w:r w:rsidRPr="006D48C2">
              <w:rPr>
                <w:rFonts w:ascii="Times New Roman" w:hAnsi="Times New Roman" w:cs="Times New Roman"/>
                <w:sz w:val="20"/>
                <w:szCs w:val="20"/>
                <w:lang w:eastAsia="lv-LV"/>
              </w:rPr>
              <w:t>atomelektro</w:t>
            </w:r>
            <w:proofErr w:type="spellEnd"/>
            <w:r w:rsidRPr="006D48C2">
              <w:rPr>
                <w:rFonts w:ascii="Times New Roman" w:hAnsi="Times New Roman" w:cs="Times New Roman"/>
                <w:sz w:val="20"/>
                <w:szCs w:val="20"/>
                <w:lang w:eastAsia="lv-LV"/>
              </w:rPr>
              <w:t>-stacijas avārijas seku likvidēšanas dalībniekiem un mirušo Černobiļas atomelektrostacijas avārijas seku likvidēšanas dalībnieku ģimenēm</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0106B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330 048</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0106B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322 812</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0106BD">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315 792</w:t>
            </w:r>
          </w:p>
        </w:tc>
      </w:tr>
    </w:tbl>
    <w:bookmarkEnd w:id="8"/>
    <w:p w:rsidR="006D48C2" w:rsidRPr="006D48C2" w:rsidRDefault="006D48C2" w:rsidP="006D48C2">
      <w:pPr>
        <w:spacing w:line="256" w:lineRule="auto"/>
        <w:ind w:left="-284"/>
        <w:contextualSpacing/>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*ņemts vērā budžeta bāzes kontingents.</w:t>
      </w:r>
    </w:p>
    <w:p w:rsidR="006D48C2" w:rsidRPr="006D48C2" w:rsidRDefault="006D48C2" w:rsidP="00210902">
      <w:pPr>
        <w:spacing w:before="120" w:after="120" w:line="240" w:lineRule="auto"/>
        <w:ind w:firstLine="567"/>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Nepieciešams veikt grozījumus </w:t>
      </w:r>
      <w:r w:rsidRPr="006D48C2">
        <w:rPr>
          <w:rFonts w:ascii="Times New Roman" w:hAnsi="Times New Roman" w:cs="Times New Roman"/>
          <w:sz w:val="24"/>
          <w:szCs w:val="24"/>
          <w:lang w:eastAsia="lv-LV"/>
        </w:rPr>
        <w:t>Černobiļas atomelektrostacijas avārijas rezultātā cietušo personu sociālās aizsardzības</w:t>
      </w:r>
      <w:r w:rsidRPr="006D48C2">
        <w:rPr>
          <w:rFonts w:ascii="Times New Roman" w:eastAsia="Calibri" w:hAnsi="Times New Roman" w:cs="Times New Roman"/>
          <w:sz w:val="24"/>
          <w:szCs w:val="24"/>
        </w:rPr>
        <w:t xml:space="preserve"> likumā.</w:t>
      </w:r>
    </w:p>
    <w:p w:rsidR="006D48C2" w:rsidRPr="006D48C2" w:rsidRDefault="006D48C2" w:rsidP="00210902">
      <w:pPr>
        <w:shd w:val="clear" w:color="auto" w:fill="FFFFFF"/>
        <w:spacing w:before="120" w:after="120" w:line="240" w:lineRule="auto"/>
        <w:jc w:val="both"/>
        <w:rPr>
          <w:rFonts w:ascii="Times New Roman" w:hAnsi="Times New Roman" w:cs="Times New Roman"/>
          <w:b/>
          <w:spacing w:val="-4"/>
          <w:sz w:val="24"/>
          <w:szCs w:val="24"/>
        </w:rPr>
      </w:pPr>
      <w:r w:rsidRPr="006D48C2">
        <w:rPr>
          <w:rFonts w:ascii="Times New Roman" w:hAnsi="Times New Roman" w:cs="Times New Roman"/>
          <w:b/>
          <w:sz w:val="24"/>
          <w:szCs w:val="24"/>
          <w:lang w:eastAsia="lv-LV"/>
        </w:rPr>
        <w:t xml:space="preserve">• </w:t>
      </w:r>
      <w:r w:rsidRPr="006D48C2">
        <w:rPr>
          <w:rFonts w:ascii="Times New Roman" w:hAnsi="Times New Roman" w:cs="Times New Roman"/>
          <w:b/>
          <w:spacing w:val="-4"/>
          <w:sz w:val="24"/>
          <w:szCs w:val="24"/>
        </w:rPr>
        <w:t>Minimālās atlīdzības sakarā ar nelaimes gadījumiem darbā un arodslimībām</w:t>
      </w:r>
    </w:p>
    <w:p w:rsidR="006D48C2" w:rsidRPr="006D48C2" w:rsidRDefault="006D48C2" w:rsidP="00210902">
      <w:pPr>
        <w:spacing w:before="120" w:after="120" w:line="240" w:lineRule="auto"/>
        <w:ind w:firstLine="567"/>
        <w:jc w:val="both"/>
        <w:rPr>
          <w:rFonts w:ascii="Times New Roman" w:hAnsi="Times New Roman" w:cs="Times New Roman"/>
          <w:sz w:val="24"/>
          <w:szCs w:val="24"/>
          <w:shd w:val="clear" w:color="auto" w:fill="FFFFFF"/>
        </w:rPr>
      </w:pPr>
      <w:r w:rsidRPr="006D48C2">
        <w:rPr>
          <w:rFonts w:ascii="Times New Roman" w:hAnsi="Times New Roman" w:cs="Times New Roman"/>
          <w:spacing w:val="-4"/>
          <w:sz w:val="24"/>
          <w:szCs w:val="24"/>
        </w:rPr>
        <w:t>Likuma “Par obligāto sociālo apdrošināšanu pret nelaimes gadījumiem darbā un arodslimībām” 13.panta trešā daļa nosaka, ka a</w:t>
      </w:r>
      <w:r w:rsidRPr="006D48C2">
        <w:rPr>
          <w:rFonts w:ascii="Times New Roman" w:hAnsi="Times New Roman" w:cs="Times New Roman"/>
          <w:sz w:val="24"/>
          <w:szCs w:val="24"/>
          <w:shd w:val="clear" w:color="auto" w:fill="FFFFFF"/>
        </w:rPr>
        <w:t>pdrošinātajai personai, kurai sakarā ar nelaimes gadījumu darbā vai arodslimību ir noteikta invaliditātes grupa, piešķirtā atlīdzība par darbspēju zaudējumu nedrīkst būt mazāka par likumā “</w:t>
      </w:r>
      <w:hyperlink r:id="rId12" w:tgtFrame="_blank" w:history="1">
        <w:r w:rsidRPr="006D48C2">
          <w:rPr>
            <w:rFonts w:ascii="Times New Roman" w:hAnsi="Times New Roman" w:cs="Times New Roman"/>
            <w:sz w:val="24"/>
            <w:szCs w:val="24"/>
            <w:shd w:val="clear" w:color="auto" w:fill="FFFFFF"/>
          </w:rPr>
          <w:t>Par valsts pensijām</w:t>
        </w:r>
      </w:hyperlink>
      <w:r w:rsidRPr="006D48C2">
        <w:rPr>
          <w:rFonts w:ascii="Times New Roman" w:hAnsi="Times New Roman" w:cs="Times New Roman"/>
          <w:sz w:val="24"/>
          <w:szCs w:val="24"/>
          <w:shd w:val="clear" w:color="auto" w:fill="FFFFFF"/>
        </w:rPr>
        <w:t>” atbilstošajai invaliditātes grupai noteikto invaliditātes pensijas minimālo apmēru.</w:t>
      </w:r>
    </w:p>
    <w:p w:rsidR="006D48C2" w:rsidRPr="006D48C2" w:rsidRDefault="006D48C2" w:rsidP="00210902">
      <w:pPr>
        <w:spacing w:before="120" w:after="120" w:line="240" w:lineRule="auto"/>
        <w:ind w:firstLine="567"/>
        <w:jc w:val="both"/>
        <w:rPr>
          <w:rFonts w:ascii="Times New Roman" w:hAnsi="Times New Roman" w:cs="Times New Roman"/>
          <w:sz w:val="24"/>
          <w:szCs w:val="24"/>
          <w:shd w:val="clear" w:color="auto" w:fill="FFFFFF"/>
        </w:rPr>
      </w:pPr>
      <w:r w:rsidRPr="006D48C2">
        <w:rPr>
          <w:rFonts w:ascii="Times New Roman" w:hAnsi="Times New Roman" w:cs="Times New Roman"/>
          <w:sz w:val="24"/>
          <w:szCs w:val="24"/>
          <w:shd w:val="clear" w:color="auto" w:fill="FFFFFF"/>
        </w:rPr>
        <w:t>Tiek plānots paaugstināt minimālās invaliditātes pensijas, piesaistot minimālo apmēru 25% un 30% no ienākumu mediānas. Līdz ar to paaugstināsies arī atlīdzību par darbspēju zaudējumu minimālie apmēri.</w:t>
      </w:r>
    </w:p>
    <w:p w:rsidR="006D48C2" w:rsidRPr="006D48C2" w:rsidRDefault="006D48C2" w:rsidP="00210902">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559"/>
        <w:gridCol w:w="1701"/>
        <w:gridCol w:w="1701"/>
      </w:tblGrid>
      <w:tr w:rsidR="006D48C2" w:rsidRPr="006D48C2" w:rsidTr="00210902">
        <w:trPr>
          <w:trHeight w:val="388"/>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spacing w:after="0"/>
              <w:jc w:val="both"/>
              <w:rPr>
                <w:rFonts w:ascii="Times New Roman" w:eastAsia="Calibri"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BD7D71">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D7D71">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BD7D71">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210902">
        <w:trPr>
          <w:trHeight w:val="2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Apdrošināšanas atlīdzību par darbspēju zaudējumu (saistībā ar minimālo apmēru)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48C2" w:rsidRPr="006D48C2" w:rsidRDefault="006D48C2" w:rsidP="00BD7D71">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440 508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BD7D71">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467 259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48C2" w:rsidRPr="006D48C2" w:rsidRDefault="006D48C2" w:rsidP="00BD7D71">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495 582</w:t>
            </w:r>
          </w:p>
        </w:tc>
      </w:tr>
    </w:tbl>
    <w:p w:rsidR="006D48C2" w:rsidRPr="006D48C2" w:rsidRDefault="006D48C2" w:rsidP="006D48C2">
      <w:pPr>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pakalpojumu saņēmējiem, kuru apmērs ir līdz jaunajam minimumam, to vidējiem apmēriem, īpatsvars pielīdzināts budžeta bāzes kontingentam.</w:t>
      </w:r>
    </w:p>
    <w:p w:rsidR="006D48C2" w:rsidRPr="006D48C2" w:rsidRDefault="006D48C2" w:rsidP="00210902">
      <w:pPr>
        <w:spacing w:before="120" w:after="120" w:line="240" w:lineRule="auto"/>
        <w:jc w:val="both"/>
        <w:rPr>
          <w:rFonts w:ascii="Times New Roman" w:hAnsi="Times New Roman" w:cs="Times New Roman"/>
          <w:b/>
          <w:sz w:val="24"/>
          <w:szCs w:val="24"/>
        </w:rPr>
      </w:pPr>
      <w:r w:rsidRPr="006D48C2">
        <w:rPr>
          <w:rFonts w:ascii="Times New Roman" w:hAnsi="Times New Roman" w:cs="Times New Roman"/>
          <w:b/>
          <w:sz w:val="24"/>
          <w:szCs w:val="24"/>
          <w:lang w:eastAsia="lv-LV"/>
        </w:rPr>
        <w:t xml:space="preserve">• </w:t>
      </w:r>
      <w:r w:rsidRPr="006D48C2">
        <w:rPr>
          <w:rFonts w:ascii="Times New Roman" w:hAnsi="Times New Roman" w:cs="Times New Roman"/>
          <w:b/>
          <w:sz w:val="24"/>
          <w:szCs w:val="24"/>
        </w:rPr>
        <w:t xml:space="preserve">Valsts </w:t>
      </w:r>
      <w:proofErr w:type="spellStart"/>
      <w:r w:rsidRPr="006D48C2">
        <w:rPr>
          <w:rFonts w:ascii="Times New Roman" w:hAnsi="Times New Roman" w:cs="Times New Roman"/>
          <w:b/>
          <w:sz w:val="24"/>
          <w:szCs w:val="24"/>
        </w:rPr>
        <w:t>fondētās</w:t>
      </w:r>
      <w:proofErr w:type="spellEnd"/>
      <w:r w:rsidRPr="006D48C2">
        <w:rPr>
          <w:rFonts w:ascii="Times New Roman" w:hAnsi="Times New Roman" w:cs="Times New Roman"/>
          <w:b/>
          <w:sz w:val="24"/>
          <w:szCs w:val="24"/>
        </w:rPr>
        <w:t xml:space="preserve"> pensijas kapitāls</w:t>
      </w:r>
    </w:p>
    <w:p w:rsidR="006D48C2" w:rsidRPr="006D48C2" w:rsidRDefault="006D48C2" w:rsidP="0021090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Valsts </w:t>
      </w:r>
      <w:proofErr w:type="spellStart"/>
      <w:r w:rsidRPr="006D48C2">
        <w:rPr>
          <w:rFonts w:ascii="Times New Roman" w:hAnsi="Times New Roman" w:cs="Times New Roman"/>
          <w:sz w:val="24"/>
          <w:szCs w:val="24"/>
          <w:lang w:eastAsia="lv-LV"/>
        </w:rPr>
        <w:t>fondēto</w:t>
      </w:r>
      <w:proofErr w:type="spellEnd"/>
      <w:r w:rsidRPr="006D48C2">
        <w:rPr>
          <w:rFonts w:ascii="Times New Roman" w:hAnsi="Times New Roman" w:cs="Times New Roman"/>
          <w:sz w:val="24"/>
          <w:szCs w:val="24"/>
          <w:lang w:eastAsia="lv-LV"/>
        </w:rPr>
        <w:t xml:space="preserve"> pensiju likuma 8.pants regulē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kapitāla izmantošanu valsts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pensiju shēmas (turpmāk – VFPS) dalībnieka nāves gadījumā. VFPS dalībniekam ir tiesības izvēlēties, kam novirzīt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kapitālu, ja viņš nomirst līdz vecuma pensijas piešķiršanai, t.i.:</w:t>
      </w:r>
    </w:p>
    <w:p w:rsidR="006D48C2" w:rsidRPr="006D48C2" w:rsidRDefault="006D48C2" w:rsidP="0021090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1) ieskaitīt valsts pensiju speciālajā budžetā;</w:t>
      </w:r>
    </w:p>
    <w:p w:rsidR="006D48C2" w:rsidRPr="006D48C2" w:rsidRDefault="006D48C2" w:rsidP="0021090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2) pievienot citas personas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kapitālam;</w:t>
      </w:r>
    </w:p>
    <w:p w:rsidR="006D48C2" w:rsidRPr="006D48C2" w:rsidRDefault="006D48C2" w:rsidP="0021090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3) atstāt mantošanai Civillikumā noteiktajā kārtībā.</w:t>
      </w:r>
    </w:p>
    <w:p w:rsidR="006D48C2" w:rsidRPr="006D48C2" w:rsidRDefault="006D48C2" w:rsidP="00210902">
      <w:pPr>
        <w:spacing w:before="120" w:after="120" w:line="240" w:lineRule="auto"/>
        <w:ind w:firstLine="720"/>
        <w:jc w:val="both"/>
        <w:rPr>
          <w:rFonts w:ascii="Times New Roman" w:hAnsi="Times New Roman" w:cs="Times New Roman"/>
          <w:sz w:val="24"/>
          <w:szCs w:val="24"/>
          <w:lang w:eastAsia="lv-LV"/>
        </w:rPr>
      </w:pPr>
      <w:r w:rsidRPr="006D48C2">
        <w:rPr>
          <w:rFonts w:ascii="Times New Roman" w:hAnsi="Times New Roman" w:cs="Times New Roman"/>
          <w:sz w:val="24"/>
          <w:szCs w:val="24"/>
          <w:lang w:eastAsia="lv-LV"/>
        </w:rPr>
        <w:t xml:space="preserve">Ja VFPS dalībnieks nebūs izdarījis izvēli, kā arī, ja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kapitāls ir mazāks par 35% no valsts sociālā nodrošinājuma pabalsta,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kapitālu ieskaita valsts pensiju speciālajā budžetā. </w:t>
      </w:r>
    </w:p>
    <w:p w:rsidR="006D48C2" w:rsidRPr="006D48C2" w:rsidRDefault="006D48C2" w:rsidP="00210902">
      <w:pPr>
        <w:spacing w:before="120" w:after="120" w:line="240" w:lineRule="auto"/>
        <w:ind w:firstLine="720"/>
        <w:jc w:val="both"/>
        <w:rPr>
          <w:rFonts w:ascii="Times New Roman" w:hAnsi="Times New Roman" w:cs="Times New Roman"/>
          <w:noProof/>
          <w:sz w:val="24"/>
          <w:szCs w:val="24"/>
          <w:lang w:eastAsia="lv-LV"/>
        </w:rPr>
      </w:pPr>
      <w:r w:rsidRPr="006D48C2">
        <w:rPr>
          <w:rFonts w:ascii="Times New Roman" w:hAnsi="Times New Roman" w:cs="Times New Roman"/>
          <w:noProof/>
          <w:sz w:val="24"/>
          <w:szCs w:val="24"/>
          <w:lang w:eastAsia="lv-LV"/>
        </w:rPr>
        <w:t xml:space="preserve">Plānots noteikt, ja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kapitāls ir mazāks par 35% no valsts sociālā nodrošinājuma pabalsta </w:t>
      </w:r>
      <w:r w:rsidRPr="006D48C2">
        <w:rPr>
          <w:rFonts w:ascii="Times New Roman" w:hAnsi="Times New Roman" w:cs="Times New Roman"/>
          <w:sz w:val="24"/>
          <w:szCs w:val="24"/>
          <w:shd w:val="clear" w:color="auto" w:fill="FFFFFF"/>
        </w:rPr>
        <w:t xml:space="preserve">apmēra, kas noteikts Valsts sociālo pabalstu likuma 13.panta pirmās daļas 1.punktā minētajām personām, </w:t>
      </w:r>
      <w:proofErr w:type="spellStart"/>
      <w:r w:rsidRPr="006D48C2">
        <w:rPr>
          <w:rFonts w:ascii="Times New Roman" w:hAnsi="Times New Roman" w:cs="Times New Roman"/>
          <w:sz w:val="24"/>
          <w:szCs w:val="24"/>
          <w:lang w:eastAsia="lv-LV"/>
        </w:rPr>
        <w:t>fondētās</w:t>
      </w:r>
      <w:proofErr w:type="spellEnd"/>
      <w:r w:rsidRPr="006D48C2">
        <w:rPr>
          <w:rFonts w:ascii="Times New Roman" w:hAnsi="Times New Roman" w:cs="Times New Roman"/>
          <w:sz w:val="24"/>
          <w:szCs w:val="24"/>
          <w:lang w:eastAsia="lv-LV"/>
        </w:rPr>
        <w:t xml:space="preserve"> pensijas kapitālu ieskaita valsts pensiju speciālajā budžetā.</w:t>
      </w:r>
    </w:p>
    <w:p w:rsidR="006D48C2" w:rsidRPr="006D48C2" w:rsidRDefault="006D48C2" w:rsidP="00210902">
      <w:pPr>
        <w:spacing w:before="120" w:after="120" w:line="240" w:lineRule="auto"/>
        <w:ind w:firstLine="709"/>
        <w:jc w:val="both"/>
        <w:rPr>
          <w:rFonts w:ascii="Times New Roman" w:hAnsi="Times New Roman" w:cs="Times New Roman"/>
          <w:sz w:val="24"/>
          <w:szCs w:val="24"/>
        </w:rPr>
      </w:pPr>
      <w:r w:rsidRPr="006D48C2">
        <w:rPr>
          <w:rFonts w:ascii="Times New Roman" w:hAnsi="Times New Roman" w:cs="Times New Roman"/>
          <w:sz w:val="24"/>
          <w:szCs w:val="24"/>
        </w:rPr>
        <w:t>Pasākumam nav finansiālas ietekmes.</w:t>
      </w:r>
    </w:p>
    <w:p w:rsidR="006D48C2" w:rsidRPr="006D48C2" w:rsidRDefault="006D48C2" w:rsidP="00210902">
      <w:pPr>
        <w:spacing w:before="120" w:after="120" w:line="240" w:lineRule="auto"/>
        <w:ind w:left="709"/>
        <w:jc w:val="both"/>
        <w:rPr>
          <w:rFonts w:ascii="Times New Roman" w:hAnsi="Times New Roman" w:cs="Times New Roman"/>
          <w:sz w:val="24"/>
          <w:szCs w:val="24"/>
        </w:rPr>
      </w:pPr>
      <w:r w:rsidRPr="006D48C2">
        <w:rPr>
          <w:rFonts w:ascii="Times New Roman" w:hAnsi="Times New Roman" w:cs="Times New Roman"/>
          <w:sz w:val="24"/>
          <w:szCs w:val="24"/>
        </w:rPr>
        <w:t xml:space="preserve">Nepieciešams veikt grozījumus Valsts </w:t>
      </w:r>
      <w:proofErr w:type="spellStart"/>
      <w:r w:rsidRPr="006D48C2">
        <w:rPr>
          <w:rFonts w:ascii="Times New Roman" w:hAnsi="Times New Roman" w:cs="Times New Roman"/>
          <w:sz w:val="24"/>
          <w:szCs w:val="24"/>
        </w:rPr>
        <w:t>fondēto</w:t>
      </w:r>
      <w:proofErr w:type="spellEnd"/>
      <w:r w:rsidRPr="006D48C2">
        <w:rPr>
          <w:rFonts w:ascii="Times New Roman" w:hAnsi="Times New Roman" w:cs="Times New Roman"/>
          <w:sz w:val="24"/>
          <w:szCs w:val="24"/>
        </w:rPr>
        <w:t xml:space="preserve"> pensiju likumā.</w:t>
      </w:r>
    </w:p>
    <w:p w:rsidR="006D48C2" w:rsidRPr="006D48C2" w:rsidRDefault="006D48C2" w:rsidP="00210902">
      <w:pPr>
        <w:spacing w:before="120" w:after="120" w:line="240" w:lineRule="auto"/>
        <w:jc w:val="both"/>
        <w:rPr>
          <w:rFonts w:ascii="Times New Roman" w:hAnsi="Times New Roman" w:cs="Times New Roman"/>
          <w:b/>
          <w:sz w:val="24"/>
          <w:szCs w:val="24"/>
        </w:rPr>
      </w:pPr>
      <w:r w:rsidRPr="006D48C2">
        <w:rPr>
          <w:rFonts w:ascii="Times New Roman" w:hAnsi="Times New Roman" w:cs="Times New Roman"/>
          <w:b/>
          <w:sz w:val="24"/>
          <w:szCs w:val="24"/>
          <w:lang w:eastAsia="lv-LV"/>
        </w:rPr>
        <w:t xml:space="preserve">• </w:t>
      </w:r>
      <w:r w:rsidRPr="006D48C2">
        <w:rPr>
          <w:rFonts w:ascii="Times New Roman" w:hAnsi="Times New Roman" w:cs="Times New Roman"/>
          <w:b/>
          <w:sz w:val="24"/>
          <w:szCs w:val="24"/>
        </w:rPr>
        <w:t>Sociālās apdrošināšanas iemaksas</w:t>
      </w:r>
    </w:p>
    <w:p w:rsidR="006D48C2" w:rsidRPr="006D48C2" w:rsidRDefault="006D48C2" w:rsidP="0021090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 xml:space="preserve">Likuma “Par valsts sociālo apdrošināšanu” 21.¹panta trešajā daļā ir noteiks, ka pārmaksātās valsts sociālās apdrošināšanas obligātās iemaksas (turpmāk – obligātās iemaksas), kas nesasniedz 35% no valsts sociālā nodrošinājuma pabalsta, netiek atmaksātas, bet tiek uzkrātas līdz sasniedz šo apmēru. Tā kā no 2021.gada 1.janvāra valsts sociālā nodrošinājuma pabalstu plānots paaugstināt, tad palielinātos arī obligātās iemaksas, kas netiek personai atmaksātas. Lai nepasliktinātu personas tiesības saņemt pārmaksātās obligātās iemaksas, plānots saglabāt līdzšinējo summu, kuru sasniedzot, persona varēs saņemt pārmaksātās obligātās iemaksas, t.i., 22,41 </w:t>
      </w:r>
      <w:proofErr w:type="spellStart"/>
      <w:r w:rsidRPr="006D48C2">
        <w:rPr>
          <w:rFonts w:ascii="Times New Roman" w:hAnsi="Times New Roman" w:cs="Times New Roman"/>
          <w:i/>
          <w:sz w:val="24"/>
          <w:szCs w:val="24"/>
        </w:rPr>
        <w:t>euro</w:t>
      </w:r>
      <w:proofErr w:type="spellEnd"/>
      <w:r w:rsidRPr="006D48C2">
        <w:rPr>
          <w:rFonts w:ascii="Times New Roman" w:hAnsi="Times New Roman" w:cs="Times New Roman"/>
          <w:sz w:val="24"/>
          <w:szCs w:val="24"/>
        </w:rPr>
        <w:t xml:space="preserve"> (35% no 64,03 </w:t>
      </w:r>
      <w:proofErr w:type="spellStart"/>
      <w:r w:rsidRPr="006D48C2">
        <w:rPr>
          <w:rFonts w:ascii="Times New Roman" w:hAnsi="Times New Roman" w:cs="Times New Roman"/>
          <w:i/>
          <w:sz w:val="24"/>
          <w:szCs w:val="24"/>
        </w:rPr>
        <w:t>euro</w:t>
      </w:r>
      <w:proofErr w:type="spellEnd"/>
      <w:r w:rsidRPr="006D48C2">
        <w:rPr>
          <w:rFonts w:ascii="Times New Roman" w:hAnsi="Times New Roman" w:cs="Times New Roman"/>
          <w:sz w:val="24"/>
          <w:szCs w:val="24"/>
        </w:rPr>
        <w:t xml:space="preserve">).   </w:t>
      </w:r>
    </w:p>
    <w:p w:rsidR="006D48C2" w:rsidRPr="006D48C2" w:rsidRDefault="006D48C2" w:rsidP="0021090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Likuma “Par valsts sociālo apdrošināšanu” 28.pantā ir noteikts, kādu parāda summu Valsts sociālās apdrošināšanas aģentūra ir tiesīga izslēgt no bilances (tās uzskaitē esošās pārmaksu summas, kuras radušās sociālās apdrošināšanas pakalpojumu, valsts sociālo pabalstu un izdienas pensiju saņēmēju vainas dēļ), ja to piedziņa nav iespējama, jo administratīvā akta izpildei iestājies noilgums vai parādnieks ir miris, proti, parāda summu līdz 35% no valsts sociālā nodrošinājuma pabalsta apmēra jeb līdz 22,41</w:t>
      </w:r>
      <w:r w:rsidRPr="006D48C2">
        <w:rPr>
          <w:rFonts w:ascii="Times New Roman" w:hAnsi="Times New Roman" w:cs="Times New Roman"/>
          <w:i/>
          <w:sz w:val="24"/>
          <w:szCs w:val="24"/>
        </w:rPr>
        <w:t xml:space="preserve"> </w:t>
      </w:r>
      <w:proofErr w:type="spellStart"/>
      <w:r w:rsidRPr="006D48C2">
        <w:rPr>
          <w:rFonts w:ascii="Times New Roman" w:hAnsi="Times New Roman" w:cs="Times New Roman"/>
          <w:i/>
          <w:sz w:val="24"/>
          <w:szCs w:val="24"/>
        </w:rPr>
        <w:t>euro</w:t>
      </w:r>
      <w:proofErr w:type="spellEnd"/>
      <w:r w:rsidRPr="006D48C2">
        <w:rPr>
          <w:rFonts w:ascii="Times New Roman" w:hAnsi="Times New Roman" w:cs="Times New Roman"/>
          <w:sz w:val="24"/>
          <w:szCs w:val="24"/>
        </w:rPr>
        <w:t xml:space="preserve">. Lai tiktu saglabāta līdzšinējā kārtība, plānots noteikt, ka, ja parādnieks ir miris vai parāda piedziņa nav iespējama, Valsts sociālās apdrošināšanas aģentūra ir tiesīga norakstīt parāda summu, kas nepārsniedz 22,41 </w:t>
      </w:r>
      <w:proofErr w:type="spellStart"/>
      <w:r w:rsidRPr="006D48C2">
        <w:rPr>
          <w:rFonts w:ascii="Times New Roman" w:hAnsi="Times New Roman" w:cs="Times New Roman"/>
          <w:i/>
          <w:sz w:val="24"/>
          <w:szCs w:val="24"/>
        </w:rPr>
        <w:t>euro</w:t>
      </w:r>
      <w:proofErr w:type="spellEnd"/>
      <w:r w:rsidRPr="006D48C2">
        <w:rPr>
          <w:rFonts w:ascii="Times New Roman" w:hAnsi="Times New Roman" w:cs="Times New Roman"/>
          <w:sz w:val="24"/>
          <w:szCs w:val="24"/>
        </w:rPr>
        <w:t>.</w:t>
      </w:r>
    </w:p>
    <w:p w:rsidR="006D48C2" w:rsidRPr="006D48C2" w:rsidRDefault="006D48C2" w:rsidP="0021090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Pasākumam nav finansiālas ietekmes.</w:t>
      </w:r>
    </w:p>
    <w:p w:rsidR="006D48C2" w:rsidRPr="006D48C2" w:rsidRDefault="006D48C2" w:rsidP="0021090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Nepieciešams veikt grozījumus likumā “Par valsts sociālo apdrošināšanu”.</w:t>
      </w:r>
    </w:p>
    <w:p w:rsidR="006D48C2" w:rsidRPr="006D48C2" w:rsidRDefault="006D48C2" w:rsidP="00210902">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Atbalsts bērniem apgādnieka nāves gadījumā</w:t>
      </w:r>
    </w:p>
    <w:p w:rsidR="006D48C2" w:rsidRPr="006D48C2" w:rsidRDefault="006D48C2" w:rsidP="00210902">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Pasākuma mērķis ir sniegt lielāku minimālo atbalstu bērniem, kas zaudējuši apgādnieku, nosakot to</w:t>
      </w:r>
      <w:r w:rsidRPr="006D48C2">
        <w:rPr>
          <w:rFonts w:ascii="Times New Roman" w:eastAsia="Calibri" w:hAnsi="Times New Roman" w:cs="Times New Roman"/>
          <w:iCs/>
          <w:sz w:val="24"/>
          <w:szCs w:val="24"/>
        </w:rPr>
        <w:t xml:space="preserve"> </w:t>
      </w:r>
      <w:r w:rsidRPr="006D48C2">
        <w:rPr>
          <w:rFonts w:ascii="Times New Roman" w:eastAsia="Calibri" w:hAnsi="Times New Roman" w:cs="Times New Roman"/>
          <w:bCs/>
          <w:sz w:val="24"/>
          <w:szCs w:val="24"/>
        </w:rPr>
        <w:t>procentuālā apmērā no mājsaimniecību rīcībā esošās ienākumu mediānas uz vienu ekvivalento patērētāju.</w:t>
      </w:r>
    </w:p>
    <w:p w:rsidR="006D48C2" w:rsidRPr="006D48C2" w:rsidRDefault="006D48C2" w:rsidP="00210902">
      <w:pPr>
        <w:spacing w:before="120" w:after="120" w:line="240" w:lineRule="auto"/>
        <w:ind w:firstLine="720"/>
        <w:jc w:val="both"/>
        <w:rPr>
          <w:rFonts w:ascii="Times New Roman" w:hAnsi="Times New Roman" w:cs="Times New Roman"/>
          <w:iCs/>
          <w:sz w:val="24"/>
          <w:szCs w:val="24"/>
          <w:lang w:eastAsia="lv-LV"/>
        </w:rPr>
      </w:pPr>
      <w:r w:rsidRPr="006D48C2">
        <w:rPr>
          <w:rFonts w:ascii="Times New Roman" w:hAnsi="Times New Roman" w:cs="Times New Roman"/>
          <w:iCs/>
          <w:sz w:val="24"/>
          <w:szCs w:val="24"/>
          <w:lang w:eastAsia="lv-LV"/>
        </w:rPr>
        <w:t xml:space="preserve">Saskaņā ar Ministru kabineta 2017.gada 21.marta noteikumiem Nr.156 “Noteikumi par apgādnieka zaudējuma pensijas, atlīdzības par apgādnieka zaudējumu un valsts sociālā nodrošinājuma pabalsta apgādnieka zaudējuma gadījumā minimālo apmēru un tā pārskatīšanas kārtību” noteikts, ka apgādnieka zaudējuma pensijas, atlīdzības par apgādnieka zaudējumu un valsts sociālā nodrošinājuma pabalsta apgādnieka zaudējuma gadījumā minimālais apmērs katram bērnam no dzimšanas līdz septiņu gadu vecuma sasniegšanai ir 92,50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(bērnam ar invaliditāti kopš bērnības – 106,72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 xml:space="preserve">) un no septiņu gadu vecuma – 111 </w:t>
      </w:r>
      <w:proofErr w:type="spellStart"/>
      <w:r w:rsidRPr="006D48C2">
        <w:rPr>
          <w:rFonts w:ascii="Times New Roman" w:hAnsi="Times New Roman" w:cs="Times New Roman"/>
          <w:i/>
          <w:iCs/>
          <w:sz w:val="24"/>
          <w:szCs w:val="24"/>
          <w:lang w:eastAsia="lv-LV"/>
        </w:rPr>
        <w:t>euro</w:t>
      </w:r>
      <w:proofErr w:type="spellEnd"/>
      <w:r w:rsidRPr="006D48C2">
        <w:rPr>
          <w:rFonts w:ascii="Times New Roman" w:hAnsi="Times New Roman" w:cs="Times New Roman"/>
          <w:iCs/>
          <w:sz w:val="24"/>
          <w:szCs w:val="24"/>
          <w:lang w:eastAsia="lv-LV"/>
        </w:rPr>
        <w:t>.</w:t>
      </w:r>
    </w:p>
    <w:p w:rsidR="006D48C2" w:rsidRPr="006D48C2" w:rsidRDefault="006D48C2" w:rsidP="00A73606">
      <w:pPr>
        <w:spacing w:before="120" w:after="120" w:line="240" w:lineRule="auto"/>
        <w:ind w:firstLine="720"/>
        <w:jc w:val="both"/>
        <w:rPr>
          <w:rFonts w:ascii="Times New Roman" w:eastAsia="Calibri" w:hAnsi="Times New Roman" w:cs="Times New Roman"/>
          <w:sz w:val="24"/>
          <w:szCs w:val="24"/>
        </w:rPr>
      </w:pPr>
      <w:r w:rsidRPr="006D48C2">
        <w:rPr>
          <w:rFonts w:ascii="Times New Roman" w:eastAsia="Calibri" w:hAnsi="Times New Roman" w:cs="Times New Roman"/>
          <w:sz w:val="24"/>
          <w:szCs w:val="24"/>
        </w:rPr>
        <w:t xml:space="preserve">Pārskatot visu pakalpojumu minimālos apmērus un piesaistot tos noteiktam </w:t>
      </w:r>
      <w:r w:rsidRPr="006D48C2">
        <w:rPr>
          <w:rFonts w:ascii="Times New Roman" w:eastAsia="Calibri" w:hAnsi="Times New Roman" w:cs="Times New Roman"/>
          <w:bCs/>
          <w:sz w:val="24"/>
          <w:szCs w:val="24"/>
        </w:rPr>
        <w:t>procentuālajam apmēram no ienākumu mediānas,</w:t>
      </w:r>
      <w:r w:rsidRPr="006D48C2">
        <w:rPr>
          <w:rFonts w:ascii="Times New Roman" w:eastAsia="Calibri" w:hAnsi="Times New Roman" w:cs="Times New Roman"/>
          <w:sz w:val="24"/>
          <w:szCs w:val="24"/>
        </w:rPr>
        <w:t xml:space="preserve"> plānots paaugstināt minimālo apmēru katram bērnam, nosakot to 25% apmērā no ienākumu mediānas bērniem līdz 7 gadu vecumam un 30% apmērā no ienākumu mediānas bērniem no 7 gadu vecuma.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73"/>
        <w:gridCol w:w="3964"/>
        <w:gridCol w:w="2805"/>
      </w:tblGrid>
      <w:tr w:rsidR="006D48C2" w:rsidRPr="006D48C2" w:rsidTr="00210902">
        <w:trPr>
          <w:trHeight w:val="20"/>
        </w:trPr>
        <w:tc>
          <w:tcPr>
            <w:tcW w:w="0" w:type="auto"/>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Verdana" w:hAnsi="Times New Roman" w:cs="Times New Roman"/>
                <w:bCs/>
                <w:kern w:val="24"/>
                <w:sz w:val="20"/>
                <w:szCs w:val="20"/>
                <w:lang w:eastAsia="lv-LV"/>
              </w:rPr>
              <w:t>Esošais apmērs</w:t>
            </w:r>
            <w:r w:rsidRPr="006D48C2">
              <w:rPr>
                <w:rFonts w:ascii="Times New Roman" w:eastAsia="Verdana" w:hAnsi="Times New Roman" w:cs="Times New Roman"/>
                <w:bCs/>
                <w:kern w:val="24"/>
                <w:sz w:val="20"/>
                <w:szCs w:val="20"/>
                <w:lang w:val="en-GB" w:eastAsia="lv-LV"/>
              </w:rPr>
              <w:t xml:space="preserve">, </w:t>
            </w:r>
            <w:r w:rsidRPr="006D48C2">
              <w:rPr>
                <w:rFonts w:ascii="Times New Roman" w:eastAsia="Verdana" w:hAnsi="Times New Roman" w:cs="Times New Roman"/>
                <w:bCs/>
                <w:i/>
                <w:kern w:val="24"/>
                <w:sz w:val="20"/>
                <w:szCs w:val="20"/>
                <w:lang w:val="en-GB" w:eastAsia="lv-LV"/>
              </w:rPr>
              <w:t>euro</w:t>
            </w:r>
            <w:r w:rsidRPr="006D48C2">
              <w:rPr>
                <w:rFonts w:ascii="Times New Roman" w:eastAsia="Verdana" w:hAnsi="Times New Roman" w:cs="Times New Roman"/>
                <w:bCs/>
                <w:kern w:val="24"/>
                <w:sz w:val="20"/>
                <w:szCs w:val="20"/>
                <w:lang w:val="en-GB" w:eastAsia="lv-LV"/>
              </w:rPr>
              <w:t xml:space="preserve"> </w:t>
            </w:r>
          </w:p>
        </w:tc>
        <w:tc>
          <w:tcPr>
            <w:tcW w:w="2805" w:type="dxa"/>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hAnsi="Times New Roman" w:cs="Times New Roman"/>
                <w:bCs/>
                <w:sz w:val="20"/>
                <w:szCs w:val="20"/>
                <w:lang w:eastAsia="lv-LV"/>
              </w:rPr>
              <w:t>Plānotais apmērs</w:t>
            </w:r>
            <w:r w:rsidRPr="006D48C2">
              <w:rPr>
                <w:rFonts w:ascii="Times New Roman" w:eastAsia="Verdana" w:hAnsi="Times New Roman" w:cs="Times New Roman"/>
                <w:bCs/>
                <w:kern w:val="24"/>
                <w:sz w:val="20"/>
                <w:szCs w:val="20"/>
                <w:lang w:eastAsia="lv-LV"/>
              </w:rPr>
              <w:t xml:space="preserve">, </w:t>
            </w:r>
            <w:r w:rsidRPr="006D48C2">
              <w:rPr>
                <w:rFonts w:ascii="Times New Roman" w:eastAsia="Verdana" w:hAnsi="Times New Roman" w:cs="Times New Roman"/>
                <w:bCs/>
                <w:i/>
                <w:kern w:val="24"/>
                <w:sz w:val="20"/>
                <w:szCs w:val="20"/>
                <w:lang w:val="en-US" w:eastAsia="lv-LV"/>
              </w:rPr>
              <w:t>euro</w:t>
            </w:r>
          </w:p>
        </w:tc>
      </w:tr>
      <w:tr w:rsidR="006D48C2" w:rsidRPr="006D48C2" w:rsidTr="00210902">
        <w:trPr>
          <w:trHeight w:val="20"/>
        </w:trPr>
        <w:tc>
          <w:tcPr>
            <w:tcW w:w="0" w:type="auto"/>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proofErr w:type="spellStart"/>
            <w:r w:rsidRPr="006D48C2">
              <w:rPr>
                <w:rFonts w:ascii="Times New Roman" w:eastAsia="MS PGothic" w:hAnsi="Times New Roman" w:cs="Times New Roman"/>
                <w:kern w:val="24"/>
                <w:sz w:val="20"/>
                <w:szCs w:val="20"/>
                <w:lang w:val="en-GB" w:eastAsia="lv-LV"/>
              </w:rPr>
              <w:t>līdz</w:t>
            </w:r>
            <w:proofErr w:type="spellEnd"/>
            <w:r w:rsidRPr="006D48C2">
              <w:rPr>
                <w:rFonts w:ascii="Times New Roman" w:eastAsia="MS PGothic" w:hAnsi="Times New Roman" w:cs="Times New Roman"/>
                <w:kern w:val="24"/>
                <w:sz w:val="20"/>
                <w:szCs w:val="20"/>
                <w:lang w:val="en-GB" w:eastAsia="lv-LV"/>
              </w:rPr>
              <w:t xml:space="preserve"> </w:t>
            </w:r>
            <w:r w:rsidRPr="006D48C2">
              <w:rPr>
                <w:rFonts w:ascii="Times New Roman" w:eastAsia="MS PGothic" w:hAnsi="Times New Roman" w:cs="Times New Roman"/>
                <w:b/>
                <w:bCs/>
                <w:kern w:val="24"/>
                <w:sz w:val="20"/>
                <w:szCs w:val="20"/>
                <w:lang w:val="en-GB" w:eastAsia="lv-LV"/>
              </w:rPr>
              <w:t>6</w:t>
            </w:r>
            <w:r w:rsidRPr="006D48C2">
              <w:rPr>
                <w:rFonts w:ascii="Times New Roman" w:eastAsia="MS PGothic" w:hAnsi="Times New Roman" w:cs="Times New Roman"/>
                <w:kern w:val="24"/>
                <w:sz w:val="20"/>
                <w:szCs w:val="20"/>
                <w:lang w:val="en-GB" w:eastAsia="lv-LV"/>
              </w:rPr>
              <w:t xml:space="preserve"> </w:t>
            </w:r>
            <w:proofErr w:type="spellStart"/>
            <w:r w:rsidRPr="006D48C2">
              <w:rPr>
                <w:rFonts w:ascii="Times New Roman" w:eastAsia="MS PGothic" w:hAnsi="Times New Roman" w:cs="Times New Roman"/>
                <w:kern w:val="24"/>
                <w:sz w:val="20"/>
                <w:szCs w:val="20"/>
                <w:lang w:val="en-GB" w:eastAsia="lv-LV"/>
              </w:rPr>
              <w:t>g.v</w:t>
            </w:r>
            <w:proofErr w:type="spellEnd"/>
            <w:r w:rsidRPr="006D48C2">
              <w:rPr>
                <w:rFonts w:ascii="Times New Roman" w:eastAsia="MS PGothic" w:hAnsi="Times New Roman" w:cs="Times New Roman"/>
                <w:kern w:val="24"/>
                <w:sz w:val="20"/>
                <w:szCs w:val="20"/>
                <w:lang w:val="en-GB" w:eastAsia="lv-LV"/>
              </w:rPr>
              <w:t>. (</w:t>
            </w:r>
            <w:proofErr w:type="spellStart"/>
            <w:r w:rsidRPr="006D48C2">
              <w:rPr>
                <w:rFonts w:ascii="Times New Roman" w:eastAsia="MS PGothic" w:hAnsi="Times New Roman" w:cs="Times New Roman"/>
                <w:kern w:val="24"/>
                <w:sz w:val="20"/>
                <w:szCs w:val="20"/>
                <w:lang w:val="en-GB" w:eastAsia="lv-LV"/>
              </w:rPr>
              <w:t>ieskaitot</w:t>
            </w:r>
            <w:proofErr w:type="spellEnd"/>
            <w:r w:rsidRPr="006D48C2">
              <w:rPr>
                <w:rFonts w:ascii="Times New Roman" w:eastAsia="MS PGothic" w:hAnsi="Times New Roman" w:cs="Times New Roman"/>
                <w:kern w:val="24"/>
                <w:sz w:val="20"/>
                <w:szCs w:val="20"/>
                <w:lang w:val="en-GB" w:eastAsia="lv-LV"/>
              </w:rPr>
              <w:t>)</w:t>
            </w:r>
          </w:p>
        </w:tc>
        <w:tc>
          <w:tcPr>
            <w:tcW w:w="0" w:type="auto"/>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eastAsia="MS PGothic" w:hAnsi="Times New Roman" w:cs="Times New Roman"/>
                <w:b/>
                <w:bCs/>
                <w:kern w:val="24"/>
                <w:sz w:val="20"/>
                <w:szCs w:val="20"/>
                <w:lang w:val="en-GB" w:eastAsia="lv-LV"/>
              </w:rPr>
            </w:pPr>
            <w:r w:rsidRPr="006D48C2">
              <w:rPr>
                <w:rFonts w:ascii="Times New Roman" w:eastAsia="MS PGothic" w:hAnsi="Times New Roman" w:cs="Times New Roman"/>
                <w:b/>
                <w:bCs/>
                <w:kern w:val="24"/>
                <w:sz w:val="20"/>
                <w:szCs w:val="20"/>
                <w:lang w:val="en-GB" w:eastAsia="lv-LV"/>
              </w:rPr>
              <w:t xml:space="preserve">92,50 </w:t>
            </w:r>
          </w:p>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val="en-GB" w:eastAsia="lv-LV"/>
              </w:rPr>
              <w:t>(</w:t>
            </w:r>
            <w:r w:rsidRPr="006D48C2">
              <w:rPr>
                <w:rFonts w:ascii="Times New Roman" w:eastAsia="MS PGothic" w:hAnsi="Times New Roman" w:cs="Times New Roman"/>
                <w:kern w:val="24"/>
                <w:sz w:val="20"/>
                <w:szCs w:val="20"/>
                <w:lang w:val="pt-BR" w:eastAsia="lv-LV"/>
              </w:rPr>
              <w:t>bērnam ar invaliditāti kopš bērnības – 106,72)</w:t>
            </w:r>
          </w:p>
        </w:tc>
        <w:tc>
          <w:tcPr>
            <w:tcW w:w="2805" w:type="dxa"/>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val="en-GB" w:eastAsia="lv-LV"/>
              </w:rPr>
              <w:t xml:space="preserve">136 </w:t>
            </w:r>
            <w:r w:rsidRPr="006D48C2">
              <w:rPr>
                <w:rFonts w:ascii="Times New Roman" w:eastAsia="MS PGothic" w:hAnsi="Times New Roman" w:cs="Times New Roman"/>
                <w:bCs/>
                <w:kern w:val="24"/>
                <w:sz w:val="20"/>
                <w:szCs w:val="20"/>
                <w:lang w:val="en-GB" w:eastAsia="lv-LV"/>
              </w:rPr>
              <w:t xml:space="preserve">(25% no </w:t>
            </w:r>
            <w:proofErr w:type="spellStart"/>
            <w:r w:rsidRPr="006D48C2">
              <w:rPr>
                <w:rFonts w:ascii="Times New Roman" w:eastAsia="MS PGothic" w:hAnsi="Times New Roman" w:cs="Times New Roman"/>
                <w:bCs/>
                <w:kern w:val="24"/>
                <w:sz w:val="20"/>
                <w:szCs w:val="20"/>
                <w:lang w:val="en-GB" w:eastAsia="lv-LV"/>
              </w:rPr>
              <w:t>ienākumu</w:t>
            </w:r>
            <w:proofErr w:type="spellEnd"/>
            <w:r w:rsidRPr="006D48C2">
              <w:rPr>
                <w:rFonts w:ascii="Times New Roman" w:eastAsia="MS PGothic" w:hAnsi="Times New Roman" w:cs="Times New Roman"/>
                <w:bCs/>
                <w:kern w:val="24"/>
                <w:sz w:val="20"/>
                <w:szCs w:val="20"/>
                <w:lang w:val="en-GB" w:eastAsia="lv-LV"/>
              </w:rPr>
              <w:t xml:space="preserve"> </w:t>
            </w:r>
            <w:proofErr w:type="spellStart"/>
            <w:r w:rsidRPr="006D48C2">
              <w:rPr>
                <w:rFonts w:ascii="Times New Roman" w:eastAsia="MS PGothic" w:hAnsi="Times New Roman" w:cs="Times New Roman"/>
                <w:bCs/>
                <w:kern w:val="24"/>
                <w:sz w:val="20"/>
                <w:szCs w:val="20"/>
                <w:lang w:val="en-GB" w:eastAsia="lv-LV"/>
              </w:rPr>
              <w:t>mediānas</w:t>
            </w:r>
            <w:proofErr w:type="spellEnd"/>
            <w:r w:rsidRPr="006D48C2">
              <w:rPr>
                <w:rFonts w:ascii="Times New Roman" w:eastAsia="MS PGothic" w:hAnsi="Times New Roman" w:cs="Times New Roman"/>
                <w:bCs/>
                <w:kern w:val="24"/>
                <w:sz w:val="20"/>
                <w:szCs w:val="20"/>
                <w:lang w:val="en-GB" w:eastAsia="lv-LV"/>
              </w:rPr>
              <w:t>)</w:t>
            </w:r>
          </w:p>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(+43,50/ +29,28)</w:t>
            </w:r>
          </w:p>
        </w:tc>
      </w:tr>
      <w:tr w:rsidR="006D48C2" w:rsidRPr="006D48C2" w:rsidTr="00210902">
        <w:trPr>
          <w:trHeight w:val="20"/>
        </w:trPr>
        <w:tc>
          <w:tcPr>
            <w:tcW w:w="0" w:type="auto"/>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kern w:val="24"/>
                <w:sz w:val="20"/>
                <w:szCs w:val="20"/>
                <w:lang w:val="en-GB" w:eastAsia="lv-LV"/>
              </w:rPr>
              <w:t xml:space="preserve">no </w:t>
            </w:r>
            <w:r w:rsidRPr="006D48C2">
              <w:rPr>
                <w:rFonts w:ascii="Times New Roman" w:eastAsia="MS PGothic" w:hAnsi="Times New Roman" w:cs="Times New Roman"/>
                <w:b/>
                <w:bCs/>
                <w:kern w:val="24"/>
                <w:sz w:val="20"/>
                <w:szCs w:val="20"/>
                <w:lang w:val="en-GB" w:eastAsia="lv-LV"/>
              </w:rPr>
              <w:t>7</w:t>
            </w:r>
            <w:r w:rsidRPr="006D48C2">
              <w:rPr>
                <w:rFonts w:ascii="Times New Roman" w:eastAsia="MS PGothic" w:hAnsi="Times New Roman" w:cs="Times New Roman"/>
                <w:kern w:val="24"/>
                <w:sz w:val="20"/>
                <w:szCs w:val="20"/>
                <w:lang w:val="en-GB" w:eastAsia="lv-LV"/>
              </w:rPr>
              <w:t xml:space="preserve"> </w:t>
            </w:r>
            <w:proofErr w:type="spellStart"/>
            <w:r w:rsidRPr="006D48C2">
              <w:rPr>
                <w:rFonts w:ascii="Times New Roman" w:eastAsia="MS PGothic" w:hAnsi="Times New Roman" w:cs="Times New Roman"/>
                <w:kern w:val="24"/>
                <w:sz w:val="20"/>
                <w:szCs w:val="20"/>
                <w:lang w:val="en-GB" w:eastAsia="lv-LV"/>
              </w:rPr>
              <w:t>g.v</w:t>
            </w:r>
            <w:proofErr w:type="spellEnd"/>
            <w:r w:rsidRPr="006D48C2">
              <w:rPr>
                <w:rFonts w:ascii="Times New Roman" w:eastAsia="MS PGothic" w:hAnsi="Times New Roman" w:cs="Times New Roman"/>
                <w:kern w:val="24"/>
                <w:sz w:val="20"/>
                <w:szCs w:val="20"/>
                <w:lang w:val="en-GB" w:eastAsia="lv-LV"/>
              </w:rPr>
              <w:t>.</w:t>
            </w:r>
          </w:p>
        </w:tc>
        <w:tc>
          <w:tcPr>
            <w:tcW w:w="0" w:type="auto"/>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val="en-GB" w:eastAsia="lv-LV"/>
              </w:rPr>
              <w:t>111</w:t>
            </w:r>
          </w:p>
        </w:tc>
        <w:tc>
          <w:tcPr>
            <w:tcW w:w="2805" w:type="dxa"/>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vAlign w:val="center"/>
            <w:hideMark/>
          </w:tcPr>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b/>
                <w:bCs/>
                <w:kern w:val="24"/>
                <w:sz w:val="20"/>
                <w:szCs w:val="20"/>
                <w:lang w:val="en-GB" w:eastAsia="lv-LV"/>
              </w:rPr>
              <w:t xml:space="preserve">163 </w:t>
            </w:r>
            <w:r w:rsidRPr="006D48C2">
              <w:rPr>
                <w:rFonts w:ascii="Times New Roman" w:eastAsia="MS PGothic" w:hAnsi="Times New Roman" w:cs="Times New Roman"/>
                <w:bCs/>
                <w:kern w:val="24"/>
                <w:sz w:val="20"/>
                <w:szCs w:val="20"/>
                <w:lang w:val="en-GB" w:eastAsia="lv-LV"/>
              </w:rPr>
              <w:t xml:space="preserve">(30% no </w:t>
            </w:r>
            <w:proofErr w:type="spellStart"/>
            <w:r w:rsidRPr="006D48C2">
              <w:rPr>
                <w:rFonts w:ascii="Times New Roman" w:eastAsia="MS PGothic" w:hAnsi="Times New Roman" w:cs="Times New Roman"/>
                <w:bCs/>
                <w:kern w:val="24"/>
                <w:sz w:val="20"/>
                <w:szCs w:val="20"/>
                <w:lang w:val="en-GB" w:eastAsia="lv-LV"/>
              </w:rPr>
              <w:t>ienākumu</w:t>
            </w:r>
            <w:proofErr w:type="spellEnd"/>
            <w:r w:rsidRPr="006D48C2">
              <w:rPr>
                <w:rFonts w:ascii="Times New Roman" w:eastAsia="MS PGothic" w:hAnsi="Times New Roman" w:cs="Times New Roman"/>
                <w:bCs/>
                <w:kern w:val="24"/>
                <w:sz w:val="20"/>
                <w:szCs w:val="20"/>
                <w:lang w:val="en-GB" w:eastAsia="lv-LV"/>
              </w:rPr>
              <w:t xml:space="preserve"> </w:t>
            </w:r>
            <w:proofErr w:type="spellStart"/>
            <w:r w:rsidRPr="006D48C2">
              <w:rPr>
                <w:rFonts w:ascii="Times New Roman" w:eastAsia="MS PGothic" w:hAnsi="Times New Roman" w:cs="Times New Roman"/>
                <w:bCs/>
                <w:kern w:val="24"/>
                <w:sz w:val="20"/>
                <w:szCs w:val="20"/>
                <w:lang w:val="en-GB" w:eastAsia="lv-LV"/>
              </w:rPr>
              <w:t>mediānas</w:t>
            </w:r>
            <w:proofErr w:type="spellEnd"/>
            <w:r w:rsidRPr="006D48C2">
              <w:rPr>
                <w:rFonts w:ascii="Times New Roman" w:eastAsia="MS PGothic" w:hAnsi="Times New Roman" w:cs="Times New Roman"/>
                <w:bCs/>
                <w:kern w:val="24"/>
                <w:sz w:val="20"/>
                <w:szCs w:val="20"/>
                <w:lang w:val="en-GB" w:eastAsia="lv-LV"/>
              </w:rPr>
              <w:t>)</w:t>
            </w:r>
          </w:p>
          <w:p w:rsidR="006D48C2" w:rsidRPr="006D48C2" w:rsidRDefault="006D48C2" w:rsidP="006D48C2">
            <w:pPr>
              <w:spacing w:after="0"/>
              <w:jc w:val="both"/>
              <w:textAlignment w:val="baseline"/>
              <w:rPr>
                <w:rFonts w:ascii="Times New Roman" w:hAnsi="Times New Roman" w:cs="Times New Roman"/>
                <w:sz w:val="20"/>
                <w:szCs w:val="20"/>
                <w:lang w:eastAsia="lv-LV"/>
              </w:rPr>
            </w:pPr>
            <w:r w:rsidRPr="006D48C2">
              <w:rPr>
                <w:rFonts w:ascii="Times New Roman" w:eastAsia="MS PGothic" w:hAnsi="Times New Roman" w:cs="Times New Roman"/>
                <w:i/>
                <w:iCs/>
                <w:kern w:val="24"/>
                <w:sz w:val="20"/>
                <w:szCs w:val="20"/>
                <w:lang w:eastAsia="lv-LV"/>
              </w:rPr>
              <w:t>(+52)</w:t>
            </w:r>
          </w:p>
        </w:tc>
      </w:tr>
    </w:tbl>
    <w:p w:rsidR="006D48C2" w:rsidRPr="006D48C2" w:rsidRDefault="006D48C2" w:rsidP="00A73606">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r w:rsidRPr="006D48C2">
        <w:rPr>
          <w:rFonts w:ascii="Times New Roman" w:eastAsia="Calibri" w:hAnsi="Times New Roman" w:cs="Times New Roman"/>
          <w:b/>
          <w:i/>
          <w:sz w:val="24"/>
          <w:szCs w:val="24"/>
        </w:rPr>
        <w:t>*</w:t>
      </w:r>
    </w:p>
    <w:tbl>
      <w:tblPr>
        <w:tblW w:w="9351" w:type="dxa"/>
        <w:jc w:val="center"/>
        <w:tblLook w:val="04A0" w:firstRow="1" w:lastRow="0" w:firstColumn="1" w:lastColumn="0" w:noHBand="0" w:noVBand="1"/>
      </w:tblPr>
      <w:tblGrid>
        <w:gridCol w:w="4390"/>
        <w:gridCol w:w="1701"/>
        <w:gridCol w:w="1630"/>
        <w:gridCol w:w="1630"/>
      </w:tblGrid>
      <w:tr w:rsidR="006D48C2" w:rsidRPr="006D48C2" w:rsidTr="00A73606">
        <w:trPr>
          <w:trHeight w:val="303"/>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701"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A73606">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73606">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73606">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A73606">
        <w:trPr>
          <w:trHeight w:val="20"/>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Apgādnieka zaudējuma pensija</w:t>
            </w:r>
          </w:p>
        </w:tc>
        <w:tc>
          <w:tcPr>
            <w:tcW w:w="1701" w:type="dxa"/>
            <w:tcBorders>
              <w:top w:val="single" w:sz="4" w:space="0" w:color="auto"/>
              <w:left w:val="nil"/>
              <w:bottom w:val="single" w:sz="4" w:space="0" w:color="auto"/>
              <w:right w:val="single" w:sz="4" w:space="0" w:color="auto"/>
            </w:tcBorders>
            <w:noWrap/>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4 895 629</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4 895 629</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4 895 629</w:t>
            </w:r>
          </w:p>
        </w:tc>
      </w:tr>
      <w:tr w:rsidR="006D48C2" w:rsidRPr="006D48C2" w:rsidTr="00A73606">
        <w:trPr>
          <w:trHeight w:val="20"/>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Apdrošināšanas atlīdzība par apgādnieka zaudējumu</w:t>
            </w:r>
          </w:p>
        </w:tc>
        <w:tc>
          <w:tcPr>
            <w:tcW w:w="1701" w:type="dxa"/>
            <w:tcBorders>
              <w:top w:val="single" w:sz="4" w:space="0" w:color="auto"/>
              <w:left w:val="nil"/>
              <w:bottom w:val="single" w:sz="4" w:space="0" w:color="auto"/>
              <w:right w:val="single" w:sz="4" w:space="0" w:color="auto"/>
            </w:tcBorders>
            <w:noWrap/>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9 822</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9 822</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9 822</w:t>
            </w:r>
          </w:p>
        </w:tc>
      </w:tr>
      <w:tr w:rsidR="006D48C2" w:rsidRPr="006D48C2" w:rsidTr="00A73606">
        <w:trPr>
          <w:trHeight w:val="20"/>
          <w:tblHeader/>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VSNP apgādnieka zaudējuma gadījumā</w:t>
            </w:r>
          </w:p>
        </w:tc>
        <w:tc>
          <w:tcPr>
            <w:tcW w:w="1701" w:type="dxa"/>
            <w:tcBorders>
              <w:top w:val="single" w:sz="4" w:space="0" w:color="auto"/>
              <w:left w:val="nil"/>
              <w:bottom w:val="single" w:sz="4" w:space="0" w:color="auto"/>
              <w:right w:val="single" w:sz="4" w:space="0" w:color="auto"/>
            </w:tcBorders>
            <w:noWrap/>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186 930</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205 872</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A9101A">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208 470</w:t>
            </w:r>
          </w:p>
        </w:tc>
      </w:tr>
    </w:tbl>
    <w:p w:rsidR="006D48C2" w:rsidRPr="006D48C2" w:rsidRDefault="006D48C2" w:rsidP="006D48C2">
      <w:pPr>
        <w:jc w:val="both"/>
        <w:rPr>
          <w:rFonts w:ascii="Times New Roman" w:eastAsia="Calibri" w:hAnsi="Times New Roman" w:cs="Times New Roman"/>
          <w:i/>
          <w:sz w:val="20"/>
          <w:szCs w:val="24"/>
        </w:rPr>
      </w:pPr>
      <w:r w:rsidRPr="006D48C2">
        <w:rPr>
          <w:rFonts w:ascii="Times New Roman" w:eastAsia="Calibri" w:hAnsi="Times New Roman" w:cs="Times New Roman"/>
          <w:i/>
          <w:sz w:val="20"/>
          <w:szCs w:val="24"/>
        </w:rPr>
        <w:t>*ņemta vērā VSAA statistika par apgādājamo skaitu, kuriem pakalpojuma apmērs ir līdz jaunajam minimumam, un to vidējiem apmēriem.</w:t>
      </w:r>
    </w:p>
    <w:p w:rsidR="006D48C2" w:rsidRPr="006D48C2" w:rsidRDefault="006D48C2" w:rsidP="00A73606">
      <w:pPr>
        <w:spacing w:before="120" w:after="120" w:line="240" w:lineRule="auto"/>
        <w:ind w:firstLine="720"/>
        <w:jc w:val="both"/>
        <w:rPr>
          <w:rFonts w:ascii="Times New Roman" w:hAnsi="Times New Roman" w:cs="Times New Roman"/>
          <w:sz w:val="24"/>
          <w:szCs w:val="24"/>
          <w:lang w:eastAsia="lv-LV"/>
        </w:rPr>
      </w:pPr>
      <w:r w:rsidRPr="006D48C2">
        <w:rPr>
          <w:rFonts w:ascii="Times New Roman" w:eastAsia="Calibri" w:hAnsi="Times New Roman" w:cs="Times New Roman"/>
          <w:sz w:val="24"/>
          <w:szCs w:val="24"/>
        </w:rPr>
        <w:t xml:space="preserve">Nepieciešams veikt grozījumus Valsts sociālo pabalstu likumā, likumā “Par valsts pensijām” un </w:t>
      </w:r>
      <w:r w:rsidRPr="006D48C2">
        <w:rPr>
          <w:rFonts w:ascii="Times New Roman" w:hAnsi="Times New Roman" w:cs="Times New Roman"/>
          <w:sz w:val="24"/>
          <w:szCs w:val="24"/>
          <w:lang w:eastAsia="lv-LV"/>
        </w:rPr>
        <w:t>likumā “Par obligāto sociālo apdrošināšanu pret nelaimes gadījumiem darbā un arodslimībām”.</w:t>
      </w:r>
    </w:p>
    <w:p w:rsidR="006D48C2" w:rsidRPr="006D48C2" w:rsidRDefault="006D48C2" w:rsidP="00A73606">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VSAA IT sistēmu pielāgošana</w:t>
      </w:r>
    </w:p>
    <w:p w:rsidR="006D48C2" w:rsidRPr="006D48C2" w:rsidRDefault="006D48C2" w:rsidP="00A73606">
      <w:pPr>
        <w:spacing w:before="120" w:after="120" w:line="240" w:lineRule="auto"/>
        <w:ind w:firstLine="720"/>
        <w:jc w:val="both"/>
        <w:rPr>
          <w:rFonts w:ascii="Times New Roman" w:hAnsi="Times New Roman" w:cs="Times New Roman"/>
          <w:sz w:val="24"/>
          <w:szCs w:val="24"/>
        </w:rPr>
      </w:pPr>
      <w:r w:rsidRPr="006D48C2">
        <w:rPr>
          <w:rFonts w:ascii="Times New Roman" w:eastAsia="Calibri" w:hAnsi="Times New Roman" w:cs="Times New Roman"/>
          <w:bCs/>
          <w:iCs/>
          <w:sz w:val="24"/>
          <w:szCs w:val="24"/>
        </w:rPr>
        <w:t xml:space="preserve">Lai nodrošinātu visu likumprojektu ieviešanu saistībā ar pensiju, atlīdzību un pabalstu apmēru maiņu </w:t>
      </w:r>
      <w:r w:rsidRPr="006D48C2">
        <w:rPr>
          <w:rFonts w:ascii="Times New Roman" w:hAnsi="Times New Roman" w:cs="Times New Roman"/>
          <w:sz w:val="24"/>
          <w:szCs w:val="24"/>
        </w:rPr>
        <w:t xml:space="preserve">(ietverot visus ar minimālo ienākumu sliekšņa pārskatīšanu </w:t>
      </w:r>
      <w:proofErr w:type="spellStart"/>
      <w:r w:rsidRPr="006D48C2">
        <w:rPr>
          <w:rFonts w:ascii="Times New Roman" w:hAnsi="Times New Roman" w:cs="Times New Roman"/>
          <w:sz w:val="24"/>
          <w:szCs w:val="24"/>
        </w:rPr>
        <w:t>saistīos</w:t>
      </w:r>
      <w:proofErr w:type="spellEnd"/>
      <w:r w:rsidRPr="006D48C2">
        <w:rPr>
          <w:rFonts w:ascii="Times New Roman" w:hAnsi="Times New Roman" w:cs="Times New Roman"/>
          <w:sz w:val="24"/>
          <w:szCs w:val="24"/>
        </w:rPr>
        <w:t xml:space="preserve"> likumprojektus), VSAA nepieciešams papildus finansējums IS izmaiņu izstrādei.</w:t>
      </w:r>
    </w:p>
    <w:p w:rsidR="006D48C2" w:rsidRPr="006D48C2" w:rsidRDefault="006D48C2" w:rsidP="00A73606">
      <w:pPr>
        <w:spacing w:before="120" w:after="120" w:line="240" w:lineRule="auto"/>
        <w:jc w:val="both"/>
        <w:rPr>
          <w:rFonts w:ascii="Times New Roman" w:eastAsia="Calibri" w:hAnsi="Times New Roman" w:cs="Times New Roman"/>
          <w:b/>
          <w:i/>
          <w:sz w:val="24"/>
          <w:szCs w:val="24"/>
        </w:rPr>
      </w:pPr>
      <w:r w:rsidRPr="006D48C2">
        <w:rPr>
          <w:rFonts w:ascii="Times New Roman" w:eastAsia="Calibri" w:hAnsi="Times New Roman" w:cs="Times New Roman"/>
          <w:b/>
          <w:i/>
          <w:sz w:val="24"/>
          <w:szCs w:val="24"/>
        </w:rPr>
        <w:t xml:space="preserve">Papildu nepieciešamais finansējums, </w:t>
      </w:r>
      <w:proofErr w:type="spellStart"/>
      <w:r w:rsidRPr="006D48C2">
        <w:rPr>
          <w:rFonts w:ascii="Times New Roman" w:eastAsia="Calibri" w:hAnsi="Times New Roman" w:cs="Times New Roman"/>
          <w:b/>
          <w:i/>
          <w:sz w:val="24"/>
          <w:szCs w:val="24"/>
        </w:rPr>
        <w:t>euro</w:t>
      </w:r>
      <w:proofErr w:type="spellEnd"/>
    </w:p>
    <w:tbl>
      <w:tblPr>
        <w:tblW w:w="9367" w:type="dxa"/>
        <w:jc w:val="center"/>
        <w:tblLook w:val="04A0" w:firstRow="1" w:lastRow="0" w:firstColumn="1" w:lastColumn="0" w:noHBand="0" w:noVBand="1"/>
      </w:tblPr>
      <w:tblGrid>
        <w:gridCol w:w="6107"/>
        <w:gridCol w:w="1559"/>
        <w:gridCol w:w="1701"/>
      </w:tblGrid>
      <w:tr w:rsidR="006D48C2" w:rsidRPr="006D48C2" w:rsidTr="00B62DC3">
        <w:trPr>
          <w:trHeight w:val="328"/>
          <w:tblHeader/>
          <w:jc w:val="center"/>
        </w:trPr>
        <w:tc>
          <w:tcPr>
            <w:tcW w:w="610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b/>
                <w:i/>
                <w:sz w:val="20"/>
                <w:szCs w:val="20"/>
              </w:rPr>
            </w:pPr>
          </w:p>
        </w:tc>
        <w:tc>
          <w:tcPr>
            <w:tcW w:w="1559" w:type="dxa"/>
            <w:tcBorders>
              <w:top w:val="single" w:sz="4" w:space="0" w:color="auto"/>
              <w:left w:val="nil"/>
              <w:bottom w:val="single" w:sz="4" w:space="0" w:color="auto"/>
              <w:right w:val="single" w:sz="4" w:space="0" w:color="auto"/>
            </w:tcBorders>
            <w:shd w:val="clear" w:color="auto" w:fill="D9D9D9"/>
            <w:noWrap/>
            <w:hideMark/>
          </w:tcPr>
          <w:p w:rsidR="006D48C2" w:rsidRPr="006D48C2" w:rsidRDefault="006D48C2" w:rsidP="00A73606">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hideMark/>
          </w:tcPr>
          <w:p w:rsidR="006D48C2" w:rsidRPr="006D48C2" w:rsidRDefault="006D48C2" w:rsidP="00A73606">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r>
      <w:tr w:rsidR="006D48C2" w:rsidRPr="006D48C2" w:rsidTr="00B62DC3">
        <w:trPr>
          <w:trHeight w:val="20"/>
          <w:tblHeader/>
          <w:jc w:val="center"/>
        </w:trPr>
        <w:tc>
          <w:tcPr>
            <w:tcW w:w="6107"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6D48C2">
            <w:pPr>
              <w:spacing w:after="0"/>
              <w:jc w:val="both"/>
              <w:rPr>
                <w:rFonts w:ascii="Times New Roman" w:hAnsi="Times New Roman" w:cs="Times New Roman"/>
                <w:sz w:val="20"/>
                <w:szCs w:val="20"/>
                <w:lang w:eastAsia="lv-LV"/>
              </w:rPr>
            </w:pPr>
            <w:r w:rsidRPr="006D48C2">
              <w:rPr>
                <w:rFonts w:ascii="Times New Roman" w:hAnsi="Times New Roman" w:cs="Times New Roman"/>
                <w:sz w:val="20"/>
                <w:szCs w:val="20"/>
                <w:lang w:eastAsia="lv-LV"/>
              </w:rPr>
              <w:t>IS pielāgošana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D48C2" w:rsidRPr="006D48C2" w:rsidRDefault="006D48C2" w:rsidP="00B62DC3">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252 467</w:t>
            </w:r>
          </w:p>
        </w:tc>
        <w:tc>
          <w:tcPr>
            <w:tcW w:w="1701" w:type="dxa"/>
            <w:tcBorders>
              <w:top w:val="single" w:sz="4" w:space="0" w:color="auto"/>
              <w:left w:val="nil"/>
              <w:bottom w:val="single" w:sz="4" w:space="0" w:color="auto"/>
              <w:right w:val="single" w:sz="4" w:space="0" w:color="auto"/>
            </w:tcBorders>
            <w:vAlign w:val="center"/>
            <w:hideMark/>
          </w:tcPr>
          <w:p w:rsidR="006D48C2" w:rsidRPr="006D48C2" w:rsidRDefault="006D48C2" w:rsidP="00B62DC3">
            <w:pPr>
              <w:spacing w:after="0"/>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129 773</w:t>
            </w:r>
          </w:p>
        </w:tc>
      </w:tr>
    </w:tbl>
    <w:p w:rsidR="006D48C2" w:rsidRPr="006D48C2" w:rsidRDefault="006D48C2" w:rsidP="00A73606">
      <w:pPr>
        <w:spacing w:before="120" w:after="120" w:line="240" w:lineRule="auto"/>
        <w:jc w:val="both"/>
        <w:rPr>
          <w:rFonts w:ascii="Times New Roman" w:eastAsia="Calibri" w:hAnsi="Times New Roman" w:cs="Times New Roman"/>
          <w:bCs/>
          <w:iCs/>
          <w:sz w:val="24"/>
          <w:szCs w:val="24"/>
        </w:rPr>
      </w:pPr>
    </w:p>
    <w:p w:rsidR="006D48C2" w:rsidRPr="006D48C2" w:rsidRDefault="006D48C2" w:rsidP="00A73606">
      <w:pPr>
        <w:spacing w:before="120" w:after="120" w:line="240" w:lineRule="auto"/>
        <w:jc w:val="both"/>
        <w:rPr>
          <w:rFonts w:ascii="Times New Roman" w:hAnsi="Times New Roman" w:cs="Times New Roman"/>
          <w:b/>
          <w:sz w:val="24"/>
          <w:szCs w:val="24"/>
        </w:rPr>
      </w:pPr>
      <w:r w:rsidRPr="006D48C2">
        <w:rPr>
          <w:rFonts w:ascii="Times New Roman" w:hAnsi="Times New Roman" w:cs="Times New Roman"/>
          <w:b/>
          <w:sz w:val="24"/>
          <w:szCs w:val="24"/>
        </w:rPr>
        <w:t xml:space="preserve">Papildu nepieciešamais finansējums Satversmes tiesas spriedumu izpildei labklājības jomā, </w:t>
      </w:r>
      <w:proofErr w:type="spellStart"/>
      <w:r w:rsidRPr="006D48C2">
        <w:rPr>
          <w:rFonts w:ascii="Times New Roman" w:hAnsi="Times New Roman" w:cs="Times New Roman"/>
          <w:b/>
          <w:i/>
          <w:sz w:val="24"/>
          <w:szCs w:val="24"/>
        </w:rPr>
        <w:t>euro</w:t>
      </w:r>
      <w:proofErr w:type="spellEnd"/>
    </w:p>
    <w:tbl>
      <w:tblPr>
        <w:tblW w:w="9356" w:type="dxa"/>
        <w:tblInd w:w="-5" w:type="dxa"/>
        <w:tblLook w:val="04A0" w:firstRow="1" w:lastRow="0" w:firstColumn="1" w:lastColumn="0" w:noHBand="0" w:noVBand="1"/>
      </w:tblPr>
      <w:tblGrid>
        <w:gridCol w:w="4112"/>
        <w:gridCol w:w="1700"/>
        <w:gridCol w:w="1701"/>
        <w:gridCol w:w="1843"/>
      </w:tblGrid>
      <w:tr w:rsidR="006D48C2" w:rsidRPr="006D48C2" w:rsidTr="00A73606">
        <w:trPr>
          <w:trHeight w:val="326"/>
          <w:tblHeader/>
        </w:trPr>
        <w:tc>
          <w:tcPr>
            <w:tcW w:w="41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D48C2" w:rsidRPr="006D48C2" w:rsidRDefault="006D48C2" w:rsidP="006D48C2">
            <w:pPr>
              <w:jc w:val="both"/>
              <w:rPr>
                <w:rFonts w:ascii="Times New Roman" w:eastAsia="Calibri" w:hAnsi="Times New Roman" w:cs="Times New Roman"/>
                <w:sz w:val="20"/>
                <w:szCs w:val="20"/>
              </w:rPr>
            </w:pPr>
          </w:p>
        </w:tc>
        <w:tc>
          <w:tcPr>
            <w:tcW w:w="1700" w:type="dxa"/>
            <w:tcBorders>
              <w:top w:val="single" w:sz="4" w:space="0" w:color="auto"/>
              <w:left w:val="nil"/>
              <w:bottom w:val="single" w:sz="4" w:space="0" w:color="auto"/>
              <w:right w:val="single" w:sz="4" w:space="0" w:color="auto"/>
            </w:tcBorders>
            <w:shd w:val="clear" w:color="auto" w:fill="D9D9D9"/>
            <w:noWrap/>
            <w:vAlign w:val="center"/>
            <w:hideMark/>
          </w:tcPr>
          <w:p w:rsidR="006D48C2" w:rsidRPr="006D48C2" w:rsidRDefault="006D48C2" w:rsidP="00A73606">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2021</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73606">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2022</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6D48C2" w:rsidRPr="006D48C2" w:rsidRDefault="006D48C2" w:rsidP="00A73606">
            <w:pPr>
              <w:jc w:val="center"/>
              <w:rPr>
                <w:rFonts w:ascii="Times New Roman" w:hAnsi="Times New Roman" w:cs="Times New Roman"/>
                <w:sz w:val="20"/>
                <w:szCs w:val="20"/>
                <w:lang w:eastAsia="lv-LV"/>
              </w:rPr>
            </w:pPr>
            <w:r w:rsidRPr="006D48C2">
              <w:rPr>
                <w:rFonts w:ascii="Times New Roman" w:hAnsi="Times New Roman" w:cs="Times New Roman"/>
                <w:sz w:val="20"/>
                <w:szCs w:val="20"/>
                <w:lang w:eastAsia="lv-LV"/>
              </w:rPr>
              <w:t>2023</w:t>
            </w:r>
          </w:p>
        </w:tc>
      </w:tr>
      <w:tr w:rsidR="006D48C2" w:rsidRPr="006D48C2" w:rsidTr="00A73606">
        <w:trPr>
          <w:trHeight w:val="20"/>
          <w:tblHead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Pamatbudžets</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6D48C2" w:rsidRPr="006D48C2" w:rsidRDefault="006D48C2" w:rsidP="00A9101A">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70 662 394</w:t>
            </w:r>
          </w:p>
        </w:tc>
        <w:tc>
          <w:tcPr>
            <w:tcW w:w="1701"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9101A">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70 998 851</w:t>
            </w:r>
          </w:p>
        </w:tc>
        <w:tc>
          <w:tcPr>
            <w:tcW w:w="1843"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9101A">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71 014 751</w:t>
            </w:r>
          </w:p>
        </w:tc>
      </w:tr>
      <w:tr w:rsidR="006D48C2" w:rsidRPr="006D48C2" w:rsidTr="00A73606">
        <w:trPr>
          <w:trHeight w:val="20"/>
          <w:tblHead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8C2" w:rsidRPr="006D48C2" w:rsidRDefault="006D48C2" w:rsidP="006D48C2">
            <w:pPr>
              <w:spacing w:after="0"/>
              <w:jc w:val="both"/>
              <w:rPr>
                <w:rFonts w:ascii="Times New Roman" w:eastAsia="Calibri" w:hAnsi="Times New Roman" w:cs="Times New Roman"/>
                <w:sz w:val="20"/>
                <w:szCs w:val="20"/>
              </w:rPr>
            </w:pPr>
            <w:r w:rsidRPr="006D48C2">
              <w:rPr>
                <w:rFonts w:ascii="Times New Roman" w:eastAsia="Calibri" w:hAnsi="Times New Roman" w:cs="Times New Roman"/>
                <w:sz w:val="20"/>
                <w:szCs w:val="20"/>
              </w:rPr>
              <w:t>Pašvaldību budžets</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6D48C2" w:rsidRPr="006D48C2" w:rsidRDefault="006D48C2" w:rsidP="00A9101A">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25 041 101</w:t>
            </w:r>
          </w:p>
        </w:tc>
        <w:tc>
          <w:tcPr>
            <w:tcW w:w="1701"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9101A">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23 060 234</w:t>
            </w:r>
          </w:p>
        </w:tc>
        <w:tc>
          <w:tcPr>
            <w:tcW w:w="1843"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9101A">
            <w:pPr>
              <w:spacing w:after="0"/>
              <w:jc w:val="center"/>
              <w:rPr>
                <w:rFonts w:ascii="Times New Roman" w:eastAsia="Calibri" w:hAnsi="Times New Roman" w:cs="Times New Roman"/>
                <w:sz w:val="20"/>
                <w:szCs w:val="20"/>
              </w:rPr>
            </w:pPr>
            <w:r w:rsidRPr="006D48C2">
              <w:rPr>
                <w:rFonts w:ascii="Times New Roman" w:eastAsia="Calibri" w:hAnsi="Times New Roman" w:cs="Times New Roman"/>
                <w:sz w:val="20"/>
                <w:szCs w:val="20"/>
              </w:rPr>
              <w:t>21 175 496</w:t>
            </w:r>
          </w:p>
        </w:tc>
      </w:tr>
      <w:tr w:rsidR="006D48C2" w:rsidRPr="006D48C2" w:rsidTr="00A73606">
        <w:trPr>
          <w:trHeight w:val="20"/>
          <w:tblHeader/>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8C2" w:rsidRPr="006D48C2" w:rsidRDefault="006D48C2" w:rsidP="006D48C2">
            <w:pPr>
              <w:spacing w:after="0"/>
              <w:jc w:val="both"/>
              <w:rPr>
                <w:rFonts w:ascii="Times New Roman" w:eastAsia="Calibri" w:hAnsi="Times New Roman" w:cs="Times New Roman"/>
                <w:b/>
                <w:sz w:val="20"/>
                <w:szCs w:val="20"/>
              </w:rPr>
            </w:pPr>
            <w:r w:rsidRPr="006D48C2">
              <w:rPr>
                <w:rFonts w:ascii="Times New Roman" w:eastAsia="Calibri" w:hAnsi="Times New Roman" w:cs="Times New Roman"/>
                <w:b/>
                <w:sz w:val="20"/>
                <w:szCs w:val="20"/>
              </w:rPr>
              <w:t>Kopā</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6D48C2" w:rsidRPr="006D48C2" w:rsidRDefault="006D48C2" w:rsidP="00A9101A">
            <w:pPr>
              <w:spacing w:after="0"/>
              <w:jc w:val="center"/>
              <w:rPr>
                <w:rFonts w:ascii="Times New Roman" w:eastAsia="Calibri" w:hAnsi="Times New Roman" w:cs="Times New Roman"/>
                <w:b/>
                <w:sz w:val="20"/>
                <w:szCs w:val="20"/>
              </w:rPr>
            </w:pPr>
            <w:r w:rsidRPr="006D48C2">
              <w:rPr>
                <w:rFonts w:ascii="Times New Roman" w:eastAsia="Calibri" w:hAnsi="Times New Roman" w:cs="Times New Roman"/>
                <w:b/>
                <w:sz w:val="20"/>
                <w:szCs w:val="20"/>
              </w:rPr>
              <w:t>95 703 495</w:t>
            </w:r>
          </w:p>
        </w:tc>
        <w:tc>
          <w:tcPr>
            <w:tcW w:w="1701"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9101A">
            <w:pPr>
              <w:spacing w:after="0"/>
              <w:jc w:val="center"/>
              <w:rPr>
                <w:rFonts w:ascii="Times New Roman" w:eastAsia="Calibri" w:hAnsi="Times New Roman" w:cs="Times New Roman"/>
                <w:b/>
                <w:sz w:val="20"/>
                <w:szCs w:val="20"/>
              </w:rPr>
            </w:pPr>
            <w:r w:rsidRPr="006D48C2">
              <w:rPr>
                <w:rFonts w:ascii="Times New Roman" w:eastAsia="Calibri" w:hAnsi="Times New Roman" w:cs="Times New Roman"/>
                <w:b/>
                <w:sz w:val="20"/>
                <w:szCs w:val="20"/>
              </w:rPr>
              <w:t>94 059 085</w:t>
            </w:r>
          </w:p>
        </w:tc>
        <w:tc>
          <w:tcPr>
            <w:tcW w:w="1843" w:type="dxa"/>
            <w:tcBorders>
              <w:top w:val="single" w:sz="4" w:space="0" w:color="auto"/>
              <w:left w:val="nil"/>
              <w:bottom w:val="single" w:sz="4" w:space="0" w:color="auto"/>
              <w:right w:val="single" w:sz="4" w:space="0" w:color="auto"/>
            </w:tcBorders>
            <w:shd w:val="clear" w:color="auto" w:fill="auto"/>
            <w:vAlign w:val="center"/>
          </w:tcPr>
          <w:p w:rsidR="006D48C2" w:rsidRPr="006D48C2" w:rsidRDefault="006D48C2" w:rsidP="00A9101A">
            <w:pPr>
              <w:spacing w:after="0"/>
              <w:jc w:val="center"/>
              <w:rPr>
                <w:rFonts w:ascii="Times New Roman" w:eastAsia="Calibri" w:hAnsi="Times New Roman" w:cs="Times New Roman"/>
                <w:b/>
                <w:sz w:val="20"/>
                <w:szCs w:val="20"/>
              </w:rPr>
            </w:pPr>
            <w:r w:rsidRPr="006D48C2">
              <w:rPr>
                <w:rFonts w:ascii="Times New Roman" w:eastAsia="Calibri" w:hAnsi="Times New Roman" w:cs="Times New Roman"/>
                <w:b/>
                <w:sz w:val="20"/>
                <w:szCs w:val="20"/>
              </w:rPr>
              <w:t>92 190 247</w:t>
            </w:r>
          </w:p>
        </w:tc>
      </w:tr>
    </w:tbl>
    <w:p w:rsidR="006D48C2" w:rsidRDefault="006D48C2" w:rsidP="006D48C2">
      <w:pPr>
        <w:spacing w:before="120" w:after="120" w:line="240" w:lineRule="auto"/>
        <w:ind w:firstLine="720"/>
        <w:jc w:val="both"/>
        <w:rPr>
          <w:rFonts w:ascii="Times New Roman" w:hAnsi="Times New Roman" w:cs="Times New Roman"/>
          <w:sz w:val="24"/>
          <w:szCs w:val="24"/>
        </w:rPr>
      </w:pPr>
      <w:r w:rsidRPr="006D48C2">
        <w:rPr>
          <w:rFonts w:ascii="Times New Roman" w:hAnsi="Times New Roman" w:cs="Times New Roman"/>
          <w:sz w:val="24"/>
          <w:szCs w:val="24"/>
        </w:rPr>
        <w:t>Ņemot vērā, ka iepriekšminētie pasākumi (pakalpojumi, kuri saistīti gan ar valsts sociālā nodrošinājuma pabalsta pārskatīšanu, gan minimālo pensiju un atlīdzību pārskatīšanu) personām ir ar sociālās apdrošināšanas iemaksām nesaistītie izdevumi, minētie izdevumi nodrošināmi no valsts pamatbudžeta</w:t>
      </w:r>
      <w:r w:rsidRPr="000735BB">
        <w:rPr>
          <w:rFonts w:ascii="Times New Roman" w:hAnsi="Times New Roman" w:cs="Times New Roman"/>
          <w:sz w:val="24"/>
          <w:szCs w:val="24"/>
        </w:rPr>
        <w:t>.</w:t>
      </w:r>
      <w:r w:rsidR="004D61C4" w:rsidRPr="000735BB">
        <w:rPr>
          <w:rFonts w:ascii="Times New Roman" w:hAnsi="Times New Roman" w:cs="Times New Roman"/>
          <w:sz w:val="24"/>
          <w:szCs w:val="24"/>
        </w:rPr>
        <w:t xml:space="preserve"> Līdz ar to, lai nodrošinātu pakalpojuma izmaksu minimālā apmērā, apmēra daļa, kas personai aprēķināta no iepriekš veiktajām sociālās apdrošināšanas iemaksām, arī turpmāk tiks izmaksāta no sociālās apdrošināšanas speciālā budžeta, savukārt iztrūkstošā starpība līdz jaunajam minimumam - no valsts pamatbudžeta.</w:t>
      </w:r>
    </w:p>
    <w:p w:rsidR="00800E53" w:rsidRDefault="00800E53" w:rsidP="006D48C2">
      <w:pPr>
        <w:spacing w:before="120" w:after="120" w:line="240" w:lineRule="auto"/>
        <w:ind w:firstLine="720"/>
        <w:jc w:val="both"/>
        <w:rPr>
          <w:rFonts w:ascii="Times New Roman" w:hAnsi="Times New Roman" w:cs="Times New Roman"/>
          <w:sz w:val="24"/>
          <w:szCs w:val="24"/>
        </w:rPr>
      </w:pP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59"/>
        <w:gridCol w:w="1595"/>
        <w:gridCol w:w="1701"/>
        <w:gridCol w:w="1701"/>
      </w:tblGrid>
      <w:tr w:rsidR="00800E53" w:rsidRPr="00461101" w:rsidTr="00C66C9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tcBorders>
              <w:top w:val="none" w:sz="0" w:space="0" w:color="auto"/>
              <w:bottom w:val="none" w:sz="0" w:space="0" w:color="auto"/>
              <w:right w:val="none" w:sz="0" w:space="0" w:color="auto"/>
            </w:tcBorders>
            <w:shd w:val="clear" w:color="auto" w:fill="auto"/>
          </w:tcPr>
          <w:p w:rsidR="00800E53" w:rsidRPr="00461101" w:rsidRDefault="00800E53" w:rsidP="00C66C91">
            <w:pPr>
              <w:tabs>
                <w:tab w:val="left" w:pos="851"/>
              </w:tabs>
              <w:spacing w:after="120"/>
              <w:rPr>
                <w:rFonts w:ascii="Times New Roman" w:hAnsi="Times New Roman" w:cs="Times New Roman"/>
                <w:b w:val="0"/>
                <w:sz w:val="20"/>
                <w:szCs w:val="20"/>
              </w:rPr>
            </w:pPr>
          </w:p>
        </w:tc>
        <w:tc>
          <w:tcPr>
            <w:tcW w:w="1595" w:type="dxa"/>
            <w:tcBorders>
              <w:top w:val="none" w:sz="0" w:space="0" w:color="auto"/>
              <w:left w:val="none" w:sz="0" w:space="0" w:color="auto"/>
              <w:bottom w:val="none" w:sz="0" w:space="0" w:color="auto"/>
              <w:right w:val="none" w:sz="0" w:space="0" w:color="auto"/>
            </w:tcBorders>
            <w:shd w:val="clear" w:color="auto" w:fill="auto"/>
          </w:tcPr>
          <w:p w:rsidR="00800E53" w:rsidRPr="00147D3C" w:rsidRDefault="00800E53" w:rsidP="00C66C91">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2021.gadā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right w:val="none" w:sz="0" w:space="0" w:color="auto"/>
            </w:tcBorders>
            <w:shd w:val="clear" w:color="auto" w:fill="auto"/>
          </w:tcPr>
          <w:p w:rsidR="00800E53" w:rsidRPr="00147D3C" w:rsidRDefault="00800E53" w:rsidP="00C66C91">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2022.gadā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tcBorders>
            <w:shd w:val="clear" w:color="auto" w:fill="auto"/>
          </w:tcPr>
          <w:p w:rsidR="00800E53" w:rsidRPr="00461101" w:rsidRDefault="00800E53" w:rsidP="00C66C91">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2023.gadā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r>
      <w:tr w:rsidR="00800E53" w:rsidRPr="00461101" w:rsidTr="00C66C91">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vAlign w:val="center"/>
          </w:tcPr>
          <w:p w:rsidR="00800E53" w:rsidRPr="00800E53" w:rsidRDefault="00800E53" w:rsidP="00C66C91">
            <w:pPr>
              <w:rPr>
                <w:rFonts w:ascii="Times New Roman" w:hAnsi="Times New Roman" w:cs="Times New Roman"/>
                <w:sz w:val="20"/>
                <w:szCs w:val="20"/>
              </w:rPr>
            </w:pPr>
            <w:r w:rsidRPr="00800E53">
              <w:rPr>
                <w:rFonts w:ascii="Times New Roman" w:hAnsi="Times New Roman" w:cs="Times New Roman"/>
                <w:sz w:val="20"/>
                <w:szCs w:val="20"/>
              </w:rPr>
              <w:t>Atgriezenisks efekts - nodokļu ieņēmumu palielinājums valsts budžetā no algu celšanas</w:t>
            </w:r>
          </w:p>
        </w:tc>
        <w:tc>
          <w:tcPr>
            <w:tcW w:w="1595" w:type="dxa"/>
            <w:vAlign w:val="center"/>
          </w:tcPr>
          <w:p w:rsidR="00800E53" w:rsidRPr="00800E53" w:rsidRDefault="00800E53" w:rsidP="00C66C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00E53">
              <w:rPr>
                <w:rFonts w:ascii="Times New Roman" w:hAnsi="Times New Roman" w:cs="Times New Roman"/>
                <w:b/>
                <w:sz w:val="20"/>
                <w:szCs w:val="20"/>
              </w:rPr>
              <w:t>+87,9</w:t>
            </w:r>
          </w:p>
        </w:tc>
        <w:tc>
          <w:tcPr>
            <w:tcW w:w="1701" w:type="dxa"/>
            <w:vAlign w:val="center"/>
          </w:tcPr>
          <w:p w:rsidR="00800E53" w:rsidRPr="00800E53" w:rsidRDefault="00800E53" w:rsidP="00C66C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r w:rsidRPr="00800E53">
              <w:rPr>
                <w:rFonts w:ascii="Times New Roman" w:hAnsi="Times New Roman" w:cs="Times New Roman"/>
                <w:b/>
                <w:iCs/>
                <w:sz w:val="20"/>
                <w:szCs w:val="20"/>
              </w:rPr>
              <w:t>+99,7</w:t>
            </w:r>
          </w:p>
        </w:tc>
        <w:tc>
          <w:tcPr>
            <w:tcW w:w="1701" w:type="dxa"/>
            <w:vAlign w:val="center"/>
          </w:tcPr>
          <w:p w:rsidR="00800E53" w:rsidRPr="00800E53" w:rsidRDefault="00800E53" w:rsidP="00C66C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r w:rsidRPr="00800E53">
              <w:rPr>
                <w:rFonts w:ascii="Times New Roman" w:hAnsi="Times New Roman" w:cs="Times New Roman"/>
                <w:b/>
                <w:iCs/>
                <w:sz w:val="20"/>
                <w:szCs w:val="20"/>
              </w:rPr>
              <w:t>+110,9</w:t>
            </w:r>
          </w:p>
        </w:tc>
      </w:tr>
    </w:tbl>
    <w:p w:rsidR="00800E53" w:rsidRPr="006D48C2" w:rsidRDefault="00800E53" w:rsidP="006D48C2">
      <w:pPr>
        <w:spacing w:before="120" w:after="120" w:line="240" w:lineRule="auto"/>
        <w:ind w:firstLine="720"/>
        <w:jc w:val="both"/>
        <w:rPr>
          <w:rFonts w:ascii="Times New Roman" w:hAnsi="Times New Roman" w:cs="Times New Roman"/>
          <w:sz w:val="24"/>
          <w:szCs w:val="24"/>
        </w:rPr>
      </w:pPr>
    </w:p>
    <w:p w:rsidR="00AD36DC" w:rsidRPr="00461101" w:rsidRDefault="00AD36DC" w:rsidP="00AD36DC">
      <w:pPr>
        <w:spacing w:after="120" w:line="240" w:lineRule="auto"/>
        <w:ind w:firstLine="720"/>
        <w:jc w:val="both"/>
        <w:rPr>
          <w:rFonts w:ascii="Times New Roman" w:hAnsi="Times New Roman" w:cs="Times New Roman"/>
          <w:sz w:val="24"/>
          <w:szCs w:val="24"/>
          <w:lang w:eastAsia="lv-LV"/>
        </w:rPr>
      </w:pPr>
    </w:p>
    <w:p w:rsidR="0059651E" w:rsidRPr="00461101" w:rsidRDefault="0059651E" w:rsidP="006D48C2">
      <w:pPr>
        <w:pStyle w:val="ListParagraph"/>
        <w:numPr>
          <w:ilvl w:val="0"/>
          <w:numId w:val="1"/>
        </w:numPr>
        <w:shd w:val="clear" w:color="auto" w:fill="FFD966" w:themeFill="accent4" w:themeFillTint="99"/>
        <w:spacing w:after="120" w:line="240" w:lineRule="auto"/>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Pasākumi bilances nodrošināšanai</w:t>
      </w:r>
    </w:p>
    <w:p w:rsidR="00050A20" w:rsidRPr="00461101" w:rsidRDefault="00050A20" w:rsidP="00DD5A39">
      <w:pPr>
        <w:spacing w:before="120" w:after="120" w:line="240" w:lineRule="auto"/>
        <w:ind w:firstLine="720"/>
        <w:jc w:val="both"/>
        <w:rPr>
          <w:rFonts w:ascii="Times New Roman" w:hAnsi="Times New Roman" w:cs="Times New Roman"/>
          <w:sz w:val="24"/>
          <w:szCs w:val="24"/>
        </w:rPr>
      </w:pPr>
      <w:r w:rsidRPr="00461101">
        <w:rPr>
          <w:rFonts w:ascii="Times New Roman" w:hAnsi="Times New Roman" w:cs="Times New Roman"/>
          <w:noProof/>
          <w:sz w:val="24"/>
          <w:szCs w:val="24"/>
        </w:rPr>
        <w:t xml:space="preserve">Pēc MK </w:t>
      </w:r>
      <w:r w:rsidRPr="00461101">
        <w:rPr>
          <w:rFonts w:ascii="Times New Roman" w:hAnsi="Times New Roman" w:cs="Times New Roman"/>
          <w:sz w:val="24"/>
          <w:szCs w:val="24"/>
        </w:rPr>
        <w:t xml:space="preserve">2020.gada 18.augusta  un 2.septembra sēdes, Valdību veidojošo partiju budžeta veidošanas darba grupas diskusiju rezultātā, ir panākta vienošanās </w:t>
      </w:r>
      <w:r w:rsidR="00A50E82" w:rsidRPr="00461101">
        <w:rPr>
          <w:rFonts w:ascii="Times New Roman" w:hAnsi="Times New Roman" w:cs="Times New Roman"/>
          <w:sz w:val="24"/>
          <w:szCs w:val="24"/>
        </w:rPr>
        <w:t xml:space="preserve">par </w:t>
      </w:r>
      <w:r w:rsidRPr="00461101">
        <w:rPr>
          <w:rFonts w:ascii="Times New Roman" w:hAnsi="Times New Roman" w:cs="Times New Roman"/>
          <w:sz w:val="24"/>
          <w:szCs w:val="24"/>
        </w:rPr>
        <w:t>iespējamajiem pasākumiem atbalstīto ieņēmumu un izdevumu izmaiņu rezultātā pasliktinātās bilances kompensēšanai, lai varētu nodrošināt ministriju un citu centrālo valsts iestāžu aktuālākos prioritāros pasākumus (skat. informatīvā ziņojuma 1.pielikumu).</w:t>
      </w:r>
    </w:p>
    <w:tbl>
      <w:tblPr>
        <w:tblStyle w:val="GridTable2-Accent4"/>
        <w:tblW w:w="93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359"/>
        <w:gridCol w:w="1595"/>
        <w:gridCol w:w="1701"/>
        <w:gridCol w:w="1701"/>
      </w:tblGrid>
      <w:tr w:rsidR="00092861" w:rsidRPr="00461101" w:rsidTr="00CE4FB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tcBorders>
              <w:top w:val="none" w:sz="0" w:space="0" w:color="auto"/>
              <w:bottom w:val="none" w:sz="0" w:space="0" w:color="auto"/>
              <w:right w:val="none" w:sz="0" w:space="0" w:color="auto"/>
            </w:tcBorders>
            <w:shd w:val="clear" w:color="auto" w:fill="auto"/>
          </w:tcPr>
          <w:p w:rsidR="00092861" w:rsidRPr="00461101" w:rsidRDefault="00092861" w:rsidP="00092861">
            <w:pPr>
              <w:tabs>
                <w:tab w:val="left" w:pos="851"/>
              </w:tabs>
              <w:spacing w:after="120"/>
              <w:rPr>
                <w:rFonts w:ascii="Times New Roman" w:hAnsi="Times New Roman" w:cs="Times New Roman"/>
                <w:b w:val="0"/>
                <w:sz w:val="20"/>
                <w:szCs w:val="20"/>
              </w:rPr>
            </w:pPr>
          </w:p>
        </w:tc>
        <w:tc>
          <w:tcPr>
            <w:tcW w:w="1595" w:type="dxa"/>
            <w:tcBorders>
              <w:top w:val="none" w:sz="0" w:space="0" w:color="auto"/>
              <w:left w:val="none" w:sz="0" w:space="0" w:color="auto"/>
              <w:bottom w:val="none" w:sz="0" w:space="0" w:color="auto"/>
              <w:right w:val="none" w:sz="0" w:space="0" w:color="auto"/>
            </w:tcBorders>
            <w:shd w:val="clear" w:color="auto" w:fill="auto"/>
          </w:tcPr>
          <w:p w:rsidR="00092861" w:rsidRPr="00147D3C" w:rsidRDefault="00092861" w:rsidP="00092861">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2021.gadā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right w:val="none" w:sz="0" w:space="0" w:color="auto"/>
            </w:tcBorders>
            <w:shd w:val="clear" w:color="auto" w:fill="auto"/>
          </w:tcPr>
          <w:p w:rsidR="00092861" w:rsidRPr="00147D3C" w:rsidRDefault="00092861" w:rsidP="00092861">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461101">
              <w:rPr>
                <w:rFonts w:ascii="Times New Roman" w:hAnsi="Times New Roman" w:cs="Times New Roman"/>
                <w:sz w:val="20"/>
                <w:szCs w:val="20"/>
              </w:rPr>
              <w:t>2022.gadā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c>
          <w:tcPr>
            <w:tcW w:w="1701" w:type="dxa"/>
            <w:tcBorders>
              <w:top w:val="none" w:sz="0" w:space="0" w:color="auto"/>
              <w:left w:val="none" w:sz="0" w:space="0" w:color="auto"/>
              <w:bottom w:val="none" w:sz="0" w:space="0" w:color="auto"/>
            </w:tcBorders>
            <w:shd w:val="clear" w:color="auto" w:fill="auto"/>
          </w:tcPr>
          <w:p w:rsidR="00092861" w:rsidRPr="00461101" w:rsidRDefault="00092861" w:rsidP="00092861">
            <w:pPr>
              <w:tabs>
                <w:tab w:val="left" w:pos="851"/>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61101">
              <w:rPr>
                <w:rFonts w:ascii="Times New Roman" w:hAnsi="Times New Roman" w:cs="Times New Roman"/>
                <w:sz w:val="20"/>
                <w:szCs w:val="20"/>
              </w:rPr>
              <w:t>2023.gadā</w:t>
            </w:r>
            <w:r>
              <w:rPr>
                <w:rFonts w:ascii="Times New Roman" w:hAnsi="Times New Roman" w:cs="Times New Roman"/>
                <w:sz w:val="20"/>
                <w:szCs w:val="20"/>
              </w:rPr>
              <w:t xml:space="preserve">, </w:t>
            </w:r>
            <w:r w:rsidRPr="00147D3C">
              <w:rPr>
                <w:rFonts w:ascii="Times New Roman" w:hAnsi="Times New Roman" w:cs="Times New Roman"/>
                <w:b w:val="0"/>
                <w:sz w:val="20"/>
                <w:szCs w:val="20"/>
              </w:rPr>
              <w:t>milj.</w:t>
            </w:r>
            <w:r>
              <w:rPr>
                <w:rFonts w:ascii="Times New Roman" w:hAnsi="Times New Roman" w:cs="Times New Roman"/>
                <w:sz w:val="20"/>
                <w:szCs w:val="20"/>
              </w:rPr>
              <w:t xml:space="preserve"> </w:t>
            </w:r>
            <w:proofErr w:type="spellStart"/>
            <w:r>
              <w:rPr>
                <w:rFonts w:ascii="Times New Roman" w:hAnsi="Times New Roman" w:cs="Times New Roman"/>
                <w:b w:val="0"/>
                <w:i/>
                <w:sz w:val="20"/>
                <w:szCs w:val="20"/>
              </w:rPr>
              <w:t>euro</w:t>
            </w:r>
            <w:proofErr w:type="spellEnd"/>
          </w:p>
        </w:tc>
      </w:tr>
      <w:tr w:rsidR="00092861" w:rsidRPr="00461101" w:rsidTr="00864DF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tcPr>
          <w:p w:rsidR="00092861" w:rsidRPr="00D94E04" w:rsidRDefault="00092861" w:rsidP="00092861">
            <w:pPr>
              <w:tabs>
                <w:tab w:val="left" w:pos="851"/>
              </w:tabs>
              <w:spacing w:after="120"/>
              <w:rPr>
                <w:rFonts w:ascii="Times New Roman" w:hAnsi="Times New Roman" w:cs="Times New Roman"/>
                <w:sz w:val="20"/>
                <w:szCs w:val="20"/>
              </w:rPr>
            </w:pPr>
            <w:r w:rsidRPr="00D94E04">
              <w:rPr>
                <w:rFonts w:ascii="Times New Roman" w:hAnsi="Times New Roman" w:cs="Times New Roman"/>
                <w:sz w:val="20"/>
                <w:szCs w:val="20"/>
              </w:rPr>
              <w:t>Jāpieņem lēmumi par pasākumiem bilances nodrošināšanai</w:t>
            </w:r>
          </w:p>
        </w:tc>
        <w:tc>
          <w:tcPr>
            <w:tcW w:w="1595" w:type="dxa"/>
            <w:vAlign w:val="center"/>
          </w:tcPr>
          <w:p w:rsidR="00092861" w:rsidRPr="00800E53" w:rsidRDefault="00092861" w:rsidP="00092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00E53">
              <w:rPr>
                <w:rFonts w:ascii="Times New Roman" w:hAnsi="Times New Roman" w:cs="Times New Roman"/>
                <w:b/>
                <w:bCs/>
                <w:sz w:val="24"/>
                <w:szCs w:val="24"/>
              </w:rPr>
              <w:t>-140,5</w:t>
            </w:r>
          </w:p>
        </w:tc>
        <w:tc>
          <w:tcPr>
            <w:tcW w:w="1701" w:type="dxa"/>
            <w:vAlign w:val="center"/>
          </w:tcPr>
          <w:p w:rsidR="00092861" w:rsidRPr="00800E53" w:rsidRDefault="00092861" w:rsidP="00092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00E53">
              <w:rPr>
                <w:rFonts w:ascii="Times New Roman" w:hAnsi="Times New Roman" w:cs="Times New Roman"/>
                <w:b/>
                <w:bCs/>
                <w:sz w:val="24"/>
                <w:szCs w:val="24"/>
              </w:rPr>
              <w:t>-61,4</w:t>
            </w:r>
          </w:p>
        </w:tc>
        <w:tc>
          <w:tcPr>
            <w:tcW w:w="1701" w:type="dxa"/>
            <w:vAlign w:val="center"/>
          </w:tcPr>
          <w:p w:rsidR="00092861" w:rsidRPr="00800E53" w:rsidRDefault="00092861" w:rsidP="000928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00E53">
              <w:rPr>
                <w:rFonts w:ascii="Times New Roman" w:hAnsi="Times New Roman" w:cs="Times New Roman"/>
                <w:b/>
                <w:bCs/>
                <w:sz w:val="24"/>
                <w:szCs w:val="24"/>
              </w:rPr>
              <w:t>-26,0</w:t>
            </w:r>
          </w:p>
        </w:tc>
      </w:tr>
      <w:tr w:rsidR="00D9463C" w:rsidRPr="00461101" w:rsidTr="006A7DB4">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FFF2CC" w:themeFill="accent4" w:themeFillTint="33"/>
            <w:vAlign w:val="bottom"/>
          </w:tcPr>
          <w:p w:rsidR="000E43BF" w:rsidRPr="00461101" w:rsidRDefault="00D94E04" w:rsidP="00CE4FBA">
            <w:pPr>
              <w:rPr>
                <w:rFonts w:ascii="Times New Roman" w:hAnsi="Times New Roman" w:cs="Times New Roman"/>
                <w:bCs w:val="0"/>
                <w:sz w:val="20"/>
                <w:szCs w:val="20"/>
              </w:rPr>
            </w:pPr>
            <w:r w:rsidRPr="00D94E04">
              <w:rPr>
                <w:rFonts w:ascii="Times New Roman" w:hAnsi="Times New Roman" w:cs="Times New Roman"/>
                <w:bCs w:val="0"/>
                <w:sz w:val="20"/>
                <w:szCs w:val="20"/>
              </w:rPr>
              <w:t xml:space="preserve">Pasākumi bilances nodrošināšanai </w:t>
            </w:r>
            <w:r w:rsidR="000E43BF" w:rsidRPr="00461101">
              <w:rPr>
                <w:rFonts w:ascii="Times New Roman" w:hAnsi="Times New Roman" w:cs="Times New Roman"/>
                <w:bCs w:val="0"/>
                <w:sz w:val="20"/>
                <w:szCs w:val="20"/>
              </w:rPr>
              <w:t>KOPĀ</w:t>
            </w:r>
          </w:p>
        </w:tc>
        <w:tc>
          <w:tcPr>
            <w:tcW w:w="1595" w:type="dxa"/>
            <w:shd w:val="clear" w:color="auto" w:fill="FFF2CC" w:themeFill="accent4" w:themeFillTint="33"/>
            <w:vAlign w:val="center"/>
          </w:tcPr>
          <w:p w:rsidR="000E43BF" w:rsidRPr="00430CE1" w:rsidRDefault="00B37B8A" w:rsidP="001D63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30CE1">
              <w:rPr>
                <w:rFonts w:ascii="Times New Roman" w:hAnsi="Times New Roman" w:cs="Times New Roman"/>
                <w:b/>
                <w:bCs/>
                <w:sz w:val="24"/>
                <w:szCs w:val="24"/>
              </w:rPr>
              <w:t>+1</w:t>
            </w:r>
            <w:r w:rsidR="001D634C">
              <w:rPr>
                <w:rFonts w:ascii="Times New Roman" w:hAnsi="Times New Roman" w:cs="Times New Roman"/>
                <w:b/>
                <w:bCs/>
                <w:sz w:val="24"/>
                <w:szCs w:val="24"/>
              </w:rPr>
              <w:t>40</w:t>
            </w:r>
            <w:r w:rsidRPr="00430CE1">
              <w:rPr>
                <w:rFonts w:ascii="Times New Roman" w:hAnsi="Times New Roman" w:cs="Times New Roman"/>
                <w:b/>
                <w:bCs/>
                <w:sz w:val="24"/>
                <w:szCs w:val="24"/>
              </w:rPr>
              <w:t>,5</w:t>
            </w:r>
          </w:p>
        </w:tc>
        <w:tc>
          <w:tcPr>
            <w:tcW w:w="1701" w:type="dxa"/>
            <w:shd w:val="clear" w:color="auto" w:fill="FFF2CC" w:themeFill="accent4" w:themeFillTint="33"/>
            <w:vAlign w:val="center"/>
          </w:tcPr>
          <w:p w:rsidR="000E43BF" w:rsidRPr="00430CE1" w:rsidRDefault="00B37B8A" w:rsidP="00E52A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30CE1">
              <w:rPr>
                <w:rFonts w:ascii="Times New Roman" w:hAnsi="Times New Roman" w:cs="Times New Roman"/>
                <w:b/>
                <w:bCs/>
                <w:sz w:val="24"/>
                <w:szCs w:val="24"/>
              </w:rPr>
              <w:t>+61,4</w:t>
            </w:r>
          </w:p>
        </w:tc>
        <w:tc>
          <w:tcPr>
            <w:tcW w:w="1701" w:type="dxa"/>
            <w:shd w:val="clear" w:color="auto" w:fill="FFF2CC" w:themeFill="accent4" w:themeFillTint="33"/>
            <w:vAlign w:val="center"/>
          </w:tcPr>
          <w:p w:rsidR="000E43BF" w:rsidRPr="00430CE1" w:rsidRDefault="00B37B8A" w:rsidP="00CE4F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30CE1">
              <w:rPr>
                <w:rFonts w:ascii="Times New Roman" w:hAnsi="Times New Roman" w:cs="Times New Roman"/>
                <w:b/>
                <w:bCs/>
                <w:sz w:val="24"/>
                <w:szCs w:val="24"/>
              </w:rPr>
              <w:t>+42,0</w:t>
            </w:r>
          </w:p>
        </w:tc>
      </w:tr>
      <w:tr w:rsidR="00D9463C" w:rsidRPr="00461101" w:rsidTr="00CE4FB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D9463C" w:rsidRPr="00461101" w:rsidRDefault="00D9463C" w:rsidP="00CE4FBA">
            <w:pPr>
              <w:ind w:firstLineChars="200" w:firstLine="400"/>
              <w:rPr>
                <w:rFonts w:ascii="Times New Roman" w:hAnsi="Times New Roman" w:cs="Times New Roman"/>
                <w:i/>
                <w:iCs/>
                <w:sz w:val="20"/>
                <w:szCs w:val="20"/>
              </w:rPr>
            </w:pPr>
            <w:r w:rsidRPr="00461101">
              <w:rPr>
                <w:rFonts w:ascii="Times New Roman" w:hAnsi="Times New Roman" w:cs="Times New Roman"/>
                <w:b w:val="0"/>
                <w:bCs w:val="0"/>
                <w:i/>
                <w:iCs/>
                <w:sz w:val="20"/>
                <w:szCs w:val="20"/>
              </w:rPr>
              <w:t xml:space="preserve">tai skaitā </w:t>
            </w:r>
          </w:p>
        </w:tc>
        <w:tc>
          <w:tcPr>
            <w:tcW w:w="1595" w:type="dxa"/>
            <w:shd w:val="clear" w:color="auto" w:fill="auto"/>
            <w:vAlign w:val="center"/>
          </w:tcPr>
          <w:p w:rsidR="00D9463C" w:rsidRPr="00461101" w:rsidRDefault="00D9463C"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 </w:t>
            </w:r>
          </w:p>
        </w:tc>
        <w:tc>
          <w:tcPr>
            <w:tcW w:w="1701" w:type="dxa"/>
            <w:shd w:val="clear" w:color="auto" w:fill="auto"/>
            <w:vAlign w:val="center"/>
          </w:tcPr>
          <w:p w:rsidR="00D9463C" w:rsidRPr="00461101" w:rsidRDefault="00D9463C"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 </w:t>
            </w:r>
          </w:p>
        </w:tc>
        <w:tc>
          <w:tcPr>
            <w:tcW w:w="1701" w:type="dxa"/>
            <w:shd w:val="clear" w:color="auto" w:fill="auto"/>
            <w:vAlign w:val="center"/>
          </w:tcPr>
          <w:p w:rsidR="00D9463C" w:rsidRPr="00461101" w:rsidRDefault="00D9463C"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 </w:t>
            </w:r>
          </w:p>
        </w:tc>
      </w:tr>
      <w:tr w:rsidR="00EB013C" w:rsidRPr="00461101" w:rsidTr="006A7DB4">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FFF2CC" w:themeFill="accent4" w:themeFillTint="33"/>
            <w:vAlign w:val="bottom"/>
          </w:tcPr>
          <w:p w:rsidR="00EB013C" w:rsidRPr="00461101" w:rsidRDefault="00EB013C" w:rsidP="00EB013C">
            <w:pPr>
              <w:ind w:firstLineChars="200" w:firstLine="400"/>
              <w:rPr>
                <w:rFonts w:ascii="Times New Roman" w:hAnsi="Times New Roman" w:cs="Times New Roman"/>
                <w:sz w:val="20"/>
                <w:szCs w:val="20"/>
              </w:rPr>
            </w:pPr>
            <w:r w:rsidRPr="00461101">
              <w:rPr>
                <w:rFonts w:ascii="Times New Roman" w:hAnsi="Times New Roman" w:cs="Times New Roman"/>
                <w:bCs w:val="0"/>
                <w:sz w:val="20"/>
                <w:szCs w:val="20"/>
              </w:rPr>
              <w:t>Izdevumu pasākumi</w:t>
            </w:r>
          </w:p>
        </w:tc>
        <w:tc>
          <w:tcPr>
            <w:tcW w:w="1595" w:type="dxa"/>
            <w:shd w:val="clear" w:color="auto" w:fill="FFF2CC" w:themeFill="accent4" w:themeFillTint="33"/>
            <w:vAlign w:val="center"/>
          </w:tcPr>
          <w:p w:rsidR="00EB013C" w:rsidRPr="00461101" w:rsidRDefault="00B37B8A" w:rsidP="001D63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w:t>
            </w:r>
            <w:r w:rsidR="001D634C">
              <w:rPr>
                <w:rFonts w:ascii="Times New Roman" w:hAnsi="Times New Roman" w:cs="Times New Roman"/>
                <w:b/>
                <w:bCs/>
                <w:sz w:val="20"/>
                <w:szCs w:val="20"/>
              </w:rPr>
              <w:t>111</w:t>
            </w:r>
            <w:r>
              <w:rPr>
                <w:rFonts w:ascii="Times New Roman" w:hAnsi="Times New Roman" w:cs="Times New Roman"/>
                <w:b/>
                <w:bCs/>
                <w:sz w:val="20"/>
                <w:szCs w:val="20"/>
              </w:rPr>
              <w:t>,4</w:t>
            </w:r>
          </w:p>
        </w:tc>
        <w:tc>
          <w:tcPr>
            <w:tcW w:w="1701" w:type="dxa"/>
            <w:shd w:val="clear" w:color="auto" w:fill="FFF2CC" w:themeFill="accent4" w:themeFillTint="33"/>
            <w:vAlign w:val="center"/>
          </w:tcPr>
          <w:p w:rsidR="00EB013C" w:rsidRPr="00461101" w:rsidRDefault="00C15F88" w:rsidP="00B37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w:t>
            </w:r>
            <w:r w:rsidR="00B37B8A">
              <w:rPr>
                <w:rFonts w:ascii="Times New Roman" w:hAnsi="Times New Roman" w:cs="Times New Roman"/>
                <w:b/>
                <w:bCs/>
                <w:sz w:val="20"/>
                <w:szCs w:val="20"/>
              </w:rPr>
              <w:t>33,8</w:t>
            </w:r>
          </w:p>
        </w:tc>
        <w:tc>
          <w:tcPr>
            <w:tcW w:w="1701" w:type="dxa"/>
            <w:shd w:val="clear" w:color="auto" w:fill="FFF2CC" w:themeFill="accent4" w:themeFillTint="33"/>
            <w:vAlign w:val="center"/>
          </w:tcPr>
          <w:p w:rsidR="00EB013C" w:rsidRPr="00461101" w:rsidRDefault="00EB013C" w:rsidP="00C15F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w:t>
            </w:r>
            <w:r w:rsidR="00B37B8A">
              <w:rPr>
                <w:rFonts w:ascii="Times New Roman" w:hAnsi="Times New Roman" w:cs="Times New Roman"/>
                <w:b/>
                <w:bCs/>
                <w:sz w:val="20"/>
                <w:szCs w:val="20"/>
              </w:rPr>
              <w:t>13,4</w:t>
            </w:r>
          </w:p>
        </w:tc>
      </w:tr>
      <w:tr w:rsidR="00B37B8A" w:rsidRPr="00461101" w:rsidTr="00CE4FB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B37B8A" w:rsidRPr="00461101" w:rsidRDefault="00B37B8A" w:rsidP="00EB013C">
            <w:pPr>
              <w:rPr>
                <w:rFonts w:ascii="Times New Roman" w:hAnsi="Times New Roman" w:cs="Times New Roman"/>
                <w:b w:val="0"/>
                <w:sz w:val="20"/>
                <w:szCs w:val="20"/>
              </w:rPr>
            </w:pPr>
            <w:r w:rsidRPr="00B37B8A">
              <w:rPr>
                <w:rFonts w:ascii="Times New Roman" w:hAnsi="Times New Roman" w:cs="Times New Roman"/>
                <w:b w:val="0"/>
                <w:sz w:val="20"/>
                <w:szCs w:val="20"/>
              </w:rPr>
              <w:t xml:space="preserve">Papildus Satversmes tiesas spriedumu izpilde labklājības jomā </w:t>
            </w:r>
            <w:r w:rsidR="00825F92">
              <w:rPr>
                <w:rFonts w:ascii="Times New Roman" w:hAnsi="Times New Roman" w:cs="Times New Roman"/>
                <w:b w:val="0"/>
                <w:sz w:val="20"/>
                <w:szCs w:val="20"/>
              </w:rPr>
              <w:t>(LM valsts budžeta daļa) - LM 03</w:t>
            </w:r>
            <w:r w:rsidRPr="00B37B8A">
              <w:rPr>
                <w:rFonts w:ascii="Times New Roman" w:hAnsi="Times New Roman" w:cs="Times New Roman"/>
                <w:b w:val="0"/>
                <w:sz w:val="20"/>
                <w:szCs w:val="20"/>
              </w:rPr>
              <w:t>.09.2020. iesniegtās izmaiņas</w:t>
            </w:r>
          </w:p>
        </w:tc>
        <w:tc>
          <w:tcPr>
            <w:tcW w:w="1595" w:type="dxa"/>
            <w:shd w:val="clear" w:color="auto" w:fill="auto"/>
            <w:vAlign w:val="center"/>
          </w:tcPr>
          <w:p w:rsidR="00B37B8A" w:rsidRPr="00461101" w:rsidRDefault="00B37B8A"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+32,1</w:t>
            </w:r>
          </w:p>
        </w:tc>
        <w:tc>
          <w:tcPr>
            <w:tcW w:w="1701" w:type="dxa"/>
            <w:shd w:val="clear" w:color="auto" w:fill="auto"/>
            <w:vAlign w:val="center"/>
          </w:tcPr>
          <w:p w:rsidR="00B37B8A" w:rsidRPr="00461101" w:rsidRDefault="00B37B8A"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+34,1</w:t>
            </w:r>
          </w:p>
        </w:tc>
        <w:tc>
          <w:tcPr>
            <w:tcW w:w="1701" w:type="dxa"/>
            <w:shd w:val="clear" w:color="auto" w:fill="auto"/>
            <w:vAlign w:val="center"/>
          </w:tcPr>
          <w:p w:rsidR="00B37B8A" w:rsidRPr="00461101" w:rsidRDefault="00B37B8A"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+34,1</w:t>
            </w:r>
          </w:p>
        </w:tc>
      </w:tr>
      <w:tr w:rsidR="00EB013C" w:rsidRPr="00461101" w:rsidTr="00CE4FBA">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EB013C" w:rsidRPr="00461101" w:rsidRDefault="00EB013C" w:rsidP="00EB013C">
            <w:pPr>
              <w:rPr>
                <w:rFonts w:ascii="Times New Roman" w:hAnsi="Times New Roman" w:cs="Times New Roman"/>
                <w:b w:val="0"/>
                <w:bCs w:val="0"/>
                <w:sz w:val="20"/>
                <w:szCs w:val="20"/>
              </w:rPr>
            </w:pPr>
            <w:r w:rsidRPr="00461101">
              <w:rPr>
                <w:rFonts w:ascii="Times New Roman" w:hAnsi="Times New Roman" w:cs="Times New Roman"/>
                <w:b w:val="0"/>
                <w:sz w:val="20"/>
                <w:szCs w:val="20"/>
              </w:rPr>
              <w:t>Izdevumu pārskatīšanas rezultātā identificētie resursi kopējās fiskālās telpas uzlabošanai</w:t>
            </w:r>
          </w:p>
        </w:tc>
        <w:tc>
          <w:tcPr>
            <w:tcW w:w="1595"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-13,1</w:t>
            </w:r>
          </w:p>
        </w:tc>
        <w:tc>
          <w:tcPr>
            <w:tcW w:w="1701"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-11,4</w:t>
            </w:r>
          </w:p>
        </w:tc>
        <w:tc>
          <w:tcPr>
            <w:tcW w:w="1701"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-13,3</w:t>
            </w:r>
          </w:p>
        </w:tc>
      </w:tr>
      <w:tr w:rsidR="00B37B8A" w:rsidRPr="00461101" w:rsidTr="00CE4FB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B37B8A" w:rsidRPr="00461101" w:rsidRDefault="00B37B8A" w:rsidP="00EB013C">
            <w:pPr>
              <w:rPr>
                <w:rFonts w:ascii="Times New Roman" w:hAnsi="Times New Roman" w:cs="Times New Roman"/>
                <w:b w:val="0"/>
                <w:sz w:val="20"/>
                <w:szCs w:val="20"/>
              </w:rPr>
            </w:pPr>
            <w:r w:rsidRPr="00B37B8A">
              <w:rPr>
                <w:rFonts w:ascii="Times New Roman" w:hAnsi="Times New Roman" w:cs="Times New Roman"/>
                <w:b w:val="0"/>
                <w:sz w:val="20"/>
                <w:szCs w:val="20"/>
              </w:rPr>
              <w:t>Korupcijas novēršanas un apkarošanas biroja precizēts prioritārais pasākums</w:t>
            </w:r>
          </w:p>
        </w:tc>
        <w:tc>
          <w:tcPr>
            <w:tcW w:w="1595" w:type="dxa"/>
            <w:shd w:val="clear" w:color="auto" w:fill="auto"/>
            <w:vAlign w:val="center"/>
          </w:tcPr>
          <w:p w:rsidR="00B37B8A" w:rsidRPr="00461101" w:rsidRDefault="00B37B8A"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c>
          <w:tcPr>
            <w:tcW w:w="1701" w:type="dxa"/>
            <w:shd w:val="clear" w:color="auto" w:fill="auto"/>
            <w:vAlign w:val="center"/>
          </w:tcPr>
          <w:p w:rsidR="00B37B8A" w:rsidRPr="00461101" w:rsidRDefault="00B37B8A"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w:t>
            </w:r>
          </w:p>
        </w:tc>
        <w:tc>
          <w:tcPr>
            <w:tcW w:w="1701" w:type="dxa"/>
            <w:shd w:val="clear" w:color="auto" w:fill="auto"/>
            <w:vAlign w:val="center"/>
          </w:tcPr>
          <w:p w:rsidR="00B37B8A" w:rsidRPr="00461101" w:rsidRDefault="00B37B8A"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w:t>
            </w:r>
          </w:p>
        </w:tc>
      </w:tr>
      <w:tr w:rsidR="00EB013C" w:rsidRPr="00461101" w:rsidTr="00CE4FBA">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EB013C" w:rsidRPr="00461101" w:rsidRDefault="00B37B8A" w:rsidP="00EB013C">
            <w:pPr>
              <w:rPr>
                <w:rFonts w:ascii="Times New Roman" w:hAnsi="Times New Roman" w:cs="Times New Roman"/>
                <w:b w:val="0"/>
                <w:sz w:val="20"/>
                <w:szCs w:val="20"/>
              </w:rPr>
            </w:pPr>
            <w:r w:rsidRPr="00B37B8A">
              <w:rPr>
                <w:rFonts w:ascii="Times New Roman" w:hAnsi="Times New Roman" w:cs="Times New Roman"/>
                <w:b w:val="0"/>
                <w:sz w:val="20"/>
                <w:szCs w:val="20"/>
              </w:rPr>
              <w:t>Pašvaldību speciālā dotācija (palielinājums par 10% pret iepriekšējo gadu, 64 resors)</w:t>
            </w:r>
          </w:p>
        </w:tc>
        <w:tc>
          <w:tcPr>
            <w:tcW w:w="1595" w:type="dxa"/>
            <w:shd w:val="clear" w:color="auto" w:fill="auto"/>
            <w:vAlign w:val="center"/>
          </w:tcPr>
          <w:p w:rsidR="00EB013C" w:rsidRPr="00461101" w:rsidRDefault="00B37B8A"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-24,3</w:t>
            </w:r>
          </w:p>
        </w:tc>
        <w:tc>
          <w:tcPr>
            <w:tcW w:w="1701" w:type="dxa"/>
            <w:shd w:val="clear" w:color="auto" w:fill="auto"/>
            <w:vAlign w:val="center"/>
          </w:tcPr>
          <w:p w:rsidR="00EB013C" w:rsidRPr="00461101" w:rsidRDefault="00B37B8A"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w:t>
            </w:r>
            <w:r w:rsidR="00EB013C" w:rsidRPr="00461101">
              <w:rPr>
                <w:rFonts w:ascii="Times New Roman" w:hAnsi="Times New Roman" w:cs="Times New Roman"/>
                <w:sz w:val="20"/>
                <w:szCs w:val="20"/>
              </w:rPr>
              <w:t> </w:t>
            </w:r>
          </w:p>
        </w:tc>
        <w:tc>
          <w:tcPr>
            <w:tcW w:w="1701"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p>
        </w:tc>
      </w:tr>
      <w:tr w:rsidR="00EB013C" w:rsidRPr="00461101" w:rsidTr="00CE4FB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EB013C" w:rsidRPr="00461101" w:rsidRDefault="00EB013C" w:rsidP="009C75FB">
            <w:pPr>
              <w:rPr>
                <w:rFonts w:ascii="Times New Roman" w:hAnsi="Times New Roman" w:cs="Times New Roman"/>
                <w:b w:val="0"/>
                <w:sz w:val="20"/>
                <w:szCs w:val="20"/>
              </w:rPr>
            </w:pPr>
            <w:r w:rsidRPr="00461101">
              <w:rPr>
                <w:rFonts w:ascii="Times New Roman" w:hAnsi="Times New Roman" w:cs="Times New Roman"/>
                <w:b w:val="0"/>
                <w:sz w:val="20"/>
                <w:szCs w:val="20"/>
              </w:rPr>
              <w:t xml:space="preserve">Par </w:t>
            </w:r>
            <w:r w:rsidR="009C75FB">
              <w:rPr>
                <w:rFonts w:ascii="Times New Roman" w:hAnsi="Times New Roman" w:cs="Times New Roman"/>
                <w:b w:val="0"/>
                <w:sz w:val="20"/>
                <w:szCs w:val="20"/>
              </w:rPr>
              <w:t>20</w:t>
            </w:r>
            <w:r w:rsidRPr="00461101">
              <w:rPr>
                <w:rFonts w:ascii="Times New Roman" w:hAnsi="Times New Roman" w:cs="Times New Roman"/>
                <w:b w:val="0"/>
                <w:sz w:val="20"/>
                <w:szCs w:val="20"/>
              </w:rPr>
              <w:t>% samazināt komandējumu izdevumus (nozaru ministrijas)</w:t>
            </w:r>
          </w:p>
        </w:tc>
        <w:tc>
          <w:tcPr>
            <w:tcW w:w="1595" w:type="dxa"/>
            <w:shd w:val="clear" w:color="auto" w:fill="auto"/>
            <w:vAlign w:val="center"/>
          </w:tcPr>
          <w:p w:rsidR="00EB013C" w:rsidRPr="00461101" w:rsidRDefault="00EB013C"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B013C" w:rsidRPr="00461101" w:rsidRDefault="00C15F88"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tc>
        <w:tc>
          <w:tcPr>
            <w:tcW w:w="1701" w:type="dxa"/>
            <w:shd w:val="clear" w:color="auto" w:fill="auto"/>
            <w:vAlign w:val="bottom"/>
          </w:tcPr>
          <w:p w:rsidR="00EB013C" w:rsidRPr="00461101" w:rsidRDefault="00EB013C" w:rsidP="00EB01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p>
        </w:tc>
        <w:tc>
          <w:tcPr>
            <w:tcW w:w="1701" w:type="dxa"/>
            <w:shd w:val="clear" w:color="auto" w:fill="auto"/>
            <w:vAlign w:val="bottom"/>
          </w:tcPr>
          <w:p w:rsidR="00EB013C" w:rsidRPr="00461101" w:rsidRDefault="00EB013C" w:rsidP="00EB01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p>
        </w:tc>
      </w:tr>
      <w:tr w:rsidR="00EB013C" w:rsidRPr="00461101" w:rsidTr="00CE4FBA">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EB013C" w:rsidRPr="00461101" w:rsidRDefault="00EB013C" w:rsidP="00EB013C">
            <w:pPr>
              <w:rPr>
                <w:rFonts w:ascii="Times New Roman" w:hAnsi="Times New Roman" w:cs="Times New Roman"/>
                <w:b w:val="0"/>
                <w:sz w:val="20"/>
                <w:szCs w:val="20"/>
              </w:rPr>
            </w:pPr>
            <w:r w:rsidRPr="00461101">
              <w:rPr>
                <w:rFonts w:ascii="Times New Roman" w:hAnsi="Times New Roman" w:cs="Times New Roman"/>
                <w:b w:val="0"/>
                <w:sz w:val="20"/>
                <w:szCs w:val="20"/>
              </w:rPr>
              <w:t>Valsts budžeta investīcijas, kuras iespējams finansēt no Eiropas Atveseļošanas un noturības mehānisma līdzekļiem</w:t>
            </w:r>
            <w:r w:rsidR="00B37B8A">
              <w:rPr>
                <w:rFonts w:ascii="Times New Roman" w:hAnsi="Times New Roman" w:cs="Times New Roman"/>
                <w:b w:val="0"/>
                <w:sz w:val="20"/>
                <w:szCs w:val="20"/>
              </w:rPr>
              <w:t xml:space="preserve"> (SM)</w:t>
            </w:r>
          </w:p>
        </w:tc>
        <w:tc>
          <w:tcPr>
            <w:tcW w:w="1595"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r w:rsidR="00B37B8A">
              <w:rPr>
                <w:rFonts w:ascii="Times New Roman" w:hAnsi="Times New Roman" w:cs="Times New Roman"/>
                <w:sz w:val="20"/>
                <w:szCs w:val="20"/>
              </w:rPr>
              <w:t>-50,0</w:t>
            </w:r>
          </w:p>
        </w:tc>
        <w:tc>
          <w:tcPr>
            <w:tcW w:w="1701" w:type="dxa"/>
            <w:shd w:val="clear" w:color="auto" w:fill="auto"/>
            <w:vAlign w:val="bottom"/>
          </w:tcPr>
          <w:p w:rsidR="00EB013C" w:rsidRPr="00461101" w:rsidRDefault="00EB013C" w:rsidP="00EB01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p>
        </w:tc>
        <w:tc>
          <w:tcPr>
            <w:tcW w:w="1701" w:type="dxa"/>
            <w:shd w:val="clear" w:color="auto" w:fill="auto"/>
            <w:vAlign w:val="bottom"/>
          </w:tcPr>
          <w:p w:rsidR="00EB013C" w:rsidRPr="00461101" w:rsidRDefault="00EB013C" w:rsidP="00EB01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p>
        </w:tc>
      </w:tr>
      <w:tr w:rsidR="00A22C18" w:rsidRPr="00461101" w:rsidTr="00CE4FB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A22C18" w:rsidRPr="00DF2B17" w:rsidRDefault="00A22C18" w:rsidP="00EB013C">
            <w:pPr>
              <w:rPr>
                <w:rFonts w:ascii="Times New Roman" w:hAnsi="Times New Roman" w:cs="Times New Roman"/>
                <w:b w:val="0"/>
                <w:sz w:val="20"/>
                <w:szCs w:val="20"/>
              </w:rPr>
            </w:pPr>
            <w:r w:rsidRPr="00DF2B17">
              <w:rPr>
                <w:rFonts w:ascii="Times New Roman" w:hAnsi="Times New Roman" w:cs="Times New Roman"/>
                <w:b w:val="0"/>
                <w:sz w:val="20"/>
                <w:szCs w:val="20"/>
              </w:rPr>
              <w:t>Valsts budžeta investīcijas, kuras iespējams finansēt no papildu finansējuma Kohēzijas politikai 2014</w:t>
            </w:r>
            <w:r w:rsidR="00234376" w:rsidRPr="00DF2B17">
              <w:rPr>
                <w:rFonts w:ascii="Times New Roman" w:hAnsi="Times New Roman" w:cs="Times New Roman"/>
                <w:b w:val="0"/>
                <w:sz w:val="20"/>
                <w:szCs w:val="20"/>
              </w:rPr>
              <w:t>.</w:t>
            </w:r>
            <w:r w:rsidRPr="00DF2B17">
              <w:rPr>
                <w:rFonts w:ascii="Times New Roman" w:hAnsi="Times New Roman" w:cs="Times New Roman"/>
                <w:b w:val="0"/>
                <w:sz w:val="20"/>
                <w:szCs w:val="20"/>
              </w:rPr>
              <w:t>-2020</w:t>
            </w:r>
            <w:r w:rsidR="00234376" w:rsidRPr="00DF2B17">
              <w:rPr>
                <w:rFonts w:ascii="Times New Roman" w:hAnsi="Times New Roman" w:cs="Times New Roman"/>
                <w:b w:val="0"/>
                <w:sz w:val="20"/>
                <w:szCs w:val="20"/>
              </w:rPr>
              <w:t>.</w:t>
            </w:r>
            <w:r w:rsidRPr="00DF2B17">
              <w:rPr>
                <w:rFonts w:ascii="Times New Roman" w:hAnsi="Times New Roman" w:cs="Times New Roman"/>
                <w:b w:val="0"/>
                <w:sz w:val="20"/>
                <w:szCs w:val="20"/>
              </w:rPr>
              <w:t xml:space="preserve"> plānošanas perioda (VM)</w:t>
            </w:r>
          </w:p>
        </w:tc>
        <w:tc>
          <w:tcPr>
            <w:tcW w:w="1595" w:type="dxa"/>
            <w:shd w:val="clear" w:color="auto" w:fill="auto"/>
            <w:vAlign w:val="center"/>
          </w:tcPr>
          <w:p w:rsidR="00A22C18" w:rsidRPr="00461101" w:rsidRDefault="00A22C18" w:rsidP="00EB01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2B17">
              <w:rPr>
                <w:rFonts w:ascii="Times New Roman" w:hAnsi="Times New Roman" w:cs="Times New Roman"/>
                <w:sz w:val="20"/>
                <w:szCs w:val="20"/>
              </w:rPr>
              <w:t>-20,0</w:t>
            </w:r>
          </w:p>
        </w:tc>
        <w:tc>
          <w:tcPr>
            <w:tcW w:w="1701" w:type="dxa"/>
            <w:shd w:val="clear" w:color="auto" w:fill="auto"/>
            <w:vAlign w:val="bottom"/>
          </w:tcPr>
          <w:p w:rsidR="00A22C18" w:rsidRPr="00461101" w:rsidRDefault="00A22C18" w:rsidP="00EB01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1" w:type="dxa"/>
            <w:shd w:val="clear" w:color="auto" w:fill="auto"/>
            <w:vAlign w:val="bottom"/>
          </w:tcPr>
          <w:p w:rsidR="00A22C18" w:rsidRPr="00461101" w:rsidRDefault="00A22C18" w:rsidP="00EB01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B013C" w:rsidRPr="00461101" w:rsidTr="00CE4FBA">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EB013C" w:rsidRPr="00461101" w:rsidRDefault="00EB013C" w:rsidP="00EB013C">
            <w:pPr>
              <w:rPr>
                <w:rFonts w:ascii="Times New Roman" w:hAnsi="Times New Roman" w:cs="Times New Roman"/>
                <w:b w:val="0"/>
                <w:sz w:val="20"/>
                <w:szCs w:val="20"/>
              </w:rPr>
            </w:pPr>
            <w:r w:rsidRPr="00461101">
              <w:rPr>
                <w:rFonts w:ascii="Times New Roman" w:hAnsi="Times New Roman" w:cs="Times New Roman"/>
                <w:b w:val="0"/>
                <w:sz w:val="20"/>
                <w:szCs w:val="20"/>
              </w:rPr>
              <w:t>Valsts speciālais budžets (LM)</w:t>
            </w:r>
          </w:p>
        </w:tc>
        <w:tc>
          <w:tcPr>
            <w:tcW w:w="1595" w:type="dxa"/>
            <w:shd w:val="clear" w:color="auto" w:fill="auto"/>
            <w:vAlign w:val="center"/>
          </w:tcPr>
          <w:p w:rsidR="00EB013C" w:rsidRPr="00461101" w:rsidRDefault="00EB013C" w:rsidP="00C15F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-3</w:t>
            </w:r>
            <w:r w:rsidR="00C15F88">
              <w:rPr>
                <w:rFonts w:ascii="Times New Roman" w:hAnsi="Times New Roman" w:cs="Times New Roman"/>
                <w:sz w:val="20"/>
                <w:szCs w:val="20"/>
              </w:rPr>
              <w:t>2,1</w:t>
            </w:r>
          </w:p>
        </w:tc>
        <w:tc>
          <w:tcPr>
            <w:tcW w:w="1701"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w:t>
            </w:r>
            <w:r w:rsidR="00C15F88">
              <w:rPr>
                <w:rFonts w:ascii="Times New Roman" w:hAnsi="Times New Roman" w:cs="Times New Roman"/>
                <w:sz w:val="20"/>
                <w:szCs w:val="20"/>
              </w:rPr>
              <w:t>34,2</w:t>
            </w:r>
          </w:p>
        </w:tc>
        <w:tc>
          <w:tcPr>
            <w:tcW w:w="1701" w:type="dxa"/>
            <w:shd w:val="clear" w:color="auto" w:fill="auto"/>
            <w:vAlign w:val="center"/>
          </w:tcPr>
          <w:p w:rsidR="00EB013C" w:rsidRPr="00461101" w:rsidRDefault="00EB013C" w:rsidP="00EB01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r w:rsidR="00C15F88">
              <w:rPr>
                <w:rFonts w:ascii="Times New Roman" w:hAnsi="Times New Roman" w:cs="Times New Roman"/>
                <w:sz w:val="20"/>
                <w:szCs w:val="20"/>
              </w:rPr>
              <w:t>-34,2</w:t>
            </w:r>
          </w:p>
        </w:tc>
      </w:tr>
      <w:tr w:rsidR="00B37B8A" w:rsidRPr="00461101" w:rsidTr="00B37B8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B37B8A" w:rsidRPr="00B37B8A" w:rsidRDefault="00B37B8A" w:rsidP="00CE4FBA">
            <w:pPr>
              <w:rPr>
                <w:rFonts w:ascii="Times New Roman" w:hAnsi="Times New Roman" w:cs="Times New Roman"/>
                <w:b w:val="0"/>
                <w:bCs w:val="0"/>
                <w:sz w:val="20"/>
                <w:szCs w:val="20"/>
              </w:rPr>
            </w:pPr>
            <w:r w:rsidRPr="00B37B8A">
              <w:rPr>
                <w:rFonts w:ascii="Times New Roman" w:hAnsi="Times New Roman" w:cs="Times New Roman"/>
                <w:b w:val="0"/>
                <w:bCs w:val="0"/>
                <w:sz w:val="20"/>
                <w:szCs w:val="20"/>
              </w:rPr>
              <w:t>Budžeta resora "74.Gadskārtējā valsts budžeta izpildes procesā pārdalāmais finansējums" izdevumu samazinājums (t.sk. LNG un apropriācijas rezerve)</w:t>
            </w:r>
          </w:p>
        </w:tc>
        <w:tc>
          <w:tcPr>
            <w:tcW w:w="1595" w:type="dxa"/>
            <w:shd w:val="clear" w:color="auto" w:fill="auto"/>
            <w:vAlign w:val="center"/>
          </w:tcPr>
          <w:p w:rsidR="00B37B8A" w:rsidRPr="00B37B8A" w:rsidRDefault="00B37B8A" w:rsidP="001D63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r w:rsidR="001D634C">
              <w:rPr>
                <w:rFonts w:ascii="Times New Roman" w:hAnsi="Times New Roman" w:cs="Times New Roman"/>
                <w:bCs/>
                <w:sz w:val="20"/>
                <w:szCs w:val="20"/>
              </w:rPr>
              <w:t>0</w:t>
            </w:r>
            <w:r>
              <w:rPr>
                <w:rFonts w:ascii="Times New Roman" w:hAnsi="Times New Roman" w:cs="Times New Roman"/>
                <w:bCs/>
                <w:sz w:val="20"/>
                <w:szCs w:val="20"/>
              </w:rPr>
              <w:t>,3</w:t>
            </w:r>
          </w:p>
        </w:tc>
        <w:tc>
          <w:tcPr>
            <w:tcW w:w="1701" w:type="dxa"/>
            <w:shd w:val="clear" w:color="auto" w:fill="auto"/>
            <w:vAlign w:val="center"/>
          </w:tcPr>
          <w:p w:rsidR="00B37B8A" w:rsidRPr="00B37B8A" w:rsidRDefault="00B37B8A"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-13,6</w:t>
            </w:r>
          </w:p>
        </w:tc>
        <w:tc>
          <w:tcPr>
            <w:tcW w:w="1701" w:type="dxa"/>
            <w:shd w:val="clear" w:color="auto" w:fill="auto"/>
            <w:vAlign w:val="center"/>
          </w:tcPr>
          <w:p w:rsidR="00B37B8A" w:rsidRPr="00B37B8A" w:rsidRDefault="00B37B8A"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D9463C" w:rsidRPr="00461101" w:rsidTr="006A7DB4">
        <w:trPr>
          <w:trHeight w:val="355"/>
        </w:trPr>
        <w:tc>
          <w:tcPr>
            <w:cnfStyle w:val="001000000000" w:firstRow="0" w:lastRow="0" w:firstColumn="1" w:lastColumn="0" w:oddVBand="0" w:evenVBand="0" w:oddHBand="0" w:evenHBand="0" w:firstRowFirstColumn="0" w:firstRowLastColumn="0" w:lastRowFirstColumn="0" w:lastRowLastColumn="0"/>
            <w:tcW w:w="4359" w:type="dxa"/>
            <w:vAlign w:val="bottom"/>
          </w:tcPr>
          <w:p w:rsidR="00D9463C" w:rsidRPr="00461101" w:rsidRDefault="00D9463C" w:rsidP="00CE4FBA">
            <w:pPr>
              <w:rPr>
                <w:rFonts w:ascii="Times New Roman" w:hAnsi="Times New Roman" w:cs="Times New Roman"/>
                <w:sz w:val="20"/>
                <w:szCs w:val="20"/>
              </w:rPr>
            </w:pPr>
            <w:r w:rsidRPr="00461101">
              <w:rPr>
                <w:rFonts w:ascii="Times New Roman" w:hAnsi="Times New Roman" w:cs="Times New Roman"/>
                <w:bCs w:val="0"/>
                <w:sz w:val="20"/>
                <w:szCs w:val="20"/>
              </w:rPr>
              <w:t>Ieņēmumu pasākumi</w:t>
            </w:r>
          </w:p>
        </w:tc>
        <w:tc>
          <w:tcPr>
            <w:tcW w:w="1595" w:type="dxa"/>
            <w:vAlign w:val="center"/>
          </w:tcPr>
          <w:p w:rsidR="00D9463C" w:rsidRPr="00461101" w:rsidRDefault="00840141" w:rsidP="0098182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w:t>
            </w:r>
            <w:r w:rsidR="00B37B8A">
              <w:rPr>
                <w:rFonts w:ascii="Times New Roman" w:hAnsi="Times New Roman" w:cs="Times New Roman"/>
                <w:b/>
                <w:bCs/>
                <w:sz w:val="20"/>
                <w:szCs w:val="20"/>
              </w:rPr>
              <w:t>29</w:t>
            </w:r>
            <w:r w:rsidR="00D9463C" w:rsidRPr="00461101">
              <w:rPr>
                <w:rFonts w:ascii="Times New Roman" w:hAnsi="Times New Roman" w:cs="Times New Roman"/>
                <w:b/>
                <w:bCs/>
                <w:sz w:val="20"/>
                <w:szCs w:val="20"/>
              </w:rPr>
              <w:t>,0</w:t>
            </w:r>
          </w:p>
        </w:tc>
        <w:tc>
          <w:tcPr>
            <w:tcW w:w="1701" w:type="dxa"/>
            <w:vAlign w:val="center"/>
          </w:tcPr>
          <w:p w:rsidR="00D9463C" w:rsidRPr="00461101" w:rsidRDefault="00840141" w:rsidP="00B37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w:t>
            </w:r>
            <w:r w:rsidR="00B37B8A">
              <w:rPr>
                <w:rFonts w:ascii="Times New Roman" w:hAnsi="Times New Roman" w:cs="Times New Roman"/>
                <w:b/>
                <w:bCs/>
                <w:sz w:val="20"/>
                <w:szCs w:val="20"/>
              </w:rPr>
              <w:t>27,6</w:t>
            </w:r>
          </w:p>
        </w:tc>
        <w:tc>
          <w:tcPr>
            <w:tcW w:w="1701" w:type="dxa"/>
            <w:vAlign w:val="center"/>
          </w:tcPr>
          <w:p w:rsidR="00D9463C" w:rsidRPr="00461101" w:rsidRDefault="00840141" w:rsidP="00B37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w:t>
            </w:r>
            <w:r w:rsidR="00B37B8A">
              <w:rPr>
                <w:rFonts w:ascii="Times New Roman" w:hAnsi="Times New Roman" w:cs="Times New Roman"/>
                <w:b/>
                <w:bCs/>
                <w:sz w:val="20"/>
                <w:szCs w:val="20"/>
              </w:rPr>
              <w:t>28,6</w:t>
            </w:r>
          </w:p>
        </w:tc>
      </w:tr>
      <w:tr w:rsidR="00D9463C" w:rsidRPr="00461101" w:rsidTr="00CE4FB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D9463C" w:rsidRPr="00461101" w:rsidRDefault="00D9463C" w:rsidP="00CE4FBA">
            <w:pPr>
              <w:rPr>
                <w:rFonts w:ascii="Times New Roman" w:hAnsi="Times New Roman" w:cs="Times New Roman"/>
                <w:b w:val="0"/>
                <w:bCs w:val="0"/>
                <w:sz w:val="20"/>
                <w:szCs w:val="20"/>
              </w:rPr>
            </w:pPr>
            <w:r w:rsidRPr="00461101">
              <w:rPr>
                <w:rFonts w:ascii="Times New Roman" w:hAnsi="Times New Roman" w:cs="Times New Roman"/>
                <w:b w:val="0"/>
                <w:sz w:val="20"/>
                <w:szCs w:val="20"/>
              </w:rPr>
              <w:t>AS "Latvenergo" dividendes (EM) papildu ieņēmumi</w:t>
            </w:r>
          </w:p>
        </w:tc>
        <w:tc>
          <w:tcPr>
            <w:tcW w:w="1595" w:type="dxa"/>
            <w:shd w:val="clear" w:color="auto" w:fill="auto"/>
            <w:vAlign w:val="center"/>
          </w:tcPr>
          <w:p w:rsidR="00D9463C" w:rsidRPr="00461101" w:rsidRDefault="00840141" w:rsidP="0098182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w:t>
            </w:r>
            <w:r w:rsidR="00981823">
              <w:rPr>
                <w:rFonts w:ascii="Times New Roman" w:hAnsi="Times New Roman" w:cs="Times New Roman"/>
                <w:sz w:val="20"/>
                <w:szCs w:val="20"/>
              </w:rPr>
              <w:t>20</w:t>
            </w:r>
            <w:r w:rsidR="00D9463C" w:rsidRPr="00461101">
              <w:rPr>
                <w:rFonts w:ascii="Times New Roman" w:hAnsi="Times New Roman" w:cs="Times New Roman"/>
                <w:sz w:val="20"/>
                <w:szCs w:val="20"/>
              </w:rPr>
              <w:t>,0</w:t>
            </w:r>
          </w:p>
        </w:tc>
        <w:tc>
          <w:tcPr>
            <w:tcW w:w="1701" w:type="dxa"/>
            <w:shd w:val="clear" w:color="auto" w:fill="auto"/>
            <w:vAlign w:val="center"/>
          </w:tcPr>
          <w:p w:rsidR="00D9463C" w:rsidRPr="00461101" w:rsidRDefault="00840141"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w:t>
            </w:r>
            <w:r w:rsidR="00D9463C" w:rsidRPr="00461101">
              <w:rPr>
                <w:rFonts w:ascii="Times New Roman" w:hAnsi="Times New Roman" w:cs="Times New Roman"/>
                <w:sz w:val="20"/>
                <w:szCs w:val="20"/>
              </w:rPr>
              <w:t>15,0</w:t>
            </w:r>
          </w:p>
        </w:tc>
        <w:tc>
          <w:tcPr>
            <w:tcW w:w="1701" w:type="dxa"/>
            <w:shd w:val="clear" w:color="auto" w:fill="auto"/>
            <w:vAlign w:val="center"/>
          </w:tcPr>
          <w:p w:rsidR="00D9463C" w:rsidRPr="00461101" w:rsidRDefault="00840141"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w:t>
            </w:r>
            <w:r w:rsidR="00D9463C" w:rsidRPr="00461101">
              <w:rPr>
                <w:rFonts w:ascii="Times New Roman" w:hAnsi="Times New Roman" w:cs="Times New Roman"/>
                <w:sz w:val="20"/>
                <w:szCs w:val="20"/>
              </w:rPr>
              <w:t>15,0</w:t>
            </w:r>
          </w:p>
        </w:tc>
      </w:tr>
      <w:tr w:rsidR="00D9463C" w:rsidRPr="00461101" w:rsidTr="00CE4FBA">
        <w:trPr>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D9463C" w:rsidRPr="00461101" w:rsidRDefault="00D9463C" w:rsidP="00CE4FBA">
            <w:pPr>
              <w:rPr>
                <w:rFonts w:ascii="Times New Roman" w:hAnsi="Times New Roman" w:cs="Times New Roman"/>
                <w:b w:val="0"/>
                <w:sz w:val="20"/>
                <w:szCs w:val="20"/>
              </w:rPr>
            </w:pPr>
            <w:r w:rsidRPr="00461101">
              <w:rPr>
                <w:rFonts w:ascii="Times New Roman" w:hAnsi="Times New Roman" w:cs="Times New Roman"/>
                <w:b w:val="0"/>
                <w:sz w:val="20"/>
                <w:szCs w:val="20"/>
              </w:rPr>
              <w:t>DRN- (VARAM) nodokļu ieņēmumi</w:t>
            </w:r>
          </w:p>
        </w:tc>
        <w:tc>
          <w:tcPr>
            <w:tcW w:w="1595" w:type="dxa"/>
            <w:shd w:val="clear" w:color="auto" w:fill="auto"/>
            <w:vAlign w:val="center"/>
          </w:tcPr>
          <w:p w:rsidR="00D9463C" w:rsidRPr="00461101" w:rsidRDefault="00B37B8A" w:rsidP="00CE4F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w:t>
            </w:r>
            <w:r w:rsidR="00D9463C" w:rsidRPr="00461101">
              <w:rPr>
                <w:rFonts w:ascii="Times New Roman" w:hAnsi="Times New Roman" w:cs="Times New Roman"/>
                <w:sz w:val="20"/>
                <w:szCs w:val="20"/>
              </w:rPr>
              <w:t> </w:t>
            </w:r>
          </w:p>
        </w:tc>
        <w:tc>
          <w:tcPr>
            <w:tcW w:w="1701" w:type="dxa"/>
            <w:shd w:val="clear" w:color="auto" w:fill="auto"/>
            <w:vAlign w:val="bottom"/>
          </w:tcPr>
          <w:p w:rsidR="00D9463C" w:rsidRPr="00461101" w:rsidRDefault="00B37B8A" w:rsidP="00B37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1701" w:type="dxa"/>
            <w:shd w:val="clear" w:color="auto" w:fill="auto"/>
            <w:vAlign w:val="bottom"/>
          </w:tcPr>
          <w:p w:rsidR="00D9463C" w:rsidRPr="00461101" w:rsidRDefault="00B37B8A" w:rsidP="00B37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w:t>
            </w:r>
          </w:p>
        </w:tc>
      </w:tr>
      <w:tr w:rsidR="00D9463C" w:rsidRPr="00461101" w:rsidTr="00CE4FB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9" w:type="dxa"/>
            <w:shd w:val="clear" w:color="auto" w:fill="auto"/>
            <w:vAlign w:val="bottom"/>
          </w:tcPr>
          <w:p w:rsidR="00D9463C" w:rsidRPr="00461101" w:rsidRDefault="00B37B8A" w:rsidP="00CE4FBA">
            <w:pPr>
              <w:rPr>
                <w:rFonts w:ascii="Times New Roman" w:hAnsi="Times New Roman" w:cs="Times New Roman"/>
                <w:b w:val="0"/>
                <w:sz w:val="20"/>
                <w:szCs w:val="20"/>
              </w:rPr>
            </w:pPr>
            <w:r w:rsidRPr="00B37B8A">
              <w:rPr>
                <w:rFonts w:ascii="Times New Roman" w:hAnsi="Times New Roman" w:cs="Times New Roman"/>
                <w:b w:val="0"/>
                <w:sz w:val="20"/>
                <w:szCs w:val="20"/>
              </w:rPr>
              <w:t>Direktīvu pārņemšana PVN piemērošanas jomā</w:t>
            </w:r>
          </w:p>
        </w:tc>
        <w:tc>
          <w:tcPr>
            <w:tcW w:w="1595" w:type="dxa"/>
            <w:shd w:val="clear" w:color="auto" w:fill="auto"/>
            <w:vAlign w:val="center"/>
          </w:tcPr>
          <w:p w:rsidR="00D9463C" w:rsidRPr="00461101" w:rsidRDefault="00D9463C" w:rsidP="00CE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1101">
              <w:rPr>
                <w:rFonts w:ascii="Times New Roman" w:hAnsi="Times New Roman" w:cs="Times New Roman"/>
                <w:sz w:val="20"/>
                <w:szCs w:val="20"/>
              </w:rPr>
              <w:t> </w:t>
            </w:r>
            <w:r w:rsidR="00B37B8A">
              <w:rPr>
                <w:rFonts w:ascii="Times New Roman" w:hAnsi="Times New Roman" w:cs="Times New Roman"/>
                <w:sz w:val="20"/>
                <w:szCs w:val="20"/>
              </w:rPr>
              <w:t>+8,5</w:t>
            </w:r>
          </w:p>
        </w:tc>
        <w:tc>
          <w:tcPr>
            <w:tcW w:w="1701" w:type="dxa"/>
            <w:shd w:val="clear" w:color="auto" w:fill="auto"/>
            <w:vAlign w:val="bottom"/>
          </w:tcPr>
          <w:p w:rsidR="00D9463C" w:rsidRPr="00461101" w:rsidRDefault="00B37B8A" w:rsidP="00B37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+10,4</w:t>
            </w:r>
          </w:p>
        </w:tc>
        <w:tc>
          <w:tcPr>
            <w:tcW w:w="1701" w:type="dxa"/>
            <w:shd w:val="clear" w:color="auto" w:fill="auto"/>
            <w:vAlign w:val="bottom"/>
          </w:tcPr>
          <w:p w:rsidR="00D9463C" w:rsidRPr="00461101" w:rsidRDefault="00B37B8A" w:rsidP="00B37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+10,4</w:t>
            </w:r>
          </w:p>
        </w:tc>
      </w:tr>
      <w:tr w:rsidR="00DF7D4D" w:rsidRPr="00461101" w:rsidTr="00DF7D4D">
        <w:tblPrEx>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Ex>
        <w:trPr>
          <w:trHeight w:val="355"/>
        </w:trPr>
        <w:tc>
          <w:tcPr>
            <w:cnfStyle w:val="001000000000" w:firstRow="0" w:lastRow="0" w:firstColumn="1" w:lastColumn="0" w:oddVBand="0" w:evenVBand="0" w:oddHBand="0" w:evenHBand="0" w:firstRowFirstColumn="0" w:firstRowLastColumn="0" w:lastRowFirstColumn="0" w:lastRowLastColumn="0"/>
            <w:tcW w:w="4359" w:type="dxa"/>
          </w:tcPr>
          <w:p w:rsidR="00DF7D4D" w:rsidRPr="00461101" w:rsidRDefault="00DF7D4D" w:rsidP="00C66C91">
            <w:pPr>
              <w:rPr>
                <w:rFonts w:ascii="Times New Roman" w:hAnsi="Times New Roman" w:cs="Times New Roman"/>
                <w:sz w:val="20"/>
                <w:szCs w:val="20"/>
              </w:rPr>
            </w:pPr>
            <w:r>
              <w:rPr>
                <w:rFonts w:ascii="Times New Roman" w:hAnsi="Times New Roman" w:cs="Times New Roman"/>
                <w:bCs w:val="0"/>
                <w:sz w:val="20"/>
                <w:szCs w:val="20"/>
              </w:rPr>
              <w:t>Precizētā</w:t>
            </w:r>
            <w:r w:rsidR="00744637">
              <w:rPr>
                <w:rFonts w:ascii="Times New Roman" w:hAnsi="Times New Roman" w:cs="Times New Roman"/>
                <w:bCs w:val="0"/>
                <w:sz w:val="20"/>
                <w:szCs w:val="20"/>
              </w:rPr>
              <w:t>s</w:t>
            </w:r>
            <w:r>
              <w:rPr>
                <w:rFonts w:ascii="Times New Roman" w:hAnsi="Times New Roman" w:cs="Times New Roman"/>
                <w:bCs w:val="0"/>
                <w:sz w:val="20"/>
                <w:szCs w:val="20"/>
              </w:rPr>
              <w:t xml:space="preserve"> bilance</w:t>
            </w:r>
            <w:r w:rsidR="00744637">
              <w:rPr>
                <w:rFonts w:ascii="Times New Roman" w:hAnsi="Times New Roman" w:cs="Times New Roman"/>
                <w:bCs w:val="0"/>
                <w:sz w:val="20"/>
                <w:szCs w:val="20"/>
              </w:rPr>
              <w:t>s izmaiņas</w:t>
            </w:r>
          </w:p>
        </w:tc>
        <w:tc>
          <w:tcPr>
            <w:tcW w:w="1595" w:type="dxa"/>
          </w:tcPr>
          <w:p w:rsidR="00DF7D4D" w:rsidRPr="00461101" w:rsidRDefault="006125B2" w:rsidP="00C66C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0</w:t>
            </w:r>
            <w:r w:rsidR="00DF7D4D">
              <w:rPr>
                <w:rFonts w:ascii="Times New Roman" w:hAnsi="Times New Roman" w:cs="Times New Roman"/>
                <w:b/>
                <w:bCs/>
                <w:sz w:val="20"/>
                <w:szCs w:val="20"/>
              </w:rPr>
              <w:t>,0</w:t>
            </w:r>
          </w:p>
        </w:tc>
        <w:tc>
          <w:tcPr>
            <w:tcW w:w="1701" w:type="dxa"/>
          </w:tcPr>
          <w:p w:rsidR="00DF7D4D" w:rsidRPr="00461101" w:rsidRDefault="00DF7D4D" w:rsidP="00C66C9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0,0</w:t>
            </w:r>
          </w:p>
        </w:tc>
        <w:tc>
          <w:tcPr>
            <w:tcW w:w="1701" w:type="dxa"/>
          </w:tcPr>
          <w:p w:rsidR="00DF7D4D" w:rsidRPr="00461101" w:rsidRDefault="00DF7D4D" w:rsidP="00DF7D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61101">
              <w:rPr>
                <w:rFonts w:ascii="Times New Roman" w:hAnsi="Times New Roman" w:cs="Times New Roman"/>
                <w:b/>
                <w:bCs/>
                <w:sz w:val="20"/>
                <w:szCs w:val="20"/>
              </w:rPr>
              <w:t>+</w:t>
            </w:r>
            <w:r>
              <w:rPr>
                <w:rFonts w:ascii="Times New Roman" w:hAnsi="Times New Roman" w:cs="Times New Roman"/>
                <w:b/>
                <w:bCs/>
                <w:sz w:val="20"/>
                <w:szCs w:val="20"/>
              </w:rPr>
              <w:t>16,0</w:t>
            </w:r>
          </w:p>
        </w:tc>
      </w:tr>
    </w:tbl>
    <w:p w:rsidR="00EB013C" w:rsidRPr="00461101" w:rsidRDefault="00EB013C" w:rsidP="00050A20">
      <w:pPr>
        <w:spacing w:after="120" w:line="240" w:lineRule="auto"/>
        <w:ind w:firstLine="720"/>
        <w:jc w:val="both"/>
        <w:rPr>
          <w:rFonts w:ascii="Times New Roman" w:hAnsi="Times New Roman" w:cs="Times New Roman"/>
          <w:sz w:val="24"/>
          <w:szCs w:val="24"/>
          <w:highlight w:val="yellow"/>
        </w:rPr>
      </w:pPr>
    </w:p>
    <w:p w:rsidR="00F22705" w:rsidRPr="009C4ECF" w:rsidRDefault="00050A20" w:rsidP="00F22705">
      <w:pPr>
        <w:spacing w:before="120" w:after="120" w:line="240" w:lineRule="auto"/>
        <w:ind w:firstLine="720"/>
        <w:jc w:val="both"/>
        <w:rPr>
          <w:rFonts w:ascii="Times New Roman" w:hAnsi="Times New Roman" w:cs="Times New Roman"/>
          <w:sz w:val="24"/>
          <w:szCs w:val="24"/>
        </w:rPr>
      </w:pPr>
      <w:r w:rsidRPr="009C4ECF">
        <w:rPr>
          <w:rFonts w:ascii="Times New Roman" w:hAnsi="Times New Roman" w:cs="Times New Roman"/>
          <w:sz w:val="24"/>
          <w:szCs w:val="24"/>
        </w:rPr>
        <w:t xml:space="preserve">Atbilstoši Ministri kabineta 2020.gada 18.augusta sēdē izskatītajam informatīvajam ziņojumam “Par valsts budžeta izdevumu pārskatīšanas rezultātiem un priekšlikumi par šo rezultātu izmantošanu likumprojekta “Par vidēja termiņa budžeta ietvaru 2021., 2022. un 2023.gadam” un likumprojekta “Par valsts budžetu 2021.gadam” izstrādes procesā” (protokols Nr.49 46.§) izdevumu pārskatīšanas rezultātā 13 118 141 </w:t>
      </w:r>
      <w:proofErr w:type="spellStart"/>
      <w:r w:rsidRPr="009C4ECF">
        <w:rPr>
          <w:rFonts w:ascii="Times New Roman" w:hAnsi="Times New Roman" w:cs="Times New Roman"/>
          <w:i/>
          <w:sz w:val="24"/>
          <w:szCs w:val="24"/>
        </w:rPr>
        <w:t>euro</w:t>
      </w:r>
      <w:proofErr w:type="spellEnd"/>
      <w:r w:rsidRPr="009C4ECF">
        <w:rPr>
          <w:rFonts w:ascii="Times New Roman" w:hAnsi="Times New Roman" w:cs="Times New Roman"/>
          <w:sz w:val="24"/>
          <w:szCs w:val="24"/>
        </w:rPr>
        <w:t xml:space="preserve"> 2021.gadā, 11 420 344 </w:t>
      </w:r>
      <w:proofErr w:type="spellStart"/>
      <w:r w:rsidRPr="009C4ECF">
        <w:rPr>
          <w:rFonts w:ascii="Times New Roman" w:hAnsi="Times New Roman" w:cs="Times New Roman"/>
          <w:i/>
          <w:sz w:val="24"/>
          <w:szCs w:val="24"/>
        </w:rPr>
        <w:t>euro</w:t>
      </w:r>
      <w:proofErr w:type="spellEnd"/>
      <w:r w:rsidRPr="009C4ECF">
        <w:rPr>
          <w:rFonts w:ascii="Times New Roman" w:hAnsi="Times New Roman" w:cs="Times New Roman"/>
          <w:sz w:val="24"/>
          <w:szCs w:val="24"/>
        </w:rPr>
        <w:t xml:space="preserve"> 2022.gadā un 13 251 262 </w:t>
      </w:r>
      <w:proofErr w:type="spellStart"/>
      <w:r w:rsidRPr="009C4ECF">
        <w:rPr>
          <w:rFonts w:ascii="Times New Roman" w:hAnsi="Times New Roman" w:cs="Times New Roman"/>
          <w:i/>
          <w:sz w:val="24"/>
          <w:szCs w:val="24"/>
        </w:rPr>
        <w:t>euro</w:t>
      </w:r>
      <w:proofErr w:type="spellEnd"/>
      <w:r w:rsidRPr="009C4ECF">
        <w:rPr>
          <w:rFonts w:ascii="Times New Roman" w:hAnsi="Times New Roman" w:cs="Times New Roman"/>
          <w:sz w:val="24"/>
          <w:szCs w:val="24"/>
        </w:rPr>
        <w:t xml:space="preserve"> 2023.gadā novirzāmi kopējās fiskālās telpas uzlabošanai. Resursi rasti, pārskatot iepriekšējos periodos piešķirto finansējumu prioritārajiem un citiem pasākumiem, uzlabojot procesus un veicinot efektīvu finanšu resursu pārvaldību.</w:t>
      </w:r>
    </w:p>
    <w:p w:rsidR="00F22705" w:rsidRDefault="00F22705" w:rsidP="00F22705">
      <w:pPr>
        <w:spacing w:before="120" w:after="120" w:line="240" w:lineRule="auto"/>
        <w:ind w:firstLine="720"/>
        <w:jc w:val="both"/>
        <w:rPr>
          <w:rFonts w:ascii="Times New Roman" w:hAnsi="Times New Roman"/>
          <w:sz w:val="24"/>
          <w:szCs w:val="24"/>
        </w:rPr>
      </w:pPr>
      <w:r w:rsidRPr="009C4ECF">
        <w:rPr>
          <w:rFonts w:ascii="Times New Roman" w:hAnsi="Times New Roman" w:cs="Times New Roman"/>
          <w:sz w:val="24"/>
          <w:szCs w:val="24"/>
        </w:rPr>
        <w:t>Ierosināts s</w:t>
      </w:r>
      <w:r w:rsidRPr="009C4ECF">
        <w:rPr>
          <w:rFonts w:ascii="Times New Roman" w:hAnsi="Times New Roman"/>
          <w:sz w:val="24"/>
          <w:szCs w:val="24"/>
        </w:rPr>
        <w:t xml:space="preserve">amazināt dotāciju no vispārējiem ieņēmumiem un izdevumus pamatkapitāla veidošanai Satiksmes ministrijas budžeta apakšprogrammā 23.06.00 “Valsts autoceļu uzturēšana un atjaunošana” 2021.gadam 50 000 000 </w:t>
      </w:r>
      <w:proofErr w:type="spellStart"/>
      <w:r w:rsidRPr="009C4ECF">
        <w:rPr>
          <w:rFonts w:ascii="Times New Roman" w:hAnsi="Times New Roman"/>
          <w:i/>
          <w:sz w:val="24"/>
          <w:szCs w:val="24"/>
        </w:rPr>
        <w:t>euro</w:t>
      </w:r>
      <w:proofErr w:type="spellEnd"/>
      <w:r w:rsidRPr="009C4ECF">
        <w:rPr>
          <w:rFonts w:ascii="Times New Roman" w:hAnsi="Times New Roman"/>
          <w:sz w:val="24"/>
          <w:szCs w:val="24"/>
        </w:rPr>
        <w:t xml:space="preserve"> apmērā un, izstrādājot Atveseļošanas un noturības plānu, paredzēt, ka Satiksmes ministrijai valsts autoceļu atjaunošanai ir pieejamas finansējums 100 000 000 </w:t>
      </w:r>
      <w:proofErr w:type="spellStart"/>
      <w:r w:rsidRPr="009C4ECF">
        <w:rPr>
          <w:rFonts w:ascii="Times New Roman" w:hAnsi="Times New Roman"/>
          <w:i/>
          <w:sz w:val="24"/>
          <w:szCs w:val="24"/>
        </w:rPr>
        <w:t>euro</w:t>
      </w:r>
      <w:proofErr w:type="spellEnd"/>
      <w:r w:rsidRPr="009C4ECF">
        <w:rPr>
          <w:rFonts w:ascii="Times New Roman" w:hAnsi="Times New Roman"/>
          <w:sz w:val="24"/>
          <w:szCs w:val="24"/>
        </w:rPr>
        <w:t xml:space="preserve"> apmērā no Eiropas Atveseļošanas un noturības mehānisma programmas līdzekļiem.</w:t>
      </w:r>
    </w:p>
    <w:p w:rsidR="001311EA" w:rsidRPr="001311EA" w:rsidRDefault="001311EA" w:rsidP="001311EA">
      <w:pPr>
        <w:spacing w:before="120" w:after="120" w:line="240" w:lineRule="auto"/>
        <w:ind w:firstLine="720"/>
        <w:jc w:val="both"/>
        <w:rPr>
          <w:rFonts w:ascii="Times New Roman" w:hAnsi="Times New Roman"/>
          <w:sz w:val="24"/>
          <w:szCs w:val="24"/>
        </w:rPr>
      </w:pPr>
      <w:r w:rsidRPr="001311EA">
        <w:rPr>
          <w:rFonts w:ascii="Times New Roman" w:hAnsi="Times New Roman"/>
          <w:sz w:val="24"/>
          <w:szCs w:val="24"/>
        </w:rPr>
        <w:t>Ierosināts samazināt finansējumu (no dotācijas no vispārējiem ieņēmumiem) 20</w:t>
      </w:r>
      <w:r>
        <w:rPr>
          <w:rFonts w:ascii="Times New Roman" w:hAnsi="Times New Roman"/>
          <w:sz w:val="24"/>
          <w:szCs w:val="24"/>
        </w:rPr>
        <w:t>21.gadam 20 000 000 EUR apmērā,</w:t>
      </w:r>
      <w:r w:rsidRPr="001311EA">
        <w:rPr>
          <w:rFonts w:ascii="Times New Roman" w:hAnsi="Times New Roman"/>
          <w:sz w:val="24"/>
          <w:szCs w:val="24"/>
        </w:rPr>
        <w:t xml:space="preserve"> kas atbalstīts ar 2020.gada 2.septembrī Ministru kabineta sēdē izskatīto informatīvo ziņojumu “Par pasākumiem Covid-19 krīzes pārvarēšanai un ekonomikas atlabšanai 2020. un 2021.gadam” (prot. Nr.51, 55.§, 2.p.), Veselības ministrijas budžeta apakšprogrammā 33.17.00 “Plānveida stacionāro veselības aprū</w:t>
      </w:r>
      <w:r>
        <w:rPr>
          <w:rFonts w:ascii="Times New Roman" w:hAnsi="Times New Roman"/>
          <w:sz w:val="24"/>
          <w:szCs w:val="24"/>
        </w:rPr>
        <w:t>pes pakalpojumu nodrošināšana”,</w:t>
      </w:r>
      <w:r w:rsidRPr="001311EA">
        <w:rPr>
          <w:rFonts w:ascii="Times New Roman" w:hAnsi="Times New Roman"/>
          <w:sz w:val="24"/>
          <w:szCs w:val="24"/>
        </w:rPr>
        <w:t xml:space="preserve"> vienlaikus nodrošinot, ka Veselības ministrijai  ir pieejami 20 000 000 EUR no plānotā papildu finansējuma Kohēzijas politikai 2014.–2020. plānošanas perioda darbības programmas “Izaugsme un nodarbinātība” ietvaros (</w:t>
      </w:r>
      <w:proofErr w:type="spellStart"/>
      <w:r w:rsidRPr="001311EA">
        <w:rPr>
          <w:rFonts w:ascii="Times New Roman" w:hAnsi="Times New Roman"/>
          <w:sz w:val="24"/>
          <w:szCs w:val="24"/>
        </w:rPr>
        <w:t>React</w:t>
      </w:r>
      <w:proofErr w:type="spellEnd"/>
      <w:r w:rsidRPr="001311EA">
        <w:rPr>
          <w:rFonts w:ascii="Times New Roman" w:hAnsi="Times New Roman"/>
          <w:sz w:val="24"/>
          <w:szCs w:val="24"/>
        </w:rPr>
        <w:t>-EU).</w:t>
      </w:r>
    </w:p>
    <w:p w:rsidR="005A7F12" w:rsidRDefault="005A7F12" w:rsidP="003F17EF">
      <w:pPr>
        <w:ind w:firstLine="720"/>
        <w:jc w:val="both"/>
        <w:rPr>
          <w:rFonts w:ascii="Times New Roman" w:hAnsi="Times New Roman" w:cs="Times New Roman"/>
          <w:sz w:val="24"/>
          <w:szCs w:val="24"/>
        </w:rPr>
      </w:pPr>
      <w:r w:rsidRPr="005A7F12">
        <w:rPr>
          <w:rFonts w:ascii="Times New Roman" w:hAnsi="Times New Roman" w:cs="Times New Roman"/>
          <w:sz w:val="24"/>
          <w:szCs w:val="24"/>
        </w:rPr>
        <w:t>Pašvaldību speciāl</w:t>
      </w:r>
      <w:r w:rsidR="00A573A5">
        <w:rPr>
          <w:rFonts w:ascii="Times New Roman" w:hAnsi="Times New Roman" w:cs="Times New Roman"/>
          <w:sz w:val="24"/>
          <w:szCs w:val="24"/>
        </w:rPr>
        <w:t>ajai dotācijai (64.resors)</w:t>
      </w:r>
      <w:r>
        <w:rPr>
          <w:rFonts w:ascii="Times New Roman" w:hAnsi="Times New Roman" w:cs="Times New Roman"/>
          <w:sz w:val="24"/>
          <w:szCs w:val="24"/>
        </w:rPr>
        <w:t xml:space="preserve"> </w:t>
      </w:r>
      <w:r w:rsidR="00A573A5">
        <w:rPr>
          <w:rFonts w:ascii="Times New Roman" w:hAnsi="Times New Roman" w:cs="Times New Roman"/>
          <w:sz w:val="24"/>
          <w:szCs w:val="24"/>
        </w:rPr>
        <w:t xml:space="preserve">2021. un 2022.gadā </w:t>
      </w:r>
      <w:r>
        <w:rPr>
          <w:rFonts w:ascii="Times New Roman" w:hAnsi="Times New Roman" w:cs="Times New Roman"/>
          <w:sz w:val="24"/>
          <w:szCs w:val="24"/>
        </w:rPr>
        <w:t xml:space="preserve">paredzēts </w:t>
      </w:r>
      <w:r w:rsidR="00A573A5">
        <w:rPr>
          <w:rFonts w:ascii="Times New Roman" w:hAnsi="Times New Roman" w:cs="Times New Roman"/>
          <w:sz w:val="24"/>
          <w:szCs w:val="24"/>
        </w:rPr>
        <w:t xml:space="preserve">nodrošināt </w:t>
      </w:r>
      <w:r>
        <w:rPr>
          <w:rFonts w:ascii="Times New Roman" w:hAnsi="Times New Roman" w:cs="Times New Roman"/>
          <w:sz w:val="24"/>
          <w:szCs w:val="24"/>
        </w:rPr>
        <w:t xml:space="preserve"> </w:t>
      </w:r>
      <w:r w:rsidR="00A573A5">
        <w:rPr>
          <w:rFonts w:ascii="Times New Roman" w:hAnsi="Times New Roman" w:cs="Times New Roman"/>
          <w:sz w:val="24"/>
          <w:szCs w:val="24"/>
        </w:rPr>
        <w:t>palielinājumu</w:t>
      </w:r>
      <w:r w:rsidR="00A573A5" w:rsidRPr="005A7F12">
        <w:rPr>
          <w:rFonts w:ascii="Times New Roman" w:hAnsi="Times New Roman" w:cs="Times New Roman"/>
          <w:sz w:val="24"/>
          <w:szCs w:val="24"/>
        </w:rPr>
        <w:t xml:space="preserve"> par 10% pret iepriekšējo gadu</w:t>
      </w:r>
      <w:r>
        <w:rPr>
          <w:rFonts w:ascii="Times New Roman" w:hAnsi="Times New Roman" w:cs="Times New Roman"/>
          <w:sz w:val="24"/>
          <w:szCs w:val="24"/>
        </w:rPr>
        <w:t>.</w:t>
      </w:r>
    </w:p>
    <w:p w:rsidR="00472D34" w:rsidRPr="009C4ECF" w:rsidRDefault="00162617" w:rsidP="003F17EF">
      <w:pPr>
        <w:ind w:firstLine="720"/>
        <w:jc w:val="both"/>
        <w:rPr>
          <w:rFonts w:ascii="Times New Roman" w:eastAsia="Times New Roman" w:hAnsi="Times New Roman" w:cs="Times New Roman"/>
          <w:bCs/>
          <w:color w:val="000000"/>
          <w:sz w:val="24"/>
          <w:szCs w:val="24"/>
          <w:lang w:eastAsia="lv-LV"/>
        </w:rPr>
      </w:pPr>
      <w:r w:rsidRPr="009C4ECF">
        <w:rPr>
          <w:rFonts w:ascii="Times New Roman" w:hAnsi="Times New Roman" w:cs="Times New Roman"/>
          <w:sz w:val="24"/>
          <w:szCs w:val="24"/>
        </w:rPr>
        <w:t xml:space="preserve">Ministrijām ierosināts </w:t>
      </w:r>
      <w:r w:rsidR="009C4ECF" w:rsidRPr="009C4ECF">
        <w:rPr>
          <w:rFonts w:ascii="Times New Roman" w:hAnsi="Times New Roman" w:cs="Times New Roman"/>
          <w:sz w:val="24"/>
          <w:szCs w:val="24"/>
        </w:rPr>
        <w:t xml:space="preserve">par 20% </w:t>
      </w:r>
      <w:r w:rsidR="009C4ECF" w:rsidRPr="009C4ECF">
        <w:rPr>
          <w:rFonts w:ascii="Times New Roman" w:eastAsia="Times New Roman" w:hAnsi="Times New Roman" w:cs="Times New Roman"/>
          <w:bCs/>
          <w:color w:val="000000"/>
          <w:sz w:val="24"/>
          <w:szCs w:val="24"/>
          <w:lang w:eastAsia="lv-LV"/>
        </w:rPr>
        <w:t xml:space="preserve">samazināt komandējuma izdevumus (valsts pamatfunkcijām), aprēķinu veicot no 2020.gada plāna - </w:t>
      </w:r>
      <w:r w:rsidRPr="009C4ECF">
        <w:rPr>
          <w:rFonts w:ascii="Times New Roman" w:hAnsi="Times New Roman" w:cs="Times New Roman"/>
          <w:sz w:val="24"/>
          <w:szCs w:val="24"/>
        </w:rPr>
        <w:t>2021.gadam</w:t>
      </w:r>
      <w:r w:rsidR="00472D34" w:rsidRPr="009C4ECF">
        <w:rPr>
          <w:rFonts w:ascii="Times New Roman" w:hAnsi="Times New Roman" w:cs="Times New Roman"/>
          <w:sz w:val="24"/>
          <w:szCs w:val="24"/>
        </w:rPr>
        <w:t xml:space="preserve"> </w:t>
      </w:r>
      <w:r w:rsidR="00472D34" w:rsidRPr="009C4ECF">
        <w:rPr>
          <w:rFonts w:ascii="Times New Roman" w:eastAsia="Times New Roman" w:hAnsi="Times New Roman" w:cs="Times New Roman"/>
          <w:bCs/>
          <w:color w:val="000000"/>
          <w:sz w:val="24"/>
          <w:szCs w:val="24"/>
          <w:lang w:eastAsia="lv-LV"/>
        </w:rPr>
        <w:t xml:space="preserve">2 719 842 </w:t>
      </w:r>
      <w:proofErr w:type="spellStart"/>
      <w:r w:rsidR="00472D34" w:rsidRPr="009C4ECF">
        <w:rPr>
          <w:rFonts w:ascii="Times New Roman" w:eastAsia="Times New Roman" w:hAnsi="Times New Roman" w:cs="Times New Roman"/>
          <w:bCs/>
          <w:i/>
          <w:color w:val="000000"/>
          <w:sz w:val="24"/>
          <w:szCs w:val="24"/>
          <w:lang w:eastAsia="lv-LV"/>
        </w:rPr>
        <w:t>euro</w:t>
      </w:r>
      <w:proofErr w:type="spellEnd"/>
      <w:r w:rsidR="00472D34" w:rsidRPr="009C4ECF">
        <w:rPr>
          <w:rFonts w:ascii="Times New Roman" w:eastAsia="Times New Roman" w:hAnsi="Times New Roman" w:cs="Times New Roman"/>
          <w:bCs/>
          <w:color w:val="000000"/>
          <w:sz w:val="24"/>
          <w:szCs w:val="24"/>
          <w:lang w:eastAsia="lv-LV"/>
        </w:rPr>
        <w:t xml:space="preserve"> apmērā</w:t>
      </w:r>
      <w:r w:rsidR="009C4ECF" w:rsidRPr="009C4ECF">
        <w:t>.</w:t>
      </w:r>
    </w:p>
    <w:p w:rsidR="00700BA1" w:rsidRPr="009C4ECF" w:rsidRDefault="00700BA1" w:rsidP="00700BA1">
      <w:pPr>
        <w:spacing w:before="120" w:after="120" w:line="240" w:lineRule="auto"/>
        <w:ind w:firstLine="720"/>
        <w:jc w:val="both"/>
        <w:rPr>
          <w:rFonts w:ascii="Times New Roman" w:hAnsi="Times New Roman" w:cs="Times New Roman"/>
          <w:sz w:val="24"/>
          <w:szCs w:val="24"/>
        </w:rPr>
      </w:pPr>
      <w:r w:rsidRPr="009C4ECF">
        <w:rPr>
          <w:rFonts w:ascii="Times New Roman" w:hAnsi="Times New Roman" w:cs="Times New Roman"/>
          <w:sz w:val="24"/>
          <w:szCs w:val="24"/>
        </w:rPr>
        <w:t>LM ir iesniegusi priekšlikumu (LM š. g 7.septembra vēstule Nr.25-1-01/1308) samazināt valsts sociālās apdrošināšanas speciālā budžeta izdevumus sociālā rakstura maksājumiem un kompensācijām (izdevumus vecuma pensijām, bezdarbnieka pabalstiem un slimības pabalstiem) 2021.gadā 32 062 394</w:t>
      </w:r>
      <w:r w:rsidRPr="009C4ECF">
        <w:rPr>
          <w:rFonts w:ascii="Times New Roman" w:hAnsi="Times New Roman" w:cs="Times New Roman"/>
          <w:i/>
          <w:sz w:val="24"/>
          <w:szCs w:val="24"/>
        </w:rPr>
        <w:t xml:space="preserve"> </w:t>
      </w:r>
      <w:proofErr w:type="spellStart"/>
      <w:r w:rsidRPr="009C4ECF">
        <w:rPr>
          <w:rFonts w:ascii="Times New Roman" w:hAnsi="Times New Roman" w:cs="Times New Roman"/>
          <w:i/>
          <w:sz w:val="24"/>
          <w:szCs w:val="24"/>
        </w:rPr>
        <w:t>euro</w:t>
      </w:r>
      <w:proofErr w:type="spellEnd"/>
      <w:r w:rsidRPr="009C4ECF">
        <w:rPr>
          <w:rFonts w:ascii="Times New Roman" w:hAnsi="Times New Roman" w:cs="Times New Roman"/>
          <w:sz w:val="24"/>
          <w:szCs w:val="24"/>
        </w:rPr>
        <w:t xml:space="preserve"> apmērā, 2022.gadā 34 198 851 </w:t>
      </w:r>
      <w:proofErr w:type="spellStart"/>
      <w:r w:rsidRPr="009C4ECF">
        <w:rPr>
          <w:rFonts w:ascii="Times New Roman" w:hAnsi="Times New Roman" w:cs="Times New Roman"/>
          <w:i/>
          <w:sz w:val="24"/>
          <w:szCs w:val="24"/>
        </w:rPr>
        <w:t>euro</w:t>
      </w:r>
      <w:proofErr w:type="spellEnd"/>
      <w:r w:rsidRPr="009C4ECF">
        <w:rPr>
          <w:rFonts w:ascii="Times New Roman" w:hAnsi="Times New Roman" w:cs="Times New Roman"/>
          <w:i/>
          <w:sz w:val="24"/>
          <w:szCs w:val="24"/>
        </w:rPr>
        <w:t xml:space="preserve"> </w:t>
      </w:r>
      <w:r w:rsidRPr="009C4ECF">
        <w:rPr>
          <w:rFonts w:ascii="Times New Roman" w:hAnsi="Times New Roman" w:cs="Times New Roman"/>
          <w:sz w:val="24"/>
          <w:szCs w:val="24"/>
        </w:rPr>
        <w:t xml:space="preserve">apmērā un 2023.gadā 34 214 751 </w:t>
      </w:r>
      <w:proofErr w:type="spellStart"/>
      <w:r w:rsidRPr="009C4ECF">
        <w:rPr>
          <w:rFonts w:ascii="Times New Roman" w:hAnsi="Times New Roman" w:cs="Times New Roman"/>
          <w:i/>
          <w:sz w:val="24"/>
          <w:szCs w:val="24"/>
        </w:rPr>
        <w:t>euro</w:t>
      </w:r>
      <w:proofErr w:type="spellEnd"/>
      <w:r w:rsidRPr="009C4ECF">
        <w:rPr>
          <w:rFonts w:ascii="Times New Roman" w:hAnsi="Times New Roman" w:cs="Times New Roman"/>
          <w:sz w:val="24"/>
          <w:szCs w:val="24"/>
        </w:rPr>
        <w:t xml:space="preserve"> apmērā, atkārtoti pārskatot plānotos valsts sociālās apdrošināšanas speciālā budžeta bāzes izdevumus sociālā rakstura maksājumiem un kompensācijām 2021.–2023.gadam.</w:t>
      </w:r>
    </w:p>
    <w:p w:rsidR="009D7DCE" w:rsidRDefault="00692539" w:rsidP="009D7DCE">
      <w:pPr>
        <w:spacing w:before="120" w:after="120" w:line="240" w:lineRule="auto"/>
        <w:ind w:firstLine="720"/>
        <w:jc w:val="both"/>
        <w:rPr>
          <w:rFonts w:ascii="Times New Roman" w:eastAsia="Times New Roman" w:hAnsi="Times New Roman" w:cs="Times New Roman"/>
          <w:sz w:val="24"/>
          <w:szCs w:val="24"/>
          <w:lang w:eastAsia="lv-LV"/>
        </w:rPr>
      </w:pPr>
      <w:r w:rsidRPr="009C4ECF">
        <w:rPr>
          <w:rFonts w:ascii="Times New Roman" w:hAnsi="Times New Roman" w:cs="Times New Roman"/>
          <w:sz w:val="24"/>
          <w:szCs w:val="24"/>
        </w:rPr>
        <w:t>Papildus Ekonomikas ministrijas sagatavotajā konceptuālajā ziņojumā “</w:t>
      </w:r>
      <w:r w:rsidRPr="009C4ECF">
        <w:rPr>
          <w:rFonts w:ascii="Times New Roman" w:eastAsia="Times New Roman" w:hAnsi="Times New Roman" w:cs="Times New Roman"/>
          <w:bCs/>
          <w:sz w:val="24"/>
          <w:szCs w:val="24"/>
        </w:rPr>
        <w:t>Kompleksi pasākumi obligātā iepirkuma komponentes problemātikas risināšanai un elektroenerģijas tirgus attīstībai</w:t>
      </w:r>
      <w:r w:rsidRPr="009C4ECF">
        <w:rPr>
          <w:rFonts w:ascii="Times New Roman" w:hAnsi="Times New Roman" w:cs="Times New Roman"/>
          <w:sz w:val="24"/>
          <w:szCs w:val="24"/>
        </w:rPr>
        <w:t xml:space="preserve">” paredzēts </w:t>
      </w:r>
      <w:r w:rsidRPr="009C4ECF">
        <w:rPr>
          <w:rFonts w:ascii="Times New Roman" w:eastAsia="Times New Roman" w:hAnsi="Times New Roman" w:cs="Times New Roman"/>
          <w:sz w:val="24"/>
          <w:szCs w:val="24"/>
          <w:lang w:eastAsia="lv-LV"/>
        </w:rPr>
        <w:t xml:space="preserve">no AS “Latvenergo” dividendēm 20 000 000 </w:t>
      </w:r>
      <w:proofErr w:type="spellStart"/>
      <w:r w:rsidRPr="009C4ECF">
        <w:rPr>
          <w:rFonts w:ascii="Times New Roman" w:eastAsia="Times New Roman" w:hAnsi="Times New Roman" w:cs="Times New Roman"/>
          <w:i/>
          <w:iCs/>
          <w:sz w:val="24"/>
          <w:szCs w:val="24"/>
          <w:lang w:eastAsia="lv-LV"/>
        </w:rPr>
        <w:t>euro</w:t>
      </w:r>
      <w:proofErr w:type="spellEnd"/>
      <w:r w:rsidRPr="009C4ECF">
        <w:rPr>
          <w:rFonts w:ascii="Times New Roman" w:eastAsia="Times New Roman" w:hAnsi="Times New Roman" w:cs="Times New Roman"/>
          <w:i/>
          <w:iCs/>
          <w:sz w:val="24"/>
          <w:szCs w:val="24"/>
          <w:lang w:eastAsia="lv-LV"/>
        </w:rPr>
        <w:t xml:space="preserve"> </w:t>
      </w:r>
      <w:r w:rsidRPr="009C4ECF">
        <w:rPr>
          <w:rFonts w:ascii="Times New Roman" w:eastAsia="Times New Roman" w:hAnsi="Times New Roman" w:cs="Times New Roman"/>
          <w:sz w:val="24"/>
          <w:szCs w:val="24"/>
          <w:lang w:eastAsia="lv-LV"/>
        </w:rPr>
        <w:t xml:space="preserve">2021. gadā un 15  000 000 </w:t>
      </w:r>
      <w:proofErr w:type="spellStart"/>
      <w:r w:rsidRPr="009C4ECF">
        <w:rPr>
          <w:rFonts w:ascii="Times New Roman" w:eastAsia="Times New Roman" w:hAnsi="Times New Roman" w:cs="Times New Roman"/>
          <w:i/>
          <w:iCs/>
          <w:sz w:val="24"/>
          <w:szCs w:val="24"/>
          <w:lang w:eastAsia="lv-LV"/>
        </w:rPr>
        <w:t>euro</w:t>
      </w:r>
      <w:proofErr w:type="spellEnd"/>
      <w:r w:rsidRPr="009C4ECF">
        <w:rPr>
          <w:rFonts w:ascii="Times New Roman" w:eastAsia="Times New Roman" w:hAnsi="Times New Roman" w:cs="Times New Roman"/>
          <w:sz w:val="24"/>
          <w:szCs w:val="24"/>
          <w:lang w:eastAsia="lv-LV"/>
        </w:rPr>
        <w:t xml:space="preserve"> 2022. un 2023.gadā ik gadu novirzīt citām budžeta vajadzībām.</w:t>
      </w:r>
    </w:p>
    <w:p w:rsidR="00F273FF" w:rsidRDefault="00F273FF" w:rsidP="00F273FF">
      <w:pPr>
        <w:spacing w:before="120" w:after="12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Saskaņā ar</w:t>
      </w:r>
      <w:r w:rsidRPr="00C83F4E">
        <w:rPr>
          <w:rFonts w:ascii="Times New Roman" w:hAnsi="Times New Roman"/>
          <w:sz w:val="24"/>
          <w:szCs w:val="24"/>
          <w:lang w:eastAsia="lv-LV"/>
        </w:rPr>
        <w:t xml:space="preserve"> </w:t>
      </w:r>
      <w:r w:rsidR="00A573A5" w:rsidRPr="0063175F">
        <w:rPr>
          <w:rFonts w:ascii="Times New Roman" w:hAnsi="Times New Roman" w:cs="Times New Roman"/>
          <w:sz w:val="24"/>
          <w:szCs w:val="24"/>
        </w:rPr>
        <w:t>Vides aizsardzības un reģionālās attīstības ministrija</w:t>
      </w:r>
      <w:r w:rsidR="00A573A5">
        <w:rPr>
          <w:rFonts w:ascii="Times New Roman" w:hAnsi="Times New Roman" w:cs="Times New Roman"/>
          <w:sz w:val="24"/>
          <w:szCs w:val="24"/>
        </w:rPr>
        <w:t>s</w:t>
      </w:r>
      <w:r w:rsidRPr="00C83F4E">
        <w:rPr>
          <w:rFonts w:ascii="Times New Roman" w:hAnsi="Times New Roman"/>
          <w:sz w:val="24"/>
          <w:szCs w:val="24"/>
          <w:lang w:eastAsia="lv-LV"/>
        </w:rPr>
        <w:t xml:space="preserve"> iesniegtie</w:t>
      </w:r>
      <w:r>
        <w:rPr>
          <w:rFonts w:ascii="Times New Roman" w:hAnsi="Times New Roman"/>
          <w:sz w:val="24"/>
          <w:szCs w:val="24"/>
          <w:lang w:eastAsia="lv-LV"/>
        </w:rPr>
        <w:t>m</w:t>
      </w:r>
      <w:r w:rsidRPr="00C83F4E">
        <w:rPr>
          <w:rFonts w:ascii="Times New Roman" w:hAnsi="Times New Roman"/>
          <w:sz w:val="24"/>
          <w:szCs w:val="24"/>
          <w:lang w:eastAsia="lv-LV"/>
        </w:rPr>
        <w:t xml:space="preserve"> priekšlikumi</w:t>
      </w:r>
      <w:r>
        <w:rPr>
          <w:rFonts w:ascii="Times New Roman" w:hAnsi="Times New Roman"/>
          <w:sz w:val="24"/>
          <w:szCs w:val="24"/>
          <w:lang w:eastAsia="lv-LV"/>
        </w:rPr>
        <w:t>em</w:t>
      </w:r>
      <w:r w:rsidRPr="00C83F4E">
        <w:rPr>
          <w:rFonts w:ascii="Times New Roman" w:hAnsi="Times New Roman"/>
          <w:sz w:val="24"/>
          <w:szCs w:val="24"/>
          <w:lang w:eastAsia="lv-LV"/>
        </w:rPr>
        <w:t xml:space="preserve"> </w:t>
      </w:r>
      <w:r>
        <w:rPr>
          <w:rFonts w:ascii="Times New Roman" w:hAnsi="Times New Roman"/>
          <w:sz w:val="24"/>
          <w:szCs w:val="24"/>
          <w:lang w:eastAsia="lv-LV"/>
        </w:rPr>
        <w:t xml:space="preserve">daļu </w:t>
      </w:r>
      <w:r w:rsidR="00A573A5" w:rsidRPr="0063175F">
        <w:rPr>
          <w:rFonts w:ascii="Times New Roman" w:hAnsi="Times New Roman" w:cs="Times New Roman"/>
          <w:sz w:val="24"/>
          <w:szCs w:val="24"/>
        </w:rPr>
        <w:t>par dabas resursu nodokļa (turpmāk – DRN)</w:t>
      </w:r>
      <w:r>
        <w:rPr>
          <w:rFonts w:ascii="Times New Roman" w:hAnsi="Times New Roman"/>
          <w:sz w:val="24"/>
          <w:szCs w:val="24"/>
          <w:lang w:eastAsia="lv-LV"/>
        </w:rPr>
        <w:t xml:space="preserve"> papildu ieņēmumu</w:t>
      </w:r>
      <w:r w:rsidRPr="00C83F4E">
        <w:rPr>
          <w:rFonts w:ascii="Times New Roman" w:hAnsi="Times New Roman"/>
          <w:sz w:val="24"/>
          <w:szCs w:val="24"/>
          <w:lang w:eastAsia="lv-LV"/>
        </w:rPr>
        <w:t xml:space="preserve"> </w:t>
      </w:r>
      <w:r>
        <w:rPr>
          <w:rFonts w:ascii="Times New Roman" w:hAnsi="Times New Roman"/>
          <w:sz w:val="24"/>
          <w:szCs w:val="24"/>
          <w:lang w:eastAsia="lv-LV"/>
        </w:rPr>
        <w:t>paredzēts novirzīt izdevumiem, bet</w:t>
      </w:r>
      <w:r w:rsidRPr="00C83F4E">
        <w:rPr>
          <w:rFonts w:ascii="Times New Roman" w:hAnsi="Times New Roman"/>
          <w:sz w:val="24"/>
          <w:szCs w:val="24"/>
          <w:lang w:eastAsia="lv-LV"/>
        </w:rPr>
        <w:t xml:space="preserve"> attiecīgi DRN papildu ieņēmumu daļa 2021.gadā 509 559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2022.gadā 2 225 244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un 2023.gadā 3 226 414 </w:t>
      </w:r>
      <w:proofErr w:type="spellStart"/>
      <w:r w:rsidRPr="00C83F4E">
        <w:rPr>
          <w:rFonts w:ascii="Times New Roman" w:hAnsi="Times New Roman"/>
          <w:i/>
          <w:sz w:val="24"/>
          <w:szCs w:val="24"/>
          <w:lang w:eastAsia="lv-LV"/>
        </w:rPr>
        <w:t>euro</w:t>
      </w:r>
      <w:proofErr w:type="spellEnd"/>
      <w:r w:rsidR="00C30EF5">
        <w:rPr>
          <w:rFonts w:ascii="Times New Roman" w:hAnsi="Times New Roman"/>
          <w:sz w:val="24"/>
          <w:szCs w:val="24"/>
          <w:lang w:eastAsia="lv-LV"/>
        </w:rPr>
        <w:t xml:space="preserve"> apmērā ir novirzāma kopējās bilances nodrošināšanai</w:t>
      </w:r>
      <w:r w:rsidRPr="00C83F4E">
        <w:rPr>
          <w:rFonts w:ascii="Times New Roman" w:hAnsi="Times New Roman"/>
          <w:sz w:val="24"/>
          <w:szCs w:val="24"/>
          <w:lang w:eastAsia="lv-LV"/>
        </w:rPr>
        <w:t>.</w:t>
      </w:r>
    </w:p>
    <w:p w:rsidR="009D7DCE" w:rsidRDefault="009D7DCE" w:rsidP="009D7DCE">
      <w:pPr>
        <w:spacing w:before="120" w:after="120" w:line="240" w:lineRule="auto"/>
        <w:ind w:firstLine="720"/>
        <w:jc w:val="both"/>
        <w:rPr>
          <w:rFonts w:ascii="Times New Roman" w:hAnsi="Times New Roman"/>
          <w:sz w:val="24"/>
          <w:szCs w:val="24"/>
        </w:rPr>
      </w:pPr>
      <w:r w:rsidRPr="009C4ECF">
        <w:rPr>
          <w:rFonts w:ascii="Times New Roman" w:hAnsi="Times New Roman"/>
          <w:sz w:val="24"/>
          <w:szCs w:val="24"/>
        </w:rPr>
        <w:t>Finanšu ministrijai atbilstoši 2020.gada 7.jūlijā Saeimā iesniegtajam likumprojektam “Grozījumi Pievienotās vērtības nodokļa likumā” (</w:t>
      </w:r>
      <w:proofErr w:type="spellStart"/>
      <w:r w:rsidRPr="009C4ECF">
        <w:rPr>
          <w:rFonts w:ascii="Times New Roman" w:hAnsi="Times New Roman"/>
          <w:sz w:val="24"/>
          <w:szCs w:val="24"/>
        </w:rPr>
        <w:t>Nr</w:t>
      </w:r>
      <w:proofErr w:type="spellEnd"/>
      <w:r w:rsidRPr="009C4ECF">
        <w:rPr>
          <w:rFonts w:ascii="Times New Roman" w:hAnsi="Times New Roman"/>
          <w:sz w:val="24"/>
          <w:szCs w:val="24"/>
        </w:rPr>
        <w:t xml:space="preserve">: 750/Lp13) uzdots palielināt pievienotās vērtības nodokļa ieņēmumu prognozes 2021.-2023.gadam ik gadu 10 370 000 </w:t>
      </w:r>
      <w:proofErr w:type="spellStart"/>
      <w:r w:rsidRPr="009C4ECF">
        <w:rPr>
          <w:rFonts w:ascii="Times New Roman" w:hAnsi="Times New Roman"/>
          <w:i/>
          <w:sz w:val="24"/>
          <w:szCs w:val="24"/>
        </w:rPr>
        <w:t>euro</w:t>
      </w:r>
      <w:proofErr w:type="spellEnd"/>
      <w:r w:rsidRPr="009C4ECF">
        <w:rPr>
          <w:rFonts w:ascii="Times New Roman" w:hAnsi="Times New Roman"/>
          <w:sz w:val="24"/>
          <w:szCs w:val="24"/>
        </w:rPr>
        <w:t xml:space="preserve"> apmērā, kā arī dotāciju no vispārējiem ieņēmumiem un izdevumus Finanšu ministrijas budžeta programmā 33.00.00 "Valsts ieņēmumu un muitas politikas nodrošināšana" 2021.gadā 1 847 647 </w:t>
      </w:r>
      <w:proofErr w:type="spellStart"/>
      <w:r w:rsidRPr="009C4ECF">
        <w:rPr>
          <w:rFonts w:ascii="Times New Roman" w:hAnsi="Times New Roman"/>
          <w:i/>
          <w:sz w:val="24"/>
          <w:szCs w:val="24"/>
        </w:rPr>
        <w:t>euro</w:t>
      </w:r>
      <w:proofErr w:type="spellEnd"/>
      <w:r w:rsidRPr="009C4ECF">
        <w:rPr>
          <w:rFonts w:ascii="Times New Roman" w:hAnsi="Times New Roman"/>
          <w:sz w:val="24"/>
          <w:szCs w:val="24"/>
        </w:rPr>
        <w:t xml:space="preserve"> apmērā nepieciešamo izmaiņu veikšanai Valsts ieņēmumu dienesta informācijas sistēmās.</w:t>
      </w:r>
    </w:p>
    <w:p w:rsidR="00A573A5" w:rsidRPr="009C4ECF" w:rsidRDefault="00C30EF5" w:rsidP="00A573A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nodrošinātu pasākumu neitrālo ietekmi, p</w:t>
      </w:r>
      <w:r w:rsidR="00A573A5" w:rsidRPr="009C4ECF">
        <w:rPr>
          <w:rFonts w:ascii="Times New Roman" w:hAnsi="Times New Roman" w:cs="Times New Roman"/>
          <w:sz w:val="24"/>
          <w:szCs w:val="24"/>
        </w:rPr>
        <w:t>aredzēts samazināt izdevumus budžeta resorā "74.Gadskārtējā valsts budžeta izpildes procesā pārdalāmais finansējums" (t.sk. LNG un apropriācijas rezervei) 2021.gadam un 2022.gadam.</w:t>
      </w:r>
    </w:p>
    <w:p w:rsidR="009B5563" w:rsidRPr="00461101" w:rsidRDefault="009B5563" w:rsidP="00AD36DC">
      <w:pPr>
        <w:spacing w:after="120" w:line="240" w:lineRule="auto"/>
        <w:ind w:firstLine="720"/>
        <w:jc w:val="both"/>
        <w:rPr>
          <w:rFonts w:ascii="Times New Roman" w:hAnsi="Times New Roman" w:cs="Times New Roman"/>
          <w:sz w:val="24"/>
          <w:szCs w:val="24"/>
          <w:lang w:eastAsia="lv-LV"/>
        </w:rPr>
      </w:pPr>
    </w:p>
    <w:p w:rsidR="0061737C" w:rsidRPr="00461101" w:rsidRDefault="0061737C" w:rsidP="006D48C2">
      <w:pPr>
        <w:pStyle w:val="ListParagraph"/>
        <w:numPr>
          <w:ilvl w:val="0"/>
          <w:numId w:val="1"/>
        </w:numPr>
        <w:shd w:val="clear" w:color="auto" w:fill="FFD966" w:themeFill="accent4" w:themeFillTint="99"/>
        <w:spacing w:after="120" w:line="240" w:lineRule="auto"/>
        <w:ind w:left="1077"/>
        <w:contextualSpacing w:val="0"/>
        <w:jc w:val="both"/>
        <w:rPr>
          <w:rFonts w:ascii="Times New Roman" w:hAnsi="Times New Roman" w:cs="Times New Roman"/>
          <w:b/>
          <w:sz w:val="28"/>
          <w:szCs w:val="28"/>
        </w:rPr>
      </w:pPr>
      <w:r w:rsidRPr="00461101">
        <w:rPr>
          <w:rFonts w:ascii="Times New Roman" w:hAnsi="Times New Roman" w:cs="Times New Roman"/>
          <w:b/>
          <w:sz w:val="28"/>
          <w:szCs w:val="28"/>
        </w:rPr>
        <w:t>Fiskāli neitrāli ministriju priekšlikumi budžeta prioritāšu nodrošināšanai</w:t>
      </w:r>
    </w:p>
    <w:p w:rsidR="0061737C" w:rsidRPr="00461101" w:rsidRDefault="0061737C" w:rsidP="00DD5A39">
      <w:pPr>
        <w:spacing w:before="120" w:after="120" w:line="240" w:lineRule="auto"/>
        <w:ind w:firstLine="709"/>
        <w:jc w:val="both"/>
        <w:rPr>
          <w:rFonts w:ascii="Times New Roman" w:hAnsi="Times New Roman" w:cs="Times New Roman"/>
          <w:color w:val="000000"/>
          <w:sz w:val="24"/>
          <w:szCs w:val="24"/>
        </w:rPr>
      </w:pPr>
      <w:r w:rsidRPr="00461101">
        <w:rPr>
          <w:rFonts w:ascii="Times New Roman" w:hAnsi="Times New Roman" w:cs="Times New Roman"/>
          <w:sz w:val="24"/>
          <w:szCs w:val="24"/>
        </w:rPr>
        <w:t>Saskaņā ar MK 20</w:t>
      </w:r>
      <w:r w:rsidR="00A222D8" w:rsidRPr="00461101">
        <w:rPr>
          <w:rFonts w:ascii="Times New Roman" w:hAnsi="Times New Roman" w:cs="Times New Roman"/>
          <w:sz w:val="24"/>
          <w:szCs w:val="24"/>
        </w:rPr>
        <w:t>20</w:t>
      </w:r>
      <w:r w:rsidRPr="00461101">
        <w:rPr>
          <w:rFonts w:ascii="Times New Roman" w:hAnsi="Times New Roman" w:cs="Times New Roman"/>
          <w:sz w:val="24"/>
          <w:szCs w:val="24"/>
        </w:rPr>
        <w:t xml:space="preserve">.gada </w:t>
      </w:r>
      <w:r w:rsidR="00A222D8" w:rsidRPr="00461101">
        <w:rPr>
          <w:rFonts w:ascii="Times New Roman" w:hAnsi="Times New Roman" w:cs="Times New Roman"/>
          <w:sz w:val="24"/>
          <w:szCs w:val="24"/>
        </w:rPr>
        <w:t>2.septembra</w:t>
      </w:r>
      <w:r w:rsidRPr="00461101">
        <w:rPr>
          <w:rFonts w:ascii="Times New Roman" w:hAnsi="Times New Roman" w:cs="Times New Roman"/>
          <w:sz w:val="24"/>
          <w:szCs w:val="24"/>
        </w:rPr>
        <w:t xml:space="preserve"> sēdes </w:t>
      </w:r>
      <w:proofErr w:type="spellStart"/>
      <w:r w:rsidRPr="00461101">
        <w:rPr>
          <w:rFonts w:ascii="Times New Roman" w:hAnsi="Times New Roman" w:cs="Times New Roman"/>
          <w:sz w:val="24"/>
          <w:szCs w:val="24"/>
        </w:rPr>
        <w:t>protokollēmuma</w:t>
      </w:r>
      <w:proofErr w:type="spellEnd"/>
      <w:r w:rsidRPr="00461101">
        <w:rPr>
          <w:rFonts w:ascii="Times New Roman" w:hAnsi="Times New Roman" w:cs="Times New Roman"/>
          <w:sz w:val="24"/>
          <w:szCs w:val="24"/>
        </w:rPr>
        <w:t xml:space="preserve"> Nr.</w:t>
      </w:r>
      <w:r w:rsidR="00A222D8" w:rsidRPr="00461101">
        <w:rPr>
          <w:rFonts w:ascii="Times New Roman" w:hAnsi="Times New Roman" w:cs="Times New Roman"/>
          <w:sz w:val="24"/>
          <w:szCs w:val="24"/>
        </w:rPr>
        <w:t>51</w:t>
      </w:r>
      <w:r w:rsidRPr="00461101">
        <w:rPr>
          <w:rFonts w:ascii="Times New Roman" w:hAnsi="Times New Roman" w:cs="Times New Roman"/>
          <w:sz w:val="24"/>
          <w:szCs w:val="24"/>
        </w:rPr>
        <w:t xml:space="preserve"> </w:t>
      </w:r>
      <w:r w:rsidR="008432AB">
        <w:rPr>
          <w:rFonts w:ascii="Times New Roman" w:hAnsi="Times New Roman" w:cs="Times New Roman"/>
          <w:sz w:val="24"/>
          <w:szCs w:val="24"/>
        </w:rPr>
        <w:t>55</w:t>
      </w:r>
      <w:r w:rsidRPr="00461101">
        <w:rPr>
          <w:rFonts w:ascii="Times New Roman" w:hAnsi="Times New Roman" w:cs="Times New Roman"/>
          <w:sz w:val="24"/>
          <w:szCs w:val="24"/>
        </w:rPr>
        <w:t>.§ “Informatīvais ziņojums “</w:t>
      </w:r>
      <w:r w:rsidR="00A222D8" w:rsidRPr="00461101">
        <w:rPr>
          <w:rFonts w:ascii="Times New Roman" w:hAnsi="Times New Roman" w:cs="Times New Roman"/>
          <w:sz w:val="24"/>
          <w:szCs w:val="24"/>
        </w:rPr>
        <w:t>Par pasākumiem Covid-19 krīzes pārvarēšanai un ekonomikas</w:t>
      </w:r>
      <w:r w:rsidR="007C5A1F" w:rsidRPr="00461101">
        <w:rPr>
          <w:rFonts w:ascii="Times New Roman" w:hAnsi="Times New Roman" w:cs="Times New Roman"/>
          <w:sz w:val="24"/>
          <w:szCs w:val="24"/>
        </w:rPr>
        <w:t xml:space="preserve"> atlabšanai 2020. un 2021.gadam</w:t>
      </w:r>
      <w:r w:rsidRPr="00461101">
        <w:rPr>
          <w:rFonts w:ascii="Times New Roman" w:hAnsi="Times New Roman" w:cs="Times New Roman"/>
          <w:sz w:val="24"/>
          <w:szCs w:val="24"/>
        </w:rPr>
        <w:t xml:space="preserve">”” </w:t>
      </w:r>
      <w:r w:rsidR="00A222D8" w:rsidRPr="00461101">
        <w:rPr>
          <w:rFonts w:ascii="Times New Roman" w:hAnsi="Times New Roman" w:cs="Times New Roman"/>
          <w:sz w:val="24"/>
          <w:szCs w:val="24"/>
        </w:rPr>
        <w:t>6</w:t>
      </w:r>
      <w:r w:rsidRPr="00461101">
        <w:rPr>
          <w:rFonts w:ascii="Times New Roman" w:hAnsi="Times New Roman" w:cs="Times New Roman"/>
          <w:sz w:val="24"/>
          <w:szCs w:val="24"/>
        </w:rPr>
        <w:t>.punktu</w:t>
      </w:r>
      <w:r w:rsidR="00A30AD2" w:rsidRPr="00461101">
        <w:rPr>
          <w:rFonts w:ascii="Times New Roman" w:hAnsi="Times New Roman" w:cs="Times New Roman"/>
          <w:sz w:val="24"/>
          <w:szCs w:val="24"/>
        </w:rPr>
        <w:t xml:space="preserve"> ministrijām </w:t>
      </w:r>
      <w:r w:rsidR="00A222D8" w:rsidRPr="00461101">
        <w:rPr>
          <w:rFonts w:ascii="Times New Roman" w:hAnsi="Times New Roman" w:cs="Times New Roman"/>
          <w:sz w:val="24"/>
          <w:szCs w:val="24"/>
          <w:shd w:val="clear" w:color="auto" w:fill="FFFFFF"/>
        </w:rPr>
        <w:t xml:space="preserve">līdz 4.septembrim </w:t>
      </w:r>
      <w:r w:rsidR="00A30AD2" w:rsidRPr="00461101">
        <w:rPr>
          <w:rFonts w:ascii="Times New Roman" w:hAnsi="Times New Roman" w:cs="Times New Roman"/>
          <w:sz w:val="24"/>
          <w:szCs w:val="24"/>
          <w:shd w:val="clear" w:color="auto" w:fill="FFFFFF"/>
        </w:rPr>
        <w:t xml:space="preserve">ir atļauts iesniegt </w:t>
      </w:r>
      <w:r w:rsidR="00A222D8" w:rsidRPr="00461101">
        <w:rPr>
          <w:rFonts w:ascii="Times New Roman" w:hAnsi="Times New Roman" w:cs="Times New Roman"/>
          <w:sz w:val="24"/>
          <w:szCs w:val="24"/>
          <w:shd w:val="clear" w:color="auto" w:fill="FFFFFF"/>
        </w:rPr>
        <w:t xml:space="preserve">Finanšu ministrijā </w:t>
      </w:r>
      <w:r w:rsidR="00A30AD2" w:rsidRPr="00461101">
        <w:rPr>
          <w:rFonts w:ascii="Times New Roman" w:hAnsi="Times New Roman" w:cs="Times New Roman"/>
          <w:sz w:val="24"/>
          <w:szCs w:val="24"/>
          <w:shd w:val="clear" w:color="auto" w:fill="FFFFFF"/>
        </w:rPr>
        <w:t>fiskāli neitrālus</w:t>
      </w:r>
      <w:r w:rsidR="00A222D8" w:rsidRPr="00461101">
        <w:rPr>
          <w:rFonts w:ascii="Times New Roman" w:hAnsi="Times New Roman" w:cs="Times New Roman"/>
          <w:sz w:val="24"/>
          <w:szCs w:val="24"/>
          <w:shd w:val="clear" w:color="auto" w:fill="FFFFFF"/>
        </w:rPr>
        <w:t xml:space="preserve"> priekšlikum</w:t>
      </w:r>
      <w:r w:rsidR="00A30AD2" w:rsidRPr="00461101">
        <w:rPr>
          <w:rFonts w:ascii="Times New Roman" w:hAnsi="Times New Roman" w:cs="Times New Roman"/>
          <w:sz w:val="24"/>
          <w:szCs w:val="24"/>
          <w:shd w:val="clear" w:color="auto" w:fill="FFFFFF"/>
        </w:rPr>
        <w:t>us</w:t>
      </w:r>
      <w:r w:rsidR="00A222D8" w:rsidRPr="00461101">
        <w:rPr>
          <w:rFonts w:ascii="Times New Roman" w:hAnsi="Times New Roman" w:cs="Times New Roman"/>
          <w:sz w:val="24"/>
          <w:szCs w:val="24"/>
          <w:shd w:val="clear" w:color="auto" w:fill="FFFFFF"/>
        </w:rPr>
        <w:t xml:space="preserve"> bu</w:t>
      </w:r>
      <w:r w:rsidR="00A30AD2" w:rsidRPr="00461101">
        <w:rPr>
          <w:rFonts w:ascii="Times New Roman" w:hAnsi="Times New Roman" w:cs="Times New Roman"/>
          <w:sz w:val="24"/>
          <w:szCs w:val="24"/>
          <w:shd w:val="clear" w:color="auto" w:fill="FFFFFF"/>
        </w:rPr>
        <w:t>džeta prioritāšu nodrošināšanai.</w:t>
      </w:r>
      <w:r w:rsidR="00A222D8" w:rsidRPr="00461101">
        <w:rPr>
          <w:rFonts w:ascii="Times New Roman" w:hAnsi="Times New Roman" w:cs="Times New Roman"/>
          <w:sz w:val="24"/>
          <w:szCs w:val="24"/>
          <w:shd w:val="clear" w:color="auto" w:fill="FFFFFF"/>
        </w:rPr>
        <w:t xml:space="preserve"> Finanšu ministrijai </w:t>
      </w:r>
      <w:r w:rsidR="00A30AD2" w:rsidRPr="00461101">
        <w:rPr>
          <w:rFonts w:ascii="Times New Roman" w:hAnsi="Times New Roman" w:cs="Times New Roman"/>
          <w:sz w:val="24"/>
          <w:szCs w:val="24"/>
          <w:shd w:val="clear" w:color="auto" w:fill="FFFFFF"/>
        </w:rPr>
        <w:t xml:space="preserve">uzdots </w:t>
      </w:r>
      <w:r w:rsidR="00A222D8" w:rsidRPr="00461101">
        <w:rPr>
          <w:rFonts w:ascii="Times New Roman" w:hAnsi="Times New Roman" w:cs="Times New Roman"/>
          <w:sz w:val="24"/>
          <w:szCs w:val="24"/>
          <w:shd w:val="clear" w:color="auto" w:fill="FFFFFF"/>
        </w:rPr>
        <w:t>sagatavo</w:t>
      </w:r>
      <w:r w:rsidR="00A30AD2" w:rsidRPr="00461101">
        <w:rPr>
          <w:rFonts w:ascii="Times New Roman" w:hAnsi="Times New Roman" w:cs="Times New Roman"/>
          <w:sz w:val="24"/>
          <w:szCs w:val="24"/>
          <w:shd w:val="clear" w:color="auto" w:fill="FFFFFF"/>
        </w:rPr>
        <w:t>t informāciju</w:t>
      </w:r>
      <w:r w:rsidR="00A222D8" w:rsidRPr="00461101">
        <w:rPr>
          <w:rFonts w:ascii="Times New Roman" w:hAnsi="Times New Roman" w:cs="Times New Roman"/>
          <w:sz w:val="24"/>
          <w:szCs w:val="24"/>
          <w:shd w:val="clear" w:color="auto" w:fill="FFFFFF"/>
        </w:rPr>
        <w:t xml:space="preserve"> izskatīšanai </w:t>
      </w:r>
      <w:r w:rsidR="00A30AD2" w:rsidRPr="00461101">
        <w:rPr>
          <w:rFonts w:ascii="Times New Roman" w:hAnsi="Times New Roman" w:cs="Times New Roman"/>
          <w:sz w:val="24"/>
          <w:szCs w:val="24"/>
          <w:shd w:val="clear" w:color="auto" w:fill="FFFFFF"/>
        </w:rPr>
        <w:t xml:space="preserve">MK </w:t>
      </w:r>
      <w:r w:rsidR="00A222D8" w:rsidRPr="00461101">
        <w:rPr>
          <w:rFonts w:ascii="Times New Roman" w:hAnsi="Times New Roman" w:cs="Times New Roman"/>
          <w:sz w:val="24"/>
          <w:szCs w:val="24"/>
          <w:shd w:val="clear" w:color="auto" w:fill="FFFFFF"/>
        </w:rPr>
        <w:t>8.septembra sēdē</w:t>
      </w:r>
      <w:r w:rsidRPr="00461101">
        <w:rPr>
          <w:rFonts w:ascii="Times New Roman" w:hAnsi="Times New Roman" w:cs="Times New Roman"/>
          <w:sz w:val="24"/>
          <w:szCs w:val="24"/>
        </w:rPr>
        <w:t>.</w:t>
      </w:r>
      <w:r w:rsidRPr="00461101">
        <w:rPr>
          <w:rFonts w:ascii="Times New Roman" w:hAnsi="Times New Roman" w:cs="Times New Roman"/>
          <w:sz w:val="24"/>
          <w:szCs w:val="24"/>
          <w:lang w:eastAsia="lv-LV"/>
        </w:rPr>
        <w:t xml:space="preserve"> </w:t>
      </w:r>
    </w:p>
    <w:p w:rsidR="0061737C" w:rsidRDefault="0061737C" w:rsidP="00DD5A39">
      <w:pPr>
        <w:pStyle w:val="ListParagraph"/>
        <w:spacing w:before="120" w:after="120" w:line="240" w:lineRule="auto"/>
        <w:contextualSpacing w:val="0"/>
        <w:jc w:val="both"/>
        <w:rPr>
          <w:rFonts w:ascii="Times New Roman" w:hAnsi="Times New Roman" w:cs="Times New Roman"/>
          <w:b/>
          <w:sz w:val="24"/>
          <w:szCs w:val="24"/>
        </w:rPr>
      </w:pPr>
    </w:p>
    <w:p w:rsidR="00F21C8D" w:rsidRDefault="00F21C8D" w:rsidP="00DD5A39">
      <w:pPr>
        <w:pStyle w:val="ListParagraph"/>
        <w:spacing w:before="120" w:after="120" w:line="240" w:lineRule="auto"/>
        <w:contextualSpacing w:val="0"/>
        <w:jc w:val="both"/>
        <w:rPr>
          <w:rFonts w:ascii="Times New Roman" w:hAnsi="Times New Roman" w:cs="Times New Roman"/>
          <w:b/>
          <w:sz w:val="24"/>
          <w:szCs w:val="24"/>
        </w:rPr>
      </w:pPr>
    </w:p>
    <w:p w:rsidR="00F21C8D" w:rsidRPr="00461101" w:rsidRDefault="00F21C8D" w:rsidP="00DD5A39">
      <w:pPr>
        <w:pStyle w:val="ListParagraph"/>
        <w:spacing w:before="120" w:after="120" w:line="240" w:lineRule="auto"/>
        <w:contextualSpacing w:val="0"/>
        <w:jc w:val="both"/>
        <w:rPr>
          <w:rFonts w:ascii="Times New Roman" w:hAnsi="Times New Roman" w:cs="Times New Roman"/>
          <w:b/>
          <w:sz w:val="24"/>
          <w:szCs w:val="24"/>
        </w:rPr>
      </w:pPr>
    </w:p>
    <w:p w:rsidR="00C51434" w:rsidRPr="002F3377" w:rsidRDefault="002F3377" w:rsidP="002F3377">
      <w:pPr>
        <w:pStyle w:val="ListParagraph"/>
        <w:numPr>
          <w:ilvl w:val="1"/>
          <w:numId w:val="20"/>
        </w:num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51434" w:rsidRPr="002F3377">
        <w:rPr>
          <w:rFonts w:ascii="Times New Roman" w:hAnsi="Times New Roman" w:cs="Times New Roman"/>
          <w:b/>
          <w:sz w:val="24"/>
          <w:szCs w:val="24"/>
        </w:rPr>
        <w:t>Ekonomikas ministrijas priekšlikumi</w:t>
      </w:r>
    </w:p>
    <w:p w:rsidR="00C51434" w:rsidRPr="00A30AD2" w:rsidRDefault="00C51434" w:rsidP="00C51434">
      <w:pPr>
        <w:spacing w:before="120" w:after="120" w:line="240" w:lineRule="auto"/>
        <w:ind w:firstLine="720"/>
        <w:jc w:val="both"/>
        <w:rPr>
          <w:rFonts w:ascii="Times New Roman" w:hAnsi="Times New Roman" w:cs="Times New Roman"/>
          <w:sz w:val="24"/>
          <w:szCs w:val="24"/>
        </w:rPr>
      </w:pPr>
      <w:r w:rsidRPr="00A30AD2">
        <w:rPr>
          <w:rFonts w:ascii="Times New Roman" w:hAnsi="Times New Roman" w:cs="Times New Roman"/>
          <w:sz w:val="24"/>
          <w:szCs w:val="24"/>
        </w:rPr>
        <w:t xml:space="preserve">Ekonomikas ministrija ar š.g. 28.augusta vēstuli Nr.5.1.3/2020/5189N </w:t>
      </w:r>
      <w:r>
        <w:rPr>
          <w:rFonts w:ascii="Times New Roman" w:hAnsi="Times New Roman" w:cs="Times New Roman"/>
          <w:sz w:val="24"/>
          <w:szCs w:val="24"/>
        </w:rPr>
        <w:t xml:space="preserve">un </w:t>
      </w:r>
      <w:r w:rsidRPr="00B14411">
        <w:rPr>
          <w:rFonts w:ascii="Times New Roman" w:hAnsi="Times New Roman" w:cs="Times New Roman"/>
          <w:sz w:val="24"/>
          <w:szCs w:val="24"/>
        </w:rPr>
        <w:t xml:space="preserve">š.g. 4.septembra vēstuli Nr.5.1.3/2020/5329N </w:t>
      </w:r>
      <w:r w:rsidRPr="00A30AD2">
        <w:rPr>
          <w:rFonts w:ascii="Times New Roman" w:hAnsi="Times New Roman" w:cs="Times New Roman"/>
          <w:sz w:val="24"/>
          <w:szCs w:val="24"/>
        </w:rPr>
        <w:t>ir iesniegusi priekšlikumu fiskāli neitrālu priekšlikumu prioritāro pasākumu īstenošanai 2021</w:t>
      </w:r>
      <w:r>
        <w:rPr>
          <w:rFonts w:ascii="Times New Roman" w:hAnsi="Times New Roman" w:cs="Times New Roman"/>
          <w:sz w:val="24"/>
          <w:szCs w:val="24"/>
        </w:rPr>
        <w:t>.</w:t>
      </w:r>
      <w:r w:rsidRPr="00A30AD2">
        <w:rPr>
          <w:rFonts w:ascii="Times New Roman" w:hAnsi="Times New Roman" w:cs="Times New Roman"/>
          <w:sz w:val="24"/>
          <w:szCs w:val="24"/>
        </w:rPr>
        <w:t>-2023.gadā.</w:t>
      </w:r>
      <w:r>
        <w:rPr>
          <w:rFonts w:ascii="Times New Roman" w:hAnsi="Times New Roman" w:cs="Times New Roman"/>
          <w:sz w:val="24"/>
          <w:szCs w:val="24"/>
        </w:rPr>
        <w:t xml:space="preserve"> </w:t>
      </w:r>
    </w:p>
    <w:p w:rsidR="00C51434" w:rsidRPr="00A30AD2" w:rsidRDefault="00C51434" w:rsidP="00C51434">
      <w:pPr>
        <w:spacing w:before="120" w:after="120" w:line="240" w:lineRule="auto"/>
        <w:ind w:firstLine="720"/>
        <w:jc w:val="both"/>
        <w:rPr>
          <w:rFonts w:ascii="Times New Roman" w:hAnsi="Times New Roman" w:cs="Times New Roman"/>
          <w:sz w:val="24"/>
          <w:szCs w:val="24"/>
        </w:rPr>
      </w:pPr>
      <w:r w:rsidRPr="000939DA">
        <w:rPr>
          <w:rFonts w:ascii="Times New Roman" w:hAnsi="Times New Roman" w:cs="Times New Roman"/>
          <w:b/>
          <w:sz w:val="24"/>
          <w:szCs w:val="24"/>
        </w:rPr>
        <w:t>5.1.1.</w:t>
      </w:r>
      <w:r>
        <w:rPr>
          <w:rFonts w:ascii="Times New Roman" w:hAnsi="Times New Roman" w:cs="Times New Roman"/>
          <w:sz w:val="24"/>
          <w:szCs w:val="24"/>
        </w:rPr>
        <w:t xml:space="preserve"> </w:t>
      </w:r>
      <w:r w:rsidRPr="00A30AD2">
        <w:rPr>
          <w:rFonts w:ascii="Times New Roman" w:hAnsi="Times New Roman" w:cs="Times New Roman"/>
          <w:sz w:val="24"/>
          <w:szCs w:val="24"/>
        </w:rPr>
        <w:t xml:space="preserve">Nekustamā īpašuma darījumu starpnieku darbības likuma 7.panta ceturtā daļa un 14.panta trešā daļa paredz, ka </w:t>
      </w:r>
      <w:r>
        <w:rPr>
          <w:rFonts w:ascii="Times New Roman" w:hAnsi="Times New Roman" w:cs="Times New Roman"/>
          <w:sz w:val="24"/>
          <w:szCs w:val="24"/>
        </w:rPr>
        <w:t>MK</w:t>
      </w:r>
      <w:r w:rsidRPr="00A30AD2">
        <w:rPr>
          <w:rFonts w:ascii="Times New Roman" w:hAnsi="Times New Roman" w:cs="Times New Roman"/>
          <w:sz w:val="24"/>
          <w:szCs w:val="24"/>
        </w:rPr>
        <w:t xml:space="preserve"> nosaka nekustamā īpašuma darījumu starpniekam maksu par personas iekļaušanu nekustamā īpašuma darījumu starpnieku reģistrā un ikgadējās nekustamā īpašuma darījumu starpnieka uzraudzības maksas apmēru un samaksas kārtību. Lai nodrošinātu minēto normu ieviešanu, Ekonomikas ministrija ir izstrādājusi noteikumu projektu, kas nosaka nekustamā īpašuma darījumu starpnieka maksu par personas iekļaušanu reģistrā, ikgadēju nekustamā īpašuma darījumu starpnieka uzraudzības maksu, tā apmērus un samaksas kārtība. Atbilstoši minētajam noteikumu projektam, par personas iekļaušanu reģistrā ir noteikta reģistrācijas maksa 40 </w:t>
      </w:r>
      <w:proofErr w:type="spellStart"/>
      <w:r w:rsidRPr="00A30AD2">
        <w:rPr>
          <w:rFonts w:ascii="Times New Roman" w:hAnsi="Times New Roman" w:cs="Times New Roman"/>
          <w:i/>
          <w:sz w:val="24"/>
          <w:szCs w:val="24"/>
        </w:rPr>
        <w:t>euro</w:t>
      </w:r>
      <w:proofErr w:type="spellEnd"/>
      <w:r w:rsidRPr="00A30AD2">
        <w:rPr>
          <w:rFonts w:ascii="Times New Roman" w:hAnsi="Times New Roman" w:cs="Times New Roman"/>
          <w:sz w:val="24"/>
          <w:szCs w:val="24"/>
        </w:rPr>
        <w:t xml:space="preserve"> apmērā un par nekustamā īpašuma darījumu starpnieka uzraudzību ir noteikta ikgadēja maksa  40 </w:t>
      </w:r>
      <w:proofErr w:type="spellStart"/>
      <w:r w:rsidRPr="00A30AD2">
        <w:rPr>
          <w:rFonts w:ascii="Times New Roman" w:hAnsi="Times New Roman" w:cs="Times New Roman"/>
          <w:i/>
          <w:sz w:val="24"/>
          <w:szCs w:val="24"/>
        </w:rPr>
        <w:t>euro</w:t>
      </w:r>
      <w:proofErr w:type="spellEnd"/>
      <w:r w:rsidRPr="00A30AD2">
        <w:rPr>
          <w:rFonts w:ascii="Times New Roman" w:hAnsi="Times New Roman" w:cs="Times New Roman"/>
          <w:sz w:val="24"/>
          <w:szCs w:val="24"/>
        </w:rPr>
        <w:t xml:space="preserve"> apmērā. Kopējie ieņēmumi 2021.gadā un turpmāk ik gadu tiek plānotai 64 480 </w:t>
      </w:r>
      <w:proofErr w:type="spellStart"/>
      <w:r w:rsidRPr="00A30AD2">
        <w:rPr>
          <w:rFonts w:ascii="Times New Roman" w:hAnsi="Times New Roman" w:cs="Times New Roman"/>
          <w:i/>
          <w:sz w:val="24"/>
          <w:szCs w:val="24"/>
        </w:rPr>
        <w:t>euro</w:t>
      </w:r>
      <w:proofErr w:type="spellEnd"/>
      <w:r w:rsidRPr="00A30AD2">
        <w:rPr>
          <w:rFonts w:ascii="Times New Roman" w:hAnsi="Times New Roman" w:cs="Times New Roman"/>
          <w:i/>
          <w:sz w:val="24"/>
          <w:szCs w:val="24"/>
        </w:rPr>
        <w:t xml:space="preserve"> </w:t>
      </w:r>
      <w:r w:rsidRPr="00A30AD2">
        <w:rPr>
          <w:rFonts w:ascii="Times New Roman" w:hAnsi="Times New Roman" w:cs="Times New Roman"/>
          <w:sz w:val="24"/>
          <w:szCs w:val="24"/>
        </w:rPr>
        <w:t xml:space="preserve">apmērā, savukārt, lai nodrošinātu nekustamā īpašuma darījumu starpnieku reģistra uzturēšanu un uzraudzību, Ekonomikas ministrijai ir nepieciešams papildu finansējums 2021.gadā un turpmāk ik gadu 46 566 </w:t>
      </w:r>
      <w:proofErr w:type="spellStart"/>
      <w:r w:rsidRPr="00A30AD2">
        <w:rPr>
          <w:rFonts w:ascii="Times New Roman" w:hAnsi="Times New Roman" w:cs="Times New Roman"/>
          <w:i/>
          <w:sz w:val="24"/>
          <w:szCs w:val="24"/>
        </w:rPr>
        <w:t>euro</w:t>
      </w:r>
      <w:proofErr w:type="spellEnd"/>
      <w:r w:rsidRPr="00A30AD2">
        <w:rPr>
          <w:rFonts w:ascii="Times New Roman" w:hAnsi="Times New Roman" w:cs="Times New Roman"/>
          <w:sz w:val="24"/>
          <w:szCs w:val="24"/>
        </w:rPr>
        <w:t xml:space="preserve"> apmērā. </w:t>
      </w:r>
    </w:p>
    <w:p w:rsidR="00C51434" w:rsidRDefault="00C51434" w:rsidP="00C51434">
      <w:pPr>
        <w:spacing w:before="120" w:after="120" w:line="240" w:lineRule="auto"/>
        <w:ind w:firstLine="720"/>
        <w:jc w:val="both"/>
        <w:rPr>
          <w:rFonts w:ascii="Times New Roman" w:hAnsi="Times New Roman" w:cs="Times New Roman"/>
          <w:sz w:val="24"/>
          <w:szCs w:val="24"/>
        </w:rPr>
      </w:pPr>
      <w:r w:rsidRPr="00A30AD2">
        <w:rPr>
          <w:rFonts w:ascii="Times New Roman" w:hAnsi="Times New Roman" w:cs="Times New Roman"/>
          <w:sz w:val="24"/>
          <w:szCs w:val="24"/>
        </w:rPr>
        <w:t xml:space="preserve">Ņemot vērā minēto, </w:t>
      </w:r>
      <w:r w:rsidRPr="00D5417C">
        <w:rPr>
          <w:rFonts w:ascii="Times New Roman" w:hAnsi="Times New Roman" w:cs="Times New Roman"/>
          <w:sz w:val="24"/>
          <w:szCs w:val="24"/>
          <w:u w:val="single"/>
        </w:rPr>
        <w:t xml:space="preserve">Ekonomikas ministrija iesniedza priekšlikumu palielināt ieņēmumu prognozes no nekustamā īpašuma darījumu starpnieka reģistrācijas maksas un ikgadējās nekustamā īpašuma darījumu starpnieka uzraudzības maksas 2021., 2022. un 2023.gadam ik gadu 64 480 </w:t>
      </w:r>
      <w:proofErr w:type="spellStart"/>
      <w:r w:rsidRPr="00D5417C">
        <w:rPr>
          <w:rFonts w:ascii="Times New Roman" w:hAnsi="Times New Roman" w:cs="Times New Roman"/>
          <w:i/>
          <w:sz w:val="24"/>
          <w:szCs w:val="24"/>
          <w:u w:val="single"/>
        </w:rPr>
        <w:t>euro</w:t>
      </w:r>
      <w:proofErr w:type="spellEnd"/>
      <w:r w:rsidRPr="00D5417C">
        <w:rPr>
          <w:rFonts w:ascii="Times New Roman" w:hAnsi="Times New Roman" w:cs="Times New Roman"/>
          <w:sz w:val="24"/>
          <w:szCs w:val="24"/>
          <w:u w:val="single"/>
        </w:rPr>
        <w:t xml:space="preserve"> apmērā un attiecīgi palielināt dotāciju no vispārējiem ieņēmumiem un izdevumus Ekonomikas ministrijas budžeta programmā 97.00.00 “Nozaru vadība un politikas plānošana” 2021., 2022. un 2023.gadam ik gadu 46 566 </w:t>
      </w:r>
      <w:proofErr w:type="spellStart"/>
      <w:r w:rsidRPr="00D5417C">
        <w:rPr>
          <w:rFonts w:ascii="Times New Roman" w:hAnsi="Times New Roman" w:cs="Times New Roman"/>
          <w:i/>
          <w:sz w:val="24"/>
          <w:szCs w:val="24"/>
          <w:u w:val="single"/>
        </w:rPr>
        <w:t>euro</w:t>
      </w:r>
      <w:proofErr w:type="spellEnd"/>
      <w:r w:rsidRPr="00D5417C">
        <w:rPr>
          <w:rFonts w:ascii="Times New Roman" w:hAnsi="Times New Roman" w:cs="Times New Roman"/>
          <w:sz w:val="24"/>
          <w:szCs w:val="24"/>
          <w:u w:val="single"/>
        </w:rPr>
        <w:t xml:space="preserve"> apmērā</w:t>
      </w:r>
      <w:r w:rsidRPr="00A30AD2">
        <w:rPr>
          <w:rFonts w:ascii="Times New Roman" w:hAnsi="Times New Roman" w:cs="Times New Roman"/>
          <w:sz w:val="24"/>
          <w:szCs w:val="24"/>
        </w:rPr>
        <w:t xml:space="preserve"> (tai skaitā atlīdzības izdevumu nodrošināšanai vienai amata vietai 26 059 </w:t>
      </w:r>
      <w:proofErr w:type="spellStart"/>
      <w:r w:rsidRPr="00A30AD2">
        <w:rPr>
          <w:rFonts w:ascii="Times New Roman" w:hAnsi="Times New Roman" w:cs="Times New Roman"/>
          <w:i/>
          <w:sz w:val="24"/>
          <w:szCs w:val="24"/>
        </w:rPr>
        <w:t>euro</w:t>
      </w:r>
      <w:proofErr w:type="spellEnd"/>
      <w:r w:rsidRPr="00A30AD2">
        <w:rPr>
          <w:rFonts w:ascii="Times New Roman" w:hAnsi="Times New Roman" w:cs="Times New Roman"/>
          <w:sz w:val="24"/>
          <w:szCs w:val="24"/>
        </w:rPr>
        <w:t xml:space="preserve"> apmērā, nepalielinot kopējo amata vietu skaitu Ekonomikas ministrijas resorā), lai nodrošinātu nekustamā īpašuma darījumu starpnieku reģistra uzturēšanu un uzraudzību.  </w:t>
      </w:r>
    </w:p>
    <w:p w:rsidR="00C51434" w:rsidRDefault="00C51434" w:rsidP="00C51434">
      <w:pPr>
        <w:spacing w:before="120" w:after="120" w:line="240" w:lineRule="auto"/>
        <w:ind w:firstLine="720"/>
        <w:jc w:val="both"/>
        <w:rPr>
          <w:rFonts w:ascii="Times New Roman" w:hAnsi="Times New Roman" w:cs="Times New Roman"/>
          <w:sz w:val="24"/>
          <w:szCs w:val="24"/>
        </w:rPr>
      </w:pPr>
      <w:r w:rsidRPr="00650FCC">
        <w:rPr>
          <w:rFonts w:ascii="Times New Roman" w:hAnsi="Times New Roman" w:cs="Times New Roman"/>
          <w:b/>
          <w:sz w:val="24"/>
          <w:szCs w:val="24"/>
        </w:rPr>
        <w:t>5.1.2.</w:t>
      </w:r>
      <w:r w:rsidRPr="00650FCC">
        <w:rPr>
          <w:rFonts w:ascii="Times New Roman" w:hAnsi="Times New Roman" w:cs="Times New Roman"/>
          <w:sz w:val="24"/>
          <w:szCs w:val="24"/>
        </w:rPr>
        <w:t xml:space="preserve"> Ekonomikas ministrija iesniedza </w:t>
      </w:r>
      <w:r w:rsidRPr="00650FCC">
        <w:rPr>
          <w:rFonts w:ascii="Times New Roman" w:hAnsi="Times New Roman" w:cs="Times New Roman"/>
          <w:sz w:val="24"/>
          <w:szCs w:val="24"/>
          <w:u w:val="single"/>
        </w:rPr>
        <w:t xml:space="preserve">priekšlikumu palielināt pamatbudžeta prognozējamos ieņēmumos valsts budžetā no akciju sabiedrības "Latvenergo" dividendēm 2021.gadā 8 606 250 </w:t>
      </w:r>
      <w:proofErr w:type="spellStart"/>
      <w:r w:rsidRPr="00650FCC">
        <w:rPr>
          <w:rFonts w:ascii="Times New Roman" w:hAnsi="Times New Roman" w:cs="Times New Roman"/>
          <w:i/>
          <w:sz w:val="24"/>
          <w:szCs w:val="24"/>
          <w:u w:val="single"/>
        </w:rPr>
        <w:t>euro</w:t>
      </w:r>
      <w:proofErr w:type="spellEnd"/>
      <w:r w:rsidRPr="00650FCC">
        <w:rPr>
          <w:rFonts w:ascii="Times New Roman" w:hAnsi="Times New Roman" w:cs="Times New Roman"/>
          <w:sz w:val="24"/>
          <w:szCs w:val="24"/>
          <w:u w:val="single"/>
        </w:rPr>
        <w:t xml:space="preserve"> apmērā, 2022.gadā 13 200 000 </w:t>
      </w:r>
      <w:proofErr w:type="spellStart"/>
      <w:r w:rsidRPr="00650FCC">
        <w:rPr>
          <w:rFonts w:ascii="Times New Roman" w:hAnsi="Times New Roman" w:cs="Times New Roman"/>
          <w:i/>
          <w:sz w:val="24"/>
          <w:szCs w:val="24"/>
          <w:u w:val="single"/>
        </w:rPr>
        <w:t>euro</w:t>
      </w:r>
      <w:proofErr w:type="spellEnd"/>
      <w:r w:rsidRPr="00650FCC">
        <w:rPr>
          <w:rFonts w:ascii="Times New Roman" w:hAnsi="Times New Roman" w:cs="Times New Roman"/>
          <w:sz w:val="24"/>
          <w:szCs w:val="24"/>
          <w:u w:val="single"/>
        </w:rPr>
        <w:t xml:space="preserve"> apmērā un 2023.gadā </w:t>
      </w:r>
      <w:r w:rsidR="00932D69" w:rsidRPr="00650FCC">
        <w:rPr>
          <w:rFonts w:ascii="Times New Roman" w:hAnsi="Times New Roman" w:cs="Times New Roman"/>
          <w:sz w:val="24"/>
          <w:szCs w:val="24"/>
          <w:u w:val="single"/>
        </w:rPr>
        <w:t>12 604 630 </w:t>
      </w:r>
      <w:proofErr w:type="spellStart"/>
      <w:r w:rsidRPr="00650FCC">
        <w:rPr>
          <w:rFonts w:ascii="Times New Roman" w:hAnsi="Times New Roman" w:cs="Times New Roman"/>
          <w:i/>
          <w:sz w:val="24"/>
          <w:szCs w:val="24"/>
          <w:u w:val="single"/>
        </w:rPr>
        <w:t>euro</w:t>
      </w:r>
      <w:proofErr w:type="spellEnd"/>
      <w:r w:rsidRPr="00650FCC">
        <w:rPr>
          <w:rFonts w:ascii="Times New Roman" w:hAnsi="Times New Roman" w:cs="Times New Roman"/>
          <w:sz w:val="24"/>
          <w:szCs w:val="24"/>
          <w:u w:val="single"/>
        </w:rPr>
        <w:t xml:space="preserve"> apmērā un attiecīgi palielināt dotāciju no vispārējiem ieņēmumiem un izdevumus 2021.gadā 8 606 250 </w:t>
      </w:r>
      <w:proofErr w:type="spellStart"/>
      <w:r w:rsidRPr="00650FCC">
        <w:rPr>
          <w:rFonts w:ascii="Times New Roman" w:hAnsi="Times New Roman" w:cs="Times New Roman"/>
          <w:i/>
          <w:sz w:val="24"/>
          <w:szCs w:val="24"/>
          <w:u w:val="single"/>
        </w:rPr>
        <w:t>euro</w:t>
      </w:r>
      <w:proofErr w:type="spellEnd"/>
      <w:r w:rsidRPr="00650FCC">
        <w:rPr>
          <w:rFonts w:ascii="Times New Roman" w:hAnsi="Times New Roman" w:cs="Times New Roman"/>
          <w:sz w:val="24"/>
          <w:szCs w:val="24"/>
          <w:u w:val="single"/>
        </w:rPr>
        <w:t xml:space="preserve"> apmērā, 2022.gadā 13 200 000 </w:t>
      </w:r>
      <w:proofErr w:type="spellStart"/>
      <w:r w:rsidRPr="00650FCC">
        <w:rPr>
          <w:rFonts w:ascii="Times New Roman" w:hAnsi="Times New Roman" w:cs="Times New Roman"/>
          <w:i/>
          <w:sz w:val="24"/>
          <w:szCs w:val="24"/>
          <w:u w:val="single"/>
        </w:rPr>
        <w:t>euro</w:t>
      </w:r>
      <w:proofErr w:type="spellEnd"/>
      <w:r w:rsidRPr="00650FCC">
        <w:rPr>
          <w:rFonts w:ascii="Times New Roman" w:hAnsi="Times New Roman" w:cs="Times New Roman"/>
          <w:sz w:val="24"/>
          <w:szCs w:val="24"/>
          <w:u w:val="single"/>
        </w:rPr>
        <w:t xml:space="preserve"> apmērā un 2023.gadā </w:t>
      </w:r>
      <w:r w:rsidR="00932D69" w:rsidRPr="00650FCC">
        <w:rPr>
          <w:rFonts w:ascii="Times New Roman" w:hAnsi="Times New Roman" w:cs="Times New Roman"/>
          <w:sz w:val="24"/>
          <w:szCs w:val="24"/>
          <w:u w:val="single"/>
        </w:rPr>
        <w:t>12 604 630 </w:t>
      </w:r>
      <w:proofErr w:type="spellStart"/>
      <w:r w:rsidRPr="00650FCC">
        <w:rPr>
          <w:rFonts w:ascii="Times New Roman" w:hAnsi="Times New Roman" w:cs="Times New Roman"/>
          <w:i/>
          <w:sz w:val="24"/>
          <w:szCs w:val="24"/>
          <w:u w:val="single"/>
        </w:rPr>
        <w:t>euro</w:t>
      </w:r>
      <w:proofErr w:type="spellEnd"/>
      <w:r w:rsidRPr="00650FCC">
        <w:rPr>
          <w:rFonts w:ascii="Times New Roman" w:hAnsi="Times New Roman" w:cs="Times New Roman"/>
          <w:sz w:val="24"/>
          <w:szCs w:val="24"/>
          <w:u w:val="single"/>
        </w:rPr>
        <w:t xml:space="preserve"> apmērā šādu Ekonomikas ministrijas neatliekamo pasākumu īstenošanai</w:t>
      </w:r>
      <w:r w:rsidRPr="00650FCC">
        <w:rPr>
          <w:rFonts w:ascii="Times New Roman" w:hAnsi="Times New Roman" w:cs="Times New Roman"/>
          <w:sz w:val="24"/>
          <w:szCs w:val="24"/>
        </w:rPr>
        <w:t>:</w:t>
      </w:r>
    </w:p>
    <w:p w:rsidR="00C51434" w:rsidRDefault="00C51434" w:rsidP="00C51434">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B14411">
        <w:rPr>
          <w:rFonts w:ascii="Times New Roman" w:hAnsi="Times New Roman" w:cs="Times New Roman"/>
          <w:sz w:val="24"/>
          <w:szCs w:val="24"/>
        </w:rPr>
        <w:t xml:space="preserve">Atbilstoši </w:t>
      </w:r>
      <w:r w:rsidRPr="009C4705">
        <w:rPr>
          <w:rFonts w:ascii="Times New Roman" w:hAnsi="Times New Roman" w:cs="Times New Roman"/>
          <w:sz w:val="24"/>
          <w:szCs w:val="24"/>
        </w:rPr>
        <w:t>likumā „Par palīdzību dzīvokļa jautājumu risināšanā” un likumā "Par dzīvojamo telpu īri” paredzētajam ir nepieciešams nodrošināt</w:t>
      </w:r>
      <w:r w:rsidRPr="00B14411">
        <w:rPr>
          <w:rFonts w:ascii="Times New Roman" w:hAnsi="Times New Roman" w:cs="Times New Roman"/>
          <w:i/>
          <w:sz w:val="24"/>
          <w:szCs w:val="24"/>
        </w:rPr>
        <w:t xml:space="preserve"> </w:t>
      </w:r>
      <w:r w:rsidRPr="00B14411">
        <w:rPr>
          <w:rFonts w:ascii="Times New Roman" w:hAnsi="Times New Roman" w:cs="Times New Roman"/>
          <w:sz w:val="24"/>
          <w:szCs w:val="24"/>
        </w:rPr>
        <w:t>valsts līdzfinansējumu dzīvojamās telpas atbrīvošanas pabalsta nodrošināšanai denacionalizēto namu īrniekiem.</w:t>
      </w:r>
      <w:r w:rsidRPr="00B14411">
        <w:rPr>
          <w:rFonts w:ascii="Times New Roman" w:hAnsi="Times New Roman" w:cs="Times New Roman"/>
          <w:color w:val="FF0000"/>
          <w:sz w:val="24"/>
          <w:szCs w:val="24"/>
        </w:rPr>
        <w:t xml:space="preserve"> </w:t>
      </w:r>
      <w:r w:rsidRPr="00B14411">
        <w:rPr>
          <w:rFonts w:ascii="Times New Roman" w:hAnsi="Times New Roman" w:cs="Times New Roman"/>
          <w:sz w:val="24"/>
          <w:szCs w:val="24"/>
        </w:rPr>
        <w:t xml:space="preserve">Ekonomikas ministrijai 2020.gadā ir iesniegta informācija par 9 Jūrmalā un 225 Rīgā  reģistrētām personām atbrīvošanas pabalsta saņemšanai, par kopējo summu 2 784 150,50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Lai nodrošinātu valsts līdzfinansējumu dzīvojamās telpas atbrīvošanas pabalsta nodrošināšanai denacionalizēto namu īrniekiem, Ekonomikas ministrija iesniedza priekšlikumu palielināt izdevumus 2021.gadā 2 784 151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2022.gadā 1 500 000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un 2023.gadā 2 000 000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apmērā. </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2) Atbilstoši Ministru kabineta 2018.gada 20.februāra noteikumiem Nr. 95 “Noteikumi par valsts palīdzību dzīvojamās telpas iegādei vai būvniecībai” akciju sabiedrība „Attīstības finanšu institūcija </w:t>
      </w:r>
      <w:proofErr w:type="spellStart"/>
      <w:r w:rsidRPr="00B14411">
        <w:rPr>
          <w:rFonts w:ascii="Times New Roman" w:hAnsi="Times New Roman" w:cs="Times New Roman"/>
          <w:sz w:val="24"/>
          <w:szCs w:val="24"/>
        </w:rPr>
        <w:t>Altum</w:t>
      </w:r>
      <w:proofErr w:type="spellEnd"/>
      <w:r w:rsidRPr="00B14411">
        <w:rPr>
          <w:rFonts w:ascii="Times New Roman" w:hAnsi="Times New Roman" w:cs="Times New Roman"/>
          <w:sz w:val="24"/>
          <w:szCs w:val="24"/>
        </w:rPr>
        <w:t>” nodrošina mājokļu garantiju atbalsta programmas īstenošanu (garantiju izsniegšanu), atvieglo</w:t>
      </w:r>
      <w:r>
        <w:rPr>
          <w:rFonts w:ascii="Times New Roman" w:hAnsi="Times New Roman" w:cs="Times New Roman"/>
          <w:sz w:val="24"/>
          <w:szCs w:val="24"/>
        </w:rPr>
        <w:t>jo</w:t>
      </w:r>
      <w:r w:rsidRPr="00B14411">
        <w:rPr>
          <w:rFonts w:ascii="Times New Roman" w:hAnsi="Times New Roman" w:cs="Times New Roman"/>
          <w:sz w:val="24"/>
          <w:szCs w:val="24"/>
        </w:rPr>
        <w:t xml:space="preserve">t ģimenēm ar bērniem iespēju nodrošināt pirmo iemaksu aizdevumam mājokļa iegādei vai būvniecībai. Lai nodrošinātu mājokļu garantiju atbalsta programmas īstenošanu un 2022.gadā varētu izsniegt 3 200 garantijas un 2023.gadā 3 400 garantijas, Ekonomikas ministrija iesniedza priekšlikumu palielināt izdevumus budžeta programmā 35.00.00 “Valsts atbalsta programmas” 2022.gadā  5 500 000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2023.gadā 6 000 000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3) Latvijai līdz 2021.gada 4.februārim jāpārņem direktīva 2019/1/ES par apstākļu nodrošināšanu nolūkā dot dalībvalstu konkurences iestādēm iespēju efektīvāk izpildīt konkurences noteikumus un par iekšējā tirgus pienācīgas darbības nodrošināšanu (ECN+</w:t>
      </w:r>
      <w:r>
        <w:rPr>
          <w:rFonts w:ascii="Times New Roman" w:hAnsi="Times New Roman" w:cs="Times New Roman"/>
          <w:sz w:val="24"/>
          <w:szCs w:val="24"/>
        </w:rPr>
        <w:t xml:space="preserve"> </w:t>
      </w:r>
      <w:r w:rsidRPr="00B14411">
        <w:rPr>
          <w:rFonts w:ascii="Times New Roman" w:hAnsi="Times New Roman" w:cs="Times New Roman"/>
          <w:sz w:val="24"/>
          <w:szCs w:val="24"/>
        </w:rPr>
        <w:t xml:space="preserve">direktīva), kā arī līdz 2021.gada 1.maijam jāpārņem direktīva 2019/633/ES par negodīgu tirdzniecības praksi </w:t>
      </w:r>
      <w:proofErr w:type="spellStart"/>
      <w:r w:rsidRPr="00B14411">
        <w:rPr>
          <w:rFonts w:ascii="Times New Roman" w:hAnsi="Times New Roman" w:cs="Times New Roman"/>
          <w:sz w:val="24"/>
          <w:szCs w:val="24"/>
        </w:rPr>
        <w:t>starpuzņēmumu</w:t>
      </w:r>
      <w:proofErr w:type="spellEnd"/>
      <w:r w:rsidRPr="00B14411">
        <w:rPr>
          <w:rFonts w:ascii="Times New Roman" w:hAnsi="Times New Roman" w:cs="Times New Roman"/>
          <w:sz w:val="24"/>
          <w:szCs w:val="24"/>
        </w:rPr>
        <w:t xml:space="preserve"> attiecībās lauksaimniecības un pārtikas piegādes ķēdē. Direktīva būtiski paplašina līdzšinējo nacionālo regulējumu, kas bija iekļauts </w:t>
      </w:r>
      <w:r w:rsidRPr="002D1EE2">
        <w:rPr>
          <w:rFonts w:ascii="Times New Roman" w:hAnsi="Times New Roman" w:cs="Times New Roman"/>
          <w:sz w:val="24"/>
          <w:szCs w:val="24"/>
        </w:rPr>
        <w:t>Negodīgas mazumtirdzniecības prakses aizlieguma likumā</w:t>
      </w:r>
      <w:r w:rsidRPr="00B14411">
        <w:rPr>
          <w:rFonts w:ascii="Times New Roman" w:hAnsi="Times New Roman" w:cs="Times New Roman"/>
          <w:sz w:val="24"/>
          <w:szCs w:val="24"/>
        </w:rPr>
        <w:t xml:space="preserve">, </w:t>
      </w:r>
      <w:r>
        <w:rPr>
          <w:rFonts w:ascii="Times New Roman" w:hAnsi="Times New Roman" w:cs="Times New Roman"/>
          <w:sz w:val="24"/>
          <w:szCs w:val="24"/>
        </w:rPr>
        <w:t xml:space="preserve">turpmāk </w:t>
      </w:r>
      <w:r w:rsidRPr="00B14411">
        <w:rPr>
          <w:rFonts w:ascii="Times New Roman" w:hAnsi="Times New Roman" w:cs="Times New Roman"/>
          <w:sz w:val="24"/>
          <w:szCs w:val="24"/>
        </w:rPr>
        <w:t>nosakot aizliegtas negodīgas tirdzniecības prakses visā</w:t>
      </w:r>
      <w:r w:rsidRPr="002D1EE2">
        <w:t xml:space="preserve"> </w:t>
      </w:r>
      <w:r w:rsidRPr="002D1EE2">
        <w:rPr>
          <w:rFonts w:ascii="Times New Roman" w:hAnsi="Times New Roman" w:cs="Times New Roman"/>
          <w:sz w:val="24"/>
          <w:szCs w:val="24"/>
        </w:rPr>
        <w:t>lauksaimniecības un</w:t>
      </w:r>
      <w:r w:rsidRPr="00B14411">
        <w:rPr>
          <w:rFonts w:ascii="Times New Roman" w:hAnsi="Times New Roman" w:cs="Times New Roman"/>
          <w:sz w:val="24"/>
          <w:szCs w:val="24"/>
        </w:rPr>
        <w:t xml:space="preserve"> pārtikas </w:t>
      </w:r>
      <w:r w:rsidRPr="002D1EE2">
        <w:rPr>
          <w:rFonts w:ascii="Times New Roman" w:hAnsi="Times New Roman" w:cs="Times New Roman"/>
          <w:sz w:val="24"/>
          <w:szCs w:val="24"/>
        </w:rPr>
        <w:t xml:space="preserve">preču </w:t>
      </w:r>
      <w:r w:rsidRPr="00B14411">
        <w:rPr>
          <w:rFonts w:ascii="Times New Roman" w:hAnsi="Times New Roman" w:cs="Times New Roman"/>
          <w:sz w:val="24"/>
          <w:szCs w:val="24"/>
        </w:rPr>
        <w:t>piegādes ķēdē. Savlaicīgai un efektīvai  konkurences tiesību pārkāpumu novēršanai ir tieša un preventīva ietekme gan uz publisko personu naudas līdzekļu lietderīgu izmantošanu, tostarp ES fondu apguvē, gan uz ikviena uzņēmēja un patērētāja naudas līdzekļu taupīšanu, novēršot pārmaksu konkurences kropļojumu dēļ un kopumā veicinot tautsaimniecības izaugsmi ilgtermiņā.</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Lai nodrošinātu Konkurences padomes personāla, tehnisko un tehnoloģisko kapacitātes stiprināšanu, pilnvaru efektīvai īstenošanai konkurences uzraudzībā, ieviešot ECN + direktīvu, direktīvu 2019/633/ES un īstenojot publisko personu komercdarbības uzraudzību, Ekonomikas ministrija iesniedza priekšlikumu palielināt izdevumus budžeta apakšprogrammā 26.02.00 “Konkurences politikas ieviešana” 2021.gadā 853 467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510 775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2022.gadā 879 769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702 627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un 2023.gadā 965 193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810 455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(tai skaitā sešas jaunas amata vietas, nepalielinot kopējo amata vietu skaitu Ekonomikas ministrijas resorā).</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4) Krīzes pārvarēšanai ir nepieciešama </w:t>
      </w:r>
      <w:proofErr w:type="spellStart"/>
      <w:r w:rsidRPr="00B14411">
        <w:rPr>
          <w:rFonts w:ascii="Times New Roman" w:hAnsi="Times New Roman" w:cs="Times New Roman"/>
          <w:sz w:val="24"/>
          <w:szCs w:val="24"/>
        </w:rPr>
        <w:t>proaktīva</w:t>
      </w:r>
      <w:proofErr w:type="spellEnd"/>
      <w:r w:rsidRPr="00B14411">
        <w:rPr>
          <w:rFonts w:ascii="Times New Roman" w:hAnsi="Times New Roman" w:cs="Times New Roman"/>
          <w:sz w:val="24"/>
          <w:szCs w:val="24"/>
        </w:rPr>
        <w:t xml:space="preserve"> rīcība esošo un potenciālo investīciju projektu identificēšanā un apkalpošanā, kā arī ir nepieciešams intensificēt darbu pie stabilas un uzņēmējiem labvēlīgas uzņēmējdarbības vides. Lai nodrošinātu efektīvu Eiropas Parlamenta un Eiropas Padomes regulas  (ES) 2019/452 ieviešanu un izveidotu regulējumu ārvalstu tiešo ieguldījumu Savienībā izvērtēšanai, nodrošinot noteikto kontaktpunkta funkciju izpildi un apstrādātu saņemto informāciju no dalībvalstīm saistībā ar veiktajiem darījumiem, kas skar to nacionālo drošību (gada ietvaros plānoti apmēram 600 darījumi), kā arī sniegtu Eiropas Komisijas un citu dalībvalstu pieprasīto informāciju, ir nepieciešams saslēgt vienotā sistēmā Ekonomikas ministrijas lietvedības sistēmu ar Uzņēmuma reģistru, VID datu bāzi, Ceļu satiksmes drošības direkcijas datu bāzi, valsts drošības iestāžu lietvedības sistēmu un Ārlietu ministrijas lietvedības sistēmu. Uzņēmējdarbības pasākumu un vides pilnveidošanai nepieciešams izveidot analītisko rīku valsts atbalsta programmu efektivitātes izvērtēšanai.</w:t>
      </w:r>
    </w:p>
    <w:p w:rsidR="00C51434" w:rsidRDefault="00C51434" w:rsidP="00C51434">
      <w:pPr>
        <w:spacing w:before="120" w:after="120" w:line="240" w:lineRule="auto"/>
        <w:ind w:firstLine="720"/>
        <w:jc w:val="both"/>
        <w:rPr>
          <w:rFonts w:ascii="Times New Roman" w:hAnsi="Times New Roman" w:cs="Times New Roman"/>
          <w:sz w:val="24"/>
          <w:szCs w:val="24"/>
        </w:rPr>
      </w:pPr>
      <w:r w:rsidRPr="007E6548">
        <w:rPr>
          <w:rFonts w:ascii="Times New Roman" w:hAnsi="Times New Roman" w:cs="Times New Roman"/>
          <w:sz w:val="24"/>
          <w:szCs w:val="24"/>
        </w:rPr>
        <w:t>Lai nodrošinātu tiešo investīciju pieauguma veicināšanu, veidojot izcilu uzņēmējdarbības vidi, Ekonomikas ministrija iesniedza priekšlikumu palielināt izdevumus budžeta programmā 97.00.00 “Nozaru vadība un politikas plānošana” 2021.</w:t>
      </w:r>
      <w:r w:rsidR="00932D69" w:rsidRPr="007E6548">
        <w:rPr>
          <w:rFonts w:ascii="Times New Roman" w:hAnsi="Times New Roman" w:cs="Times New Roman"/>
          <w:sz w:val="24"/>
          <w:szCs w:val="24"/>
        </w:rPr>
        <w:t>,</w:t>
      </w:r>
      <w:r w:rsidRPr="007E6548">
        <w:rPr>
          <w:rFonts w:ascii="Times New Roman" w:hAnsi="Times New Roman" w:cs="Times New Roman"/>
          <w:sz w:val="24"/>
          <w:szCs w:val="24"/>
        </w:rPr>
        <w:t xml:space="preserve"> 2022.</w:t>
      </w:r>
      <w:r w:rsidR="00932D69" w:rsidRPr="007E6548">
        <w:rPr>
          <w:rFonts w:ascii="Times New Roman" w:hAnsi="Times New Roman" w:cs="Times New Roman"/>
          <w:sz w:val="24"/>
          <w:szCs w:val="24"/>
        </w:rPr>
        <w:t xml:space="preserve"> un 2023.</w:t>
      </w:r>
      <w:r w:rsidRPr="007E6548">
        <w:rPr>
          <w:rFonts w:ascii="Times New Roman" w:hAnsi="Times New Roman" w:cs="Times New Roman"/>
          <w:sz w:val="24"/>
          <w:szCs w:val="24"/>
        </w:rPr>
        <w:t xml:space="preserve">gadā ik gadu 1 274 880 </w:t>
      </w:r>
      <w:proofErr w:type="spellStart"/>
      <w:r w:rsidRPr="007E6548">
        <w:rPr>
          <w:rFonts w:ascii="Times New Roman" w:hAnsi="Times New Roman" w:cs="Times New Roman"/>
          <w:i/>
          <w:sz w:val="24"/>
          <w:szCs w:val="24"/>
        </w:rPr>
        <w:t>euro</w:t>
      </w:r>
      <w:proofErr w:type="spellEnd"/>
      <w:r w:rsidRPr="007E6548">
        <w:rPr>
          <w:rFonts w:ascii="Times New Roman" w:hAnsi="Times New Roman" w:cs="Times New Roman"/>
          <w:sz w:val="24"/>
          <w:szCs w:val="24"/>
        </w:rPr>
        <w:t xml:space="preserve">, t.sk. 399 800 </w:t>
      </w:r>
      <w:proofErr w:type="spellStart"/>
      <w:r w:rsidRPr="007E6548">
        <w:rPr>
          <w:rFonts w:ascii="Times New Roman" w:hAnsi="Times New Roman" w:cs="Times New Roman"/>
          <w:i/>
          <w:sz w:val="24"/>
          <w:szCs w:val="24"/>
        </w:rPr>
        <w:t>euro</w:t>
      </w:r>
      <w:proofErr w:type="spellEnd"/>
      <w:r w:rsidRPr="007E6548">
        <w:rPr>
          <w:rFonts w:ascii="Times New Roman" w:hAnsi="Times New Roman" w:cs="Times New Roman"/>
          <w:sz w:val="24"/>
          <w:szCs w:val="24"/>
        </w:rPr>
        <w:t xml:space="preserve"> atlīdzībai</w:t>
      </w:r>
      <w:r w:rsidR="00932D69" w:rsidRPr="007E6548">
        <w:rPr>
          <w:rFonts w:ascii="Times New Roman" w:hAnsi="Times New Roman" w:cs="Times New Roman"/>
          <w:sz w:val="24"/>
          <w:szCs w:val="24"/>
        </w:rPr>
        <w:t>.</w:t>
      </w:r>
      <w:r w:rsidRPr="00B14411">
        <w:rPr>
          <w:rFonts w:ascii="Times New Roman" w:hAnsi="Times New Roman" w:cs="Times New Roman"/>
          <w:sz w:val="24"/>
          <w:szCs w:val="24"/>
        </w:rPr>
        <w:t xml:space="preserve"> </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5) Saskaņā ar 2019. gada 7. maijā apstiprināto Valdības rīcības plāna Deklarāciju par Artura Krišjāņa Kariņa vadītā Ministru kabineta iecerēto darbību īstenošanu 45.1. punktu LIAA  ir dots uzdevums  panākt vienotu un pozitīvu tēlu par Latviju kā vietu eksportējošiem uzņēmumiem. Vienots valsts tēls ir īpaši nozīmīgs Latvijas uzņēmumiem starptautiskajā tirgū, kur skaidra produkta izcelsmes vieta un pozitīvas asociācijas var pievienot vērtību uzņēmuma radītajai produkcijai, kā arī ir būtisks instruments Latvijas pārstāvjiem vēstniecībās un pārstāvniecībās. </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Lai nodrošinātu Latvijas uzņēmēju eksportspēju stiprināšan</w:t>
      </w:r>
      <w:r>
        <w:rPr>
          <w:rFonts w:ascii="Times New Roman" w:hAnsi="Times New Roman" w:cs="Times New Roman"/>
          <w:sz w:val="24"/>
          <w:szCs w:val="24"/>
        </w:rPr>
        <w:t>u</w:t>
      </w:r>
      <w:r w:rsidRPr="00B14411">
        <w:rPr>
          <w:rFonts w:ascii="Times New Roman" w:hAnsi="Times New Roman" w:cs="Times New Roman"/>
          <w:sz w:val="24"/>
          <w:szCs w:val="24"/>
        </w:rPr>
        <w:t xml:space="preserve">, ieviešot valsts ekonomisko tēlu, Ekonomikas ministrija iesniedza priekšlikumu palielināt izdevumus budžeta programmā 28.00.00 “Ārējās ekonomiskās politikas ieviešana” 2021.gadā 1 367 761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275 853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2022.gadā 1 336 356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275 853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2023.gadā 1 367 761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275 853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(tai skaitā piecas jaunas amata vietas, nepalielinot kopējo amata vietu skaitu Ekonomikas ministrijas resorā).</w:t>
      </w:r>
    </w:p>
    <w:p w:rsidR="00C51434" w:rsidRPr="00B14411"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6) Nepieciešams </w:t>
      </w:r>
      <w:r w:rsidRPr="00B14411">
        <w:rPr>
          <w:rFonts w:ascii="Times New Roman" w:hAnsi="Times New Roman" w:cs="Times New Roman"/>
          <w:iCs/>
          <w:sz w:val="24"/>
          <w:szCs w:val="24"/>
        </w:rPr>
        <w:t>m</w:t>
      </w:r>
      <w:r w:rsidRPr="00B14411">
        <w:rPr>
          <w:rFonts w:ascii="Times New Roman" w:hAnsi="Times New Roman" w:cs="Times New Roman"/>
          <w:sz w:val="24"/>
          <w:szCs w:val="24"/>
        </w:rPr>
        <w:t xml:space="preserve">odernizēt statistikas datu nodrošināšanu, tajā skaitā indeksu attīstību un klasifikāciju satura pārvaldības sistēmas izveidi, veicinot jaunu datu ieguvi un analīzes procesa efektivitāti datu lietotājiem, samazinot administratīvo slogu uzņēmējiem. Pamatojoties uz normatīvajiem regulējumiem tiks nodrošināta: </w:t>
      </w:r>
    </w:p>
    <w:p w:rsidR="00C51434" w:rsidRPr="00D66ECB" w:rsidRDefault="00C51434" w:rsidP="006D48C2">
      <w:pPr>
        <w:pStyle w:val="ListParagraph"/>
        <w:numPr>
          <w:ilvl w:val="0"/>
          <w:numId w:val="5"/>
        </w:numPr>
        <w:spacing w:before="120" w:after="120" w:line="240" w:lineRule="auto"/>
        <w:jc w:val="both"/>
        <w:rPr>
          <w:rFonts w:ascii="Times New Roman" w:hAnsi="Times New Roman" w:cs="Times New Roman"/>
          <w:sz w:val="24"/>
          <w:szCs w:val="24"/>
        </w:rPr>
      </w:pPr>
      <w:r w:rsidRPr="00D66ECB">
        <w:rPr>
          <w:rFonts w:ascii="Times New Roman" w:hAnsi="Times New Roman" w:cs="Times New Roman"/>
          <w:sz w:val="24"/>
          <w:szCs w:val="24"/>
        </w:rPr>
        <w:t>efektīvāka Biznesa pakalpojumu cenu indeksu sagatavošana;</w:t>
      </w:r>
    </w:p>
    <w:p w:rsidR="00C51434" w:rsidRPr="00D66ECB" w:rsidRDefault="00C51434" w:rsidP="006D48C2">
      <w:pPr>
        <w:pStyle w:val="ListParagraph"/>
        <w:numPr>
          <w:ilvl w:val="0"/>
          <w:numId w:val="5"/>
        </w:numPr>
        <w:spacing w:before="120" w:after="120" w:line="240" w:lineRule="auto"/>
        <w:jc w:val="both"/>
        <w:rPr>
          <w:rFonts w:ascii="Times New Roman" w:hAnsi="Times New Roman" w:cs="Times New Roman"/>
          <w:sz w:val="24"/>
          <w:szCs w:val="24"/>
        </w:rPr>
      </w:pPr>
      <w:r w:rsidRPr="00D66ECB">
        <w:rPr>
          <w:rFonts w:ascii="Times New Roman" w:hAnsi="Times New Roman" w:cs="Times New Roman"/>
          <w:sz w:val="24"/>
          <w:szCs w:val="24"/>
        </w:rPr>
        <w:t>detalizēta informācija par mājokļu pieejamību mājokļu politikas plānošanai uzņēmējdarbības atbalstam jaunu darba vietu veidošanas un darbaspēka mobilitātes aspektā;</w:t>
      </w:r>
    </w:p>
    <w:p w:rsidR="00C51434" w:rsidRPr="00D66ECB" w:rsidRDefault="00C51434" w:rsidP="006D48C2">
      <w:pPr>
        <w:pStyle w:val="ListParagraph"/>
        <w:numPr>
          <w:ilvl w:val="0"/>
          <w:numId w:val="5"/>
        </w:numPr>
        <w:spacing w:before="120" w:after="120" w:line="240" w:lineRule="auto"/>
        <w:jc w:val="both"/>
        <w:rPr>
          <w:rFonts w:ascii="Times New Roman" w:hAnsi="Times New Roman" w:cs="Times New Roman"/>
          <w:sz w:val="24"/>
          <w:szCs w:val="24"/>
        </w:rPr>
      </w:pPr>
      <w:r w:rsidRPr="00D66ECB">
        <w:rPr>
          <w:rFonts w:ascii="Times New Roman" w:hAnsi="Times New Roman" w:cs="Times New Roman"/>
          <w:sz w:val="24"/>
          <w:szCs w:val="24"/>
        </w:rPr>
        <w:t>katru gadu veiks monitoringu un sagatavos datus par vismaz 15 000 Latvijas augstskolu un 8 000 Latvijas profesionālās izglītības iestāžu absolventiem 10 gadus, kopš absolventa augstskolas, koledžas vai profesionālās izglītības iestādes eksmatrikulācijas (ar diploma izsniegšanu) gada, lai nodrošinātu izglītības politikas veidotājus ar informāciju pierādījumos balstītas politikas izstrādei un ieviešanai augstākās un profesionālās izglītības jomā, kā arī sabiedrības informēšanai.</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Lai nodrošinātu statistikas modernizācij</w:t>
      </w:r>
      <w:r>
        <w:rPr>
          <w:rFonts w:ascii="Times New Roman" w:hAnsi="Times New Roman" w:cs="Times New Roman"/>
          <w:sz w:val="24"/>
          <w:szCs w:val="24"/>
        </w:rPr>
        <w:t>u</w:t>
      </w:r>
      <w:r w:rsidRPr="00B14411">
        <w:rPr>
          <w:rFonts w:ascii="Times New Roman" w:hAnsi="Times New Roman" w:cs="Times New Roman"/>
          <w:sz w:val="24"/>
          <w:szCs w:val="24"/>
        </w:rPr>
        <w:t xml:space="preserve">, uzņēmēju administratīvā sloga mazināšanai un datu pieejamības veicināšanu, Ekonomikas ministrija iesniedza priekšlikumu palielināt izdevumus budžeta programmā 24.00.00 “Statistiskās informācijas nodrošināšana” 2021.gadā 444 959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100 000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2022.gadā 1 185 484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145 000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2023.gadā 165 484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145 000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statistikas modernizācijai, uzņēmēju administratīvā sloga mazināšanai un datu pieejamības veicināšanai.</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7) Pēdējos gados vides un darba izmaiņas saistītas ar globalizāciju, platformu un mākslīgā intelekta attīstību, kam ir būtiska ietekme uz patērētāju tiesībām, preču atbilstību un citiem Patērētāju tiesību aizsardzības centra kompetences jautājumiem. Tādejādi Patērētāju tiesību aizsardzības centram ir nepieciešami augsti profesionāli darbinieki, kas spēj veikt vairāku jomu un dažādu aspektu uzraudzību – piemērot normatīvos aktus, tehniskos standartus, pieņemt lēmumus, tai skaitā ņemot vērā ārējās vides izmaiņas. Lai novērstu darbinieku aizplūšanu uz citām līdzīgām iestādēm, nodrošinot darba specifikai atbilstošu atlīdzību, nepieciešams stiprināt Patērētāju tiesību aizsardzības centra kapacitāti. </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Ir nepieciešams nodrošināt efektīvu patērētāju tiesību un tirgus uzraudzību un jauno uzraudzības jomu attīstīšanu (īpaši būvizstrādājumi, </w:t>
      </w:r>
      <w:proofErr w:type="spellStart"/>
      <w:r w:rsidRPr="00B14411">
        <w:rPr>
          <w:rFonts w:ascii="Times New Roman" w:hAnsi="Times New Roman" w:cs="Times New Roman"/>
          <w:sz w:val="24"/>
          <w:szCs w:val="24"/>
        </w:rPr>
        <w:t>droni</w:t>
      </w:r>
      <w:proofErr w:type="spellEnd"/>
      <w:r w:rsidRPr="00B14411">
        <w:rPr>
          <w:rFonts w:ascii="Times New Roman" w:hAnsi="Times New Roman" w:cs="Times New Roman"/>
          <w:sz w:val="24"/>
          <w:szCs w:val="24"/>
        </w:rPr>
        <w:t xml:space="preserve">, pārrobežu pārkāpumu novēršana un platformu uzraudzība). Gada ietvaros plānots veikt vismaz 70 būvizstrādājumu tirdzniecības, ražošanas un pakalpojumu sniegšanas vietu pārbaudes, 30 būvizstrādājumu testēšanu, 30 kuģu aprīkojumu un </w:t>
      </w:r>
      <w:proofErr w:type="spellStart"/>
      <w:r w:rsidRPr="00B14411">
        <w:rPr>
          <w:rFonts w:ascii="Times New Roman" w:hAnsi="Times New Roman" w:cs="Times New Roman"/>
          <w:sz w:val="24"/>
          <w:szCs w:val="24"/>
        </w:rPr>
        <w:t>dronu</w:t>
      </w:r>
      <w:proofErr w:type="spellEnd"/>
      <w:r w:rsidRPr="00B14411">
        <w:rPr>
          <w:rFonts w:ascii="Times New Roman" w:hAnsi="Times New Roman" w:cs="Times New Roman"/>
          <w:sz w:val="24"/>
          <w:szCs w:val="24"/>
        </w:rPr>
        <w:t xml:space="preserve"> tirdzniecības vietu pārbaudes un 10 kuģu aprīkojuma un </w:t>
      </w:r>
      <w:proofErr w:type="spellStart"/>
      <w:r w:rsidRPr="00B14411">
        <w:rPr>
          <w:rFonts w:ascii="Times New Roman" w:hAnsi="Times New Roman" w:cs="Times New Roman"/>
          <w:sz w:val="24"/>
          <w:szCs w:val="24"/>
        </w:rPr>
        <w:t>dronu</w:t>
      </w:r>
      <w:proofErr w:type="spellEnd"/>
      <w:r w:rsidRPr="00B14411">
        <w:rPr>
          <w:rFonts w:ascii="Times New Roman" w:hAnsi="Times New Roman" w:cs="Times New Roman"/>
          <w:sz w:val="24"/>
          <w:szCs w:val="24"/>
        </w:rPr>
        <w:t xml:space="preserve"> testēšanu.</w:t>
      </w:r>
    </w:p>
    <w:p w:rsidR="00C51434"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Lai nodrošinātu Patērētāju tiesību aizsardzības centra kapacitātes stiprināšanu, būvizstrādājumu uzraudzības, kuģu aprīkojuma atbilstības un pārrobežu pārkāpumu novēršanas procedūras, Ekonomikas ministrija iesniedza priekšlikumu palielināt izdevumus budžeta apakšprogrammā 26.01.00 “Iekšējais tirgus un patērētāju tiesību aizsardzība” 2021.gadā 853 532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548 170 </w:t>
      </w:r>
      <w:proofErr w:type="spellStart"/>
      <w:r w:rsidRPr="00D5417C">
        <w:rPr>
          <w:rFonts w:ascii="Times New Roman" w:hAnsi="Times New Roman" w:cs="Times New Roman"/>
          <w:i/>
          <w:sz w:val="24"/>
          <w:szCs w:val="24"/>
        </w:rPr>
        <w:t>euro</w:t>
      </w:r>
      <w:proofErr w:type="spellEnd"/>
      <w:r>
        <w:rPr>
          <w:rFonts w:ascii="Times New Roman" w:hAnsi="Times New Roman" w:cs="Times New Roman"/>
          <w:sz w:val="24"/>
          <w:szCs w:val="24"/>
        </w:rPr>
        <w:t xml:space="preserve"> atlīdzībai, 2022. un</w:t>
      </w:r>
      <w:r w:rsidRPr="00B14411">
        <w:rPr>
          <w:rFonts w:ascii="Times New Roman" w:hAnsi="Times New Roman" w:cs="Times New Roman"/>
          <w:sz w:val="24"/>
          <w:szCs w:val="24"/>
        </w:rPr>
        <w:t xml:space="preserve"> 2023.gadā </w:t>
      </w:r>
      <w:r>
        <w:rPr>
          <w:rFonts w:ascii="Times New Roman" w:hAnsi="Times New Roman" w:cs="Times New Roman"/>
          <w:sz w:val="24"/>
          <w:szCs w:val="24"/>
        </w:rPr>
        <w:t xml:space="preserve">ik gadu </w:t>
      </w:r>
      <w:r w:rsidRPr="00B14411">
        <w:rPr>
          <w:rFonts w:ascii="Times New Roman" w:hAnsi="Times New Roman" w:cs="Times New Roman"/>
          <w:sz w:val="24"/>
          <w:szCs w:val="24"/>
        </w:rPr>
        <w:t xml:space="preserve">831 312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548 170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(tai skaitā sešas jaunas amata vietas, nepalielinot kopējo amata vietu skaitu Ekonomikas ministrijas resorā).</w:t>
      </w:r>
      <w:bookmarkStart w:id="9" w:name="_Hlk50030537"/>
    </w:p>
    <w:p w:rsidR="00C51434" w:rsidRPr="003E3E95" w:rsidRDefault="00C51434" w:rsidP="00C51434">
      <w:pPr>
        <w:spacing w:before="120" w:after="120" w:line="240" w:lineRule="auto"/>
        <w:ind w:firstLine="720"/>
        <w:jc w:val="both"/>
        <w:rPr>
          <w:rFonts w:ascii="Times New Roman" w:hAnsi="Times New Roman" w:cs="Times New Roman"/>
          <w:sz w:val="24"/>
          <w:szCs w:val="24"/>
        </w:rPr>
      </w:pPr>
      <w:r w:rsidRPr="00B14411">
        <w:rPr>
          <w:rFonts w:ascii="Times New Roman" w:hAnsi="Times New Roman" w:cs="Times New Roman"/>
          <w:sz w:val="24"/>
          <w:szCs w:val="24"/>
        </w:rPr>
        <w:t xml:space="preserve">8) Saistībā ar vīrusa COVID-19 uzliesmojumu šī gada pirmajā ceturksnī visā pasaulē dažādu pasākumu rīkošanai radās neparedzēti šķēršļi un ierobežojumi, t.sk. drošības nolūkos tika pārcelta izstāde EXPO 2020 </w:t>
      </w:r>
      <w:proofErr w:type="spellStart"/>
      <w:r w:rsidRPr="00B14411">
        <w:rPr>
          <w:rFonts w:ascii="Times New Roman" w:hAnsi="Times New Roman" w:cs="Times New Roman"/>
          <w:sz w:val="24"/>
          <w:szCs w:val="24"/>
        </w:rPr>
        <w:t>Dubai</w:t>
      </w:r>
      <w:proofErr w:type="spellEnd"/>
      <w:r w:rsidRPr="00B14411">
        <w:rPr>
          <w:rFonts w:ascii="Times New Roman" w:hAnsi="Times New Roman" w:cs="Times New Roman"/>
          <w:sz w:val="24"/>
          <w:szCs w:val="24"/>
        </w:rPr>
        <w:t xml:space="preserve">, kuru sākotnēji bija plānots īstenot no 2020.gada 20.oktobra līdz 2021.gada 10.aprīlim. Sakarā ar epidemioloģisko situāciju, EXPO 2020 </w:t>
      </w:r>
      <w:proofErr w:type="spellStart"/>
      <w:r w:rsidRPr="00B14411">
        <w:rPr>
          <w:rFonts w:ascii="Times New Roman" w:hAnsi="Times New Roman" w:cs="Times New Roman"/>
          <w:sz w:val="24"/>
          <w:szCs w:val="24"/>
        </w:rPr>
        <w:t>Dubai</w:t>
      </w:r>
      <w:proofErr w:type="spellEnd"/>
      <w:r w:rsidRPr="00B14411">
        <w:rPr>
          <w:rFonts w:ascii="Times New Roman" w:hAnsi="Times New Roman" w:cs="Times New Roman"/>
          <w:sz w:val="24"/>
          <w:szCs w:val="24"/>
        </w:rPr>
        <w:t xml:space="preserve"> izstādes atklāšana tika pārcelta par gadu un tā norisināsies no 2021.gada 1.oktobra līdz 2022.gada 31.martam. </w:t>
      </w:r>
      <w:bookmarkEnd w:id="9"/>
      <w:r w:rsidRPr="00B14411">
        <w:rPr>
          <w:rFonts w:ascii="Times New Roman" w:hAnsi="Times New Roman" w:cs="Times New Roman"/>
          <w:sz w:val="24"/>
          <w:szCs w:val="24"/>
        </w:rPr>
        <w:t xml:space="preserve">Lai nodrošinātu Latvijas dalību starptautiskajā izstādē “Expo 2020 </w:t>
      </w:r>
      <w:proofErr w:type="spellStart"/>
      <w:r w:rsidRPr="00B14411">
        <w:rPr>
          <w:rFonts w:ascii="Times New Roman" w:hAnsi="Times New Roman" w:cs="Times New Roman"/>
          <w:sz w:val="24"/>
          <w:szCs w:val="24"/>
        </w:rPr>
        <w:t>Dubai</w:t>
      </w:r>
      <w:proofErr w:type="spellEnd"/>
      <w:r w:rsidRPr="00B14411">
        <w:rPr>
          <w:rFonts w:ascii="Times New Roman" w:hAnsi="Times New Roman" w:cs="Times New Roman"/>
          <w:sz w:val="24"/>
          <w:szCs w:val="24"/>
        </w:rPr>
        <w:t xml:space="preserve">”, Ekonomikas ministrija iesniedza priekšlikumu palielināt izdevumus budžeta programmā 28.00.00 “Ārējās ekonomiskās politikas ieviešana” 2021.gadā 1 027 500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195 600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un 2022.gadā 692 199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t.sk. 66 000 </w:t>
      </w:r>
      <w:proofErr w:type="spellStart"/>
      <w:r w:rsidRPr="00D5417C">
        <w:rPr>
          <w:rFonts w:ascii="Times New Roman" w:hAnsi="Times New Roman" w:cs="Times New Roman"/>
          <w:i/>
          <w:sz w:val="24"/>
          <w:szCs w:val="24"/>
        </w:rPr>
        <w:t>euro</w:t>
      </w:r>
      <w:proofErr w:type="spellEnd"/>
      <w:r w:rsidRPr="00B14411">
        <w:rPr>
          <w:rFonts w:ascii="Times New Roman" w:hAnsi="Times New Roman" w:cs="Times New Roman"/>
          <w:sz w:val="24"/>
          <w:szCs w:val="24"/>
        </w:rPr>
        <w:t xml:space="preserve"> atlīdzībai. </w:t>
      </w:r>
    </w:p>
    <w:p w:rsidR="000939DA" w:rsidRPr="00CB7789" w:rsidRDefault="00CB7789" w:rsidP="00CB7789">
      <w:pPr>
        <w:pStyle w:val="ListParagraph"/>
        <w:numPr>
          <w:ilvl w:val="1"/>
          <w:numId w:val="20"/>
        </w:num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939DA" w:rsidRPr="00CB7789">
        <w:rPr>
          <w:rFonts w:ascii="Times New Roman" w:hAnsi="Times New Roman" w:cs="Times New Roman"/>
          <w:b/>
          <w:sz w:val="24"/>
          <w:szCs w:val="24"/>
        </w:rPr>
        <w:t>Finanšu ministrijas priekšlikumi</w:t>
      </w:r>
    </w:p>
    <w:p w:rsidR="000939DA" w:rsidRPr="00A30AD2" w:rsidRDefault="000939DA" w:rsidP="00DD5A39">
      <w:pPr>
        <w:spacing w:before="120" w:after="120" w:line="240" w:lineRule="auto"/>
        <w:ind w:firstLine="720"/>
        <w:jc w:val="both"/>
        <w:rPr>
          <w:rFonts w:ascii="Times New Roman" w:hAnsi="Times New Roman" w:cs="Times New Roman"/>
          <w:sz w:val="24"/>
          <w:szCs w:val="24"/>
        </w:rPr>
      </w:pPr>
      <w:r w:rsidRPr="00A30AD2">
        <w:rPr>
          <w:rFonts w:ascii="Times New Roman" w:hAnsi="Times New Roman" w:cs="Times New Roman"/>
          <w:sz w:val="24"/>
          <w:szCs w:val="24"/>
        </w:rPr>
        <w:t xml:space="preserve">Finanšu ministrija ar š.g. 26.augusta </w:t>
      </w:r>
      <w:r>
        <w:rPr>
          <w:rFonts w:ascii="Times New Roman" w:hAnsi="Times New Roman" w:cs="Times New Roman"/>
          <w:sz w:val="24"/>
          <w:szCs w:val="24"/>
        </w:rPr>
        <w:t>Nr.</w:t>
      </w:r>
      <w:r w:rsidRPr="00A30AD2">
        <w:rPr>
          <w:rFonts w:ascii="Times New Roman" w:hAnsi="Times New Roman" w:cs="Times New Roman"/>
          <w:sz w:val="24"/>
          <w:szCs w:val="24"/>
        </w:rPr>
        <w:t>13.2.-2/8-1/4523 vēstuli ir iesniegusi priekšlikumus divu fiskāli neitrālu pasākumu īstenošanai 2021.-2023.gadā</w:t>
      </w:r>
      <w:r w:rsidR="00816FF2">
        <w:rPr>
          <w:rFonts w:ascii="Times New Roman" w:hAnsi="Times New Roman" w:cs="Times New Roman"/>
          <w:sz w:val="24"/>
          <w:szCs w:val="24"/>
        </w:rPr>
        <w:t>.</w:t>
      </w:r>
      <w:r>
        <w:rPr>
          <w:rFonts w:ascii="Times New Roman" w:hAnsi="Times New Roman" w:cs="Times New Roman"/>
          <w:sz w:val="24"/>
          <w:szCs w:val="24"/>
        </w:rPr>
        <w:t xml:space="preserve"> </w:t>
      </w:r>
    </w:p>
    <w:p w:rsidR="000939DA" w:rsidRPr="00A30AD2" w:rsidRDefault="000939DA" w:rsidP="00DD5A39">
      <w:pPr>
        <w:spacing w:before="120" w:after="120" w:line="240" w:lineRule="auto"/>
        <w:ind w:firstLine="720"/>
        <w:jc w:val="both"/>
        <w:rPr>
          <w:rFonts w:ascii="Times New Roman" w:hAnsi="Times New Roman" w:cs="Times New Roman"/>
          <w:sz w:val="24"/>
          <w:szCs w:val="24"/>
        </w:rPr>
      </w:pPr>
      <w:r w:rsidRPr="000939DA">
        <w:rPr>
          <w:rFonts w:ascii="Times New Roman" w:hAnsi="Times New Roman" w:cs="Times New Roman"/>
          <w:b/>
          <w:sz w:val="24"/>
          <w:szCs w:val="24"/>
        </w:rPr>
        <w:t>5.2.1.</w:t>
      </w:r>
      <w:r w:rsidRPr="00A30AD2">
        <w:rPr>
          <w:rFonts w:ascii="Times New Roman" w:hAnsi="Times New Roman" w:cs="Times New Roman"/>
          <w:sz w:val="24"/>
          <w:szCs w:val="24"/>
        </w:rPr>
        <w:t xml:space="preserve"> Valsts ieņēmumu dienests (turpmāk - VID), izpildot </w:t>
      </w:r>
      <w:r>
        <w:rPr>
          <w:rFonts w:ascii="Times New Roman" w:hAnsi="Times New Roman" w:cs="Times New Roman"/>
          <w:sz w:val="24"/>
          <w:szCs w:val="24"/>
        </w:rPr>
        <w:t>MK</w:t>
      </w:r>
      <w:r w:rsidRPr="00A30AD2">
        <w:rPr>
          <w:rFonts w:ascii="Times New Roman" w:hAnsi="Times New Roman" w:cs="Times New Roman"/>
          <w:sz w:val="24"/>
          <w:szCs w:val="24"/>
        </w:rPr>
        <w:t xml:space="preserve">  26.11.2013. noteikumos Nr.1354 noteiktos uzdevumus par valstij piekritīgās mantas pārņemšanu un atsavināšanu/iznīcināšanu, ar valstij piekritīgās mantas uzglabāšanu, realizāciju un iznīcināšanu saistītos faktiskos izdevumus šobrīd sedz no ieņēmumiem no valstij piekritīgās mantas realizācijas.  Ņemot vērā, ka šāda izdevumu segšana no budžeta izpildes procesa viedokļa neatbilst labai praksei, Finanšu ministrija piedāvā valstij piekritīgās mantas realizācijas procesa izdevumus turpmāk apmaksāt no vispārējā kārtībā sadalāmās dotācijas no vispārējiem ieņēmumiem, bet ieņēmumus no valstij piekritīgās mantas realizācijas ieskaitīt valsts budžetā pilnā apmērā, kā arī vienkāršot un </w:t>
      </w:r>
      <w:proofErr w:type="spellStart"/>
      <w:r w:rsidRPr="00A30AD2">
        <w:rPr>
          <w:rFonts w:ascii="Times New Roman" w:hAnsi="Times New Roman" w:cs="Times New Roman"/>
          <w:sz w:val="24"/>
          <w:szCs w:val="24"/>
        </w:rPr>
        <w:t>efektivizēt</w:t>
      </w:r>
      <w:proofErr w:type="spellEnd"/>
      <w:r w:rsidRPr="00A30AD2">
        <w:rPr>
          <w:rFonts w:ascii="Times New Roman" w:hAnsi="Times New Roman" w:cs="Times New Roman"/>
          <w:sz w:val="24"/>
          <w:szCs w:val="24"/>
        </w:rPr>
        <w:t xml:space="preserve"> valstij piekritīgās mantas realizācijas procesu. </w:t>
      </w:r>
    </w:p>
    <w:p w:rsidR="000939DA" w:rsidRPr="00A30AD2" w:rsidRDefault="000939DA" w:rsidP="00DD5A39">
      <w:pPr>
        <w:spacing w:before="120" w:after="120" w:line="240" w:lineRule="auto"/>
        <w:ind w:firstLine="720"/>
        <w:jc w:val="both"/>
        <w:rPr>
          <w:rFonts w:ascii="Times New Roman" w:hAnsi="Times New Roman" w:cs="Times New Roman"/>
          <w:sz w:val="24"/>
          <w:szCs w:val="24"/>
        </w:rPr>
      </w:pPr>
      <w:r w:rsidRPr="00A30AD2">
        <w:rPr>
          <w:rFonts w:ascii="Times New Roman" w:hAnsi="Times New Roman" w:cs="Times New Roman"/>
          <w:sz w:val="24"/>
          <w:szCs w:val="24"/>
        </w:rPr>
        <w:t xml:space="preserve">Ņemot vērā minēto, </w:t>
      </w:r>
      <w:r w:rsidRPr="00A30AD2">
        <w:rPr>
          <w:rFonts w:ascii="Times New Roman" w:hAnsi="Times New Roman" w:cs="Times New Roman"/>
          <w:sz w:val="24"/>
          <w:szCs w:val="24"/>
          <w:u w:val="single"/>
        </w:rPr>
        <w:t xml:space="preserve">priekšlikums palielināt </w:t>
      </w:r>
      <w:proofErr w:type="spellStart"/>
      <w:r w:rsidRPr="00A30AD2">
        <w:rPr>
          <w:rFonts w:ascii="Times New Roman" w:hAnsi="Times New Roman" w:cs="Times New Roman"/>
          <w:sz w:val="24"/>
          <w:szCs w:val="24"/>
          <w:u w:val="single"/>
        </w:rPr>
        <w:t>nenodokļu</w:t>
      </w:r>
      <w:proofErr w:type="spellEnd"/>
      <w:r w:rsidRPr="00A30AD2">
        <w:rPr>
          <w:rFonts w:ascii="Times New Roman" w:hAnsi="Times New Roman" w:cs="Times New Roman"/>
          <w:sz w:val="24"/>
          <w:szCs w:val="24"/>
          <w:u w:val="single"/>
        </w:rPr>
        <w:t xml:space="preserve"> ieņēmumus no valstij piekritīgās mantas realizācijas pēc citu valsts institūciju pieņemtā lēmuma 2021., 2022. un 2023. gadā par 276 922 </w:t>
      </w:r>
      <w:proofErr w:type="spellStart"/>
      <w:r w:rsidRPr="00FC4A2F">
        <w:rPr>
          <w:rFonts w:ascii="Times New Roman" w:hAnsi="Times New Roman" w:cs="Times New Roman"/>
          <w:i/>
          <w:sz w:val="24"/>
          <w:szCs w:val="24"/>
          <w:u w:val="single"/>
        </w:rPr>
        <w:t>euro</w:t>
      </w:r>
      <w:proofErr w:type="spellEnd"/>
      <w:r w:rsidRPr="00A30AD2">
        <w:rPr>
          <w:rFonts w:ascii="Times New Roman" w:hAnsi="Times New Roman" w:cs="Times New Roman"/>
          <w:sz w:val="24"/>
          <w:szCs w:val="24"/>
          <w:u w:val="single"/>
        </w:rPr>
        <w:t xml:space="preserve"> ik gadu un attiecīgi palielināt dotāciju no vispārējiem ieņēmumiem un izdevumus, tai skaitā atlīdzības izdevumus 126 922 </w:t>
      </w:r>
      <w:proofErr w:type="spellStart"/>
      <w:r w:rsidRPr="00FC4A2F">
        <w:rPr>
          <w:rFonts w:ascii="Times New Roman" w:hAnsi="Times New Roman" w:cs="Times New Roman"/>
          <w:i/>
          <w:sz w:val="24"/>
          <w:szCs w:val="24"/>
          <w:u w:val="single"/>
        </w:rPr>
        <w:t>euro</w:t>
      </w:r>
      <w:proofErr w:type="spellEnd"/>
      <w:r w:rsidRPr="00A30AD2">
        <w:rPr>
          <w:rFonts w:ascii="Times New Roman" w:hAnsi="Times New Roman" w:cs="Times New Roman"/>
          <w:sz w:val="24"/>
          <w:szCs w:val="24"/>
          <w:u w:val="single"/>
        </w:rPr>
        <w:t xml:space="preserve"> ik gadu</w:t>
      </w:r>
      <w:r w:rsidRPr="00A30AD2">
        <w:rPr>
          <w:rFonts w:ascii="Times New Roman" w:hAnsi="Times New Roman" w:cs="Times New Roman"/>
          <w:sz w:val="24"/>
          <w:szCs w:val="24"/>
        </w:rPr>
        <w:t xml:space="preserve"> Finanšu ministrijas budžeta programmā 33.00.00 “Valsts ieņēmumu un muitas politikas nodrošināšana”, lai nodrošinātu valstij piekritīgās mantas uzskaites, novērtēšanas, realizācijas, nodošanas bez maksas un iznīcināšanas izdevumu segšanu.</w:t>
      </w:r>
    </w:p>
    <w:p w:rsidR="000939DA" w:rsidRPr="00A30AD2" w:rsidRDefault="000939DA" w:rsidP="00DD5A39">
      <w:pPr>
        <w:spacing w:before="120" w:after="120" w:line="240" w:lineRule="auto"/>
        <w:ind w:firstLine="720"/>
        <w:jc w:val="both"/>
        <w:rPr>
          <w:rFonts w:ascii="Times New Roman" w:hAnsi="Times New Roman" w:cs="Times New Roman"/>
          <w:sz w:val="24"/>
          <w:szCs w:val="24"/>
        </w:rPr>
      </w:pPr>
      <w:r w:rsidRPr="000939DA">
        <w:rPr>
          <w:rFonts w:ascii="Times New Roman" w:hAnsi="Times New Roman" w:cs="Times New Roman"/>
          <w:b/>
          <w:sz w:val="24"/>
          <w:szCs w:val="24"/>
        </w:rPr>
        <w:t>5.2.2.</w:t>
      </w:r>
      <w:r w:rsidRPr="00A30AD2">
        <w:rPr>
          <w:rFonts w:ascii="Times New Roman" w:hAnsi="Times New Roman" w:cs="Times New Roman"/>
          <w:sz w:val="24"/>
          <w:szCs w:val="24"/>
        </w:rPr>
        <w:t xml:space="preserve"> Lai cīnītos par patiesu uzņēmumu un saimnieciskās darbības veicēju ienākumu norādīšanu nodokļu maksātāju grāmatvedībā un nepielietotu vienīgi uz kontroli un sodiem balstītas metodes nodokļu nemaksāšanas apkarošanā, stimulējošs pasākumus, kas veicina iedzīvotāju vēlmi un ieinteresētību lūgt izsniegt čeku, kvīti un biļetes par veikto darījumu, VID organizē čeku loteriju. Čeks, kvīts un biļete vairs nav tikai dokuments, ar kuru pierādīt savas patērētāja tiesības, bet arī loterijas biļete, kas dod tiesības piedalīties izlozē un laimēt dažādus laimestus un Padziļinātās sadarbības programmas dalībnieku piedāvātās balvas. Vienlaikus iedzīvotāji arī ir iesaistīti nodokļu nomaksas veicināšanā, saskatot savu tiešo pienesumu valsts mērķa – cīņa pret ēnu ekonomiku, sasniegšanā. Čeku loterija Latvijā norisinās no 2019.gada 1.jūlija. Iedzīvotāju aktivitāte ir ievērojama - 10 mēnešu laikā reģistrēti nedaudz vairāk kā 14 miljoni čeki un katru mēnesi loterijā piedalās aptuveni 75 tūkstoši dalībnieki (telefona numuri). VID analizē loterijai iesniegto maksājuma dokumentu datus, veic preventīvas darbības, kā arī kontroles pasākumus. Visu darbību rezultātā loterijas pirmajos desmit mēnešos nodokļu maksātāji iesnieguši vai precizējuši nodokļu deklarācijas par gandrīz vienu miljonu eiro. Savukārt pētījumu centra SKDS 2020.gada sākumā visā Latvijas teritorijā veiktā aptauja  atklāj, ka vidēji katrs piektais (21%) respondents atzīst, ka tagad pievērš lielāku uzmanību tam, vai tiek izsniegts darījumu apliecinošs dokuments.</w:t>
      </w:r>
    </w:p>
    <w:p w:rsidR="000939DA" w:rsidRPr="00A30AD2" w:rsidRDefault="000939DA" w:rsidP="00DD5A39">
      <w:pPr>
        <w:spacing w:before="120" w:after="120" w:line="240" w:lineRule="auto"/>
        <w:ind w:firstLine="720"/>
        <w:jc w:val="both"/>
        <w:rPr>
          <w:rFonts w:ascii="Times New Roman" w:hAnsi="Times New Roman" w:cs="Times New Roman"/>
          <w:sz w:val="24"/>
          <w:szCs w:val="24"/>
        </w:rPr>
      </w:pPr>
      <w:r w:rsidRPr="00A30AD2">
        <w:rPr>
          <w:rFonts w:ascii="Times New Roman" w:hAnsi="Times New Roman" w:cs="Times New Roman"/>
          <w:sz w:val="24"/>
          <w:szCs w:val="24"/>
        </w:rPr>
        <w:t>Ir sagatavoti grozījumi Čeku loterijas likumā, piedāvājot paplašināt Čeku loterijas likumā noteikto darījumu apliecinošo dokumentu veidus (iekļaujot rēķinus par darījumiem nozarēs ar augstu ēnu ekonomikas īpatsvaru) un nosakot nozares čeku izlozes, lai veicinātu iedzīvotāju vēlmi pieprasīt čekus vai citus darījumu apliecinošus dokumentus no nodokļu maksātājiem,  kura pamatdarbības veids pēc NACE koda atbilst nozarei, kuru VID izvēlējies noteiktā periodā kā nozari ar augstu ēnu ekonomikas īpatsvara risku.</w:t>
      </w:r>
    </w:p>
    <w:p w:rsidR="000939DA" w:rsidRDefault="000939DA" w:rsidP="00DD5A39">
      <w:pPr>
        <w:spacing w:before="120" w:after="120" w:line="240" w:lineRule="auto"/>
        <w:ind w:firstLine="720"/>
        <w:jc w:val="both"/>
        <w:rPr>
          <w:rFonts w:ascii="Times New Roman" w:hAnsi="Times New Roman" w:cs="Times New Roman"/>
          <w:sz w:val="24"/>
          <w:szCs w:val="24"/>
        </w:rPr>
      </w:pPr>
      <w:r w:rsidRPr="00A30AD2">
        <w:rPr>
          <w:rFonts w:ascii="Times New Roman" w:hAnsi="Times New Roman" w:cs="Times New Roman"/>
          <w:sz w:val="24"/>
          <w:szCs w:val="24"/>
        </w:rPr>
        <w:t xml:space="preserve">Ņemot vērā minēto, </w:t>
      </w:r>
      <w:r w:rsidRPr="00A30AD2">
        <w:rPr>
          <w:rFonts w:ascii="Times New Roman" w:hAnsi="Times New Roman" w:cs="Times New Roman"/>
          <w:sz w:val="24"/>
          <w:szCs w:val="24"/>
          <w:u w:val="single"/>
        </w:rPr>
        <w:t xml:space="preserve">priekšlikums palielināt nodokļu ieņēmumu prognozi 2021., 2022. un 2023. gadā par 698 785 </w:t>
      </w:r>
      <w:proofErr w:type="spellStart"/>
      <w:r w:rsidRPr="00FC4A2F">
        <w:rPr>
          <w:rFonts w:ascii="Times New Roman" w:hAnsi="Times New Roman" w:cs="Times New Roman"/>
          <w:i/>
          <w:iCs/>
          <w:sz w:val="24"/>
          <w:szCs w:val="24"/>
          <w:u w:val="single"/>
        </w:rPr>
        <w:t>euro</w:t>
      </w:r>
      <w:proofErr w:type="spellEnd"/>
      <w:r w:rsidRPr="00A30AD2">
        <w:rPr>
          <w:rFonts w:ascii="Times New Roman" w:hAnsi="Times New Roman" w:cs="Times New Roman"/>
          <w:sz w:val="24"/>
          <w:szCs w:val="24"/>
        </w:rPr>
        <w:t xml:space="preserve"> (tai skaitā ieņēmumus no pievienotās vērtības nodokļa par 677 822 </w:t>
      </w:r>
      <w:proofErr w:type="spellStart"/>
      <w:r w:rsidRPr="00FC4A2F">
        <w:rPr>
          <w:rFonts w:ascii="Times New Roman" w:hAnsi="Times New Roman" w:cs="Times New Roman"/>
          <w:i/>
          <w:sz w:val="24"/>
          <w:szCs w:val="24"/>
        </w:rPr>
        <w:t>euro</w:t>
      </w:r>
      <w:proofErr w:type="spellEnd"/>
      <w:r w:rsidRPr="00A30AD2">
        <w:rPr>
          <w:rFonts w:ascii="Times New Roman" w:hAnsi="Times New Roman" w:cs="Times New Roman"/>
          <w:sz w:val="24"/>
          <w:szCs w:val="24"/>
        </w:rPr>
        <w:t xml:space="preserve">, valsts sociālās apdrošināšanas obligātās iemaksas par 16 770 EUR un ieņēmumus no iedzīvotāju ienākuma nodokļa par 4 193 </w:t>
      </w:r>
      <w:proofErr w:type="spellStart"/>
      <w:r w:rsidRPr="00FC4A2F">
        <w:rPr>
          <w:rFonts w:ascii="Times New Roman" w:hAnsi="Times New Roman" w:cs="Times New Roman"/>
          <w:i/>
          <w:sz w:val="24"/>
          <w:szCs w:val="24"/>
        </w:rPr>
        <w:t>euro</w:t>
      </w:r>
      <w:proofErr w:type="spellEnd"/>
      <w:r w:rsidRPr="00A30AD2">
        <w:rPr>
          <w:rFonts w:ascii="Times New Roman" w:hAnsi="Times New Roman" w:cs="Times New Roman"/>
          <w:sz w:val="24"/>
          <w:szCs w:val="24"/>
        </w:rPr>
        <w:t xml:space="preserve">) </w:t>
      </w:r>
      <w:r w:rsidRPr="00A30AD2">
        <w:rPr>
          <w:rFonts w:ascii="Times New Roman" w:hAnsi="Times New Roman" w:cs="Times New Roman"/>
          <w:sz w:val="24"/>
          <w:szCs w:val="24"/>
          <w:u w:val="single"/>
        </w:rPr>
        <w:t xml:space="preserve">ik gadu un palielināt dotāciju no vispārējiem ieņēmumiem un izdevumus 635 012 </w:t>
      </w:r>
      <w:proofErr w:type="spellStart"/>
      <w:r w:rsidRPr="00FC4A2F">
        <w:rPr>
          <w:rFonts w:ascii="Times New Roman" w:hAnsi="Times New Roman" w:cs="Times New Roman"/>
          <w:i/>
          <w:iCs/>
          <w:sz w:val="24"/>
          <w:szCs w:val="24"/>
          <w:u w:val="single"/>
        </w:rPr>
        <w:t>euro</w:t>
      </w:r>
      <w:proofErr w:type="spellEnd"/>
      <w:r w:rsidRPr="00A30AD2">
        <w:rPr>
          <w:rFonts w:ascii="Times New Roman" w:hAnsi="Times New Roman" w:cs="Times New Roman"/>
          <w:sz w:val="24"/>
          <w:szCs w:val="24"/>
          <w:u w:val="single"/>
        </w:rPr>
        <w:t xml:space="preserve"> apmērā ik gadu</w:t>
      </w:r>
      <w:r w:rsidRPr="00A30AD2">
        <w:rPr>
          <w:rFonts w:ascii="Times New Roman" w:hAnsi="Times New Roman" w:cs="Times New Roman"/>
          <w:sz w:val="24"/>
          <w:szCs w:val="24"/>
        </w:rPr>
        <w:t xml:space="preserve"> budžeta programmā 33.00.00 “Valsts ieņēmumu un muitas politikas nodrošināšana”, lai nodrošinātu čeku loterijas organizēšanas un izmaksājamo balvu izdevumu segšanu.</w:t>
      </w:r>
    </w:p>
    <w:p w:rsidR="00BB7D9E" w:rsidRPr="00461101" w:rsidRDefault="00BB7D9E" w:rsidP="00B422B3">
      <w:pPr>
        <w:spacing w:before="120" w:after="120" w:line="240" w:lineRule="auto"/>
        <w:ind w:firstLine="720"/>
        <w:jc w:val="both"/>
        <w:rPr>
          <w:rFonts w:ascii="Times New Roman" w:hAnsi="Times New Roman" w:cs="Times New Roman"/>
          <w:sz w:val="24"/>
          <w:szCs w:val="24"/>
        </w:rPr>
      </w:pPr>
    </w:p>
    <w:p w:rsidR="00AE671A" w:rsidRPr="00C37CFC" w:rsidRDefault="0061737C" w:rsidP="00CB7789">
      <w:pPr>
        <w:pStyle w:val="ListParagraph"/>
        <w:numPr>
          <w:ilvl w:val="1"/>
          <w:numId w:val="20"/>
        </w:numPr>
        <w:spacing w:before="120" w:after="120" w:line="240" w:lineRule="auto"/>
        <w:ind w:left="714" w:hanging="357"/>
        <w:contextualSpacing w:val="0"/>
        <w:jc w:val="both"/>
        <w:rPr>
          <w:rFonts w:ascii="Times New Roman" w:hAnsi="Times New Roman" w:cs="Times New Roman"/>
          <w:b/>
          <w:sz w:val="24"/>
          <w:szCs w:val="24"/>
        </w:rPr>
      </w:pPr>
      <w:r w:rsidRPr="00461101">
        <w:rPr>
          <w:rFonts w:ascii="Times New Roman" w:hAnsi="Times New Roman" w:cs="Times New Roman"/>
          <w:b/>
          <w:sz w:val="24"/>
          <w:szCs w:val="24"/>
        </w:rPr>
        <w:t xml:space="preserve"> </w:t>
      </w:r>
      <w:proofErr w:type="spellStart"/>
      <w:r w:rsidR="00AE671A" w:rsidRPr="00C37CFC">
        <w:rPr>
          <w:rFonts w:ascii="Times New Roman" w:hAnsi="Times New Roman" w:cs="Times New Roman"/>
          <w:b/>
          <w:sz w:val="24"/>
          <w:szCs w:val="24"/>
        </w:rPr>
        <w:t>Iekšlietu</w:t>
      </w:r>
      <w:proofErr w:type="spellEnd"/>
      <w:r w:rsidR="00AE671A" w:rsidRPr="00C37CFC">
        <w:rPr>
          <w:rFonts w:ascii="Times New Roman" w:hAnsi="Times New Roman" w:cs="Times New Roman"/>
          <w:b/>
          <w:sz w:val="24"/>
          <w:szCs w:val="24"/>
        </w:rPr>
        <w:t xml:space="preserve"> ministrijas priekšlikum</w:t>
      </w:r>
      <w:r w:rsidR="00EB5C4E">
        <w:rPr>
          <w:rFonts w:ascii="Times New Roman" w:hAnsi="Times New Roman" w:cs="Times New Roman"/>
          <w:b/>
          <w:sz w:val="24"/>
          <w:szCs w:val="24"/>
        </w:rPr>
        <w:t>i</w:t>
      </w:r>
    </w:p>
    <w:p w:rsidR="00AE671A" w:rsidRPr="00C37CFC" w:rsidRDefault="00AE671A" w:rsidP="00B422B3">
      <w:pPr>
        <w:spacing w:before="120" w:after="120" w:line="240" w:lineRule="auto"/>
        <w:ind w:firstLine="720"/>
        <w:jc w:val="both"/>
        <w:rPr>
          <w:rFonts w:ascii="Times New Roman" w:hAnsi="Times New Roman" w:cs="Times New Roman"/>
          <w:sz w:val="24"/>
          <w:szCs w:val="24"/>
        </w:rPr>
      </w:pPr>
      <w:proofErr w:type="spellStart"/>
      <w:r w:rsidRPr="00C37CFC">
        <w:rPr>
          <w:rFonts w:ascii="Times New Roman" w:hAnsi="Times New Roman" w:cs="Times New Roman"/>
          <w:sz w:val="24"/>
          <w:szCs w:val="24"/>
        </w:rPr>
        <w:t>Iekšlietu</w:t>
      </w:r>
      <w:proofErr w:type="spellEnd"/>
      <w:r w:rsidRPr="00C37CFC">
        <w:rPr>
          <w:rFonts w:ascii="Times New Roman" w:hAnsi="Times New Roman" w:cs="Times New Roman"/>
          <w:sz w:val="24"/>
          <w:szCs w:val="24"/>
        </w:rPr>
        <w:t xml:space="preserve"> ministrija ar š.g. 24.augusta vēstuli Nr.1-40/2091 ir iesniegusi priekšlikumus divu fiskāli neitrālu prioritāro pasākumu īstenošanai 2021.-2023.gadā. </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b/>
          <w:sz w:val="24"/>
          <w:szCs w:val="24"/>
        </w:rPr>
        <w:t>5.3.1.</w:t>
      </w:r>
      <w:r w:rsidRPr="00C37CFC">
        <w:rPr>
          <w:rFonts w:ascii="Times New Roman" w:hAnsi="Times New Roman" w:cs="Times New Roman"/>
          <w:sz w:val="24"/>
          <w:szCs w:val="24"/>
        </w:rPr>
        <w:t xml:space="preserve"> Pēc 2020.gada 1.jūlija, stājoties spēkā Administratīvās atbildības likumam, būtiski ir mainījies finanšu plūsmas mehānisms attiecībā uz procesuālajiem izdevumiem (mantu glabāšanas izdevumi), kuri tiek iemaksāti nevis Nodrošinājuma valsts aģentūras (turpmāk – Aģentūra), bet gan iestādes, kura veic administratīvā pārkāpuma procesu, kontā.</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sz w:val="24"/>
          <w:szCs w:val="24"/>
        </w:rPr>
        <w:t>Administratīvās atbildības likuma 260.panta pirmā daļa noteic, ka procesuālo izdevumu un piespiedu naudas izpildes kārtība ir tāda pati, kāda noteikta naudas soda izpildei. Administratīvās atbildības likuma 263.panta sestā daļa noteic, ka naudas sodus, kas piemēroti par likumos paredzētajiem administratīvajiem pārkāpumiem, ieskaita valsts budžetā, ja likumā nav paredzēts citādi.</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sz w:val="24"/>
          <w:szCs w:val="24"/>
        </w:rPr>
        <w:t>Saskaņā ar Ministru kabineta 2005.gada 27.decembra noteikumu Nr.1032 “Noteikumi par budžetu ieņēmumu klasifikāciju” pielikumu (klasifikācijas kods 10.1.0.0. (2.0.grupa)) lēmumā administratīvā pārkāpuma lietā noteiktie no personas piedzenamie procesuālie izdevumi ir klasificējami kā naudas sodi (</w:t>
      </w:r>
      <w:r w:rsidRPr="00C37CFC">
        <w:rPr>
          <w:rFonts w:ascii="Times New Roman" w:hAnsi="Times New Roman" w:cs="Times New Roman"/>
          <w:i/>
          <w:iCs/>
          <w:sz w:val="24"/>
          <w:szCs w:val="24"/>
        </w:rPr>
        <w:t>uz 10.1.0.0. kodu attiecina ieņēmumus, kas iemaksāti valsts vai pašvaldību budžetos no naudas sodiem un piespiedu naudām (turpmāk – naudas sodi), ko uzliek saskaņā ar Latvijas Administratīvo pārkāpumu kodeksu, Administratīvā procesa likumu, speciālajiem nozares likumiem un pašvaldību saistošajiem noteikumiem</w:t>
      </w:r>
      <w:r w:rsidRPr="00C37CFC">
        <w:rPr>
          <w:rFonts w:ascii="Times New Roman" w:hAnsi="Times New Roman" w:cs="Times New Roman"/>
          <w:sz w:val="24"/>
          <w:szCs w:val="24"/>
        </w:rPr>
        <w:t xml:space="preserve">). Šādu budžeta ieņēmumu klasifikācija ir pamatota ar Administratīvās atbildības likuma 253.pantu, kurā ir noteikts, ka nolēmums par administratīvā soda piemērošanu ir saistošs un obligāti izpildāms. Lēmumā ietvertā procesuālo izdevumu summa būtībā atbilst noteikumos Nr.1032 ietvertajam naudas soda terminam, jo atbilstoši Administratīvās atbildības likuma normām un lēmumam administratīvā pārkāpuma lietā, piedzenamie procesuālie izdevumi ir piespiedu kārtā no sodītās personas piedzenama naudas summa. Administratīvās atbildības likuma 255.pants paredz, ka nolēmuma par sodu izpildi organizē un kontrolē tā iestāde, kuras amatpersona sākotnēji pieņēmusi nolēmumu par sodu. </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sz w:val="24"/>
          <w:szCs w:val="24"/>
        </w:rPr>
        <w:t>Lai izvairītos no papildu administratīvā sloga, kā arī nodrošinātu finansējumu Aģentūrai ar mantu glabāšanu saistīto izdevumu segšanai, sākot ar 2021.gada 1.janvāri no sodītās personas saņemtos lēmumā administratīvā pārkāpuma lietā norādītos procesuālos izdevumus - summas, kas Aģentūrai radušās sakarā ar administratīvā pārkāpuma lietā izņemtās mantas un dokumentu nodošanu glabāšanā, glabāšanu, iznīcināšanu un realizāciju - ieskaita valsts pamatbudžeta kontā atbilstoši iepriekš minētajam ieņēmumu klasifikācijas kodam.</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sz w:val="24"/>
          <w:szCs w:val="24"/>
        </w:rPr>
        <w:t>Ņemot vērā minēto, ar prioritārā pasākuma pieteikumu “Administratīvo pārkāpumu lietās izņemtās mantas un dokumentu glabāšanas, pārņemšanas,  iznīcināšanas nodrošināšana” iesniegts</w:t>
      </w:r>
      <w:r w:rsidRPr="00C37CFC">
        <w:rPr>
          <w:rFonts w:ascii="Times New Roman" w:hAnsi="Times New Roman" w:cs="Times New Roman"/>
        </w:rPr>
        <w:t xml:space="preserve"> </w:t>
      </w:r>
      <w:r w:rsidRPr="00C37CFC">
        <w:rPr>
          <w:rFonts w:ascii="Times New Roman" w:hAnsi="Times New Roman" w:cs="Times New Roman"/>
          <w:sz w:val="24"/>
          <w:szCs w:val="24"/>
        </w:rPr>
        <w:t xml:space="preserve">fiskāli neitrāls </w:t>
      </w:r>
      <w:r w:rsidRPr="00C37CFC">
        <w:rPr>
          <w:rFonts w:ascii="Times New Roman" w:hAnsi="Times New Roman" w:cs="Times New Roman"/>
          <w:sz w:val="24"/>
          <w:szCs w:val="24"/>
          <w:u w:val="single"/>
        </w:rPr>
        <w:t xml:space="preserve">priekšlikums budžeta apakšprogrammā 40.03.00 “Lietiskie pierādījumi un izņemtā manta” mainīt finansējuma avotu – samazināt ieņēmumus no maksas pakalpojumiem un citiem pašu ieņēmumiem un attiecīgos izdevumus par 622 767 </w:t>
      </w:r>
      <w:proofErr w:type="spellStart"/>
      <w:r w:rsidRPr="00C37CFC">
        <w:rPr>
          <w:rFonts w:ascii="Times New Roman" w:hAnsi="Times New Roman" w:cs="Times New Roman"/>
          <w:i/>
          <w:sz w:val="24"/>
          <w:szCs w:val="24"/>
          <w:u w:val="single"/>
        </w:rPr>
        <w:t>euro</w:t>
      </w:r>
      <w:proofErr w:type="spellEnd"/>
      <w:r w:rsidRPr="00C37CFC">
        <w:rPr>
          <w:rFonts w:ascii="Times New Roman" w:hAnsi="Times New Roman" w:cs="Times New Roman"/>
          <w:sz w:val="24"/>
          <w:szCs w:val="24"/>
          <w:u w:val="single"/>
        </w:rPr>
        <w:t xml:space="preserve"> un palielināt 2021.gadā un turpmāk ik gadu dotāciju no vispārējiem ieņēmumiem un attiecīgos izdevumus par 523 746 </w:t>
      </w:r>
      <w:proofErr w:type="spellStart"/>
      <w:r w:rsidRPr="00C37CFC">
        <w:rPr>
          <w:rFonts w:ascii="Times New Roman" w:hAnsi="Times New Roman" w:cs="Times New Roman"/>
          <w:i/>
          <w:sz w:val="24"/>
          <w:szCs w:val="24"/>
          <w:u w:val="single"/>
        </w:rPr>
        <w:t>euro</w:t>
      </w:r>
      <w:proofErr w:type="spellEnd"/>
      <w:r w:rsidRPr="00C37CFC">
        <w:rPr>
          <w:rFonts w:ascii="Times New Roman" w:hAnsi="Times New Roman" w:cs="Times New Roman"/>
          <w:sz w:val="24"/>
          <w:szCs w:val="24"/>
        </w:rPr>
        <w:t xml:space="preserve">, lai nodrošinātu finansējumu valsts funkcijas izpildei, jo Aģentūra turpinās uzglabāt administratīvo pārkāpumu lietās izņemtās mantas, bet procesa virzītāji, kuru pienākums ir arī nodrošināt procesuālo izdevumu samaksu, būs citas institūcijas, </w:t>
      </w:r>
      <w:r w:rsidRPr="00C37CFC">
        <w:rPr>
          <w:rFonts w:ascii="Times New Roman" w:hAnsi="Times New Roman" w:cs="Times New Roman"/>
          <w:sz w:val="24"/>
          <w:szCs w:val="24"/>
          <w:u w:val="single"/>
        </w:rPr>
        <w:t xml:space="preserve">kā arī palielināt valsts pamatbudžeta ieņēmumus 2021.gadā un turpmāk ik gadu no procesuālo izdevumu izpildes, ievērojot  Administratīvās atbildības  likuma 260.panta pirmajā daļā  un 263.panta sestajā daļā noteikto, par 523 746 </w:t>
      </w:r>
      <w:proofErr w:type="spellStart"/>
      <w:r w:rsidRPr="00C37CFC">
        <w:rPr>
          <w:rFonts w:ascii="Times New Roman" w:hAnsi="Times New Roman" w:cs="Times New Roman"/>
          <w:i/>
          <w:sz w:val="24"/>
          <w:szCs w:val="24"/>
          <w:u w:val="single"/>
        </w:rPr>
        <w:t>euro</w:t>
      </w:r>
      <w:proofErr w:type="spellEnd"/>
      <w:r w:rsidRPr="00C37CFC">
        <w:rPr>
          <w:rFonts w:ascii="Times New Roman" w:hAnsi="Times New Roman" w:cs="Times New Roman"/>
          <w:sz w:val="24"/>
          <w:szCs w:val="24"/>
        </w:rPr>
        <w:t>, tai skaitā:</w:t>
      </w:r>
    </w:p>
    <w:p w:rsidR="00AE671A" w:rsidRPr="00C37CFC" w:rsidRDefault="00AE671A" w:rsidP="006D48C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Times New Roman" w:hAnsi="Times New Roman" w:cs="Times New Roman"/>
          <w:sz w:val="24"/>
          <w:szCs w:val="24"/>
        </w:rPr>
      </w:pPr>
      <w:r w:rsidRPr="00C37CFC">
        <w:rPr>
          <w:rFonts w:ascii="Times New Roman" w:hAnsi="Times New Roman" w:cs="Times New Roman"/>
          <w:sz w:val="24"/>
          <w:szCs w:val="24"/>
        </w:rPr>
        <w:t xml:space="preserve">10.1.1.2. Naudas sodi, ko uzliek Valsts policija – par 427 666 </w:t>
      </w:r>
      <w:proofErr w:type="spellStart"/>
      <w:r w:rsidRPr="00C37CFC">
        <w:rPr>
          <w:rFonts w:ascii="Times New Roman" w:hAnsi="Times New Roman" w:cs="Times New Roman"/>
          <w:i/>
          <w:sz w:val="24"/>
          <w:szCs w:val="24"/>
        </w:rPr>
        <w:t>euro</w:t>
      </w:r>
      <w:proofErr w:type="spellEnd"/>
      <w:r w:rsidRPr="00C37CFC">
        <w:rPr>
          <w:rFonts w:ascii="Times New Roman" w:hAnsi="Times New Roman" w:cs="Times New Roman"/>
          <w:sz w:val="24"/>
          <w:szCs w:val="24"/>
        </w:rPr>
        <w:t>;</w:t>
      </w:r>
    </w:p>
    <w:p w:rsidR="00AE671A" w:rsidRPr="00C37CFC" w:rsidRDefault="00AE671A" w:rsidP="006D48C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Times New Roman" w:hAnsi="Times New Roman" w:cs="Times New Roman"/>
          <w:sz w:val="24"/>
          <w:szCs w:val="24"/>
        </w:rPr>
      </w:pPr>
      <w:r w:rsidRPr="00C37CFC">
        <w:rPr>
          <w:rFonts w:ascii="Times New Roman" w:hAnsi="Times New Roman" w:cs="Times New Roman"/>
          <w:sz w:val="24"/>
          <w:szCs w:val="24"/>
        </w:rPr>
        <w:t xml:space="preserve">10.1.2.1. Naudas sodi, ko uzliek Valsts ieņēmumu dienests, izņemot naudas sodus, ko uzliek Valsts ieņēmumu dienesta Muitas pārvalde – par 68 504 </w:t>
      </w:r>
      <w:proofErr w:type="spellStart"/>
      <w:r w:rsidRPr="00C37CFC">
        <w:rPr>
          <w:rFonts w:ascii="Times New Roman" w:hAnsi="Times New Roman" w:cs="Times New Roman"/>
          <w:i/>
          <w:sz w:val="24"/>
          <w:szCs w:val="24"/>
        </w:rPr>
        <w:t>euro</w:t>
      </w:r>
      <w:proofErr w:type="spellEnd"/>
      <w:r w:rsidRPr="00C37CFC">
        <w:rPr>
          <w:rFonts w:ascii="Times New Roman" w:hAnsi="Times New Roman" w:cs="Times New Roman"/>
          <w:sz w:val="24"/>
          <w:szCs w:val="24"/>
        </w:rPr>
        <w:t>;</w:t>
      </w:r>
    </w:p>
    <w:p w:rsidR="00AE671A" w:rsidRPr="00C37CFC" w:rsidRDefault="00AE671A" w:rsidP="006D48C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rFonts w:ascii="Times New Roman" w:hAnsi="Times New Roman" w:cs="Times New Roman"/>
          <w:sz w:val="24"/>
          <w:szCs w:val="24"/>
        </w:rPr>
      </w:pPr>
      <w:r w:rsidRPr="00C37CFC">
        <w:rPr>
          <w:rFonts w:ascii="Times New Roman" w:hAnsi="Times New Roman" w:cs="Times New Roman"/>
          <w:sz w:val="24"/>
          <w:szCs w:val="24"/>
        </w:rPr>
        <w:t xml:space="preserve">10.1.9.3. Naudas sodi, ko uzliek Pārtikas un veterinārais dienests – par 27 576 </w:t>
      </w:r>
      <w:proofErr w:type="spellStart"/>
      <w:r w:rsidRPr="00C37CFC">
        <w:rPr>
          <w:rFonts w:ascii="Times New Roman" w:hAnsi="Times New Roman" w:cs="Times New Roman"/>
          <w:i/>
          <w:sz w:val="24"/>
          <w:szCs w:val="24"/>
        </w:rPr>
        <w:t>euro</w:t>
      </w:r>
      <w:proofErr w:type="spellEnd"/>
      <w:r w:rsidRPr="00C37CFC">
        <w:rPr>
          <w:rFonts w:ascii="Times New Roman" w:hAnsi="Times New Roman" w:cs="Times New Roman"/>
          <w:sz w:val="24"/>
          <w:szCs w:val="24"/>
        </w:rPr>
        <w:t>.</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sz w:val="24"/>
          <w:szCs w:val="24"/>
        </w:rPr>
        <w:t xml:space="preserve">Izdevumu samazinājums no 2021.gada saistīts ar </w:t>
      </w:r>
      <w:proofErr w:type="spellStart"/>
      <w:r w:rsidRPr="00C37CFC">
        <w:rPr>
          <w:rFonts w:ascii="Times New Roman" w:hAnsi="Times New Roman" w:cs="Times New Roman"/>
          <w:sz w:val="24"/>
          <w:szCs w:val="24"/>
        </w:rPr>
        <w:t>Iekšlietu</w:t>
      </w:r>
      <w:proofErr w:type="spellEnd"/>
      <w:r w:rsidRPr="00C37CFC">
        <w:rPr>
          <w:rFonts w:ascii="Times New Roman" w:hAnsi="Times New Roman" w:cs="Times New Roman"/>
          <w:sz w:val="24"/>
          <w:szCs w:val="24"/>
        </w:rPr>
        <w:t xml:space="preserve"> ministrijas pieņemto lēmumu par pasākumiem, lai mazinātu transportlīdzekļu pārvietošanu uz stāvlaukumiem.</w:t>
      </w:r>
    </w:p>
    <w:p w:rsidR="00AE671A" w:rsidRPr="00C37CFC"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b/>
          <w:sz w:val="24"/>
          <w:szCs w:val="24"/>
        </w:rPr>
        <w:t>5.3.2.</w:t>
      </w:r>
      <w:r w:rsidRPr="00C37CFC">
        <w:rPr>
          <w:rFonts w:ascii="Times New Roman" w:hAnsi="Times New Roman" w:cs="Times New Roman"/>
          <w:sz w:val="24"/>
          <w:szCs w:val="24"/>
        </w:rPr>
        <w:t xml:space="preserve"> Iekšējās drošības biroja (turpmāk – Birojs) amatpersonu ar speciālajām dienesta pakāpēm  mēnešalgas palielināšanu no 2021.gada 1.janvāra - mēnešalgu koeficienta palielināšana vidēji par 0,1 (iekļaujoties normatīvajos aktos noteiktajās 1,5 robežās un piemērojot Biroja iekšējos normatīvajos aktos noteiktos koeficienta piemērošanas kritērijus). Šobrīd Birojs nepietiekamā finansējuma apjoma dēļ neizmanto iespēju piemērot  koeficienta diapazona maksimālās robežas. Atlīdzības izdevumu palielināšana preventīvi ļaus novērst kompetenta personāla aizplūšanu uz citām iestādēm. Esošo amatu vietu aizpildīšana ar kompetentiem un zinošiem nodarbinātajiem prasījusi lielas pūles un šogad Birojam izdevies samazināt amatpersonu ar speciālajām dienesta pakāpēm vakanto amata vietu skaitu un tas nepārsniedz 10%. Finansējuma pārdali mēnešalgas palielināšanai iespējams veikt Biroja resursu ietvaros, pārdalot finansējumu atlīdzības izdevumiem no  izdevumiem, kas saistīti ar operatīvo darbību. Veiktie izdevumi, kas saistīti ar operatīvo darbību, pēdējos gados samazinās, ņemot vērā, ka operatīvās izmeklēšanas darbības tiek veiktas ar atklātām izmeklēšanas metodēm, nodrošinot izvirzīto mērķu sasniegšanu.</w:t>
      </w:r>
    </w:p>
    <w:p w:rsidR="00AE671A" w:rsidRPr="00461101" w:rsidRDefault="00AE671A" w:rsidP="00B42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cs="Times New Roman"/>
          <w:sz w:val="24"/>
          <w:szCs w:val="24"/>
        </w:rPr>
      </w:pPr>
      <w:r w:rsidRPr="00C37CFC">
        <w:rPr>
          <w:rFonts w:ascii="Times New Roman" w:hAnsi="Times New Roman" w:cs="Times New Roman"/>
          <w:sz w:val="24"/>
          <w:szCs w:val="24"/>
        </w:rPr>
        <w:t xml:space="preserve">Ar prioritārā pasākuma “Iekšējās drošības biroja amatpersonu ar speciālajām pakāpēm atlīdzības palielināšana” pieteikumu iesniegts fiskāli neitrāls  priekšlikums </w:t>
      </w:r>
      <w:r w:rsidRPr="00C37CFC">
        <w:rPr>
          <w:rFonts w:ascii="Times New Roman" w:hAnsi="Times New Roman" w:cs="Times New Roman"/>
          <w:sz w:val="24"/>
          <w:szCs w:val="24"/>
          <w:u w:val="single"/>
        </w:rPr>
        <w:t>veikt izdevumu pārdali budžeta programmas 42.00.00 “Iekšējās drošības biroja darbība” ietvaros, samazinot izdevumus precēm un pakalpojumiem</w:t>
      </w:r>
      <w:r w:rsidRPr="00C37CFC">
        <w:rPr>
          <w:rFonts w:ascii="Times New Roman" w:hAnsi="Times New Roman" w:cs="Times New Roman"/>
          <w:sz w:val="24"/>
          <w:szCs w:val="24"/>
        </w:rPr>
        <w:t xml:space="preserve">, optimizējot izdevumus, kas saistīti ar operatīvo darbību, </w:t>
      </w:r>
      <w:r w:rsidRPr="00C37CFC">
        <w:rPr>
          <w:rFonts w:ascii="Times New Roman" w:hAnsi="Times New Roman" w:cs="Times New Roman"/>
          <w:sz w:val="24"/>
          <w:szCs w:val="24"/>
          <w:u w:val="single"/>
        </w:rPr>
        <w:t xml:space="preserve">2021.gadā un turpmāk ik gadu 170 020 </w:t>
      </w:r>
      <w:proofErr w:type="spellStart"/>
      <w:r w:rsidRPr="00C37CFC">
        <w:rPr>
          <w:rFonts w:ascii="Times New Roman" w:hAnsi="Times New Roman" w:cs="Times New Roman"/>
          <w:i/>
          <w:sz w:val="24"/>
          <w:szCs w:val="24"/>
          <w:u w:val="single"/>
        </w:rPr>
        <w:t>euro</w:t>
      </w:r>
      <w:proofErr w:type="spellEnd"/>
      <w:r w:rsidRPr="00C37CFC">
        <w:rPr>
          <w:rFonts w:ascii="Times New Roman" w:hAnsi="Times New Roman" w:cs="Times New Roman"/>
          <w:sz w:val="24"/>
          <w:szCs w:val="24"/>
          <w:u w:val="single"/>
        </w:rPr>
        <w:t xml:space="preserve"> un atbilstoši palielinot izdevumus atlīdzībai</w:t>
      </w:r>
      <w:r w:rsidRPr="00C37CFC">
        <w:rPr>
          <w:rFonts w:ascii="Times New Roman" w:hAnsi="Times New Roman" w:cs="Times New Roman"/>
          <w:sz w:val="24"/>
          <w:szCs w:val="24"/>
        </w:rPr>
        <w:t xml:space="preserve"> Iekšējās drošības biroja amatpersonu ar speciālajām dienesta pakāpēm konkurētspējīgas atlīdzības nodrošināšanai no 2021.gada 1.janvāra.</w:t>
      </w:r>
    </w:p>
    <w:p w:rsidR="00AE671A" w:rsidRPr="00461101" w:rsidRDefault="00AE671A" w:rsidP="000A4A11">
      <w:pPr>
        <w:pStyle w:val="ListParagraph"/>
        <w:spacing w:before="120" w:after="120" w:line="240" w:lineRule="auto"/>
        <w:contextualSpacing w:val="0"/>
        <w:jc w:val="both"/>
        <w:rPr>
          <w:rFonts w:ascii="Times New Roman" w:hAnsi="Times New Roman" w:cs="Times New Roman"/>
          <w:b/>
          <w:sz w:val="24"/>
          <w:szCs w:val="24"/>
        </w:rPr>
      </w:pPr>
    </w:p>
    <w:p w:rsidR="0061737C" w:rsidRPr="00461101" w:rsidRDefault="00A23F3F" w:rsidP="00CB7789">
      <w:pPr>
        <w:pStyle w:val="ListParagraph"/>
        <w:numPr>
          <w:ilvl w:val="1"/>
          <w:numId w:val="20"/>
        </w:numPr>
        <w:spacing w:before="120" w:after="120" w:line="24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61737C" w:rsidRPr="00461101">
        <w:rPr>
          <w:rFonts w:ascii="Times New Roman" w:hAnsi="Times New Roman" w:cs="Times New Roman"/>
          <w:b/>
          <w:sz w:val="24"/>
          <w:szCs w:val="24"/>
        </w:rPr>
        <w:t>Satiksmes ministrijas priekšlikums</w:t>
      </w:r>
    </w:p>
    <w:p w:rsidR="00A23F3F" w:rsidRDefault="0061737C" w:rsidP="00A23F3F">
      <w:pPr>
        <w:spacing w:before="120" w:after="120" w:line="240" w:lineRule="auto"/>
        <w:ind w:firstLine="720"/>
        <w:jc w:val="both"/>
        <w:rPr>
          <w:rFonts w:ascii="Times New Roman" w:hAnsi="Times New Roman" w:cs="Times New Roman"/>
          <w:sz w:val="24"/>
          <w:szCs w:val="24"/>
        </w:rPr>
      </w:pPr>
      <w:r w:rsidRPr="00461101">
        <w:rPr>
          <w:rFonts w:ascii="Times New Roman" w:hAnsi="Times New Roman" w:cs="Times New Roman"/>
          <w:sz w:val="24"/>
          <w:szCs w:val="24"/>
        </w:rPr>
        <w:t xml:space="preserve">Satiksmes ministrija ir iesniegusi Finanšu ministrijā fiskāli neitrālu priekšlikumu (2020.gada 14.jūlija vēstule Nr.15-01/2734), rosinot </w:t>
      </w:r>
      <w:r w:rsidRPr="00461101">
        <w:rPr>
          <w:rFonts w:ascii="Times New Roman" w:hAnsi="Times New Roman" w:cs="Times New Roman"/>
          <w:sz w:val="24"/>
          <w:szCs w:val="24"/>
          <w:u w:val="single"/>
        </w:rPr>
        <w:t xml:space="preserve">palielināt valsts pamatbudžeta prognozējamos ieņēmumus no pārējās valsts nodevas par speciālo atļauju (licenču) izsniegšanu atsevišķiem komercdarbības veidiem un attiecīgi palielināt dotāciju no vispārējiem ieņēmumiem un izdevumus </w:t>
      </w:r>
      <w:r w:rsidRPr="00461101">
        <w:rPr>
          <w:rFonts w:ascii="Times New Roman" w:hAnsi="Times New Roman" w:cs="Times New Roman"/>
          <w:sz w:val="24"/>
          <w:szCs w:val="24"/>
        </w:rPr>
        <w:t>budžeta apakšprogrammā 31.08.00 “</w:t>
      </w:r>
      <w:proofErr w:type="spellStart"/>
      <w:r w:rsidRPr="00461101">
        <w:rPr>
          <w:rFonts w:ascii="Times New Roman" w:hAnsi="Times New Roman" w:cs="Times New Roman"/>
          <w:sz w:val="24"/>
          <w:szCs w:val="24"/>
        </w:rPr>
        <w:t>Transferts</w:t>
      </w:r>
      <w:proofErr w:type="spellEnd"/>
      <w:r w:rsidRPr="00461101">
        <w:rPr>
          <w:rFonts w:ascii="Times New Roman" w:hAnsi="Times New Roman" w:cs="Times New Roman"/>
          <w:sz w:val="24"/>
          <w:szCs w:val="24"/>
        </w:rPr>
        <w:t xml:space="preserve"> plānošanas reģioniem sabiedriskā transporta pakalpojumu funkciju nodrošināšanai”. 2020.gada 1.ceturksnī jau ir izsniegtas 126 licences 6 300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i/>
          <w:iCs/>
          <w:sz w:val="24"/>
          <w:szCs w:val="24"/>
        </w:rPr>
        <w:t xml:space="preserve"> </w:t>
      </w:r>
      <w:r w:rsidRPr="00461101">
        <w:rPr>
          <w:rFonts w:ascii="Times New Roman" w:hAnsi="Times New Roman" w:cs="Times New Roman"/>
          <w:sz w:val="24"/>
          <w:szCs w:val="24"/>
        </w:rPr>
        <w:t xml:space="preserve">vērtībā un Satiksmes ministrija prognozē, ka 2021.gadā un 2023.gadā tiks izsniegtas līdz 220 licencēm par kopējo vērtību 11 000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Ņemot vērā, ka atļaujas pasažieru komercpārvadājumiem ar taksometriem derīgas četrus gadus, 2018.gadā izsniegtās licences būs jāatjauno 2022.gadā. 2018.gadā izsniegto licenču skaits bija 406 par kopējo vērtību 20 300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Tādējādi 2022.gadā nepieciešams paredzēt par atļauju izsniegšanu pasažieru komercpārvadājumiem ar taksometriem 25 000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apmērā. Ņemot vērā minēto, Satiksmes ministrija prognozē šādus nodevas ieņēmumus: 2021.gadā – 11 000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(palielinājums pret likumā “Par vidēja termiņa budžeta ietvaru 2020., 2021 un 2022.gadam” plānoto – 5 000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2022.gada 25 000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(palielinājums pret likumā “Par vidēja termiņa budžeta ietvaru 2020., 2021 un 2022.gadam” plānoto – 19 000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un 2023.gadā – 11 000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Attiecīgi atbilstoši plānotajiem ieņēmumiem no valsts nodevas nepieciešams palielināt izdevumus no dotācijas no vispārējiem ieņēmumiem Satiksmes ministrijas budžeta apakšprogrammā 31.08.00 “</w:t>
      </w:r>
      <w:proofErr w:type="spellStart"/>
      <w:r w:rsidRPr="00461101">
        <w:rPr>
          <w:rFonts w:ascii="Times New Roman" w:hAnsi="Times New Roman" w:cs="Times New Roman"/>
          <w:sz w:val="24"/>
          <w:szCs w:val="24"/>
        </w:rPr>
        <w:t>Transferts</w:t>
      </w:r>
      <w:proofErr w:type="spellEnd"/>
      <w:r w:rsidRPr="00461101">
        <w:rPr>
          <w:rFonts w:ascii="Times New Roman" w:hAnsi="Times New Roman" w:cs="Times New Roman"/>
          <w:sz w:val="24"/>
          <w:szCs w:val="24"/>
        </w:rPr>
        <w:t xml:space="preserve"> plānošanas reģioniem sabiedriskā transporta pakalpojumu funkciju nodrošināšanai” 2021.gadā 5 000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2022.gadā 19 000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2023.gadā 5 000 </w:t>
      </w:r>
      <w:proofErr w:type="spellStart"/>
      <w:r w:rsidRPr="00461101">
        <w:rPr>
          <w:rFonts w:ascii="Times New Roman" w:hAnsi="Times New Roman" w:cs="Times New Roman"/>
          <w:i/>
          <w:iCs/>
          <w:sz w:val="24"/>
          <w:szCs w:val="24"/>
        </w:rPr>
        <w:t>euro</w:t>
      </w:r>
      <w:proofErr w:type="spellEnd"/>
      <w:r w:rsidRPr="00461101">
        <w:rPr>
          <w:rFonts w:ascii="Times New Roman" w:hAnsi="Times New Roman" w:cs="Times New Roman"/>
          <w:sz w:val="24"/>
          <w:szCs w:val="24"/>
        </w:rPr>
        <w:t xml:space="preserve"> apmērā, lai plānošanas reģioni nodrošinātu licences izsniegšanu pasažieru kom</w:t>
      </w:r>
      <w:r w:rsidR="00A23F3F">
        <w:rPr>
          <w:rFonts w:ascii="Times New Roman" w:hAnsi="Times New Roman" w:cs="Times New Roman"/>
          <w:sz w:val="24"/>
          <w:szCs w:val="24"/>
        </w:rPr>
        <w:t>ercpārvadājumiem ar taksometru.</w:t>
      </w:r>
    </w:p>
    <w:p w:rsidR="00A23F3F" w:rsidRDefault="00A23F3F" w:rsidP="00A23F3F">
      <w:pPr>
        <w:spacing w:before="120" w:after="120" w:line="240" w:lineRule="auto"/>
        <w:ind w:firstLine="720"/>
        <w:jc w:val="both"/>
        <w:rPr>
          <w:rFonts w:ascii="Times New Roman" w:hAnsi="Times New Roman" w:cs="Times New Roman"/>
          <w:sz w:val="24"/>
          <w:szCs w:val="24"/>
        </w:rPr>
      </w:pPr>
    </w:p>
    <w:p w:rsidR="00F21C8D" w:rsidRDefault="00F21C8D" w:rsidP="00A23F3F">
      <w:pPr>
        <w:spacing w:before="120" w:after="120" w:line="240" w:lineRule="auto"/>
        <w:ind w:firstLine="720"/>
        <w:jc w:val="both"/>
        <w:rPr>
          <w:rFonts w:ascii="Times New Roman" w:hAnsi="Times New Roman" w:cs="Times New Roman"/>
          <w:sz w:val="24"/>
          <w:szCs w:val="24"/>
        </w:rPr>
      </w:pPr>
    </w:p>
    <w:p w:rsidR="000C47CE" w:rsidRPr="00A23F3F" w:rsidRDefault="00A23F3F" w:rsidP="00A23F3F">
      <w:pPr>
        <w:pStyle w:val="ListParagraph"/>
        <w:numPr>
          <w:ilvl w:val="1"/>
          <w:numId w:val="20"/>
        </w:numPr>
        <w:spacing w:before="120" w:after="120" w:line="24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C47CE" w:rsidRPr="00A23F3F">
        <w:rPr>
          <w:rFonts w:ascii="Times New Roman" w:hAnsi="Times New Roman" w:cs="Times New Roman"/>
          <w:b/>
          <w:sz w:val="24"/>
          <w:szCs w:val="24"/>
        </w:rPr>
        <w:t>Labklājības ministrijas priekšlikumi</w:t>
      </w:r>
    </w:p>
    <w:p w:rsidR="000C47CE" w:rsidRPr="003B7F55" w:rsidRDefault="000C47CE" w:rsidP="000C47CE">
      <w:pPr>
        <w:tabs>
          <w:tab w:val="left" w:pos="993"/>
        </w:tabs>
        <w:spacing w:before="120" w:after="120" w:line="240" w:lineRule="auto"/>
        <w:ind w:firstLine="709"/>
        <w:jc w:val="both"/>
        <w:rPr>
          <w:rFonts w:ascii="Times New Roman" w:eastAsia="Times New Roman" w:hAnsi="Times New Roman" w:cs="Times New Roman"/>
          <w:sz w:val="24"/>
          <w:szCs w:val="24"/>
        </w:rPr>
      </w:pPr>
      <w:r w:rsidRPr="003B7F55">
        <w:rPr>
          <w:rFonts w:ascii="Times New Roman" w:hAnsi="Times New Roman" w:cs="Times New Roman"/>
          <w:b/>
          <w:sz w:val="24"/>
          <w:szCs w:val="24"/>
        </w:rPr>
        <w:t>5.5.1.</w:t>
      </w:r>
      <w:r w:rsidRPr="003B7F55">
        <w:rPr>
          <w:rFonts w:ascii="Times New Roman" w:hAnsi="Times New Roman" w:cs="Times New Roman"/>
          <w:sz w:val="24"/>
          <w:szCs w:val="24"/>
        </w:rPr>
        <w:t xml:space="preserve"> </w:t>
      </w:r>
      <w:r w:rsidRPr="003B7F55">
        <w:rPr>
          <w:rFonts w:ascii="Times New Roman" w:eastAsia="Times New Roman" w:hAnsi="Times New Roman" w:cs="Times New Roman"/>
          <w:sz w:val="24"/>
          <w:szCs w:val="24"/>
        </w:rPr>
        <w:t xml:space="preserve">Labklājības ministrija (turpmāk – LM) kā fiskāli neitrālu ir iesniegusi (LM š.g. 3.septembra vēstule Nr.25-1-01/62) labklājības nozares prioritāro pasākumu “Ģimenes valsts pabalsta un bērna piedzimšanas pabalsta saņēmēju loka paplašināšana” (18_07_P), nodrošinot to LM plānoto pamatbudžeta līdzekļu ietvaros. </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 xml:space="preserve">Pasākuma mērķis ir mazināt sociālās atstumtības un nabadzības risku ģimenēm ar bērniem, uzlabojot ģimeņu, kurās aug bērni ar invaliditāti, materiālo situāciju, un mazināt administratīvo slogu personām ar invaliditāti un viņu ģimenēm pakalpojumu saņemšanā. </w:t>
      </w:r>
    </w:p>
    <w:p w:rsidR="000C47CE" w:rsidRPr="003B7F55" w:rsidRDefault="000C47CE" w:rsidP="000C47CE">
      <w:pPr>
        <w:spacing w:before="120" w:after="120" w:line="240" w:lineRule="auto"/>
        <w:jc w:val="both"/>
        <w:rPr>
          <w:rFonts w:ascii="Times New Roman" w:eastAsia="Calibri" w:hAnsi="Times New Roman" w:cs="Times New Roman"/>
          <w:b/>
          <w:i/>
          <w:sz w:val="24"/>
          <w:szCs w:val="24"/>
        </w:rPr>
      </w:pPr>
      <w:r w:rsidRPr="003B7F55">
        <w:rPr>
          <w:rFonts w:ascii="Times New Roman" w:eastAsia="Calibri" w:hAnsi="Times New Roman" w:cs="Times New Roman"/>
          <w:b/>
          <w:i/>
          <w:sz w:val="24"/>
          <w:szCs w:val="24"/>
        </w:rPr>
        <w:t>Ģimenes valsts pabalsta izmaksas nosacījuma maiņa ģimenēm, kuras aprūpē ir bērns ar invaliditāti</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 xml:space="preserve">Saskaņā ar Valsts sociālo pabalsta likumu (turpmāk - VSPL) ģimenes valsts pabalstu (turpmāk - ĢVP) piešķir personai, kura audzina bērnu vecumā no viena gada līdz 15 gadiem. Ja bērns ir vecāks par 15 gadiem, ĢVP piešķir uz laiku, kamēr bērns apmeklē izglītības iestādi, bet ne ilgāk kā līdz dienai, kad viņš sasniedz 20 gadu vecumu vai stājas laulībā. Līdz ar to šī brīža VSPL normatīvais regulējums ir nelabvēlīgs tām ģimenēm, kurās aug bērns ar invaliditāti un kurš sava veselības stāvokļa dēļ nevar turpināt mācības pēc 15 gadu sasniegšanas, jo ģimene pēc bērna ar invaliditāti 15 gadu vecuma sasniegšanas zaudē tiesības uz ĢVP un piemaksu pie ĢVP par divu un vairāk bērnu audzināšanu, un šāds regulējums ir pretrunā ar kopējo valsts politiku – īpaši atbalstīt bērnus ar invaliditāti un </w:t>
      </w:r>
      <w:proofErr w:type="spellStart"/>
      <w:r w:rsidRPr="003B7F55">
        <w:rPr>
          <w:rFonts w:ascii="Times New Roman" w:eastAsia="Times New Roman" w:hAnsi="Times New Roman" w:cs="Times New Roman"/>
          <w:sz w:val="24"/>
          <w:szCs w:val="24"/>
        </w:rPr>
        <w:t>daudzbērnu</w:t>
      </w:r>
      <w:proofErr w:type="spellEnd"/>
      <w:r w:rsidRPr="003B7F55">
        <w:rPr>
          <w:rFonts w:ascii="Times New Roman" w:eastAsia="Times New Roman" w:hAnsi="Times New Roman" w:cs="Times New Roman"/>
          <w:sz w:val="24"/>
          <w:szCs w:val="24"/>
        </w:rPr>
        <w:t xml:space="preserve"> ģimenes. </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 xml:space="preserve">Par esošā regulējuma radīto personas iespējamo </w:t>
      </w:r>
      <w:proofErr w:type="spellStart"/>
      <w:r w:rsidRPr="003B7F55">
        <w:rPr>
          <w:rFonts w:ascii="Times New Roman" w:eastAsia="Times New Roman" w:hAnsi="Times New Roman" w:cs="Times New Roman"/>
          <w:sz w:val="24"/>
          <w:szCs w:val="24"/>
        </w:rPr>
        <w:t>pamattiesību</w:t>
      </w:r>
      <w:proofErr w:type="spellEnd"/>
      <w:r w:rsidRPr="003B7F55">
        <w:rPr>
          <w:rFonts w:ascii="Times New Roman" w:eastAsia="Times New Roman" w:hAnsi="Times New Roman" w:cs="Times New Roman"/>
          <w:sz w:val="24"/>
          <w:szCs w:val="24"/>
        </w:rPr>
        <w:t xml:space="preserve"> aizskārumu jau 2018.gada nogalē LM uzmanību vērsa </w:t>
      </w:r>
      <w:proofErr w:type="spellStart"/>
      <w:r w:rsidRPr="003B7F55">
        <w:rPr>
          <w:rFonts w:ascii="Times New Roman" w:eastAsia="Times New Roman" w:hAnsi="Times New Roman" w:cs="Times New Roman"/>
          <w:sz w:val="24"/>
          <w:szCs w:val="24"/>
        </w:rPr>
        <w:t>tiesībsargs</w:t>
      </w:r>
      <w:proofErr w:type="spellEnd"/>
      <w:r w:rsidRPr="003B7F55">
        <w:rPr>
          <w:rFonts w:ascii="Times New Roman" w:eastAsia="Times New Roman" w:hAnsi="Times New Roman" w:cs="Times New Roman"/>
          <w:sz w:val="24"/>
          <w:szCs w:val="24"/>
        </w:rPr>
        <w:t>. Tāpat Administratīvā apgabala tiesa 2020.gada 15.jūlijā ir iesniegusi pieteikumu Latvijas Republikas Satversmes tiesai par VSPL 6.panta otrās daļas 2.punkta neatbilstību Latvijas Republikas Satversmes 91. un 109.pantam: kas paredz piešķirt ĢVP par bērnu, kas ir vecāks par 15 gadiem, ar nosacījumiem – bērns mācās vispārējās izglītības vai profesionālās izglītības iestādē un nav stājies laulībā, neveicot individualizāciju un neparedzot gadījumu, ka bērniem ar noteikta veida invaliditāti un veselības stāvokli nav tiesiskas un faktiskas iespējas mācīties.</w:t>
      </w:r>
    </w:p>
    <w:p w:rsidR="000C47CE" w:rsidRPr="003B7F55" w:rsidRDefault="000C47CE" w:rsidP="000C47CE">
      <w:pPr>
        <w:tabs>
          <w:tab w:val="left" w:pos="4644"/>
        </w:tabs>
        <w:spacing w:after="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Līdz ar to nepieciešams paredzēt, ka ĢVP personai, kas audzina bērnu ar invaliditāti, piešķir no invaliditātes statusa noteikšanas dienas bērnam, bet ne ilgāk kā līdz dienai, kad bērns sasniedz 20 gadu vecumu, neatkarīgi no fakta, vai bērns apmeklē izglītības iestādi. Tādejādi, personai, kas audzinātu bērnu ar invaliditāti, papildus ĢVP būs tiesības saņemt arī piemaksu par divu un vairāku bērnu audzināšanu no viena gada līdz 20 gadu vecumam (neieskaitot), ja ģimenē augs vairāki bērni.</w:t>
      </w:r>
    </w:p>
    <w:p w:rsidR="000C47CE" w:rsidRPr="003B7F55" w:rsidRDefault="000C47CE" w:rsidP="000C47CE">
      <w:pPr>
        <w:tabs>
          <w:tab w:val="left" w:pos="4644"/>
        </w:tabs>
        <w:spacing w:before="120" w:after="120" w:line="240" w:lineRule="auto"/>
        <w:ind w:firstLine="720"/>
        <w:jc w:val="both"/>
        <w:rPr>
          <w:rFonts w:ascii="Times New Roman" w:eastAsia="Calibri" w:hAnsi="Times New Roman" w:cs="Times New Roman"/>
          <w:sz w:val="24"/>
          <w:szCs w:val="24"/>
          <w:lang w:eastAsia="lv-LV"/>
        </w:rPr>
      </w:pPr>
      <w:r w:rsidRPr="003B7F55">
        <w:rPr>
          <w:rFonts w:ascii="Times New Roman" w:eastAsia="Calibri" w:hAnsi="Times New Roman" w:cs="Times New Roman"/>
          <w:sz w:val="24"/>
          <w:szCs w:val="24"/>
          <w:lang w:eastAsia="lv-LV"/>
        </w:rPr>
        <w:t>Saskaņā ar Valsts sociālās apdrošināšanas aģentūras (turpmāk – VSAA) datiem uz 2019.gada decembri invaliditāte noteikta 2 864 bērniem vecumā no 15 līdz 19 gadiem. Savukārt ĢVP netika izmaksāts par 647 (jeb vidēji līdz 23%) bērniem ar invaliditāti vecumā no 15 līdz 19 gadiem.</w:t>
      </w:r>
    </w:p>
    <w:p w:rsidR="000C47CE" w:rsidRPr="003B7F55" w:rsidRDefault="000C47CE" w:rsidP="000C47CE">
      <w:pPr>
        <w:tabs>
          <w:tab w:val="left" w:pos="4644"/>
        </w:tabs>
        <w:spacing w:after="0" w:line="240" w:lineRule="auto"/>
        <w:jc w:val="both"/>
        <w:rPr>
          <w:rFonts w:ascii="Times New Roman" w:eastAsia="Calibri" w:hAnsi="Times New Roman" w:cs="Times New Roman"/>
          <w:sz w:val="24"/>
          <w:szCs w:val="24"/>
          <w:lang w:eastAsia="lv-LV"/>
        </w:rPr>
      </w:pPr>
    </w:p>
    <w:tbl>
      <w:tblPr>
        <w:tblW w:w="0" w:type="auto"/>
        <w:tblInd w:w="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both"/>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Vecums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both"/>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Bērnu skaits</w:t>
            </w:r>
          </w:p>
        </w:tc>
      </w:tr>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45</w:t>
            </w:r>
          </w:p>
        </w:tc>
      </w:tr>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73</w:t>
            </w:r>
          </w:p>
        </w:tc>
      </w:tr>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109</w:t>
            </w:r>
          </w:p>
        </w:tc>
      </w:tr>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118</w:t>
            </w:r>
          </w:p>
        </w:tc>
      </w:tr>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sz w:val="20"/>
                <w:szCs w:val="20"/>
                <w:lang w:eastAsia="lv-LV"/>
              </w:rPr>
            </w:pPr>
            <w:r w:rsidRPr="003B7F55">
              <w:rPr>
                <w:rFonts w:ascii="Times New Roman" w:eastAsia="Calibri" w:hAnsi="Times New Roman" w:cs="Times New Roman"/>
                <w:sz w:val="20"/>
                <w:szCs w:val="20"/>
                <w:lang w:eastAsia="lv-LV"/>
              </w:rPr>
              <w:t>302</w:t>
            </w:r>
          </w:p>
        </w:tc>
      </w:tr>
      <w:tr w:rsidR="000C47CE" w:rsidRPr="003B7F55" w:rsidTr="003B7F55">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right"/>
              <w:rPr>
                <w:rFonts w:ascii="Times New Roman" w:eastAsia="Calibri" w:hAnsi="Times New Roman" w:cs="Times New Roman"/>
                <w:b/>
                <w:sz w:val="20"/>
                <w:szCs w:val="20"/>
                <w:lang w:eastAsia="lv-LV"/>
              </w:rPr>
            </w:pPr>
            <w:r w:rsidRPr="003B7F55">
              <w:rPr>
                <w:rFonts w:ascii="Times New Roman" w:eastAsia="Calibri" w:hAnsi="Times New Roman" w:cs="Times New Roman"/>
                <w:b/>
                <w:sz w:val="20"/>
                <w:szCs w:val="20"/>
                <w:lang w:eastAsia="lv-LV"/>
              </w:rPr>
              <w:t>Kopā: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47CE" w:rsidRPr="003B7F55" w:rsidRDefault="000C47CE" w:rsidP="003B7F55">
            <w:pPr>
              <w:tabs>
                <w:tab w:val="left" w:pos="4644"/>
              </w:tabs>
              <w:spacing w:after="0" w:line="240" w:lineRule="auto"/>
              <w:jc w:val="center"/>
              <w:rPr>
                <w:rFonts w:ascii="Times New Roman" w:eastAsia="Calibri" w:hAnsi="Times New Roman" w:cs="Times New Roman"/>
                <w:b/>
                <w:sz w:val="20"/>
                <w:szCs w:val="20"/>
                <w:lang w:eastAsia="lv-LV"/>
              </w:rPr>
            </w:pPr>
            <w:r w:rsidRPr="003B7F55">
              <w:rPr>
                <w:rFonts w:ascii="Times New Roman" w:eastAsia="Calibri" w:hAnsi="Times New Roman" w:cs="Times New Roman"/>
                <w:b/>
                <w:sz w:val="20"/>
                <w:szCs w:val="20"/>
                <w:lang w:eastAsia="lv-LV"/>
              </w:rPr>
              <w:t>647</w:t>
            </w:r>
          </w:p>
        </w:tc>
      </w:tr>
    </w:tbl>
    <w:p w:rsidR="000C47CE" w:rsidRPr="003B7F55" w:rsidRDefault="000C47CE" w:rsidP="000C47CE">
      <w:pPr>
        <w:tabs>
          <w:tab w:val="left" w:pos="4644"/>
        </w:tabs>
        <w:spacing w:after="0" w:line="240" w:lineRule="auto"/>
        <w:jc w:val="center"/>
        <w:rPr>
          <w:rFonts w:ascii="Times New Roman" w:eastAsia="Calibri" w:hAnsi="Times New Roman" w:cs="Times New Roman"/>
          <w:i/>
          <w:iCs/>
          <w:sz w:val="16"/>
          <w:szCs w:val="16"/>
          <w:lang w:eastAsia="lv-LV"/>
        </w:rPr>
      </w:pPr>
      <w:r w:rsidRPr="003B7F55">
        <w:rPr>
          <w:rFonts w:ascii="Times New Roman" w:eastAsia="Calibri" w:hAnsi="Times New Roman" w:cs="Times New Roman"/>
          <w:i/>
          <w:iCs/>
          <w:sz w:val="16"/>
          <w:szCs w:val="16"/>
          <w:lang w:eastAsia="lv-LV"/>
        </w:rPr>
        <w:t>VSAA dati 2019.gada decembris</w:t>
      </w:r>
    </w:p>
    <w:p w:rsidR="000C47CE" w:rsidRPr="003B7F55" w:rsidRDefault="000C47CE" w:rsidP="000C47CE">
      <w:pPr>
        <w:tabs>
          <w:tab w:val="left" w:pos="4644"/>
        </w:tabs>
        <w:spacing w:before="120" w:after="120" w:line="240" w:lineRule="auto"/>
        <w:ind w:firstLine="720"/>
        <w:jc w:val="both"/>
        <w:rPr>
          <w:rFonts w:ascii="Times New Roman" w:eastAsia="Calibri" w:hAnsi="Times New Roman" w:cs="Times New Roman"/>
          <w:bCs/>
          <w:sz w:val="24"/>
          <w:szCs w:val="24"/>
          <w:lang w:eastAsia="lv-LV"/>
        </w:rPr>
      </w:pPr>
      <w:r w:rsidRPr="003B7F55">
        <w:rPr>
          <w:rFonts w:ascii="Times New Roman" w:eastAsia="Calibri" w:hAnsi="Times New Roman" w:cs="Times New Roman"/>
          <w:sz w:val="24"/>
          <w:szCs w:val="24"/>
          <w:lang w:eastAsia="lv-LV"/>
        </w:rPr>
        <w:t xml:space="preserve">Lai nodrošinātu ĢVP un piemaksas par divu un vairāk bērnu audzināšanu izmaksas, nepieciešams finansējums 215 451 </w:t>
      </w:r>
      <w:proofErr w:type="spellStart"/>
      <w:r w:rsidRPr="003B7F55">
        <w:rPr>
          <w:rFonts w:ascii="Times New Roman" w:eastAsia="Calibri" w:hAnsi="Times New Roman" w:cs="Times New Roman"/>
          <w:i/>
          <w:sz w:val="24"/>
          <w:szCs w:val="24"/>
          <w:lang w:eastAsia="lv-LV"/>
        </w:rPr>
        <w:t>euro</w:t>
      </w:r>
      <w:proofErr w:type="spellEnd"/>
      <w:r w:rsidRPr="003B7F55">
        <w:rPr>
          <w:rFonts w:ascii="Times New Roman" w:eastAsia="Calibri" w:hAnsi="Times New Roman" w:cs="Times New Roman"/>
          <w:sz w:val="24"/>
          <w:szCs w:val="24"/>
          <w:lang w:eastAsia="lv-LV"/>
        </w:rPr>
        <w:t xml:space="preserve"> apmērā. </w:t>
      </w:r>
      <w:r w:rsidRPr="003B7F55">
        <w:rPr>
          <w:rFonts w:ascii="Times New Roman" w:eastAsia="Calibri" w:hAnsi="Times New Roman" w:cs="Times New Roman"/>
          <w:bCs/>
          <w:sz w:val="24"/>
          <w:szCs w:val="24"/>
          <w:lang w:eastAsia="lv-LV"/>
        </w:rPr>
        <w:t>Ņemot vērā aktuālākos izpildes datus, ĢVP saņēmēju skaits nesasniedz 2020.gada plānoto skaitu, attiecīgi prognozēts, ka arī 2021.-2023.gadā saņēmēju skaits ĢVP būs mazāks par bāzē plānoto, tādējādi 2021.-2023.gadā nepieciešamā finansējuma apmērs ĢVP tiks nodrošināts LM pamatbudžeta apakšprogrammā 20.01.00 “Valsts sociālie pabalsti” ĢVP plānotā finansējuma ietvaros.</w:t>
      </w:r>
    </w:p>
    <w:p w:rsidR="000C47CE" w:rsidRPr="003B7F55" w:rsidRDefault="000C47CE" w:rsidP="000C47CE">
      <w:pPr>
        <w:tabs>
          <w:tab w:val="left" w:pos="4644"/>
        </w:tabs>
        <w:spacing w:before="120" w:after="120" w:line="240" w:lineRule="auto"/>
        <w:ind w:right="71"/>
        <w:jc w:val="both"/>
        <w:rPr>
          <w:rFonts w:ascii="Times New Roman" w:eastAsia="Calibri" w:hAnsi="Times New Roman" w:cs="Times New Roman"/>
          <w:b/>
          <w:bCs/>
          <w:i/>
          <w:sz w:val="24"/>
          <w:szCs w:val="24"/>
          <w:lang w:eastAsia="lv-LV"/>
        </w:rPr>
      </w:pPr>
      <w:r w:rsidRPr="003B7F55">
        <w:rPr>
          <w:rFonts w:ascii="Times New Roman" w:eastAsia="Calibri" w:hAnsi="Times New Roman" w:cs="Times New Roman"/>
          <w:b/>
          <w:bCs/>
          <w:i/>
          <w:sz w:val="24"/>
          <w:szCs w:val="24"/>
          <w:lang w:eastAsia="lv-LV"/>
        </w:rPr>
        <w:t>Piedzimšanas pabalsta izmaksas nosacījumu maiņa</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 xml:space="preserve">Šobrīd VSPL 8.panta otrā daļa nosaka, ka tiesības saņemt bērna piedzimšanas pabalstu rodas no astotās bērna dzīvības dienas vai no aizbildnības nodibināšanas dienas. Bērna tiesību un interešu prioritāte nozīmē, ka ne vien tiesai un citām institūcijām savi lēmumi jāpieņem, ievērojot bērnu tiesības un intereses, bet arī likumdevējam normatīvie akti jāpieņem vai jāgroza, aizsargājot bērnu tiesības un intereses iespējami labākajā veidā. Ņemot vērā, ka vecākiem finansiālie izdevumi, kas saistīti ar bērna piedzimšanu, izveidojas jau pirms bērna piedzimšanas, iegādājoties pūriņu un visas nepieciešamās lietas, lai pēc bērna piedzimšanas viņi spētu uzreiz nodrošināt pilnvērtīgu bērna aprūpi, tad valstiskā līmenī ir jāsniedz finansiāls atbalsts ģimenēm uzreiz pēc bērna reģistrācijas. Līdz ar to, lai mazinātu sociālās atstumtības un nabadzības risku ģimenēm, uzlabotu ģimeņu materiālo situāciju, nepieciešams paredzēt tiesības saņemt bērna piedzimšanas pabalstu par jebkuru reģistrētu bērnu. Ņemot vērā, ka personu skaits, kuras varētu skart minētās izmaiņas, ir ļoti neliels, minētās normas īstenošana tiks nodrošināta </w:t>
      </w:r>
      <w:r w:rsidRPr="003B7F55">
        <w:rPr>
          <w:rFonts w:ascii="Times New Roman" w:eastAsia="Calibri" w:hAnsi="Times New Roman" w:cs="Times New Roman"/>
          <w:bCs/>
          <w:sz w:val="24"/>
          <w:szCs w:val="24"/>
          <w:lang w:eastAsia="lv-LV"/>
        </w:rPr>
        <w:t xml:space="preserve">LM pamatbudžeta apakšprogrammā 20.01.00 “Valsts sociālie pabalsti” </w:t>
      </w:r>
      <w:r w:rsidRPr="003B7F55">
        <w:rPr>
          <w:rFonts w:ascii="Times New Roman" w:eastAsia="Times New Roman" w:hAnsi="Times New Roman" w:cs="Times New Roman"/>
          <w:sz w:val="24"/>
          <w:szCs w:val="24"/>
        </w:rPr>
        <w:t>bērna piedzimšanas pabalstam plānotā finansējuma ietvaros un neradīs papildu finansējuma nepieciešamību.</w:t>
      </w:r>
    </w:p>
    <w:p w:rsidR="000C47CE" w:rsidRPr="003B7F55" w:rsidRDefault="000C47CE" w:rsidP="000C47CE">
      <w:pPr>
        <w:spacing w:before="120" w:after="120" w:line="240" w:lineRule="auto"/>
        <w:jc w:val="both"/>
        <w:rPr>
          <w:rFonts w:ascii="Times New Roman" w:eastAsia="Times New Roman" w:hAnsi="Times New Roman" w:cs="Times New Roman"/>
          <w:b/>
          <w:i/>
          <w:sz w:val="24"/>
          <w:szCs w:val="24"/>
        </w:rPr>
      </w:pPr>
      <w:r w:rsidRPr="003B7F55">
        <w:rPr>
          <w:rFonts w:ascii="Times New Roman" w:eastAsia="Times New Roman" w:hAnsi="Times New Roman" w:cs="Times New Roman"/>
          <w:b/>
          <w:i/>
          <w:sz w:val="24"/>
          <w:szCs w:val="24"/>
        </w:rPr>
        <w:t>Administratīvā sloga mazināšana personām ar invaliditāti</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VSPL paredz, ka kopšanas pabalstu personai ar invaliditāti un pabalstu transporta izdevumu kompensēšanai piešķir no dienas, kad Veselības un darbspēju ekspertīzes ārstu valsts komisija (turpmāk – VDEĀVK) ir izdevusi attiecīgos atzinumus par indikāciju noteikšanu. Saskaņā ar VSPL, lai saņemtu valsts sociālo pabalstu, tā pieprasītājs personiski vai ar pilnvarotas personas starpniecību iesniedz VSAA rakstveida pieprasījumu. Taču praksē mēdz būt situācijas, kad personām savu fizisko spēju ierobežojumu dēļ nav iespējas šo iesniegumu ne parakstīt, ne arī iesniegt. Tāpat šīm personām gan dažādu veselības traucējumu dēļ, gan citu iemeslu dēļ bieži nav iespējams nokārtot pilnvarojumu. Lai atvieglotu īpašas kopšanas pabalsta un pabalsta transporta izdevumu kompensēšanai saņemšanas iespēju, tā mazinot administratīvo slogu un uzlabojot ģimeņu, kurās ir persona ar invaliditāti, iespējas saņemt sev nepieciešamo atbalstu, nepieciešams paredzēt, ka personām ar invaliditāti vai personām, kuras kopj bērnu ar invaliditāti un kurām VSAA izmaksā invaliditātes pensiju, valsts sociālā nodrošinājuma pabalstu invaliditātes gadījumā vai piemaksu pie ĢVP par bērnu ar invaliditāti, īpašas kopšanas pabalstu un pabalstu transporta izdevumu kompensēšanai piešķir bez personas iesnieguma, tikai pamatojoties uz VDEĀVK sniegto informāciju par personai noteiktajām medicīniskajām indikācijām.</w:t>
      </w:r>
    </w:p>
    <w:p w:rsidR="000C47CE" w:rsidRPr="003B7F55" w:rsidRDefault="000C47CE" w:rsidP="000C47CE">
      <w:pPr>
        <w:spacing w:before="120" w:after="120" w:line="240" w:lineRule="auto"/>
        <w:jc w:val="both"/>
        <w:rPr>
          <w:rFonts w:ascii="Times New Roman" w:eastAsia="Times New Roman" w:hAnsi="Times New Roman" w:cs="Times New Roman"/>
          <w:b/>
          <w:i/>
          <w:sz w:val="24"/>
          <w:szCs w:val="24"/>
        </w:rPr>
      </w:pPr>
      <w:r w:rsidRPr="003B7F55">
        <w:rPr>
          <w:rFonts w:ascii="Times New Roman" w:eastAsia="Times New Roman" w:hAnsi="Times New Roman" w:cs="Times New Roman"/>
          <w:b/>
          <w:i/>
          <w:sz w:val="24"/>
          <w:szCs w:val="24"/>
        </w:rPr>
        <w:t xml:space="preserve">Citas nepieciešamās izmaiņas </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 xml:space="preserve">Paredzēts precizēt terminoloģiju, saskaņot VSPL tiesību normas ar citu likumu normām, t.sk. ņemot vērā, ka 2021.gada 28.jūnijā stāsies spēkā Fizisko personu reģistra likums, novērst neskaidrības vairāku tiesību normu piemērošanā, nosakot, ka sociālā nodrošinājuma pabalsts personai tiek piešķirts viens, apmēra ziņā lielākais pabalsts, kā arī saskaņā ar Apvienoto Nāciju Organizācijas Konvenciju par personu ar invaliditāti tiesībām un Invaliditātes likumu attiecībā uz personu, kurai ir noteikta invaliditāte, paredzēts mainīt pabalstu nosaukumus, lietojot terminus “persona ar invaliditāti” un “bērns ar invaliditāti”. </w:t>
      </w:r>
    </w:p>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 xml:space="preserve">Lai VSAA nodrošinātu izmaiņu realizāciju (IS pielāgošanu), 2021.gadā sociālās apdrošināšanas speciālā budžeta </w:t>
      </w:r>
      <w:r w:rsidRPr="003B7F55">
        <w:rPr>
          <w:rFonts w:ascii="Times New Roman" w:eastAsia="Calibri" w:hAnsi="Times New Roman" w:cs="Times New Roman"/>
          <w:bCs/>
          <w:sz w:val="24"/>
          <w:szCs w:val="24"/>
          <w:lang w:eastAsia="lv-LV"/>
        </w:rPr>
        <w:t>apakšprogrammā 04.05.00 “</w:t>
      </w:r>
      <w:r w:rsidRPr="003B7F55">
        <w:rPr>
          <w:rFonts w:ascii="Times New Roman" w:eastAsia="Times New Roman" w:hAnsi="Times New Roman" w:cs="Times New Roman"/>
          <w:bCs/>
          <w:sz w:val="24"/>
          <w:szCs w:val="24"/>
          <w:lang w:eastAsia="lv-LV"/>
        </w:rPr>
        <w:t>Valsts sociālās apdrošināšanas aģentūras speciālais budžets</w:t>
      </w:r>
      <w:r w:rsidRPr="003B7F55">
        <w:rPr>
          <w:rFonts w:ascii="Times New Roman" w:eastAsia="Calibri" w:hAnsi="Times New Roman" w:cs="Times New Roman"/>
          <w:bCs/>
          <w:sz w:val="24"/>
          <w:szCs w:val="24"/>
          <w:lang w:eastAsia="lv-LV"/>
        </w:rPr>
        <w:t xml:space="preserve">” nepieciešami līdzekļi 311 454 </w:t>
      </w:r>
      <w:proofErr w:type="spellStart"/>
      <w:r w:rsidRPr="003B7F55">
        <w:rPr>
          <w:rFonts w:ascii="Times New Roman" w:eastAsia="Calibri" w:hAnsi="Times New Roman" w:cs="Times New Roman"/>
          <w:bCs/>
          <w:i/>
          <w:sz w:val="24"/>
          <w:szCs w:val="24"/>
          <w:lang w:eastAsia="lv-LV"/>
        </w:rPr>
        <w:t>euro</w:t>
      </w:r>
      <w:proofErr w:type="spellEnd"/>
      <w:r w:rsidRPr="003B7F55">
        <w:rPr>
          <w:rFonts w:ascii="Times New Roman" w:eastAsia="Calibri" w:hAnsi="Times New Roman" w:cs="Times New Roman"/>
          <w:bCs/>
          <w:sz w:val="24"/>
          <w:szCs w:val="24"/>
          <w:lang w:eastAsia="lv-LV"/>
        </w:rPr>
        <w:t xml:space="preserve"> apmērā. Ņemot vērā samazinātās demogrāfijas tendences, tika pārskatīti 2021.gadam plānotie izdevumi bērnu kopšanas pabalsta izmaksu nodrošināšanai un prognozēts mazāks attiecīgā pabalsta saņēmēju skaits vidēji mēnesī, samazinot to par 197 personām. </w:t>
      </w:r>
      <w:r w:rsidRPr="003B7F55">
        <w:rPr>
          <w:rFonts w:ascii="Times New Roman" w:eastAsia="Calibri" w:hAnsi="Times New Roman" w:cs="Times New Roman"/>
          <w:iCs/>
          <w:sz w:val="24"/>
          <w:szCs w:val="24"/>
        </w:rPr>
        <w:t xml:space="preserve">Līdz ar to nepieciešamais finansējums IS pielāgošanas nodrošināšanai 311 454 </w:t>
      </w:r>
      <w:proofErr w:type="spellStart"/>
      <w:r w:rsidRPr="003B7F55">
        <w:rPr>
          <w:rFonts w:ascii="Times New Roman" w:eastAsia="Calibri" w:hAnsi="Times New Roman" w:cs="Times New Roman"/>
          <w:i/>
          <w:iCs/>
          <w:sz w:val="24"/>
          <w:szCs w:val="24"/>
        </w:rPr>
        <w:t>euro</w:t>
      </w:r>
      <w:proofErr w:type="spellEnd"/>
      <w:r w:rsidRPr="003B7F55">
        <w:rPr>
          <w:rFonts w:ascii="Times New Roman" w:eastAsia="Calibri" w:hAnsi="Times New Roman" w:cs="Times New Roman"/>
          <w:iCs/>
          <w:sz w:val="24"/>
          <w:szCs w:val="24"/>
        </w:rPr>
        <w:t xml:space="preserve"> apmērā tiks nodrošināts </w:t>
      </w:r>
      <w:r w:rsidRPr="003B7F55">
        <w:rPr>
          <w:rFonts w:ascii="Times New Roman" w:eastAsia="Calibri" w:hAnsi="Times New Roman" w:cs="Times New Roman"/>
          <w:bCs/>
          <w:sz w:val="24"/>
          <w:szCs w:val="24"/>
          <w:lang w:eastAsia="lv-LV"/>
        </w:rPr>
        <w:t>LM pamatbudžeta apakšprogrammas 20.01.00 “Valsts sociālie pabalsti” ietvaros</w:t>
      </w:r>
      <w:r w:rsidRPr="003B7F55">
        <w:rPr>
          <w:rFonts w:ascii="Times New Roman" w:eastAsia="Calibri" w:hAnsi="Times New Roman" w:cs="Times New Roman"/>
          <w:iCs/>
          <w:sz w:val="24"/>
          <w:szCs w:val="24"/>
        </w:rPr>
        <w:t>, veicot līdzekļu pārdali</w:t>
      </w:r>
      <w:r w:rsidRPr="003B7F55">
        <w:rPr>
          <w:rFonts w:ascii="Times New Roman" w:eastAsia="Calibri" w:hAnsi="Times New Roman" w:cs="Times New Roman"/>
          <w:bCs/>
          <w:sz w:val="24"/>
          <w:szCs w:val="24"/>
          <w:lang w:eastAsia="lv-LV"/>
        </w:rPr>
        <w:t xml:space="preserve">, samazinot izdevumus sociāla rakstura maksājumiem un kompensācijām un attiecīgi palielinot izdevumus valsts budžeta kapitālo izdevumu </w:t>
      </w:r>
      <w:proofErr w:type="spellStart"/>
      <w:r w:rsidRPr="003B7F55">
        <w:rPr>
          <w:rFonts w:ascii="Times New Roman" w:eastAsia="Calibri" w:hAnsi="Times New Roman" w:cs="Times New Roman"/>
          <w:bCs/>
          <w:sz w:val="24"/>
          <w:szCs w:val="24"/>
          <w:lang w:eastAsia="lv-LV"/>
        </w:rPr>
        <w:t>transfertiem</w:t>
      </w:r>
      <w:proofErr w:type="spellEnd"/>
      <w:r w:rsidRPr="003B7F55">
        <w:rPr>
          <w:rFonts w:ascii="Times New Roman" w:eastAsia="Calibri" w:hAnsi="Times New Roman" w:cs="Times New Roman"/>
          <w:bCs/>
          <w:sz w:val="24"/>
          <w:szCs w:val="24"/>
          <w:lang w:eastAsia="lv-LV"/>
        </w:rPr>
        <w:t xml:space="preserve"> no valsts pamatbudžeta uz valsts speciālo budžetu, lai nodrošinātu </w:t>
      </w:r>
      <w:proofErr w:type="spellStart"/>
      <w:r w:rsidRPr="003B7F55">
        <w:rPr>
          <w:rFonts w:ascii="Times New Roman" w:eastAsia="Calibri" w:hAnsi="Times New Roman" w:cs="Times New Roman"/>
          <w:bCs/>
          <w:sz w:val="24"/>
          <w:szCs w:val="24"/>
          <w:lang w:eastAsia="lv-LV"/>
        </w:rPr>
        <w:t>transferta</w:t>
      </w:r>
      <w:proofErr w:type="spellEnd"/>
      <w:r w:rsidRPr="003B7F55">
        <w:rPr>
          <w:rFonts w:ascii="Times New Roman" w:eastAsia="Calibri" w:hAnsi="Times New Roman" w:cs="Times New Roman"/>
          <w:bCs/>
          <w:sz w:val="24"/>
          <w:szCs w:val="24"/>
          <w:lang w:eastAsia="lv-LV"/>
        </w:rPr>
        <w:t xml:space="preserve"> pārskaitījumu uz valsts speciālā budžeta apakšprogrammu 04.05.00 “Valsts sociālās apdrošināšanas aģentūras speciālais budžets” (izdevumi pamatkapitāla veidošanai).</w:t>
      </w:r>
    </w:p>
    <w:tbl>
      <w:tblPr>
        <w:tblpPr w:leftFromText="180" w:rightFromText="180" w:vertAnchor="text" w:horzAnchor="margin" w:tblpY="29"/>
        <w:tblW w:w="9351" w:type="dxa"/>
        <w:tblLayout w:type="fixed"/>
        <w:tblLook w:val="04A0" w:firstRow="1" w:lastRow="0" w:firstColumn="1" w:lastColumn="0" w:noHBand="0" w:noVBand="1"/>
      </w:tblPr>
      <w:tblGrid>
        <w:gridCol w:w="7792"/>
        <w:gridCol w:w="1559"/>
      </w:tblGrid>
      <w:tr w:rsidR="000C47CE" w:rsidRPr="003B7F55" w:rsidTr="003B7F55">
        <w:trPr>
          <w:trHeight w:val="416"/>
          <w:tblHeader/>
        </w:trPr>
        <w:tc>
          <w:tcPr>
            <w:tcW w:w="7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C47CE" w:rsidRPr="003B7F55" w:rsidRDefault="000C47CE" w:rsidP="003B7F55">
            <w:pPr>
              <w:spacing w:after="0" w:line="240" w:lineRule="auto"/>
              <w:jc w:val="both"/>
              <w:rPr>
                <w:rFonts w:ascii="Times New Roman" w:hAnsi="Times New Roman" w:cs="Times New Roman"/>
                <w:color w:val="000000"/>
                <w:sz w:val="20"/>
                <w:szCs w:val="20"/>
                <w:lang w:eastAsia="lv-LV"/>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C47CE" w:rsidRPr="003B7F55" w:rsidRDefault="000C47CE" w:rsidP="003B7F55">
            <w:pPr>
              <w:spacing w:after="0" w:line="240" w:lineRule="auto"/>
              <w:jc w:val="center"/>
              <w:rPr>
                <w:rFonts w:ascii="Times New Roman" w:hAnsi="Times New Roman" w:cs="Times New Roman"/>
                <w:color w:val="000000"/>
                <w:sz w:val="20"/>
                <w:szCs w:val="20"/>
                <w:lang w:eastAsia="lv-LV"/>
              </w:rPr>
            </w:pPr>
            <w:r w:rsidRPr="003B7F55">
              <w:rPr>
                <w:rFonts w:ascii="Times New Roman" w:hAnsi="Times New Roman" w:cs="Times New Roman"/>
                <w:color w:val="000000"/>
                <w:sz w:val="20"/>
                <w:szCs w:val="20"/>
                <w:lang w:eastAsia="lv-LV"/>
              </w:rPr>
              <w:t>2021</w:t>
            </w:r>
          </w:p>
        </w:tc>
      </w:tr>
      <w:tr w:rsidR="000C47CE" w:rsidRPr="003B7F55" w:rsidTr="003B7F55">
        <w:trPr>
          <w:trHeight w:val="254"/>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both"/>
              <w:rPr>
                <w:rFonts w:ascii="Times New Roman" w:hAnsi="Times New Roman" w:cs="Times New Roman"/>
                <w:b/>
                <w:color w:val="000000"/>
                <w:sz w:val="20"/>
                <w:szCs w:val="20"/>
                <w:lang w:eastAsia="lv-LV"/>
              </w:rPr>
            </w:pPr>
            <w:r w:rsidRPr="003B7F55">
              <w:rPr>
                <w:rFonts w:ascii="Times New Roman" w:hAnsi="Times New Roman" w:cs="Times New Roman"/>
                <w:b/>
                <w:color w:val="000000"/>
                <w:sz w:val="20"/>
                <w:szCs w:val="20"/>
                <w:lang w:eastAsia="lv-LV"/>
              </w:rPr>
              <w:t>Ieņēmumi</w:t>
            </w:r>
            <w:r w:rsidRPr="003B7F55">
              <w:rPr>
                <w:rFonts w:ascii="Times New Roman" w:hAnsi="Times New Roman" w:cs="Times New Roman"/>
                <w:color w:val="000000"/>
                <w:sz w:val="20"/>
                <w:szCs w:val="20"/>
                <w:lang w:eastAsia="lv-LV"/>
              </w:rPr>
              <w:t xml:space="preserve">, </w:t>
            </w:r>
            <w:proofErr w:type="spellStart"/>
            <w:r w:rsidRPr="003B7F55">
              <w:rPr>
                <w:rFonts w:ascii="Times New Roman" w:hAnsi="Times New Roman" w:cs="Times New Roman"/>
                <w:i/>
                <w:color w:val="000000"/>
                <w:sz w:val="20"/>
                <w:szCs w:val="20"/>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C47CE" w:rsidRPr="003B7F55" w:rsidRDefault="000C47CE" w:rsidP="003B7F55">
            <w:pPr>
              <w:spacing w:after="0" w:line="240" w:lineRule="auto"/>
              <w:jc w:val="center"/>
              <w:rPr>
                <w:rFonts w:ascii="Times New Roman" w:hAnsi="Times New Roman" w:cs="Times New Roman"/>
                <w:b/>
                <w:color w:val="000000"/>
                <w:sz w:val="20"/>
                <w:szCs w:val="20"/>
              </w:rPr>
            </w:pPr>
            <w:r w:rsidRPr="003B7F55">
              <w:rPr>
                <w:rFonts w:ascii="Times New Roman" w:hAnsi="Times New Roman" w:cs="Times New Roman"/>
                <w:b/>
                <w:color w:val="000000"/>
                <w:sz w:val="20"/>
                <w:szCs w:val="20"/>
              </w:rPr>
              <w:t>0</w:t>
            </w:r>
          </w:p>
        </w:tc>
      </w:tr>
      <w:tr w:rsidR="000C47CE" w:rsidRPr="003B7F55" w:rsidTr="003B7F55">
        <w:trPr>
          <w:trHeight w:val="254"/>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both"/>
              <w:rPr>
                <w:rFonts w:ascii="Times New Roman" w:hAnsi="Times New Roman" w:cs="Times New Roman"/>
                <w:b/>
                <w:color w:val="000000"/>
                <w:sz w:val="20"/>
                <w:szCs w:val="20"/>
                <w:lang w:eastAsia="lv-LV"/>
              </w:rPr>
            </w:pPr>
            <w:r w:rsidRPr="003B7F55">
              <w:rPr>
                <w:rFonts w:ascii="Times New Roman" w:hAnsi="Times New Roman" w:cs="Times New Roman"/>
                <w:b/>
                <w:color w:val="000000"/>
                <w:sz w:val="20"/>
                <w:szCs w:val="20"/>
                <w:lang w:eastAsia="lv-LV"/>
              </w:rPr>
              <w:t>Izdevumi</w:t>
            </w:r>
            <w:r w:rsidRPr="003B7F55">
              <w:rPr>
                <w:rFonts w:ascii="Times New Roman" w:hAnsi="Times New Roman" w:cs="Times New Roman"/>
                <w:color w:val="000000"/>
                <w:sz w:val="20"/>
                <w:szCs w:val="20"/>
                <w:lang w:eastAsia="lv-LV"/>
              </w:rPr>
              <w:t xml:space="preserve">, </w:t>
            </w:r>
            <w:proofErr w:type="spellStart"/>
            <w:r w:rsidRPr="003B7F55">
              <w:rPr>
                <w:rFonts w:ascii="Times New Roman" w:hAnsi="Times New Roman" w:cs="Times New Roman"/>
                <w:i/>
                <w:color w:val="000000"/>
                <w:sz w:val="20"/>
                <w:szCs w:val="20"/>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C47CE" w:rsidRPr="003B7F55" w:rsidRDefault="000C47CE" w:rsidP="003B7F55">
            <w:pPr>
              <w:spacing w:after="0" w:line="240" w:lineRule="auto"/>
              <w:jc w:val="center"/>
              <w:rPr>
                <w:rFonts w:ascii="Times New Roman" w:hAnsi="Times New Roman" w:cs="Times New Roman"/>
                <w:b/>
                <w:color w:val="000000"/>
                <w:sz w:val="20"/>
                <w:szCs w:val="20"/>
              </w:rPr>
            </w:pPr>
            <w:r w:rsidRPr="003B7F55">
              <w:rPr>
                <w:rFonts w:ascii="Times New Roman" w:hAnsi="Times New Roman" w:cs="Times New Roman"/>
                <w:b/>
                <w:color w:val="000000"/>
                <w:sz w:val="20"/>
                <w:szCs w:val="20"/>
              </w:rPr>
              <w:t>0</w:t>
            </w:r>
          </w:p>
        </w:tc>
      </w:tr>
      <w:tr w:rsidR="000C47CE" w:rsidRPr="003B7F55" w:rsidTr="003B7F55">
        <w:trPr>
          <w:trHeight w:val="254"/>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both"/>
              <w:rPr>
                <w:rFonts w:ascii="Times New Roman" w:hAnsi="Times New Roman" w:cs="Times New Roman"/>
                <w:color w:val="000000"/>
                <w:sz w:val="20"/>
                <w:szCs w:val="20"/>
                <w:lang w:eastAsia="lv-LV"/>
              </w:rPr>
            </w:pPr>
            <w:r w:rsidRPr="003B7F55">
              <w:rPr>
                <w:rFonts w:ascii="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C47CE" w:rsidRPr="003B7F55" w:rsidRDefault="000C47CE" w:rsidP="003B7F55">
            <w:pPr>
              <w:spacing w:after="0" w:line="240" w:lineRule="auto"/>
              <w:jc w:val="center"/>
              <w:rPr>
                <w:rFonts w:ascii="Times New Roman" w:hAnsi="Times New Roman" w:cs="Times New Roman"/>
                <w:color w:val="000000"/>
                <w:sz w:val="20"/>
                <w:szCs w:val="20"/>
              </w:rPr>
            </w:pPr>
            <w:r w:rsidRPr="003B7F55">
              <w:rPr>
                <w:rFonts w:ascii="Times New Roman" w:hAnsi="Times New Roman" w:cs="Times New Roman"/>
                <w:color w:val="000000"/>
                <w:sz w:val="20"/>
                <w:szCs w:val="20"/>
              </w:rPr>
              <w:t>0</w:t>
            </w:r>
          </w:p>
        </w:tc>
      </w:tr>
      <w:tr w:rsidR="000C47CE" w:rsidRPr="003B7F55" w:rsidTr="003B7F55">
        <w:trPr>
          <w:trHeight w:val="3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both"/>
              <w:rPr>
                <w:rFonts w:ascii="Times New Roman" w:hAnsi="Times New Roman" w:cs="Times New Roman"/>
                <w:color w:val="000000"/>
                <w:sz w:val="20"/>
                <w:szCs w:val="20"/>
                <w:lang w:eastAsia="lv-LV"/>
              </w:rPr>
            </w:pPr>
            <w:r w:rsidRPr="003B7F55">
              <w:rPr>
                <w:rFonts w:ascii="Times New Roman" w:hAnsi="Times New Roman" w:cs="Times New Roman"/>
                <w:color w:val="000000"/>
                <w:sz w:val="20"/>
                <w:szCs w:val="20"/>
                <w:lang w:eastAsia="lv-LV"/>
              </w:rPr>
              <w:t xml:space="preserve">pamatbudžeta apakšprogramma 20.01.00 “Valsts sociālie pabalsti” – izdevumu </w:t>
            </w:r>
            <w:r w:rsidRPr="003B7F55">
              <w:rPr>
                <w:rFonts w:ascii="Times New Roman" w:eastAsia="Times New Roman" w:hAnsi="Times New Roman" w:cs="Times New Roman"/>
                <w:sz w:val="20"/>
                <w:szCs w:val="20"/>
              </w:rPr>
              <w:t xml:space="preserve"> sociāla rakstura maksājumiem un kompensācijām</w:t>
            </w:r>
            <w:r w:rsidRPr="003B7F55">
              <w:rPr>
                <w:rFonts w:ascii="Times New Roman" w:hAnsi="Times New Roman" w:cs="Times New Roman"/>
                <w:color w:val="000000"/>
                <w:lang w:eastAsia="lv-LV"/>
              </w:rPr>
              <w:t xml:space="preserve"> </w:t>
            </w:r>
            <w:r w:rsidRPr="003B7F55">
              <w:rPr>
                <w:rFonts w:ascii="Times New Roman" w:hAnsi="Times New Roman" w:cs="Times New Roman"/>
                <w:color w:val="000000"/>
                <w:sz w:val="20"/>
                <w:szCs w:val="20"/>
                <w:lang w:eastAsia="lv-LV"/>
              </w:rPr>
              <w:t>samazinājums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center"/>
              <w:rPr>
                <w:rFonts w:ascii="Times New Roman" w:hAnsi="Times New Roman" w:cs="Times New Roman"/>
                <w:color w:val="000000"/>
                <w:sz w:val="20"/>
                <w:szCs w:val="20"/>
              </w:rPr>
            </w:pPr>
            <w:r w:rsidRPr="003B7F55">
              <w:rPr>
                <w:rFonts w:ascii="Times New Roman" w:hAnsi="Times New Roman" w:cs="Times New Roman"/>
                <w:color w:val="000000"/>
                <w:sz w:val="20"/>
                <w:szCs w:val="20"/>
              </w:rPr>
              <w:t>-311 454</w:t>
            </w:r>
          </w:p>
        </w:tc>
      </w:tr>
      <w:tr w:rsidR="000C47CE" w:rsidRPr="003B7F55" w:rsidTr="003B7F55">
        <w:trPr>
          <w:trHeight w:val="30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both"/>
              <w:rPr>
                <w:rFonts w:ascii="Times New Roman" w:hAnsi="Times New Roman" w:cs="Times New Roman"/>
                <w:color w:val="000000"/>
                <w:sz w:val="20"/>
                <w:szCs w:val="20"/>
                <w:lang w:eastAsia="lv-LV"/>
              </w:rPr>
            </w:pPr>
            <w:r w:rsidRPr="003B7F55">
              <w:rPr>
                <w:rFonts w:ascii="Times New Roman" w:hAnsi="Times New Roman" w:cs="Times New Roman"/>
                <w:color w:val="000000"/>
                <w:sz w:val="20"/>
                <w:szCs w:val="20"/>
                <w:lang w:eastAsia="lv-LV"/>
              </w:rPr>
              <w:t xml:space="preserve">pamatbudžeta apakšprogramma 20.01.00 “Valsts sociālie pabalsti” – izdevumu </w:t>
            </w:r>
            <w:r w:rsidRPr="003B7F55">
              <w:rPr>
                <w:rFonts w:ascii="Times New Roman" w:hAnsi="Times New Roman" w:cs="Times New Roman"/>
                <w:sz w:val="20"/>
                <w:szCs w:val="20"/>
              </w:rPr>
              <w:t xml:space="preserve"> </w:t>
            </w:r>
            <w:r w:rsidRPr="003B7F55">
              <w:rPr>
                <w:rFonts w:ascii="Times New Roman" w:hAnsi="Times New Roman" w:cs="Times New Roman"/>
                <w:color w:val="000000"/>
                <w:sz w:val="20"/>
                <w:szCs w:val="20"/>
                <w:lang w:eastAsia="lv-LV"/>
              </w:rPr>
              <w:t xml:space="preserve">valsts budžeta kapitālo izdevumu </w:t>
            </w:r>
            <w:proofErr w:type="spellStart"/>
            <w:r w:rsidRPr="003B7F55">
              <w:rPr>
                <w:rFonts w:ascii="Times New Roman" w:hAnsi="Times New Roman" w:cs="Times New Roman"/>
                <w:color w:val="000000"/>
                <w:sz w:val="20"/>
                <w:szCs w:val="20"/>
                <w:lang w:eastAsia="lv-LV"/>
              </w:rPr>
              <w:t>transfertiem</w:t>
            </w:r>
            <w:proofErr w:type="spellEnd"/>
            <w:r w:rsidRPr="003B7F55">
              <w:rPr>
                <w:rFonts w:ascii="Times New Roman" w:hAnsi="Times New Roman" w:cs="Times New Roman"/>
                <w:color w:val="000000"/>
                <w:sz w:val="20"/>
                <w:szCs w:val="20"/>
                <w:lang w:eastAsia="lv-LV"/>
              </w:rPr>
              <w:t xml:space="preserve"> no valsts pamatbudžeta uz valsts speciālo budžetu  palielinājums (apakšprogrammā 04.05.00 “Valsts sociālās apdrošināšanas aģentūras speciālais budžets” – izdevumi pamatkapitāla veidošanai)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47CE" w:rsidRPr="003B7F55" w:rsidRDefault="000C47CE" w:rsidP="003B7F55">
            <w:pPr>
              <w:spacing w:after="0" w:line="240" w:lineRule="auto"/>
              <w:jc w:val="center"/>
              <w:rPr>
                <w:rFonts w:ascii="Times New Roman" w:hAnsi="Times New Roman" w:cs="Times New Roman"/>
                <w:color w:val="000000"/>
                <w:sz w:val="20"/>
                <w:szCs w:val="20"/>
              </w:rPr>
            </w:pPr>
            <w:r w:rsidRPr="003B7F55">
              <w:rPr>
                <w:rFonts w:ascii="Times New Roman" w:hAnsi="Times New Roman" w:cs="Times New Roman"/>
                <w:color w:val="000000"/>
                <w:sz w:val="20"/>
                <w:szCs w:val="20"/>
              </w:rPr>
              <w:t>311 454</w:t>
            </w:r>
          </w:p>
        </w:tc>
      </w:tr>
    </w:tbl>
    <w:p w:rsidR="000C47CE" w:rsidRPr="003B7F55" w:rsidRDefault="000C47CE" w:rsidP="000C47CE">
      <w:pPr>
        <w:spacing w:before="120" w:after="120" w:line="240" w:lineRule="auto"/>
        <w:ind w:firstLine="720"/>
        <w:jc w:val="both"/>
        <w:rPr>
          <w:rFonts w:ascii="Times New Roman" w:eastAsia="Times New Roman" w:hAnsi="Times New Roman" w:cs="Times New Roman"/>
          <w:sz w:val="24"/>
          <w:szCs w:val="24"/>
        </w:rPr>
      </w:pPr>
      <w:r w:rsidRPr="003B7F55">
        <w:rPr>
          <w:rFonts w:ascii="Times New Roman" w:eastAsia="Times New Roman" w:hAnsi="Times New Roman" w:cs="Times New Roman"/>
          <w:sz w:val="24"/>
          <w:szCs w:val="24"/>
        </w:rPr>
        <w:t>Lai ieviestu minētās izmaiņas, nepieciešams veikt grozījumus Valsts sociālo pabalstu likumā.</w:t>
      </w:r>
    </w:p>
    <w:p w:rsidR="00522A46" w:rsidRPr="002F6C90" w:rsidRDefault="00522A46" w:rsidP="00522A46">
      <w:pPr>
        <w:tabs>
          <w:tab w:val="left" w:pos="993"/>
        </w:tabs>
        <w:spacing w:before="120" w:after="120" w:line="240" w:lineRule="auto"/>
        <w:ind w:firstLine="709"/>
        <w:jc w:val="both"/>
        <w:rPr>
          <w:rFonts w:ascii="Times New Roman" w:eastAsia="Times New Roman" w:hAnsi="Times New Roman" w:cs="Times New Roman"/>
          <w:sz w:val="24"/>
          <w:szCs w:val="24"/>
        </w:rPr>
      </w:pPr>
      <w:r w:rsidRPr="002F6C90">
        <w:rPr>
          <w:rFonts w:ascii="Times New Roman" w:hAnsi="Times New Roman" w:cs="Times New Roman"/>
          <w:b/>
          <w:sz w:val="24"/>
          <w:szCs w:val="24"/>
        </w:rPr>
        <w:t xml:space="preserve">5.5.2. </w:t>
      </w:r>
      <w:r w:rsidRPr="002F6C90">
        <w:rPr>
          <w:rFonts w:ascii="Times New Roman" w:eastAsia="Times New Roman" w:hAnsi="Times New Roman" w:cs="Times New Roman"/>
          <w:sz w:val="24"/>
          <w:szCs w:val="24"/>
        </w:rPr>
        <w:t xml:space="preserve">LM ir iesniegusi fiskāli </w:t>
      </w:r>
      <w:r w:rsidR="001F3E37">
        <w:rPr>
          <w:rFonts w:ascii="Times New Roman" w:eastAsia="Times New Roman" w:hAnsi="Times New Roman" w:cs="Times New Roman"/>
          <w:sz w:val="24"/>
          <w:szCs w:val="24"/>
        </w:rPr>
        <w:t>neitrālu priekšlikumu (LM š.g. 9</w:t>
      </w:r>
      <w:r w:rsidRPr="002F6C90">
        <w:rPr>
          <w:rFonts w:ascii="Times New Roman" w:eastAsia="Times New Roman" w:hAnsi="Times New Roman" w:cs="Times New Roman"/>
          <w:sz w:val="24"/>
          <w:szCs w:val="24"/>
        </w:rPr>
        <w:t>.septembra vēstule Nr.</w:t>
      </w:r>
      <w:r w:rsidRPr="002F6C90">
        <w:t xml:space="preserve"> </w:t>
      </w:r>
      <w:r w:rsidR="001F3E37">
        <w:rPr>
          <w:rFonts w:ascii="Times New Roman" w:eastAsia="Times New Roman" w:hAnsi="Times New Roman" w:cs="Times New Roman"/>
          <w:sz w:val="24"/>
          <w:szCs w:val="24"/>
        </w:rPr>
        <w:t>25-1-01/65</w:t>
      </w:r>
      <w:r w:rsidRPr="002F6C90">
        <w:rPr>
          <w:rFonts w:ascii="Times New Roman" w:eastAsia="Times New Roman" w:hAnsi="Times New Roman" w:cs="Times New Roman"/>
          <w:sz w:val="24"/>
          <w:szCs w:val="24"/>
        </w:rPr>
        <w:t>). LM, veicot valsts sociālās apdrošināšanas speciālā budžeta bāzes izdevumu 2021.-2023.gadam atkārtotu analīzi, secinājusi, ka bezdarbnieka pabalsta saņēmēju skaits 2020.gadā nepieaug tik strauji kā tika prognozēts, sagatavojot 2021.-2023.gada valsts sociālās apdrošināšanas speciālā budžeta bāzes aprēķinu. Ņemot vērā, ka, prognozējot 2021.-2023.gada izdevumus, viens no faktoriem ir 2020.gada prognozētā izpilde, attiecīgi LM prognozē, ka arī 2021., 2022. un 2023.gadā bezdarbnieku pabalsta saņēmēju skaits varētu būt mazāks par bāzē plānoto (saņēmēju skaits vidēji mēnesī tiek prognozēts mazāks - 2021.gadā par 4 427 personām, 2022.gadā  par 6 503 personām un 2023.gadā par 6 617 personām). Līdz ar to LM uzskata, ka valsts sociālās apdrošināšanas speciālā budžeta bāzes izdevumos 2021.-2023.gadam apakšprogrammā 04.02.00 “Nodarbinātības speciālais budžets” rodas izdevumu bezdarbnieka pabalsta izmaksām ietaupījums 2021.gadā 18 981 238</w:t>
      </w:r>
      <w:r w:rsidRPr="002F6C90">
        <w:rPr>
          <w:rFonts w:ascii="Times New Roman" w:eastAsia="Times New Roman" w:hAnsi="Times New Roman" w:cs="Times New Roman"/>
          <w:i/>
          <w:sz w:val="24"/>
          <w:szCs w:val="24"/>
        </w:rPr>
        <w:t xml:space="preserve">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i/>
          <w:sz w:val="24"/>
          <w:szCs w:val="24"/>
        </w:rPr>
        <w:t xml:space="preserve"> </w:t>
      </w:r>
      <w:r w:rsidRPr="002F6C90">
        <w:rPr>
          <w:rFonts w:ascii="Times New Roman" w:eastAsia="Times New Roman" w:hAnsi="Times New Roman" w:cs="Times New Roman"/>
          <w:sz w:val="24"/>
          <w:szCs w:val="24"/>
        </w:rPr>
        <w:t xml:space="preserve">apmērā, 2022.gadā 29 364 026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apmērā un 2023.gadā 31 372 769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apmērā. Minēto izdevumu ietaupījumu LM vēlas pārdalīt LM neatliekamu pasākumu īstenošanai.</w:t>
      </w:r>
    </w:p>
    <w:p w:rsidR="00522A46" w:rsidRPr="002F6C90" w:rsidRDefault="00522A46" w:rsidP="00522A46">
      <w:pPr>
        <w:pStyle w:val="ListParagraph"/>
        <w:numPr>
          <w:ilvl w:val="0"/>
          <w:numId w:val="17"/>
        </w:numPr>
        <w:tabs>
          <w:tab w:val="left" w:pos="993"/>
        </w:tabs>
        <w:spacing w:before="120" w:after="120" w:line="240" w:lineRule="auto"/>
        <w:ind w:left="0" w:firstLine="1069"/>
        <w:jc w:val="both"/>
        <w:rPr>
          <w:rFonts w:ascii="Times New Roman" w:eastAsia="Times New Roman" w:hAnsi="Times New Roman" w:cs="Times New Roman"/>
          <w:sz w:val="24"/>
          <w:szCs w:val="24"/>
        </w:rPr>
      </w:pPr>
      <w:r w:rsidRPr="002F6C90">
        <w:rPr>
          <w:rFonts w:ascii="Times New Roman" w:eastAsia="Times New Roman" w:hAnsi="Times New Roman" w:cs="Times New Roman"/>
          <w:b/>
          <w:sz w:val="24"/>
          <w:szCs w:val="24"/>
        </w:rPr>
        <w:t>prioritārā pasākuma “Asistenta pakalpojuma pārskatīšana” (18_02_P) īstenošanai</w:t>
      </w:r>
      <w:r w:rsidRPr="002F6C90">
        <w:rPr>
          <w:rFonts w:ascii="Times New Roman" w:eastAsia="Times New Roman" w:hAnsi="Times New Roman" w:cs="Times New Roman"/>
          <w:sz w:val="24"/>
          <w:szCs w:val="24"/>
        </w:rPr>
        <w:t>, lai pilnveidotu asistenta pakalpojuma pašvaldībā nodrošināšanas kārtību.</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Lai uzlabotu pakalpojuma pieejamību personām ar ļoti smagiem un smagiem funkcionēšanas spēju ierobežojumiem, prioritārais pasākums paredz pilnveidojumus asistenta pakalpojuma pašvaldībā nodrošināšanas kārtībā.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Personu loks, kam šobrīd ir tiesības pretendēt uz pakalpojuma piešķiršanu, ir noteikts Invaliditātes likumā, tie ir bērni ar invaliditāti ar īpašas kopšanas nepieciešamību un pilngadīgas personas ar I un II invaliditātes grupu, kurām ir VDEĀVK izsniegts atzinums par asistenta pakalpojuma nepieciešamību.</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Asistenta pakalpojuma pašvaldībā nodrošināšana tika uzsāka ar 01.01.2013. un tas ir viens no galvenajiem pakalpojumiem personu ar invaliditāti neatkarības veicināšanai. Ieteikumi pakalpojuma pilnveidošanai sniegti Valsts kontroles 2016.gada 18.marta revīzijas ziņojumā “Vai personām ar invaliditāti paredzētais asistenta pakalpojums nodrošina tā izveidošanas mērķu segšanu?”, t.sk. sniegts ieteikums pilnveidot asistenta pakalpojuma nepieciešamības novērtēšanas kārtību.</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Galvenās nepilnības: 1) nepilnīga pakalpojuma nepieciešamības noteikšanas kārtība, kas ļauj saņemt pakalpojumu arī personām, kurām asistenta atbalsts nav nepieciešams; 2) asistenta pakalpojuma administrēšana ir sarežģīta un rada nesamērīgu slogu asistentiem, pakalpojuma saņēmējiem un sociālajiem dienestiem; 3) personas ar invaliditāti jūtas aizskartas, jo saņemtā pakalpojuma pierādīšanas dēļ nākas atklāt privātās dzīves detaļas; 4) nesamērīgi zems asistenta atalgojums (minimālā stundas tarifa likme).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Lai uzlabotu asistenta pakalpojuma pieejamību personām ar ļoti smagiem un smagiem funkcionēšanas spēju ierobežojumiem, LM paredzējusi pilnveidojumus asistenta pakalpojuma pašvaldībā nodrošināšanas kārtībā. LM ir izstrādājusi konceptuālā ziņojuma “Par asistenta pakalpojuma pašvaldībā pilnveidošanu” projektu (iesniegts Valsts kancelejā ar LM 14.07.2020.vēstuli Nr.TA-92/21-21/177 izskatīšanai Ministru kabinetā) (turpmāk – konceptuālā ziņojuma projekts), kurā ietverti risinājumi asistenta pakalpojuma pašvaldībā trūkumu novēršanai.</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Prioritārais pasākums paredz ieviest vienotu anketu visās pašvaldībās pakalpojuma nepieciešamības izvērtēšanai pilngadīgām personām, noteikt vienas vienības cenu, paaugstināt atalgojumu asistentiem. Vienlaikus pasākums paredz ievērojami mainīt un paplašināt asistenta pakalpojumu bērniem ar invaliditāti (nosakot arī pavadoņa un asistenta pakalpojumus) un vienlaikus paredzot nodrošināt arī pašvaldības finansētu sociālo aprūpi, kā arī mainot pakalpojuma piešķiršanas kārtību.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Pasākums paredz, ka valsts finansē, bet pašvaldības administrē pavadoņa pakalpojumu bērniem un asistenta pakalpojumu pilngadīgām personām un bērniem. Norēķināšanās kārtība starp LM un sociālajiem dienestiem tiek saglabāta līdzšinējā – ministrija sedz pašvaldībām pakalpojumam izlietotā finansējuma apmēru. Savukārt sociālās aprūpes pakalpojumu bērniem finansē no pašvaldību budžeta līdzekļiem.</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Saistībā ar Ministru kabineta (turpmāk – MK) 2019.gada 13.septembra sēdes lēmumu (MK sēdes protokols Nr.41 1.§ 20.punkts), ka valsts budžeta izdevumi, kas ir tieši saistīti ar minimālo algu ar 2020.gada 1.janvāri netiek piesaistīti minimālās algas apmēram, Saeima 2019.gada 13.novembrī pieņēma likumu “Grozījumi Invaliditātes likumā”, kurā noteikts deleģējums MK noteikt maksimālo personai piešķiramo asistenta pakalpojuma pašvaldībā apjomu un noteikt no valsts budžeta nepieciešamā finansējuma apmēru, atsaistot atalgojuma apmēru asistentiem no minimālās algas. Minētās normas stāsies spēkā 2021.gada 1.janvārī.  Likumā “Grozījumi Invaliditātes likumā” MK dots jauns deleģējums noteikt asistenta pakalpojuma atteikšanas, izbeigšanas, pārtraukšanas nosacījumus, maksimālo asistenta pakalpojuma apjomu un asistenta pakalpojumam nepieciešamā valsts budžeta finansējuma apmēru.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Ņemot vērā identificētos trūkumus pakalpojuma nodrošināšanā, pakalpojuma nodrošināšanā nepieciešamas būtiskas izmaiņas. LM, iesaistot mērķa grupas organizācijas, ir sagatavojusi priekšlikumus pakalpojuma pilnveidošanai (ietverti konceptuālā ziņojuma projektā), un nepieciešams MK lēmums par atbalstāmo risinājuma variantu, lai sagatavotu nepieciešamās izmaiņas normatīvo aktu regulējumā. Pēc MK lēmuma par atbalstu prioritārajam pasākumam, nepieciešams vismaz seši mēneši, lai izstrādātu nepieciešamo tiesisko regulējumu un veiktu nepieciešamās izmaiņas informācijas sistēmās - Valsts sociālās politikas monitoringa informācijas sistēmā (SPOLIS) un pašvaldību Sociālās sfēras procesu pārvaldības lietojumprogrammā (SOPA).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Galvenās izmaiņas ar 01.07.2021. pasākuma īstenošanas rezultātā (atbilstoši konceptuālā ziņojuma projekta 1.A variantam):</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tiek noteikta asistenta pakalpojuma vienas stundas cena. Vienlaikus, ieviešot vienas vienības cenas pieeju samaksā par pakalpojumu, jāņem vērā, ka atalgojums jebkuram pakalpojuma sniedzējam nedrīkst būt mazāks par valstī noteikto minimālo stundas tarifa likmi:</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 par personai nodrošinātu vienas stundas pavadoņa un asistenta pakalpojumu no valsts budžeta tiek segti izdevumi atbilstoši pakalpojuma cenas kalkulācijai – 4,73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/1h, nosakot 5% administrēšanas izdevumiem;</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 par nepilngadīgai personai nodrošinātu vienas stundas sociālās aprūpes pakalpojumu no pašvaldību budžeta tiek segti izdevumi atbilstoši pakalpojuma cenas kalkulācijā noteiktajam atalgojuma apmēram – 4,50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/1h, administrēšanas izdevumus sedz pašvaldības;</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pavadoņa, asistenta un sociālās aprūpes veicēja atalgojums pielīdzināts LM padotībā esošo ilgstošas sociālās aprūpes un sociālās rehabilitācijas iestāžu aprūpētāju algai - 608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par slodzi (ar 01.07.2021.);</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atcelta nepieciešamība pēc VDEĀVK atzinuma pilngadīgām personām, jo par personas piederību mērķa grupai sociālais dienests var pārliecināties Invaliditātes informatīvajā sistēmā;</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bērniem pavadoņa pakalpojumu (5-18 </w:t>
      </w:r>
      <w:proofErr w:type="spellStart"/>
      <w:r w:rsidRPr="002F6C90">
        <w:rPr>
          <w:rFonts w:ascii="Times New Roman" w:eastAsia="Times New Roman" w:hAnsi="Times New Roman" w:cs="Times New Roman"/>
          <w:sz w:val="24"/>
          <w:szCs w:val="24"/>
        </w:rPr>
        <w:t>g.v</w:t>
      </w:r>
      <w:proofErr w:type="spellEnd"/>
      <w:r w:rsidRPr="002F6C90">
        <w:rPr>
          <w:rFonts w:ascii="Times New Roman" w:eastAsia="Times New Roman" w:hAnsi="Times New Roman" w:cs="Times New Roman"/>
          <w:sz w:val="24"/>
          <w:szCs w:val="24"/>
        </w:rPr>
        <w:t>.) piešķirs, balstoties uz VDEĀVK izsniegto atzinumu par pavadoņa nepieciešamību (jauns atzinums);</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bērniem asistenta pakalpojumu (5-18 </w:t>
      </w:r>
      <w:proofErr w:type="spellStart"/>
      <w:r w:rsidRPr="002F6C90">
        <w:rPr>
          <w:rFonts w:ascii="Times New Roman" w:eastAsia="Times New Roman" w:hAnsi="Times New Roman" w:cs="Times New Roman"/>
          <w:sz w:val="24"/>
          <w:szCs w:val="24"/>
        </w:rPr>
        <w:t>g.v</w:t>
      </w:r>
      <w:proofErr w:type="spellEnd"/>
      <w:r w:rsidRPr="002F6C90">
        <w:rPr>
          <w:rFonts w:ascii="Times New Roman" w:eastAsia="Times New Roman" w:hAnsi="Times New Roman" w:cs="Times New Roman"/>
          <w:sz w:val="24"/>
          <w:szCs w:val="24"/>
        </w:rPr>
        <w:t>.) piešķirs, balstoties uz VDEĀVK izsniegto atzinumu par īpašas kopšanas nepieciešamību;</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pašvaldības finansētu sociālo aprūpi piešķirs bērniem, kuriem izsniegts VDEĀVK atzinums par īpašas kopšanas nepieciešamību un pašvaldības sociālais dienests konstatējis sociālās aprūpes nepieciešamību;</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nepieciešamību pēc pakalpojuma noteiks ar vienotu asistenta pakalpojuma nepieciešamības un atbalsta intensitātes novērtēšanas anketu pilngadīgām personām;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piešķirs konstantu stundu apjomu mēnesī, ko persona būs tiesīga izmantot pēc saviem ieskatiem;</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pakalpojuma apjomu (konstants pakalpojuma stundu skaits mēnesī) pilngadīgām personām sociālais dienests noteiks atbilstoši intensitātes līmenim (koeficients 1 un koeficients 2), ko noteiks atbilstoši anketai par personas pārvietošanās spējām un personas iesaisti pasākumos (mērķiem);</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vienkāršota atskaitīšanās kārtība, paredzot iesniegt tikai ikmēneša apliecinājumu, t.i., asistenta un asistenta pakalpojuma saņēmēja parakstītu pakalpojuma pieņemšanas/nodošanas aktu par mēnesī izlietotajām pakalpojuma stundām (persona un asistents apliecina, ka pakalpojums sniegts/saņemts piešķirtajā konstanto stundu apjomā);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noteikt prasību sociālajam dienestam veikt 10% pakalpojumu saņēmēju lietu izlases veida kontroli;</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transporta izdevumi asistentam tiks kompensēti atbilstoši vienotiem noteiktajiem kritērijiem, kas paredz atskaitīšanos.</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Ņemot vērā nepieciešamās izmaiņas informācijas sistēmās, kā arī to, ka pirms jaunās kārtības stāšanās spēkā nepieciešams izstrādāt metodiku jaunās anketas pielietošanai un nodrošināt sociālo dienestu apmācības, kā arī veiksmīgai izmaiņu ieviešanai nepieciešama savlaicīga sabiedrības informēšana, prioritāro pasākumu paredzēts ieviest no 2021.gada 1.jūlija.</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Asistenta pakalpojuma pašvaldībās nodrošināšanai LM pamatbudžeta bāzes izdevumos 2021.gadam plānoti izdevumi 18 810 639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apmērā. Plānots, ka asistenta pakalpojuma pašvaldībās saņēmēju unikālais skaits līdz 31.12.2021. sasniegs 11 812 personas (t.sk. 5 526 personas, kurām noteikta I invaliditātes grupa, un 5 193 personas, kurām noteikta II invaliditātes grupa, kā arī 1 093 personas līdz 18 gadu vecumam, kurām noteikta invaliditāte).</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hAnsi="Times New Roman" w:cs="Times New Roman"/>
          <w:sz w:val="24"/>
          <w:szCs w:val="24"/>
          <w:lang w:eastAsia="lv-LV"/>
        </w:rPr>
        <w:t>Invaliditātes likuma regulējums paredz, ka MK nosaka asistenta pakalpojumam nepieciešamā valsts budžeta finansējuma aprēķināšanas un piešķiršanas kārtību.</w:t>
      </w:r>
      <w:r w:rsidRPr="002F6C90">
        <w:rPr>
          <w:rFonts w:ascii="Times New Roman" w:eastAsia="Times New Roman" w:hAnsi="Times New Roman" w:cs="Times New Roman"/>
          <w:sz w:val="24"/>
          <w:szCs w:val="24"/>
        </w:rPr>
        <w:t xml:space="preserve"> Saskaņā ar MK 18.12.2012. noteikumu Nr.942 “Kārtība, kādā piešķir un finansē asistenta pakalpojumu pašvaldībā, augstskolā un koledžā” normām asistenta atalgojums 2020.gadam noteikts atbilstoši minimālajai stundas tarifa likmei. Vienlaikus 01.01.2021. spēkā stāsies likums “Grozījumi Invaliditātes likumā”, kas paredz, ka MK nosaka asistenta pakalpojumam nepieciešamā valsts budžeta finansējuma apmēru. Tādējādi nepieciešams sagatavot grozījumus MK noteikumos Nr.942, lai noteiktu asistenta pakalpojuma vienas stundas cenu no 01.01.2021. līdz 30.06.2021., kas tiktu aprēķināta, ņemot vērā minimālo algu, kāda tā būs no 01.01.2021., jo saskaņā ar darba likumdošanu darba samaksa nevar būt zemāka par minimālās algas apmēru (arī tad, ja tā nav noteikta minimālās stundas tarifa likmes apmērā, bet gan tā vietā noteikta pakalpojuma vienas stundas cena). Lai nodrošinātu asistenta pakalpojuma pašvaldībās sniedzēju darba samaksu 2021.gada pirmajā pusgadā atbilstoši prognozējamai minimālajai stundas tarifa likmei, papildu nepieciešami 1 484 835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Savukārt, lai pilnveidotu asistenta pakalpojumu pašvaldībā ar 01.07.2021., papildu nepieciešamais valsts budžeta finansējums 2021.gada otrajā pusgadā ir 8 001 285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(t.sk. 136 600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informācijas sistēmu Vienotās sociālās politikas monitoringa informācijas sistēmas (SPOLIS), (64 000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un Pašvaldību sociālās palīdzības un sociālo pakalpojumu administrēšanas lietojumprogrammas (SOPA), (72 600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izmaiņām), 2022.gadā – 21 364 224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2023.gadā – 23 372 967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Līdz ar to, lai nodrošinātu prioritārā pasākuma ieviešanu un īstenošanu, kopā nepieciešams papildu valsts budžeta finansējums 2021.gadā 9 486 120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apmērā, 2022.gadā 21 364 224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apmērā un 2023.gadā 23 372 967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apmērā, tajā skaitā:</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apakšprogrammai 05.01.00 “Sociālās rehabilitācijas valsts programmas” pārējiem valsts budžeta uzturēšanas izdevumu </w:t>
      </w:r>
      <w:proofErr w:type="spellStart"/>
      <w:r w:rsidRPr="002F6C90">
        <w:rPr>
          <w:rFonts w:ascii="Times New Roman" w:eastAsia="Times New Roman" w:hAnsi="Times New Roman" w:cs="Times New Roman"/>
          <w:sz w:val="24"/>
          <w:szCs w:val="24"/>
        </w:rPr>
        <w:t>transfertiem</w:t>
      </w:r>
      <w:proofErr w:type="spellEnd"/>
      <w:r w:rsidRPr="002F6C90">
        <w:rPr>
          <w:rFonts w:ascii="Times New Roman" w:eastAsia="Times New Roman" w:hAnsi="Times New Roman" w:cs="Times New Roman"/>
          <w:sz w:val="24"/>
          <w:szCs w:val="24"/>
        </w:rPr>
        <w:t xml:space="preserve"> pašvaldībām 2021.gadā 9 349 520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2022.gadā 21 364 224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un 2023.gadā 23 372 967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lai nodrošinātu asistenta pakalpojuma pašvaldībās apmaksu;</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ab/>
        <w:t xml:space="preserve">apakšprogrammai 97.02.00 “Nozares centralizēto funkciju izpilde”  2021.gadā 136 600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tajā skaitā izdevumiem pamatkapitāla veidošanai 64 000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lai nodrošinātu Vienotās sociālās politikas monitoringa informācijas sistēmas (SPOLIS) pielāgošanu, un pārējiem valsts budžeta uzturēšanas izdevumu </w:t>
      </w:r>
      <w:proofErr w:type="spellStart"/>
      <w:r w:rsidRPr="002F6C90">
        <w:rPr>
          <w:rFonts w:ascii="Times New Roman" w:eastAsia="Times New Roman" w:hAnsi="Times New Roman" w:cs="Times New Roman"/>
          <w:sz w:val="24"/>
          <w:szCs w:val="24"/>
        </w:rPr>
        <w:t>transfertiem</w:t>
      </w:r>
      <w:proofErr w:type="spellEnd"/>
      <w:r w:rsidRPr="002F6C90">
        <w:rPr>
          <w:rFonts w:ascii="Times New Roman" w:eastAsia="Times New Roman" w:hAnsi="Times New Roman" w:cs="Times New Roman"/>
          <w:sz w:val="24"/>
          <w:szCs w:val="24"/>
        </w:rPr>
        <w:t xml:space="preserve"> pašvaldībām  72 600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lai nodrošinātu Pašvaldību sociālās palīdzības un sociālo pakalpojumu administrēšanas lietojumprogrammas (SOPA) pielāgošanu (</w:t>
      </w:r>
      <w:proofErr w:type="spellStart"/>
      <w:r w:rsidRPr="002F6C90">
        <w:rPr>
          <w:rFonts w:ascii="Times New Roman" w:eastAsia="Times New Roman" w:hAnsi="Times New Roman" w:cs="Times New Roman"/>
          <w:sz w:val="24"/>
          <w:szCs w:val="24"/>
        </w:rPr>
        <w:t>transferta</w:t>
      </w:r>
      <w:proofErr w:type="spellEnd"/>
      <w:r w:rsidRPr="002F6C90">
        <w:rPr>
          <w:rFonts w:ascii="Times New Roman" w:eastAsia="Times New Roman" w:hAnsi="Times New Roman" w:cs="Times New Roman"/>
          <w:sz w:val="24"/>
          <w:szCs w:val="24"/>
        </w:rPr>
        <w:t xml:space="preserve"> pārskaitīšanai Rīgas pilsētas pašvaldībai (Rīgas domes Informācijas tehnoloģiju centram SOPA izmaiņu veikšanai ar nosacījumu, ka veiktās izmaiņas tiek ieviestas visām pašvaldībām bezmaksas lietošanā)). </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Plānots, ka 2021.gadā pakalpojuma saņēmēju skaits sasniegs 11 106 personas (t.sk. 2600 bērni), 2022.gadā – 11 661 personu un 2023.gadā – 12 244 personas (pieaugums ik gadu vidēji par 5%).</w:t>
      </w:r>
    </w:p>
    <w:p w:rsidR="00522A46" w:rsidRPr="002F6C90"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Vienlaikus, ieviešot plānotos pasākumus, papildu izdevumi radīsies arī pašvaldību budžetiem 2021.gadā 1 838 890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2022.gadā 4 746 633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 xml:space="preserve"> un 2023.gadā 4 983 965 </w:t>
      </w:r>
      <w:proofErr w:type="spellStart"/>
      <w:r w:rsidRPr="002F6C90">
        <w:rPr>
          <w:rFonts w:ascii="Times New Roman" w:eastAsia="Times New Roman" w:hAnsi="Times New Roman" w:cs="Times New Roman"/>
          <w:i/>
          <w:sz w:val="24"/>
          <w:szCs w:val="24"/>
        </w:rPr>
        <w:t>euro</w:t>
      </w:r>
      <w:proofErr w:type="spellEnd"/>
      <w:r w:rsidRPr="002F6C90">
        <w:rPr>
          <w:rFonts w:ascii="Times New Roman" w:eastAsia="Times New Roman" w:hAnsi="Times New Roman" w:cs="Times New Roman"/>
          <w:sz w:val="24"/>
          <w:szCs w:val="24"/>
        </w:rPr>
        <w:t>.</w:t>
      </w:r>
    </w:p>
    <w:p w:rsidR="00522A46" w:rsidRPr="004E0B4B" w:rsidRDefault="00522A46" w:rsidP="00522A46">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Lai ieviestu minētās izmaiņas, nepieciešams veikt grozījumus Invaliditātes likumā, nodefinējot un nosakot tiesības bērniem saņemt pavadoņa pakalpojumu un sociālās aprūpes pakalpojumu, kā arī pārskatot personu grupas, kurām ir tiesības saņemt asistenta pakalpojumu. Jānosaka deleģējums MK noteikt kritējus pavadoņa, asistenta un sociālās aprūpes nepieciešamībai un jāpārskata deleģējums kritērijiem par asistenta pakalpojuma nepieciešamību. Jānosaka pienākums no pašvaldību budžeta līdzekļiem finansēt sociālās aprūpes pakalpojumu, kā arī jāizvērtē nepieciešamība noteikt personas datu apstrādes tiesības Valsts sociālās politikas monitoringa informācijas sistēmā (SPOLIS).</w:t>
      </w:r>
      <w:r w:rsidRPr="004E0B4B">
        <w:rPr>
          <w:rFonts w:ascii="Times New Roman" w:eastAsia="Times New Roman" w:hAnsi="Times New Roman" w:cs="Times New Roman"/>
          <w:sz w:val="24"/>
          <w:szCs w:val="24"/>
        </w:rPr>
        <w:t xml:space="preserve"> </w:t>
      </w:r>
    </w:p>
    <w:p w:rsidR="00522A46" w:rsidRPr="00423581" w:rsidRDefault="00522A46" w:rsidP="00522A46">
      <w:pPr>
        <w:pStyle w:val="ListParagraph"/>
        <w:numPr>
          <w:ilvl w:val="0"/>
          <w:numId w:val="17"/>
        </w:numPr>
        <w:tabs>
          <w:tab w:val="left" w:pos="993"/>
        </w:tabs>
        <w:spacing w:before="120" w:after="120" w:line="240" w:lineRule="auto"/>
        <w:ind w:left="0" w:firstLine="851"/>
        <w:jc w:val="both"/>
        <w:rPr>
          <w:rFonts w:ascii="Times New Roman" w:eastAsia="Times New Roman" w:hAnsi="Times New Roman" w:cs="Times New Roman"/>
          <w:sz w:val="24"/>
          <w:szCs w:val="24"/>
        </w:rPr>
      </w:pPr>
      <w:r w:rsidRPr="00423581">
        <w:rPr>
          <w:rFonts w:ascii="Times New Roman" w:eastAsia="Times New Roman" w:hAnsi="Times New Roman" w:cs="Times New Roman"/>
          <w:b/>
          <w:sz w:val="24"/>
          <w:szCs w:val="24"/>
        </w:rPr>
        <w:t>prioritārā pasākuma “Atbalsts nevalstiskajām organizācijām” (18_14_P) īstenošanai</w:t>
      </w:r>
      <w:r w:rsidRPr="00423581">
        <w:rPr>
          <w:rFonts w:ascii="Times New Roman" w:eastAsia="Times New Roman" w:hAnsi="Times New Roman" w:cs="Times New Roman"/>
          <w:sz w:val="24"/>
          <w:szCs w:val="24"/>
        </w:rPr>
        <w:t>, lai nodrošinātu atbalstu labklājības nozari pārstāvošajām nevalstiskajām organizācijām.</w:t>
      </w:r>
    </w:p>
    <w:p w:rsidR="00522A46" w:rsidRDefault="00522A46" w:rsidP="00522A46">
      <w:pPr>
        <w:tabs>
          <w:tab w:val="left" w:pos="993"/>
        </w:tabs>
        <w:spacing w:before="120" w:after="120" w:line="240" w:lineRule="auto"/>
        <w:ind w:firstLine="709"/>
        <w:jc w:val="both"/>
        <w:rPr>
          <w:rFonts w:ascii="Times New Roman" w:eastAsia="Times New Roman" w:hAnsi="Times New Roman" w:cs="Times New Roman"/>
          <w:sz w:val="24"/>
          <w:szCs w:val="24"/>
        </w:rPr>
      </w:pPr>
      <w:r w:rsidRPr="00B70574">
        <w:rPr>
          <w:rFonts w:ascii="Times New Roman" w:eastAsia="Times New Roman" w:hAnsi="Times New Roman" w:cs="Times New Roman"/>
          <w:sz w:val="24"/>
          <w:szCs w:val="24"/>
        </w:rPr>
        <w:t xml:space="preserve">Līdz šim </w:t>
      </w:r>
      <w:r>
        <w:rPr>
          <w:rFonts w:ascii="Times New Roman" w:eastAsia="Times New Roman" w:hAnsi="Times New Roman" w:cs="Times New Roman"/>
          <w:sz w:val="24"/>
          <w:szCs w:val="24"/>
        </w:rPr>
        <w:t>LM</w:t>
      </w:r>
      <w:r w:rsidRPr="00B70574">
        <w:rPr>
          <w:rFonts w:ascii="Times New Roman" w:eastAsia="Times New Roman" w:hAnsi="Times New Roman" w:cs="Times New Roman"/>
          <w:sz w:val="24"/>
          <w:szCs w:val="24"/>
        </w:rPr>
        <w:t xml:space="preserve"> ir sniegusi atbalstu </w:t>
      </w:r>
      <w:r>
        <w:rPr>
          <w:rFonts w:ascii="Times New Roman" w:eastAsia="Times New Roman" w:hAnsi="Times New Roman" w:cs="Times New Roman"/>
          <w:sz w:val="24"/>
          <w:szCs w:val="24"/>
        </w:rPr>
        <w:t>labklājības nozari pārstāvošajām nevalstiskajām organizācijām (turpmāk – NVO)</w:t>
      </w:r>
      <w:r w:rsidRPr="00B70574">
        <w:rPr>
          <w:rFonts w:ascii="Times New Roman" w:eastAsia="Times New Roman" w:hAnsi="Times New Roman" w:cs="Times New Roman"/>
          <w:sz w:val="24"/>
          <w:szCs w:val="24"/>
        </w:rPr>
        <w:t>, kuru darbības vērstas uz sociālās atstumtības riskam pakļauto sabiedrības grupu informēšanu, izglītošanu, iesaistīšanu un aktivizēšanu. Šāda atbalsta saglabāšana NVO ir būtiska  ar</w:t>
      </w:r>
      <w:r>
        <w:rPr>
          <w:rFonts w:ascii="Times New Roman" w:eastAsia="Times New Roman" w:hAnsi="Times New Roman" w:cs="Times New Roman"/>
          <w:sz w:val="24"/>
          <w:szCs w:val="24"/>
        </w:rPr>
        <w:t>ī turpmākajos gados. Līdz ar to</w:t>
      </w:r>
      <w:r w:rsidRPr="00B70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paredzēts</w:t>
      </w:r>
      <w:r w:rsidRPr="00B70574">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- 2023.</w:t>
      </w:r>
      <w:r w:rsidRPr="00B70574">
        <w:rPr>
          <w:rFonts w:ascii="Times New Roman" w:eastAsia="Times New Roman" w:hAnsi="Times New Roman" w:cs="Times New Roman"/>
          <w:sz w:val="24"/>
          <w:szCs w:val="24"/>
        </w:rPr>
        <w:t>gadā turpināt iepriekšējos gados valsts budžeta finansēto NVO pasākumu ilgtspējas nodrošināšanu - atbalsta sniegšanu NVO, kuru darbības galvenās jomas saistītas ar labklājības nozares jautājumiem, sniedzot kvalitatīvu ekspertīzi nozares politikas plānošanai, stiprinot sabiedrības savstarpējo komunikāciju un izpratni par labklājības jomas jautājumiem</w:t>
      </w:r>
      <w:r>
        <w:rPr>
          <w:rFonts w:ascii="Times New Roman" w:eastAsia="Times New Roman" w:hAnsi="Times New Roman" w:cs="Times New Roman"/>
          <w:sz w:val="24"/>
          <w:szCs w:val="24"/>
        </w:rPr>
        <w:t xml:space="preserve">, tādejādi </w:t>
      </w:r>
      <w:r w:rsidRPr="00423581">
        <w:rPr>
          <w:rFonts w:ascii="Times New Roman" w:eastAsia="Times New Roman" w:hAnsi="Times New Roman" w:cs="Times New Roman"/>
          <w:sz w:val="24"/>
          <w:szCs w:val="24"/>
        </w:rPr>
        <w:t xml:space="preserve">nepieciešams palielināt </w:t>
      </w:r>
      <w:r>
        <w:rPr>
          <w:rFonts w:ascii="Times New Roman" w:eastAsia="Times New Roman" w:hAnsi="Times New Roman" w:cs="Times New Roman"/>
          <w:sz w:val="24"/>
          <w:szCs w:val="24"/>
        </w:rPr>
        <w:t xml:space="preserve">LM pamatbudžeta </w:t>
      </w:r>
      <w:r w:rsidRPr="00423581">
        <w:rPr>
          <w:rFonts w:ascii="Times New Roman" w:eastAsia="Times New Roman" w:hAnsi="Times New Roman" w:cs="Times New Roman"/>
          <w:sz w:val="24"/>
          <w:szCs w:val="24"/>
        </w:rPr>
        <w:t>apakšprogrammai 05.63.00 “Dotācija biedrībām, nodibinājumiem un reliģiskām organizācijām”</w:t>
      </w:r>
      <w:r>
        <w:rPr>
          <w:rFonts w:ascii="Times New Roman" w:eastAsia="Times New Roman" w:hAnsi="Times New Roman" w:cs="Times New Roman"/>
          <w:sz w:val="24"/>
          <w:szCs w:val="24"/>
        </w:rPr>
        <w:t xml:space="preserve"> dotāciju no vispārējiem ieņēmumiem un </w:t>
      </w:r>
      <w:r w:rsidRPr="00423581">
        <w:rPr>
          <w:rFonts w:ascii="Times New Roman" w:eastAsia="Times New Roman" w:hAnsi="Times New Roman" w:cs="Times New Roman"/>
          <w:sz w:val="24"/>
          <w:szCs w:val="24"/>
        </w:rPr>
        <w:t xml:space="preserve">izdevumus subsīdijām un dotācijām </w:t>
      </w:r>
      <w:r w:rsidRPr="002106E1">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-2023.</w:t>
      </w:r>
      <w:r w:rsidRPr="002106E1">
        <w:rPr>
          <w:rFonts w:ascii="Times New Roman" w:eastAsia="Times New Roman" w:hAnsi="Times New Roman" w:cs="Times New Roman"/>
          <w:sz w:val="24"/>
          <w:szCs w:val="24"/>
        </w:rPr>
        <w:t>gad</w:t>
      </w:r>
      <w:r>
        <w:rPr>
          <w:rFonts w:ascii="Times New Roman" w:eastAsia="Times New Roman" w:hAnsi="Times New Roman" w:cs="Times New Roman"/>
          <w:sz w:val="24"/>
          <w:szCs w:val="24"/>
        </w:rPr>
        <w:t>am</w:t>
      </w:r>
      <w:r w:rsidRPr="00210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 gadu 150 000</w:t>
      </w:r>
      <w:r w:rsidRPr="002106E1">
        <w:rPr>
          <w:rFonts w:ascii="Times New Roman" w:eastAsia="Times New Roman" w:hAnsi="Times New Roman" w:cs="Times New Roman"/>
          <w:sz w:val="24"/>
          <w:szCs w:val="24"/>
        </w:rPr>
        <w:t xml:space="preserve"> </w:t>
      </w:r>
      <w:proofErr w:type="spellStart"/>
      <w:r w:rsidRPr="002106E1">
        <w:rPr>
          <w:rFonts w:ascii="Times New Roman" w:eastAsia="Times New Roman" w:hAnsi="Times New Roman" w:cs="Times New Roman"/>
          <w:i/>
          <w:sz w:val="24"/>
          <w:szCs w:val="24"/>
        </w:rPr>
        <w:t>euro</w:t>
      </w:r>
      <w:proofErr w:type="spellEnd"/>
      <w:r w:rsidRPr="00210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apmērā</w:t>
      </w:r>
      <w:r w:rsidRPr="002106E1">
        <w:rPr>
          <w:rFonts w:ascii="Times New Roman" w:eastAsia="Times New Roman" w:hAnsi="Times New Roman" w:cs="Times New Roman"/>
          <w:sz w:val="24"/>
          <w:szCs w:val="24"/>
        </w:rPr>
        <w:t>.</w:t>
      </w:r>
    </w:p>
    <w:p w:rsidR="00522A46" w:rsidRDefault="00522A46" w:rsidP="00522A46">
      <w:pPr>
        <w:pStyle w:val="ListParagraph"/>
        <w:numPr>
          <w:ilvl w:val="0"/>
          <w:numId w:val="17"/>
        </w:numPr>
        <w:tabs>
          <w:tab w:val="left" w:pos="993"/>
        </w:tabs>
        <w:spacing w:before="120" w:after="120" w:line="240" w:lineRule="auto"/>
        <w:ind w:left="0" w:firstLine="709"/>
        <w:jc w:val="both"/>
        <w:rPr>
          <w:rFonts w:ascii="Times New Roman" w:eastAsia="Times New Roman" w:hAnsi="Times New Roman" w:cs="Times New Roman"/>
          <w:sz w:val="24"/>
          <w:szCs w:val="24"/>
        </w:rPr>
      </w:pPr>
      <w:r w:rsidRPr="00423581">
        <w:rPr>
          <w:rFonts w:ascii="Times New Roman" w:eastAsia="Times New Roman" w:hAnsi="Times New Roman" w:cs="Times New Roman"/>
          <w:b/>
          <w:sz w:val="24"/>
          <w:szCs w:val="24"/>
        </w:rPr>
        <w:t>prioritārā pasākuma “</w:t>
      </w:r>
      <w:r w:rsidRPr="00E4635E">
        <w:rPr>
          <w:rFonts w:ascii="Times New Roman" w:eastAsia="Times New Roman" w:hAnsi="Times New Roman" w:cs="Times New Roman"/>
          <w:b/>
          <w:sz w:val="24"/>
          <w:szCs w:val="24"/>
        </w:rPr>
        <w:t xml:space="preserve">Pabalsta aizbildnim par bērna uzturēšanu </w:t>
      </w:r>
      <w:r>
        <w:rPr>
          <w:rFonts w:ascii="Times New Roman" w:eastAsia="Times New Roman" w:hAnsi="Times New Roman" w:cs="Times New Roman"/>
          <w:b/>
          <w:sz w:val="24"/>
          <w:szCs w:val="24"/>
        </w:rPr>
        <w:t xml:space="preserve">apmēra </w:t>
      </w:r>
      <w:r w:rsidRPr="00E4635E">
        <w:rPr>
          <w:rFonts w:ascii="Times New Roman" w:eastAsia="Times New Roman" w:hAnsi="Times New Roman" w:cs="Times New Roman"/>
          <w:b/>
          <w:sz w:val="24"/>
          <w:szCs w:val="24"/>
        </w:rPr>
        <w:t>dubultošana” (18_04_P) īstenošanai</w:t>
      </w:r>
      <w:r w:rsidRPr="00E4635E">
        <w:rPr>
          <w:rFonts w:ascii="Times New Roman" w:eastAsia="Times New Roman" w:hAnsi="Times New Roman" w:cs="Times New Roman"/>
          <w:sz w:val="24"/>
          <w:szCs w:val="24"/>
        </w:rPr>
        <w:t xml:space="preserve">, lai no 2021.gada 1.jūlija nodrošinātu pabalsta aizbildnim par bērna </w:t>
      </w:r>
      <w:r w:rsidRPr="00423581">
        <w:rPr>
          <w:rFonts w:ascii="Times New Roman" w:eastAsia="Times New Roman" w:hAnsi="Times New Roman" w:cs="Times New Roman"/>
          <w:sz w:val="24"/>
          <w:szCs w:val="24"/>
        </w:rPr>
        <w:t xml:space="preserve">uzturēšanu </w:t>
      </w:r>
      <w:r>
        <w:rPr>
          <w:rFonts w:ascii="Times New Roman" w:eastAsia="Times New Roman" w:hAnsi="Times New Roman" w:cs="Times New Roman"/>
          <w:sz w:val="24"/>
          <w:szCs w:val="24"/>
        </w:rPr>
        <w:t xml:space="preserve">apmēra </w:t>
      </w:r>
      <w:r w:rsidRPr="00423581">
        <w:rPr>
          <w:rFonts w:ascii="Times New Roman" w:eastAsia="Times New Roman" w:hAnsi="Times New Roman" w:cs="Times New Roman"/>
          <w:sz w:val="24"/>
          <w:szCs w:val="24"/>
        </w:rPr>
        <w:t xml:space="preserve">dubultošanu, nosakot to 215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mēnesī par bērnu līdz 6 gadiem (ieskaitot) un 258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mēnesī par bērnu vecu</w:t>
      </w:r>
      <w:r>
        <w:rPr>
          <w:rFonts w:ascii="Times New Roman" w:eastAsia="Times New Roman" w:hAnsi="Times New Roman" w:cs="Times New Roman"/>
          <w:sz w:val="24"/>
          <w:szCs w:val="24"/>
        </w:rPr>
        <w:t>mā no 7-17 gadiem (ieskaitot).</w:t>
      </w:r>
    </w:p>
    <w:p w:rsidR="00522A46" w:rsidRDefault="00522A46" w:rsidP="00522A46">
      <w:pPr>
        <w:tabs>
          <w:tab w:val="left" w:pos="993"/>
        </w:tabs>
        <w:spacing w:before="120" w:after="120" w:line="240" w:lineRule="auto"/>
        <w:ind w:firstLine="709"/>
        <w:jc w:val="both"/>
        <w:rPr>
          <w:rFonts w:ascii="Times New Roman" w:eastAsia="Times New Roman" w:hAnsi="Times New Roman" w:cs="Times New Roman"/>
          <w:sz w:val="24"/>
          <w:szCs w:val="24"/>
        </w:rPr>
      </w:pPr>
      <w:r w:rsidRPr="00423581">
        <w:rPr>
          <w:rFonts w:ascii="Times New Roman" w:eastAsia="Times New Roman" w:hAnsi="Times New Roman" w:cs="Times New Roman"/>
          <w:sz w:val="24"/>
          <w:szCs w:val="24"/>
        </w:rPr>
        <w:t xml:space="preserve">Normatīvajos aktos noteikts, ka </w:t>
      </w:r>
      <w:proofErr w:type="spellStart"/>
      <w:r w:rsidRPr="00423581">
        <w:rPr>
          <w:rFonts w:ascii="Times New Roman" w:eastAsia="Times New Roman" w:hAnsi="Times New Roman" w:cs="Times New Roman"/>
          <w:sz w:val="24"/>
          <w:szCs w:val="24"/>
        </w:rPr>
        <w:t>ārpusģimenes</w:t>
      </w:r>
      <w:proofErr w:type="spellEnd"/>
      <w:r w:rsidRPr="00423581">
        <w:rPr>
          <w:rFonts w:ascii="Times New Roman" w:eastAsia="Times New Roman" w:hAnsi="Times New Roman" w:cs="Times New Roman"/>
          <w:sz w:val="24"/>
          <w:szCs w:val="24"/>
        </w:rPr>
        <w:t xml:space="preserve"> aprūpē esošiem bērniem primāri nodrošina aprūpi ģimeniskā vidē - pie aizbildņa vai audžuģimenē. Ģimeniskā vidē dzīvojošu bērnu īpatsvars no visu </w:t>
      </w:r>
      <w:proofErr w:type="spellStart"/>
      <w:r w:rsidRPr="00423581">
        <w:rPr>
          <w:rFonts w:ascii="Times New Roman" w:eastAsia="Times New Roman" w:hAnsi="Times New Roman" w:cs="Times New Roman"/>
          <w:sz w:val="24"/>
          <w:szCs w:val="24"/>
        </w:rPr>
        <w:t>ārpusģimenes</w:t>
      </w:r>
      <w:proofErr w:type="spellEnd"/>
      <w:r w:rsidRPr="00423581">
        <w:rPr>
          <w:rFonts w:ascii="Times New Roman" w:eastAsia="Times New Roman" w:hAnsi="Times New Roman" w:cs="Times New Roman"/>
          <w:sz w:val="24"/>
          <w:szCs w:val="24"/>
        </w:rPr>
        <w:t xml:space="preserve"> aprūpē esošo bērnu skaitu 2019.gadā sasniedza 90%, </w:t>
      </w:r>
      <w:proofErr w:type="spellStart"/>
      <w:r w:rsidRPr="00423581">
        <w:rPr>
          <w:rFonts w:ascii="Times New Roman" w:eastAsia="Times New Roman" w:hAnsi="Times New Roman" w:cs="Times New Roman"/>
          <w:sz w:val="24"/>
          <w:szCs w:val="24"/>
        </w:rPr>
        <w:t>ārpusģimenes</w:t>
      </w:r>
      <w:proofErr w:type="spellEnd"/>
      <w:r w:rsidRPr="00423581">
        <w:rPr>
          <w:rFonts w:ascii="Times New Roman" w:eastAsia="Times New Roman" w:hAnsi="Times New Roman" w:cs="Times New Roman"/>
          <w:sz w:val="24"/>
          <w:szCs w:val="24"/>
        </w:rPr>
        <w:t xml:space="preserve"> aprūpē esošo bērnu īpatsvars pret visu nepilngadīgo bērnu skaitu valstī bija 1,</w:t>
      </w:r>
      <w:r>
        <w:rPr>
          <w:rFonts w:ascii="Times New Roman" w:eastAsia="Times New Roman" w:hAnsi="Times New Roman" w:cs="Times New Roman"/>
          <w:sz w:val="24"/>
          <w:szCs w:val="24"/>
        </w:rPr>
        <w:t>74%. B</w:t>
      </w:r>
      <w:r w:rsidRPr="00423581">
        <w:rPr>
          <w:rFonts w:ascii="Times New Roman" w:eastAsia="Times New Roman" w:hAnsi="Times New Roman" w:cs="Times New Roman"/>
          <w:sz w:val="24"/>
          <w:szCs w:val="24"/>
        </w:rPr>
        <w:t xml:space="preserve">ērnu aprūpes iestādēs </w:t>
      </w:r>
      <w:r>
        <w:rPr>
          <w:rFonts w:ascii="Times New Roman" w:eastAsia="Times New Roman" w:hAnsi="Times New Roman" w:cs="Times New Roman"/>
          <w:sz w:val="24"/>
          <w:szCs w:val="24"/>
        </w:rPr>
        <w:t>2019.gada 31.decembrī</w:t>
      </w:r>
      <w:r w:rsidRPr="00423581">
        <w:rPr>
          <w:rFonts w:ascii="Times New Roman" w:eastAsia="Times New Roman" w:hAnsi="Times New Roman" w:cs="Times New Roman"/>
          <w:sz w:val="24"/>
          <w:szCs w:val="24"/>
        </w:rPr>
        <w:t xml:space="preserve"> atradās 621 bērns, lielākā daļa no kopējā bērnu skaita iestādē ir vecumā no 13 līdz 17 gadiem. Bāriņtiesas un atbalsta centri norāda, ka tieši pusaudžiem ir lielākās grūtības at</w:t>
      </w:r>
      <w:r>
        <w:rPr>
          <w:rFonts w:ascii="Times New Roman" w:eastAsia="Times New Roman" w:hAnsi="Times New Roman" w:cs="Times New Roman"/>
          <w:sz w:val="24"/>
          <w:szCs w:val="24"/>
        </w:rPr>
        <w:t xml:space="preserve">rast audžuģimeni vai aizbildni. </w:t>
      </w:r>
      <w:r w:rsidRPr="00423581">
        <w:rPr>
          <w:rFonts w:ascii="Times New Roman" w:eastAsia="Times New Roman" w:hAnsi="Times New Roman" w:cs="Times New Roman"/>
          <w:sz w:val="24"/>
          <w:szCs w:val="24"/>
        </w:rPr>
        <w:t xml:space="preserve">Lai risinātu iepriekšminētās problēmas, valdība apstiprināja koncepcijā “Par adopcijas un </w:t>
      </w:r>
      <w:proofErr w:type="spellStart"/>
      <w:r w:rsidRPr="00423581">
        <w:rPr>
          <w:rFonts w:ascii="Times New Roman" w:eastAsia="Times New Roman" w:hAnsi="Times New Roman" w:cs="Times New Roman"/>
          <w:sz w:val="24"/>
          <w:szCs w:val="24"/>
        </w:rPr>
        <w:t>ārpusģimenes</w:t>
      </w:r>
      <w:proofErr w:type="spellEnd"/>
      <w:r w:rsidRPr="00423581">
        <w:rPr>
          <w:rFonts w:ascii="Times New Roman" w:eastAsia="Times New Roman" w:hAnsi="Times New Roman" w:cs="Times New Roman"/>
          <w:sz w:val="24"/>
          <w:szCs w:val="24"/>
        </w:rPr>
        <w:t xml:space="preserve"> aprūpes sistēmu pilnveidošanu”</w:t>
      </w:r>
      <w:r>
        <w:rPr>
          <w:rFonts w:ascii="Times New Roman" w:eastAsia="Times New Roman" w:hAnsi="Times New Roman" w:cs="Times New Roman"/>
          <w:sz w:val="24"/>
          <w:szCs w:val="24"/>
        </w:rPr>
        <w:t xml:space="preserve"> (MK 09.03.2015. rīkojums Nr.114)</w:t>
      </w:r>
      <w:r w:rsidRPr="00423581">
        <w:rPr>
          <w:rFonts w:ascii="Times New Roman" w:eastAsia="Times New Roman" w:hAnsi="Times New Roman" w:cs="Times New Roman"/>
          <w:sz w:val="24"/>
          <w:szCs w:val="24"/>
        </w:rPr>
        <w:t xml:space="preserve"> piedāvātos pasākumus un no 2017.gada notiek koncepcijā plānoto pasākumu pakāpeniska ieviešana. Pasākums paredz turpināt koncepcijā plānoto pasākumu ieviešanu un no 2021.g</w:t>
      </w:r>
      <w:r>
        <w:rPr>
          <w:rFonts w:ascii="Times New Roman" w:eastAsia="Times New Roman" w:hAnsi="Times New Roman" w:cs="Times New Roman"/>
          <w:sz w:val="24"/>
          <w:szCs w:val="24"/>
        </w:rPr>
        <w:t>ada dubultot pabalsta</w:t>
      </w:r>
      <w:r w:rsidRPr="00423581">
        <w:rPr>
          <w:rFonts w:ascii="Times New Roman" w:eastAsia="Times New Roman" w:hAnsi="Times New Roman" w:cs="Times New Roman"/>
          <w:sz w:val="24"/>
          <w:szCs w:val="24"/>
        </w:rPr>
        <w:t xml:space="preserve"> aizbildnim par bērna uzturēšanu</w:t>
      </w:r>
      <w:r>
        <w:rPr>
          <w:rFonts w:ascii="Times New Roman" w:eastAsia="Times New Roman" w:hAnsi="Times New Roman" w:cs="Times New Roman"/>
          <w:sz w:val="24"/>
          <w:szCs w:val="24"/>
        </w:rPr>
        <w:t xml:space="preserve"> apmēru</w:t>
      </w:r>
      <w:r w:rsidRPr="00423581">
        <w:rPr>
          <w:rFonts w:ascii="Times New Roman" w:eastAsia="Times New Roman" w:hAnsi="Times New Roman" w:cs="Times New Roman"/>
          <w:sz w:val="24"/>
          <w:szCs w:val="24"/>
        </w:rPr>
        <w:t xml:space="preserve"> (215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mēnesī par bērnu līdz 6 gadiem (ieskaitot) un 258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mēnesī par bērnu vecumā no 7-17 gadiem (ieskaitot)), t.i., vienādojot to ar pabalstu audžuģimenē ievietota bērna uzturam. </w:t>
      </w:r>
      <w:r>
        <w:rPr>
          <w:rFonts w:ascii="Times New Roman" w:eastAsia="Times New Roman" w:hAnsi="Times New Roman" w:cs="Times New Roman"/>
          <w:sz w:val="24"/>
          <w:szCs w:val="24"/>
        </w:rPr>
        <w:t>Šobrīd</w:t>
      </w:r>
      <w:r w:rsidRPr="00423581">
        <w:rPr>
          <w:rFonts w:ascii="Times New Roman" w:eastAsia="Times New Roman" w:hAnsi="Times New Roman" w:cs="Times New Roman"/>
          <w:sz w:val="24"/>
          <w:szCs w:val="24"/>
        </w:rPr>
        <w:t xml:space="preserve"> pabalsta apmērs ir 107,5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mēnesī par bērnu līdz 6 gadiem un 129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mēnesī par bērnu vecumā no 7-17 gadiem (ieskaitot). Lai īstenotu pasākumu</w:t>
      </w:r>
      <w:r>
        <w:rPr>
          <w:rFonts w:ascii="Times New Roman" w:eastAsia="Times New Roman" w:hAnsi="Times New Roman" w:cs="Times New Roman"/>
          <w:sz w:val="24"/>
          <w:szCs w:val="24"/>
        </w:rPr>
        <w:t>,</w:t>
      </w:r>
      <w:r w:rsidRPr="00423581">
        <w:rPr>
          <w:rFonts w:ascii="Times New Roman" w:eastAsia="Times New Roman" w:hAnsi="Times New Roman" w:cs="Times New Roman"/>
          <w:sz w:val="24"/>
          <w:szCs w:val="24"/>
        </w:rPr>
        <w:t xml:space="preserve"> nepieciešams </w:t>
      </w:r>
      <w:r>
        <w:rPr>
          <w:rFonts w:ascii="Times New Roman" w:eastAsia="Times New Roman" w:hAnsi="Times New Roman" w:cs="Times New Roman"/>
          <w:sz w:val="24"/>
          <w:szCs w:val="24"/>
        </w:rPr>
        <w:t>palielināt dotāciju no vispārējiem</w:t>
      </w:r>
      <w:r w:rsidR="005020F0">
        <w:rPr>
          <w:rFonts w:ascii="Times New Roman" w:eastAsia="Times New Roman" w:hAnsi="Times New Roman" w:cs="Times New Roman"/>
          <w:sz w:val="24"/>
          <w:szCs w:val="24"/>
        </w:rPr>
        <w:t xml:space="preserve"> ieņēmumiem un izdevumus sociāla</w:t>
      </w:r>
      <w:r>
        <w:rPr>
          <w:rFonts w:ascii="Times New Roman" w:eastAsia="Times New Roman" w:hAnsi="Times New Roman" w:cs="Times New Roman"/>
          <w:sz w:val="24"/>
          <w:szCs w:val="24"/>
        </w:rPr>
        <w:t xml:space="preserve"> rakstura maksājumiem un kompensācijām LM pamatbudžeta </w:t>
      </w:r>
      <w:r w:rsidRPr="00423581">
        <w:rPr>
          <w:rFonts w:ascii="Times New Roman" w:eastAsia="Times New Roman" w:hAnsi="Times New Roman" w:cs="Times New Roman"/>
          <w:sz w:val="24"/>
          <w:szCs w:val="24"/>
        </w:rPr>
        <w:t>apakšprogramm</w:t>
      </w:r>
      <w:r>
        <w:rPr>
          <w:rFonts w:ascii="Times New Roman" w:eastAsia="Times New Roman" w:hAnsi="Times New Roman" w:cs="Times New Roman"/>
          <w:sz w:val="24"/>
          <w:szCs w:val="24"/>
        </w:rPr>
        <w:t>ai</w:t>
      </w:r>
      <w:r w:rsidRPr="00423581">
        <w:rPr>
          <w:rFonts w:ascii="Times New Roman" w:eastAsia="Times New Roman" w:hAnsi="Times New Roman" w:cs="Times New Roman"/>
          <w:sz w:val="24"/>
          <w:szCs w:val="24"/>
        </w:rPr>
        <w:t xml:space="preserve"> 20.01.00 “Valsts sociālie pabalsti” 2021.gadā 2 370 251 </w:t>
      </w:r>
      <w:proofErr w:type="spellStart"/>
      <w:r w:rsidRPr="00423581">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 </w:t>
      </w:r>
      <w:r w:rsidRPr="00423581">
        <w:rPr>
          <w:rFonts w:ascii="Times New Roman" w:eastAsia="Times New Roman" w:hAnsi="Times New Roman" w:cs="Times New Roman"/>
          <w:sz w:val="24"/>
          <w:szCs w:val="24"/>
        </w:rPr>
        <w:t xml:space="preserve">2022. un 2023.gadā ik gadu 4 750 859 </w:t>
      </w:r>
      <w:proofErr w:type="spellStart"/>
      <w:r w:rsidRPr="00423581">
        <w:rPr>
          <w:rFonts w:ascii="Times New Roman" w:eastAsia="Times New Roman" w:hAnsi="Times New Roman" w:cs="Times New Roman"/>
          <w:i/>
          <w:sz w:val="24"/>
          <w:szCs w:val="24"/>
        </w:rPr>
        <w:t>euro</w:t>
      </w:r>
      <w:proofErr w:type="spellEnd"/>
      <w:r w:rsidRPr="00423581">
        <w:rPr>
          <w:rFonts w:ascii="Times New Roman" w:eastAsia="Times New Roman" w:hAnsi="Times New Roman" w:cs="Times New Roman"/>
          <w:sz w:val="24"/>
          <w:szCs w:val="24"/>
        </w:rPr>
        <w:t xml:space="preserve"> apmērā.</w:t>
      </w:r>
    </w:p>
    <w:tbl>
      <w:tblPr>
        <w:tblStyle w:val="TableGrid"/>
        <w:tblW w:w="9363" w:type="dxa"/>
        <w:tblInd w:w="-5" w:type="dxa"/>
        <w:tblLayout w:type="fixed"/>
        <w:tblLook w:val="04A0" w:firstRow="1" w:lastRow="0" w:firstColumn="1" w:lastColumn="0" w:noHBand="0" w:noVBand="1"/>
      </w:tblPr>
      <w:tblGrid>
        <w:gridCol w:w="5670"/>
        <w:gridCol w:w="1287"/>
        <w:gridCol w:w="1135"/>
        <w:gridCol w:w="1271"/>
      </w:tblGrid>
      <w:tr w:rsidR="00522A46" w:rsidTr="00C66C91">
        <w:trPr>
          <w:trHeight w:val="18"/>
        </w:trPr>
        <w:tc>
          <w:tcPr>
            <w:tcW w:w="5670" w:type="dxa"/>
          </w:tcPr>
          <w:p w:rsidR="00522A46" w:rsidRPr="00035527" w:rsidRDefault="00522A46" w:rsidP="00C66C91">
            <w:pPr>
              <w:tabs>
                <w:tab w:val="left" w:pos="993"/>
              </w:tabs>
              <w:spacing w:before="80"/>
              <w:jc w:val="both"/>
              <w:rPr>
                <w:rFonts w:ascii="Times New Roman" w:eastAsia="Times New Roman" w:hAnsi="Times New Roman" w:cs="Times New Roman"/>
                <w:sz w:val="20"/>
                <w:szCs w:val="20"/>
              </w:rPr>
            </w:pPr>
          </w:p>
        </w:tc>
        <w:tc>
          <w:tcPr>
            <w:tcW w:w="1287" w:type="dxa"/>
          </w:tcPr>
          <w:p w:rsidR="00522A46" w:rsidRPr="00035527" w:rsidRDefault="00522A46" w:rsidP="00C66C91">
            <w:pPr>
              <w:tabs>
                <w:tab w:val="left" w:pos="993"/>
              </w:tabs>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2021.gads</w:t>
            </w:r>
          </w:p>
        </w:tc>
        <w:tc>
          <w:tcPr>
            <w:tcW w:w="1135" w:type="dxa"/>
          </w:tcPr>
          <w:p w:rsidR="00522A46" w:rsidRPr="00035527" w:rsidRDefault="00522A46" w:rsidP="00C66C91">
            <w:pPr>
              <w:tabs>
                <w:tab w:val="left" w:pos="993"/>
              </w:tabs>
              <w:spacing w:before="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2022.gads</w:t>
            </w:r>
          </w:p>
        </w:tc>
        <w:tc>
          <w:tcPr>
            <w:tcW w:w="1271" w:type="dxa"/>
          </w:tcPr>
          <w:p w:rsidR="00522A46" w:rsidRPr="00035527" w:rsidRDefault="00522A46" w:rsidP="00C66C91">
            <w:pPr>
              <w:tabs>
                <w:tab w:val="left" w:pos="993"/>
              </w:tabs>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2023.gads</w:t>
            </w:r>
          </w:p>
        </w:tc>
      </w:tr>
      <w:tr w:rsidR="00522A46" w:rsidTr="00C66C91">
        <w:trPr>
          <w:trHeight w:val="18"/>
        </w:trPr>
        <w:tc>
          <w:tcPr>
            <w:tcW w:w="5670" w:type="dxa"/>
          </w:tcPr>
          <w:p w:rsidR="00522A46" w:rsidRPr="00035527" w:rsidRDefault="00522A46" w:rsidP="00C66C91">
            <w:pPr>
              <w:tabs>
                <w:tab w:val="left" w:pos="993"/>
              </w:tabs>
              <w:spacing w:before="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Bērnu, kuriem izmaksājams pabalsts, skaits, vidēji mēnesī</w:t>
            </w:r>
          </w:p>
        </w:tc>
        <w:tc>
          <w:tcPr>
            <w:tcW w:w="1287"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3 296</w:t>
            </w:r>
          </w:p>
        </w:tc>
        <w:tc>
          <w:tcPr>
            <w:tcW w:w="1135"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3 478</w:t>
            </w:r>
          </w:p>
        </w:tc>
        <w:tc>
          <w:tcPr>
            <w:tcW w:w="1271"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3 478</w:t>
            </w:r>
          </w:p>
        </w:tc>
      </w:tr>
      <w:tr w:rsidR="00522A46" w:rsidTr="00C66C91">
        <w:trPr>
          <w:trHeight w:val="356"/>
        </w:trPr>
        <w:tc>
          <w:tcPr>
            <w:tcW w:w="5670" w:type="dxa"/>
          </w:tcPr>
          <w:p w:rsidR="00522A46" w:rsidRPr="00035527" w:rsidRDefault="00522A46" w:rsidP="00C66C91">
            <w:pPr>
              <w:tabs>
                <w:tab w:val="left" w:pos="993"/>
              </w:tabs>
              <w:spacing w:before="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Pabalsta apmērs, vidēji mēnesī, </w:t>
            </w:r>
            <w:proofErr w:type="spellStart"/>
            <w:r w:rsidRPr="002D725E">
              <w:rPr>
                <w:rFonts w:ascii="Times New Roman" w:eastAsia="Times New Roman" w:hAnsi="Times New Roman" w:cs="Times New Roman"/>
                <w:i/>
                <w:sz w:val="20"/>
                <w:szCs w:val="20"/>
              </w:rPr>
              <w:t>euro</w:t>
            </w:r>
            <w:proofErr w:type="spellEnd"/>
          </w:p>
        </w:tc>
        <w:tc>
          <w:tcPr>
            <w:tcW w:w="1287"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97,05</w:t>
            </w:r>
          </w:p>
        </w:tc>
        <w:tc>
          <w:tcPr>
            <w:tcW w:w="1135"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148,82</w:t>
            </w:r>
          </w:p>
        </w:tc>
        <w:tc>
          <w:tcPr>
            <w:tcW w:w="1271"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148,82</w:t>
            </w:r>
          </w:p>
        </w:tc>
      </w:tr>
      <w:tr w:rsidR="00522A46" w:rsidTr="00C66C91">
        <w:trPr>
          <w:trHeight w:val="18"/>
        </w:trPr>
        <w:tc>
          <w:tcPr>
            <w:tcW w:w="5670" w:type="dxa"/>
          </w:tcPr>
          <w:p w:rsidR="00522A46" w:rsidRPr="00035527" w:rsidRDefault="00522A46" w:rsidP="00C66C91">
            <w:pPr>
              <w:tabs>
                <w:tab w:val="left" w:pos="993"/>
              </w:tabs>
              <w:spacing w:before="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Plānotie izdevumi gadā, </w:t>
            </w:r>
            <w:proofErr w:type="spellStart"/>
            <w:r w:rsidRPr="002D725E">
              <w:rPr>
                <w:rFonts w:ascii="Times New Roman" w:eastAsia="Times New Roman" w:hAnsi="Times New Roman" w:cs="Times New Roman"/>
                <w:i/>
                <w:sz w:val="20"/>
                <w:szCs w:val="20"/>
              </w:rPr>
              <w:t>euro</w:t>
            </w:r>
            <w:proofErr w:type="spellEnd"/>
          </w:p>
        </w:tc>
        <w:tc>
          <w:tcPr>
            <w:tcW w:w="1287"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3 838 527</w:t>
            </w:r>
          </w:p>
        </w:tc>
        <w:tc>
          <w:tcPr>
            <w:tcW w:w="1135"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6 211 155</w:t>
            </w:r>
          </w:p>
        </w:tc>
        <w:tc>
          <w:tcPr>
            <w:tcW w:w="1271"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6 211 155</w:t>
            </w:r>
          </w:p>
        </w:tc>
      </w:tr>
      <w:tr w:rsidR="00522A46" w:rsidTr="00C66C91">
        <w:trPr>
          <w:trHeight w:val="18"/>
        </w:trPr>
        <w:tc>
          <w:tcPr>
            <w:tcW w:w="5670" w:type="dxa"/>
          </w:tcPr>
          <w:p w:rsidR="00522A46" w:rsidRPr="00035527" w:rsidRDefault="00522A46" w:rsidP="00C66C91">
            <w:pPr>
              <w:tabs>
                <w:tab w:val="left" w:pos="993"/>
              </w:tabs>
              <w:spacing w:before="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Plānotie izdevumu 2021.-2023.gadam LM pamatbudžeta bāzē, </w:t>
            </w:r>
            <w:proofErr w:type="spellStart"/>
            <w:r w:rsidRPr="002D725E">
              <w:rPr>
                <w:rFonts w:ascii="Times New Roman" w:eastAsia="Times New Roman" w:hAnsi="Times New Roman" w:cs="Times New Roman"/>
                <w:i/>
                <w:sz w:val="20"/>
                <w:szCs w:val="20"/>
              </w:rPr>
              <w:t>euro</w:t>
            </w:r>
            <w:proofErr w:type="spellEnd"/>
          </w:p>
        </w:tc>
        <w:tc>
          <w:tcPr>
            <w:tcW w:w="1287"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1 468 276</w:t>
            </w:r>
          </w:p>
        </w:tc>
        <w:tc>
          <w:tcPr>
            <w:tcW w:w="1135"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1 460 296</w:t>
            </w:r>
          </w:p>
        </w:tc>
        <w:tc>
          <w:tcPr>
            <w:tcW w:w="1271" w:type="dxa"/>
          </w:tcPr>
          <w:p w:rsidR="00522A46" w:rsidRPr="00035527" w:rsidRDefault="00522A46" w:rsidP="00C66C91">
            <w:pPr>
              <w:tabs>
                <w:tab w:val="left" w:pos="993"/>
              </w:tabs>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1 460 296</w:t>
            </w:r>
          </w:p>
        </w:tc>
      </w:tr>
      <w:tr w:rsidR="00522A46" w:rsidTr="00C66C91">
        <w:trPr>
          <w:trHeight w:val="18"/>
        </w:trPr>
        <w:tc>
          <w:tcPr>
            <w:tcW w:w="5670" w:type="dxa"/>
          </w:tcPr>
          <w:p w:rsidR="00522A46" w:rsidRPr="00035527" w:rsidRDefault="00522A46" w:rsidP="00C66C91">
            <w:pPr>
              <w:tabs>
                <w:tab w:val="left" w:pos="993"/>
              </w:tabs>
              <w:spacing w:before="80"/>
              <w:jc w:val="both"/>
              <w:rPr>
                <w:rFonts w:ascii="Times New Roman" w:eastAsia="Times New Roman" w:hAnsi="Times New Roman" w:cs="Times New Roman"/>
                <w:b/>
                <w:sz w:val="20"/>
                <w:szCs w:val="20"/>
              </w:rPr>
            </w:pPr>
            <w:r w:rsidRPr="00035527">
              <w:rPr>
                <w:rFonts w:ascii="Times New Roman" w:eastAsia="Times New Roman" w:hAnsi="Times New Roman" w:cs="Times New Roman"/>
                <w:b/>
                <w:sz w:val="20"/>
                <w:szCs w:val="20"/>
              </w:rPr>
              <w:t xml:space="preserve">Papildu nepieciešamais finansējums, </w:t>
            </w:r>
            <w:proofErr w:type="spellStart"/>
            <w:r w:rsidRPr="00FD0FA9">
              <w:rPr>
                <w:rFonts w:ascii="Times New Roman" w:eastAsia="Times New Roman" w:hAnsi="Times New Roman" w:cs="Times New Roman"/>
                <w:b/>
                <w:i/>
                <w:sz w:val="20"/>
                <w:szCs w:val="20"/>
              </w:rPr>
              <w:t>euro</w:t>
            </w:r>
            <w:proofErr w:type="spellEnd"/>
          </w:p>
        </w:tc>
        <w:tc>
          <w:tcPr>
            <w:tcW w:w="1287" w:type="dxa"/>
          </w:tcPr>
          <w:p w:rsidR="00522A46" w:rsidRPr="00035527" w:rsidRDefault="00522A46" w:rsidP="00C66C91">
            <w:pPr>
              <w:tabs>
                <w:tab w:val="left" w:pos="993"/>
              </w:tabs>
              <w:spacing w:before="120"/>
              <w:jc w:val="right"/>
              <w:rPr>
                <w:rFonts w:ascii="Times New Roman" w:eastAsia="Times New Roman" w:hAnsi="Times New Roman" w:cs="Times New Roman"/>
                <w:b/>
                <w:sz w:val="20"/>
                <w:szCs w:val="20"/>
              </w:rPr>
            </w:pPr>
            <w:r w:rsidRPr="00035527">
              <w:rPr>
                <w:rFonts w:ascii="Times New Roman" w:eastAsia="Times New Roman" w:hAnsi="Times New Roman" w:cs="Times New Roman"/>
                <w:b/>
                <w:sz w:val="20"/>
                <w:szCs w:val="20"/>
              </w:rPr>
              <w:t>2 370 251</w:t>
            </w:r>
          </w:p>
        </w:tc>
        <w:tc>
          <w:tcPr>
            <w:tcW w:w="1135" w:type="dxa"/>
          </w:tcPr>
          <w:p w:rsidR="00522A46" w:rsidRPr="00035527" w:rsidRDefault="00522A46" w:rsidP="00C66C91">
            <w:pPr>
              <w:tabs>
                <w:tab w:val="left" w:pos="993"/>
              </w:tabs>
              <w:spacing w:before="120"/>
              <w:jc w:val="right"/>
              <w:rPr>
                <w:rFonts w:ascii="Times New Roman" w:eastAsia="Times New Roman" w:hAnsi="Times New Roman" w:cs="Times New Roman"/>
                <w:b/>
                <w:sz w:val="20"/>
                <w:szCs w:val="20"/>
              </w:rPr>
            </w:pPr>
            <w:r w:rsidRPr="00035527">
              <w:rPr>
                <w:rFonts w:ascii="Times New Roman" w:eastAsia="Times New Roman" w:hAnsi="Times New Roman" w:cs="Times New Roman"/>
                <w:b/>
                <w:sz w:val="20"/>
                <w:szCs w:val="20"/>
              </w:rPr>
              <w:t>4 750 859</w:t>
            </w:r>
          </w:p>
        </w:tc>
        <w:tc>
          <w:tcPr>
            <w:tcW w:w="1271" w:type="dxa"/>
          </w:tcPr>
          <w:p w:rsidR="00522A46" w:rsidRPr="005F1E7E" w:rsidRDefault="00522A46" w:rsidP="00C66C91">
            <w:pPr>
              <w:tabs>
                <w:tab w:val="left" w:pos="993"/>
              </w:tabs>
              <w:spacing w:before="1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w:t>
            </w:r>
            <w:r w:rsidRPr="005F1E7E">
              <w:rPr>
                <w:rFonts w:ascii="Times New Roman" w:eastAsia="Times New Roman" w:hAnsi="Times New Roman" w:cs="Times New Roman"/>
                <w:b/>
                <w:sz w:val="20"/>
                <w:szCs w:val="20"/>
              </w:rPr>
              <w:t>750 859</w:t>
            </w:r>
          </w:p>
        </w:tc>
      </w:tr>
    </w:tbl>
    <w:p w:rsidR="00522A46" w:rsidRPr="005F1E7E" w:rsidRDefault="00522A46" w:rsidP="00522A46">
      <w:pPr>
        <w:pStyle w:val="ListParagraph"/>
        <w:numPr>
          <w:ilvl w:val="0"/>
          <w:numId w:val="17"/>
        </w:numPr>
        <w:tabs>
          <w:tab w:val="left" w:pos="993"/>
        </w:tabs>
        <w:spacing w:before="120" w:after="120" w:line="240" w:lineRule="auto"/>
        <w:ind w:left="0" w:firstLine="709"/>
        <w:jc w:val="both"/>
        <w:rPr>
          <w:rFonts w:ascii="Times New Roman" w:eastAsia="Times New Roman" w:hAnsi="Times New Roman" w:cs="Times New Roman"/>
          <w:sz w:val="24"/>
          <w:szCs w:val="24"/>
        </w:rPr>
      </w:pPr>
      <w:r w:rsidRPr="005F1E7E">
        <w:rPr>
          <w:rFonts w:ascii="Times New Roman" w:eastAsia="Times New Roman" w:hAnsi="Times New Roman" w:cs="Times New Roman"/>
          <w:b/>
          <w:sz w:val="24"/>
          <w:szCs w:val="24"/>
        </w:rPr>
        <w:t>pasākuma “Labklājības nozares ēku sakārtošana” īstenošanai</w:t>
      </w:r>
      <w:r w:rsidRPr="005F1E7E">
        <w:rPr>
          <w:rFonts w:ascii="Times New Roman" w:eastAsia="Times New Roman" w:hAnsi="Times New Roman" w:cs="Times New Roman"/>
          <w:sz w:val="24"/>
          <w:szCs w:val="24"/>
        </w:rPr>
        <w:t>, lai</w:t>
      </w:r>
      <w:r>
        <w:rPr>
          <w:rFonts w:ascii="Times New Roman" w:hAnsi="Times New Roman" w:cs="Times New Roman"/>
          <w:sz w:val="24"/>
          <w:szCs w:val="24"/>
          <w:lang w:eastAsia="lv-LV"/>
        </w:rPr>
        <w:t xml:space="preserve"> </w:t>
      </w:r>
      <w:r w:rsidRPr="005F1E7E">
        <w:rPr>
          <w:rFonts w:ascii="Times New Roman" w:hAnsi="Times New Roman" w:cs="Times New Roman"/>
          <w:sz w:val="24"/>
          <w:szCs w:val="24"/>
          <w:lang w:eastAsia="lv-LV"/>
        </w:rPr>
        <w:t xml:space="preserve">turpinātu </w:t>
      </w:r>
      <w:r>
        <w:rPr>
          <w:rFonts w:ascii="Times New Roman" w:hAnsi="Times New Roman" w:cs="Times New Roman"/>
          <w:sz w:val="24"/>
          <w:szCs w:val="24"/>
          <w:lang w:eastAsia="lv-LV"/>
        </w:rPr>
        <w:t>sakārtot infrastruktūru</w:t>
      </w:r>
      <w:r w:rsidRPr="005F1E7E">
        <w:rPr>
          <w:rFonts w:ascii="Times New Roman" w:hAnsi="Times New Roman" w:cs="Times New Roman"/>
          <w:sz w:val="24"/>
          <w:szCs w:val="24"/>
          <w:lang w:eastAsia="lv-LV"/>
        </w:rPr>
        <w:t xml:space="preserve"> valsts sociālās apr</w:t>
      </w:r>
      <w:r>
        <w:rPr>
          <w:rFonts w:ascii="Times New Roman" w:hAnsi="Times New Roman" w:cs="Times New Roman"/>
          <w:sz w:val="24"/>
          <w:szCs w:val="24"/>
          <w:lang w:eastAsia="lv-LV"/>
        </w:rPr>
        <w:t>ūpes centros</w:t>
      </w:r>
      <w:r w:rsidRPr="005F1E7E">
        <w:rPr>
          <w:rFonts w:ascii="Times New Roman" w:hAnsi="Times New Roman" w:cs="Times New Roman"/>
          <w:sz w:val="24"/>
          <w:szCs w:val="24"/>
          <w:lang w:eastAsia="lv-LV"/>
        </w:rPr>
        <w:t xml:space="preserve"> </w:t>
      </w:r>
      <w:r w:rsidRPr="005F1E7E">
        <w:rPr>
          <w:rFonts w:ascii="Times New Roman" w:eastAsia="Times New Roman" w:hAnsi="Times New Roman" w:cs="Times New Roman"/>
          <w:sz w:val="24"/>
          <w:szCs w:val="24"/>
        </w:rPr>
        <w:t>(18_06_P)</w:t>
      </w:r>
      <w:r w:rsidRPr="005F1E7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kā</w:t>
      </w:r>
      <w:r w:rsidRPr="005F1E7E">
        <w:rPr>
          <w:rFonts w:ascii="Times New Roman" w:hAnsi="Times New Roman" w:cs="Times New Roman"/>
          <w:sz w:val="24"/>
          <w:szCs w:val="24"/>
          <w:lang w:eastAsia="lv-LV"/>
        </w:rPr>
        <w:t xml:space="preserve"> arī citās labklājības nozares ēkās, tādejādi uzlabojot klientiem sniegtā valsts finansētā pakalpojuma kvalitāti.</w:t>
      </w:r>
    </w:p>
    <w:p w:rsidR="00522A46" w:rsidRPr="005F1E7E" w:rsidRDefault="00522A46" w:rsidP="00522A46">
      <w:pPr>
        <w:tabs>
          <w:tab w:val="left" w:pos="993"/>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F1E7E">
        <w:rPr>
          <w:rFonts w:ascii="Times New Roman" w:eastAsia="Times New Roman" w:hAnsi="Times New Roman" w:cs="Times New Roman"/>
          <w:sz w:val="24"/>
          <w:szCs w:val="24"/>
        </w:rPr>
        <w:t xml:space="preserve">LM valdījumā atrodas 88 otrās un trešās grupas publiskās ēkas, finansējums nolietotās infrastruktūras sakārtošanai apstiprinātās LM pamatbudžeta bāzes izdevumu ietvaros ir nepietiekams.  Lai kaut daļēji risinātu neatliekamos nolietotās labklājības nozares infrastruktūras sakārtošanas pasākumus, paredzēts uzlabot vismaz 6 ēku tehnisko stāvokli. Lai īstenotu pasākumu, nepieciešams finansējums LM pamatbudžeta apakšprogrammā 97.02.00 “Nozares centralizēto funkciju izpilde” izdevumiem pamatkapitāla veidošanai 2021.gadā 2 881 425 </w:t>
      </w:r>
      <w:proofErr w:type="spellStart"/>
      <w:r w:rsidRPr="005F1E7E">
        <w:rPr>
          <w:rFonts w:ascii="Times New Roman" w:eastAsia="Times New Roman" w:hAnsi="Times New Roman" w:cs="Times New Roman"/>
          <w:i/>
          <w:sz w:val="24"/>
          <w:szCs w:val="24"/>
        </w:rPr>
        <w:t>euro</w:t>
      </w:r>
      <w:proofErr w:type="spellEnd"/>
      <w:r w:rsidRPr="005F1E7E">
        <w:rPr>
          <w:rFonts w:ascii="Times New Roman" w:eastAsia="Times New Roman" w:hAnsi="Times New Roman" w:cs="Times New Roman"/>
          <w:sz w:val="24"/>
          <w:szCs w:val="24"/>
        </w:rPr>
        <w:t xml:space="preserve"> apmērā </w:t>
      </w:r>
      <w:r w:rsidRPr="005F1E7E">
        <w:rPr>
          <w:rFonts w:ascii="Times New Roman" w:hAnsi="Times New Roman" w:cs="Times New Roman"/>
          <w:sz w:val="24"/>
          <w:szCs w:val="24"/>
        </w:rPr>
        <w:t>(</w:t>
      </w:r>
      <w:r w:rsidRPr="005F1E7E">
        <w:rPr>
          <w:rFonts w:ascii="Times New Roman" w:hAnsi="Times New Roman" w:cs="Times New Roman"/>
          <w:bCs/>
          <w:sz w:val="24"/>
          <w:szCs w:val="24"/>
          <w:lang w:eastAsia="lv-LV"/>
        </w:rPr>
        <w:t>indikatīvās remontu (</w:t>
      </w:r>
      <w:r w:rsidRPr="005F1E7E">
        <w:rPr>
          <w:rFonts w:ascii="Times New Roman" w:hAnsi="Times New Roman" w:cs="Times New Roman"/>
          <w:sz w:val="24"/>
          <w:szCs w:val="24"/>
          <w:lang w:eastAsia="lv-LV"/>
        </w:rPr>
        <w:t xml:space="preserve">apdares atjaunošanas darbu) </w:t>
      </w:r>
      <w:r w:rsidRPr="005F1E7E">
        <w:rPr>
          <w:rFonts w:ascii="Times New Roman" w:hAnsi="Times New Roman" w:cs="Times New Roman"/>
          <w:bCs/>
          <w:sz w:val="24"/>
          <w:szCs w:val="24"/>
          <w:lang w:eastAsia="lv-LV"/>
        </w:rPr>
        <w:t xml:space="preserve">izmaksas - 350 </w:t>
      </w:r>
      <w:proofErr w:type="spellStart"/>
      <w:r w:rsidRPr="005F1E7E">
        <w:rPr>
          <w:rFonts w:ascii="Times New Roman" w:hAnsi="Times New Roman" w:cs="Times New Roman"/>
          <w:bCs/>
          <w:i/>
          <w:sz w:val="24"/>
          <w:szCs w:val="24"/>
          <w:lang w:eastAsia="lv-LV"/>
        </w:rPr>
        <w:t>euro</w:t>
      </w:r>
      <w:proofErr w:type="spellEnd"/>
      <w:r w:rsidRPr="005F1E7E">
        <w:rPr>
          <w:rFonts w:ascii="Times New Roman" w:hAnsi="Times New Roman" w:cs="Times New Roman"/>
          <w:bCs/>
          <w:sz w:val="24"/>
          <w:szCs w:val="24"/>
          <w:lang w:eastAsia="lv-LV"/>
        </w:rPr>
        <w:t xml:space="preserve"> m², līdz ar to 2021.gadā būs iespējams izremontēt apmēram 8 232 m² (aprēķins ir indikatīvs, vidējās izmaksas ņemtas atbilstoši šī brīža izmaksām, faktiskās izmaksas iepirkumu rezultātā var atšķirties)).</w:t>
      </w:r>
      <w:r w:rsidRPr="005F1E7E">
        <w:rPr>
          <w:bCs/>
          <w:sz w:val="24"/>
          <w:szCs w:val="24"/>
          <w:lang w:eastAsia="lv-LV"/>
        </w:rPr>
        <w:t xml:space="preserve"> </w:t>
      </w:r>
    </w:p>
    <w:p w:rsidR="00522A46" w:rsidRPr="00CF05E3" w:rsidRDefault="00522A46" w:rsidP="00522A46">
      <w:pPr>
        <w:pStyle w:val="ListParagraph"/>
        <w:numPr>
          <w:ilvl w:val="0"/>
          <w:numId w:val="17"/>
        </w:numPr>
        <w:tabs>
          <w:tab w:val="left" w:pos="993"/>
        </w:tabs>
        <w:spacing w:before="120" w:after="120" w:line="240" w:lineRule="auto"/>
        <w:ind w:left="0" w:firstLine="709"/>
        <w:jc w:val="both"/>
        <w:rPr>
          <w:rFonts w:ascii="Times New Roman" w:eastAsia="Times New Roman" w:hAnsi="Times New Roman" w:cs="Times New Roman"/>
          <w:sz w:val="24"/>
          <w:szCs w:val="24"/>
        </w:rPr>
      </w:pPr>
      <w:r w:rsidRPr="00684211">
        <w:rPr>
          <w:rFonts w:ascii="Times New Roman" w:eastAsia="Times New Roman" w:hAnsi="Times New Roman" w:cs="Times New Roman"/>
          <w:b/>
          <w:sz w:val="24"/>
          <w:szCs w:val="24"/>
        </w:rPr>
        <w:t>prioritārā pasākuma “Labklājības nozares kritiskās IT infrastruktūras rezerves datu centra izveidošana” (18_08_P) īstenošanai</w:t>
      </w:r>
      <w:r w:rsidRPr="00CF05E3">
        <w:rPr>
          <w:rFonts w:ascii="Times New Roman" w:eastAsia="Times New Roman" w:hAnsi="Times New Roman" w:cs="Times New Roman"/>
          <w:sz w:val="24"/>
          <w:szCs w:val="24"/>
        </w:rPr>
        <w:t xml:space="preserve">, lai mazinātu risku nozares funkciju izpildei būtisko informācijas sistēmu </w:t>
      </w:r>
      <w:r>
        <w:rPr>
          <w:rFonts w:ascii="Times New Roman" w:eastAsia="Times New Roman" w:hAnsi="Times New Roman" w:cs="Times New Roman"/>
          <w:sz w:val="24"/>
          <w:szCs w:val="24"/>
        </w:rPr>
        <w:t>“</w:t>
      </w:r>
      <w:r w:rsidRPr="00CF05E3">
        <w:rPr>
          <w:rFonts w:ascii="Times New Roman" w:eastAsia="Times New Roman" w:hAnsi="Times New Roman" w:cs="Times New Roman"/>
          <w:sz w:val="24"/>
          <w:szCs w:val="24"/>
        </w:rPr>
        <w:t>SAIS</w:t>
      </w:r>
      <w:r>
        <w:rPr>
          <w:rFonts w:ascii="Times New Roman" w:eastAsia="Times New Roman" w:hAnsi="Times New Roman" w:cs="Times New Roman"/>
          <w:sz w:val="24"/>
          <w:szCs w:val="24"/>
        </w:rPr>
        <w:t>”</w:t>
      </w:r>
      <w:r w:rsidRPr="00CF0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F05E3">
        <w:rPr>
          <w:rFonts w:ascii="Times New Roman" w:eastAsia="Times New Roman" w:hAnsi="Times New Roman" w:cs="Times New Roman"/>
          <w:sz w:val="24"/>
          <w:szCs w:val="24"/>
        </w:rPr>
        <w:t>VDEĀVK IIS</w:t>
      </w:r>
      <w:r>
        <w:rPr>
          <w:rFonts w:ascii="Times New Roman" w:eastAsia="Times New Roman" w:hAnsi="Times New Roman" w:cs="Times New Roman"/>
          <w:sz w:val="24"/>
          <w:szCs w:val="24"/>
        </w:rPr>
        <w:t>”</w:t>
      </w:r>
      <w:r w:rsidRPr="00CF05E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w:t>
      </w:r>
      <w:r w:rsidRPr="00CF05E3">
        <w:rPr>
          <w:rFonts w:ascii="Times New Roman" w:eastAsia="Times New Roman" w:hAnsi="Times New Roman" w:cs="Times New Roman"/>
          <w:sz w:val="24"/>
          <w:szCs w:val="24"/>
        </w:rPr>
        <w:t>BURVIS</w:t>
      </w:r>
      <w:r>
        <w:rPr>
          <w:rFonts w:ascii="Times New Roman" w:eastAsia="Times New Roman" w:hAnsi="Times New Roman" w:cs="Times New Roman"/>
          <w:sz w:val="24"/>
          <w:szCs w:val="24"/>
        </w:rPr>
        <w:t>”</w:t>
      </w:r>
      <w:r w:rsidRPr="00CF05E3">
        <w:rPr>
          <w:rFonts w:ascii="Times New Roman" w:eastAsia="Times New Roman" w:hAnsi="Times New Roman" w:cs="Times New Roman"/>
          <w:sz w:val="24"/>
          <w:szCs w:val="24"/>
        </w:rPr>
        <w:t xml:space="preserve"> darbības nepārtrauktībai un uzlabotu</w:t>
      </w:r>
      <w:r>
        <w:rPr>
          <w:rFonts w:ascii="Times New Roman" w:eastAsia="Times New Roman" w:hAnsi="Times New Roman" w:cs="Times New Roman"/>
          <w:sz w:val="24"/>
          <w:szCs w:val="24"/>
        </w:rPr>
        <w:t xml:space="preserve"> sistēmu darbības atjaunošanas procesu</w:t>
      </w:r>
      <w:r w:rsidRPr="00CF05E3">
        <w:rPr>
          <w:rFonts w:ascii="Times New Roman" w:eastAsia="Times New Roman" w:hAnsi="Times New Roman" w:cs="Times New Roman"/>
          <w:sz w:val="24"/>
          <w:szCs w:val="24"/>
        </w:rPr>
        <w:t>.</w:t>
      </w:r>
    </w:p>
    <w:p w:rsidR="00522A46" w:rsidRDefault="00522A46" w:rsidP="00522A46">
      <w:pPr>
        <w:tabs>
          <w:tab w:val="left" w:pos="993"/>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Pasākuma ietvaros LM </w:t>
      </w:r>
      <w:r w:rsidRPr="002106E1">
        <w:rPr>
          <w:rFonts w:ascii="Times New Roman" w:eastAsia="Times New Roman" w:hAnsi="Times New Roman" w:cs="Times New Roman"/>
          <w:sz w:val="24"/>
          <w:szCs w:val="24"/>
        </w:rPr>
        <w:t xml:space="preserve">plāno izvietot </w:t>
      </w:r>
      <w:r>
        <w:rPr>
          <w:rFonts w:ascii="Times New Roman" w:eastAsia="Times New Roman" w:hAnsi="Times New Roman" w:cs="Times New Roman"/>
          <w:sz w:val="24"/>
          <w:szCs w:val="24"/>
        </w:rPr>
        <w:t>rezerves datu centrā VSAA</w:t>
      </w:r>
      <w:r w:rsidRPr="002106E1">
        <w:rPr>
          <w:rFonts w:ascii="Times New Roman" w:eastAsia="Times New Roman" w:hAnsi="Times New Roman" w:cs="Times New Roman"/>
          <w:sz w:val="24"/>
          <w:szCs w:val="24"/>
        </w:rPr>
        <w:t xml:space="preserve"> valsts informācijas sistēm</w:t>
      </w:r>
      <w:r>
        <w:rPr>
          <w:rFonts w:ascii="Times New Roman" w:eastAsia="Times New Roman" w:hAnsi="Times New Roman" w:cs="Times New Roman"/>
          <w:sz w:val="24"/>
          <w:szCs w:val="24"/>
        </w:rPr>
        <w:t>as -</w:t>
      </w:r>
      <w:r w:rsidRPr="002106E1">
        <w:rPr>
          <w:rFonts w:ascii="Times New Roman" w:eastAsia="Times New Roman" w:hAnsi="Times New Roman" w:cs="Times New Roman"/>
          <w:sz w:val="24"/>
          <w:szCs w:val="24"/>
        </w:rPr>
        <w:t xml:space="preserve"> Sociālās apdrošināšanas informācijas sistēm</w:t>
      </w:r>
      <w:r>
        <w:rPr>
          <w:rFonts w:ascii="Times New Roman" w:eastAsia="Times New Roman" w:hAnsi="Times New Roman" w:cs="Times New Roman"/>
          <w:sz w:val="24"/>
          <w:szCs w:val="24"/>
        </w:rPr>
        <w:t>as</w:t>
      </w:r>
      <w:r w:rsidRPr="002106E1">
        <w:rPr>
          <w:rFonts w:ascii="Times New Roman" w:eastAsia="Times New Roman" w:hAnsi="Times New Roman" w:cs="Times New Roman"/>
          <w:sz w:val="24"/>
          <w:szCs w:val="24"/>
        </w:rPr>
        <w:t xml:space="preserve"> (SAIS), </w:t>
      </w:r>
      <w:r>
        <w:rPr>
          <w:rFonts w:ascii="Times New Roman" w:eastAsia="Times New Roman" w:hAnsi="Times New Roman" w:cs="Times New Roman"/>
          <w:sz w:val="24"/>
          <w:szCs w:val="24"/>
        </w:rPr>
        <w:t>VDEĀVK</w:t>
      </w:r>
      <w:r w:rsidRPr="002106E1">
        <w:rPr>
          <w:rFonts w:ascii="Times New Roman" w:eastAsia="Times New Roman" w:hAnsi="Times New Roman" w:cs="Times New Roman"/>
          <w:sz w:val="24"/>
          <w:szCs w:val="24"/>
        </w:rPr>
        <w:t xml:space="preserve"> valsts informācijas sistēm</w:t>
      </w:r>
      <w:r>
        <w:rPr>
          <w:rFonts w:ascii="Times New Roman" w:eastAsia="Times New Roman" w:hAnsi="Times New Roman" w:cs="Times New Roman"/>
          <w:sz w:val="24"/>
          <w:szCs w:val="24"/>
        </w:rPr>
        <w:t>as -</w:t>
      </w:r>
      <w:r w:rsidRPr="002106E1">
        <w:rPr>
          <w:rFonts w:ascii="Times New Roman" w:eastAsia="Times New Roman" w:hAnsi="Times New Roman" w:cs="Times New Roman"/>
          <w:sz w:val="24"/>
          <w:szCs w:val="24"/>
        </w:rPr>
        <w:t xml:space="preserve"> Invaliditātes informācijas sistēm</w:t>
      </w:r>
      <w:r>
        <w:rPr>
          <w:rFonts w:ascii="Times New Roman" w:eastAsia="Times New Roman" w:hAnsi="Times New Roman" w:cs="Times New Roman"/>
          <w:sz w:val="24"/>
          <w:szCs w:val="24"/>
        </w:rPr>
        <w:t xml:space="preserve">as </w:t>
      </w:r>
      <w:r w:rsidRPr="002106E1">
        <w:rPr>
          <w:rFonts w:ascii="Times New Roman" w:eastAsia="Times New Roman" w:hAnsi="Times New Roman" w:cs="Times New Roman"/>
          <w:sz w:val="24"/>
          <w:szCs w:val="24"/>
        </w:rPr>
        <w:t>(VDEĀVK IIS) un Nodarbinātības valsts aģentūras valsts informācijas sistēm</w:t>
      </w:r>
      <w:r>
        <w:rPr>
          <w:rFonts w:ascii="Times New Roman" w:eastAsia="Times New Roman" w:hAnsi="Times New Roman" w:cs="Times New Roman"/>
          <w:sz w:val="24"/>
          <w:szCs w:val="24"/>
        </w:rPr>
        <w:t>as -</w:t>
      </w:r>
      <w:r w:rsidRPr="002106E1">
        <w:rPr>
          <w:rFonts w:ascii="Times New Roman" w:eastAsia="Times New Roman" w:hAnsi="Times New Roman" w:cs="Times New Roman"/>
          <w:sz w:val="24"/>
          <w:szCs w:val="24"/>
        </w:rPr>
        <w:t xml:space="preserve"> Bezdarbnieku uzskaites un reģistrēto vakanču informācijas sistēm</w:t>
      </w:r>
      <w:r>
        <w:rPr>
          <w:rFonts w:ascii="Times New Roman" w:eastAsia="Times New Roman" w:hAnsi="Times New Roman" w:cs="Times New Roman"/>
          <w:sz w:val="24"/>
          <w:szCs w:val="24"/>
        </w:rPr>
        <w:t>as</w:t>
      </w:r>
      <w:r w:rsidRPr="002106E1">
        <w:rPr>
          <w:rFonts w:ascii="Times New Roman" w:eastAsia="Times New Roman" w:hAnsi="Times New Roman" w:cs="Times New Roman"/>
          <w:sz w:val="24"/>
          <w:szCs w:val="24"/>
        </w:rPr>
        <w:t xml:space="preserve"> (BURVIS) rezerves kopijas datu apmaiņai, lai nodrošinātu nozares valsts informācijas sistēmu darbību augstā konfidencialitātes, integritātes un pieejamības līmenī, kā arī darbības nepārtrauktības režīmu pamatdarbības sistēmas avārijas gadījumā un ļautu atjaunot datus</w:t>
      </w:r>
      <w:r>
        <w:rPr>
          <w:rFonts w:ascii="Times New Roman" w:eastAsia="Times New Roman" w:hAnsi="Times New Roman" w:cs="Times New Roman"/>
          <w:sz w:val="24"/>
          <w:szCs w:val="24"/>
        </w:rPr>
        <w:t xml:space="preserve"> iespējami īsākā laikā</w:t>
      </w:r>
      <w:r w:rsidRPr="002106E1">
        <w:rPr>
          <w:rFonts w:ascii="Times New Roman" w:eastAsia="Times New Roman" w:hAnsi="Times New Roman" w:cs="Times New Roman"/>
          <w:sz w:val="24"/>
          <w:szCs w:val="24"/>
        </w:rPr>
        <w:t xml:space="preserve">, neradot </w:t>
      </w:r>
      <w:r>
        <w:rPr>
          <w:rFonts w:ascii="Times New Roman" w:eastAsia="Times New Roman" w:hAnsi="Times New Roman" w:cs="Times New Roman"/>
          <w:sz w:val="24"/>
          <w:szCs w:val="24"/>
        </w:rPr>
        <w:t xml:space="preserve">būtiskus pakalpojuma nodrošināšanas pārrāvumus. Vienlaikus tiek plānots pielāgot arī ar sistēmu darbību saistīto infrastruktūru un nodrošināt centralizētu risinājumu ieviešanu sistēmu funkcionalitātes nodrošināšanai. </w:t>
      </w:r>
      <w:r w:rsidRPr="00BC5958">
        <w:rPr>
          <w:rFonts w:ascii="Times New Roman" w:eastAsia="Times New Roman" w:hAnsi="Times New Roman" w:cs="Times New Roman"/>
          <w:sz w:val="24"/>
          <w:szCs w:val="24"/>
        </w:rPr>
        <w:t xml:space="preserve">Pasākuma īstenošana konceptuāli ir atbalstīta Vides aizsardzības un reģionālās attīstības ministrijā.  </w:t>
      </w:r>
    </w:p>
    <w:p w:rsidR="00522A46" w:rsidRDefault="00522A46" w:rsidP="00522A46">
      <w:pPr>
        <w:tabs>
          <w:tab w:val="left" w:pos="993"/>
        </w:tabs>
        <w:spacing w:before="120" w:after="120" w:line="240" w:lineRule="auto"/>
        <w:ind w:firstLine="709"/>
        <w:jc w:val="both"/>
        <w:rPr>
          <w:rFonts w:ascii="Times New Roman" w:eastAsia="Times New Roman" w:hAnsi="Times New Roman" w:cs="Times New Roman"/>
          <w:sz w:val="24"/>
          <w:szCs w:val="24"/>
        </w:rPr>
      </w:pPr>
      <w:r w:rsidRPr="002106E1">
        <w:rPr>
          <w:rFonts w:ascii="Times New Roman" w:eastAsia="Times New Roman" w:hAnsi="Times New Roman" w:cs="Times New Roman"/>
          <w:sz w:val="24"/>
          <w:szCs w:val="24"/>
        </w:rPr>
        <w:t>Lai īstenotu pasākumu</w:t>
      </w:r>
      <w:r>
        <w:rPr>
          <w:rFonts w:ascii="Times New Roman" w:eastAsia="Times New Roman" w:hAnsi="Times New Roman" w:cs="Times New Roman"/>
          <w:sz w:val="24"/>
          <w:szCs w:val="24"/>
        </w:rPr>
        <w:t>,</w:t>
      </w:r>
      <w:r w:rsidRPr="002106E1">
        <w:rPr>
          <w:rFonts w:ascii="Times New Roman" w:eastAsia="Times New Roman" w:hAnsi="Times New Roman" w:cs="Times New Roman"/>
          <w:sz w:val="24"/>
          <w:szCs w:val="24"/>
        </w:rPr>
        <w:t xml:space="preserve"> nepieciešams pa</w:t>
      </w:r>
      <w:r>
        <w:rPr>
          <w:rFonts w:ascii="Times New Roman" w:eastAsia="Times New Roman" w:hAnsi="Times New Roman" w:cs="Times New Roman"/>
          <w:sz w:val="24"/>
          <w:szCs w:val="24"/>
        </w:rPr>
        <w:t>pildu</w:t>
      </w:r>
      <w:r w:rsidRPr="002106E1">
        <w:rPr>
          <w:rFonts w:ascii="Times New Roman" w:eastAsia="Times New Roman" w:hAnsi="Times New Roman" w:cs="Times New Roman"/>
          <w:sz w:val="24"/>
          <w:szCs w:val="24"/>
        </w:rPr>
        <w:t xml:space="preserve"> finan</w:t>
      </w:r>
      <w:r>
        <w:rPr>
          <w:rFonts w:ascii="Times New Roman" w:eastAsia="Times New Roman" w:hAnsi="Times New Roman" w:cs="Times New Roman"/>
          <w:sz w:val="24"/>
          <w:szCs w:val="24"/>
        </w:rPr>
        <w:t>sējums LM pamatbudžeta apakšprogrammā 97.02.00</w:t>
      </w:r>
      <w:r w:rsidRPr="002106E1">
        <w:rPr>
          <w:rFonts w:ascii="Times New Roman" w:eastAsia="Times New Roman" w:hAnsi="Times New Roman" w:cs="Times New Roman"/>
          <w:sz w:val="24"/>
          <w:szCs w:val="24"/>
        </w:rPr>
        <w:t xml:space="preserve"> “Nozares centralizēto funkciju izpilde” 2021.gadā </w:t>
      </w:r>
      <w:r>
        <w:rPr>
          <w:rFonts w:ascii="Times New Roman" w:eastAsia="Times New Roman" w:hAnsi="Times New Roman" w:cs="Times New Roman"/>
          <w:sz w:val="24"/>
          <w:szCs w:val="24"/>
        </w:rPr>
        <w:t xml:space="preserve">1 500 000 </w:t>
      </w:r>
      <w:proofErr w:type="spellStart"/>
      <w:r w:rsidRPr="00B547A2">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apmērā, tajā skaitā izdevumiem pamatkapitāla veidošanai </w:t>
      </w:r>
      <w:r w:rsidRPr="002106E1">
        <w:rPr>
          <w:rFonts w:ascii="Times New Roman" w:eastAsia="Times New Roman" w:hAnsi="Times New Roman" w:cs="Times New Roman"/>
          <w:sz w:val="24"/>
          <w:szCs w:val="24"/>
        </w:rPr>
        <w:t xml:space="preserve">1 327 891 </w:t>
      </w:r>
      <w:proofErr w:type="spellStart"/>
      <w:r w:rsidRPr="002106E1">
        <w:rPr>
          <w:rFonts w:ascii="Times New Roman" w:eastAsia="Times New Roman" w:hAnsi="Times New Roman" w:cs="Times New Roman"/>
          <w:i/>
          <w:sz w:val="24"/>
          <w:szCs w:val="24"/>
        </w:rPr>
        <w:t>euro</w:t>
      </w:r>
      <w:proofErr w:type="spellEnd"/>
      <w:r w:rsidRPr="00210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02451">
        <w:rPr>
          <w:rFonts w:ascii="Times New Roman" w:eastAsia="Times New Roman" w:hAnsi="Times New Roman" w:cs="Times New Roman"/>
          <w:sz w:val="24"/>
          <w:szCs w:val="24"/>
        </w:rPr>
        <w:t>d</w:t>
      </w:r>
      <w:r w:rsidRPr="00602451">
        <w:rPr>
          <w:rFonts w:ascii="Times New Roman" w:hAnsi="Times New Roman"/>
          <w:sz w:val="24"/>
          <w:szCs w:val="24"/>
        </w:rPr>
        <w:t>atu replikācijas un atjaunošanas attālinātajā rezerves datu centrā risinājuma izveides</w:t>
      </w:r>
      <w:r w:rsidRPr="00210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izmaksām) </w:t>
      </w:r>
      <w:r w:rsidRPr="002106E1">
        <w:rPr>
          <w:rFonts w:ascii="Times New Roman" w:eastAsia="Times New Roman" w:hAnsi="Times New Roman" w:cs="Times New Roman"/>
          <w:sz w:val="24"/>
          <w:szCs w:val="24"/>
        </w:rPr>
        <w:t xml:space="preserve">un izdevumiem precēm un pakalpojumiem 172 109 </w:t>
      </w:r>
      <w:proofErr w:type="spellStart"/>
      <w:r w:rsidRPr="002106E1">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sidRPr="00242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izveidotā IT risinājuma </w:t>
      </w:r>
      <w:r w:rsidRPr="00602451">
        <w:rPr>
          <w:rFonts w:ascii="Times New Roman" w:hAnsi="Times New Roman"/>
          <w:sz w:val="24"/>
          <w:szCs w:val="24"/>
        </w:rPr>
        <w:t>uzturēšanas izmaksām</w:t>
      </w:r>
      <w:r>
        <w:rPr>
          <w:rFonts w:ascii="Times New Roman" w:hAnsi="Times New Roman"/>
          <w:sz w:val="24"/>
          <w:szCs w:val="24"/>
        </w:rPr>
        <w:t>)</w:t>
      </w:r>
      <w:r w:rsidRPr="00242581">
        <w:rPr>
          <w:rFonts w:ascii="Times New Roman" w:eastAsia="Times New Roman" w:hAnsi="Times New Roman" w:cs="Times New Roman"/>
          <w:sz w:val="24"/>
          <w:szCs w:val="24"/>
        </w:rPr>
        <w:t xml:space="preserve">, </w:t>
      </w:r>
      <w:r w:rsidRPr="002106E1">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izdevumiem precēm un pakalpojumiem 2022.– 2023.gadā ik gadu </w:t>
      </w:r>
      <w:r w:rsidRPr="002106E1">
        <w:rPr>
          <w:rFonts w:ascii="Times New Roman" w:eastAsia="Times New Roman" w:hAnsi="Times New Roman" w:cs="Times New Roman"/>
          <w:sz w:val="24"/>
          <w:szCs w:val="24"/>
        </w:rPr>
        <w:t xml:space="preserve">344 218 </w:t>
      </w:r>
      <w:proofErr w:type="spellStart"/>
      <w:r w:rsidRPr="002106E1">
        <w:rPr>
          <w:rFonts w:ascii="Times New Roman" w:eastAsia="Times New Roman" w:hAnsi="Times New Roman" w:cs="Times New Roman"/>
          <w:i/>
          <w:sz w:val="24"/>
          <w:szCs w:val="24"/>
        </w:rPr>
        <w:t>euro</w:t>
      </w:r>
      <w:proofErr w:type="spellEnd"/>
      <w:r w:rsidRPr="002106E1">
        <w:rPr>
          <w:rFonts w:ascii="Times New Roman" w:eastAsia="Times New Roman" w:hAnsi="Times New Roman" w:cs="Times New Roman"/>
          <w:sz w:val="24"/>
          <w:szCs w:val="24"/>
        </w:rPr>
        <w:t xml:space="preserve"> apmērā</w:t>
      </w:r>
      <w:r>
        <w:rPr>
          <w:rFonts w:ascii="Times New Roman" w:eastAsia="Times New Roman" w:hAnsi="Times New Roman" w:cs="Times New Roman"/>
          <w:sz w:val="24"/>
          <w:szCs w:val="24"/>
        </w:rPr>
        <w:t xml:space="preserve"> (izveidotā IT risinājuma </w:t>
      </w:r>
      <w:r w:rsidRPr="00602451">
        <w:rPr>
          <w:rFonts w:ascii="Times New Roman" w:hAnsi="Times New Roman"/>
          <w:sz w:val="24"/>
          <w:szCs w:val="24"/>
        </w:rPr>
        <w:t>uzturēšanas izmaksām</w:t>
      </w:r>
      <w:r>
        <w:rPr>
          <w:rFonts w:ascii="Times New Roman" w:hAnsi="Times New Roman"/>
          <w:sz w:val="24"/>
          <w:szCs w:val="24"/>
        </w:rPr>
        <w:t>)</w:t>
      </w:r>
      <w:r w:rsidRPr="002106E1">
        <w:rPr>
          <w:rFonts w:ascii="Times New Roman" w:eastAsia="Times New Roman" w:hAnsi="Times New Roman" w:cs="Times New Roman"/>
          <w:sz w:val="24"/>
          <w:szCs w:val="24"/>
        </w:rPr>
        <w:t>.</w:t>
      </w:r>
    </w:p>
    <w:p w:rsidR="00522A46" w:rsidRPr="008B3E8B" w:rsidRDefault="00522A46" w:rsidP="00522A46">
      <w:pPr>
        <w:pStyle w:val="ListParagraph"/>
        <w:numPr>
          <w:ilvl w:val="0"/>
          <w:numId w:val="17"/>
        </w:numPr>
        <w:spacing w:after="12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pasākuma “</w:t>
      </w:r>
      <w:r w:rsidRPr="008B3E8B">
        <w:rPr>
          <w:rFonts w:ascii="Times New Roman" w:eastAsia="Times New Roman" w:hAnsi="Times New Roman" w:cs="Times New Roman"/>
          <w:b/>
          <w:bCs/>
          <w:sz w:val="24"/>
          <w:szCs w:val="24"/>
          <w:lang w:eastAsia="lv-LV"/>
        </w:rPr>
        <w:t>Kvalitātes paaugstināšana nozares iestādēs klientiem sniegto pakalpojumu nodrošināšanai</w:t>
      </w:r>
      <w:r>
        <w:rPr>
          <w:rFonts w:ascii="Times New Roman" w:eastAsia="Times New Roman" w:hAnsi="Times New Roman" w:cs="Times New Roman"/>
          <w:b/>
          <w:bCs/>
          <w:sz w:val="24"/>
          <w:szCs w:val="24"/>
          <w:lang w:eastAsia="lv-LV"/>
        </w:rPr>
        <w:t>” īstenošanai</w:t>
      </w:r>
      <w:r w:rsidRPr="008B3E8B">
        <w:rPr>
          <w:rFonts w:ascii="Times New Roman" w:eastAsia="Times New Roman" w:hAnsi="Times New Roman" w:cs="Times New Roman"/>
          <w:bCs/>
          <w:sz w:val="24"/>
          <w:szCs w:val="24"/>
          <w:lang w:eastAsia="lv-LV"/>
        </w:rPr>
        <w:t xml:space="preserve">, lai </w:t>
      </w:r>
      <w:r>
        <w:rPr>
          <w:rFonts w:ascii="Times New Roman" w:eastAsia="Times New Roman" w:hAnsi="Times New Roman" w:cs="Times New Roman"/>
          <w:bCs/>
          <w:sz w:val="24"/>
          <w:szCs w:val="24"/>
          <w:lang w:eastAsia="lv-LV"/>
        </w:rPr>
        <w:t xml:space="preserve">nodrošinātu </w:t>
      </w:r>
      <w:r w:rsidRPr="008B3E8B">
        <w:rPr>
          <w:rFonts w:ascii="Times New Roman" w:eastAsia="Times New Roman" w:hAnsi="Times New Roman" w:cs="Times New Roman"/>
          <w:sz w:val="24"/>
          <w:szCs w:val="24"/>
          <w:lang w:eastAsia="lv-LV"/>
        </w:rPr>
        <w:t xml:space="preserve">Valsts darba inspekcijas (turpmāk – VDI), Nodarbinātības valsts aģentūras (turpmāk – NVA), Valsts bērnu tiesību aizsardzības inspekcijas (turpmāk – VBTAI) un </w:t>
      </w:r>
      <w:r>
        <w:rPr>
          <w:rFonts w:ascii="Times New Roman" w:eastAsia="Times New Roman" w:hAnsi="Times New Roman" w:cs="Times New Roman"/>
          <w:sz w:val="24"/>
          <w:szCs w:val="24"/>
          <w:lang w:eastAsia="lv-LV"/>
        </w:rPr>
        <w:t>VSAA</w:t>
      </w:r>
      <w:r w:rsidRPr="008B3E8B">
        <w:rPr>
          <w:rFonts w:ascii="Times New Roman" w:eastAsia="Times New Roman" w:hAnsi="Times New Roman" w:cs="Times New Roman"/>
          <w:sz w:val="24"/>
          <w:szCs w:val="24"/>
          <w:lang w:eastAsia="lv-LV"/>
        </w:rPr>
        <w:t xml:space="preserve"> darbinieku atalgo</w:t>
      </w:r>
      <w:r>
        <w:rPr>
          <w:rFonts w:ascii="Times New Roman" w:eastAsia="Times New Roman" w:hAnsi="Times New Roman" w:cs="Times New Roman"/>
          <w:sz w:val="24"/>
          <w:szCs w:val="24"/>
          <w:lang w:eastAsia="lv-LV"/>
        </w:rPr>
        <w:t xml:space="preserve">juma konkurētspējas stiprināšanu, </w:t>
      </w:r>
      <w:r w:rsidRPr="008B3E8B">
        <w:rPr>
          <w:rFonts w:ascii="Times New Roman" w:eastAsia="Times New Roman" w:hAnsi="Times New Roman" w:cs="Times New Roman"/>
          <w:sz w:val="24"/>
          <w:szCs w:val="24"/>
          <w:lang w:eastAsia="lv-LV"/>
        </w:rPr>
        <w:t>kas novērstu lielo kadru mainību LM padotības iestādēs un ļautu piesaistīt augsti kvalificētus darbiniekus nozares funkciju kvalitatīvai nodrošināšanai</w:t>
      </w:r>
      <w:r>
        <w:rPr>
          <w:rFonts w:ascii="Times New Roman" w:eastAsia="Times New Roman" w:hAnsi="Times New Roman" w:cs="Times New Roman"/>
          <w:sz w:val="24"/>
          <w:szCs w:val="24"/>
          <w:lang w:eastAsia="lv-LV"/>
        </w:rPr>
        <w:t>.</w:t>
      </w:r>
      <w:r w:rsidRPr="008B3E8B">
        <w:rPr>
          <w:rFonts w:ascii="Times New Roman" w:eastAsia="Times New Roman" w:hAnsi="Times New Roman" w:cs="Times New Roman"/>
          <w:sz w:val="24"/>
          <w:szCs w:val="24"/>
          <w:lang w:eastAsia="lv-LV"/>
        </w:rPr>
        <w:t xml:space="preserve"> Salīdzinoši zemais atalgojums ir nozīmīgākais iemesls personāla mainībai un kvalificēta personāla atlasē.</w:t>
      </w:r>
    </w:p>
    <w:p w:rsidR="00522A46" w:rsidRPr="008B3E8B"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8B3E8B">
        <w:rPr>
          <w:rFonts w:ascii="Times New Roman" w:eastAsia="Times New Roman" w:hAnsi="Times New Roman" w:cs="Times New Roman"/>
          <w:sz w:val="24"/>
          <w:szCs w:val="24"/>
          <w:lang w:eastAsia="lv-LV"/>
        </w:rPr>
        <w:t>Neskatoties uz atalgojuma palielinājumu pēdējos gados, šo iestāžu atalgojums joprojām nav konkurētspējīgs nedz salīdzinājumā ar privāto sektoru, nedz arī salīdzinājumā ar citām valsts pārvaldes iestādēm – VDI darbinieku vidējā mēnešalga ir 88% apmērā no MK 2013.gada 29.janvāra noteikumos Nr.66 “</w:t>
      </w:r>
      <w:r w:rsidRPr="008B3E8B">
        <w:rPr>
          <w:rFonts w:ascii="Times New Roman" w:eastAsia="Times New Roman" w:hAnsi="Times New Roman" w:cs="Times New Roman"/>
          <w:bCs/>
          <w:sz w:val="24"/>
          <w:szCs w:val="24"/>
        </w:rPr>
        <w:t>Noteikumi par valsts un pašvaldību institūciju amatpersonu un darbinieku darba samaksu un tās noteikšanas kārtību”</w:t>
      </w:r>
      <w:r w:rsidRPr="008B3E8B">
        <w:rPr>
          <w:rFonts w:ascii="Times New Roman" w:eastAsia="Times New Roman" w:hAnsi="Times New Roman" w:cs="Times New Roman"/>
          <w:sz w:val="24"/>
          <w:szCs w:val="24"/>
          <w:lang w:eastAsia="lv-LV"/>
        </w:rPr>
        <w:t xml:space="preserve"> (turpmāk - MK noteikumi) noteiktās mēnešalgas maksimālās skalas,  NVA –</w:t>
      </w:r>
      <w:r>
        <w:rPr>
          <w:rFonts w:ascii="Times New Roman" w:eastAsia="Times New Roman" w:hAnsi="Times New Roman" w:cs="Times New Roman"/>
          <w:sz w:val="24"/>
          <w:szCs w:val="24"/>
          <w:lang w:eastAsia="lv-LV"/>
        </w:rPr>
        <w:t xml:space="preserve"> </w:t>
      </w:r>
      <w:r w:rsidRPr="008B3E8B">
        <w:rPr>
          <w:rFonts w:ascii="Times New Roman" w:eastAsia="Times New Roman" w:hAnsi="Times New Roman" w:cs="Times New Roman"/>
          <w:sz w:val="24"/>
          <w:szCs w:val="24"/>
          <w:lang w:eastAsia="lv-LV"/>
        </w:rPr>
        <w:t xml:space="preserve">84%, VBTAI – </w:t>
      </w:r>
      <w:r>
        <w:rPr>
          <w:rFonts w:ascii="Times New Roman" w:eastAsia="Times New Roman" w:hAnsi="Times New Roman" w:cs="Times New Roman"/>
          <w:sz w:val="24"/>
          <w:szCs w:val="24"/>
          <w:lang w:eastAsia="lv-LV"/>
        </w:rPr>
        <w:t>93</w:t>
      </w:r>
      <w:r w:rsidRPr="008B3E8B">
        <w:rPr>
          <w:rFonts w:ascii="Times New Roman" w:eastAsia="Times New Roman" w:hAnsi="Times New Roman" w:cs="Times New Roman"/>
          <w:sz w:val="24"/>
          <w:szCs w:val="24"/>
          <w:lang w:eastAsia="lv-LV"/>
        </w:rPr>
        <w:t>% un VSAA – 82%.</w:t>
      </w:r>
    </w:p>
    <w:p w:rsidR="00522A46" w:rsidRDefault="00522A46" w:rsidP="00522A46">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Pasākuma ietvaros plānots palielināt VDI</w:t>
      </w:r>
      <w:r w:rsidRPr="008B3E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NVA</w:t>
      </w:r>
      <w:r w:rsidRPr="008B3E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VBTAI</w:t>
      </w:r>
      <w:r w:rsidRPr="008B3E8B">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VSAA </w:t>
      </w:r>
      <w:r w:rsidRPr="008B3E8B">
        <w:rPr>
          <w:rFonts w:ascii="Times New Roman" w:eastAsia="Times New Roman" w:hAnsi="Times New Roman" w:cs="Times New Roman"/>
          <w:sz w:val="24"/>
          <w:szCs w:val="24"/>
          <w:lang w:eastAsia="lv-LV"/>
        </w:rPr>
        <w:t>darbinieku atalgo</w:t>
      </w:r>
      <w:r>
        <w:rPr>
          <w:rFonts w:ascii="Times New Roman" w:eastAsia="Times New Roman" w:hAnsi="Times New Roman" w:cs="Times New Roman"/>
          <w:sz w:val="24"/>
          <w:szCs w:val="24"/>
          <w:lang w:eastAsia="lv-LV"/>
        </w:rPr>
        <w:t>jumu</w:t>
      </w:r>
      <w:r w:rsidRPr="008B3E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tādējādi nodrošinot, ka ar </w:t>
      </w:r>
      <w:r w:rsidRPr="008B3E8B">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gadu</w:t>
      </w:r>
      <w:r w:rsidRPr="008B3E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atalgojuma apmērs </w:t>
      </w:r>
      <w:r w:rsidRPr="008B3E8B">
        <w:rPr>
          <w:rFonts w:ascii="Times New Roman" w:eastAsia="Times New Roman" w:hAnsi="Times New Roman" w:cs="Times New Roman"/>
          <w:sz w:val="24"/>
          <w:szCs w:val="24"/>
          <w:lang w:eastAsia="lv-LV"/>
        </w:rPr>
        <w:t>sasnie</w:t>
      </w:r>
      <w:r>
        <w:rPr>
          <w:rFonts w:ascii="Times New Roman" w:eastAsia="Times New Roman" w:hAnsi="Times New Roman" w:cs="Times New Roman"/>
          <w:sz w:val="24"/>
          <w:szCs w:val="24"/>
          <w:lang w:eastAsia="lv-LV"/>
        </w:rPr>
        <w:t>gs</w:t>
      </w:r>
      <w:r w:rsidRPr="008B3E8B">
        <w:rPr>
          <w:rFonts w:ascii="Times New Roman" w:eastAsia="Times New Roman" w:hAnsi="Times New Roman" w:cs="Times New Roman"/>
          <w:sz w:val="24"/>
          <w:szCs w:val="24"/>
          <w:lang w:eastAsia="lv-LV"/>
        </w:rPr>
        <w:t xml:space="preserve"> 90% no noteiktās mēnešalgas maksimālās skalas NVA, VSAA, savukārt VDI un VBTAI 2021.gadā sasnie</w:t>
      </w:r>
      <w:r>
        <w:rPr>
          <w:rFonts w:ascii="Times New Roman" w:eastAsia="Times New Roman" w:hAnsi="Times New Roman" w:cs="Times New Roman"/>
          <w:sz w:val="24"/>
          <w:szCs w:val="24"/>
          <w:lang w:eastAsia="lv-LV"/>
        </w:rPr>
        <w:t>gs</w:t>
      </w:r>
      <w:r w:rsidRPr="008B3E8B">
        <w:rPr>
          <w:rFonts w:ascii="Times New Roman" w:eastAsia="Times New Roman" w:hAnsi="Times New Roman" w:cs="Times New Roman"/>
          <w:sz w:val="24"/>
          <w:szCs w:val="24"/>
          <w:lang w:eastAsia="lv-LV"/>
        </w:rPr>
        <w:t xml:space="preserve"> 100% no noteiktās mēnešalgas maksimālās skalas. Palielinot atalgojumu 100% apmērā no maksimāli pieļaujamās mēnešalgas skalas, VDI </w:t>
      </w:r>
      <w:r>
        <w:rPr>
          <w:rFonts w:ascii="Times New Roman" w:eastAsia="Times New Roman" w:hAnsi="Times New Roman" w:cs="Times New Roman"/>
          <w:sz w:val="24"/>
          <w:szCs w:val="24"/>
          <w:lang w:eastAsia="lv-LV"/>
        </w:rPr>
        <w:t xml:space="preserve">darbinieka </w:t>
      </w:r>
      <w:r w:rsidRPr="008B3E8B">
        <w:rPr>
          <w:rFonts w:ascii="Times New Roman" w:eastAsia="Times New Roman" w:hAnsi="Times New Roman" w:cs="Times New Roman"/>
          <w:sz w:val="24"/>
          <w:szCs w:val="24"/>
          <w:lang w:eastAsia="lv-LV"/>
        </w:rPr>
        <w:t xml:space="preserve">atalgojums palielināsies </w:t>
      </w:r>
      <w:r>
        <w:rPr>
          <w:rFonts w:ascii="Times New Roman" w:eastAsia="Times New Roman" w:hAnsi="Times New Roman" w:cs="Times New Roman"/>
          <w:sz w:val="24"/>
          <w:szCs w:val="24"/>
          <w:lang w:eastAsia="lv-LV"/>
        </w:rPr>
        <w:t>vidēji par 14</w:t>
      </w:r>
      <w:r w:rsidRPr="008B3E8B">
        <w:rPr>
          <w:rFonts w:ascii="Times New Roman" w:eastAsia="Times New Roman" w:hAnsi="Times New Roman" w:cs="Times New Roman"/>
          <w:sz w:val="24"/>
          <w:szCs w:val="24"/>
          <w:lang w:eastAsia="lv-LV"/>
        </w:rPr>
        <w:t xml:space="preserve">5 </w:t>
      </w:r>
      <w:proofErr w:type="spellStart"/>
      <w:r w:rsidRPr="008B3E8B">
        <w:rPr>
          <w:rFonts w:ascii="Times New Roman" w:eastAsia="Times New Roman" w:hAnsi="Times New Roman" w:cs="Times New Roman"/>
          <w:i/>
          <w:iCs/>
          <w:sz w:val="24"/>
          <w:szCs w:val="24"/>
          <w:lang w:eastAsia="lv-LV"/>
        </w:rPr>
        <w:t>euro</w:t>
      </w:r>
      <w:proofErr w:type="spellEnd"/>
      <w:r w:rsidRPr="008B3E8B">
        <w:rPr>
          <w:rFonts w:ascii="Times New Roman" w:eastAsia="Times New Roman" w:hAnsi="Times New Roman" w:cs="Times New Roman"/>
          <w:sz w:val="24"/>
          <w:szCs w:val="24"/>
          <w:lang w:eastAsia="lv-LV"/>
        </w:rPr>
        <w:t xml:space="preserve"> mēnesī, VBTAI – </w:t>
      </w:r>
      <w:r>
        <w:rPr>
          <w:rFonts w:ascii="Times New Roman" w:eastAsia="Times New Roman" w:hAnsi="Times New Roman" w:cs="Times New Roman"/>
          <w:sz w:val="24"/>
          <w:szCs w:val="24"/>
          <w:lang w:eastAsia="lv-LV"/>
        </w:rPr>
        <w:t>vidēji par 83</w:t>
      </w:r>
      <w:r w:rsidRPr="008B3E8B">
        <w:rPr>
          <w:rFonts w:ascii="Times New Roman" w:eastAsia="Times New Roman" w:hAnsi="Times New Roman" w:cs="Times New Roman"/>
          <w:sz w:val="24"/>
          <w:szCs w:val="24"/>
          <w:lang w:eastAsia="lv-LV"/>
        </w:rPr>
        <w:t xml:space="preserve"> </w:t>
      </w:r>
      <w:proofErr w:type="spellStart"/>
      <w:r w:rsidRPr="008B3E8B">
        <w:rPr>
          <w:rFonts w:ascii="Times New Roman" w:eastAsia="Times New Roman" w:hAnsi="Times New Roman" w:cs="Times New Roman"/>
          <w:i/>
          <w:iCs/>
          <w:sz w:val="24"/>
          <w:szCs w:val="24"/>
          <w:lang w:eastAsia="lv-LV"/>
        </w:rPr>
        <w:t>euro</w:t>
      </w:r>
      <w:proofErr w:type="spellEnd"/>
      <w:r w:rsidRPr="008B3E8B">
        <w:rPr>
          <w:rFonts w:ascii="Times New Roman" w:eastAsia="Times New Roman" w:hAnsi="Times New Roman" w:cs="Times New Roman"/>
          <w:iCs/>
          <w:sz w:val="24"/>
          <w:szCs w:val="24"/>
          <w:lang w:eastAsia="lv-LV"/>
        </w:rPr>
        <w:t xml:space="preserve"> mēnesī</w:t>
      </w:r>
      <w:r w:rsidRPr="008B3E8B">
        <w:rPr>
          <w:rFonts w:ascii="Times New Roman" w:eastAsia="Times New Roman" w:hAnsi="Times New Roman" w:cs="Times New Roman"/>
          <w:sz w:val="24"/>
          <w:szCs w:val="24"/>
          <w:lang w:eastAsia="lv-LV"/>
        </w:rPr>
        <w:t xml:space="preserve">, </w:t>
      </w:r>
      <w:r w:rsidRPr="003E71E8">
        <w:rPr>
          <w:rFonts w:ascii="Times New Roman" w:eastAsia="Times New Roman" w:hAnsi="Times New Roman" w:cs="Times New Roman"/>
          <w:sz w:val="24"/>
          <w:szCs w:val="24"/>
          <w:lang w:eastAsia="lv-LV"/>
        </w:rPr>
        <w:t>savukārt</w:t>
      </w:r>
      <w:r>
        <w:rPr>
          <w:rFonts w:ascii="Times New Roman" w:eastAsia="Times New Roman" w:hAnsi="Times New Roman" w:cs="Times New Roman"/>
          <w:sz w:val="24"/>
          <w:szCs w:val="24"/>
          <w:lang w:eastAsia="lv-LV"/>
        </w:rPr>
        <w:t>,</w:t>
      </w:r>
      <w:r w:rsidRPr="003E71E8">
        <w:rPr>
          <w:rFonts w:ascii="Times New Roman" w:eastAsia="Times New Roman" w:hAnsi="Times New Roman" w:cs="Times New Roman"/>
          <w:sz w:val="24"/>
          <w:szCs w:val="24"/>
          <w:lang w:eastAsia="lv-LV"/>
        </w:rPr>
        <w:t xml:space="preserve"> palielin</w:t>
      </w:r>
      <w:r w:rsidRPr="008B3E8B">
        <w:rPr>
          <w:rFonts w:ascii="Times New Roman" w:eastAsia="Times New Roman" w:hAnsi="Times New Roman" w:cs="Times New Roman"/>
          <w:sz w:val="24"/>
          <w:szCs w:val="24"/>
          <w:lang w:eastAsia="lv-LV"/>
        </w:rPr>
        <w:t>ot atalgojumu</w:t>
      </w:r>
      <w:r w:rsidRPr="003E71E8">
        <w:rPr>
          <w:rFonts w:ascii="Times New Roman" w:eastAsia="Times New Roman" w:hAnsi="Times New Roman" w:cs="Times New Roman"/>
          <w:sz w:val="24"/>
          <w:szCs w:val="24"/>
          <w:lang w:eastAsia="lv-LV"/>
        </w:rPr>
        <w:t xml:space="preserve"> 90% apmērā no maksimāli pieļaujamās </w:t>
      </w:r>
      <w:r w:rsidRPr="008B3E8B">
        <w:rPr>
          <w:rFonts w:ascii="Times New Roman" w:eastAsia="Times New Roman" w:hAnsi="Times New Roman" w:cs="Times New Roman"/>
          <w:sz w:val="24"/>
          <w:szCs w:val="24"/>
          <w:lang w:eastAsia="lv-LV"/>
        </w:rPr>
        <w:t xml:space="preserve">mēnešalgas </w:t>
      </w:r>
      <w:r w:rsidRPr="003E71E8">
        <w:rPr>
          <w:rFonts w:ascii="Times New Roman" w:eastAsia="Times New Roman" w:hAnsi="Times New Roman" w:cs="Times New Roman"/>
          <w:sz w:val="24"/>
          <w:szCs w:val="24"/>
          <w:lang w:eastAsia="lv-LV"/>
        </w:rPr>
        <w:t>skalas</w:t>
      </w:r>
      <w:r w:rsidRPr="008B3E8B">
        <w:rPr>
          <w:rFonts w:ascii="Times New Roman" w:eastAsia="Times New Roman" w:hAnsi="Times New Roman" w:cs="Times New Roman"/>
          <w:sz w:val="24"/>
          <w:szCs w:val="24"/>
          <w:lang w:eastAsia="lv-LV"/>
        </w:rPr>
        <w:t xml:space="preserve">, </w:t>
      </w:r>
      <w:r w:rsidRPr="003E71E8">
        <w:rPr>
          <w:rFonts w:ascii="Times New Roman" w:eastAsia="Times New Roman" w:hAnsi="Times New Roman" w:cs="Times New Roman"/>
          <w:sz w:val="24"/>
          <w:szCs w:val="24"/>
          <w:lang w:eastAsia="lv-LV"/>
        </w:rPr>
        <w:t>NVA</w:t>
      </w:r>
      <w:r w:rsidRPr="008B3E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darbinieka</w:t>
      </w:r>
      <w:r w:rsidRPr="003E71E8">
        <w:rPr>
          <w:rFonts w:ascii="Times New Roman" w:eastAsia="Times New Roman" w:hAnsi="Times New Roman" w:cs="Times New Roman"/>
          <w:sz w:val="24"/>
          <w:szCs w:val="24"/>
          <w:lang w:eastAsia="lv-LV"/>
        </w:rPr>
        <w:t xml:space="preserve"> </w:t>
      </w:r>
      <w:r w:rsidRPr="008B3E8B">
        <w:rPr>
          <w:rFonts w:ascii="Times New Roman" w:eastAsia="Times New Roman" w:hAnsi="Times New Roman" w:cs="Times New Roman"/>
          <w:sz w:val="24"/>
          <w:szCs w:val="24"/>
          <w:lang w:eastAsia="lv-LV"/>
        </w:rPr>
        <w:t>atalgojums palielināsies</w:t>
      </w:r>
      <w:r w:rsidRPr="003E71E8">
        <w:rPr>
          <w:rFonts w:ascii="Times New Roman" w:eastAsia="Times New Roman" w:hAnsi="Times New Roman" w:cs="Times New Roman"/>
          <w:sz w:val="24"/>
          <w:szCs w:val="24"/>
          <w:lang w:eastAsia="lv-LV"/>
        </w:rPr>
        <w:t xml:space="preserve"> vidēji par </w:t>
      </w:r>
      <w:r>
        <w:rPr>
          <w:rFonts w:ascii="Times New Roman" w:eastAsia="Times New Roman" w:hAnsi="Times New Roman" w:cs="Times New Roman"/>
          <w:sz w:val="24"/>
          <w:szCs w:val="24"/>
          <w:lang w:eastAsia="lv-LV"/>
        </w:rPr>
        <w:t>81</w:t>
      </w:r>
      <w:r w:rsidRPr="003E71E8">
        <w:rPr>
          <w:rFonts w:ascii="Times New Roman" w:eastAsia="Times New Roman" w:hAnsi="Times New Roman" w:cs="Times New Roman"/>
          <w:sz w:val="24"/>
          <w:szCs w:val="24"/>
          <w:lang w:eastAsia="lv-LV"/>
        </w:rPr>
        <w:t xml:space="preserve"> </w:t>
      </w:r>
      <w:proofErr w:type="spellStart"/>
      <w:r w:rsidRPr="003E71E8">
        <w:rPr>
          <w:rFonts w:ascii="Times New Roman" w:eastAsia="Times New Roman" w:hAnsi="Times New Roman" w:cs="Times New Roman"/>
          <w:i/>
          <w:iCs/>
          <w:sz w:val="24"/>
          <w:szCs w:val="24"/>
          <w:lang w:eastAsia="lv-LV"/>
        </w:rPr>
        <w:t>euro</w:t>
      </w:r>
      <w:proofErr w:type="spellEnd"/>
      <w:r w:rsidRPr="008B3E8B">
        <w:rPr>
          <w:rFonts w:ascii="Times New Roman" w:eastAsia="Times New Roman" w:hAnsi="Times New Roman" w:cs="Times New Roman"/>
          <w:sz w:val="24"/>
          <w:szCs w:val="24"/>
          <w:lang w:eastAsia="lv-LV"/>
        </w:rPr>
        <w:t xml:space="preserve"> mēnesī </w:t>
      </w:r>
      <w:r w:rsidRPr="003E71E8">
        <w:rPr>
          <w:rFonts w:ascii="Times New Roman" w:eastAsia="Times New Roman" w:hAnsi="Times New Roman" w:cs="Times New Roman"/>
          <w:sz w:val="24"/>
          <w:szCs w:val="24"/>
          <w:lang w:eastAsia="lv-LV"/>
        </w:rPr>
        <w:t xml:space="preserve">un VSAA </w:t>
      </w:r>
      <w:r w:rsidRPr="008B3E8B">
        <w:rPr>
          <w:rFonts w:ascii="Times New Roman" w:eastAsia="Times New Roman" w:hAnsi="Times New Roman" w:cs="Times New Roman"/>
          <w:sz w:val="24"/>
          <w:szCs w:val="24"/>
          <w:lang w:eastAsia="lv-LV"/>
        </w:rPr>
        <w:t xml:space="preserve">– </w:t>
      </w:r>
      <w:r w:rsidRPr="003E71E8">
        <w:rPr>
          <w:rFonts w:ascii="Times New Roman" w:eastAsia="Times New Roman" w:hAnsi="Times New Roman" w:cs="Times New Roman"/>
          <w:sz w:val="24"/>
          <w:szCs w:val="24"/>
          <w:lang w:eastAsia="lv-LV"/>
        </w:rPr>
        <w:t xml:space="preserve">vidēji par 80 </w:t>
      </w:r>
      <w:proofErr w:type="spellStart"/>
      <w:r w:rsidRPr="003E71E8">
        <w:rPr>
          <w:rFonts w:ascii="Times New Roman" w:eastAsia="Times New Roman" w:hAnsi="Times New Roman" w:cs="Times New Roman"/>
          <w:i/>
          <w:iCs/>
          <w:sz w:val="24"/>
          <w:szCs w:val="24"/>
          <w:lang w:eastAsia="lv-LV"/>
        </w:rPr>
        <w:t>euro</w:t>
      </w:r>
      <w:proofErr w:type="spellEnd"/>
      <w:r w:rsidRPr="003E71E8">
        <w:rPr>
          <w:rFonts w:ascii="Times New Roman" w:eastAsia="Times New Roman" w:hAnsi="Times New Roman" w:cs="Times New Roman"/>
          <w:sz w:val="24"/>
          <w:szCs w:val="24"/>
          <w:lang w:eastAsia="lv-LV"/>
        </w:rPr>
        <w:t xml:space="preserve"> mēnesī. </w:t>
      </w:r>
    </w:p>
    <w:p w:rsidR="00522A46" w:rsidRPr="009F76A4" w:rsidRDefault="00522A46" w:rsidP="00522A46">
      <w:pPr>
        <w:spacing w:after="120" w:line="240" w:lineRule="auto"/>
        <w:ind w:firstLine="720"/>
        <w:jc w:val="both"/>
        <w:rPr>
          <w:sz w:val="24"/>
          <w:szCs w:val="24"/>
          <w:lang w:eastAsia="lv-LV"/>
        </w:rPr>
      </w:pPr>
      <w:r w:rsidRPr="009F76A4">
        <w:rPr>
          <w:rFonts w:ascii="Times New Roman" w:hAnsi="Times New Roman" w:cs="Times New Roman"/>
          <w:sz w:val="24"/>
          <w:szCs w:val="24"/>
          <w:lang w:eastAsia="lv-LV"/>
        </w:rPr>
        <w:t>Papildus, lai motivētu iestāžu darbiniekus, pasākuma ietvaros paredzēts ar 2021.gadu nodrošināt NVA, VDI, VBTAI un VSAA darbiniekiem prēmiju saskaņā ar amatpersonas/darbinieka ikgadējo darbības un tās rezultātu novērtējumu vidēji 65% apmērā no darbinieka mēnešalgas, savukārt ar 2022.gadu VDI un VBTAI darbiniekiem arī atvaļinājuma pabalsta izmaksas 50% apmērā no darbinieka mēnešalgas apmēra.</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xml:space="preserve">Lai īstenotu pasākumu, nepieciešams papildu valsts budžeta finansējums izdevumiem atlīdzībai 2021.gadā 2 593 442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2022.–2023.gadā ik gadu 2 754 725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tajā skaitā LM </w:t>
      </w:r>
      <w:r w:rsidRPr="009F76A4">
        <w:rPr>
          <w:rFonts w:ascii="Times New Roman" w:eastAsia="Times New Roman" w:hAnsi="Times New Roman" w:cs="Times New Roman"/>
          <w:b/>
          <w:bCs/>
          <w:sz w:val="24"/>
          <w:szCs w:val="24"/>
          <w:lang w:eastAsia="lv-LV"/>
        </w:rPr>
        <w:t xml:space="preserve">pamatbudžetā </w:t>
      </w:r>
      <w:r w:rsidRPr="009F76A4">
        <w:rPr>
          <w:rFonts w:ascii="Times New Roman" w:eastAsia="Times New Roman" w:hAnsi="Times New Roman" w:cs="Times New Roman"/>
          <w:sz w:val="24"/>
          <w:szCs w:val="24"/>
          <w:lang w:eastAsia="lv-LV"/>
        </w:rPr>
        <w:t xml:space="preserve">2021.gadā 1 127 807 </w:t>
      </w:r>
      <w:proofErr w:type="spellStart"/>
      <w:r w:rsidRPr="009F76A4">
        <w:rPr>
          <w:rFonts w:ascii="Times New Roman" w:eastAsia="Times New Roman" w:hAnsi="Times New Roman" w:cs="Times New Roman"/>
          <w:i/>
          <w:iCs/>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2022. – 2023.gadā ik gadu 1 289 090 </w:t>
      </w:r>
      <w:proofErr w:type="spellStart"/>
      <w:r w:rsidRPr="009F76A4">
        <w:rPr>
          <w:rFonts w:ascii="Times New Roman" w:eastAsia="Times New Roman" w:hAnsi="Times New Roman" w:cs="Times New Roman"/>
          <w:i/>
          <w:iCs/>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un </w:t>
      </w:r>
      <w:r w:rsidRPr="009F76A4">
        <w:rPr>
          <w:rFonts w:ascii="Times New Roman" w:eastAsia="Times New Roman" w:hAnsi="Times New Roman" w:cs="Times New Roman"/>
          <w:b/>
          <w:sz w:val="24"/>
          <w:szCs w:val="24"/>
          <w:lang w:eastAsia="lv-LV"/>
        </w:rPr>
        <w:t>speciālajā budžetā</w:t>
      </w:r>
      <w:r w:rsidRPr="009F76A4">
        <w:rPr>
          <w:rFonts w:ascii="Times New Roman" w:eastAsia="Times New Roman" w:hAnsi="Times New Roman" w:cs="Times New Roman"/>
          <w:sz w:val="24"/>
          <w:szCs w:val="24"/>
          <w:lang w:eastAsia="lv-LV"/>
        </w:rPr>
        <w:t xml:space="preserve"> 2021. – 2023.gadā ik gadu 1 465 635 </w:t>
      </w:r>
      <w:proofErr w:type="spellStart"/>
      <w:r w:rsidRPr="009F76A4">
        <w:rPr>
          <w:rFonts w:ascii="Times New Roman" w:eastAsia="Times New Roman" w:hAnsi="Times New Roman" w:cs="Times New Roman"/>
          <w:i/>
          <w:iCs/>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Finansējums atlīdzībām nepieciešams šādās LM pamatbudžeta apakšprogrammās:</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xml:space="preserve">- 07.01.00 “Nodarbinātības valsts aģentūras darbības nodrošināšana” 2021. – 2023.gadā ik gadu 634 401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xml:space="preserve">- 21.01.00 “Darba tiesisko attiecību un darba apstākļu kontrole un uzraudzība” 2021.gadā 428 901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2022. – 2023.gadā ik gadu 555 538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xml:space="preserve">- 22.01.00 “Valsts bērnu tiesību aizsardzības inspekcija un bērnu uzticības tālrunis” 2021.gadā 64 505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2022. – 2023.gadā ik gadu 99 151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xml:space="preserve">Vienlaikus, ņemot vērā, ka VSAA un daļēji arī NVA darbība tiek finansēta valsts sociālās apdrošināšanas speciālā budžeta ietvaros, tad, lai ievērotu vienlīdzīgu pieeju nodarbināto atlīdzības politikā, nepieciešams papildu valsts budžeta finansējums atalgojuma palielināšanai, tajā skaitā: </w:t>
      </w:r>
    </w:p>
    <w:p w:rsidR="00522A46" w:rsidRPr="009F76A4"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apakšprogrammai 04.02.00 “Nodarbinātības speciālais budžets” 2021. – 2023.gadā ik gadu 186 167</w:t>
      </w:r>
      <w:r w:rsidRPr="009F76A4">
        <w:rPr>
          <w:rFonts w:ascii="Times New Roman" w:eastAsia="Times New Roman" w:hAnsi="Times New Roman" w:cs="Times New Roman"/>
          <w:i/>
          <w:sz w:val="24"/>
          <w:szCs w:val="24"/>
          <w:lang w:eastAsia="lv-LV"/>
        </w:rPr>
        <w:t xml:space="preserve">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w:t>
      </w:r>
    </w:p>
    <w:p w:rsidR="00522A46" w:rsidRDefault="00522A46" w:rsidP="00522A46">
      <w:pPr>
        <w:spacing w:after="120" w:line="240" w:lineRule="auto"/>
        <w:ind w:firstLine="720"/>
        <w:jc w:val="both"/>
        <w:rPr>
          <w:rFonts w:ascii="Times New Roman" w:eastAsia="Times New Roman" w:hAnsi="Times New Roman" w:cs="Times New Roman"/>
          <w:sz w:val="24"/>
          <w:szCs w:val="24"/>
          <w:lang w:eastAsia="lv-LV"/>
        </w:rPr>
      </w:pPr>
      <w:r w:rsidRPr="009F76A4">
        <w:rPr>
          <w:rFonts w:ascii="Times New Roman" w:eastAsia="Times New Roman" w:hAnsi="Times New Roman" w:cs="Times New Roman"/>
          <w:sz w:val="24"/>
          <w:szCs w:val="24"/>
          <w:lang w:eastAsia="lv-LV"/>
        </w:rPr>
        <w:t xml:space="preserve">- apakšprogrammai 04.05.00 “Valsts sociālās apdrošināšanas aģentūras speciālais budžets” 2021. – 2023.gadā ik gadu 1 279 468 </w:t>
      </w:r>
      <w:proofErr w:type="spellStart"/>
      <w:r w:rsidRPr="009F76A4">
        <w:rPr>
          <w:rFonts w:ascii="Times New Roman" w:eastAsia="Times New Roman" w:hAnsi="Times New Roman" w:cs="Times New Roman"/>
          <w:i/>
          <w:sz w:val="24"/>
          <w:szCs w:val="24"/>
          <w:lang w:eastAsia="lv-LV"/>
        </w:rPr>
        <w:t>euro</w:t>
      </w:r>
      <w:proofErr w:type="spellEnd"/>
      <w:r w:rsidRPr="009F76A4">
        <w:rPr>
          <w:rFonts w:ascii="Times New Roman" w:eastAsia="Times New Roman" w:hAnsi="Times New Roman" w:cs="Times New Roman"/>
          <w:sz w:val="24"/>
          <w:szCs w:val="24"/>
          <w:lang w:eastAsia="lv-LV"/>
        </w:rPr>
        <w:t xml:space="preserve"> apmērā, veicot attiecīgus </w:t>
      </w:r>
      <w:proofErr w:type="spellStart"/>
      <w:r w:rsidRPr="009F76A4">
        <w:rPr>
          <w:rFonts w:ascii="Times New Roman" w:eastAsia="Times New Roman" w:hAnsi="Times New Roman" w:cs="Times New Roman"/>
          <w:sz w:val="24"/>
          <w:szCs w:val="24"/>
          <w:lang w:eastAsia="lv-LV"/>
        </w:rPr>
        <w:t>transferta</w:t>
      </w:r>
      <w:proofErr w:type="spellEnd"/>
      <w:r w:rsidRPr="009F76A4">
        <w:rPr>
          <w:rFonts w:ascii="Times New Roman" w:eastAsia="Times New Roman" w:hAnsi="Times New Roman" w:cs="Times New Roman"/>
          <w:sz w:val="24"/>
          <w:szCs w:val="24"/>
          <w:lang w:eastAsia="lv-LV"/>
        </w:rPr>
        <w:t xml:space="preserve"> </w:t>
      </w:r>
      <w:proofErr w:type="spellStart"/>
      <w:r w:rsidRPr="009F76A4">
        <w:rPr>
          <w:rFonts w:ascii="Times New Roman" w:eastAsia="Times New Roman" w:hAnsi="Times New Roman" w:cs="Times New Roman"/>
          <w:sz w:val="24"/>
          <w:szCs w:val="24"/>
          <w:lang w:eastAsia="lv-LV"/>
        </w:rPr>
        <w:t>pārskaitījumus</w:t>
      </w:r>
      <w:proofErr w:type="spellEnd"/>
      <w:r w:rsidRPr="009F76A4">
        <w:rPr>
          <w:rFonts w:ascii="Times New Roman" w:eastAsia="Times New Roman" w:hAnsi="Times New Roman" w:cs="Times New Roman"/>
          <w:sz w:val="24"/>
          <w:szCs w:val="24"/>
          <w:lang w:eastAsia="lv-LV"/>
        </w:rPr>
        <w:t xml:space="preserve"> no sociālās apdrošināšanas pakalpojumu budžetiem atbilstoši to izdevumu īpatsvariem sociālās apdrošināšanas pakalpojumu finansējuma summā.</w:t>
      </w:r>
    </w:p>
    <w:tbl>
      <w:tblPr>
        <w:tblpPr w:leftFromText="180" w:rightFromText="180" w:vertAnchor="text" w:horzAnchor="margin" w:tblpY="29"/>
        <w:tblW w:w="9350" w:type="dxa"/>
        <w:tblLayout w:type="fixed"/>
        <w:tblLook w:val="04A0" w:firstRow="1" w:lastRow="0" w:firstColumn="1" w:lastColumn="0" w:noHBand="0" w:noVBand="1"/>
      </w:tblPr>
      <w:tblGrid>
        <w:gridCol w:w="4673"/>
        <w:gridCol w:w="1559"/>
        <w:gridCol w:w="1559"/>
        <w:gridCol w:w="1559"/>
      </w:tblGrid>
      <w:tr w:rsidR="00522A46" w:rsidRPr="00944618" w:rsidTr="00C66C91">
        <w:trPr>
          <w:trHeight w:val="416"/>
          <w:tblHead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2A46" w:rsidRPr="00944618" w:rsidRDefault="00522A46" w:rsidP="00C66C91">
            <w:pPr>
              <w:spacing w:after="0" w:line="240" w:lineRule="auto"/>
              <w:jc w:val="both"/>
              <w:rPr>
                <w:rFonts w:ascii="Times New Roman" w:hAnsi="Times New Roman" w:cs="Times New Roman"/>
                <w:color w:val="000000"/>
                <w:sz w:val="20"/>
                <w:szCs w:val="20"/>
                <w:lang w:eastAsia="lv-LV"/>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22A46" w:rsidRPr="00944618" w:rsidRDefault="00522A46" w:rsidP="00C66C91">
            <w:pPr>
              <w:spacing w:after="0" w:line="240" w:lineRule="auto"/>
              <w:jc w:val="center"/>
              <w:rPr>
                <w:rFonts w:ascii="Times New Roman" w:hAnsi="Times New Roman" w:cs="Times New Roman"/>
                <w:color w:val="000000"/>
                <w:sz w:val="20"/>
                <w:szCs w:val="20"/>
                <w:lang w:eastAsia="lv-LV"/>
              </w:rPr>
            </w:pPr>
            <w:r w:rsidRPr="00944618">
              <w:rPr>
                <w:rFonts w:ascii="Times New Roman" w:hAnsi="Times New Roman" w:cs="Times New Roman"/>
                <w:color w:val="000000"/>
                <w:sz w:val="20"/>
                <w:szCs w:val="20"/>
                <w:lang w:eastAsia="lv-LV"/>
              </w:rPr>
              <w:t>2021</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22A46" w:rsidRPr="00944618" w:rsidRDefault="00522A46" w:rsidP="00C66C91">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2022</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22A46" w:rsidRPr="00944618" w:rsidRDefault="00522A46" w:rsidP="00C66C91">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2023</w:t>
            </w:r>
          </w:p>
        </w:tc>
      </w:tr>
      <w:tr w:rsidR="00522A46" w:rsidRPr="00944618" w:rsidTr="00C66C91">
        <w:trPr>
          <w:trHeight w:val="254"/>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b/>
                <w:color w:val="000000"/>
                <w:sz w:val="20"/>
                <w:szCs w:val="20"/>
                <w:lang w:eastAsia="lv-LV"/>
              </w:rPr>
            </w:pPr>
            <w:r w:rsidRPr="00944618">
              <w:rPr>
                <w:rFonts w:ascii="Times New Roman" w:hAnsi="Times New Roman" w:cs="Times New Roman"/>
                <w:b/>
                <w:color w:val="000000"/>
                <w:sz w:val="20"/>
                <w:szCs w:val="20"/>
                <w:lang w:eastAsia="lv-LV"/>
              </w:rPr>
              <w:t>Ieņēmumi</w:t>
            </w:r>
            <w:r w:rsidRPr="00944618">
              <w:rPr>
                <w:rFonts w:ascii="Times New Roman" w:hAnsi="Times New Roman" w:cs="Times New Roman"/>
                <w:color w:val="000000"/>
                <w:sz w:val="20"/>
                <w:szCs w:val="20"/>
                <w:lang w:eastAsia="lv-LV"/>
              </w:rPr>
              <w:t xml:space="preserve">, </w:t>
            </w:r>
            <w:proofErr w:type="spellStart"/>
            <w:r w:rsidRPr="00944618">
              <w:rPr>
                <w:rFonts w:ascii="Times New Roman" w:hAnsi="Times New Roman" w:cs="Times New Roman"/>
                <w:i/>
                <w:color w:val="000000"/>
                <w:sz w:val="20"/>
                <w:szCs w:val="20"/>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22A46" w:rsidRPr="00944618" w:rsidRDefault="00522A46" w:rsidP="00C66C91">
            <w:pPr>
              <w:spacing w:after="0" w:line="240" w:lineRule="auto"/>
              <w:jc w:val="center"/>
              <w:rPr>
                <w:rFonts w:ascii="Times New Roman" w:hAnsi="Times New Roman" w:cs="Times New Roman"/>
                <w:b/>
                <w:color w:val="000000"/>
                <w:sz w:val="20"/>
                <w:szCs w:val="20"/>
              </w:rPr>
            </w:pPr>
            <w:r w:rsidRPr="00944618">
              <w:rPr>
                <w:rFonts w:ascii="Times New Roman" w:hAnsi="Times New Roman" w:cs="Times New Roman"/>
                <w:b/>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522A46" w:rsidRPr="00944618" w:rsidRDefault="00522A46" w:rsidP="00C66C91">
            <w:pPr>
              <w:spacing w:after="0" w:line="240" w:lineRule="auto"/>
              <w:jc w:val="center"/>
              <w:rPr>
                <w:rFonts w:ascii="Times New Roman" w:hAnsi="Times New Roman" w:cs="Times New Roman"/>
                <w:b/>
                <w:color w:val="000000"/>
                <w:sz w:val="20"/>
                <w:szCs w:val="20"/>
              </w:rPr>
            </w:pPr>
            <w:r w:rsidRPr="00944618">
              <w:rPr>
                <w:rFonts w:ascii="Times New Roman" w:hAnsi="Times New Roman" w:cs="Times New Roman"/>
                <w:b/>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522A46" w:rsidRPr="00944618" w:rsidRDefault="00522A46" w:rsidP="00C66C91">
            <w:pPr>
              <w:spacing w:after="0" w:line="240" w:lineRule="auto"/>
              <w:jc w:val="center"/>
              <w:rPr>
                <w:rFonts w:ascii="Times New Roman" w:hAnsi="Times New Roman" w:cs="Times New Roman"/>
                <w:b/>
                <w:color w:val="000000"/>
                <w:sz w:val="20"/>
                <w:szCs w:val="20"/>
              </w:rPr>
            </w:pPr>
            <w:r w:rsidRPr="00944618">
              <w:rPr>
                <w:rFonts w:ascii="Times New Roman" w:hAnsi="Times New Roman" w:cs="Times New Roman"/>
                <w:b/>
                <w:color w:val="000000"/>
                <w:sz w:val="20"/>
                <w:szCs w:val="20"/>
              </w:rPr>
              <w:t>0</w:t>
            </w:r>
          </w:p>
        </w:tc>
      </w:tr>
      <w:tr w:rsidR="00522A46" w:rsidRPr="00944618" w:rsidTr="00C66C91">
        <w:trPr>
          <w:trHeight w:val="254"/>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b/>
                <w:color w:val="000000"/>
                <w:sz w:val="20"/>
                <w:szCs w:val="20"/>
                <w:lang w:eastAsia="lv-LV"/>
              </w:rPr>
            </w:pPr>
            <w:r w:rsidRPr="00944618">
              <w:rPr>
                <w:rFonts w:ascii="Times New Roman" w:hAnsi="Times New Roman" w:cs="Times New Roman"/>
                <w:b/>
                <w:color w:val="000000"/>
                <w:sz w:val="20"/>
                <w:szCs w:val="20"/>
                <w:lang w:eastAsia="lv-LV"/>
              </w:rPr>
              <w:t>Izdevumi</w:t>
            </w:r>
            <w:r w:rsidRPr="00944618">
              <w:rPr>
                <w:rFonts w:ascii="Times New Roman" w:hAnsi="Times New Roman" w:cs="Times New Roman"/>
                <w:color w:val="000000"/>
                <w:sz w:val="20"/>
                <w:szCs w:val="20"/>
                <w:lang w:eastAsia="lv-LV"/>
              </w:rPr>
              <w:t xml:space="preserve">, </w:t>
            </w:r>
            <w:proofErr w:type="spellStart"/>
            <w:r w:rsidRPr="00944618">
              <w:rPr>
                <w:rFonts w:ascii="Times New Roman" w:hAnsi="Times New Roman" w:cs="Times New Roman"/>
                <w:i/>
                <w:color w:val="000000"/>
                <w:sz w:val="20"/>
                <w:szCs w:val="20"/>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22A46" w:rsidRPr="00944618" w:rsidRDefault="00522A46" w:rsidP="00C66C91">
            <w:pPr>
              <w:spacing w:after="0" w:line="240" w:lineRule="auto"/>
              <w:jc w:val="center"/>
              <w:rPr>
                <w:rFonts w:ascii="Times New Roman" w:hAnsi="Times New Roman" w:cs="Times New Roman"/>
                <w:b/>
                <w:color w:val="000000"/>
                <w:sz w:val="20"/>
                <w:szCs w:val="20"/>
              </w:rPr>
            </w:pPr>
            <w:r w:rsidRPr="00944618">
              <w:rPr>
                <w:rFonts w:ascii="Times New Roman" w:hAnsi="Times New Roman" w:cs="Times New Roman"/>
                <w:b/>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522A46" w:rsidRPr="00944618" w:rsidRDefault="00522A46" w:rsidP="00C66C91">
            <w:pPr>
              <w:spacing w:after="0" w:line="240" w:lineRule="auto"/>
              <w:jc w:val="center"/>
              <w:rPr>
                <w:rFonts w:ascii="Times New Roman" w:hAnsi="Times New Roman" w:cs="Times New Roman"/>
                <w:b/>
                <w:color w:val="000000"/>
                <w:sz w:val="20"/>
                <w:szCs w:val="20"/>
              </w:rPr>
            </w:pPr>
            <w:r w:rsidRPr="00944618">
              <w:rPr>
                <w:rFonts w:ascii="Times New Roman" w:hAnsi="Times New Roman" w:cs="Times New Roman"/>
                <w:b/>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522A46" w:rsidRPr="00944618" w:rsidRDefault="00522A46" w:rsidP="00C66C91">
            <w:pPr>
              <w:spacing w:after="0" w:line="240" w:lineRule="auto"/>
              <w:jc w:val="center"/>
              <w:rPr>
                <w:rFonts w:ascii="Times New Roman" w:hAnsi="Times New Roman" w:cs="Times New Roman"/>
                <w:b/>
                <w:color w:val="000000"/>
                <w:sz w:val="20"/>
                <w:szCs w:val="20"/>
              </w:rPr>
            </w:pPr>
            <w:r w:rsidRPr="00944618">
              <w:rPr>
                <w:rFonts w:ascii="Times New Roman" w:hAnsi="Times New Roman" w:cs="Times New Roman"/>
                <w:b/>
                <w:color w:val="000000"/>
                <w:sz w:val="20"/>
                <w:szCs w:val="20"/>
              </w:rPr>
              <w:t>0</w:t>
            </w:r>
          </w:p>
        </w:tc>
      </w:tr>
      <w:tr w:rsidR="00522A46" w:rsidRPr="00944618" w:rsidTr="00C66C91">
        <w:trPr>
          <w:trHeight w:val="254"/>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color w:val="000000"/>
                <w:sz w:val="20"/>
                <w:szCs w:val="20"/>
                <w:lang w:eastAsia="lv-LV"/>
              </w:rPr>
            </w:pPr>
            <w:r w:rsidRPr="00944618">
              <w:rPr>
                <w:rFonts w:ascii="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22A46" w:rsidRPr="00944618" w:rsidRDefault="00522A46" w:rsidP="00C66C91">
            <w:pPr>
              <w:spacing w:after="0" w:line="240" w:lineRule="auto"/>
              <w:jc w:val="center"/>
              <w:rPr>
                <w:rFonts w:ascii="Times New Roman" w:hAnsi="Times New Roman" w:cs="Times New Roman"/>
                <w:color w:val="000000"/>
                <w:sz w:val="20"/>
                <w:szCs w:val="20"/>
              </w:rPr>
            </w:pPr>
            <w:r w:rsidRPr="00944618">
              <w:rPr>
                <w:rFonts w:ascii="Times New Roman" w:hAnsi="Times New Roman" w:cs="Times New Roman"/>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522A46" w:rsidRPr="00944618" w:rsidRDefault="00522A46" w:rsidP="00C66C91">
            <w:pPr>
              <w:spacing w:after="0" w:line="240" w:lineRule="auto"/>
              <w:jc w:val="center"/>
              <w:rPr>
                <w:rFonts w:ascii="Times New Roman" w:hAnsi="Times New Roman" w:cs="Times New Roman"/>
                <w:color w:val="000000"/>
                <w:sz w:val="20"/>
                <w:szCs w:val="20"/>
              </w:rPr>
            </w:pPr>
            <w:r w:rsidRPr="00944618">
              <w:rPr>
                <w:rFonts w:ascii="Times New Roman" w:hAnsi="Times New Roman" w:cs="Times New Roman"/>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522A46" w:rsidRPr="00944618" w:rsidRDefault="00522A46" w:rsidP="00C66C91">
            <w:pPr>
              <w:spacing w:after="0" w:line="240" w:lineRule="auto"/>
              <w:jc w:val="center"/>
              <w:rPr>
                <w:rFonts w:ascii="Times New Roman" w:hAnsi="Times New Roman" w:cs="Times New Roman"/>
                <w:color w:val="000000"/>
                <w:sz w:val="20"/>
                <w:szCs w:val="20"/>
              </w:rPr>
            </w:pPr>
            <w:r w:rsidRPr="00944618">
              <w:rPr>
                <w:rFonts w:ascii="Times New Roman" w:hAnsi="Times New Roman" w:cs="Times New Roman"/>
                <w:color w:val="000000"/>
                <w:sz w:val="20"/>
                <w:szCs w:val="20"/>
              </w:rPr>
              <w:t>0</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color w:val="000000"/>
                <w:sz w:val="20"/>
                <w:szCs w:val="20"/>
                <w:lang w:eastAsia="lv-LV"/>
              </w:rPr>
            </w:pPr>
            <w:r w:rsidRPr="00B768B1">
              <w:rPr>
                <w:rFonts w:ascii="Times New Roman" w:hAnsi="Times New Roman" w:cs="Times New Roman"/>
                <w:color w:val="000000"/>
                <w:sz w:val="20"/>
                <w:szCs w:val="20"/>
                <w:lang w:eastAsia="lv-LV"/>
              </w:rPr>
              <w:t xml:space="preserve">Valsts </w:t>
            </w:r>
            <w:r>
              <w:rPr>
                <w:rFonts w:ascii="Times New Roman" w:hAnsi="Times New Roman" w:cs="Times New Roman"/>
                <w:color w:val="000000"/>
                <w:sz w:val="20"/>
                <w:szCs w:val="20"/>
                <w:lang w:eastAsia="lv-LV"/>
              </w:rPr>
              <w:t xml:space="preserve">sociālās apdrošināšanas </w:t>
            </w:r>
            <w:r w:rsidRPr="00B768B1">
              <w:rPr>
                <w:rFonts w:ascii="Times New Roman" w:hAnsi="Times New Roman" w:cs="Times New Roman"/>
                <w:color w:val="000000"/>
                <w:sz w:val="20"/>
                <w:szCs w:val="20"/>
                <w:lang w:eastAsia="lv-LV"/>
              </w:rPr>
              <w:t xml:space="preserve">speciālā budžeta apakšprogramma 04.02.00 </w:t>
            </w:r>
            <w:r>
              <w:rPr>
                <w:rFonts w:ascii="Times New Roman" w:hAnsi="Times New Roman" w:cs="Times New Roman"/>
                <w:color w:val="000000"/>
                <w:sz w:val="20"/>
                <w:szCs w:val="20"/>
                <w:lang w:eastAsia="lv-LV"/>
              </w:rPr>
              <w:t>“</w:t>
            </w:r>
            <w:r w:rsidRPr="00B768B1">
              <w:rPr>
                <w:rFonts w:ascii="Times New Roman" w:hAnsi="Times New Roman" w:cs="Times New Roman"/>
                <w:color w:val="000000"/>
                <w:sz w:val="20"/>
                <w:szCs w:val="20"/>
                <w:lang w:eastAsia="lv-LV"/>
              </w:rPr>
              <w:t>Nodarbinātības speciā</w:t>
            </w:r>
            <w:r>
              <w:rPr>
                <w:rFonts w:ascii="Times New Roman" w:hAnsi="Times New Roman" w:cs="Times New Roman"/>
                <w:color w:val="000000"/>
                <w:sz w:val="20"/>
                <w:szCs w:val="20"/>
                <w:lang w:eastAsia="lv-LV"/>
              </w:rPr>
              <w:t>lais budžets”</w:t>
            </w:r>
            <w:r w:rsidRPr="00944618">
              <w:rPr>
                <w:rFonts w:ascii="Times New Roman" w:hAnsi="Times New Roman" w:cs="Times New Roman"/>
                <w:color w:val="000000"/>
                <w:sz w:val="20"/>
                <w:szCs w:val="20"/>
                <w:lang w:eastAsia="lv-LV"/>
              </w:rPr>
              <w:t>–</w:t>
            </w:r>
            <w:r>
              <w:rPr>
                <w:rFonts w:ascii="Times New Roman" w:hAnsi="Times New Roman" w:cs="Times New Roman"/>
                <w:color w:val="000000"/>
                <w:sz w:val="20"/>
                <w:szCs w:val="20"/>
                <w:lang w:eastAsia="lv-LV"/>
              </w:rPr>
              <w:t xml:space="preserve"> </w:t>
            </w:r>
            <w:r w:rsidRPr="00B768B1">
              <w:rPr>
                <w:rFonts w:ascii="Times New Roman" w:hAnsi="Times New Roman" w:cs="Times New Roman"/>
                <w:color w:val="000000"/>
                <w:sz w:val="20"/>
                <w:szCs w:val="20"/>
                <w:lang w:eastAsia="lv-LV"/>
              </w:rPr>
              <w:t xml:space="preserve">izdevumu </w:t>
            </w:r>
            <w:r w:rsidR="00203E6F">
              <w:rPr>
                <w:rFonts w:ascii="Times New Roman" w:hAnsi="Times New Roman" w:cs="Times New Roman"/>
                <w:color w:val="000000"/>
                <w:sz w:val="20"/>
                <w:szCs w:val="20"/>
                <w:lang w:eastAsia="lv-LV"/>
              </w:rPr>
              <w:t xml:space="preserve"> sociāla</w:t>
            </w:r>
            <w:r>
              <w:rPr>
                <w:rFonts w:ascii="Times New Roman" w:hAnsi="Times New Roman" w:cs="Times New Roman"/>
                <w:color w:val="000000"/>
                <w:sz w:val="20"/>
                <w:szCs w:val="20"/>
                <w:lang w:eastAsia="lv-LV"/>
              </w:rPr>
              <w:t xml:space="preserve"> rakstura maksājumiem un kompensācijām</w:t>
            </w:r>
            <w:r w:rsidRPr="00B768B1">
              <w:rPr>
                <w:rFonts w:ascii="Times New Roman" w:hAnsi="Times New Roman" w:cs="Times New Roman"/>
                <w:color w:val="000000"/>
                <w:sz w:val="20"/>
                <w:szCs w:val="20"/>
                <w:lang w:eastAsia="lv-LV"/>
              </w:rPr>
              <w:t xml:space="preserve"> </w:t>
            </w:r>
            <w:r>
              <w:rPr>
                <w:rFonts w:ascii="Times New Roman" w:hAnsi="Times New Roman" w:cs="Times New Roman"/>
                <w:color w:val="000000"/>
                <w:sz w:val="20"/>
                <w:szCs w:val="20"/>
                <w:lang w:eastAsia="lv-LV"/>
              </w:rPr>
              <w:t>(</w:t>
            </w:r>
            <w:r w:rsidRPr="00B768B1">
              <w:rPr>
                <w:rFonts w:ascii="Times New Roman" w:hAnsi="Times New Roman" w:cs="Times New Roman"/>
                <w:color w:val="000000"/>
                <w:sz w:val="20"/>
                <w:szCs w:val="20"/>
                <w:lang w:eastAsia="lv-LV"/>
              </w:rPr>
              <w:t>bezdarbnieka pabalstiem</w:t>
            </w:r>
            <w:r>
              <w:rPr>
                <w:rFonts w:ascii="Times New Roman" w:hAnsi="Times New Roman" w:cs="Times New Roman"/>
                <w:color w:val="000000"/>
                <w:sz w:val="20"/>
                <w:szCs w:val="20"/>
                <w:lang w:eastAsia="lv-LV"/>
              </w:rPr>
              <w:t>)</w:t>
            </w:r>
            <w:r w:rsidRPr="00B768B1">
              <w:rPr>
                <w:rFonts w:ascii="Times New Roman" w:hAnsi="Times New Roman" w:cs="Times New Roman"/>
                <w:color w:val="000000"/>
                <w:sz w:val="20"/>
                <w:szCs w:val="20"/>
                <w:lang w:eastAsia="lv-LV"/>
              </w:rPr>
              <w:t xml:space="preserve"> samazin</w:t>
            </w:r>
            <w:r>
              <w:rPr>
                <w:rFonts w:ascii="Times New Roman" w:hAnsi="Times New Roman" w:cs="Times New Roman"/>
                <w:color w:val="000000"/>
                <w:sz w:val="20"/>
                <w:szCs w:val="20"/>
                <w:lang w:eastAsia="lv-LV"/>
              </w:rPr>
              <w:t>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-18 981 238</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44618" w:rsidRDefault="00522A46" w:rsidP="00C66C9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-29 364 026</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44618" w:rsidRDefault="00522A46" w:rsidP="00C66C9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-31 372 769</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P</w:t>
            </w:r>
            <w:r w:rsidRPr="00944618">
              <w:rPr>
                <w:rFonts w:ascii="Times New Roman" w:hAnsi="Times New Roman" w:cs="Times New Roman"/>
                <w:color w:val="000000"/>
                <w:sz w:val="20"/>
                <w:szCs w:val="20"/>
                <w:lang w:eastAsia="lv-LV"/>
              </w:rPr>
              <w:t xml:space="preserve">amatbudžeta apakšprogramma </w:t>
            </w:r>
            <w:r>
              <w:rPr>
                <w:rFonts w:ascii="Times New Roman" w:hAnsi="Times New Roman" w:cs="Times New Roman"/>
                <w:color w:val="000000"/>
                <w:sz w:val="20"/>
                <w:szCs w:val="20"/>
                <w:lang w:eastAsia="lv-LV"/>
              </w:rPr>
              <w:t>05.01.00</w:t>
            </w:r>
            <w:r w:rsidRPr="00944618">
              <w:rPr>
                <w:rFonts w:ascii="Times New Roman" w:hAnsi="Times New Roman" w:cs="Times New Roman"/>
                <w:color w:val="000000"/>
                <w:sz w:val="20"/>
                <w:szCs w:val="20"/>
                <w:lang w:eastAsia="lv-LV"/>
              </w:rPr>
              <w:t xml:space="preserve"> “</w:t>
            </w:r>
            <w:r>
              <w:rPr>
                <w:rFonts w:ascii="Times New Roman" w:hAnsi="Times New Roman" w:cs="Times New Roman"/>
                <w:color w:val="000000"/>
                <w:sz w:val="20"/>
                <w:szCs w:val="20"/>
                <w:lang w:eastAsia="lv-LV"/>
              </w:rPr>
              <w:t>Sociālās rehabilitācijas valsts programmas”</w:t>
            </w:r>
            <w:r w:rsidRPr="00944618">
              <w:rPr>
                <w:rFonts w:ascii="Times New Roman" w:hAnsi="Times New Roman" w:cs="Times New Roman"/>
                <w:color w:val="000000"/>
                <w:sz w:val="20"/>
                <w:szCs w:val="20"/>
                <w:lang w:eastAsia="lv-LV"/>
              </w:rPr>
              <w:t xml:space="preserve"> – izdevumu </w:t>
            </w:r>
            <w:r w:rsidRPr="00944618">
              <w:rPr>
                <w:rFonts w:ascii="Times New Roman" w:hAnsi="Times New Roman" w:cs="Times New Roman"/>
                <w:sz w:val="20"/>
                <w:szCs w:val="20"/>
              </w:rPr>
              <w:t xml:space="preserve"> </w:t>
            </w:r>
            <w:r>
              <w:rPr>
                <w:rFonts w:ascii="Times New Roman" w:hAnsi="Times New Roman" w:cs="Times New Roman"/>
                <w:sz w:val="20"/>
                <w:szCs w:val="20"/>
              </w:rPr>
              <w:t xml:space="preserve">pārējiem valsts budžeta uzturēšanas izdevumu </w:t>
            </w:r>
            <w:proofErr w:type="spellStart"/>
            <w:r>
              <w:rPr>
                <w:rFonts w:ascii="Times New Roman" w:hAnsi="Times New Roman" w:cs="Times New Roman"/>
                <w:sz w:val="20"/>
                <w:szCs w:val="20"/>
              </w:rPr>
              <w:t>transfertiem</w:t>
            </w:r>
            <w:proofErr w:type="spellEnd"/>
            <w:r>
              <w:rPr>
                <w:rFonts w:ascii="Times New Roman" w:hAnsi="Times New Roman" w:cs="Times New Roman"/>
                <w:sz w:val="20"/>
                <w:szCs w:val="20"/>
              </w:rPr>
              <w:t xml:space="preserve"> pašvaldībām </w:t>
            </w:r>
            <w:r w:rsidRPr="00944618">
              <w:rPr>
                <w:rFonts w:ascii="Times New Roman" w:hAnsi="Times New Roman" w:cs="Times New Roman"/>
                <w:color w:val="000000"/>
                <w:sz w:val="20"/>
                <w:szCs w:val="20"/>
                <w:lang w:eastAsia="lv-LV"/>
              </w:rPr>
              <w:t xml:space="preserve">palielinājums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9 349 520</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21 364 224</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23 372 967</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P</w:t>
            </w:r>
            <w:r w:rsidRPr="00944618">
              <w:rPr>
                <w:rFonts w:ascii="Times New Roman" w:hAnsi="Times New Roman" w:cs="Times New Roman"/>
                <w:color w:val="000000"/>
                <w:sz w:val="20"/>
                <w:szCs w:val="20"/>
                <w:lang w:eastAsia="lv-LV"/>
              </w:rPr>
              <w:t xml:space="preserve">amatbudžeta apakšprogramma </w:t>
            </w:r>
            <w:r>
              <w:rPr>
                <w:rFonts w:ascii="Times New Roman" w:hAnsi="Times New Roman" w:cs="Times New Roman"/>
                <w:color w:val="000000"/>
                <w:sz w:val="20"/>
                <w:szCs w:val="20"/>
                <w:lang w:eastAsia="lv-LV"/>
              </w:rPr>
              <w:t>97.02.00</w:t>
            </w:r>
            <w:r w:rsidRPr="00944618">
              <w:rPr>
                <w:rFonts w:ascii="Times New Roman" w:hAnsi="Times New Roman" w:cs="Times New Roman"/>
                <w:color w:val="000000"/>
                <w:sz w:val="20"/>
                <w:szCs w:val="20"/>
                <w:lang w:eastAsia="lv-LV"/>
              </w:rPr>
              <w:t xml:space="preserve"> “</w:t>
            </w:r>
            <w:r>
              <w:rPr>
                <w:rFonts w:ascii="Times New Roman" w:hAnsi="Times New Roman" w:cs="Times New Roman"/>
                <w:color w:val="000000"/>
                <w:sz w:val="20"/>
                <w:szCs w:val="20"/>
                <w:lang w:eastAsia="lv-LV"/>
              </w:rPr>
              <w:t>Nozares centralizēto funkciju izpilde”</w:t>
            </w:r>
            <w:r w:rsidRPr="00944618">
              <w:rPr>
                <w:rFonts w:ascii="Times New Roman" w:hAnsi="Times New Roman" w:cs="Times New Roman"/>
                <w:color w:val="000000"/>
                <w:sz w:val="20"/>
                <w:szCs w:val="20"/>
                <w:lang w:eastAsia="lv-LV"/>
              </w:rPr>
              <w:t xml:space="preserve"> – izdevumu </w:t>
            </w:r>
            <w:r>
              <w:rPr>
                <w:rFonts w:ascii="Times New Roman" w:hAnsi="Times New Roman" w:cs="Times New Roman"/>
                <w:color w:val="000000"/>
                <w:sz w:val="20"/>
                <w:szCs w:val="20"/>
                <w:lang w:eastAsia="lv-LV"/>
              </w:rPr>
              <w:t>precēm un pakalpojumiem,</w:t>
            </w:r>
            <w:r w:rsidRPr="00944618">
              <w:rPr>
                <w:rFonts w:ascii="Times New Roman" w:hAnsi="Times New Roman" w:cs="Times New Roman"/>
                <w:sz w:val="20"/>
                <w:szCs w:val="20"/>
              </w:rPr>
              <w:t xml:space="preserve"> </w:t>
            </w:r>
            <w:r>
              <w:rPr>
                <w:rFonts w:ascii="Times New Roman" w:hAnsi="Times New Roman" w:cs="Times New Roman"/>
                <w:sz w:val="20"/>
                <w:szCs w:val="20"/>
              </w:rPr>
              <w:t xml:space="preserve">pārējiem valsts budžeta uzturēšanas izdevumu </w:t>
            </w:r>
            <w:proofErr w:type="spellStart"/>
            <w:r>
              <w:rPr>
                <w:rFonts w:ascii="Times New Roman" w:hAnsi="Times New Roman" w:cs="Times New Roman"/>
                <w:sz w:val="20"/>
                <w:szCs w:val="20"/>
              </w:rPr>
              <w:t>transfertiem</w:t>
            </w:r>
            <w:proofErr w:type="spellEnd"/>
            <w:r>
              <w:rPr>
                <w:rFonts w:ascii="Times New Roman" w:hAnsi="Times New Roman" w:cs="Times New Roman"/>
                <w:sz w:val="20"/>
                <w:szCs w:val="20"/>
              </w:rPr>
              <w:t xml:space="preserve"> pašvaldībām un izdevumu ieguldījumiem pamatkapitālā p</w:t>
            </w:r>
            <w:r w:rsidRPr="00944618">
              <w:rPr>
                <w:rFonts w:ascii="Times New Roman" w:hAnsi="Times New Roman" w:cs="Times New Roman"/>
                <w:color w:val="000000"/>
                <w:sz w:val="20"/>
                <w:szCs w:val="20"/>
                <w:lang w:eastAsia="lv-LV"/>
              </w:rPr>
              <w:t>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4 518 025</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344 218</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344 218</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C66C91">
            <w:pPr>
              <w:spacing w:after="0" w:line="240"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P</w:t>
            </w:r>
            <w:r w:rsidRPr="00944618">
              <w:rPr>
                <w:rFonts w:ascii="Times New Roman" w:hAnsi="Times New Roman" w:cs="Times New Roman"/>
                <w:color w:val="000000"/>
                <w:sz w:val="20"/>
                <w:szCs w:val="20"/>
                <w:lang w:eastAsia="lv-LV"/>
              </w:rPr>
              <w:t xml:space="preserve">amatbudžeta apakšprogramma </w:t>
            </w:r>
            <w:r w:rsidRPr="00B83DE6">
              <w:rPr>
                <w:rFonts w:ascii="Times New Roman" w:hAnsi="Times New Roman" w:cs="Times New Roman"/>
                <w:color w:val="000000"/>
                <w:sz w:val="20"/>
                <w:szCs w:val="20"/>
                <w:lang w:eastAsia="lv-LV"/>
              </w:rPr>
              <w:t>05.63.00 “Dotācija biedrībām, nodibinājumiem un reliģiskām organizācijām”</w:t>
            </w:r>
            <w:r w:rsidRPr="00944618">
              <w:rPr>
                <w:rFonts w:ascii="Times New Roman" w:hAnsi="Times New Roman" w:cs="Times New Roman"/>
                <w:color w:val="000000"/>
                <w:sz w:val="20"/>
                <w:szCs w:val="20"/>
                <w:lang w:eastAsia="lv-LV"/>
              </w:rPr>
              <w:t xml:space="preserve"> – izdevumu </w:t>
            </w:r>
            <w:r w:rsidRPr="00944618">
              <w:rPr>
                <w:rFonts w:ascii="Times New Roman" w:hAnsi="Times New Roman" w:cs="Times New Roman"/>
                <w:sz w:val="20"/>
                <w:szCs w:val="20"/>
              </w:rPr>
              <w:t xml:space="preserve"> </w:t>
            </w:r>
            <w:r>
              <w:rPr>
                <w:rFonts w:ascii="Times New Roman" w:hAnsi="Times New Roman" w:cs="Times New Roman"/>
                <w:sz w:val="20"/>
                <w:szCs w:val="20"/>
              </w:rPr>
              <w:t xml:space="preserve">subsīdijām un dotācijām </w:t>
            </w:r>
            <w:r w:rsidRPr="00944618">
              <w:rPr>
                <w:rFonts w:ascii="Times New Roman" w:hAnsi="Times New Roman" w:cs="Times New Roman"/>
                <w:color w:val="000000"/>
                <w:sz w:val="20"/>
                <w:szCs w:val="20"/>
                <w:lang w:eastAsia="lv-LV"/>
              </w:rPr>
              <w:t>palielinājums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150 000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150 000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150 000</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944618" w:rsidRDefault="00522A46" w:rsidP="00203E6F">
            <w:pPr>
              <w:spacing w:after="0" w:line="240"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P</w:t>
            </w:r>
            <w:r w:rsidRPr="00B83DE6">
              <w:rPr>
                <w:rFonts w:ascii="Times New Roman" w:hAnsi="Times New Roman" w:cs="Times New Roman"/>
                <w:color w:val="000000"/>
                <w:sz w:val="20"/>
                <w:szCs w:val="20"/>
                <w:lang w:eastAsia="lv-LV"/>
              </w:rPr>
              <w:t xml:space="preserve">amatbudžeta apakšprogramma 20.01.00 “Valsts sociālie pabalsti” – izdevumu  </w:t>
            </w:r>
            <w:r>
              <w:rPr>
                <w:rFonts w:ascii="Times New Roman" w:hAnsi="Times New Roman" w:cs="Times New Roman"/>
                <w:color w:val="000000"/>
                <w:sz w:val="20"/>
                <w:szCs w:val="20"/>
                <w:lang w:eastAsia="lv-LV"/>
              </w:rPr>
              <w:t>sociāl</w:t>
            </w:r>
            <w:r w:rsidR="00203E6F">
              <w:rPr>
                <w:rFonts w:ascii="Times New Roman" w:hAnsi="Times New Roman" w:cs="Times New Roman"/>
                <w:color w:val="000000"/>
                <w:sz w:val="20"/>
                <w:szCs w:val="20"/>
                <w:lang w:eastAsia="lv-LV"/>
              </w:rPr>
              <w:t>a</w:t>
            </w:r>
            <w:r>
              <w:rPr>
                <w:rFonts w:ascii="Times New Roman" w:hAnsi="Times New Roman" w:cs="Times New Roman"/>
                <w:color w:val="000000"/>
                <w:sz w:val="20"/>
                <w:szCs w:val="20"/>
                <w:lang w:eastAsia="lv-LV"/>
              </w:rPr>
              <w:t xml:space="preserve"> rakstura maksājumiem un kompensācijām (pabalstiem aizbildnim par bērna uzturēšanu) </w:t>
            </w:r>
            <w:r w:rsidRPr="00B83DE6">
              <w:rPr>
                <w:rFonts w:ascii="Times New Roman" w:hAnsi="Times New Roman" w:cs="Times New Roman"/>
                <w:color w:val="000000"/>
                <w:sz w:val="20"/>
                <w:szCs w:val="20"/>
                <w:lang w:eastAsia="lv-LV"/>
              </w:rPr>
              <w:t>palielinājums</w:t>
            </w:r>
            <w:r>
              <w:rPr>
                <w:rFonts w:ascii="Times New Roman" w:hAnsi="Times New Roman" w:cs="Times New Roman"/>
                <w:color w:val="000000"/>
                <w:sz w:val="20"/>
                <w:szCs w:val="20"/>
                <w:lang w:eastAsia="lv-LV"/>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2 370 251</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4 750 859</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4 750 859</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EA145D" w:rsidRDefault="00522A46" w:rsidP="00C66C91">
            <w:pPr>
              <w:spacing w:after="0" w:line="240" w:lineRule="auto"/>
              <w:jc w:val="both"/>
              <w:rPr>
                <w:rFonts w:ascii="Times New Roman" w:hAnsi="Times New Roman" w:cs="Times New Roman"/>
                <w:color w:val="000000"/>
                <w:sz w:val="20"/>
                <w:szCs w:val="20"/>
                <w:lang w:eastAsia="lv-LV"/>
              </w:rPr>
            </w:pPr>
            <w:r w:rsidRPr="00EA145D">
              <w:rPr>
                <w:rFonts w:ascii="Times New Roman" w:hAnsi="Times New Roman" w:cs="Times New Roman"/>
                <w:color w:val="000000"/>
                <w:sz w:val="20"/>
                <w:szCs w:val="20"/>
                <w:lang w:eastAsia="lv-LV"/>
              </w:rPr>
              <w:t xml:space="preserve">Pamatbudžeta apakšprogramma </w:t>
            </w:r>
            <w:r w:rsidRPr="008B3E8B">
              <w:rPr>
                <w:rFonts w:ascii="Times New Roman" w:eastAsia="Times New Roman" w:hAnsi="Times New Roman" w:cs="Times New Roman"/>
                <w:sz w:val="20"/>
                <w:szCs w:val="20"/>
                <w:lang w:eastAsia="lv-LV"/>
              </w:rPr>
              <w:t>07.01.00 “Nodarbinātības valsts aģentūras darbības nodrošināšana”</w:t>
            </w:r>
            <w:r>
              <w:rPr>
                <w:rFonts w:ascii="Times New Roman" w:eastAsia="Times New Roman" w:hAnsi="Times New Roman" w:cs="Times New Roman"/>
                <w:sz w:val="20"/>
                <w:szCs w:val="20"/>
                <w:lang w:eastAsia="lv-LV"/>
              </w:rPr>
              <w:t xml:space="preserve"> – izdevumu atlīdzībai palielinājums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eastAsia="Times New Roman" w:hAnsi="Times New Roman" w:cs="Times New Roman"/>
                <w:sz w:val="20"/>
                <w:szCs w:val="20"/>
                <w:lang w:eastAsia="lv-LV"/>
              </w:rPr>
              <w:t>634 401</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eastAsia="Times New Roman" w:hAnsi="Times New Roman" w:cs="Times New Roman"/>
                <w:sz w:val="20"/>
                <w:szCs w:val="20"/>
                <w:lang w:eastAsia="lv-LV"/>
              </w:rPr>
              <w:t>634 401</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eastAsia="Times New Roman" w:hAnsi="Times New Roman" w:cs="Times New Roman"/>
                <w:sz w:val="20"/>
                <w:szCs w:val="20"/>
                <w:lang w:eastAsia="lv-LV"/>
              </w:rPr>
              <w:t>634 401</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Default="00522A46" w:rsidP="00C66C91">
            <w:pPr>
              <w:spacing w:after="0" w:line="240" w:lineRule="auto"/>
              <w:jc w:val="both"/>
              <w:rPr>
                <w:rFonts w:ascii="Times New Roman" w:hAnsi="Times New Roman" w:cs="Times New Roman"/>
                <w:color w:val="000000"/>
                <w:sz w:val="20"/>
                <w:szCs w:val="20"/>
                <w:lang w:eastAsia="lv-LV"/>
              </w:rPr>
            </w:pPr>
            <w:r w:rsidRPr="00EA145D">
              <w:rPr>
                <w:rFonts w:ascii="Times New Roman" w:hAnsi="Times New Roman" w:cs="Times New Roman"/>
                <w:color w:val="000000"/>
                <w:sz w:val="20"/>
                <w:szCs w:val="20"/>
                <w:lang w:eastAsia="lv-LV"/>
              </w:rPr>
              <w:t xml:space="preserve">Pamatbudžeta </w:t>
            </w:r>
            <w:r w:rsidRPr="00BD070E">
              <w:rPr>
                <w:rFonts w:ascii="Times New Roman" w:hAnsi="Times New Roman" w:cs="Times New Roman"/>
                <w:color w:val="000000"/>
                <w:sz w:val="20"/>
                <w:szCs w:val="20"/>
                <w:lang w:eastAsia="lv-LV"/>
              </w:rPr>
              <w:t xml:space="preserve">apakšprogramma </w:t>
            </w:r>
            <w:r w:rsidRPr="008B3E8B">
              <w:rPr>
                <w:rFonts w:ascii="Times New Roman" w:eastAsia="Times New Roman" w:hAnsi="Times New Roman" w:cs="Times New Roman"/>
                <w:sz w:val="20"/>
                <w:szCs w:val="20"/>
                <w:lang w:eastAsia="lv-LV"/>
              </w:rPr>
              <w:t xml:space="preserve">21.01.00 “Darba tiesisko attiecību un darba apstākļu kontrole un uzraudzība” </w:t>
            </w:r>
            <w:r w:rsidRPr="00BD070E">
              <w:rPr>
                <w:rFonts w:ascii="Times New Roman" w:eastAsia="Times New Roman" w:hAnsi="Times New Roman" w:cs="Times New Roman"/>
                <w:sz w:val="20"/>
                <w:szCs w:val="20"/>
                <w:lang w:eastAsia="lv-LV"/>
              </w:rPr>
              <w:t xml:space="preserve"> – izdevumu atlīdzībai palielinājums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428 901</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555 538</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555 538</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BD070E" w:rsidRDefault="00522A46" w:rsidP="00C66C91">
            <w:pPr>
              <w:spacing w:after="0" w:line="240" w:lineRule="auto"/>
              <w:jc w:val="both"/>
              <w:rPr>
                <w:rFonts w:ascii="Times New Roman" w:hAnsi="Times New Roman" w:cs="Times New Roman"/>
                <w:color w:val="000000"/>
                <w:sz w:val="20"/>
                <w:szCs w:val="20"/>
                <w:lang w:eastAsia="lv-LV"/>
              </w:rPr>
            </w:pPr>
            <w:r w:rsidRPr="00BD070E">
              <w:rPr>
                <w:rFonts w:ascii="Times New Roman" w:hAnsi="Times New Roman" w:cs="Times New Roman"/>
                <w:color w:val="000000"/>
                <w:sz w:val="20"/>
                <w:szCs w:val="20"/>
                <w:lang w:eastAsia="lv-LV"/>
              </w:rPr>
              <w:t xml:space="preserve">Pamatbudžeta apakšprogramma </w:t>
            </w:r>
            <w:r w:rsidRPr="00BD070E">
              <w:rPr>
                <w:rFonts w:ascii="Times New Roman" w:eastAsia="Times New Roman" w:hAnsi="Times New Roman" w:cs="Times New Roman"/>
                <w:sz w:val="20"/>
                <w:szCs w:val="20"/>
                <w:lang w:eastAsia="lv-LV"/>
              </w:rPr>
              <w:t>22</w:t>
            </w:r>
            <w:r w:rsidRPr="008B3E8B">
              <w:rPr>
                <w:rFonts w:ascii="Times New Roman" w:eastAsia="Times New Roman" w:hAnsi="Times New Roman" w:cs="Times New Roman"/>
                <w:sz w:val="20"/>
                <w:szCs w:val="20"/>
                <w:lang w:eastAsia="lv-LV"/>
              </w:rPr>
              <w:t>.01.00 “</w:t>
            </w:r>
            <w:r w:rsidRPr="00BD070E">
              <w:rPr>
                <w:rFonts w:ascii="Times New Roman" w:eastAsia="Times New Roman" w:hAnsi="Times New Roman" w:cs="Times New Roman"/>
                <w:sz w:val="20"/>
                <w:szCs w:val="20"/>
                <w:lang w:eastAsia="lv-LV"/>
              </w:rPr>
              <w:t xml:space="preserve"> </w:t>
            </w:r>
            <w:r w:rsidRPr="008B3E8B">
              <w:rPr>
                <w:rFonts w:ascii="Times New Roman" w:eastAsia="Times New Roman" w:hAnsi="Times New Roman" w:cs="Times New Roman"/>
                <w:sz w:val="20"/>
                <w:szCs w:val="20"/>
                <w:lang w:eastAsia="lv-LV"/>
              </w:rPr>
              <w:t xml:space="preserve">Valsts bērnu tiesību aizsardzības inspekcija un bērnu uzticības tālrunis” </w:t>
            </w:r>
            <w:r w:rsidRPr="00BD070E">
              <w:rPr>
                <w:rFonts w:ascii="Times New Roman" w:eastAsia="Times New Roman" w:hAnsi="Times New Roman" w:cs="Times New Roman"/>
                <w:sz w:val="20"/>
                <w:szCs w:val="20"/>
                <w:lang w:eastAsia="lv-LV"/>
              </w:rPr>
              <w:t xml:space="preserve"> – izdevumu atlīdzībai palielinājums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64 505</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99 151</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99 151</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Default="00522A46" w:rsidP="00C66C91">
            <w:pPr>
              <w:spacing w:after="0" w:line="240" w:lineRule="auto"/>
              <w:jc w:val="both"/>
              <w:rPr>
                <w:rFonts w:ascii="Times New Roman" w:hAnsi="Times New Roman" w:cs="Times New Roman"/>
                <w:color w:val="000000"/>
                <w:sz w:val="20"/>
                <w:szCs w:val="20"/>
                <w:lang w:eastAsia="lv-LV"/>
              </w:rPr>
            </w:pPr>
            <w:r w:rsidRPr="00B768B1">
              <w:rPr>
                <w:rFonts w:ascii="Times New Roman" w:hAnsi="Times New Roman" w:cs="Times New Roman"/>
                <w:color w:val="000000"/>
                <w:sz w:val="20"/>
                <w:szCs w:val="20"/>
                <w:lang w:eastAsia="lv-LV"/>
              </w:rPr>
              <w:t xml:space="preserve">Valsts </w:t>
            </w:r>
            <w:r>
              <w:rPr>
                <w:rFonts w:ascii="Times New Roman" w:hAnsi="Times New Roman" w:cs="Times New Roman"/>
                <w:color w:val="000000"/>
                <w:sz w:val="20"/>
                <w:szCs w:val="20"/>
                <w:lang w:eastAsia="lv-LV"/>
              </w:rPr>
              <w:t xml:space="preserve">sociālās apdrošināšanas </w:t>
            </w:r>
            <w:r w:rsidRPr="00B768B1">
              <w:rPr>
                <w:rFonts w:ascii="Times New Roman" w:hAnsi="Times New Roman" w:cs="Times New Roman"/>
                <w:color w:val="000000"/>
                <w:sz w:val="20"/>
                <w:szCs w:val="20"/>
                <w:lang w:eastAsia="lv-LV"/>
              </w:rPr>
              <w:t xml:space="preserve">speciālā budžeta apakšprogramma 04.02.00 </w:t>
            </w:r>
            <w:r>
              <w:rPr>
                <w:rFonts w:ascii="Times New Roman" w:hAnsi="Times New Roman" w:cs="Times New Roman"/>
                <w:color w:val="000000"/>
                <w:sz w:val="20"/>
                <w:szCs w:val="20"/>
                <w:lang w:eastAsia="lv-LV"/>
              </w:rPr>
              <w:t>“</w:t>
            </w:r>
            <w:r w:rsidRPr="00B768B1">
              <w:rPr>
                <w:rFonts w:ascii="Times New Roman" w:hAnsi="Times New Roman" w:cs="Times New Roman"/>
                <w:color w:val="000000"/>
                <w:sz w:val="20"/>
                <w:szCs w:val="20"/>
                <w:lang w:eastAsia="lv-LV"/>
              </w:rPr>
              <w:t>Nodarbinātības speciā</w:t>
            </w:r>
            <w:r>
              <w:rPr>
                <w:rFonts w:ascii="Times New Roman" w:hAnsi="Times New Roman" w:cs="Times New Roman"/>
                <w:color w:val="000000"/>
                <w:sz w:val="20"/>
                <w:szCs w:val="20"/>
                <w:lang w:eastAsia="lv-LV"/>
              </w:rPr>
              <w:t xml:space="preserve">lais budžets” </w:t>
            </w:r>
            <w:r w:rsidRPr="00944618">
              <w:rPr>
                <w:rFonts w:ascii="Times New Roman" w:hAnsi="Times New Roman" w:cs="Times New Roman"/>
                <w:color w:val="000000"/>
                <w:sz w:val="20"/>
                <w:szCs w:val="20"/>
                <w:lang w:eastAsia="lv-LV"/>
              </w:rPr>
              <w:t>–</w:t>
            </w:r>
            <w:r w:rsidRPr="00B768B1">
              <w:rPr>
                <w:rFonts w:ascii="Times New Roman" w:hAnsi="Times New Roman" w:cs="Times New Roman"/>
                <w:color w:val="000000"/>
                <w:sz w:val="20"/>
                <w:szCs w:val="20"/>
                <w:lang w:eastAsia="lv-LV"/>
              </w:rPr>
              <w:t xml:space="preserve"> izdevumu </w:t>
            </w:r>
            <w:r>
              <w:rPr>
                <w:rFonts w:ascii="Times New Roman" w:hAnsi="Times New Roman" w:cs="Times New Roman"/>
                <w:color w:val="000000"/>
                <w:sz w:val="20"/>
                <w:szCs w:val="20"/>
                <w:lang w:eastAsia="lv-LV"/>
              </w:rPr>
              <w:t xml:space="preserve"> atlīdzībai</w:t>
            </w:r>
            <w:r w:rsidRPr="00B768B1">
              <w:rPr>
                <w:rFonts w:ascii="Times New Roman" w:hAnsi="Times New Roman" w:cs="Times New Roman"/>
                <w:color w:val="000000"/>
                <w:sz w:val="20"/>
                <w:szCs w:val="20"/>
                <w:lang w:eastAsia="lv-LV"/>
              </w:rPr>
              <w:t xml:space="preserve"> </w:t>
            </w:r>
            <w:r>
              <w:rPr>
                <w:rFonts w:ascii="Times New Roman" w:hAnsi="Times New Roman" w:cs="Times New Roman"/>
                <w:color w:val="000000"/>
                <w:sz w:val="20"/>
                <w:szCs w:val="20"/>
                <w:lang w:eastAsia="lv-LV"/>
              </w:rPr>
              <w:t>paliel</w:t>
            </w:r>
            <w:r w:rsidRPr="00B768B1">
              <w:rPr>
                <w:rFonts w:ascii="Times New Roman" w:hAnsi="Times New Roman" w:cs="Times New Roman"/>
                <w:color w:val="000000"/>
                <w:sz w:val="20"/>
                <w:szCs w:val="20"/>
                <w:lang w:eastAsia="lv-LV"/>
              </w:rPr>
              <w:t>in</w:t>
            </w:r>
            <w:r>
              <w:rPr>
                <w:rFonts w:ascii="Times New Roman" w:hAnsi="Times New Roman" w:cs="Times New Roman"/>
                <w:color w:val="000000"/>
                <w:sz w:val="20"/>
                <w:szCs w:val="20"/>
                <w:lang w:eastAsia="lv-LV"/>
              </w:rPr>
              <w:t>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186 167</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186 167</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522A46" w:rsidP="00C66C91">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186 167</w:t>
            </w:r>
          </w:p>
        </w:tc>
      </w:tr>
      <w:tr w:rsidR="00522A46" w:rsidRPr="00944618" w:rsidTr="00C66C9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46" w:rsidRPr="00BD070E" w:rsidRDefault="00522A46" w:rsidP="00C66C91">
            <w:pPr>
              <w:spacing w:after="0" w:line="240" w:lineRule="auto"/>
              <w:jc w:val="both"/>
              <w:rPr>
                <w:rFonts w:ascii="Times New Roman" w:hAnsi="Times New Roman" w:cs="Times New Roman"/>
                <w:color w:val="000000"/>
                <w:sz w:val="20"/>
                <w:szCs w:val="20"/>
                <w:lang w:eastAsia="lv-LV"/>
              </w:rPr>
            </w:pPr>
            <w:r w:rsidRPr="00BD070E">
              <w:rPr>
                <w:rFonts w:ascii="Times New Roman" w:hAnsi="Times New Roman" w:cs="Times New Roman"/>
                <w:color w:val="000000"/>
                <w:sz w:val="20"/>
                <w:szCs w:val="20"/>
                <w:lang w:eastAsia="lv-LV"/>
              </w:rPr>
              <w:t>Valsts sociālās apdrošināšanas speciālā budžeta apakšprogramma 04.05.00 “</w:t>
            </w:r>
            <w:r w:rsidRPr="008B3E8B">
              <w:rPr>
                <w:rFonts w:ascii="Times New Roman" w:eastAsia="Times New Roman" w:hAnsi="Times New Roman" w:cs="Times New Roman"/>
                <w:sz w:val="20"/>
                <w:szCs w:val="20"/>
                <w:lang w:eastAsia="lv-LV"/>
              </w:rPr>
              <w:t>Valsts sociālās apdrošināšanas aģentūras speciālais budžets</w:t>
            </w:r>
            <w:r w:rsidRPr="00BD070E">
              <w:rPr>
                <w:rFonts w:ascii="Times New Roman" w:hAnsi="Times New Roman" w:cs="Times New Roman"/>
                <w:color w:val="000000"/>
                <w:sz w:val="20"/>
                <w:szCs w:val="20"/>
                <w:lang w:eastAsia="lv-LV"/>
              </w:rPr>
              <w:t>”</w:t>
            </w:r>
            <w:r>
              <w:rPr>
                <w:rFonts w:ascii="Times New Roman" w:hAnsi="Times New Roman" w:cs="Times New Roman"/>
                <w:color w:val="000000"/>
                <w:sz w:val="20"/>
                <w:szCs w:val="20"/>
                <w:lang w:eastAsia="lv-LV"/>
              </w:rPr>
              <w:t xml:space="preserve"> </w:t>
            </w:r>
            <w:r w:rsidRPr="00944618">
              <w:rPr>
                <w:rFonts w:ascii="Times New Roman" w:hAnsi="Times New Roman" w:cs="Times New Roman"/>
                <w:color w:val="000000"/>
                <w:sz w:val="20"/>
                <w:szCs w:val="20"/>
                <w:lang w:eastAsia="lv-LV"/>
              </w:rPr>
              <w:t>–</w:t>
            </w:r>
            <w:r w:rsidRPr="00BD070E">
              <w:rPr>
                <w:rFonts w:ascii="Times New Roman" w:hAnsi="Times New Roman" w:cs="Times New Roman"/>
                <w:color w:val="000000"/>
                <w:sz w:val="20"/>
                <w:szCs w:val="20"/>
                <w:lang w:eastAsia="lv-LV"/>
              </w:rPr>
              <w:t xml:space="preserve"> izdevumu  atlīdzībai palielinājums</w:t>
            </w:r>
            <w:r>
              <w:rPr>
                <w:rFonts w:ascii="Times New Roman" w:hAnsi="Times New Roman" w:cs="Times New Roman"/>
                <w:color w:val="000000"/>
                <w:sz w:val="20"/>
                <w:szCs w:val="20"/>
                <w:lang w:eastAsia="lv-LV"/>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22A46" w:rsidRPr="009F76A4" w:rsidRDefault="009F6536" w:rsidP="009F65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522A46" w:rsidRPr="009F76A4">
              <w:rPr>
                <w:rFonts w:ascii="Times New Roman" w:hAnsi="Times New Roman" w:cs="Times New Roman"/>
                <w:color w:val="000000"/>
                <w:sz w:val="20"/>
                <w:szCs w:val="20"/>
              </w:rPr>
              <w:t>279 468</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9F76A4" w:rsidP="009F76A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522A46" w:rsidRPr="009F76A4">
              <w:rPr>
                <w:rFonts w:ascii="Times New Roman" w:hAnsi="Times New Roman" w:cs="Times New Roman"/>
                <w:color w:val="000000"/>
                <w:sz w:val="20"/>
                <w:szCs w:val="20"/>
              </w:rPr>
              <w:t>279 468</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A46" w:rsidRPr="009F76A4" w:rsidRDefault="009F76A4" w:rsidP="009F76A4">
            <w:pPr>
              <w:spacing w:after="0" w:line="240" w:lineRule="auto"/>
              <w:jc w:val="center"/>
              <w:rPr>
                <w:rFonts w:ascii="Times New Roman" w:hAnsi="Times New Roman" w:cs="Times New Roman"/>
                <w:color w:val="000000"/>
                <w:sz w:val="20"/>
                <w:szCs w:val="20"/>
              </w:rPr>
            </w:pPr>
            <w:r w:rsidRPr="009F76A4">
              <w:rPr>
                <w:rFonts w:ascii="Times New Roman" w:hAnsi="Times New Roman" w:cs="Times New Roman"/>
                <w:color w:val="000000"/>
                <w:sz w:val="20"/>
                <w:szCs w:val="20"/>
              </w:rPr>
              <w:t>1 279 468</w:t>
            </w:r>
          </w:p>
        </w:tc>
      </w:tr>
    </w:tbl>
    <w:p w:rsidR="00522A46" w:rsidRPr="00FB0B3E" w:rsidRDefault="00522A46" w:rsidP="00522A46">
      <w:pPr>
        <w:spacing w:before="120" w:after="120" w:line="240" w:lineRule="auto"/>
        <w:jc w:val="both"/>
        <w:rPr>
          <w:rFonts w:ascii="Times New Roman" w:hAnsi="Times New Roman" w:cs="Times New Roman"/>
          <w:sz w:val="20"/>
          <w:szCs w:val="20"/>
        </w:rPr>
      </w:pPr>
    </w:p>
    <w:p w:rsidR="00017D0C" w:rsidRPr="00A23F3F" w:rsidRDefault="00A23F3F" w:rsidP="00A23F3F">
      <w:pPr>
        <w:pStyle w:val="ListParagraph"/>
        <w:numPr>
          <w:ilvl w:val="1"/>
          <w:numId w:val="20"/>
        </w:numPr>
        <w:spacing w:before="120" w:after="120" w:line="24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17D0C" w:rsidRPr="00A23F3F">
        <w:rPr>
          <w:rFonts w:ascii="Times New Roman" w:hAnsi="Times New Roman" w:cs="Times New Roman"/>
          <w:b/>
          <w:sz w:val="24"/>
          <w:szCs w:val="24"/>
        </w:rPr>
        <w:t>Vides aizsardzības un reģionālās attīstības ministrijas priekšlikums</w:t>
      </w:r>
    </w:p>
    <w:p w:rsidR="00017D0C" w:rsidRDefault="00017D0C" w:rsidP="00017D0C">
      <w:pPr>
        <w:spacing w:before="120" w:after="120" w:line="240" w:lineRule="auto"/>
        <w:ind w:firstLine="720"/>
        <w:jc w:val="both"/>
        <w:rPr>
          <w:rFonts w:ascii="Times New Roman" w:hAnsi="Times New Roman" w:cs="Times New Roman"/>
          <w:sz w:val="24"/>
          <w:szCs w:val="24"/>
        </w:rPr>
      </w:pPr>
      <w:r w:rsidRPr="0063175F">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xml:space="preserve"> (turpmāk – </w:t>
      </w:r>
      <w:r w:rsidRPr="0063175F">
        <w:rPr>
          <w:rFonts w:ascii="Times New Roman" w:hAnsi="Times New Roman" w:cs="Times New Roman"/>
          <w:sz w:val="24"/>
          <w:szCs w:val="24"/>
        </w:rPr>
        <w:t>VARAM</w:t>
      </w:r>
      <w:r>
        <w:rPr>
          <w:rFonts w:ascii="Times New Roman" w:hAnsi="Times New Roman" w:cs="Times New Roman"/>
          <w:sz w:val="24"/>
          <w:szCs w:val="24"/>
        </w:rPr>
        <w:t>)</w:t>
      </w:r>
      <w:r w:rsidRPr="0063175F">
        <w:rPr>
          <w:rFonts w:ascii="Times New Roman" w:hAnsi="Times New Roman" w:cs="Times New Roman"/>
          <w:sz w:val="24"/>
          <w:szCs w:val="24"/>
        </w:rPr>
        <w:t xml:space="preserve"> ir iesniegusi priekšlikumus par dabas resursu nodokļa (turpmāk – DRN) ieņēmumu palielināšanu saistībā ar atsevišķu DRN likmju izmaiņām,</w:t>
      </w:r>
      <w:r>
        <w:rPr>
          <w:rFonts w:ascii="Times New Roman" w:hAnsi="Times New Roman" w:cs="Times New Roman"/>
          <w:sz w:val="24"/>
          <w:szCs w:val="24"/>
        </w:rPr>
        <w:t xml:space="preserve"> kā arī iesniegusi priekšlikumus izdevumu pasākumiem.</w:t>
      </w:r>
    </w:p>
    <w:p w:rsidR="00017D0C" w:rsidRDefault="00017D0C" w:rsidP="00017D0C">
      <w:pPr>
        <w:spacing w:before="120" w:after="120" w:line="240" w:lineRule="auto"/>
        <w:ind w:firstLine="720"/>
        <w:jc w:val="both"/>
        <w:rPr>
          <w:rFonts w:ascii="Times New Roman" w:hAnsi="Times New Roman" w:cs="Times New Roman"/>
          <w:b/>
          <w:i/>
          <w:sz w:val="24"/>
          <w:szCs w:val="24"/>
          <w:u w:val="single"/>
        </w:rPr>
      </w:pPr>
    </w:p>
    <w:p w:rsidR="00017D0C" w:rsidRPr="007230CC" w:rsidRDefault="00017D0C" w:rsidP="00017D0C">
      <w:pPr>
        <w:spacing w:before="120" w:after="120" w:line="240" w:lineRule="auto"/>
        <w:ind w:firstLine="720"/>
        <w:jc w:val="both"/>
        <w:rPr>
          <w:rFonts w:ascii="Times New Roman" w:hAnsi="Times New Roman" w:cs="Times New Roman"/>
          <w:b/>
          <w:i/>
          <w:sz w:val="24"/>
          <w:szCs w:val="24"/>
          <w:u w:val="single"/>
        </w:rPr>
      </w:pPr>
      <w:r w:rsidRPr="007230CC">
        <w:rPr>
          <w:rFonts w:ascii="Times New Roman" w:hAnsi="Times New Roman" w:cs="Times New Roman"/>
          <w:b/>
          <w:i/>
          <w:sz w:val="24"/>
          <w:szCs w:val="24"/>
          <w:u w:val="single"/>
        </w:rPr>
        <w:t>DRN izmaiņas</w:t>
      </w:r>
    </w:p>
    <w:p w:rsidR="00017D0C" w:rsidRPr="007E6C83" w:rsidRDefault="00017D0C" w:rsidP="00017D0C">
      <w:pPr>
        <w:spacing w:before="120" w:after="120" w:line="240" w:lineRule="auto"/>
        <w:jc w:val="both"/>
        <w:rPr>
          <w:rFonts w:ascii="Times New Roman" w:hAnsi="Times New Roman" w:cs="Times New Roman"/>
          <w:sz w:val="24"/>
          <w:szCs w:val="24"/>
        </w:rPr>
      </w:pPr>
      <w:r w:rsidRPr="007E6C83">
        <w:rPr>
          <w:rFonts w:ascii="Times New Roman" w:hAnsi="Times New Roman" w:cs="Times New Roman"/>
          <w:i/>
          <w:sz w:val="24"/>
          <w:szCs w:val="24"/>
        </w:rPr>
        <w:tab/>
      </w:r>
      <w:r w:rsidRPr="007E6C83">
        <w:rPr>
          <w:rFonts w:ascii="Times New Roman" w:hAnsi="Times New Roman" w:cs="Times New Roman"/>
          <w:sz w:val="24"/>
          <w:szCs w:val="24"/>
        </w:rPr>
        <w:t>VARA</w:t>
      </w:r>
      <w:r>
        <w:rPr>
          <w:rFonts w:ascii="Times New Roman" w:hAnsi="Times New Roman" w:cs="Times New Roman"/>
          <w:sz w:val="24"/>
          <w:szCs w:val="24"/>
        </w:rPr>
        <w:t>M iesniegusi šādus priekšlikumus DRN izmaiņām:</w:t>
      </w:r>
    </w:p>
    <w:p w:rsidR="00017D0C" w:rsidRPr="002308EA" w:rsidRDefault="00017D0C" w:rsidP="006D48C2">
      <w:pPr>
        <w:pStyle w:val="ListParagraph"/>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2308EA">
        <w:rPr>
          <w:rFonts w:ascii="Times New Roman" w:hAnsi="Times New Roman" w:cs="Times New Roman"/>
          <w:sz w:val="24"/>
          <w:szCs w:val="24"/>
        </w:rPr>
        <w:t>tcelt atbrīvojumu par CO</w:t>
      </w:r>
      <w:r w:rsidRPr="002308EA">
        <w:rPr>
          <w:rFonts w:ascii="Times New Roman" w:hAnsi="Times New Roman" w:cs="Times New Roman"/>
          <w:sz w:val="24"/>
          <w:szCs w:val="24"/>
          <w:vertAlign w:val="subscript"/>
        </w:rPr>
        <w:t>2</w:t>
      </w:r>
      <w:r w:rsidRPr="002308EA">
        <w:rPr>
          <w:rFonts w:ascii="Times New Roman" w:hAnsi="Times New Roman" w:cs="Times New Roman"/>
          <w:sz w:val="24"/>
          <w:szCs w:val="24"/>
        </w:rPr>
        <w:t xml:space="preserve"> emisijām, ja stacionārajās tehnoloģiskajās iekārtās kā kurināmo izmanto kūdru.</w:t>
      </w:r>
    </w:p>
    <w:p w:rsidR="00017D0C" w:rsidRDefault="00017D0C" w:rsidP="00017D0C">
      <w:pPr>
        <w:spacing w:before="120" w:after="120" w:line="240" w:lineRule="auto"/>
        <w:ind w:left="720"/>
        <w:jc w:val="both"/>
        <w:rPr>
          <w:rFonts w:ascii="Times New Roman" w:hAnsi="Times New Roman" w:cs="Times New Roman"/>
          <w:sz w:val="24"/>
          <w:szCs w:val="24"/>
        </w:rPr>
      </w:pPr>
      <w:r w:rsidRPr="002308EA">
        <w:rPr>
          <w:rFonts w:ascii="Times New Roman" w:hAnsi="Times New Roman" w:cs="Times New Roman"/>
          <w:sz w:val="24"/>
          <w:szCs w:val="24"/>
        </w:rPr>
        <w:t>Šobrīd kūdras izmantošanai stacionārajās tehnoloģiskajās iekārtās kā kurināmajam  paredzēts labvēlīgs režīms – atbrīvojums no DRN samaksas par CO</w:t>
      </w:r>
      <w:r w:rsidRPr="002308EA">
        <w:rPr>
          <w:rFonts w:ascii="Times New Roman" w:hAnsi="Times New Roman" w:cs="Times New Roman"/>
          <w:sz w:val="24"/>
          <w:szCs w:val="24"/>
          <w:vertAlign w:val="subscript"/>
        </w:rPr>
        <w:t>2</w:t>
      </w:r>
      <w:r w:rsidRPr="002308EA">
        <w:rPr>
          <w:rFonts w:ascii="Times New Roman" w:hAnsi="Times New Roman" w:cs="Times New Roman"/>
          <w:sz w:val="24"/>
          <w:szCs w:val="24"/>
        </w:rPr>
        <w:t xml:space="preserve"> emisijām, kas rodas, izmantojot kūdru. Kūdra </w:t>
      </w:r>
      <w:r>
        <w:rPr>
          <w:rFonts w:ascii="Times New Roman" w:hAnsi="Times New Roman" w:cs="Times New Roman"/>
          <w:sz w:val="24"/>
          <w:szCs w:val="24"/>
        </w:rPr>
        <w:t>nav atjaunojamais energoresurss, attiecīgi esošais atbrīvojums</w:t>
      </w:r>
      <w:r w:rsidRPr="002308EA">
        <w:rPr>
          <w:rFonts w:ascii="Times New Roman" w:hAnsi="Times New Roman" w:cs="Times New Roman"/>
          <w:sz w:val="24"/>
          <w:szCs w:val="24"/>
        </w:rPr>
        <w:t xml:space="preserve"> ir pretrunā ar vispārējiem politiskajiem uzstādījumiem par siltumnīcefekta gāzu (SEG) emisiju samazināšanu.</w:t>
      </w:r>
    </w:p>
    <w:tbl>
      <w:tblPr>
        <w:tblW w:w="8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992"/>
      </w:tblGrid>
      <w:tr w:rsidR="00017D0C" w:rsidRPr="00243378" w:rsidTr="00210902">
        <w:trPr>
          <w:jc w:val="right"/>
        </w:trPr>
        <w:tc>
          <w:tcPr>
            <w:tcW w:w="4282" w:type="dxa"/>
            <w:vMerge w:val="restart"/>
            <w:shd w:val="clear" w:color="auto" w:fill="D9D9D9" w:themeFill="background1" w:themeFillShade="D9"/>
            <w:tcMar>
              <w:top w:w="57" w:type="dxa"/>
              <w:bottom w:w="57" w:type="dxa"/>
            </w:tcMar>
          </w:tcPr>
          <w:p w:rsidR="00017D0C" w:rsidRPr="00243378" w:rsidRDefault="00017D0C" w:rsidP="00210902">
            <w:pPr>
              <w:spacing w:after="0" w:line="240" w:lineRule="auto"/>
              <w:rPr>
                <w:rFonts w:ascii="Times New Roman" w:hAnsi="Times New Roman" w:cs="Times New Roman"/>
                <w:sz w:val="20"/>
                <w:szCs w:val="20"/>
              </w:rPr>
            </w:pPr>
          </w:p>
        </w:tc>
        <w:tc>
          <w:tcPr>
            <w:tcW w:w="1134" w:type="dxa"/>
            <w:vMerge w:val="restart"/>
            <w:shd w:val="clear" w:color="auto" w:fill="D9D9D9" w:themeFill="background1" w:themeFillShade="D9"/>
            <w:tcMar>
              <w:top w:w="57" w:type="dxa"/>
              <w:bottom w:w="57" w:type="dxa"/>
            </w:tcMar>
            <w:vAlign w:val="center"/>
          </w:tcPr>
          <w:p w:rsidR="00017D0C" w:rsidRPr="00243378" w:rsidRDefault="00017D0C" w:rsidP="00210902">
            <w:pPr>
              <w:spacing w:after="0" w:line="240" w:lineRule="auto"/>
              <w:jc w:val="center"/>
              <w:rPr>
                <w:rFonts w:ascii="Times New Roman" w:hAnsi="Times New Roman" w:cs="Times New Roman"/>
                <w:sz w:val="20"/>
                <w:szCs w:val="20"/>
              </w:rPr>
            </w:pPr>
            <w:r w:rsidRPr="00243378">
              <w:rPr>
                <w:rFonts w:ascii="Times New Roman" w:hAnsi="Times New Roman" w:cs="Times New Roman"/>
                <w:sz w:val="20"/>
                <w:szCs w:val="20"/>
              </w:rPr>
              <w:t>Esošā likme</w:t>
            </w:r>
          </w:p>
        </w:tc>
        <w:tc>
          <w:tcPr>
            <w:tcW w:w="3118" w:type="dxa"/>
            <w:gridSpan w:val="3"/>
            <w:shd w:val="clear" w:color="auto" w:fill="D9D9D9" w:themeFill="background1" w:themeFillShade="D9"/>
            <w:tcMar>
              <w:top w:w="57" w:type="dxa"/>
              <w:bottom w:w="57" w:type="dxa"/>
            </w:tcMar>
            <w:vAlign w:val="center"/>
          </w:tcPr>
          <w:p w:rsidR="00017D0C" w:rsidRPr="00243378" w:rsidRDefault="00017D0C" w:rsidP="00210902">
            <w:pPr>
              <w:spacing w:after="0" w:line="240" w:lineRule="auto"/>
              <w:jc w:val="center"/>
              <w:rPr>
                <w:rFonts w:ascii="Times New Roman" w:hAnsi="Times New Roman" w:cs="Times New Roman"/>
                <w:sz w:val="20"/>
                <w:szCs w:val="20"/>
              </w:rPr>
            </w:pPr>
            <w:r w:rsidRPr="00243378">
              <w:rPr>
                <w:rFonts w:ascii="Times New Roman" w:hAnsi="Times New Roman" w:cs="Times New Roman"/>
                <w:sz w:val="20"/>
                <w:szCs w:val="20"/>
              </w:rPr>
              <w:t>Paaugstinātā likme</w:t>
            </w:r>
          </w:p>
        </w:tc>
      </w:tr>
      <w:tr w:rsidR="00017D0C" w:rsidRPr="00243378" w:rsidTr="00210902">
        <w:trPr>
          <w:jc w:val="right"/>
        </w:trPr>
        <w:tc>
          <w:tcPr>
            <w:tcW w:w="4282" w:type="dxa"/>
            <w:vMerge/>
            <w:shd w:val="clear" w:color="auto" w:fill="D9D9D9" w:themeFill="background1" w:themeFillShade="D9"/>
            <w:tcMar>
              <w:top w:w="57" w:type="dxa"/>
              <w:bottom w:w="57" w:type="dxa"/>
            </w:tcMar>
          </w:tcPr>
          <w:p w:rsidR="00017D0C" w:rsidRPr="00243378" w:rsidRDefault="00017D0C" w:rsidP="00210902">
            <w:pPr>
              <w:spacing w:after="0" w:line="240" w:lineRule="auto"/>
              <w:rPr>
                <w:rFonts w:ascii="Times New Roman" w:hAnsi="Times New Roman" w:cs="Times New Roman"/>
                <w:sz w:val="20"/>
                <w:szCs w:val="20"/>
              </w:rPr>
            </w:pPr>
          </w:p>
        </w:tc>
        <w:tc>
          <w:tcPr>
            <w:tcW w:w="1134" w:type="dxa"/>
            <w:vMerge/>
            <w:shd w:val="clear" w:color="auto" w:fill="D9D9D9" w:themeFill="background1" w:themeFillShade="D9"/>
            <w:tcMar>
              <w:top w:w="57" w:type="dxa"/>
              <w:bottom w:w="57" w:type="dxa"/>
            </w:tcMar>
            <w:vAlign w:val="center"/>
          </w:tcPr>
          <w:p w:rsidR="00017D0C" w:rsidRPr="00243378" w:rsidRDefault="00017D0C" w:rsidP="00210902">
            <w:pPr>
              <w:spacing w:after="0" w:line="240" w:lineRule="auto"/>
              <w:jc w:val="center"/>
              <w:rPr>
                <w:rFonts w:ascii="Times New Roman" w:hAnsi="Times New Roman" w:cs="Times New Roman"/>
                <w:sz w:val="20"/>
                <w:szCs w:val="20"/>
              </w:rPr>
            </w:pPr>
          </w:p>
        </w:tc>
        <w:tc>
          <w:tcPr>
            <w:tcW w:w="1134" w:type="dxa"/>
            <w:shd w:val="clear" w:color="auto" w:fill="D9D9D9" w:themeFill="background1" w:themeFillShade="D9"/>
            <w:tcMar>
              <w:top w:w="57" w:type="dxa"/>
              <w:bottom w:w="57" w:type="dxa"/>
            </w:tcMar>
            <w:vAlign w:val="center"/>
          </w:tcPr>
          <w:p w:rsidR="00017D0C" w:rsidRPr="00243378" w:rsidRDefault="00017D0C" w:rsidP="00210902">
            <w:pPr>
              <w:spacing w:after="0" w:line="240" w:lineRule="auto"/>
              <w:jc w:val="center"/>
              <w:rPr>
                <w:rFonts w:ascii="Times New Roman" w:hAnsi="Times New Roman" w:cs="Times New Roman"/>
                <w:sz w:val="20"/>
                <w:szCs w:val="20"/>
              </w:rPr>
            </w:pPr>
            <w:r w:rsidRPr="00243378">
              <w:rPr>
                <w:rFonts w:ascii="Times New Roman" w:hAnsi="Times New Roman" w:cs="Times New Roman"/>
                <w:sz w:val="20"/>
                <w:szCs w:val="20"/>
              </w:rPr>
              <w:t>2021</w:t>
            </w:r>
          </w:p>
        </w:tc>
        <w:tc>
          <w:tcPr>
            <w:tcW w:w="992" w:type="dxa"/>
            <w:shd w:val="clear" w:color="auto" w:fill="D9D9D9" w:themeFill="background1" w:themeFillShade="D9"/>
            <w:tcMar>
              <w:top w:w="57" w:type="dxa"/>
              <w:bottom w:w="57" w:type="dxa"/>
            </w:tcMar>
            <w:vAlign w:val="center"/>
          </w:tcPr>
          <w:p w:rsidR="00017D0C" w:rsidRPr="00243378" w:rsidRDefault="00017D0C" w:rsidP="00210902">
            <w:pPr>
              <w:spacing w:after="0" w:line="240" w:lineRule="auto"/>
              <w:jc w:val="center"/>
              <w:rPr>
                <w:rFonts w:ascii="Times New Roman" w:hAnsi="Times New Roman" w:cs="Times New Roman"/>
                <w:sz w:val="20"/>
                <w:szCs w:val="20"/>
              </w:rPr>
            </w:pPr>
            <w:r w:rsidRPr="00243378">
              <w:rPr>
                <w:rFonts w:ascii="Times New Roman" w:hAnsi="Times New Roman" w:cs="Times New Roman"/>
                <w:sz w:val="20"/>
                <w:szCs w:val="20"/>
              </w:rPr>
              <w:t>2022</w:t>
            </w:r>
          </w:p>
        </w:tc>
        <w:tc>
          <w:tcPr>
            <w:tcW w:w="992" w:type="dxa"/>
            <w:shd w:val="clear" w:color="auto" w:fill="D9D9D9" w:themeFill="background1" w:themeFillShade="D9"/>
            <w:tcMar>
              <w:top w:w="57" w:type="dxa"/>
              <w:bottom w:w="57" w:type="dxa"/>
            </w:tcMar>
            <w:vAlign w:val="center"/>
          </w:tcPr>
          <w:p w:rsidR="00017D0C" w:rsidRPr="00243378" w:rsidRDefault="00017D0C" w:rsidP="00210902">
            <w:pPr>
              <w:spacing w:after="0" w:line="240" w:lineRule="auto"/>
              <w:jc w:val="center"/>
              <w:rPr>
                <w:rFonts w:ascii="Times New Roman" w:hAnsi="Times New Roman" w:cs="Times New Roman"/>
                <w:sz w:val="20"/>
                <w:szCs w:val="20"/>
              </w:rPr>
            </w:pPr>
            <w:r w:rsidRPr="00243378">
              <w:rPr>
                <w:rFonts w:ascii="Times New Roman" w:hAnsi="Times New Roman" w:cs="Times New Roman"/>
                <w:sz w:val="20"/>
                <w:szCs w:val="20"/>
              </w:rPr>
              <w:t>2023</w:t>
            </w:r>
          </w:p>
        </w:tc>
      </w:tr>
      <w:tr w:rsidR="00017D0C" w:rsidRPr="00243378" w:rsidTr="00210902">
        <w:trPr>
          <w:trHeight w:val="715"/>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Oglekļa dioksīda (CO</w:t>
            </w:r>
            <w:r w:rsidRPr="00307D5A">
              <w:rPr>
                <w:rFonts w:ascii="Times New Roman" w:hAnsi="Times New Roman" w:cs="Times New Roman"/>
                <w:sz w:val="20"/>
                <w:szCs w:val="20"/>
                <w:vertAlign w:val="subscript"/>
              </w:rPr>
              <w:t>2</w:t>
            </w:r>
            <w:r w:rsidRPr="00307D5A">
              <w:rPr>
                <w:rFonts w:ascii="Times New Roman" w:hAnsi="Times New Roman" w:cs="Times New Roman"/>
                <w:sz w:val="20"/>
                <w:szCs w:val="20"/>
              </w:rPr>
              <w:t xml:space="preserve">) emisija kūdras izmantošanai stacionārajās tehnoloģiskajās iekārtās,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par tonnu</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0</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12</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15</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15</w:t>
            </w:r>
          </w:p>
        </w:tc>
      </w:tr>
    </w:tbl>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p>
    <w:p w:rsidR="00017D0C" w:rsidRPr="002308EA" w:rsidRDefault="00017D0C" w:rsidP="006D48C2">
      <w:pPr>
        <w:pStyle w:val="ListParagraph"/>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2308EA">
        <w:rPr>
          <w:rFonts w:ascii="Times New Roman" w:hAnsi="Times New Roman" w:cs="Times New Roman"/>
          <w:sz w:val="24"/>
          <w:szCs w:val="24"/>
        </w:rPr>
        <w:t xml:space="preserve">akāpeniski paaugstināt DRN likmi sadzīves atkritumu apglabāšanai atkritumu poligonos – no 50 uz 95 </w:t>
      </w:r>
      <w:proofErr w:type="spellStart"/>
      <w:r w:rsidRPr="008B4346">
        <w:rPr>
          <w:rFonts w:ascii="Times New Roman" w:hAnsi="Times New Roman" w:cs="Times New Roman"/>
          <w:i/>
          <w:sz w:val="24"/>
          <w:szCs w:val="24"/>
        </w:rPr>
        <w:t>euro</w:t>
      </w:r>
      <w:proofErr w:type="spellEnd"/>
      <w:r w:rsidRPr="002308EA">
        <w:rPr>
          <w:rFonts w:ascii="Times New Roman" w:hAnsi="Times New Roman" w:cs="Times New Roman"/>
          <w:sz w:val="24"/>
          <w:szCs w:val="24"/>
        </w:rPr>
        <w:t xml:space="preserve"> par tonnu</w:t>
      </w:r>
      <w:r>
        <w:rPr>
          <w:rFonts w:ascii="Times New Roman" w:hAnsi="Times New Roman" w:cs="Times New Roman"/>
          <w:sz w:val="24"/>
          <w:szCs w:val="24"/>
        </w:rPr>
        <w:t>.</w:t>
      </w:r>
      <w:r w:rsidRPr="002308EA">
        <w:rPr>
          <w:rFonts w:ascii="Times New Roman" w:hAnsi="Times New Roman" w:cs="Times New Roman"/>
          <w:sz w:val="24"/>
          <w:szCs w:val="24"/>
        </w:rPr>
        <w:t xml:space="preserve"> </w:t>
      </w:r>
    </w:p>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r w:rsidRPr="002308EA">
        <w:rPr>
          <w:rFonts w:ascii="Times New Roman" w:hAnsi="Times New Roman" w:cs="Times New Roman"/>
          <w:sz w:val="24"/>
          <w:szCs w:val="24"/>
        </w:rPr>
        <w:t xml:space="preserve">VARAM ir atkārtoti izvērtējusi DRN likmi par </w:t>
      </w:r>
      <w:r w:rsidRPr="00441C04">
        <w:rPr>
          <w:rFonts w:ascii="Times New Roman" w:hAnsi="Times New Roman" w:cs="Times New Roman"/>
          <w:sz w:val="24"/>
          <w:szCs w:val="24"/>
        </w:rPr>
        <w:t xml:space="preserve">sadzīves </w:t>
      </w:r>
      <w:r w:rsidRPr="002308EA">
        <w:rPr>
          <w:rFonts w:ascii="Times New Roman" w:hAnsi="Times New Roman" w:cs="Times New Roman"/>
          <w:sz w:val="24"/>
          <w:szCs w:val="24"/>
        </w:rPr>
        <w:t>atkritumu apglabāšanu poligonos, ievērojot Eiropas Savienības direktīvās izvirzītos mērķus atkritumu apsaimniekošanas jomā. Lai veicinātu Latvijas Republikas saistību izpildi attiecībā uz atkritumu pārstrādi un reģenerāciju, kā arī samazinātu poligonos apglabājamo atkritumu apjomu, DRN likmes par sadzīves atkritumu apglabāšanu nepieciešams turpināt paaugstināt.</w:t>
      </w:r>
    </w:p>
    <w:tbl>
      <w:tblPr>
        <w:tblW w:w="8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992"/>
      </w:tblGrid>
      <w:tr w:rsidR="00017D0C" w:rsidRPr="00243378" w:rsidTr="00210902">
        <w:trPr>
          <w:jc w:val="right"/>
        </w:trPr>
        <w:tc>
          <w:tcPr>
            <w:tcW w:w="4282" w:type="dxa"/>
            <w:vMerge w:val="restart"/>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val="restart"/>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Esošā likme</w:t>
            </w:r>
          </w:p>
        </w:tc>
        <w:tc>
          <w:tcPr>
            <w:tcW w:w="3118" w:type="dxa"/>
            <w:gridSpan w:val="3"/>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Paaugstinātā likme</w:t>
            </w:r>
          </w:p>
        </w:tc>
      </w:tr>
      <w:tr w:rsidR="00017D0C" w:rsidRPr="00243378" w:rsidTr="00210902">
        <w:trPr>
          <w:jc w:val="right"/>
        </w:trPr>
        <w:tc>
          <w:tcPr>
            <w:tcW w:w="4282" w:type="dxa"/>
            <w:vMerge/>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p>
        </w:tc>
        <w:tc>
          <w:tcPr>
            <w:tcW w:w="1134"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2021</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2022</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2023</w:t>
            </w:r>
          </w:p>
        </w:tc>
      </w:tr>
      <w:tr w:rsidR="00017D0C" w:rsidRPr="00243378" w:rsidTr="00210902">
        <w:trPr>
          <w:trHeight w:val="229"/>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Sadzīves atkritumu apglabāšana,</w:t>
            </w:r>
            <w:r w:rsidRPr="00307D5A">
              <w:rPr>
                <w:rFonts w:ascii="Times New Roman" w:hAnsi="Times New Roman" w:cs="Times New Roman"/>
                <w:i/>
                <w:sz w:val="20"/>
                <w:szCs w:val="20"/>
              </w:rPr>
              <w:t xml:space="preserve">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par tonnu</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50</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65</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80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95</w:t>
            </w:r>
          </w:p>
        </w:tc>
      </w:tr>
    </w:tbl>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p>
    <w:p w:rsidR="00017D0C" w:rsidRDefault="00017D0C" w:rsidP="006D48C2">
      <w:pPr>
        <w:pStyle w:val="ListParagraph"/>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2308EA">
        <w:rPr>
          <w:rFonts w:ascii="Times New Roman" w:hAnsi="Times New Roman" w:cs="Times New Roman"/>
          <w:sz w:val="24"/>
          <w:szCs w:val="24"/>
        </w:rPr>
        <w:t xml:space="preserve">akāpeniski paaugstināt DRN likmi bīstamo atkritumu apglabāšanai atkritumu poligonos - no 60 uz 100 </w:t>
      </w:r>
      <w:proofErr w:type="spellStart"/>
      <w:r w:rsidRPr="004B5FF4">
        <w:rPr>
          <w:rFonts w:ascii="Times New Roman" w:hAnsi="Times New Roman" w:cs="Times New Roman"/>
          <w:i/>
          <w:sz w:val="24"/>
          <w:szCs w:val="24"/>
        </w:rPr>
        <w:t>euro</w:t>
      </w:r>
      <w:proofErr w:type="spellEnd"/>
      <w:r w:rsidRPr="002308EA">
        <w:rPr>
          <w:rFonts w:ascii="Times New Roman" w:hAnsi="Times New Roman" w:cs="Times New Roman"/>
          <w:sz w:val="24"/>
          <w:szCs w:val="24"/>
        </w:rPr>
        <w:t xml:space="preserve"> par tonnu</w:t>
      </w:r>
      <w:r>
        <w:rPr>
          <w:rFonts w:ascii="Times New Roman" w:hAnsi="Times New Roman" w:cs="Times New Roman"/>
          <w:sz w:val="24"/>
          <w:szCs w:val="24"/>
        </w:rPr>
        <w:t>.</w:t>
      </w:r>
    </w:p>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r w:rsidRPr="00441C04">
        <w:rPr>
          <w:rFonts w:ascii="Times New Roman" w:hAnsi="Times New Roman" w:cs="Times New Roman"/>
          <w:sz w:val="24"/>
          <w:szCs w:val="24"/>
        </w:rPr>
        <w:t>VARAM ir atkārtoti izvērtējusi DRN likmi par bīstamo atkritumu apglabāšanu poligonos. DRN likmes par bīstamo atkritumu apglabāšanu nepieciešams paaugstināt, harmonizējot ar likmēm sadzīves atkritumu apglabāšanai un ievērojot to, ka bīstamie atkritumi rada lielāku kaitējumu videi nekā sadzīves atkritumi</w:t>
      </w:r>
      <w:r>
        <w:rPr>
          <w:rFonts w:ascii="Times New Roman" w:hAnsi="Times New Roman" w:cs="Times New Roman"/>
          <w:sz w:val="24"/>
          <w:szCs w:val="24"/>
        </w:rPr>
        <w:t>.</w:t>
      </w:r>
    </w:p>
    <w:tbl>
      <w:tblPr>
        <w:tblW w:w="8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992"/>
      </w:tblGrid>
      <w:tr w:rsidR="00017D0C" w:rsidRPr="00243378" w:rsidTr="00210902">
        <w:trPr>
          <w:jc w:val="right"/>
        </w:trPr>
        <w:tc>
          <w:tcPr>
            <w:tcW w:w="4282" w:type="dxa"/>
            <w:vMerge w:val="restart"/>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val="restart"/>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Esošā likme</w:t>
            </w:r>
          </w:p>
        </w:tc>
        <w:tc>
          <w:tcPr>
            <w:tcW w:w="3118" w:type="dxa"/>
            <w:gridSpan w:val="3"/>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Paaugstinātā likme</w:t>
            </w:r>
          </w:p>
        </w:tc>
      </w:tr>
      <w:tr w:rsidR="00017D0C" w:rsidRPr="00243378" w:rsidTr="00210902">
        <w:trPr>
          <w:trHeight w:val="252"/>
          <w:jc w:val="right"/>
        </w:trPr>
        <w:tc>
          <w:tcPr>
            <w:tcW w:w="4282" w:type="dxa"/>
            <w:vMerge/>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p>
        </w:tc>
        <w:tc>
          <w:tcPr>
            <w:tcW w:w="1134"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2021</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2022</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2023</w:t>
            </w:r>
          </w:p>
        </w:tc>
      </w:tr>
      <w:tr w:rsidR="00017D0C" w:rsidRPr="00243378" w:rsidTr="00210902">
        <w:trPr>
          <w:trHeight w:val="172"/>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Bīstamo atkritumu apglabāšana,</w:t>
            </w:r>
            <w:r w:rsidRPr="00307D5A">
              <w:rPr>
                <w:rFonts w:ascii="Times New Roman" w:hAnsi="Times New Roman" w:cs="Times New Roman"/>
                <w:i/>
                <w:sz w:val="20"/>
                <w:szCs w:val="20"/>
              </w:rPr>
              <w:t xml:space="preserve">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par tonnu</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60</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70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85</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100</w:t>
            </w:r>
          </w:p>
        </w:tc>
      </w:tr>
    </w:tbl>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p>
    <w:p w:rsidR="00017D0C" w:rsidRPr="002308EA" w:rsidRDefault="00017D0C" w:rsidP="006D48C2">
      <w:pPr>
        <w:pStyle w:val="ListParagraph"/>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2308EA">
        <w:rPr>
          <w:rFonts w:ascii="Times New Roman" w:hAnsi="Times New Roman" w:cs="Times New Roman"/>
          <w:sz w:val="24"/>
          <w:szCs w:val="24"/>
        </w:rPr>
        <w:t>aaugstināt fiksēto nodokļa maksājumu par C kategorijas piesārņojošo darbību emisijām – no 71,14</w:t>
      </w:r>
      <w:r w:rsidRPr="005655CE">
        <w:rPr>
          <w:rFonts w:ascii="Times New Roman" w:hAnsi="Times New Roman" w:cs="Times New Roman"/>
          <w:i/>
          <w:sz w:val="24"/>
          <w:szCs w:val="24"/>
        </w:rPr>
        <w:t xml:space="preserve"> </w:t>
      </w:r>
      <w:proofErr w:type="spellStart"/>
      <w:r w:rsidRPr="00881C44">
        <w:rPr>
          <w:rFonts w:ascii="Times New Roman" w:hAnsi="Times New Roman" w:cs="Times New Roman"/>
          <w:i/>
          <w:sz w:val="24"/>
          <w:szCs w:val="24"/>
        </w:rPr>
        <w:t>euro</w:t>
      </w:r>
      <w:proofErr w:type="spellEnd"/>
      <w:r w:rsidRPr="002308EA">
        <w:rPr>
          <w:rFonts w:ascii="Times New Roman" w:hAnsi="Times New Roman" w:cs="Times New Roman"/>
          <w:sz w:val="24"/>
          <w:szCs w:val="24"/>
        </w:rPr>
        <w:t xml:space="preserve"> līdz 250 </w:t>
      </w:r>
      <w:proofErr w:type="spellStart"/>
      <w:r w:rsidRPr="003E3940">
        <w:rPr>
          <w:rFonts w:ascii="Times New Roman" w:hAnsi="Times New Roman" w:cs="Times New Roman"/>
          <w:i/>
          <w:sz w:val="24"/>
          <w:szCs w:val="24"/>
        </w:rPr>
        <w:t>euro</w:t>
      </w:r>
      <w:proofErr w:type="spellEnd"/>
      <w:r>
        <w:rPr>
          <w:rFonts w:ascii="Times New Roman" w:hAnsi="Times New Roman" w:cs="Times New Roman"/>
          <w:sz w:val="24"/>
          <w:szCs w:val="24"/>
        </w:rPr>
        <w:t>.</w:t>
      </w:r>
    </w:p>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r w:rsidRPr="002308EA">
        <w:rPr>
          <w:rFonts w:ascii="Times New Roman" w:hAnsi="Times New Roman" w:cs="Times New Roman"/>
          <w:sz w:val="24"/>
          <w:szCs w:val="24"/>
        </w:rPr>
        <w:t xml:space="preserve">Pētījumā “Dabas resursu nodokļa likmju piemērošanas efektivitātes izvērtēšana” (SIA “Ernst &amp; </w:t>
      </w:r>
      <w:proofErr w:type="spellStart"/>
      <w:r w:rsidRPr="002308EA">
        <w:rPr>
          <w:rFonts w:ascii="Times New Roman" w:hAnsi="Times New Roman" w:cs="Times New Roman"/>
          <w:sz w:val="24"/>
          <w:szCs w:val="24"/>
        </w:rPr>
        <w:t>Young</w:t>
      </w:r>
      <w:proofErr w:type="spellEnd"/>
      <w:r w:rsidRPr="002308EA">
        <w:rPr>
          <w:rFonts w:ascii="Times New Roman" w:hAnsi="Times New Roman" w:cs="Times New Roman"/>
          <w:sz w:val="24"/>
          <w:szCs w:val="24"/>
        </w:rPr>
        <w:t xml:space="preserve"> </w:t>
      </w:r>
      <w:proofErr w:type="spellStart"/>
      <w:r w:rsidRPr="002308EA">
        <w:rPr>
          <w:rFonts w:ascii="Times New Roman" w:hAnsi="Times New Roman" w:cs="Times New Roman"/>
          <w:sz w:val="24"/>
          <w:szCs w:val="24"/>
        </w:rPr>
        <w:t>Baltic</w:t>
      </w:r>
      <w:proofErr w:type="spellEnd"/>
      <w:r w:rsidRPr="002308EA">
        <w:rPr>
          <w:rFonts w:ascii="Times New Roman" w:hAnsi="Times New Roman" w:cs="Times New Roman"/>
          <w:sz w:val="24"/>
          <w:szCs w:val="24"/>
        </w:rPr>
        <w:t xml:space="preserve">”, 2019) tika izvērtēta fiksētā nodokļa maksājuma par C kategorijas piesārņojošām darbībām efektivitāte. Fiksētais maksājums par C kategorijas piesārņojošajām darbībām 50 LVL apmērā tika noteikts DRN likumā 2006. gadā, un attiecīgi 2014. gadā konvertēts uz eiro. Šobrīd fiksētais nodokļa maksājums ir 71,14 </w:t>
      </w:r>
      <w:proofErr w:type="spellStart"/>
      <w:r w:rsidRPr="00912B8A">
        <w:rPr>
          <w:rFonts w:ascii="Times New Roman" w:hAnsi="Times New Roman" w:cs="Times New Roman"/>
          <w:i/>
          <w:sz w:val="24"/>
          <w:szCs w:val="24"/>
        </w:rPr>
        <w:t>euro</w:t>
      </w:r>
      <w:proofErr w:type="spellEnd"/>
      <w:r w:rsidRPr="002308EA">
        <w:rPr>
          <w:rFonts w:ascii="Times New Roman" w:hAnsi="Times New Roman" w:cs="Times New Roman"/>
          <w:sz w:val="24"/>
          <w:szCs w:val="24"/>
        </w:rPr>
        <w:t>. 2006. gadā noteiktās DRN likmes par ūdens un gaisa piesārņošanu salīdzinājumā ar 2020. gadā spēkā esošajām likmēm ir paaugstinātas. Turpretī, fiksētais maksājums visā šajā laika periodā nav mainījies, kā rezultātā fiksētais nodokļa maksājums nav proporcionāls citām nodokļa likmēm par vides piesārņošanu un, tādēļ nevar tikt uzskatīts par efektīvu. Pētījumā secināts, ka šo maksājumu nepieciešams pakāpeniski pacelt par 250-300 %, atstājot iespēju  nodokli aprēķināt un maksāt atbilstoši nodokļa maksātāja faktiskā piesārņojuma veidam un apjomam.</w:t>
      </w:r>
    </w:p>
    <w:tbl>
      <w:tblPr>
        <w:tblW w:w="8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992"/>
      </w:tblGrid>
      <w:tr w:rsidR="00017D0C" w:rsidRPr="00243378" w:rsidTr="00210902">
        <w:trPr>
          <w:jc w:val="right"/>
        </w:trPr>
        <w:tc>
          <w:tcPr>
            <w:tcW w:w="4282" w:type="dxa"/>
            <w:vMerge w:val="restart"/>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val="restart"/>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Esošā likme</w:t>
            </w:r>
          </w:p>
        </w:tc>
        <w:tc>
          <w:tcPr>
            <w:tcW w:w="3118" w:type="dxa"/>
            <w:gridSpan w:val="3"/>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Paaugstinātā likme</w:t>
            </w:r>
          </w:p>
        </w:tc>
      </w:tr>
      <w:tr w:rsidR="00017D0C" w:rsidRPr="00243378" w:rsidTr="00210902">
        <w:trPr>
          <w:jc w:val="right"/>
        </w:trPr>
        <w:tc>
          <w:tcPr>
            <w:tcW w:w="4282" w:type="dxa"/>
            <w:vMerge/>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p>
        </w:tc>
        <w:tc>
          <w:tcPr>
            <w:tcW w:w="1134"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2021</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2022</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2023</w:t>
            </w:r>
          </w:p>
        </w:tc>
      </w:tr>
      <w:tr w:rsidR="00017D0C" w:rsidRPr="00243378" w:rsidTr="00210902">
        <w:trPr>
          <w:trHeight w:val="715"/>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Fiksētais nodokļa maksājums par C kategorijas piesārņojošu darbību,</w:t>
            </w:r>
            <w:r w:rsidRPr="00307D5A">
              <w:rPr>
                <w:rFonts w:ascii="Times New Roman" w:hAnsi="Times New Roman" w:cs="Times New Roman"/>
                <w:i/>
                <w:sz w:val="20"/>
                <w:szCs w:val="20"/>
              </w:rPr>
              <w:t xml:space="preserve">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71,14</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178</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250</w:t>
            </w:r>
          </w:p>
        </w:tc>
      </w:tr>
    </w:tbl>
    <w:p w:rsidR="00017D0C" w:rsidRDefault="00017D0C" w:rsidP="00017D0C">
      <w:pPr>
        <w:pStyle w:val="ListParagraph"/>
        <w:spacing w:before="120" w:after="120" w:line="240" w:lineRule="auto"/>
        <w:contextualSpacing w:val="0"/>
        <w:jc w:val="both"/>
        <w:rPr>
          <w:rFonts w:ascii="Times New Roman" w:hAnsi="Times New Roman" w:cs="Times New Roman"/>
          <w:sz w:val="24"/>
          <w:szCs w:val="24"/>
        </w:rPr>
      </w:pPr>
    </w:p>
    <w:p w:rsidR="00017D0C" w:rsidRPr="002308EA" w:rsidRDefault="00017D0C" w:rsidP="006D48C2">
      <w:pPr>
        <w:pStyle w:val="ListParagraph"/>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2308EA">
        <w:rPr>
          <w:rFonts w:ascii="Times New Roman" w:hAnsi="Times New Roman" w:cs="Times New Roman"/>
          <w:sz w:val="24"/>
          <w:szCs w:val="24"/>
        </w:rPr>
        <w:t>aaugstināt DRN likmes par emisijām gaisā (PM</w:t>
      </w:r>
      <w:r w:rsidRPr="002308EA">
        <w:rPr>
          <w:rFonts w:ascii="Times New Roman" w:hAnsi="Times New Roman" w:cs="Times New Roman"/>
          <w:sz w:val="24"/>
          <w:szCs w:val="24"/>
          <w:vertAlign w:val="subscript"/>
        </w:rPr>
        <w:t>10</w:t>
      </w:r>
      <w:r w:rsidRPr="002308EA">
        <w:rPr>
          <w:rFonts w:ascii="Times New Roman" w:hAnsi="Times New Roman" w:cs="Times New Roman"/>
          <w:sz w:val="24"/>
          <w:szCs w:val="24"/>
        </w:rPr>
        <w:t>, NH</w:t>
      </w:r>
      <w:r w:rsidRPr="002308EA">
        <w:rPr>
          <w:rFonts w:ascii="Times New Roman" w:hAnsi="Times New Roman" w:cs="Times New Roman"/>
          <w:sz w:val="24"/>
          <w:szCs w:val="24"/>
          <w:vertAlign w:val="subscript"/>
        </w:rPr>
        <w:t>3</w:t>
      </w:r>
      <w:r w:rsidRPr="002308EA">
        <w:rPr>
          <w:rFonts w:ascii="Times New Roman" w:hAnsi="Times New Roman" w:cs="Times New Roman"/>
          <w:sz w:val="24"/>
          <w:szCs w:val="24"/>
        </w:rPr>
        <w:t xml:space="preserve"> un </w:t>
      </w:r>
      <w:proofErr w:type="spellStart"/>
      <w:r w:rsidRPr="002308EA">
        <w:rPr>
          <w:rFonts w:ascii="Times New Roman" w:hAnsi="Times New Roman" w:cs="Times New Roman"/>
          <w:sz w:val="24"/>
          <w:szCs w:val="24"/>
        </w:rPr>
        <w:t>NOx</w:t>
      </w:r>
      <w:proofErr w:type="spellEnd"/>
      <w:r w:rsidRPr="002308EA">
        <w:rPr>
          <w:rFonts w:ascii="Times New Roman" w:hAnsi="Times New Roman" w:cs="Times New Roman"/>
          <w:sz w:val="24"/>
          <w:szCs w:val="24"/>
        </w:rPr>
        <w:t>)</w:t>
      </w:r>
      <w:r>
        <w:rPr>
          <w:rFonts w:ascii="Times New Roman" w:hAnsi="Times New Roman" w:cs="Times New Roman"/>
          <w:sz w:val="24"/>
          <w:szCs w:val="24"/>
        </w:rPr>
        <w:t>.</w:t>
      </w:r>
      <w:r w:rsidRPr="002308EA">
        <w:rPr>
          <w:rFonts w:ascii="Times New Roman" w:hAnsi="Times New Roman" w:cs="Times New Roman"/>
          <w:sz w:val="24"/>
          <w:szCs w:val="24"/>
        </w:rPr>
        <w:t xml:space="preserve"> </w:t>
      </w:r>
    </w:p>
    <w:p w:rsidR="00017D0C" w:rsidRPr="002308EA" w:rsidRDefault="00017D0C" w:rsidP="00017D0C">
      <w:pPr>
        <w:pStyle w:val="ListParagraph"/>
        <w:spacing w:before="120" w:after="120" w:line="240" w:lineRule="auto"/>
        <w:contextualSpacing w:val="0"/>
        <w:jc w:val="both"/>
        <w:rPr>
          <w:rFonts w:ascii="Times New Roman" w:hAnsi="Times New Roman" w:cs="Times New Roman"/>
          <w:sz w:val="24"/>
          <w:szCs w:val="24"/>
        </w:rPr>
      </w:pPr>
      <w:r w:rsidRPr="002308EA">
        <w:rPr>
          <w:rFonts w:ascii="Times New Roman" w:hAnsi="Times New Roman" w:cs="Times New Roman"/>
          <w:sz w:val="24"/>
          <w:szCs w:val="24"/>
        </w:rPr>
        <w:t xml:space="preserve">Pētījumā “Dabas resursu nodokļa likmju piemērošanas efektivitātes izvērtēšana” (SIA “Ernst &amp; </w:t>
      </w:r>
      <w:proofErr w:type="spellStart"/>
      <w:r w:rsidRPr="002308EA">
        <w:rPr>
          <w:rFonts w:ascii="Times New Roman" w:hAnsi="Times New Roman" w:cs="Times New Roman"/>
          <w:sz w:val="24"/>
          <w:szCs w:val="24"/>
        </w:rPr>
        <w:t>Young</w:t>
      </w:r>
      <w:proofErr w:type="spellEnd"/>
      <w:r w:rsidRPr="002308EA">
        <w:rPr>
          <w:rFonts w:ascii="Times New Roman" w:hAnsi="Times New Roman" w:cs="Times New Roman"/>
          <w:sz w:val="24"/>
          <w:szCs w:val="24"/>
        </w:rPr>
        <w:t xml:space="preserve"> </w:t>
      </w:r>
      <w:proofErr w:type="spellStart"/>
      <w:r w:rsidRPr="002308EA">
        <w:rPr>
          <w:rFonts w:ascii="Times New Roman" w:hAnsi="Times New Roman" w:cs="Times New Roman"/>
          <w:sz w:val="24"/>
          <w:szCs w:val="24"/>
        </w:rPr>
        <w:t>Baltic</w:t>
      </w:r>
      <w:proofErr w:type="spellEnd"/>
      <w:r w:rsidRPr="002308EA">
        <w:rPr>
          <w:rFonts w:ascii="Times New Roman" w:hAnsi="Times New Roman" w:cs="Times New Roman"/>
          <w:sz w:val="24"/>
          <w:szCs w:val="24"/>
        </w:rPr>
        <w:t>”, 2019) tika izvērtēta DRN likmju par gaisa piesārņošanu efektivitāte un izstrādāti priekšlikumi nepieciešamajām likmju izmaiņām, ievērojot piesārņojošo vielu emisiju prognozes un emisiju samazināšanas mērķus 2030. gadam.</w:t>
      </w:r>
    </w:p>
    <w:tbl>
      <w:tblPr>
        <w:tblW w:w="8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992"/>
      </w:tblGrid>
      <w:tr w:rsidR="00017D0C" w:rsidRPr="00243378" w:rsidTr="00210902">
        <w:trPr>
          <w:jc w:val="right"/>
        </w:trPr>
        <w:tc>
          <w:tcPr>
            <w:tcW w:w="4282" w:type="dxa"/>
            <w:vMerge w:val="restart"/>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val="restart"/>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Esošā likme</w:t>
            </w:r>
          </w:p>
        </w:tc>
        <w:tc>
          <w:tcPr>
            <w:tcW w:w="3118" w:type="dxa"/>
            <w:gridSpan w:val="3"/>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Paaugstinātā likme</w:t>
            </w:r>
          </w:p>
        </w:tc>
      </w:tr>
      <w:tr w:rsidR="00017D0C" w:rsidRPr="00243378" w:rsidTr="00210902">
        <w:trPr>
          <w:jc w:val="right"/>
        </w:trPr>
        <w:tc>
          <w:tcPr>
            <w:tcW w:w="4282" w:type="dxa"/>
            <w:vMerge/>
            <w:shd w:val="clear" w:color="auto" w:fill="D9D9D9" w:themeFill="background1" w:themeFillShade="D9"/>
            <w:tcMar>
              <w:top w:w="57" w:type="dxa"/>
              <w:bottom w:w="57" w:type="dxa"/>
            </w:tcMar>
          </w:tcPr>
          <w:p w:rsidR="00017D0C" w:rsidRPr="00307D5A" w:rsidRDefault="00017D0C" w:rsidP="00210902">
            <w:pPr>
              <w:spacing w:after="0" w:line="240" w:lineRule="auto"/>
              <w:rPr>
                <w:rFonts w:ascii="Times New Roman" w:hAnsi="Times New Roman" w:cs="Times New Roman"/>
                <w:sz w:val="20"/>
                <w:szCs w:val="20"/>
              </w:rPr>
            </w:pPr>
          </w:p>
        </w:tc>
        <w:tc>
          <w:tcPr>
            <w:tcW w:w="1134" w:type="dxa"/>
            <w:vMerge/>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p>
        </w:tc>
        <w:tc>
          <w:tcPr>
            <w:tcW w:w="1134"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2021</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2022</w:t>
            </w:r>
          </w:p>
        </w:tc>
        <w:tc>
          <w:tcPr>
            <w:tcW w:w="992" w:type="dxa"/>
            <w:shd w:val="clear" w:color="auto" w:fill="D9D9D9" w:themeFill="background1" w:themeFillShade="D9"/>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2023</w:t>
            </w:r>
          </w:p>
        </w:tc>
      </w:tr>
      <w:tr w:rsidR="00017D0C" w:rsidRPr="00243378" w:rsidTr="00210902">
        <w:trPr>
          <w:trHeight w:val="144"/>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Daļiņas PM</w:t>
            </w:r>
            <w:r w:rsidRPr="00307D5A">
              <w:rPr>
                <w:rFonts w:ascii="Times New Roman" w:hAnsi="Times New Roman" w:cs="Times New Roman"/>
                <w:sz w:val="20"/>
                <w:szCs w:val="20"/>
                <w:vertAlign w:val="subscript"/>
              </w:rPr>
              <w:t>10</w:t>
            </w:r>
            <w:r w:rsidRPr="00307D5A">
              <w:rPr>
                <w:rFonts w:ascii="Times New Roman" w:hAnsi="Times New Roman" w:cs="Times New Roman"/>
                <w:sz w:val="20"/>
                <w:szCs w:val="20"/>
              </w:rPr>
              <w:t>,</w:t>
            </w:r>
            <w:r w:rsidRPr="00307D5A">
              <w:rPr>
                <w:rFonts w:ascii="Times New Roman" w:hAnsi="Times New Roman" w:cs="Times New Roman"/>
                <w:i/>
                <w:sz w:val="20"/>
                <w:szCs w:val="20"/>
              </w:rPr>
              <w:t xml:space="preserve">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par tonnu</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75,00</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105</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120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135</w:t>
            </w:r>
          </w:p>
        </w:tc>
      </w:tr>
      <w:tr w:rsidR="00017D0C" w:rsidRPr="00243378" w:rsidTr="00210902">
        <w:trPr>
          <w:trHeight w:val="715"/>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Amonjaks (NH</w:t>
            </w:r>
            <w:r w:rsidRPr="00307D5A">
              <w:rPr>
                <w:rFonts w:ascii="Times New Roman" w:hAnsi="Times New Roman" w:cs="Times New Roman"/>
                <w:sz w:val="20"/>
                <w:szCs w:val="20"/>
                <w:vertAlign w:val="subscript"/>
              </w:rPr>
              <w:t>3</w:t>
            </w:r>
            <w:r w:rsidRPr="00307D5A">
              <w:rPr>
                <w:rFonts w:ascii="Times New Roman" w:hAnsi="Times New Roman" w:cs="Times New Roman"/>
                <w:sz w:val="20"/>
                <w:szCs w:val="20"/>
              </w:rPr>
              <w:t>), sērūdeņradis (H</w:t>
            </w:r>
            <w:r w:rsidRPr="00307D5A">
              <w:rPr>
                <w:rFonts w:ascii="Times New Roman" w:hAnsi="Times New Roman" w:cs="Times New Roman"/>
                <w:sz w:val="20"/>
                <w:szCs w:val="20"/>
                <w:vertAlign w:val="subscript"/>
              </w:rPr>
              <w:t>2</w:t>
            </w:r>
            <w:r w:rsidRPr="00307D5A">
              <w:rPr>
                <w:rFonts w:ascii="Times New Roman" w:hAnsi="Times New Roman" w:cs="Times New Roman"/>
                <w:sz w:val="20"/>
                <w:szCs w:val="20"/>
              </w:rPr>
              <w:t>S) un pārējie neorganiskie savienojumi,</w:t>
            </w:r>
            <w:r w:rsidRPr="00307D5A">
              <w:rPr>
                <w:rFonts w:ascii="Times New Roman" w:hAnsi="Times New Roman" w:cs="Times New Roman"/>
                <w:i/>
                <w:sz w:val="20"/>
                <w:szCs w:val="20"/>
              </w:rPr>
              <w:t xml:space="preserve">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par tonnu</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18,50</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50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70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90</w:t>
            </w:r>
          </w:p>
        </w:tc>
      </w:tr>
      <w:tr w:rsidR="00017D0C" w:rsidRPr="00243378" w:rsidTr="00210902">
        <w:trPr>
          <w:trHeight w:val="715"/>
          <w:jc w:val="right"/>
        </w:trPr>
        <w:tc>
          <w:tcPr>
            <w:tcW w:w="4282" w:type="dxa"/>
            <w:shd w:val="clear" w:color="auto" w:fill="auto"/>
            <w:tcMar>
              <w:top w:w="57" w:type="dxa"/>
              <w:bottom w:w="57" w:type="dxa"/>
            </w:tcMar>
            <w:vAlign w:val="center"/>
          </w:tcPr>
          <w:p w:rsidR="00017D0C" w:rsidRPr="00307D5A" w:rsidRDefault="00017D0C" w:rsidP="00210902">
            <w:pPr>
              <w:spacing w:after="0" w:line="240" w:lineRule="auto"/>
              <w:rPr>
                <w:rFonts w:ascii="Times New Roman" w:hAnsi="Times New Roman" w:cs="Times New Roman"/>
                <w:sz w:val="20"/>
                <w:szCs w:val="20"/>
              </w:rPr>
            </w:pPr>
            <w:r w:rsidRPr="00307D5A">
              <w:rPr>
                <w:rFonts w:ascii="Times New Roman" w:hAnsi="Times New Roman" w:cs="Times New Roman"/>
                <w:sz w:val="20"/>
                <w:szCs w:val="20"/>
              </w:rPr>
              <w:t>Sēra dioksīds (SO</w:t>
            </w:r>
            <w:r w:rsidRPr="00307D5A">
              <w:rPr>
                <w:rFonts w:ascii="Times New Roman" w:hAnsi="Times New Roman" w:cs="Times New Roman"/>
                <w:sz w:val="20"/>
                <w:szCs w:val="20"/>
                <w:vertAlign w:val="subscript"/>
              </w:rPr>
              <w:t>2</w:t>
            </w:r>
            <w:r w:rsidRPr="00307D5A">
              <w:rPr>
                <w:rFonts w:ascii="Times New Roman" w:hAnsi="Times New Roman" w:cs="Times New Roman"/>
                <w:sz w:val="20"/>
                <w:szCs w:val="20"/>
              </w:rPr>
              <w:t>), slāpekļa oksīdi (</w:t>
            </w:r>
            <w:proofErr w:type="spellStart"/>
            <w:r w:rsidRPr="00307D5A">
              <w:rPr>
                <w:rFonts w:ascii="Times New Roman" w:hAnsi="Times New Roman" w:cs="Times New Roman"/>
                <w:sz w:val="20"/>
                <w:szCs w:val="20"/>
              </w:rPr>
              <w:t>NOx</w:t>
            </w:r>
            <w:proofErr w:type="spellEnd"/>
            <w:r w:rsidRPr="00307D5A">
              <w:rPr>
                <w:rFonts w:ascii="Times New Roman" w:hAnsi="Times New Roman" w:cs="Times New Roman"/>
                <w:sz w:val="20"/>
                <w:szCs w:val="20"/>
              </w:rPr>
              <w:t xml:space="preserve"> – slāpekļa oksīdu summa, pārrēķināta uz NO</w:t>
            </w:r>
            <w:r w:rsidRPr="00307D5A">
              <w:rPr>
                <w:rFonts w:ascii="Times New Roman" w:hAnsi="Times New Roman" w:cs="Times New Roman"/>
                <w:sz w:val="20"/>
                <w:szCs w:val="20"/>
                <w:vertAlign w:val="subscript"/>
              </w:rPr>
              <w:t>2</w:t>
            </w:r>
            <w:r w:rsidRPr="00307D5A">
              <w:rPr>
                <w:rFonts w:ascii="Times New Roman" w:hAnsi="Times New Roman" w:cs="Times New Roman"/>
                <w:sz w:val="20"/>
                <w:szCs w:val="20"/>
              </w:rPr>
              <w:t>),</w:t>
            </w:r>
            <w:r w:rsidRPr="00307D5A">
              <w:rPr>
                <w:rFonts w:ascii="Times New Roman" w:hAnsi="Times New Roman" w:cs="Times New Roman"/>
                <w:i/>
                <w:sz w:val="20"/>
                <w:szCs w:val="20"/>
              </w:rPr>
              <w:t xml:space="preserve"> </w:t>
            </w:r>
            <w:proofErr w:type="spellStart"/>
            <w:r w:rsidRPr="00307D5A">
              <w:rPr>
                <w:rFonts w:ascii="Times New Roman" w:hAnsi="Times New Roman" w:cs="Times New Roman"/>
                <w:i/>
                <w:sz w:val="20"/>
                <w:szCs w:val="20"/>
              </w:rPr>
              <w:t>euro</w:t>
            </w:r>
            <w:proofErr w:type="spellEnd"/>
            <w:r w:rsidRPr="00307D5A">
              <w:rPr>
                <w:rFonts w:ascii="Times New Roman" w:hAnsi="Times New Roman" w:cs="Times New Roman"/>
                <w:i/>
                <w:sz w:val="20"/>
                <w:szCs w:val="20"/>
              </w:rPr>
              <w:t xml:space="preserve"> par tonnu</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85,37</w:t>
            </w:r>
          </w:p>
        </w:tc>
        <w:tc>
          <w:tcPr>
            <w:tcW w:w="1134"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125</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140</w:t>
            </w:r>
          </w:p>
        </w:tc>
        <w:tc>
          <w:tcPr>
            <w:tcW w:w="992" w:type="dxa"/>
            <w:shd w:val="clear" w:color="auto" w:fill="auto"/>
            <w:tcMar>
              <w:top w:w="57" w:type="dxa"/>
              <w:bottom w:w="57" w:type="dxa"/>
            </w:tcMar>
            <w:vAlign w:val="center"/>
          </w:tcPr>
          <w:p w:rsidR="00017D0C" w:rsidRPr="00307D5A" w:rsidRDefault="00017D0C" w:rsidP="00210902">
            <w:pPr>
              <w:spacing w:after="0" w:line="240" w:lineRule="auto"/>
              <w:jc w:val="center"/>
              <w:rPr>
                <w:rFonts w:ascii="Times New Roman" w:hAnsi="Times New Roman" w:cs="Times New Roman"/>
                <w:sz w:val="20"/>
                <w:szCs w:val="20"/>
              </w:rPr>
            </w:pPr>
            <w:r w:rsidRPr="00307D5A">
              <w:rPr>
                <w:rFonts w:ascii="Times New Roman" w:hAnsi="Times New Roman" w:cs="Times New Roman"/>
                <w:sz w:val="20"/>
                <w:szCs w:val="20"/>
              </w:rPr>
              <w:t>160</w:t>
            </w:r>
          </w:p>
        </w:tc>
      </w:tr>
    </w:tbl>
    <w:p w:rsidR="00017D0C" w:rsidRDefault="00017D0C" w:rsidP="00017D0C">
      <w:pPr>
        <w:spacing w:before="120" w:after="120" w:line="240" w:lineRule="auto"/>
        <w:jc w:val="center"/>
        <w:rPr>
          <w:rFonts w:ascii="Times New Roman" w:hAnsi="Times New Roman" w:cs="Times New Roman"/>
          <w:sz w:val="24"/>
          <w:szCs w:val="24"/>
        </w:rPr>
      </w:pPr>
    </w:p>
    <w:p w:rsidR="00F21C8D" w:rsidRDefault="00F21C8D" w:rsidP="00017D0C">
      <w:pPr>
        <w:spacing w:before="120" w:after="120" w:line="240" w:lineRule="auto"/>
        <w:jc w:val="center"/>
        <w:rPr>
          <w:rFonts w:ascii="Times New Roman" w:hAnsi="Times New Roman" w:cs="Times New Roman"/>
          <w:sz w:val="24"/>
          <w:szCs w:val="24"/>
        </w:rPr>
      </w:pPr>
    </w:p>
    <w:p w:rsidR="00017D0C" w:rsidRDefault="00017D0C" w:rsidP="00017D0C">
      <w:pPr>
        <w:spacing w:before="120" w:after="120" w:line="240" w:lineRule="auto"/>
        <w:jc w:val="center"/>
        <w:rPr>
          <w:rFonts w:ascii="Times New Roman" w:hAnsi="Times New Roman" w:cs="Times New Roman"/>
          <w:sz w:val="24"/>
          <w:szCs w:val="24"/>
        </w:rPr>
      </w:pPr>
      <w:r w:rsidRPr="002308EA">
        <w:rPr>
          <w:rFonts w:ascii="Times New Roman" w:hAnsi="Times New Roman" w:cs="Times New Roman"/>
          <w:sz w:val="24"/>
          <w:szCs w:val="24"/>
        </w:rPr>
        <w:t xml:space="preserve">DRN ieņēmumu izmaiņas </w:t>
      </w:r>
      <w:r>
        <w:rPr>
          <w:rFonts w:ascii="Times New Roman" w:hAnsi="Times New Roman" w:cs="Times New Roman"/>
          <w:sz w:val="24"/>
          <w:szCs w:val="24"/>
        </w:rPr>
        <w:t>2021.-2023</w:t>
      </w:r>
      <w:r w:rsidRPr="002308EA">
        <w:rPr>
          <w:rFonts w:ascii="Times New Roman" w:hAnsi="Times New Roman" w:cs="Times New Roman"/>
          <w:sz w:val="24"/>
          <w:szCs w:val="24"/>
        </w:rPr>
        <w:t xml:space="preserve">.gadā, </w:t>
      </w:r>
      <w:proofErr w:type="spellStart"/>
      <w:r w:rsidRPr="002308EA">
        <w:rPr>
          <w:rFonts w:ascii="Times New Roman" w:hAnsi="Times New Roman" w:cs="Times New Roman"/>
          <w:i/>
          <w:sz w:val="24"/>
          <w:szCs w:val="24"/>
        </w:rPr>
        <w:t>euro</w:t>
      </w:r>
      <w:proofErr w:type="spellEnd"/>
    </w:p>
    <w:tbl>
      <w:tblPr>
        <w:tblStyle w:val="TableGrid"/>
        <w:tblW w:w="0" w:type="auto"/>
        <w:tblLook w:val="04A0" w:firstRow="1" w:lastRow="0" w:firstColumn="1" w:lastColumn="0" w:noHBand="0" w:noVBand="1"/>
      </w:tblPr>
      <w:tblGrid>
        <w:gridCol w:w="3539"/>
        <w:gridCol w:w="1843"/>
        <w:gridCol w:w="1417"/>
        <w:gridCol w:w="1276"/>
        <w:gridCol w:w="1269"/>
      </w:tblGrid>
      <w:tr w:rsidR="00017D0C" w:rsidRPr="002E3E2B" w:rsidTr="00210902">
        <w:trPr>
          <w:tblHeader/>
        </w:trPr>
        <w:tc>
          <w:tcPr>
            <w:tcW w:w="5382" w:type="dxa"/>
            <w:gridSpan w:val="2"/>
            <w:shd w:val="clear" w:color="auto" w:fill="D9D9D9" w:themeFill="background1" w:themeFillShade="D9"/>
            <w:tcMar>
              <w:top w:w="57" w:type="dxa"/>
              <w:bottom w:w="57" w:type="dxa"/>
            </w:tcMar>
            <w:vAlign w:val="center"/>
          </w:tcPr>
          <w:p w:rsidR="00017D0C" w:rsidRPr="00307D5A" w:rsidRDefault="00017D0C" w:rsidP="00210902">
            <w:pPr>
              <w:jc w:val="center"/>
              <w:rPr>
                <w:rFonts w:ascii="Times New Roman" w:hAnsi="Times New Roman" w:cs="Times New Roman"/>
                <w:sz w:val="20"/>
                <w:szCs w:val="20"/>
              </w:rPr>
            </w:pPr>
            <w:r w:rsidRPr="00307D5A">
              <w:rPr>
                <w:rFonts w:ascii="Times New Roman" w:hAnsi="Times New Roman" w:cs="Times New Roman"/>
                <w:sz w:val="20"/>
                <w:szCs w:val="20"/>
              </w:rPr>
              <w:t>DRN izmaiņu veids</w:t>
            </w:r>
          </w:p>
        </w:tc>
        <w:tc>
          <w:tcPr>
            <w:tcW w:w="1417" w:type="dxa"/>
            <w:shd w:val="clear" w:color="auto" w:fill="D9D9D9" w:themeFill="background1" w:themeFillShade="D9"/>
            <w:tcMar>
              <w:top w:w="57" w:type="dxa"/>
              <w:bottom w:w="57" w:type="dxa"/>
            </w:tcMar>
            <w:vAlign w:val="center"/>
          </w:tcPr>
          <w:p w:rsidR="00017D0C" w:rsidRPr="00307D5A" w:rsidRDefault="00017D0C" w:rsidP="00210902">
            <w:pPr>
              <w:jc w:val="center"/>
              <w:rPr>
                <w:rFonts w:ascii="Times New Roman" w:hAnsi="Times New Roman" w:cs="Times New Roman"/>
                <w:sz w:val="20"/>
                <w:szCs w:val="20"/>
              </w:rPr>
            </w:pPr>
            <w:r w:rsidRPr="00307D5A">
              <w:rPr>
                <w:rFonts w:ascii="Times New Roman" w:hAnsi="Times New Roman" w:cs="Times New Roman"/>
                <w:sz w:val="20"/>
                <w:szCs w:val="20"/>
              </w:rPr>
              <w:t>2021</w:t>
            </w:r>
          </w:p>
        </w:tc>
        <w:tc>
          <w:tcPr>
            <w:tcW w:w="1276" w:type="dxa"/>
            <w:shd w:val="clear" w:color="auto" w:fill="D9D9D9" w:themeFill="background1" w:themeFillShade="D9"/>
            <w:tcMar>
              <w:top w:w="57" w:type="dxa"/>
              <w:bottom w:w="57" w:type="dxa"/>
            </w:tcMar>
            <w:vAlign w:val="center"/>
          </w:tcPr>
          <w:p w:rsidR="00017D0C" w:rsidRPr="00307D5A" w:rsidRDefault="00017D0C" w:rsidP="00210902">
            <w:pPr>
              <w:jc w:val="center"/>
              <w:rPr>
                <w:rFonts w:ascii="Times New Roman" w:hAnsi="Times New Roman" w:cs="Times New Roman"/>
                <w:sz w:val="20"/>
                <w:szCs w:val="20"/>
              </w:rPr>
            </w:pPr>
            <w:r w:rsidRPr="00307D5A">
              <w:rPr>
                <w:rFonts w:ascii="Times New Roman" w:hAnsi="Times New Roman" w:cs="Times New Roman"/>
                <w:sz w:val="20"/>
                <w:szCs w:val="20"/>
              </w:rPr>
              <w:t>2022</w:t>
            </w:r>
          </w:p>
        </w:tc>
        <w:tc>
          <w:tcPr>
            <w:tcW w:w="1269" w:type="dxa"/>
            <w:shd w:val="clear" w:color="auto" w:fill="D9D9D9" w:themeFill="background1" w:themeFillShade="D9"/>
            <w:tcMar>
              <w:top w:w="57" w:type="dxa"/>
              <w:bottom w:w="57" w:type="dxa"/>
            </w:tcMar>
            <w:vAlign w:val="center"/>
          </w:tcPr>
          <w:p w:rsidR="00017D0C" w:rsidRPr="00307D5A" w:rsidRDefault="00017D0C" w:rsidP="00210902">
            <w:pPr>
              <w:jc w:val="center"/>
              <w:rPr>
                <w:rFonts w:ascii="Times New Roman" w:hAnsi="Times New Roman" w:cs="Times New Roman"/>
                <w:sz w:val="20"/>
                <w:szCs w:val="20"/>
              </w:rPr>
            </w:pPr>
            <w:r w:rsidRPr="00307D5A">
              <w:rPr>
                <w:rFonts w:ascii="Times New Roman" w:hAnsi="Times New Roman" w:cs="Times New Roman"/>
                <w:sz w:val="20"/>
                <w:szCs w:val="20"/>
              </w:rPr>
              <w:t>2023</w:t>
            </w:r>
          </w:p>
        </w:tc>
      </w:tr>
      <w:tr w:rsidR="00017D0C" w:rsidRPr="002E3E2B" w:rsidTr="009124E2">
        <w:tc>
          <w:tcPr>
            <w:tcW w:w="3539" w:type="dxa"/>
            <w:vMerge w:val="restart"/>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Atcelt atbrīvojumu par CO2 emisijām, ja stacionārajās tehnoloģiskajās iekārtās kā kurināmo izmanto kūdru</w:t>
            </w:r>
          </w:p>
        </w:tc>
        <w:tc>
          <w:tcPr>
            <w:tcW w:w="1843" w:type="dxa"/>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valsts budžetā</w:t>
            </w:r>
          </w:p>
        </w:tc>
        <w:tc>
          <w:tcPr>
            <w:tcW w:w="1417"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35 100</w:t>
            </w:r>
          </w:p>
        </w:tc>
        <w:tc>
          <w:tcPr>
            <w:tcW w:w="1276"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55 575</w:t>
            </w:r>
          </w:p>
        </w:tc>
        <w:tc>
          <w:tcPr>
            <w:tcW w:w="1269" w:type="dxa"/>
            <w:tcMar>
              <w:top w:w="57" w:type="dxa"/>
              <w:bottom w:w="57" w:type="dxa"/>
            </w:tcMar>
            <w:vAlign w:val="center"/>
          </w:tcPr>
          <w:p w:rsidR="00017D0C" w:rsidRPr="00C83F4E" w:rsidRDefault="00017D0C" w:rsidP="009124E2">
            <w:pPr>
              <w:jc w:val="right"/>
              <w:rPr>
                <w:rFonts w:ascii="Times New Roman" w:hAnsi="Times New Roman" w:cs="Times New Roman"/>
                <w:sz w:val="20"/>
                <w:szCs w:val="20"/>
              </w:rPr>
            </w:pPr>
            <w:r w:rsidRPr="00C83F4E">
              <w:rPr>
                <w:rFonts w:ascii="Times New Roman" w:hAnsi="Times New Roman" w:cs="Times New Roman"/>
                <w:sz w:val="20"/>
                <w:szCs w:val="20"/>
              </w:rPr>
              <w:t>58 500</w:t>
            </w:r>
          </w:p>
        </w:tc>
      </w:tr>
      <w:tr w:rsidR="00017D0C" w:rsidRPr="002E3E2B" w:rsidTr="009124E2">
        <w:tc>
          <w:tcPr>
            <w:tcW w:w="3539" w:type="dxa"/>
            <w:vMerge/>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p>
        </w:tc>
        <w:tc>
          <w:tcPr>
            <w:tcW w:w="1843" w:type="dxa"/>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pašvaldību budžetā</w:t>
            </w:r>
          </w:p>
        </w:tc>
        <w:tc>
          <w:tcPr>
            <w:tcW w:w="1417"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0</w:t>
            </w:r>
          </w:p>
        </w:tc>
        <w:tc>
          <w:tcPr>
            <w:tcW w:w="1276"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0</w:t>
            </w:r>
          </w:p>
        </w:tc>
        <w:tc>
          <w:tcPr>
            <w:tcW w:w="1269" w:type="dxa"/>
            <w:tcMar>
              <w:top w:w="57" w:type="dxa"/>
              <w:bottom w:w="57" w:type="dxa"/>
            </w:tcMar>
            <w:vAlign w:val="center"/>
          </w:tcPr>
          <w:p w:rsidR="00017D0C" w:rsidRPr="00C83F4E" w:rsidRDefault="00017D0C" w:rsidP="009124E2">
            <w:pPr>
              <w:jc w:val="right"/>
              <w:rPr>
                <w:rFonts w:ascii="Times New Roman" w:hAnsi="Times New Roman" w:cs="Times New Roman"/>
                <w:sz w:val="20"/>
                <w:szCs w:val="20"/>
              </w:rPr>
            </w:pPr>
            <w:r w:rsidRPr="00C83F4E">
              <w:rPr>
                <w:rFonts w:ascii="Times New Roman" w:hAnsi="Times New Roman" w:cs="Times New Roman"/>
                <w:sz w:val="20"/>
                <w:szCs w:val="20"/>
              </w:rPr>
              <w:t>0</w:t>
            </w:r>
          </w:p>
        </w:tc>
      </w:tr>
      <w:tr w:rsidR="009124E2" w:rsidRPr="002E3E2B" w:rsidTr="009124E2">
        <w:tc>
          <w:tcPr>
            <w:tcW w:w="3539" w:type="dxa"/>
            <w:vMerge w:val="restart"/>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 xml:space="preserve">Pakāpeniski paaugstināt DRN likmi sadzīves atkritumu apglabāšanai atkritumu poligonos </w:t>
            </w:r>
          </w:p>
        </w:tc>
        <w:tc>
          <w:tcPr>
            <w:tcW w:w="1843" w:type="dxa"/>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valsts budžetā</w:t>
            </w:r>
          </w:p>
        </w:tc>
        <w:tc>
          <w:tcPr>
            <w:tcW w:w="1417"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1 912 500</w:t>
            </w:r>
          </w:p>
        </w:tc>
        <w:tc>
          <w:tcPr>
            <w:tcW w:w="1276"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2 707 250</w:t>
            </w:r>
          </w:p>
        </w:tc>
        <w:tc>
          <w:tcPr>
            <w:tcW w:w="1269" w:type="dxa"/>
            <w:tcMar>
              <w:top w:w="57" w:type="dxa"/>
              <w:bottom w:w="57" w:type="dxa"/>
            </w:tcMar>
            <w:vAlign w:val="center"/>
          </w:tcPr>
          <w:p w:rsidR="009124E2" w:rsidRPr="00C83F4E" w:rsidRDefault="009124E2" w:rsidP="009124E2">
            <w:pPr>
              <w:jc w:val="right"/>
              <w:rPr>
                <w:rFonts w:ascii="Times New Roman" w:hAnsi="Times New Roman" w:cs="Times New Roman"/>
                <w:sz w:val="20"/>
                <w:szCs w:val="20"/>
              </w:rPr>
            </w:pPr>
            <w:r w:rsidRPr="00C83F4E">
              <w:rPr>
                <w:rFonts w:ascii="Times New Roman" w:hAnsi="Times New Roman" w:cs="Times New Roman"/>
                <w:sz w:val="20"/>
                <w:szCs w:val="20"/>
              </w:rPr>
              <w:t>3 537 302</w:t>
            </w:r>
          </w:p>
        </w:tc>
      </w:tr>
      <w:tr w:rsidR="009124E2" w:rsidRPr="002E3E2B" w:rsidTr="009124E2">
        <w:tc>
          <w:tcPr>
            <w:tcW w:w="3539" w:type="dxa"/>
            <w:vMerge/>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p>
        </w:tc>
        <w:tc>
          <w:tcPr>
            <w:tcW w:w="1843" w:type="dxa"/>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pašvaldību budžetā</w:t>
            </w:r>
          </w:p>
        </w:tc>
        <w:tc>
          <w:tcPr>
            <w:tcW w:w="1417"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0</w:t>
            </w:r>
          </w:p>
        </w:tc>
        <w:tc>
          <w:tcPr>
            <w:tcW w:w="1276"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1 245 250</w:t>
            </w:r>
          </w:p>
        </w:tc>
        <w:tc>
          <w:tcPr>
            <w:tcW w:w="1269" w:type="dxa"/>
            <w:tcMar>
              <w:top w:w="57" w:type="dxa"/>
              <w:bottom w:w="57" w:type="dxa"/>
            </w:tcMar>
            <w:vAlign w:val="center"/>
          </w:tcPr>
          <w:p w:rsidR="009124E2" w:rsidRPr="00C83F4E" w:rsidRDefault="009124E2" w:rsidP="009124E2">
            <w:pPr>
              <w:jc w:val="right"/>
              <w:rPr>
                <w:rFonts w:ascii="Times New Roman" w:hAnsi="Times New Roman" w:cs="Times New Roman"/>
                <w:sz w:val="20"/>
                <w:szCs w:val="20"/>
              </w:rPr>
            </w:pPr>
            <w:r w:rsidRPr="00C83F4E">
              <w:rPr>
                <w:rFonts w:ascii="Times New Roman" w:hAnsi="Times New Roman" w:cs="Times New Roman"/>
                <w:sz w:val="20"/>
                <w:szCs w:val="20"/>
              </w:rPr>
              <w:t>2 124 230</w:t>
            </w:r>
          </w:p>
        </w:tc>
      </w:tr>
      <w:tr w:rsidR="009124E2" w:rsidRPr="002E3E2B" w:rsidTr="009124E2">
        <w:tc>
          <w:tcPr>
            <w:tcW w:w="3539" w:type="dxa"/>
            <w:vMerge w:val="restart"/>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 xml:space="preserve">Pakāpeniski paaugstināt DRN likmi bīstamo atkritumu apglabāšanai atkritumu poligonos </w:t>
            </w:r>
          </w:p>
        </w:tc>
        <w:tc>
          <w:tcPr>
            <w:tcW w:w="1843" w:type="dxa"/>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valsts budžetā</w:t>
            </w:r>
          </w:p>
        </w:tc>
        <w:tc>
          <w:tcPr>
            <w:tcW w:w="1417"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-15 739</w:t>
            </w:r>
          </w:p>
        </w:tc>
        <w:tc>
          <w:tcPr>
            <w:tcW w:w="1276"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6 427</w:t>
            </w:r>
          </w:p>
        </w:tc>
        <w:tc>
          <w:tcPr>
            <w:tcW w:w="1269" w:type="dxa"/>
            <w:tcMar>
              <w:top w:w="57" w:type="dxa"/>
              <w:bottom w:w="57" w:type="dxa"/>
            </w:tcMar>
            <w:vAlign w:val="center"/>
          </w:tcPr>
          <w:p w:rsidR="009124E2" w:rsidRPr="00C83F4E" w:rsidRDefault="009124E2" w:rsidP="009124E2">
            <w:pPr>
              <w:jc w:val="right"/>
              <w:rPr>
                <w:rFonts w:ascii="Times New Roman" w:hAnsi="Times New Roman" w:cs="Times New Roman"/>
                <w:sz w:val="20"/>
                <w:szCs w:val="20"/>
              </w:rPr>
            </w:pPr>
            <w:r w:rsidRPr="00C83F4E">
              <w:rPr>
                <w:rFonts w:ascii="Times New Roman" w:hAnsi="Times New Roman" w:cs="Times New Roman"/>
                <w:sz w:val="20"/>
                <w:szCs w:val="20"/>
              </w:rPr>
              <w:t>27 018</w:t>
            </w:r>
          </w:p>
        </w:tc>
      </w:tr>
      <w:tr w:rsidR="009124E2" w:rsidRPr="002E3E2B" w:rsidTr="009124E2">
        <w:tc>
          <w:tcPr>
            <w:tcW w:w="3539" w:type="dxa"/>
            <w:vMerge/>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p>
        </w:tc>
        <w:tc>
          <w:tcPr>
            <w:tcW w:w="1843" w:type="dxa"/>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pašvaldību budžetā</w:t>
            </w:r>
          </w:p>
        </w:tc>
        <w:tc>
          <w:tcPr>
            <w:tcW w:w="1417"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35 413</w:t>
            </w:r>
          </w:p>
        </w:tc>
        <w:tc>
          <w:tcPr>
            <w:tcW w:w="1276"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40 954</w:t>
            </w:r>
          </w:p>
        </w:tc>
        <w:tc>
          <w:tcPr>
            <w:tcW w:w="1269" w:type="dxa"/>
            <w:tcMar>
              <w:top w:w="57" w:type="dxa"/>
              <w:bottom w:w="57" w:type="dxa"/>
            </w:tcMar>
            <w:vAlign w:val="center"/>
          </w:tcPr>
          <w:p w:rsidR="009124E2" w:rsidRPr="00C83F4E" w:rsidRDefault="009124E2" w:rsidP="009124E2">
            <w:pPr>
              <w:jc w:val="right"/>
              <w:rPr>
                <w:rFonts w:ascii="Times New Roman" w:hAnsi="Times New Roman" w:cs="Times New Roman"/>
                <w:sz w:val="20"/>
                <w:szCs w:val="20"/>
              </w:rPr>
            </w:pPr>
            <w:r w:rsidRPr="00C83F4E">
              <w:rPr>
                <w:rFonts w:ascii="Times New Roman" w:hAnsi="Times New Roman" w:cs="Times New Roman"/>
                <w:sz w:val="20"/>
                <w:szCs w:val="20"/>
              </w:rPr>
              <w:t>46 102</w:t>
            </w:r>
          </w:p>
        </w:tc>
      </w:tr>
      <w:tr w:rsidR="00017D0C" w:rsidRPr="002E3E2B" w:rsidTr="009124E2">
        <w:tc>
          <w:tcPr>
            <w:tcW w:w="3539" w:type="dxa"/>
            <w:vMerge w:val="restart"/>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 xml:space="preserve">Paaugstināt fiksēto nodokļa maksājumu par C kategorijas piesārņojošo darbību emisijām </w:t>
            </w:r>
          </w:p>
        </w:tc>
        <w:tc>
          <w:tcPr>
            <w:tcW w:w="1843" w:type="dxa"/>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valsts budžetā</w:t>
            </w:r>
          </w:p>
        </w:tc>
        <w:tc>
          <w:tcPr>
            <w:tcW w:w="1417"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279 232</w:t>
            </w:r>
          </w:p>
        </w:tc>
        <w:tc>
          <w:tcPr>
            <w:tcW w:w="1276"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color w:val="000000"/>
                <w:sz w:val="20"/>
                <w:szCs w:val="20"/>
              </w:rPr>
              <w:t>501 150</w:t>
            </w:r>
          </w:p>
        </w:tc>
        <w:tc>
          <w:tcPr>
            <w:tcW w:w="1269" w:type="dxa"/>
            <w:tcMar>
              <w:top w:w="57" w:type="dxa"/>
              <w:bottom w:w="57" w:type="dxa"/>
            </w:tcMar>
            <w:vAlign w:val="center"/>
          </w:tcPr>
          <w:p w:rsidR="00017D0C" w:rsidRPr="00C83F4E" w:rsidRDefault="00017D0C" w:rsidP="009124E2">
            <w:pPr>
              <w:jc w:val="right"/>
              <w:rPr>
                <w:rFonts w:ascii="Times New Roman" w:hAnsi="Times New Roman" w:cs="Times New Roman"/>
                <w:sz w:val="20"/>
                <w:szCs w:val="20"/>
              </w:rPr>
            </w:pPr>
            <w:r w:rsidRPr="00C83F4E">
              <w:rPr>
                <w:rFonts w:ascii="Times New Roman" w:hAnsi="Times New Roman" w:cs="Times New Roman"/>
                <w:color w:val="000000"/>
                <w:sz w:val="20"/>
                <w:szCs w:val="20"/>
              </w:rPr>
              <w:t>693 281</w:t>
            </w:r>
          </w:p>
        </w:tc>
      </w:tr>
      <w:tr w:rsidR="00017D0C" w:rsidRPr="002E3E2B" w:rsidTr="009124E2">
        <w:tc>
          <w:tcPr>
            <w:tcW w:w="3539" w:type="dxa"/>
            <w:vMerge/>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p>
        </w:tc>
        <w:tc>
          <w:tcPr>
            <w:tcW w:w="1843" w:type="dxa"/>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pašvaldību budžetā</w:t>
            </w:r>
          </w:p>
        </w:tc>
        <w:tc>
          <w:tcPr>
            <w:tcW w:w="1417"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186 155</w:t>
            </w:r>
          </w:p>
        </w:tc>
        <w:tc>
          <w:tcPr>
            <w:tcW w:w="1276"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color w:val="000000"/>
                <w:sz w:val="20"/>
                <w:szCs w:val="20"/>
              </w:rPr>
              <w:t>334 100</w:t>
            </w:r>
          </w:p>
        </w:tc>
        <w:tc>
          <w:tcPr>
            <w:tcW w:w="1269" w:type="dxa"/>
            <w:tcMar>
              <w:top w:w="57" w:type="dxa"/>
              <w:bottom w:w="57" w:type="dxa"/>
            </w:tcMar>
            <w:vAlign w:val="center"/>
          </w:tcPr>
          <w:p w:rsidR="00017D0C" w:rsidRPr="00C83F4E" w:rsidRDefault="00017D0C" w:rsidP="009124E2">
            <w:pPr>
              <w:jc w:val="right"/>
              <w:rPr>
                <w:rFonts w:ascii="Times New Roman" w:hAnsi="Times New Roman" w:cs="Times New Roman"/>
                <w:sz w:val="20"/>
                <w:szCs w:val="20"/>
              </w:rPr>
            </w:pPr>
            <w:r w:rsidRPr="00C83F4E">
              <w:rPr>
                <w:rFonts w:ascii="Times New Roman" w:hAnsi="Times New Roman" w:cs="Times New Roman"/>
                <w:color w:val="000000"/>
                <w:sz w:val="20"/>
                <w:szCs w:val="20"/>
              </w:rPr>
              <w:t>462 187</w:t>
            </w:r>
          </w:p>
        </w:tc>
      </w:tr>
      <w:tr w:rsidR="00017D0C" w:rsidRPr="002E3E2B" w:rsidTr="009124E2">
        <w:tc>
          <w:tcPr>
            <w:tcW w:w="3539" w:type="dxa"/>
            <w:vMerge w:val="restart"/>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 xml:space="preserve">Paaugstināt DRN likmes par emisijām gaisā </w:t>
            </w:r>
          </w:p>
        </w:tc>
        <w:tc>
          <w:tcPr>
            <w:tcW w:w="1843" w:type="dxa"/>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valsts budžetā</w:t>
            </w:r>
          </w:p>
        </w:tc>
        <w:tc>
          <w:tcPr>
            <w:tcW w:w="1417"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96 518</w:t>
            </w:r>
          </w:p>
        </w:tc>
        <w:tc>
          <w:tcPr>
            <w:tcW w:w="1276"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color w:val="000000"/>
                <w:sz w:val="20"/>
                <w:szCs w:val="20"/>
              </w:rPr>
              <w:t>154 842</w:t>
            </w:r>
          </w:p>
        </w:tc>
        <w:tc>
          <w:tcPr>
            <w:tcW w:w="1269" w:type="dxa"/>
            <w:tcMar>
              <w:top w:w="57" w:type="dxa"/>
              <w:bottom w:w="57" w:type="dxa"/>
            </w:tcMar>
            <w:vAlign w:val="center"/>
          </w:tcPr>
          <w:p w:rsidR="00017D0C" w:rsidRPr="00C83F4E" w:rsidRDefault="00017D0C" w:rsidP="009124E2">
            <w:pPr>
              <w:jc w:val="right"/>
              <w:rPr>
                <w:rFonts w:ascii="Times New Roman" w:hAnsi="Times New Roman" w:cs="Times New Roman"/>
                <w:sz w:val="20"/>
                <w:szCs w:val="20"/>
              </w:rPr>
            </w:pPr>
            <w:r w:rsidRPr="00C83F4E">
              <w:rPr>
                <w:rFonts w:ascii="Times New Roman" w:hAnsi="Times New Roman" w:cs="Times New Roman"/>
                <w:color w:val="000000"/>
                <w:sz w:val="20"/>
                <w:szCs w:val="20"/>
              </w:rPr>
              <w:t>210 313</w:t>
            </w:r>
          </w:p>
        </w:tc>
      </w:tr>
      <w:tr w:rsidR="00017D0C" w:rsidRPr="002E3E2B" w:rsidTr="009124E2">
        <w:tc>
          <w:tcPr>
            <w:tcW w:w="3539" w:type="dxa"/>
            <w:vMerge/>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p>
        </w:tc>
        <w:tc>
          <w:tcPr>
            <w:tcW w:w="1843" w:type="dxa"/>
            <w:tcMar>
              <w:top w:w="57" w:type="dxa"/>
              <w:bottom w:w="57" w:type="dxa"/>
            </w:tcMar>
            <w:vAlign w:val="center"/>
          </w:tcPr>
          <w:p w:rsidR="00017D0C" w:rsidRPr="00307D5A" w:rsidRDefault="00017D0C" w:rsidP="00210902">
            <w:pPr>
              <w:jc w:val="both"/>
              <w:rPr>
                <w:rFonts w:ascii="Times New Roman" w:hAnsi="Times New Roman" w:cs="Times New Roman"/>
                <w:sz w:val="20"/>
                <w:szCs w:val="20"/>
              </w:rPr>
            </w:pPr>
            <w:r w:rsidRPr="00307D5A">
              <w:rPr>
                <w:rFonts w:ascii="Times New Roman" w:hAnsi="Times New Roman" w:cs="Times New Roman"/>
                <w:sz w:val="20"/>
                <w:szCs w:val="20"/>
              </w:rPr>
              <w:t>pašvaldību budžetā</w:t>
            </w:r>
          </w:p>
        </w:tc>
        <w:tc>
          <w:tcPr>
            <w:tcW w:w="1417"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sz w:val="20"/>
                <w:szCs w:val="20"/>
              </w:rPr>
              <w:t>64 345</w:t>
            </w:r>
          </w:p>
        </w:tc>
        <w:tc>
          <w:tcPr>
            <w:tcW w:w="1276" w:type="dxa"/>
            <w:tcMar>
              <w:top w:w="57" w:type="dxa"/>
              <w:bottom w:w="57" w:type="dxa"/>
            </w:tcMar>
            <w:vAlign w:val="center"/>
          </w:tcPr>
          <w:p w:rsidR="00017D0C" w:rsidRPr="009124E2" w:rsidRDefault="00017D0C" w:rsidP="009124E2">
            <w:pPr>
              <w:jc w:val="right"/>
              <w:rPr>
                <w:rFonts w:ascii="Times New Roman" w:hAnsi="Times New Roman" w:cs="Times New Roman"/>
                <w:sz w:val="20"/>
                <w:szCs w:val="20"/>
              </w:rPr>
            </w:pPr>
            <w:r w:rsidRPr="009124E2">
              <w:rPr>
                <w:rFonts w:ascii="Times New Roman" w:hAnsi="Times New Roman" w:cs="Times New Roman"/>
                <w:color w:val="000000"/>
                <w:sz w:val="20"/>
                <w:szCs w:val="20"/>
              </w:rPr>
              <w:t>103 228</w:t>
            </w:r>
          </w:p>
        </w:tc>
        <w:tc>
          <w:tcPr>
            <w:tcW w:w="1269" w:type="dxa"/>
            <w:tcMar>
              <w:top w:w="57" w:type="dxa"/>
              <w:bottom w:w="57" w:type="dxa"/>
            </w:tcMar>
            <w:vAlign w:val="center"/>
          </w:tcPr>
          <w:p w:rsidR="00017D0C" w:rsidRPr="00C83F4E" w:rsidRDefault="00017D0C" w:rsidP="009124E2">
            <w:pPr>
              <w:jc w:val="right"/>
              <w:rPr>
                <w:rFonts w:ascii="Times New Roman" w:hAnsi="Times New Roman" w:cs="Times New Roman"/>
                <w:sz w:val="20"/>
                <w:szCs w:val="20"/>
              </w:rPr>
            </w:pPr>
            <w:r w:rsidRPr="00C83F4E">
              <w:rPr>
                <w:rFonts w:ascii="Times New Roman" w:hAnsi="Times New Roman" w:cs="Times New Roman"/>
                <w:color w:val="000000"/>
                <w:sz w:val="20"/>
                <w:szCs w:val="20"/>
              </w:rPr>
              <w:t>140 209</w:t>
            </w:r>
          </w:p>
        </w:tc>
      </w:tr>
      <w:tr w:rsidR="009124E2" w:rsidRPr="002E3E2B" w:rsidTr="00504B25">
        <w:tc>
          <w:tcPr>
            <w:tcW w:w="3539" w:type="dxa"/>
            <w:vMerge w:val="restart"/>
            <w:tcMar>
              <w:top w:w="57" w:type="dxa"/>
              <w:bottom w:w="57" w:type="dxa"/>
            </w:tcMar>
            <w:vAlign w:val="center"/>
          </w:tcPr>
          <w:p w:rsidR="009124E2" w:rsidRPr="00307D5A" w:rsidRDefault="009124E2" w:rsidP="009124E2">
            <w:pPr>
              <w:jc w:val="both"/>
              <w:rPr>
                <w:rFonts w:ascii="Times New Roman" w:hAnsi="Times New Roman" w:cs="Times New Roman"/>
                <w:b/>
                <w:sz w:val="20"/>
                <w:szCs w:val="20"/>
              </w:rPr>
            </w:pPr>
            <w:r w:rsidRPr="00307D5A">
              <w:rPr>
                <w:rFonts w:ascii="Times New Roman" w:hAnsi="Times New Roman" w:cs="Times New Roman"/>
                <w:b/>
                <w:sz w:val="20"/>
                <w:szCs w:val="20"/>
              </w:rPr>
              <w:t>KOPĀ</w:t>
            </w:r>
          </w:p>
        </w:tc>
        <w:tc>
          <w:tcPr>
            <w:tcW w:w="1843" w:type="dxa"/>
            <w:tcMar>
              <w:top w:w="57" w:type="dxa"/>
              <w:bottom w:w="57" w:type="dxa"/>
            </w:tcMar>
            <w:vAlign w:val="center"/>
          </w:tcPr>
          <w:p w:rsidR="009124E2" w:rsidRPr="00307D5A" w:rsidRDefault="009124E2" w:rsidP="009124E2">
            <w:pPr>
              <w:jc w:val="both"/>
              <w:rPr>
                <w:rFonts w:ascii="Times New Roman" w:hAnsi="Times New Roman" w:cs="Times New Roman"/>
                <w:b/>
                <w:sz w:val="20"/>
                <w:szCs w:val="20"/>
              </w:rPr>
            </w:pPr>
            <w:r w:rsidRPr="00307D5A">
              <w:rPr>
                <w:rFonts w:ascii="Times New Roman" w:hAnsi="Times New Roman" w:cs="Times New Roman"/>
                <w:b/>
                <w:sz w:val="20"/>
                <w:szCs w:val="20"/>
              </w:rPr>
              <w:t>valsts budžetā</w:t>
            </w:r>
          </w:p>
        </w:tc>
        <w:tc>
          <w:tcPr>
            <w:tcW w:w="1417" w:type="dxa"/>
            <w:tcMar>
              <w:top w:w="57" w:type="dxa"/>
              <w:bottom w:w="57" w:type="dxa"/>
            </w:tcMar>
            <w:vAlign w:val="center"/>
          </w:tcPr>
          <w:p w:rsidR="009124E2" w:rsidRPr="009124E2" w:rsidRDefault="009124E2" w:rsidP="009124E2">
            <w:pPr>
              <w:jc w:val="right"/>
              <w:rPr>
                <w:rFonts w:ascii="Times New Roman" w:hAnsi="Times New Roman" w:cs="Times New Roman"/>
                <w:b/>
                <w:sz w:val="20"/>
                <w:szCs w:val="20"/>
              </w:rPr>
            </w:pPr>
            <w:r w:rsidRPr="009124E2">
              <w:rPr>
                <w:rFonts w:ascii="Times New Roman" w:hAnsi="Times New Roman" w:cs="Times New Roman"/>
                <w:b/>
                <w:sz w:val="20"/>
                <w:szCs w:val="20"/>
              </w:rPr>
              <w:t>2 307 611</w:t>
            </w:r>
          </w:p>
        </w:tc>
        <w:tc>
          <w:tcPr>
            <w:tcW w:w="1276" w:type="dxa"/>
            <w:tcMar>
              <w:top w:w="57" w:type="dxa"/>
              <w:bottom w:w="57" w:type="dxa"/>
            </w:tcMar>
            <w:vAlign w:val="center"/>
          </w:tcPr>
          <w:p w:rsidR="009124E2" w:rsidRPr="009124E2" w:rsidRDefault="009124E2" w:rsidP="009124E2">
            <w:pPr>
              <w:jc w:val="right"/>
              <w:rPr>
                <w:rFonts w:ascii="Times New Roman" w:hAnsi="Times New Roman" w:cs="Times New Roman"/>
                <w:b/>
                <w:sz w:val="20"/>
                <w:szCs w:val="20"/>
              </w:rPr>
            </w:pPr>
            <w:r w:rsidRPr="009124E2">
              <w:rPr>
                <w:rFonts w:ascii="Times New Roman" w:hAnsi="Times New Roman" w:cs="Times New Roman"/>
                <w:b/>
                <w:sz w:val="20"/>
                <w:szCs w:val="20"/>
              </w:rPr>
              <w:t>3 425 244</w:t>
            </w:r>
          </w:p>
        </w:tc>
        <w:tc>
          <w:tcPr>
            <w:tcW w:w="1269" w:type="dxa"/>
            <w:tcMar>
              <w:top w:w="57" w:type="dxa"/>
              <w:bottom w:w="57" w:type="dxa"/>
            </w:tcMar>
            <w:vAlign w:val="center"/>
          </w:tcPr>
          <w:p w:rsidR="009124E2" w:rsidRPr="00C83F4E" w:rsidRDefault="009124E2" w:rsidP="009124E2">
            <w:pPr>
              <w:jc w:val="right"/>
              <w:rPr>
                <w:rFonts w:ascii="Times New Roman" w:hAnsi="Times New Roman" w:cs="Times New Roman"/>
                <w:b/>
                <w:sz w:val="20"/>
                <w:szCs w:val="20"/>
              </w:rPr>
            </w:pPr>
            <w:r w:rsidRPr="00C83F4E">
              <w:rPr>
                <w:rFonts w:ascii="Times New Roman" w:hAnsi="Times New Roman" w:cs="Times New Roman"/>
                <w:b/>
                <w:sz w:val="20"/>
                <w:szCs w:val="20"/>
              </w:rPr>
              <w:t>4 526 414</w:t>
            </w:r>
          </w:p>
        </w:tc>
      </w:tr>
      <w:tr w:rsidR="009124E2" w:rsidRPr="002E3E2B" w:rsidTr="00504B25">
        <w:tc>
          <w:tcPr>
            <w:tcW w:w="3539" w:type="dxa"/>
            <w:vMerge/>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p>
        </w:tc>
        <w:tc>
          <w:tcPr>
            <w:tcW w:w="1843" w:type="dxa"/>
            <w:tcMar>
              <w:top w:w="57" w:type="dxa"/>
              <w:bottom w:w="57" w:type="dxa"/>
            </w:tcMar>
            <w:vAlign w:val="center"/>
          </w:tcPr>
          <w:p w:rsidR="009124E2" w:rsidRPr="00307D5A" w:rsidRDefault="009124E2" w:rsidP="009124E2">
            <w:pPr>
              <w:jc w:val="both"/>
              <w:rPr>
                <w:rFonts w:ascii="Times New Roman" w:hAnsi="Times New Roman" w:cs="Times New Roman"/>
                <w:sz w:val="20"/>
                <w:szCs w:val="20"/>
              </w:rPr>
            </w:pPr>
            <w:r w:rsidRPr="00307D5A">
              <w:rPr>
                <w:rFonts w:ascii="Times New Roman" w:hAnsi="Times New Roman" w:cs="Times New Roman"/>
                <w:sz w:val="20"/>
                <w:szCs w:val="20"/>
              </w:rPr>
              <w:t>pašvaldību budžetā</w:t>
            </w:r>
          </w:p>
        </w:tc>
        <w:tc>
          <w:tcPr>
            <w:tcW w:w="1417"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285 913</w:t>
            </w:r>
          </w:p>
        </w:tc>
        <w:tc>
          <w:tcPr>
            <w:tcW w:w="1276" w:type="dxa"/>
            <w:tcMar>
              <w:top w:w="57" w:type="dxa"/>
              <w:bottom w:w="57" w:type="dxa"/>
            </w:tcMar>
            <w:vAlign w:val="center"/>
          </w:tcPr>
          <w:p w:rsidR="009124E2" w:rsidRPr="009124E2" w:rsidRDefault="009124E2" w:rsidP="009124E2">
            <w:pPr>
              <w:jc w:val="right"/>
              <w:rPr>
                <w:rFonts w:ascii="Times New Roman" w:hAnsi="Times New Roman" w:cs="Times New Roman"/>
                <w:sz w:val="20"/>
                <w:szCs w:val="20"/>
              </w:rPr>
            </w:pPr>
            <w:r w:rsidRPr="009124E2">
              <w:rPr>
                <w:rFonts w:ascii="Times New Roman" w:hAnsi="Times New Roman" w:cs="Times New Roman"/>
                <w:sz w:val="20"/>
                <w:szCs w:val="20"/>
              </w:rPr>
              <w:t>1 723 532</w:t>
            </w:r>
          </w:p>
        </w:tc>
        <w:tc>
          <w:tcPr>
            <w:tcW w:w="1269" w:type="dxa"/>
            <w:tcMar>
              <w:top w:w="57" w:type="dxa"/>
              <w:bottom w:w="57" w:type="dxa"/>
            </w:tcMar>
            <w:vAlign w:val="center"/>
          </w:tcPr>
          <w:p w:rsidR="009124E2" w:rsidRPr="00C83F4E" w:rsidRDefault="009124E2" w:rsidP="009124E2">
            <w:pPr>
              <w:jc w:val="right"/>
              <w:rPr>
                <w:rFonts w:ascii="Times New Roman" w:hAnsi="Times New Roman" w:cs="Times New Roman"/>
                <w:sz w:val="20"/>
                <w:szCs w:val="20"/>
              </w:rPr>
            </w:pPr>
            <w:r w:rsidRPr="00C83F4E">
              <w:rPr>
                <w:rFonts w:ascii="Times New Roman" w:hAnsi="Times New Roman" w:cs="Times New Roman"/>
                <w:sz w:val="20"/>
                <w:szCs w:val="20"/>
              </w:rPr>
              <w:t>2 772 728</w:t>
            </w:r>
          </w:p>
        </w:tc>
      </w:tr>
    </w:tbl>
    <w:p w:rsidR="00017D0C" w:rsidRDefault="00017D0C" w:rsidP="00017D0C">
      <w:pPr>
        <w:spacing w:before="120" w:after="120" w:line="240" w:lineRule="auto"/>
        <w:ind w:firstLine="720"/>
        <w:jc w:val="both"/>
        <w:rPr>
          <w:rFonts w:ascii="Times New Roman" w:hAnsi="Times New Roman" w:cs="Times New Roman"/>
          <w:sz w:val="24"/>
          <w:szCs w:val="24"/>
        </w:rPr>
      </w:pPr>
    </w:p>
    <w:p w:rsidR="00017D0C" w:rsidRDefault="00017D0C" w:rsidP="00017D0C">
      <w:pPr>
        <w:spacing w:before="120" w:after="120" w:line="240" w:lineRule="auto"/>
        <w:ind w:firstLine="720"/>
        <w:jc w:val="both"/>
        <w:rPr>
          <w:rFonts w:ascii="Times New Roman" w:hAnsi="Times New Roman" w:cs="Times New Roman"/>
          <w:sz w:val="24"/>
          <w:szCs w:val="24"/>
        </w:rPr>
      </w:pPr>
      <w:r w:rsidRPr="00F429EF">
        <w:rPr>
          <w:rFonts w:ascii="Times New Roman" w:hAnsi="Times New Roman" w:cs="Times New Roman"/>
          <w:sz w:val="24"/>
          <w:szCs w:val="24"/>
        </w:rPr>
        <w:t xml:space="preserve">Izmaiņu ieviešanai VARAM jāsagatavo attiecīgi grozījumi </w:t>
      </w:r>
      <w:r w:rsidRPr="00D82BEC">
        <w:rPr>
          <w:rFonts w:ascii="Times New Roman" w:hAnsi="Times New Roman" w:cs="Times New Roman"/>
          <w:sz w:val="24"/>
          <w:szCs w:val="24"/>
        </w:rPr>
        <w:t>Dabas resursu nodokļa likumā</w:t>
      </w:r>
      <w:r w:rsidRPr="00D82BEC" w:rsidDel="00D82BEC">
        <w:rPr>
          <w:rFonts w:ascii="Times New Roman" w:hAnsi="Times New Roman" w:cs="Times New Roman"/>
          <w:sz w:val="24"/>
          <w:szCs w:val="24"/>
        </w:rPr>
        <w:t xml:space="preserve"> </w:t>
      </w:r>
      <w:r>
        <w:rPr>
          <w:rFonts w:ascii="Times New Roman" w:hAnsi="Times New Roman" w:cs="Times New Roman"/>
          <w:sz w:val="24"/>
          <w:szCs w:val="24"/>
        </w:rPr>
        <w:t xml:space="preserve">un jāiesniedz </w:t>
      </w:r>
      <w:r w:rsidRPr="00F429EF">
        <w:rPr>
          <w:rFonts w:ascii="Times New Roman" w:hAnsi="Times New Roman" w:cs="Times New Roman"/>
          <w:sz w:val="24"/>
          <w:szCs w:val="24"/>
        </w:rPr>
        <w:t>izskatīšanai Ministru kabinetā budžeta pavadošo likumprojektu paketē.</w:t>
      </w:r>
    </w:p>
    <w:p w:rsidR="00017D0C" w:rsidRDefault="00017D0C" w:rsidP="00017D0C">
      <w:pPr>
        <w:spacing w:before="120" w:after="120" w:line="240" w:lineRule="auto"/>
        <w:jc w:val="both"/>
        <w:rPr>
          <w:rFonts w:ascii="Times New Roman" w:hAnsi="Times New Roman" w:cs="Times New Roman"/>
          <w:sz w:val="24"/>
          <w:szCs w:val="24"/>
        </w:rPr>
      </w:pPr>
    </w:p>
    <w:p w:rsidR="00017D0C" w:rsidRPr="007230CC" w:rsidRDefault="00017D0C" w:rsidP="00017D0C">
      <w:pPr>
        <w:spacing w:before="120" w:after="120" w:line="240" w:lineRule="auto"/>
        <w:jc w:val="both"/>
        <w:rPr>
          <w:rFonts w:ascii="Times New Roman" w:hAnsi="Times New Roman" w:cs="Times New Roman"/>
          <w:b/>
          <w:i/>
          <w:sz w:val="24"/>
          <w:szCs w:val="24"/>
          <w:u w:val="single"/>
        </w:rPr>
      </w:pPr>
      <w:r w:rsidRPr="007230CC">
        <w:rPr>
          <w:rFonts w:ascii="Times New Roman" w:hAnsi="Times New Roman" w:cs="Times New Roman"/>
          <w:sz w:val="24"/>
          <w:szCs w:val="24"/>
        </w:rPr>
        <w:tab/>
      </w:r>
      <w:r w:rsidRPr="007230CC">
        <w:rPr>
          <w:rFonts w:ascii="Times New Roman" w:hAnsi="Times New Roman" w:cs="Times New Roman"/>
          <w:b/>
          <w:i/>
          <w:sz w:val="24"/>
          <w:szCs w:val="24"/>
          <w:u w:val="single"/>
        </w:rPr>
        <w:t>Finanšu ministrijas viedoklis par DRN izmaiņām</w:t>
      </w:r>
    </w:p>
    <w:p w:rsidR="00017D0C" w:rsidRPr="00271547" w:rsidRDefault="00017D0C" w:rsidP="00017D0C">
      <w:pPr>
        <w:spacing w:before="120" w:after="120" w:line="240" w:lineRule="auto"/>
        <w:ind w:firstLine="720"/>
        <w:jc w:val="both"/>
        <w:rPr>
          <w:rFonts w:ascii="Times New Roman" w:hAnsi="Times New Roman"/>
          <w:sz w:val="24"/>
          <w:szCs w:val="24"/>
        </w:rPr>
      </w:pPr>
      <w:r>
        <w:rPr>
          <w:rFonts w:ascii="Times New Roman" w:hAnsi="Times New Roman"/>
          <w:sz w:val="24"/>
          <w:szCs w:val="24"/>
        </w:rPr>
        <w:t>L</w:t>
      </w:r>
      <w:r w:rsidRPr="00271547">
        <w:rPr>
          <w:rFonts w:ascii="Times New Roman" w:hAnsi="Times New Roman"/>
          <w:sz w:val="24"/>
          <w:szCs w:val="24"/>
        </w:rPr>
        <w:t xml:space="preserve">īdz šim VARAM aprēķināto fiskālo ietekmju izpilde bijusi dažāda. Piemēram, no 2019.gada aprīlī pieņemtajiem grozījumiem, kas paredzēja ietekmi 2019.g. +1,0 milj. </w:t>
      </w:r>
      <w:proofErr w:type="spellStart"/>
      <w:r w:rsidRPr="00271547">
        <w:rPr>
          <w:rFonts w:ascii="Times New Roman" w:hAnsi="Times New Roman"/>
          <w:i/>
          <w:sz w:val="24"/>
          <w:szCs w:val="24"/>
        </w:rPr>
        <w:t>euro</w:t>
      </w:r>
      <w:proofErr w:type="spellEnd"/>
      <w:r w:rsidRPr="00271547">
        <w:rPr>
          <w:rFonts w:ascii="Times New Roman" w:hAnsi="Times New Roman"/>
          <w:sz w:val="24"/>
          <w:szCs w:val="24"/>
        </w:rPr>
        <w:t xml:space="preserve">,  izpilde bija vien ~ +0,2 milj. </w:t>
      </w:r>
      <w:proofErr w:type="spellStart"/>
      <w:r w:rsidRPr="004526F2">
        <w:rPr>
          <w:rFonts w:ascii="Times New Roman" w:hAnsi="Times New Roman"/>
          <w:i/>
          <w:sz w:val="24"/>
          <w:szCs w:val="24"/>
        </w:rPr>
        <w:t>euro</w:t>
      </w:r>
      <w:proofErr w:type="spellEnd"/>
      <w:r w:rsidRPr="00271547">
        <w:rPr>
          <w:rFonts w:ascii="Times New Roman" w:hAnsi="Times New Roman"/>
          <w:sz w:val="24"/>
          <w:szCs w:val="24"/>
        </w:rPr>
        <w:t xml:space="preserve"> (ieņēmumu pieaugums pret </w:t>
      </w:r>
      <w:proofErr w:type="spellStart"/>
      <w:r w:rsidRPr="00271547">
        <w:rPr>
          <w:rFonts w:ascii="Times New Roman" w:hAnsi="Times New Roman"/>
          <w:sz w:val="24"/>
          <w:szCs w:val="24"/>
        </w:rPr>
        <w:t>iepr.g</w:t>
      </w:r>
      <w:proofErr w:type="spellEnd"/>
      <w:r w:rsidRPr="00271547">
        <w:rPr>
          <w:rFonts w:ascii="Times New Roman" w:hAnsi="Times New Roman"/>
          <w:sz w:val="24"/>
          <w:szCs w:val="24"/>
        </w:rPr>
        <w:t xml:space="preserve">.). 2019.gada nogalē pieņemto grozījumu ietekme 2020.g tika vērtēta +2,2 milj. </w:t>
      </w:r>
      <w:proofErr w:type="spellStart"/>
      <w:r w:rsidRPr="00271547">
        <w:rPr>
          <w:rFonts w:ascii="Times New Roman" w:hAnsi="Times New Roman"/>
          <w:i/>
          <w:sz w:val="24"/>
          <w:szCs w:val="24"/>
        </w:rPr>
        <w:t>euro</w:t>
      </w:r>
      <w:proofErr w:type="spellEnd"/>
      <w:r w:rsidRPr="00271547">
        <w:rPr>
          <w:rFonts w:ascii="Times New Roman" w:hAnsi="Times New Roman"/>
          <w:sz w:val="24"/>
          <w:szCs w:val="24"/>
        </w:rPr>
        <w:t xml:space="preserve"> apmērā. Divos ceturkšņos ietekmei par dabas resursu ieguvi un vides piesārņošanu vajadzētu būt ~+1,1 milj. </w:t>
      </w:r>
      <w:proofErr w:type="spellStart"/>
      <w:r w:rsidRPr="00271547">
        <w:rPr>
          <w:rFonts w:ascii="Times New Roman" w:hAnsi="Times New Roman"/>
          <w:i/>
          <w:sz w:val="24"/>
          <w:szCs w:val="24"/>
        </w:rPr>
        <w:t>euro</w:t>
      </w:r>
      <w:proofErr w:type="spellEnd"/>
      <w:r w:rsidRPr="00271547">
        <w:rPr>
          <w:rFonts w:ascii="Times New Roman" w:hAnsi="Times New Roman"/>
          <w:sz w:val="24"/>
          <w:szCs w:val="24"/>
        </w:rPr>
        <w:t xml:space="preserve">. Ieņēmumu pieaugums attiecīgajā DRN objektu grupā bija +1,1 milj. </w:t>
      </w:r>
      <w:proofErr w:type="spellStart"/>
      <w:r w:rsidRPr="00530305">
        <w:rPr>
          <w:rFonts w:ascii="Times New Roman" w:hAnsi="Times New Roman"/>
          <w:i/>
          <w:sz w:val="24"/>
          <w:szCs w:val="24"/>
        </w:rPr>
        <w:t>euro</w:t>
      </w:r>
      <w:proofErr w:type="spellEnd"/>
      <w:r w:rsidRPr="00271547">
        <w:rPr>
          <w:rFonts w:ascii="Times New Roman" w:hAnsi="Times New Roman"/>
          <w:sz w:val="24"/>
          <w:szCs w:val="24"/>
        </w:rPr>
        <w:t xml:space="preserve">, līdz ar to secināms, ka šajā gadījumā ietekme līdz šim ir izpildījusies.  Savukārt par akmeņoglēm, koksu un </w:t>
      </w:r>
      <w:proofErr w:type="spellStart"/>
      <w:r w:rsidRPr="00271547">
        <w:rPr>
          <w:rFonts w:ascii="Times New Roman" w:hAnsi="Times New Roman"/>
          <w:sz w:val="24"/>
          <w:szCs w:val="24"/>
        </w:rPr>
        <w:t>lignītu</w:t>
      </w:r>
      <w:proofErr w:type="spellEnd"/>
      <w:r w:rsidRPr="00271547">
        <w:rPr>
          <w:rFonts w:ascii="Times New Roman" w:hAnsi="Times New Roman"/>
          <w:sz w:val="24"/>
          <w:szCs w:val="24"/>
        </w:rPr>
        <w:t xml:space="preserve">, kur fiskālā ietekme divos ceturkšņos būtu ~ +0,4 milj. </w:t>
      </w:r>
      <w:proofErr w:type="spellStart"/>
      <w:r w:rsidRPr="00530773">
        <w:rPr>
          <w:rFonts w:ascii="Times New Roman" w:hAnsi="Times New Roman"/>
          <w:i/>
          <w:sz w:val="24"/>
          <w:szCs w:val="24"/>
        </w:rPr>
        <w:t>euro</w:t>
      </w:r>
      <w:proofErr w:type="spellEnd"/>
      <w:r w:rsidRPr="00271547">
        <w:rPr>
          <w:rFonts w:ascii="Times New Roman" w:hAnsi="Times New Roman"/>
          <w:sz w:val="24"/>
          <w:szCs w:val="24"/>
        </w:rPr>
        <w:t xml:space="preserve">, ieņēmumi 2020.gada 7 mēnešos pret 2019.gada 7 mēnešiem ir pat samazinājušies (NACE 2.red. nozarē Nemetālisko minerālu izstrādājumu ražošana -0,2 milj. </w:t>
      </w:r>
      <w:proofErr w:type="spellStart"/>
      <w:r w:rsidRPr="00B77FC8">
        <w:rPr>
          <w:rFonts w:ascii="Times New Roman" w:hAnsi="Times New Roman"/>
          <w:i/>
          <w:sz w:val="24"/>
          <w:szCs w:val="24"/>
        </w:rPr>
        <w:t>euro</w:t>
      </w:r>
      <w:proofErr w:type="spellEnd"/>
      <w:r w:rsidRPr="00271547">
        <w:rPr>
          <w:rFonts w:ascii="Times New Roman" w:hAnsi="Times New Roman"/>
          <w:sz w:val="24"/>
          <w:szCs w:val="24"/>
        </w:rPr>
        <w:t>).</w:t>
      </w:r>
    </w:p>
    <w:p w:rsidR="00017D0C" w:rsidRPr="006D1985" w:rsidRDefault="00017D0C" w:rsidP="00017D0C">
      <w:pPr>
        <w:spacing w:before="120" w:after="120" w:line="240" w:lineRule="auto"/>
        <w:ind w:firstLine="720"/>
        <w:jc w:val="both"/>
        <w:rPr>
          <w:rFonts w:ascii="Times New Roman" w:hAnsi="Times New Roman" w:cs="Times New Roman"/>
          <w:sz w:val="24"/>
          <w:szCs w:val="24"/>
        </w:rPr>
      </w:pPr>
      <w:r w:rsidRPr="006D1985">
        <w:rPr>
          <w:rFonts w:ascii="Times New Roman" w:hAnsi="Times New Roman" w:cs="Times New Roman"/>
          <w:sz w:val="24"/>
          <w:szCs w:val="24"/>
        </w:rPr>
        <w:t>VARAM skaidro, ka Dabas resursu nodokļa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kā arī vērš uzmanību, ka, piemēram, palielinoties nodokļa likmei par atkritumu apglabāšanu, atkritumu apsaimniekošanas uzņēmumi būs ieinteresēti atkritumu poligonos nodot pēc iespējas mazāk atkritumu, līdz ar to plānotajiem grozījumiem Dabas resursu nodokļa likumā fiskālā ietekme praksē var būt zemāka.</w:t>
      </w:r>
    </w:p>
    <w:p w:rsidR="00017D0C" w:rsidRPr="006D1985" w:rsidRDefault="00017D0C" w:rsidP="00017D0C">
      <w:pPr>
        <w:spacing w:before="120" w:after="120" w:line="240" w:lineRule="auto"/>
        <w:ind w:firstLine="720"/>
        <w:jc w:val="both"/>
        <w:rPr>
          <w:rFonts w:ascii="Times New Roman" w:hAnsi="Times New Roman" w:cs="Times New Roman"/>
          <w:sz w:val="24"/>
          <w:szCs w:val="24"/>
        </w:rPr>
      </w:pPr>
      <w:r w:rsidRPr="006D1985">
        <w:rPr>
          <w:rFonts w:ascii="Times New Roman" w:hAnsi="Times New Roman" w:cs="Times New Roman"/>
          <w:sz w:val="24"/>
          <w:szCs w:val="24"/>
        </w:rPr>
        <w:t>Vienlaikus Finanšu ministrijas ieskatā, ja ieņēmumi tiek norādīti konkrētā apmērā un tiem pretī tiek plānoti izdevumu pasākumi, ir jānodrošina to attiecīgā izpilde.</w:t>
      </w:r>
    </w:p>
    <w:p w:rsidR="00017D0C" w:rsidRDefault="00017D0C" w:rsidP="00017D0C">
      <w:pPr>
        <w:spacing w:before="120" w:after="120" w:line="240" w:lineRule="auto"/>
        <w:ind w:firstLine="720"/>
        <w:jc w:val="both"/>
        <w:rPr>
          <w:rFonts w:ascii="Times New Roman" w:hAnsi="Times New Roman" w:cs="Times New Roman"/>
          <w:sz w:val="24"/>
          <w:szCs w:val="24"/>
          <w:u w:val="single"/>
        </w:rPr>
      </w:pPr>
    </w:p>
    <w:p w:rsidR="00F21C8D" w:rsidRDefault="00F21C8D" w:rsidP="00017D0C">
      <w:pPr>
        <w:spacing w:before="120" w:after="120" w:line="240" w:lineRule="auto"/>
        <w:ind w:firstLine="720"/>
        <w:jc w:val="both"/>
        <w:rPr>
          <w:rFonts w:ascii="Times New Roman" w:hAnsi="Times New Roman" w:cs="Times New Roman"/>
          <w:sz w:val="24"/>
          <w:szCs w:val="24"/>
          <w:u w:val="single"/>
        </w:rPr>
      </w:pPr>
    </w:p>
    <w:p w:rsidR="00F21C8D" w:rsidRPr="003E3940" w:rsidRDefault="00F21C8D" w:rsidP="00017D0C">
      <w:pPr>
        <w:spacing w:before="120" w:after="120" w:line="240" w:lineRule="auto"/>
        <w:ind w:firstLine="720"/>
        <w:jc w:val="both"/>
        <w:rPr>
          <w:rFonts w:ascii="Times New Roman" w:hAnsi="Times New Roman" w:cs="Times New Roman"/>
          <w:sz w:val="24"/>
          <w:szCs w:val="24"/>
          <w:u w:val="single"/>
        </w:rPr>
      </w:pPr>
    </w:p>
    <w:p w:rsidR="00017D0C" w:rsidRPr="007230CC" w:rsidRDefault="00017D0C" w:rsidP="00017D0C">
      <w:pPr>
        <w:spacing w:before="120" w:after="120" w:line="240" w:lineRule="auto"/>
        <w:ind w:firstLine="720"/>
        <w:jc w:val="both"/>
        <w:rPr>
          <w:rFonts w:ascii="Times New Roman" w:hAnsi="Times New Roman" w:cs="Times New Roman"/>
          <w:b/>
          <w:i/>
          <w:sz w:val="24"/>
          <w:szCs w:val="24"/>
          <w:u w:val="single"/>
        </w:rPr>
      </w:pPr>
      <w:r w:rsidRPr="007230CC">
        <w:rPr>
          <w:rFonts w:ascii="Times New Roman" w:hAnsi="Times New Roman" w:cs="Times New Roman"/>
          <w:b/>
          <w:i/>
          <w:sz w:val="24"/>
          <w:szCs w:val="24"/>
          <w:u w:val="single"/>
        </w:rPr>
        <w:t>Izdevumu pasākumi</w:t>
      </w:r>
    </w:p>
    <w:p w:rsidR="00017D0C" w:rsidRDefault="00017D0C" w:rsidP="00017D0C">
      <w:pPr>
        <w:spacing w:before="120" w:after="120" w:line="240" w:lineRule="auto"/>
        <w:ind w:firstLine="720"/>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 xml:space="preserve">VARAM ir iesniegusi priekšlikumus </w:t>
      </w:r>
      <w:r>
        <w:rPr>
          <w:rFonts w:ascii="Times New Roman" w:eastAsia="Calibri" w:hAnsi="Times New Roman" w:cs="Times New Roman"/>
          <w:sz w:val="24"/>
          <w:szCs w:val="24"/>
        </w:rPr>
        <w:t xml:space="preserve">izdevumu pasākumiem – </w:t>
      </w:r>
      <w:r w:rsidRPr="00215468">
        <w:rPr>
          <w:rFonts w:ascii="Times New Roman" w:eastAsia="Calibri" w:hAnsi="Times New Roman" w:cs="Times New Roman"/>
          <w:sz w:val="24"/>
          <w:szCs w:val="24"/>
        </w:rPr>
        <w:t xml:space="preserve">kādiem mērķiem </w:t>
      </w:r>
      <w:r>
        <w:rPr>
          <w:rFonts w:ascii="Times New Roman" w:eastAsia="Calibri" w:hAnsi="Times New Roman" w:cs="Times New Roman"/>
          <w:sz w:val="24"/>
          <w:szCs w:val="24"/>
        </w:rPr>
        <w:t xml:space="preserve">būtu novirzāmi no DRN izmaiņām </w:t>
      </w:r>
      <w:r w:rsidRPr="00215468">
        <w:rPr>
          <w:rFonts w:ascii="Times New Roman" w:eastAsia="Calibri" w:hAnsi="Times New Roman" w:cs="Times New Roman"/>
          <w:sz w:val="24"/>
          <w:szCs w:val="24"/>
        </w:rPr>
        <w:t>iegū</w:t>
      </w:r>
      <w:r>
        <w:rPr>
          <w:rFonts w:ascii="Times New Roman" w:eastAsia="Calibri" w:hAnsi="Times New Roman" w:cs="Times New Roman"/>
          <w:sz w:val="24"/>
          <w:szCs w:val="24"/>
        </w:rPr>
        <w:t>stamie papildu resursi</w:t>
      </w:r>
      <w:r w:rsidRPr="008B7B2D">
        <w:rPr>
          <w:rFonts w:ascii="Times New Roman" w:eastAsia="Calibri" w:hAnsi="Times New Roman" w:cs="Times New Roman"/>
          <w:sz w:val="24"/>
          <w:szCs w:val="24"/>
        </w:rPr>
        <w:t xml:space="preserve"> </w:t>
      </w:r>
      <w:r w:rsidRPr="00215468">
        <w:rPr>
          <w:rFonts w:ascii="Times New Roman" w:eastAsia="Calibri" w:hAnsi="Times New Roman" w:cs="Times New Roman"/>
          <w:sz w:val="24"/>
          <w:szCs w:val="24"/>
        </w:rPr>
        <w:t>valsts budžetā</w:t>
      </w:r>
      <w:r>
        <w:rPr>
          <w:rFonts w:ascii="Times New Roman" w:eastAsia="Calibri" w:hAnsi="Times New Roman" w:cs="Times New Roman"/>
          <w:sz w:val="24"/>
          <w:szCs w:val="24"/>
        </w:rPr>
        <w:t xml:space="preserve"> (VARAM un Sabiedrības integrācijas fonda (turpmāk – SIF) izdevumu pasākumiem):</w:t>
      </w:r>
    </w:p>
    <w:p w:rsidR="00017D0C"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nodrošināt Likteņdārza objekta</w:t>
      </w:r>
      <w:r w:rsidRPr="008B7B2D">
        <w:rPr>
          <w:rFonts w:ascii="Times New Roman" w:hAnsi="Times New Roman"/>
          <w:sz w:val="24"/>
          <w:szCs w:val="24"/>
          <w:lang w:eastAsia="lv-LV"/>
        </w:rPr>
        <w:t xml:space="preserve"> </w:t>
      </w:r>
      <w:r>
        <w:rPr>
          <w:rFonts w:ascii="Times New Roman" w:hAnsi="Times New Roman"/>
          <w:sz w:val="24"/>
          <w:szCs w:val="24"/>
          <w:lang w:eastAsia="lv-LV"/>
        </w:rPr>
        <w:t>Saieta nama būvniecības pabeigšanu un funkcionalitātes nodrošināšanu, ievērojot, ka Saieta nams visa gada garumā ir</w:t>
      </w:r>
      <w:r w:rsidRPr="008B7B2D">
        <w:rPr>
          <w:rFonts w:ascii="Times New Roman" w:hAnsi="Times New Roman"/>
          <w:sz w:val="24"/>
          <w:szCs w:val="24"/>
          <w:lang w:eastAsia="lv-LV"/>
        </w:rPr>
        <w:t xml:space="preserve"> piemiņas, izglītības un kultūras pasākumu vieta Sēlijas, Vidzemes un Zemgales novadu iedzīvotājiem un viesiem, kā arī nozīmīgs reģiona iedzīvotāju saskarsmes un saziņas centrs, Likteņdārza sabiedriskais centrs un vieta, kur var rīkot dažādus kultūras un izglītojošus pasākumus</w:t>
      </w:r>
      <w:r>
        <w:rPr>
          <w:rFonts w:ascii="Times New Roman" w:hAnsi="Times New Roman"/>
          <w:sz w:val="24"/>
          <w:szCs w:val="24"/>
          <w:lang w:eastAsia="lv-LV"/>
        </w:rPr>
        <w:t>;</w:t>
      </w:r>
    </w:p>
    <w:p w:rsidR="00017D0C"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nodrošināt</w:t>
      </w:r>
      <w:r w:rsidRPr="00EC4A2A">
        <w:rPr>
          <w:rFonts w:ascii="Times New Roman" w:hAnsi="Times New Roman"/>
          <w:sz w:val="24"/>
          <w:szCs w:val="24"/>
          <w:lang w:eastAsia="lv-LV"/>
        </w:rPr>
        <w:t xml:space="preserve"> sabiedrības drošību</w:t>
      </w:r>
      <w:r>
        <w:rPr>
          <w:rFonts w:ascii="Times New Roman" w:hAnsi="Times New Roman"/>
          <w:sz w:val="24"/>
          <w:szCs w:val="24"/>
          <w:lang w:eastAsia="lv-LV"/>
        </w:rPr>
        <w:t xml:space="preserve"> –</w:t>
      </w:r>
      <w:r w:rsidRPr="00EC4A2A">
        <w:rPr>
          <w:rFonts w:ascii="Times New Roman" w:hAnsi="Times New Roman"/>
          <w:sz w:val="24"/>
          <w:szCs w:val="24"/>
          <w:lang w:eastAsia="lv-LV"/>
        </w:rPr>
        <w:t xml:space="preserve"> </w:t>
      </w:r>
      <w:r>
        <w:rPr>
          <w:rFonts w:ascii="Times New Roman" w:hAnsi="Times New Roman"/>
          <w:sz w:val="24"/>
          <w:szCs w:val="24"/>
          <w:lang w:eastAsia="lv-LV"/>
        </w:rPr>
        <w:t xml:space="preserve">turpināt </w:t>
      </w:r>
      <w:r w:rsidRPr="00EC4A2A">
        <w:rPr>
          <w:rFonts w:ascii="Times New Roman" w:hAnsi="Times New Roman"/>
          <w:sz w:val="24"/>
          <w:szCs w:val="24"/>
          <w:lang w:eastAsia="lv-LV"/>
        </w:rPr>
        <w:t>Salaspils kodolreaktora uzturēšanas darbus</w:t>
      </w:r>
      <w:r>
        <w:rPr>
          <w:rFonts w:ascii="Times New Roman" w:hAnsi="Times New Roman"/>
          <w:sz w:val="24"/>
          <w:szCs w:val="24"/>
          <w:lang w:eastAsia="lv-LV"/>
        </w:rPr>
        <w:t>;</w:t>
      </w:r>
    </w:p>
    <w:p w:rsidR="00017D0C"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s</w:t>
      </w:r>
      <w:r w:rsidRPr="008E22D6">
        <w:rPr>
          <w:rFonts w:ascii="Times New Roman" w:hAnsi="Times New Roman"/>
          <w:sz w:val="24"/>
          <w:szCs w:val="24"/>
          <w:lang w:eastAsia="lv-LV"/>
        </w:rPr>
        <w:t>tiprināt ministrijas resora kapacitāti un kompetences, lai</w:t>
      </w:r>
      <w:r>
        <w:rPr>
          <w:rFonts w:ascii="Times New Roman" w:hAnsi="Times New Roman"/>
          <w:sz w:val="24"/>
          <w:szCs w:val="24"/>
          <w:lang w:eastAsia="lv-LV"/>
        </w:rPr>
        <w:t>,</w:t>
      </w:r>
      <w:r w:rsidRPr="008E22D6">
        <w:rPr>
          <w:rFonts w:ascii="Times New Roman" w:hAnsi="Times New Roman"/>
          <w:sz w:val="24"/>
          <w:szCs w:val="24"/>
          <w:lang w:eastAsia="lv-LV"/>
        </w:rPr>
        <w:t xml:space="preserve"> īstenojot mūsdienīgas darba metodes, nodrošinātu efektīvu noteikto darbību mērķu sasniegšanai</w:t>
      </w:r>
      <w:r>
        <w:rPr>
          <w:rFonts w:ascii="Times New Roman" w:hAnsi="Times New Roman"/>
          <w:sz w:val="24"/>
          <w:szCs w:val="24"/>
          <w:lang w:eastAsia="lv-LV"/>
        </w:rPr>
        <w:t>;</w:t>
      </w:r>
    </w:p>
    <w:p w:rsidR="00017D0C" w:rsidRPr="00CF2269"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n</w:t>
      </w:r>
      <w:r w:rsidRPr="000A5222">
        <w:rPr>
          <w:rFonts w:ascii="Times New Roman" w:hAnsi="Times New Roman"/>
          <w:sz w:val="24"/>
          <w:szCs w:val="24"/>
          <w:lang w:eastAsia="lv-LV"/>
        </w:rPr>
        <w:t>odrošinātu kompensāciju par īpaši aizsargājamo nemedījamo sugu un migrējošo sugu dzīvnieku nodarītiem būtiskiem postījumiem un par saimnieciskās darbības ierobežojumiem aizsargājamās teritorijās un mikroliegumos izmaksāšanu aprēķinātajā apjomā</w:t>
      </w:r>
      <w:r w:rsidRPr="00CF2269">
        <w:rPr>
          <w:rFonts w:ascii="Times New Roman" w:hAnsi="Times New Roman"/>
          <w:sz w:val="24"/>
          <w:szCs w:val="24"/>
          <w:lang w:eastAsia="lv-LV"/>
        </w:rPr>
        <w:t>;</w:t>
      </w:r>
    </w:p>
    <w:p w:rsidR="00017D0C" w:rsidRPr="00CF2269"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p</w:t>
      </w:r>
      <w:r w:rsidRPr="00CF2269">
        <w:rPr>
          <w:rFonts w:ascii="Times New Roman" w:hAnsi="Times New Roman"/>
          <w:sz w:val="24"/>
          <w:szCs w:val="24"/>
          <w:lang w:eastAsia="lv-LV"/>
        </w:rPr>
        <w:t xml:space="preserve">aaugstināt sabiedrības izpratni un īstenot pasākumus pārejai uz aprites ekonomiku, tai skaitā Plāna "Rīcības plāns pārejai uz aprites ekonomiku 2020.–2027.gadam" </w:t>
      </w:r>
      <w:r w:rsidRPr="000A5222">
        <w:rPr>
          <w:rFonts w:ascii="Times New Roman" w:hAnsi="Times New Roman"/>
          <w:sz w:val="24"/>
          <w:szCs w:val="24"/>
          <w:lang w:eastAsia="lv-LV"/>
        </w:rPr>
        <w:t xml:space="preserve">(apstiprināts </w:t>
      </w:r>
      <w:r>
        <w:rPr>
          <w:rFonts w:ascii="Times New Roman" w:hAnsi="Times New Roman"/>
          <w:sz w:val="24"/>
          <w:szCs w:val="24"/>
          <w:lang w:eastAsia="lv-LV"/>
        </w:rPr>
        <w:t>Ministru kabineta</w:t>
      </w:r>
      <w:r w:rsidRPr="000A5222">
        <w:rPr>
          <w:rFonts w:ascii="Times New Roman" w:hAnsi="Times New Roman"/>
          <w:sz w:val="24"/>
          <w:szCs w:val="24"/>
          <w:lang w:eastAsia="lv-LV"/>
        </w:rPr>
        <w:t xml:space="preserve"> 2020.</w:t>
      </w:r>
      <w:r>
        <w:rPr>
          <w:rFonts w:ascii="Times New Roman" w:hAnsi="Times New Roman"/>
          <w:sz w:val="24"/>
          <w:szCs w:val="24"/>
          <w:lang w:eastAsia="lv-LV"/>
        </w:rPr>
        <w:t>gada 2.septembra sēdē</w:t>
      </w:r>
      <w:r w:rsidRPr="000A5222">
        <w:rPr>
          <w:rFonts w:ascii="Times New Roman" w:hAnsi="Times New Roman"/>
          <w:sz w:val="24"/>
          <w:szCs w:val="24"/>
          <w:lang w:eastAsia="lv-LV"/>
        </w:rPr>
        <w:t>) uzdevumu ieviešana</w:t>
      </w:r>
      <w:r w:rsidRPr="00CF2269">
        <w:rPr>
          <w:rFonts w:ascii="Times New Roman" w:hAnsi="Times New Roman"/>
          <w:sz w:val="24"/>
          <w:szCs w:val="24"/>
          <w:lang w:eastAsia="lv-LV"/>
        </w:rPr>
        <w:t>;</w:t>
      </w:r>
    </w:p>
    <w:p w:rsidR="00017D0C"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p</w:t>
      </w:r>
      <w:r w:rsidRPr="00E33FB7">
        <w:rPr>
          <w:rFonts w:ascii="Times New Roman" w:hAnsi="Times New Roman"/>
          <w:sz w:val="24"/>
          <w:szCs w:val="24"/>
          <w:lang w:eastAsia="lv-LV"/>
        </w:rPr>
        <w:t>ilnveidot e-pakalpojumu pieejamību un integrācijas procesu e-pārvaldību</w:t>
      </w:r>
      <w:r>
        <w:rPr>
          <w:rFonts w:ascii="Times New Roman" w:hAnsi="Times New Roman"/>
          <w:sz w:val="24"/>
          <w:szCs w:val="24"/>
          <w:lang w:eastAsia="lv-LV"/>
        </w:rPr>
        <w:t>;</w:t>
      </w:r>
    </w:p>
    <w:p w:rsidR="00017D0C" w:rsidRDefault="00017D0C" w:rsidP="006D48C2">
      <w:pPr>
        <w:pStyle w:val="ListParagraph"/>
        <w:numPr>
          <w:ilvl w:val="0"/>
          <w:numId w:val="3"/>
        </w:numPr>
        <w:spacing w:before="120" w:after="120" w:line="240" w:lineRule="auto"/>
        <w:contextualSpacing w:val="0"/>
        <w:jc w:val="both"/>
        <w:rPr>
          <w:rFonts w:ascii="Times New Roman" w:hAnsi="Times New Roman"/>
          <w:sz w:val="24"/>
          <w:szCs w:val="24"/>
          <w:lang w:eastAsia="lv-LV"/>
        </w:rPr>
      </w:pPr>
      <w:r>
        <w:rPr>
          <w:rFonts w:ascii="Times New Roman" w:hAnsi="Times New Roman"/>
          <w:sz w:val="24"/>
          <w:szCs w:val="24"/>
          <w:lang w:eastAsia="lv-LV"/>
        </w:rPr>
        <w:t>p</w:t>
      </w:r>
      <w:r w:rsidRPr="000F5964">
        <w:rPr>
          <w:rFonts w:ascii="Times New Roman" w:hAnsi="Times New Roman"/>
          <w:sz w:val="24"/>
          <w:szCs w:val="24"/>
          <w:lang w:eastAsia="lv-LV"/>
        </w:rPr>
        <w:t xml:space="preserve">aaugstināt pilsonisko </w:t>
      </w:r>
      <w:proofErr w:type="spellStart"/>
      <w:r w:rsidRPr="000F5964">
        <w:rPr>
          <w:rFonts w:ascii="Times New Roman" w:hAnsi="Times New Roman"/>
          <w:sz w:val="24"/>
          <w:szCs w:val="24"/>
          <w:lang w:eastAsia="lv-LV"/>
        </w:rPr>
        <w:t>līdziesaisti</w:t>
      </w:r>
      <w:proofErr w:type="spellEnd"/>
      <w:r w:rsidRPr="000F5964">
        <w:rPr>
          <w:rFonts w:ascii="Times New Roman" w:hAnsi="Times New Roman"/>
          <w:sz w:val="24"/>
          <w:szCs w:val="24"/>
          <w:lang w:eastAsia="lv-LV"/>
        </w:rPr>
        <w:t>, iedzīvotāju savstarpējo uzticēšanos un sadarbību starp dažādām sabiedrības grupām, uzticēšanos valstij un ticību spējai ietekmēt lēmumus, veicināt un paaugstināt iedzīvotāju piederības sajūtu Latvijai.</w:t>
      </w:r>
    </w:p>
    <w:p w:rsidR="00017D0C" w:rsidRDefault="00017D0C" w:rsidP="00017D0C">
      <w:pPr>
        <w:spacing w:before="120" w:after="120" w:line="240" w:lineRule="auto"/>
        <w:jc w:val="both"/>
        <w:rPr>
          <w:rFonts w:ascii="Times New Roman" w:hAnsi="Times New Roman"/>
          <w:sz w:val="24"/>
          <w:szCs w:val="24"/>
          <w:lang w:eastAsia="lv-LV"/>
        </w:rPr>
      </w:pPr>
    </w:p>
    <w:p w:rsidR="00017D0C" w:rsidRDefault="00017D0C" w:rsidP="00017D0C">
      <w:pPr>
        <w:spacing w:before="120" w:after="120" w:line="240" w:lineRule="auto"/>
        <w:jc w:val="center"/>
        <w:rPr>
          <w:rFonts w:ascii="Times New Roman" w:hAnsi="Times New Roman"/>
          <w:i/>
          <w:sz w:val="24"/>
          <w:szCs w:val="24"/>
          <w:lang w:eastAsia="lv-LV"/>
        </w:rPr>
      </w:pPr>
      <w:r w:rsidRPr="000946C9">
        <w:rPr>
          <w:rFonts w:ascii="Times New Roman" w:hAnsi="Times New Roman"/>
          <w:sz w:val="24"/>
          <w:szCs w:val="24"/>
          <w:lang w:eastAsia="lv-LV"/>
        </w:rPr>
        <w:t xml:space="preserve">Kopsavilkums par prioritārajiem pasākumiem, kuriem novirzāms DRN ieņēmumu pieaugums valsts budžetā, </w:t>
      </w:r>
      <w:proofErr w:type="spellStart"/>
      <w:r w:rsidRPr="000946C9">
        <w:rPr>
          <w:rFonts w:ascii="Times New Roman" w:hAnsi="Times New Roman"/>
          <w:i/>
          <w:sz w:val="24"/>
          <w:szCs w:val="24"/>
          <w:lang w:eastAsia="lv-LV"/>
        </w:rPr>
        <w:t>euro</w:t>
      </w:r>
      <w:proofErr w:type="spellEnd"/>
    </w:p>
    <w:tbl>
      <w:tblPr>
        <w:tblW w:w="9172" w:type="dxa"/>
        <w:jc w:val="center"/>
        <w:tblLook w:val="04A0" w:firstRow="1" w:lastRow="0" w:firstColumn="1" w:lastColumn="0" w:noHBand="0" w:noVBand="1"/>
      </w:tblPr>
      <w:tblGrid>
        <w:gridCol w:w="3119"/>
        <w:gridCol w:w="2688"/>
        <w:gridCol w:w="1134"/>
        <w:gridCol w:w="1134"/>
        <w:gridCol w:w="1097"/>
      </w:tblGrid>
      <w:tr w:rsidR="002B14A3" w:rsidRPr="00C527B0" w:rsidTr="004D0253">
        <w:trPr>
          <w:trHeight w:val="510"/>
          <w:tblHeader/>
          <w:jc w:val="center"/>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4A3" w:rsidRPr="00C527B0" w:rsidRDefault="002B14A3" w:rsidP="004D0253">
            <w:pPr>
              <w:spacing w:after="0" w:line="240" w:lineRule="auto"/>
              <w:jc w:val="center"/>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Pasākums</w:t>
            </w:r>
          </w:p>
        </w:tc>
        <w:tc>
          <w:tcPr>
            <w:tcW w:w="2688" w:type="dxa"/>
            <w:tcBorders>
              <w:top w:val="single" w:sz="4" w:space="0" w:color="auto"/>
              <w:left w:val="nil"/>
              <w:bottom w:val="single" w:sz="4" w:space="0" w:color="auto"/>
              <w:right w:val="single" w:sz="4" w:space="0" w:color="auto"/>
            </w:tcBorders>
            <w:shd w:val="clear" w:color="000000" w:fill="D9D9D9"/>
            <w:vAlign w:val="center"/>
            <w:hideMark/>
          </w:tcPr>
          <w:p w:rsidR="002B14A3" w:rsidRPr="00C527B0" w:rsidRDefault="002B14A3" w:rsidP="004D0253">
            <w:pPr>
              <w:spacing w:after="0" w:line="240" w:lineRule="auto"/>
              <w:jc w:val="center"/>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Budžeta programma (apakšprogramma)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B14A3" w:rsidRPr="00C527B0" w:rsidRDefault="002B14A3" w:rsidP="004D0253">
            <w:pPr>
              <w:spacing w:after="0" w:line="240" w:lineRule="auto"/>
              <w:jc w:val="center"/>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2021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B14A3" w:rsidRPr="00C527B0" w:rsidRDefault="002B14A3" w:rsidP="004D0253">
            <w:pPr>
              <w:spacing w:after="0" w:line="240" w:lineRule="auto"/>
              <w:jc w:val="center"/>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2022</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2B14A3" w:rsidRPr="00C527B0" w:rsidRDefault="002B14A3" w:rsidP="004D0253">
            <w:pPr>
              <w:spacing w:after="0" w:line="240" w:lineRule="auto"/>
              <w:jc w:val="center"/>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2023</w:t>
            </w:r>
          </w:p>
        </w:tc>
      </w:tr>
      <w:tr w:rsidR="002B14A3" w:rsidRPr="00C527B0" w:rsidTr="004D0253">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VARAM pasākumiem, tai skaitā:</w:t>
            </w:r>
          </w:p>
        </w:tc>
        <w:tc>
          <w:tcPr>
            <w:tcW w:w="2688"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1 728 052</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900 000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990 000</w:t>
            </w:r>
          </w:p>
        </w:tc>
      </w:tr>
      <w:tr w:rsidR="002B14A3" w:rsidRPr="00C527B0" w:rsidTr="004D0253">
        <w:trPr>
          <w:trHeight w:val="765"/>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Likteņdārza Saieta nama būvniecības pabeigšana un funkcionalitātes nodrošināšana</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30.00.00 “</w:t>
            </w:r>
            <w:r w:rsidRPr="00756BB8">
              <w:rPr>
                <w:rFonts w:ascii="Times New Roman" w:eastAsia="Times New Roman" w:hAnsi="Times New Roman" w:cs="Times New Roman"/>
                <w:color w:val="000000"/>
                <w:sz w:val="20"/>
                <w:szCs w:val="20"/>
                <w:lang w:eastAsia="lv-LV"/>
              </w:rPr>
              <w:t>Attīstības nacionālie atbalsta instrumenti</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1 578 052</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0</w:t>
            </w:r>
          </w:p>
        </w:tc>
      </w:tr>
      <w:tr w:rsidR="002B14A3" w:rsidRPr="00C527B0" w:rsidTr="004D0253">
        <w:trPr>
          <w:trHeight w:val="51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Salaspils kodolreaktora uzturēšana</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sidRPr="00756BB8">
              <w:rPr>
                <w:rFonts w:ascii="Times New Roman" w:eastAsia="Times New Roman" w:hAnsi="Times New Roman" w:cs="Times New Roman"/>
                <w:color w:val="000000"/>
                <w:sz w:val="20"/>
                <w:szCs w:val="20"/>
                <w:lang w:eastAsia="lv-LV"/>
              </w:rPr>
              <w:t xml:space="preserve">28.00.00 </w:t>
            </w:r>
            <w:r>
              <w:rPr>
                <w:rFonts w:ascii="Times New Roman" w:eastAsia="Times New Roman" w:hAnsi="Times New Roman" w:cs="Times New Roman"/>
                <w:color w:val="000000"/>
                <w:sz w:val="20"/>
                <w:szCs w:val="20"/>
                <w:lang w:eastAsia="lv-LV"/>
              </w:rPr>
              <w:t>“</w:t>
            </w:r>
            <w:r w:rsidRPr="00756BB8">
              <w:rPr>
                <w:rFonts w:ascii="Times New Roman" w:eastAsia="Times New Roman" w:hAnsi="Times New Roman" w:cs="Times New Roman"/>
                <w:color w:val="000000"/>
                <w:sz w:val="20"/>
                <w:szCs w:val="20"/>
                <w:lang w:eastAsia="lv-LV"/>
              </w:rPr>
              <w:t>Meteoroloģija un bīstamo atkritumu pārvaldība</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150 000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150 000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150 000</w:t>
            </w:r>
          </w:p>
        </w:tc>
      </w:tr>
      <w:tr w:rsidR="002B14A3" w:rsidRPr="00C527B0" w:rsidTr="004D0253">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Integrēta pieeja resursu pārvaldībai. II posms</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300 000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300 000</w:t>
            </w:r>
          </w:p>
        </w:tc>
      </w:tr>
      <w:tr w:rsidR="002B14A3" w:rsidRPr="00C527B0" w:rsidTr="004D0253">
        <w:trPr>
          <w:trHeight w:val="51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 </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sidRPr="00756BB8">
              <w:rPr>
                <w:rFonts w:ascii="Times New Roman" w:eastAsia="Times New Roman" w:hAnsi="Times New Roman" w:cs="Times New Roman"/>
                <w:color w:val="000000"/>
                <w:sz w:val="20"/>
                <w:szCs w:val="20"/>
                <w:lang w:eastAsia="lv-LV"/>
              </w:rPr>
              <w:t xml:space="preserve">32.00.00 </w:t>
            </w:r>
            <w:r>
              <w:rPr>
                <w:rFonts w:ascii="Times New Roman" w:eastAsia="Times New Roman" w:hAnsi="Times New Roman" w:cs="Times New Roman"/>
                <w:color w:val="000000"/>
                <w:sz w:val="20"/>
                <w:szCs w:val="20"/>
                <w:lang w:eastAsia="lv-LV"/>
              </w:rPr>
              <w:t>“</w:t>
            </w:r>
            <w:r w:rsidRPr="00756BB8">
              <w:rPr>
                <w:rFonts w:ascii="Times New Roman" w:eastAsia="Times New Roman" w:hAnsi="Times New Roman" w:cs="Times New Roman"/>
                <w:color w:val="000000"/>
                <w:sz w:val="20"/>
                <w:szCs w:val="20"/>
                <w:lang w:eastAsia="lv-LV"/>
              </w:rPr>
              <w:t>Valsts reģionālās attīstības politikas īstenošana</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233 616</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233 616</w:t>
            </w:r>
          </w:p>
        </w:tc>
      </w:tr>
      <w:tr w:rsidR="002B14A3" w:rsidRPr="00C527B0" w:rsidTr="004D0253">
        <w:trPr>
          <w:trHeight w:val="51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 </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97.00.00 “</w:t>
            </w:r>
            <w:r w:rsidRPr="00756BB8">
              <w:rPr>
                <w:rFonts w:ascii="Times New Roman" w:eastAsia="Times New Roman" w:hAnsi="Times New Roman" w:cs="Times New Roman"/>
                <w:color w:val="000000"/>
                <w:sz w:val="20"/>
                <w:szCs w:val="20"/>
                <w:lang w:eastAsia="lv-LV"/>
              </w:rPr>
              <w:t>Nozaru vadība un politikas plānošana</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66 384</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66 384</w:t>
            </w:r>
          </w:p>
        </w:tc>
      </w:tr>
      <w:tr w:rsidR="002B14A3" w:rsidRPr="00C527B0" w:rsidTr="004D0253">
        <w:trPr>
          <w:trHeight w:val="153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Kompensāciju par īpaši aizsargājamo sugu un migrējušo sugu dzīvnieku nodarītiem zaudējumiem un par saimnieciskās darbības ierobežojumiem īpaši aizsargājamās dabas teritorijās un mikroliegumos izmaksas nodrošināšana</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24.08.00 “</w:t>
            </w:r>
            <w:r w:rsidRPr="00756BB8">
              <w:rPr>
                <w:rFonts w:ascii="Times New Roman" w:eastAsia="Times New Roman" w:hAnsi="Times New Roman" w:cs="Times New Roman"/>
                <w:color w:val="000000"/>
                <w:sz w:val="20"/>
                <w:szCs w:val="20"/>
                <w:lang w:eastAsia="lv-LV"/>
              </w:rPr>
              <w:t>Nacionālo parku darbības nodrošināšana</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300 000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300 000</w:t>
            </w:r>
          </w:p>
        </w:tc>
      </w:tr>
      <w:tr w:rsidR="002B14A3" w:rsidRPr="00C527B0" w:rsidTr="004D0253">
        <w:trPr>
          <w:trHeight w:val="51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Pārejai uz aprites ekonomiku 2020.-2027.gadam pasākumu īstenošana. I</w:t>
            </w:r>
            <w:r>
              <w:rPr>
                <w:rFonts w:ascii="Times New Roman" w:eastAsia="Times New Roman" w:hAnsi="Times New Roman" w:cs="Times New Roman"/>
                <w:color w:val="000000"/>
                <w:sz w:val="20"/>
                <w:szCs w:val="20"/>
                <w:lang w:eastAsia="lv-LV"/>
              </w:rPr>
              <w:t> </w:t>
            </w:r>
            <w:r w:rsidRPr="00C527B0">
              <w:rPr>
                <w:rFonts w:ascii="Times New Roman" w:eastAsia="Times New Roman" w:hAnsi="Times New Roman" w:cs="Times New Roman"/>
                <w:color w:val="000000"/>
                <w:sz w:val="20"/>
                <w:szCs w:val="20"/>
                <w:lang w:eastAsia="lv-LV"/>
              </w:rPr>
              <w:t>posms</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21.13.00 “</w:t>
            </w:r>
            <w:r w:rsidRPr="00756BB8">
              <w:rPr>
                <w:rFonts w:ascii="Times New Roman" w:eastAsia="Times New Roman" w:hAnsi="Times New Roman" w:cs="Times New Roman"/>
                <w:color w:val="000000"/>
                <w:sz w:val="20"/>
                <w:szCs w:val="20"/>
                <w:lang w:eastAsia="lv-LV"/>
              </w:rPr>
              <w:t>Nozares vides projekti</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150 000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240 000</w:t>
            </w:r>
          </w:p>
        </w:tc>
      </w:tr>
      <w:tr w:rsidR="002B14A3" w:rsidRPr="00C527B0" w:rsidTr="004D0253">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SIF pasākumiem, tai skaitā:</w:t>
            </w:r>
          </w:p>
        </w:tc>
        <w:tc>
          <w:tcPr>
            <w:tcW w:w="2688"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70 000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300 000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310 000</w:t>
            </w:r>
          </w:p>
        </w:tc>
      </w:tr>
      <w:tr w:rsidR="002B14A3" w:rsidRPr="00C527B0" w:rsidTr="004D0253">
        <w:trPr>
          <w:trHeight w:val="51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Sabiedrības integrācijas e-pakalpojumu un e-pārvaldības at</w:t>
            </w:r>
            <w:r>
              <w:rPr>
                <w:rFonts w:ascii="Times New Roman" w:eastAsia="Times New Roman" w:hAnsi="Times New Roman" w:cs="Times New Roman"/>
                <w:color w:val="000000"/>
                <w:sz w:val="20"/>
                <w:szCs w:val="20"/>
                <w:lang w:eastAsia="lv-LV"/>
              </w:rPr>
              <w:t>t</w:t>
            </w:r>
            <w:r w:rsidRPr="00C527B0">
              <w:rPr>
                <w:rFonts w:ascii="Times New Roman" w:eastAsia="Times New Roman" w:hAnsi="Times New Roman" w:cs="Times New Roman"/>
                <w:color w:val="000000"/>
                <w:sz w:val="20"/>
                <w:szCs w:val="20"/>
                <w:lang w:eastAsia="lv-LV"/>
              </w:rPr>
              <w:t>īstība</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sidRPr="00756BB8">
              <w:rPr>
                <w:rFonts w:ascii="Times New Roman" w:eastAsia="Times New Roman" w:hAnsi="Times New Roman" w:cs="Times New Roman"/>
                <w:color w:val="000000"/>
                <w:sz w:val="20"/>
                <w:szCs w:val="20"/>
                <w:lang w:eastAsia="lv-LV"/>
              </w:rPr>
              <w:t xml:space="preserve">01.00.00 </w:t>
            </w:r>
            <w:r>
              <w:rPr>
                <w:rFonts w:ascii="Times New Roman" w:eastAsia="Times New Roman" w:hAnsi="Times New Roman" w:cs="Times New Roman"/>
                <w:color w:val="000000"/>
                <w:sz w:val="20"/>
                <w:szCs w:val="20"/>
                <w:lang w:eastAsia="lv-LV"/>
              </w:rPr>
              <w:t>“</w:t>
            </w:r>
            <w:r w:rsidRPr="00756BB8">
              <w:rPr>
                <w:rFonts w:ascii="Times New Roman" w:eastAsia="Times New Roman" w:hAnsi="Times New Roman" w:cs="Times New Roman"/>
                <w:color w:val="000000"/>
                <w:sz w:val="20"/>
                <w:szCs w:val="20"/>
                <w:lang w:eastAsia="lv-LV"/>
              </w:rPr>
              <w:t>Sabiedrības integrācijas fonda vadība</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70 000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110 000</w:t>
            </w:r>
          </w:p>
        </w:tc>
      </w:tr>
      <w:tr w:rsidR="002B14A3" w:rsidRPr="00C527B0" w:rsidTr="004D0253">
        <w:trPr>
          <w:trHeight w:val="765"/>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Nevalstisko organizāciju (NVO) fonds</w:t>
            </w:r>
          </w:p>
        </w:tc>
        <w:tc>
          <w:tcPr>
            <w:tcW w:w="2688" w:type="dxa"/>
            <w:tcBorders>
              <w:top w:val="nil"/>
              <w:left w:val="nil"/>
              <w:bottom w:val="single" w:sz="4" w:space="0" w:color="auto"/>
              <w:right w:val="single" w:sz="4" w:space="0" w:color="auto"/>
            </w:tcBorders>
            <w:shd w:val="clear" w:color="auto" w:fill="auto"/>
            <w:vAlign w:val="center"/>
            <w:hideMark/>
          </w:tcPr>
          <w:p w:rsidR="002B14A3" w:rsidRPr="00756BB8" w:rsidRDefault="002B14A3" w:rsidP="004D0253">
            <w:pPr>
              <w:spacing w:after="0" w:line="240" w:lineRule="auto"/>
              <w:rPr>
                <w:rFonts w:ascii="Times New Roman" w:eastAsia="Times New Roman" w:hAnsi="Times New Roman" w:cs="Times New Roman"/>
                <w:color w:val="000000"/>
                <w:sz w:val="20"/>
                <w:szCs w:val="20"/>
                <w:lang w:eastAsia="lv-LV"/>
              </w:rPr>
            </w:pPr>
            <w:r w:rsidRPr="00756BB8">
              <w:rPr>
                <w:rFonts w:ascii="Times New Roman" w:eastAsia="Times New Roman" w:hAnsi="Times New Roman" w:cs="Times New Roman"/>
                <w:color w:val="000000"/>
                <w:sz w:val="20"/>
                <w:szCs w:val="20"/>
                <w:lang w:eastAsia="lv-LV"/>
              </w:rPr>
              <w:t xml:space="preserve">02.00.00 </w:t>
            </w:r>
            <w:r>
              <w:rPr>
                <w:rFonts w:ascii="Times New Roman" w:eastAsia="Times New Roman" w:hAnsi="Times New Roman" w:cs="Times New Roman"/>
                <w:color w:val="000000"/>
                <w:sz w:val="20"/>
                <w:szCs w:val="20"/>
                <w:lang w:eastAsia="lv-LV"/>
              </w:rPr>
              <w:t>“</w:t>
            </w:r>
            <w:r w:rsidRPr="00756BB8">
              <w:rPr>
                <w:rFonts w:ascii="Times New Roman" w:eastAsia="Times New Roman" w:hAnsi="Times New Roman" w:cs="Times New Roman"/>
                <w:color w:val="000000"/>
                <w:sz w:val="20"/>
                <w:szCs w:val="20"/>
                <w:lang w:eastAsia="lv-LV"/>
              </w:rPr>
              <w:t>Latvijas NVO fonda un latviešu valodas apguves programmas</w:t>
            </w:r>
            <w:r>
              <w:rPr>
                <w:rFonts w:ascii="Times New Roman" w:eastAsia="Times New Roman" w:hAnsi="Times New Roman" w:cs="Times New Roman"/>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color w:val="000000"/>
                <w:sz w:val="20"/>
                <w:szCs w:val="20"/>
                <w:lang w:eastAsia="lv-LV"/>
              </w:rPr>
            </w:pPr>
            <w:r w:rsidRPr="00C527B0">
              <w:rPr>
                <w:rFonts w:ascii="Times New Roman" w:eastAsia="Times New Roman" w:hAnsi="Times New Roman" w:cs="Times New Roman"/>
                <w:color w:val="000000"/>
                <w:sz w:val="20"/>
                <w:szCs w:val="20"/>
                <w:lang w:eastAsia="lv-LV"/>
              </w:rPr>
              <w:t>200 000</w:t>
            </w:r>
          </w:p>
        </w:tc>
      </w:tr>
      <w:tr w:rsidR="002B14A3" w:rsidRPr="00C527B0" w:rsidTr="004D0253">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Kopā (VARAM un SIF)</w:t>
            </w:r>
          </w:p>
        </w:tc>
        <w:tc>
          <w:tcPr>
            <w:tcW w:w="2688"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1 798 052</w:t>
            </w:r>
          </w:p>
        </w:tc>
        <w:tc>
          <w:tcPr>
            <w:tcW w:w="1134"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1 200 000</w:t>
            </w:r>
          </w:p>
        </w:tc>
        <w:tc>
          <w:tcPr>
            <w:tcW w:w="1097" w:type="dxa"/>
            <w:tcBorders>
              <w:top w:val="nil"/>
              <w:left w:val="nil"/>
              <w:bottom w:val="single" w:sz="4" w:space="0" w:color="auto"/>
              <w:right w:val="single" w:sz="4" w:space="0" w:color="auto"/>
            </w:tcBorders>
            <w:shd w:val="clear" w:color="auto" w:fill="auto"/>
            <w:vAlign w:val="center"/>
            <w:hideMark/>
          </w:tcPr>
          <w:p w:rsidR="002B14A3" w:rsidRPr="00C527B0" w:rsidRDefault="002B14A3" w:rsidP="004D0253">
            <w:pPr>
              <w:spacing w:after="0" w:line="240" w:lineRule="auto"/>
              <w:jc w:val="right"/>
              <w:rPr>
                <w:rFonts w:ascii="Times New Roman" w:eastAsia="Times New Roman" w:hAnsi="Times New Roman" w:cs="Times New Roman"/>
                <w:b/>
                <w:bCs/>
                <w:color w:val="000000"/>
                <w:sz w:val="20"/>
                <w:szCs w:val="20"/>
                <w:lang w:eastAsia="lv-LV"/>
              </w:rPr>
            </w:pPr>
            <w:r w:rsidRPr="00C527B0">
              <w:rPr>
                <w:rFonts w:ascii="Times New Roman" w:eastAsia="Times New Roman" w:hAnsi="Times New Roman" w:cs="Times New Roman"/>
                <w:b/>
                <w:bCs/>
                <w:color w:val="000000"/>
                <w:sz w:val="20"/>
                <w:szCs w:val="20"/>
                <w:lang w:eastAsia="lv-LV"/>
              </w:rPr>
              <w:t>1 300 000</w:t>
            </w:r>
          </w:p>
        </w:tc>
      </w:tr>
      <w:tr w:rsidR="00B53496" w:rsidRPr="00C83F4E" w:rsidTr="00B53496">
        <w:trPr>
          <w:trHeight w:val="30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rPr>
                <w:rFonts w:ascii="Times New Roman" w:eastAsia="Times New Roman" w:hAnsi="Times New Roman" w:cs="Times New Roman"/>
                <w:color w:val="000000"/>
                <w:sz w:val="20"/>
                <w:szCs w:val="20"/>
                <w:lang w:eastAsia="lv-LV"/>
              </w:rPr>
            </w:pPr>
            <w:r w:rsidRPr="00C83F4E">
              <w:rPr>
                <w:rFonts w:ascii="Times New Roman" w:eastAsia="Times New Roman" w:hAnsi="Times New Roman" w:cs="Times New Roman"/>
                <w:color w:val="000000"/>
                <w:sz w:val="20"/>
                <w:szCs w:val="20"/>
                <w:lang w:eastAsia="lv-LV"/>
              </w:rPr>
              <w:t>DRN ieņēmumu pieaugums valsts budžetā</w:t>
            </w:r>
          </w:p>
        </w:tc>
        <w:tc>
          <w:tcPr>
            <w:tcW w:w="2688"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rPr>
                <w:rFonts w:ascii="Times New Roman" w:eastAsia="Times New Roman" w:hAnsi="Times New Roman" w:cs="Times New Roman"/>
                <w:color w:val="000000"/>
                <w:sz w:val="20"/>
                <w:szCs w:val="20"/>
                <w:lang w:eastAsia="lv-LV"/>
              </w:rPr>
            </w:pPr>
            <w:r w:rsidRPr="00C83F4E">
              <w:rPr>
                <w:rFonts w:ascii="Times New Roman" w:eastAsia="Times New Roman" w:hAnsi="Times New Roman" w:cs="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jc w:val="right"/>
              <w:rPr>
                <w:rFonts w:ascii="Times New Roman" w:eastAsia="Times New Roman" w:hAnsi="Times New Roman" w:cs="Times New Roman"/>
                <w:color w:val="000000"/>
                <w:sz w:val="20"/>
                <w:szCs w:val="20"/>
                <w:lang w:eastAsia="lv-LV"/>
              </w:rPr>
            </w:pPr>
            <w:r w:rsidRPr="00C83F4E">
              <w:rPr>
                <w:rFonts w:ascii="Times New Roman" w:eastAsia="Times New Roman" w:hAnsi="Times New Roman" w:cs="Times New Roman"/>
                <w:color w:val="000000"/>
                <w:sz w:val="20"/>
                <w:szCs w:val="20"/>
                <w:lang w:eastAsia="lv-LV"/>
              </w:rPr>
              <w:t>2 307 611</w:t>
            </w:r>
          </w:p>
        </w:tc>
        <w:tc>
          <w:tcPr>
            <w:tcW w:w="1134"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jc w:val="right"/>
              <w:rPr>
                <w:rFonts w:ascii="Times New Roman" w:eastAsia="Times New Roman" w:hAnsi="Times New Roman" w:cs="Times New Roman"/>
                <w:color w:val="000000"/>
                <w:sz w:val="20"/>
                <w:szCs w:val="20"/>
                <w:lang w:eastAsia="lv-LV"/>
              </w:rPr>
            </w:pPr>
            <w:r w:rsidRPr="00C83F4E">
              <w:rPr>
                <w:rFonts w:ascii="Times New Roman" w:hAnsi="Times New Roman" w:cs="Times New Roman"/>
                <w:sz w:val="20"/>
                <w:szCs w:val="20"/>
              </w:rPr>
              <w:t>3 425 244</w:t>
            </w:r>
          </w:p>
        </w:tc>
        <w:tc>
          <w:tcPr>
            <w:tcW w:w="1097"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jc w:val="right"/>
              <w:rPr>
                <w:rFonts w:ascii="Times New Roman" w:eastAsia="Times New Roman" w:hAnsi="Times New Roman" w:cs="Times New Roman"/>
                <w:color w:val="000000"/>
                <w:sz w:val="20"/>
                <w:szCs w:val="20"/>
                <w:lang w:eastAsia="lv-LV"/>
              </w:rPr>
            </w:pPr>
            <w:r w:rsidRPr="00C83F4E">
              <w:rPr>
                <w:rFonts w:ascii="Times New Roman" w:hAnsi="Times New Roman" w:cs="Times New Roman"/>
                <w:sz w:val="20"/>
                <w:szCs w:val="20"/>
              </w:rPr>
              <w:t>4 526 414</w:t>
            </w:r>
          </w:p>
        </w:tc>
      </w:tr>
      <w:tr w:rsidR="00B53496" w:rsidRPr="00C83F4E" w:rsidTr="00B53496">
        <w:trPr>
          <w:trHeight w:val="510"/>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rPr>
                <w:rFonts w:ascii="Times New Roman" w:eastAsia="Times New Roman" w:hAnsi="Times New Roman" w:cs="Times New Roman"/>
                <w:i/>
                <w:iCs/>
                <w:color w:val="000000"/>
                <w:sz w:val="20"/>
                <w:szCs w:val="20"/>
                <w:lang w:eastAsia="lv-LV"/>
              </w:rPr>
            </w:pPr>
            <w:r w:rsidRPr="00C83F4E">
              <w:rPr>
                <w:rFonts w:ascii="Times New Roman" w:eastAsia="Times New Roman" w:hAnsi="Times New Roman" w:cs="Times New Roman"/>
                <w:i/>
                <w:iCs/>
                <w:color w:val="000000"/>
                <w:sz w:val="20"/>
                <w:szCs w:val="20"/>
                <w:lang w:eastAsia="lv-LV"/>
              </w:rPr>
              <w:t>DRN ieņēmumu pieauguma daļa, kas novirzāma kopējai fiskālajai telpai</w:t>
            </w:r>
          </w:p>
        </w:tc>
        <w:tc>
          <w:tcPr>
            <w:tcW w:w="2688"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rPr>
                <w:rFonts w:ascii="Times New Roman" w:eastAsia="Times New Roman" w:hAnsi="Times New Roman" w:cs="Times New Roman"/>
                <w:i/>
                <w:iCs/>
                <w:color w:val="000000"/>
                <w:sz w:val="20"/>
                <w:szCs w:val="20"/>
                <w:lang w:eastAsia="lv-LV"/>
              </w:rPr>
            </w:pPr>
            <w:r w:rsidRPr="00C83F4E">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jc w:val="right"/>
              <w:rPr>
                <w:rFonts w:ascii="Times New Roman" w:eastAsia="Times New Roman" w:hAnsi="Times New Roman" w:cs="Times New Roman"/>
                <w:i/>
                <w:iCs/>
                <w:color w:val="000000"/>
                <w:sz w:val="20"/>
                <w:szCs w:val="20"/>
                <w:lang w:eastAsia="lv-LV"/>
              </w:rPr>
            </w:pPr>
            <w:r w:rsidRPr="00C83F4E">
              <w:rPr>
                <w:rFonts w:ascii="Times New Roman" w:eastAsia="Times New Roman" w:hAnsi="Times New Roman" w:cs="Times New Roman"/>
                <w:i/>
                <w:iCs/>
                <w:color w:val="000000"/>
                <w:sz w:val="20"/>
                <w:szCs w:val="20"/>
                <w:lang w:eastAsia="lv-LV"/>
              </w:rPr>
              <w:t>509 559</w:t>
            </w:r>
          </w:p>
        </w:tc>
        <w:tc>
          <w:tcPr>
            <w:tcW w:w="1134"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jc w:val="right"/>
              <w:rPr>
                <w:rFonts w:ascii="Times New Roman" w:eastAsia="Times New Roman" w:hAnsi="Times New Roman" w:cs="Times New Roman"/>
                <w:i/>
                <w:iCs/>
                <w:color w:val="000000"/>
                <w:sz w:val="20"/>
                <w:szCs w:val="20"/>
                <w:lang w:eastAsia="lv-LV"/>
              </w:rPr>
            </w:pPr>
            <w:r w:rsidRPr="00C83F4E">
              <w:rPr>
                <w:rFonts w:ascii="Times New Roman" w:hAnsi="Times New Roman" w:cs="Times New Roman"/>
                <w:sz w:val="20"/>
                <w:szCs w:val="20"/>
              </w:rPr>
              <w:t>2 225 244</w:t>
            </w:r>
          </w:p>
        </w:tc>
        <w:tc>
          <w:tcPr>
            <w:tcW w:w="1097" w:type="dxa"/>
            <w:tcBorders>
              <w:top w:val="nil"/>
              <w:left w:val="nil"/>
              <w:bottom w:val="single" w:sz="4" w:space="0" w:color="auto"/>
              <w:right w:val="single" w:sz="4" w:space="0" w:color="auto"/>
            </w:tcBorders>
            <w:shd w:val="clear" w:color="auto" w:fill="auto"/>
            <w:vAlign w:val="center"/>
            <w:hideMark/>
          </w:tcPr>
          <w:p w:rsidR="00B53496" w:rsidRPr="00C83F4E" w:rsidRDefault="00B53496" w:rsidP="00B53496">
            <w:pPr>
              <w:spacing w:after="0" w:line="240" w:lineRule="auto"/>
              <w:jc w:val="right"/>
              <w:rPr>
                <w:rFonts w:ascii="Times New Roman" w:eastAsia="Times New Roman" w:hAnsi="Times New Roman" w:cs="Times New Roman"/>
                <w:i/>
                <w:iCs/>
                <w:color w:val="000000"/>
                <w:sz w:val="20"/>
                <w:szCs w:val="20"/>
                <w:lang w:eastAsia="lv-LV"/>
              </w:rPr>
            </w:pPr>
            <w:r w:rsidRPr="00C83F4E">
              <w:rPr>
                <w:rFonts w:ascii="Times New Roman" w:hAnsi="Times New Roman" w:cs="Times New Roman"/>
                <w:sz w:val="20"/>
                <w:szCs w:val="20"/>
              </w:rPr>
              <w:t>3 226 414</w:t>
            </w:r>
          </w:p>
        </w:tc>
      </w:tr>
    </w:tbl>
    <w:p w:rsidR="00017D0C" w:rsidRPr="00C83F4E" w:rsidRDefault="00017D0C" w:rsidP="00017D0C">
      <w:pPr>
        <w:spacing w:before="120" w:after="120" w:line="240" w:lineRule="auto"/>
        <w:jc w:val="center"/>
        <w:rPr>
          <w:rFonts w:ascii="Times New Roman" w:hAnsi="Times New Roman"/>
          <w:sz w:val="24"/>
          <w:szCs w:val="24"/>
          <w:lang w:eastAsia="lv-LV"/>
        </w:rPr>
      </w:pPr>
    </w:p>
    <w:p w:rsidR="00F5447E" w:rsidRDefault="00017D0C" w:rsidP="00F5447E">
      <w:pPr>
        <w:spacing w:before="120" w:after="120" w:line="240" w:lineRule="auto"/>
        <w:ind w:firstLine="720"/>
        <w:jc w:val="both"/>
        <w:rPr>
          <w:rFonts w:ascii="Times New Roman" w:hAnsi="Times New Roman"/>
          <w:sz w:val="24"/>
          <w:szCs w:val="24"/>
          <w:lang w:eastAsia="lv-LV"/>
        </w:rPr>
      </w:pPr>
      <w:r w:rsidRPr="00C83F4E">
        <w:rPr>
          <w:rFonts w:ascii="Times New Roman" w:hAnsi="Times New Roman"/>
          <w:sz w:val="24"/>
          <w:szCs w:val="24"/>
          <w:lang w:eastAsia="lv-LV"/>
        </w:rPr>
        <w:t xml:space="preserve">Ņemot vērā minēto, VARAM iesniegtie priekšlikumi paredz DRN papildu ieņēmumus 2021.gadā novirzīt izdevumiem 1 798 052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2022.gadā – 1 200 000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un 2023.gadā un turpmāk ik gadu – 1 300 000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un attiecīgi DRN papildu ieņēmumu daļa 2021.gadā 509 559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2022.gadā </w:t>
      </w:r>
      <w:r w:rsidR="00725A6A" w:rsidRPr="00C83F4E">
        <w:rPr>
          <w:rFonts w:ascii="Times New Roman" w:hAnsi="Times New Roman"/>
          <w:sz w:val="24"/>
          <w:szCs w:val="24"/>
          <w:lang w:eastAsia="lv-LV"/>
        </w:rPr>
        <w:t>2 225 244</w:t>
      </w:r>
      <w:r w:rsidRPr="00C83F4E">
        <w:rPr>
          <w:rFonts w:ascii="Times New Roman" w:hAnsi="Times New Roman"/>
          <w:sz w:val="24"/>
          <w:szCs w:val="24"/>
          <w:lang w:eastAsia="lv-LV"/>
        </w:rPr>
        <w:t xml:space="preserve">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un 2023.gadā </w:t>
      </w:r>
      <w:r w:rsidR="00725A6A" w:rsidRPr="00C83F4E">
        <w:rPr>
          <w:rFonts w:ascii="Times New Roman" w:hAnsi="Times New Roman"/>
          <w:sz w:val="24"/>
          <w:szCs w:val="24"/>
          <w:lang w:eastAsia="lv-LV"/>
        </w:rPr>
        <w:t>3 226 414</w:t>
      </w:r>
      <w:r w:rsidRPr="00C83F4E">
        <w:rPr>
          <w:rFonts w:ascii="Times New Roman" w:hAnsi="Times New Roman"/>
          <w:sz w:val="24"/>
          <w:szCs w:val="24"/>
          <w:lang w:eastAsia="lv-LV"/>
        </w:rPr>
        <w:t xml:space="preserve"> </w:t>
      </w:r>
      <w:proofErr w:type="spellStart"/>
      <w:r w:rsidRPr="00C83F4E">
        <w:rPr>
          <w:rFonts w:ascii="Times New Roman" w:hAnsi="Times New Roman"/>
          <w:i/>
          <w:sz w:val="24"/>
          <w:szCs w:val="24"/>
          <w:lang w:eastAsia="lv-LV"/>
        </w:rPr>
        <w:t>euro</w:t>
      </w:r>
      <w:proofErr w:type="spellEnd"/>
      <w:r w:rsidRPr="00C83F4E">
        <w:rPr>
          <w:rFonts w:ascii="Times New Roman" w:hAnsi="Times New Roman"/>
          <w:sz w:val="24"/>
          <w:szCs w:val="24"/>
          <w:lang w:eastAsia="lv-LV"/>
        </w:rPr>
        <w:t xml:space="preserve"> apmērā ir novirzāma kopējai fiskālajai telpai.</w:t>
      </w:r>
    </w:p>
    <w:p w:rsidR="007D7246" w:rsidRDefault="007D7246" w:rsidP="00F5447E">
      <w:pPr>
        <w:spacing w:before="120" w:after="120" w:line="240" w:lineRule="auto"/>
        <w:ind w:firstLine="720"/>
        <w:jc w:val="both"/>
        <w:rPr>
          <w:rFonts w:ascii="Times New Roman" w:hAnsi="Times New Roman"/>
          <w:sz w:val="24"/>
          <w:szCs w:val="24"/>
          <w:lang w:eastAsia="lv-LV"/>
        </w:rPr>
      </w:pPr>
    </w:p>
    <w:p w:rsidR="00FA6F86" w:rsidRPr="00A23F3F" w:rsidRDefault="00FA6F86" w:rsidP="00FA6F86">
      <w:pPr>
        <w:pStyle w:val="ListParagraph"/>
        <w:numPr>
          <w:ilvl w:val="1"/>
          <w:numId w:val="20"/>
        </w:numPr>
        <w:spacing w:before="120" w:after="120" w:line="24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Zemkopības</w:t>
      </w:r>
      <w:r w:rsidRPr="00A23F3F">
        <w:rPr>
          <w:rFonts w:ascii="Times New Roman" w:hAnsi="Times New Roman" w:cs="Times New Roman"/>
          <w:b/>
          <w:sz w:val="24"/>
          <w:szCs w:val="24"/>
        </w:rPr>
        <w:t xml:space="preserve"> ministrijas priekšlikums</w:t>
      </w:r>
    </w:p>
    <w:p w:rsidR="00A06B18" w:rsidRPr="008311EB" w:rsidRDefault="00A06B18" w:rsidP="00A06B18">
      <w:pPr>
        <w:spacing w:before="120" w:after="120"/>
        <w:ind w:firstLine="720"/>
        <w:jc w:val="both"/>
        <w:rPr>
          <w:rFonts w:ascii="Times New Roman" w:hAnsi="Times New Roman" w:cs="Times New Roman"/>
          <w:sz w:val="24"/>
          <w:szCs w:val="24"/>
        </w:rPr>
      </w:pPr>
      <w:r w:rsidRPr="008311EB">
        <w:rPr>
          <w:rFonts w:ascii="Times New Roman" w:hAnsi="Times New Roman" w:cs="Times New Roman"/>
          <w:sz w:val="24"/>
          <w:szCs w:val="24"/>
        </w:rPr>
        <w:t xml:space="preserve">Zemkopības ministrijas ieskatā ļoti svarīgi būtu PVN piecu procentu likmi  saglabāt pēc 2020.gada 31.decembra PVN likumā noteiktiem augļiem, ogām un dārzeņiem. PVN samazinātās likmes 5% apmērā svaigiem augļiem, ogām un dārzeņiem ieviešana ir bijusi efektīva. Ieviešanas mērķi ir sasniegti, jo ēnu ekonomika nozarē ir samazinājusies par 20%, tādā veidā legālajā tirgū darbojošies komersanti ir kļuvuši konkurētspējīgāki, augļu, ogu un dārzeņu cenas samazinājās par 11,7% procentpunktiem, turklāt Latvijā tās visā apsekošanas periodā ir zemākās starp Baltijas valstīm. </w:t>
      </w:r>
    </w:p>
    <w:p w:rsidR="00A06B18" w:rsidRPr="008311EB" w:rsidRDefault="00A06B18" w:rsidP="00A06B18">
      <w:pPr>
        <w:spacing w:before="120" w:after="120"/>
        <w:ind w:firstLine="720"/>
        <w:jc w:val="both"/>
        <w:rPr>
          <w:rFonts w:ascii="Times New Roman" w:hAnsi="Times New Roman" w:cs="Times New Roman"/>
          <w:sz w:val="24"/>
          <w:szCs w:val="24"/>
        </w:rPr>
      </w:pPr>
      <w:r w:rsidRPr="008311EB">
        <w:rPr>
          <w:rFonts w:ascii="Times New Roman" w:hAnsi="Times New Roman" w:cs="Times New Roman"/>
          <w:sz w:val="24"/>
          <w:szCs w:val="24"/>
        </w:rPr>
        <w:t xml:space="preserve">Visi efektivitātes rādītāji ir izpildīti. Reģistrēto PVN maksātāju skaits augļkopības un dārzeņkopības nozarē ir pieaudzis par 9%, augļu, ogu un dārzeņu audzētāju apgrozījums ir pieaudzis par 9%, savukārt augļkopības un dārzeņkopības preču apgrozījums kopumā valstī palielinājies par 16%, produkcijas patēriņš 2018.gadā ir palielinājies par 10% un 2019.gadā par 9%, vidējais atalgojums nozarē pieaudzis 2018.gadā par 11% un 2019.gadā par 9%. </w:t>
      </w:r>
    </w:p>
    <w:p w:rsidR="00A06B18" w:rsidRPr="008311EB" w:rsidRDefault="00A06B18" w:rsidP="00A06B18">
      <w:pPr>
        <w:spacing w:before="120" w:after="120"/>
        <w:ind w:firstLine="720"/>
        <w:jc w:val="both"/>
        <w:rPr>
          <w:rFonts w:ascii="Times New Roman" w:hAnsi="Times New Roman" w:cs="Times New Roman"/>
          <w:sz w:val="24"/>
          <w:szCs w:val="24"/>
        </w:rPr>
      </w:pPr>
      <w:r w:rsidRPr="008311EB">
        <w:rPr>
          <w:rFonts w:ascii="Times New Roman" w:hAnsi="Times New Roman" w:cs="Times New Roman"/>
          <w:sz w:val="24"/>
          <w:szCs w:val="24"/>
        </w:rPr>
        <w:t>PVN samazinātās likmes ieviešana ir devusi pozitīvu efektu uz augļkopības un dārzeņkopības nozari kopumā. Augļkopības un dārzeņkopības platības ir pieaugušas par 8,5%, Latvijā saražotās produkcijas vērtība ir palielinājusies par 45%, ārējās tirdzniecības rādītāji ir uzlabojušies, vidējais darba ņēmēju skaits augļkopības un dārzeņkopības nozarē ir pieaudzis par gandrīz 6%.</w:t>
      </w:r>
    </w:p>
    <w:p w:rsidR="00A06B18" w:rsidRPr="008311EB" w:rsidRDefault="00A06B18" w:rsidP="00A06B18">
      <w:pPr>
        <w:spacing w:before="120" w:after="120"/>
        <w:ind w:firstLine="720"/>
        <w:jc w:val="both"/>
        <w:rPr>
          <w:rFonts w:ascii="Times New Roman" w:hAnsi="Times New Roman" w:cs="Times New Roman"/>
          <w:sz w:val="24"/>
          <w:szCs w:val="24"/>
        </w:rPr>
      </w:pPr>
      <w:r w:rsidRPr="008311EB">
        <w:rPr>
          <w:rFonts w:ascii="Times New Roman" w:hAnsi="Times New Roman" w:cs="Times New Roman"/>
          <w:sz w:val="24"/>
          <w:szCs w:val="24"/>
        </w:rPr>
        <w:t xml:space="preserve">Valsts ieņēmuma dienesta dati liecina, ka PVN ieņēmumi Augkopības un lopkopības medniecības un saistīto palīgdarbību nozarē (NACE 2.red. </w:t>
      </w:r>
      <w:proofErr w:type="spellStart"/>
      <w:r w:rsidRPr="008311EB">
        <w:rPr>
          <w:rFonts w:ascii="Times New Roman" w:hAnsi="Times New Roman" w:cs="Times New Roman"/>
          <w:sz w:val="24"/>
          <w:szCs w:val="24"/>
        </w:rPr>
        <w:t>apk</w:t>
      </w:r>
      <w:proofErr w:type="spellEnd"/>
      <w:r w:rsidRPr="008311EB">
        <w:rPr>
          <w:rFonts w:ascii="Times New Roman" w:hAnsi="Times New Roman" w:cs="Times New Roman"/>
          <w:sz w:val="24"/>
          <w:szCs w:val="24"/>
        </w:rPr>
        <w:t>.</w:t>
      </w:r>
      <w:r w:rsidRPr="00A06B18">
        <w:rPr>
          <w:rFonts w:ascii="Times New Roman" w:hAnsi="Times New Roman" w:cs="Times New Roman"/>
          <w:sz w:val="24"/>
          <w:szCs w:val="24"/>
        </w:rPr>
        <w:t xml:space="preserve"> kods 01) 2018.gadā pret 2017.</w:t>
      </w:r>
      <w:r w:rsidRPr="008311EB">
        <w:rPr>
          <w:rFonts w:ascii="Times New Roman" w:hAnsi="Times New Roman" w:cs="Times New Roman"/>
          <w:sz w:val="24"/>
          <w:szCs w:val="24"/>
        </w:rPr>
        <w:t xml:space="preserve">gadu ir samazinājušies par 3,4 milj. </w:t>
      </w:r>
      <w:proofErr w:type="spellStart"/>
      <w:r w:rsidRPr="008311EB">
        <w:rPr>
          <w:rFonts w:ascii="Times New Roman" w:hAnsi="Times New Roman" w:cs="Times New Roman"/>
          <w:i/>
          <w:sz w:val="24"/>
          <w:szCs w:val="24"/>
        </w:rPr>
        <w:t>euro</w:t>
      </w:r>
      <w:proofErr w:type="spellEnd"/>
      <w:r w:rsidRPr="008311EB">
        <w:rPr>
          <w:rFonts w:ascii="Times New Roman" w:hAnsi="Times New Roman" w:cs="Times New Roman"/>
          <w:sz w:val="24"/>
          <w:szCs w:val="24"/>
        </w:rPr>
        <w:t xml:space="preserve"> (no -1,7 milj. </w:t>
      </w:r>
      <w:proofErr w:type="spellStart"/>
      <w:r w:rsidRPr="008311EB">
        <w:rPr>
          <w:rFonts w:ascii="Times New Roman" w:hAnsi="Times New Roman" w:cs="Times New Roman"/>
          <w:sz w:val="24"/>
          <w:szCs w:val="24"/>
        </w:rPr>
        <w:t>euro</w:t>
      </w:r>
      <w:proofErr w:type="spellEnd"/>
      <w:r w:rsidRPr="008311EB">
        <w:rPr>
          <w:rFonts w:ascii="Times New Roman" w:hAnsi="Times New Roman" w:cs="Times New Roman"/>
          <w:sz w:val="24"/>
          <w:szCs w:val="24"/>
        </w:rPr>
        <w:t xml:space="preserve"> 2017.gadā uz -5,1 milj. </w:t>
      </w:r>
      <w:proofErr w:type="spellStart"/>
      <w:r w:rsidRPr="008311EB">
        <w:rPr>
          <w:rFonts w:ascii="Times New Roman" w:hAnsi="Times New Roman" w:cs="Times New Roman"/>
          <w:i/>
          <w:sz w:val="24"/>
          <w:szCs w:val="24"/>
        </w:rPr>
        <w:t>euro</w:t>
      </w:r>
      <w:proofErr w:type="spellEnd"/>
      <w:r>
        <w:rPr>
          <w:rFonts w:ascii="Times New Roman" w:hAnsi="Times New Roman" w:cs="Times New Roman"/>
          <w:sz w:val="24"/>
          <w:szCs w:val="24"/>
        </w:rPr>
        <w:t xml:space="preserve"> 2018.</w:t>
      </w:r>
      <w:r w:rsidRPr="00A06B18">
        <w:rPr>
          <w:rFonts w:ascii="Times New Roman" w:hAnsi="Times New Roman" w:cs="Times New Roman"/>
          <w:sz w:val="24"/>
          <w:szCs w:val="24"/>
        </w:rPr>
        <w:t>gadā). Vērtējot 2019.</w:t>
      </w:r>
      <w:r w:rsidRPr="008311EB">
        <w:rPr>
          <w:rFonts w:ascii="Times New Roman" w:hAnsi="Times New Roman" w:cs="Times New Roman"/>
          <w:sz w:val="24"/>
          <w:szCs w:val="24"/>
        </w:rPr>
        <w:t>gadu, budžetā iemaksāja</w:t>
      </w:r>
      <w:r w:rsidRPr="00A06B18">
        <w:rPr>
          <w:rFonts w:ascii="Times New Roman" w:hAnsi="Times New Roman" w:cs="Times New Roman"/>
          <w:sz w:val="24"/>
          <w:szCs w:val="24"/>
        </w:rPr>
        <w:t>mā summa salīdzinājumā ar 2018.</w:t>
      </w:r>
      <w:r w:rsidRPr="008311EB">
        <w:rPr>
          <w:rFonts w:ascii="Times New Roman" w:hAnsi="Times New Roman" w:cs="Times New Roman"/>
          <w:sz w:val="24"/>
          <w:szCs w:val="24"/>
        </w:rPr>
        <w:t xml:space="preserve">gadu samazinājusies par 0,3 milj. </w:t>
      </w:r>
      <w:proofErr w:type="spellStart"/>
      <w:r w:rsidRPr="008311EB">
        <w:rPr>
          <w:rFonts w:ascii="Times New Roman" w:hAnsi="Times New Roman" w:cs="Times New Roman"/>
          <w:i/>
          <w:sz w:val="24"/>
          <w:szCs w:val="24"/>
        </w:rPr>
        <w:t>euro</w:t>
      </w:r>
      <w:proofErr w:type="spellEnd"/>
      <w:r w:rsidRPr="008311EB">
        <w:rPr>
          <w:rFonts w:ascii="Times New Roman" w:hAnsi="Times New Roman" w:cs="Times New Roman"/>
          <w:sz w:val="24"/>
          <w:szCs w:val="24"/>
        </w:rPr>
        <w:t xml:space="preserve"> un atmaksājamā summa pieaugusi par 1 milj. </w:t>
      </w:r>
      <w:proofErr w:type="spellStart"/>
      <w:r w:rsidRPr="008311EB">
        <w:rPr>
          <w:rFonts w:ascii="Times New Roman" w:hAnsi="Times New Roman" w:cs="Times New Roman"/>
          <w:i/>
          <w:sz w:val="24"/>
          <w:szCs w:val="24"/>
        </w:rPr>
        <w:t>euro</w:t>
      </w:r>
      <w:proofErr w:type="spellEnd"/>
      <w:r w:rsidRPr="008311EB">
        <w:rPr>
          <w:rFonts w:ascii="Times New Roman" w:hAnsi="Times New Roman" w:cs="Times New Roman"/>
          <w:sz w:val="24"/>
          <w:szCs w:val="24"/>
        </w:rPr>
        <w:t>, līdz ar to kopumā PVN ieņēmumi turpina samazināties. Tādejādi prognozējams, ka samazinātās PVN likmes saglabāšana 5% apmērā svaigiem augļiem, ogām un dārzeņiem rada negatīvu fiskālo ietekmi uz valsts pamatbudžeta ieņēmumiem, jo ieviestais pasākums bija terminēts līdz 2020.gada 31.decembrim. Līdz ar</w:t>
      </w:r>
      <w:r w:rsidRPr="00A06B18">
        <w:rPr>
          <w:rFonts w:ascii="Times New Roman" w:hAnsi="Times New Roman" w:cs="Times New Roman"/>
          <w:sz w:val="24"/>
          <w:szCs w:val="24"/>
        </w:rPr>
        <w:t xml:space="preserve"> to PVN ieņēmumi sākot ar 2021.</w:t>
      </w:r>
      <w:r w:rsidRPr="008311EB">
        <w:rPr>
          <w:rFonts w:ascii="Times New Roman" w:hAnsi="Times New Roman" w:cs="Times New Roman"/>
          <w:sz w:val="24"/>
          <w:szCs w:val="24"/>
        </w:rPr>
        <w:t xml:space="preserve">gadu ik gadu samazināmi indikatīvi par 3 milj. </w:t>
      </w:r>
      <w:proofErr w:type="spellStart"/>
      <w:r w:rsidRPr="008311EB">
        <w:rPr>
          <w:rFonts w:ascii="Times New Roman" w:hAnsi="Times New Roman" w:cs="Times New Roman"/>
          <w:i/>
          <w:sz w:val="24"/>
          <w:szCs w:val="24"/>
        </w:rPr>
        <w:t>euro</w:t>
      </w:r>
      <w:proofErr w:type="spellEnd"/>
      <w:r w:rsidRPr="008311EB">
        <w:rPr>
          <w:rFonts w:ascii="Times New Roman" w:hAnsi="Times New Roman" w:cs="Times New Roman"/>
          <w:sz w:val="24"/>
          <w:szCs w:val="24"/>
        </w:rPr>
        <w:t>.</w:t>
      </w:r>
    </w:p>
    <w:p w:rsidR="00213B01" w:rsidRPr="00F273FF" w:rsidRDefault="00213B01" w:rsidP="00213B01">
      <w:pPr>
        <w:spacing w:before="120" w:after="120" w:line="240" w:lineRule="auto"/>
        <w:ind w:firstLine="720"/>
        <w:jc w:val="both"/>
        <w:rPr>
          <w:rFonts w:ascii="Times New Roman" w:hAnsi="Times New Roman"/>
          <w:sz w:val="24"/>
          <w:szCs w:val="24"/>
        </w:rPr>
      </w:pPr>
      <w:r w:rsidRPr="00F273FF">
        <w:rPr>
          <w:rFonts w:ascii="Times New Roman" w:hAnsi="Times New Roman"/>
          <w:sz w:val="24"/>
          <w:szCs w:val="24"/>
        </w:rPr>
        <w:t>Ministrijām sekot līdzi ieņēmumu izpildei un, ja ieņēmumu izpilde nesasniedz plānoto apmēru, veikt papildu pasākumus, lai nodrošinātu ieņēmumus plānotajā apmērā vai iesniegt Finanšu ministrijā attiecīgus priekšlikumus izdevumu samazinājumam.</w:t>
      </w:r>
    </w:p>
    <w:p w:rsidR="00F5447E" w:rsidRPr="00F273FF" w:rsidRDefault="00213B01" w:rsidP="00207262">
      <w:pPr>
        <w:spacing w:before="120" w:after="120" w:line="240" w:lineRule="auto"/>
        <w:ind w:firstLine="720"/>
        <w:jc w:val="both"/>
        <w:rPr>
          <w:rFonts w:ascii="Times New Roman" w:hAnsi="Times New Roman" w:cs="Times New Roman"/>
          <w:sz w:val="24"/>
          <w:szCs w:val="24"/>
          <w:lang w:eastAsia="lv-LV"/>
        </w:rPr>
      </w:pPr>
      <w:r w:rsidRPr="00F273FF">
        <w:rPr>
          <w:rFonts w:ascii="Times New Roman" w:hAnsi="Times New Roman" w:cs="Times New Roman"/>
          <w:sz w:val="24"/>
          <w:szCs w:val="24"/>
        </w:rPr>
        <w:t>Bez tam, l</w:t>
      </w:r>
      <w:r w:rsidR="00F5447E" w:rsidRPr="00F273FF">
        <w:rPr>
          <w:rFonts w:ascii="Times New Roman" w:hAnsi="Times New Roman" w:cs="Times New Roman"/>
          <w:sz w:val="24"/>
          <w:szCs w:val="24"/>
        </w:rPr>
        <w:t xml:space="preserve">ai stiprinātu Valsts robežsardzes spējas, ir notikušas sarunas </w:t>
      </w:r>
      <w:r w:rsidR="00BF3175" w:rsidRPr="00F273FF">
        <w:rPr>
          <w:rFonts w:ascii="Times New Roman" w:hAnsi="Times New Roman" w:cs="Times New Roman"/>
          <w:sz w:val="24"/>
          <w:szCs w:val="24"/>
        </w:rPr>
        <w:t>Aizsardzības ministrijai</w:t>
      </w:r>
      <w:r w:rsidR="00F5447E" w:rsidRPr="00F273FF">
        <w:rPr>
          <w:rFonts w:ascii="Times New Roman" w:hAnsi="Times New Roman" w:cs="Times New Roman"/>
          <w:sz w:val="24"/>
          <w:szCs w:val="24"/>
        </w:rPr>
        <w:t xml:space="preserve"> ar </w:t>
      </w:r>
      <w:proofErr w:type="spellStart"/>
      <w:r w:rsidR="00BF3175" w:rsidRPr="00F273FF">
        <w:rPr>
          <w:rFonts w:ascii="Times New Roman" w:hAnsi="Times New Roman" w:cs="Times New Roman"/>
          <w:sz w:val="24"/>
          <w:szCs w:val="24"/>
        </w:rPr>
        <w:t>Iekšlietu</w:t>
      </w:r>
      <w:proofErr w:type="spellEnd"/>
      <w:r w:rsidR="00BF3175" w:rsidRPr="00F273FF">
        <w:rPr>
          <w:rFonts w:ascii="Times New Roman" w:hAnsi="Times New Roman" w:cs="Times New Roman"/>
          <w:sz w:val="24"/>
          <w:szCs w:val="24"/>
        </w:rPr>
        <w:t xml:space="preserve"> ministriju</w:t>
      </w:r>
      <w:r w:rsidR="00F5447E" w:rsidRPr="00F273FF">
        <w:rPr>
          <w:rFonts w:ascii="Times New Roman" w:hAnsi="Times New Roman" w:cs="Times New Roman"/>
          <w:sz w:val="24"/>
          <w:szCs w:val="24"/>
        </w:rPr>
        <w:t xml:space="preserve"> un </w:t>
      </w:r>
      <w:r w:rsidR="00BF3175" w:rsidRPr="00F273FF">
        <w:rPr>
          <w:rFonts w:ascii="Times New Roman" w:hAnsi="Times New Roman" w:cs="Times New Roman"/>
          <w:sz w:val="24"/>
          <w:szCs w:val="24"/>
        </w:rPr>
        <w:t xml:space="preserve">ir </w:t>
      </w:r>
      <w:r w:rsidR="00F5447E" w:rsidRPr="00F273FF">
        <w:rPr>
          <w:rFonts w:ascii="Times New Roman" w:hAnsi="Times New Roman" w:cs="Times New Roman"/>
          <w:sz w:val="24"/>
          <w:szCs w:val="24"/>
        </w:rPr>
        <w:t>panākta vienošanās par robežsardzes vajadz</w:t>
      </w:r>
      <w:r w:rsidR="00BF3175" w:rsidRPr="00F273FF">
        <w:rPr>
          <w:rFonts w:ascii="Times New Roman" w:hAnsi="Times New Roman" w:cs="Times New Roman"/>
          <w:sz w:val="24"/>
          <w:szCs w:val="24"/>
        </w:rPr>
        <w:t>ībām nepieciešamā aprīkojuma ieg</w:t>
      </w:r>
      <w:r w:rsidR="00F5447E" w:rsidRPr="00F273FF">
        <w:rPr>
          <w:rFonts w:ascii="Times New Roman" w:hAnsi="Times New Roman" w:cs="Times New Roman"/>
          <w:sz w:val="24"/>
          <w:szCs w:val="24"/>
        </w:rPr>
        <w:t>ādi.</w:t>
      </w:r>
    </w:p>
    <w:p w:rsidR="00207262" w:rsidRPr="00207262" w:rsidRDefault="00207262" w:rsidP="00207262">
      <w:pPr>
        <w:spacing w:before="120" w:after="120" w:line="240" w:lineRule="auto"/>
        <w:ind w:firstLine="720"/>
        <w:jc w:val="both"/>
        <w:rPr>
          <w:rFonts w:ascii="Times New Roman" w:hAnsi="Times New Roman" w:cs="Times New Roman"/>
          <w:sz w:val="24"/>
          <w:szCs w:val="24"/>
        </w:rPr>
      </w:pPr>
      <w:r w:rsidRPr="00F273FF">
        <w:rPr>
          <w:rFonts w:ascii="Times New Roman" w:hAnsi="Times New Roman" w:cs="Times New Roman"/>
          <w:sz w:val="24"/>
          <w:szCs w:val="24"/>
        </w:rPr>
        <w:t>Sabiedrisko pakalpojumu regulēšanas komisija ir iesniegusi priekšlikumu palielināt izdevumus atlīdzībai 2021.gadam 51 659 EUR apmērā programmā 01.00.00 “Sabiedrisko pakalpojumu regulēšana”, novirzot tam ieņēmumu no maksas pakalpojumu un citu pašu ieņēmumu atlikumus uz 2021.gada 1.janvāri.</w:t>
      </w:r>
    </w:p>
    <w:p w:rsidR="00207262" w:rsidRPr="00207262" w:rsidRDefault="00207262" w:rsidP="00207262">
      <w:pPr>
        <w:spacing w:before="120" w:after="120" w:line="240" w:lineRule="auto"/>
        <w:rPr>
          <w:rFonts w:ascii="Calibri" w:hAnsi="Calibri" w:cs="Calibri"/>
        </w:rPr>
      </w:pPr>
    </w:p>
    <w:p w:rsidR="00F5447E" w:rsidRPr="00F5447E" w:rsidRDefault="00F5447E" w:rsidP="00F5447E">
      <w:pPr>
        <w:rPr>
          <w:rFonts w:ascii="Times New Roman" w:hAnsi="Times New Roman" w:cs="Times New Roman"/>
          <w:sz w:val="24"/>
          <w:szCs w:val="24"/>
        </w:rPr>
      </w:pPr>
    </w:p>
    <w:p w:rsidR="00563742" w:rsidRPr="00461101" w:rsidRDefault="00563742" w:rsidP="00563742">
      <w:pPr>
        <w:rPr>
          <w:rFonts w:ascii="Times New Roman" w:hAnsi="Times New Roman" w:cs="Times New Roman"/>
          <w:i/>
          <w:iCs/>
          <w:sz w:val="24"/>
          <w:szCs w:val="24"/>
        </w:rPr>
      </w:pPr>
    </w:p>
    <w:p w:rsidR="00563742" w:rsidRPr="00461101" w:rsidRDefault="00563742" w:rsidP="00563742">
      <w:pPr>
        <w:spacing w:before="120" w:after="120" w:line="240" w:lineRule="auto"/>
        <w:jc w:val="both"/>
        <w:rPr>
          <w:rFonts w:ascii="Times New Roman" w:hAnsi="Times New Roman" w:cs="Times New Roman"/>
          <w:sz w:val="24"/>
          <w:szCs w:val="24"/>
        </w:rPr>
      </w:pPr>
    </w:p>
    <w:p w:rsidR="00563742" w:rsidRPr="00461101" w:rsidRDefault="00563742" w:rsidP="00563742">
      <w:pPr>
        <w:spacing w:before="120" w:after="120"/>
        <w:jc w:val="both"/>
        <w:rPr>
          <w:rFonts w:ascii="Times New Roman" w:hAnsi="Times New Roman" w:cs="Times New Roman"/>
          <w:sz w:val="24"/>
          <w:szCs w:val="24"/>
        </w:rPr>
      </w:pPr>
      <w:r w:rsidRPr="00461101">
        <w:rPr>
          <w:rFonts w:ascii="Times New Roman" w:hAnsi="Times New Roman" w:cs="Times New Roman"/>
          <w:sz w:val="24"/>
          <w:szCs w:val="24"/>
        </w:rPr>
        <w:t>Finanšu ministrs</w:t>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r w:rsidRPr="00461101">
        <w:rPr>
          <w:rFonts w:ascii="Times New Roman" w:hAnsi="Times New Roman" w:cs="Times New Roman"/>
          <w:sz w:val="24"/>
          <w:szCs w:val="24"/>
        </w:rPr>
        <w:tab/>
      </w:r>
      <w:proofErr w:type="spellStart"/>
      <w:r w:rsidRPr="00461101">
        <w:rPr>
          <w:rFonts w:ascii="Times New Roman" w:hAnsi="Times New Roman" w:cs="Times New Roman"/>
          <w:sz w:val="24"/>
          <w:szCs w:val="24"/>
        </w:rPr>
        <w:t>J.Reirs</w:t>
      </w:r>
      <w:proofErr w:type="spellEnd"/>
    </w:p>
    <w:p w:rsidR="00563742" w:rsidRDefault="00563742"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Default="00F21C8D" w:rsidP="002E592D">
      <w:pPr>
        <w:spacing w:after="0"/>
        <w:rPr>
          <w:rFonts w:ascii="Times New Roman" w:hAnsi="Times New Roman" w:cs="Times New Roman"/>
          <w:sz w:val="20"/>
          <w:szCs w:val="20"/>
        </w:rPr>
      </w:pPr>
    </w:p>
    <w:p w:rsidR="00F21C8D" w:rsidRPr="00C527FE" w:rsidRDefault="00F21C8D" w:rsidP="002E592D">
      <w:pPr>
        <w:spacing w:after="0"/>
        <w:rPr>
          <w:rFonts w:ascii="Times New Roman" w:hAnsi="Times New Roman" w:cs="Times New Roman"/>
          <w:sz w:val="20"/>
          <w:szCs w:val="20"/>
        </w:rPr>
      </w:pPr>
      <w:bookmarkStart w:id="10" w:name="_GoBack"/>
      <w:bookmarkEnd w:id="10"/>
    </w:p>
    <w:p w:rsidR="00563742" w:rsidRPr="00C527FE" w:rsidRDefault="00563742" w:rsidP="002E592D">
      <w:pPr>
        <w:spacing w:after="0"/>
        <w:rPr>
          <w:rFonts w:ascii="Times New Roman" w:hAnsi="Times New Roman" w:cs="Times New Roman"/>
          <w:sz w:val="20"/>
          <w:szCs w:val="20"/>
        </w:rPr>
      </w:pPr>
    </w:p>
    <w:p w:rsidR="00563742" w:rsidRPr="00C527FE" w:rsidRDefault="00563742" w:rsidP="00563742">
      <w:pPr>
        <w:spacing w:after="0"/>
        <w:rPr>
          <w:rFonts w:ascii="Times New Roman" w:hAnsi="Times New Roman" w:cs="Times New Roman"/>
          <w:sz w:val="20"/>
          <w:szCs w:val="20"/>
        </w:rPr>
      </w:pPr>
      <w:r w:rsidRPr="00C527FE">
        <w:rPr>
          <w:rFonts w:ascii="Times New Roman" w:hAnsi="Times New Roman" w:cs="Times New Roman"/>
          <w:sz w:val="20"/>
          <w:szCs w:val="20"/>
        </w:rPr>
        <w:t>Zane Adijāne, 67095437</w:t>
      </w:r>
    </w:p>
    <w:p w:rsidR="00563742" w:rsidRPr="00C527FE" w:rsidRDefault="00F21C8D" w:rsidP="002E592D">
      <w:pPr>
        <w:spacing w:after="0"/>
        <w:rPr>
          <w:rFonts w:ascii="Times New Roman" w:hAnsi="Times New Roman" w:cs="Times New Roman"/>
          <w:sz w:val="20"/>
          <w:szCs w:val="20"/>
        </w:rPr>
      </w:pPr>
      <w:hyperlink r:id="rId13" w:history="1">
        <w:r w:rsidR="00563742" w:rsidRPr="00C527FE">
          <w:rPr>
            <w:rStyle w:val="Hyperlink"/>
            <w:rFonts w:ascii="Times New Roman" w:hAnsi="Times New Roman" w:cs="Times New Roman"/>
            <w:color w:val="auto"/>
            <w:sz w:val="20"/>
            <w:szCs w:val="20"/>
          </w:rPr>
          <w:t>zane.adijane@fm.gov.lv</w:t>
        </w:r>
      </w:hyperlink>
      <w:r w:rsidR="00563742" w:rsidRPr="00C527FE">
        <w:rPr>
          <w:rFonts w:ascii="Times New Roman" w:hAnsi="Times New Roman" w:cs="Times New Roman"/>
          <w:sz w:val="20"/>
          <w:szCs w:val="20"/>
        </w:rPr>
        <w:t xml:space="preserve"> </w:t>
      </w:r>
    </w:p>
    <w:sectPr w:rsidR="00563742" w:rsidRPr="00C527FE" w:rsidSect="0082389F">
      <w:headerReference w:type="default" r:id="rId14"/>
      <w:footerReference w:type="default" r:id="rId15"/>
      <w:head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11" w:rsidRDefault="00D23211" w:rsidP="00D7043B">
      <w:pPr>
        <w:spacing w:after="0" w:line="240" w:lineRule="auto"/>
      </w:pPr>
      <w:r>
        <w:separator/>
      </w:r>
    </w:p>
  </w:endnote>
  <w:endnote w:type="continuationSeparator" w:id="0">
    <w:p w:rsidR="00D23211" w:rsidRDefault="00D23211"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11" w:rsidRPr="002B5B22" w:rsidRDefault="00D2321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71221">
      <w:rPr>
        <w:rFonts w:ascii="Times New Roman" w:hAnsi="Times New Roman" w:cs="Times New Roman"/>
        <w:noProof/>
        <w:sz w:val="20"/>
        <w:szCs w:val="20"/>
      </w:rPr>
      <w:t>FMZin_210920.docx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11" w:rsidRDefault="00D23211" w:rsidP="00D7043B">
      <w:pPr>
        <w:spacing w:after="0" w:line="240" w:lineRule="auto"/>
      </w:pPr>
      <w:r>
        <w:separator/>
      </w:r>
    </w:p>
  </w:footnote>
  <w:footnote w:type="continuationSeparator" w:id="0">
    <w:p w:rsidR="00D23211" w:rsidRDefault="00D23211" w:rsidP="00D7043B">
      <w:pPr>
        <w:spacing w:after="0" w:line="240" w:lineRule="auto"/>
      </w:pPr>
      <w:r>
        <w:continuationSeparator/>
      </w:r>
    </w:p>
  </w:footnote>
  <w:footnote w:id="1">
    <w:p w:rsidR="00D23211" w:rsidRPr="007170F6" w:rsidRDefault="00D23211" w:rsidP="006D48C2">
      <w:pPr>
        <w:pStyle w:val="FootnoteText"/>
        <w:jc w:val="both"/>
      </w:pPr>
      <w:r w:rsidRPr="007170F6">
        <w:rPr>
          <w:rStyle w:val="FootnoteReference"/>
        </w:rPr>
        <w:footnoteRef/>
      </w:r>
      <w:r w:rsidRPr="007170F6">
        <w:t xml:space="preserve"> Ienākumu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  </w:t>
      </w:r>
    </w:p>
  </w:footnote>
  <w:footnote w:id="2">
    <w:p w:rsidR="00D23211" w:rsidRPr="00DC04B9" w:rsidRDefault="00D23211" w:rsidP="006D48C2">
      <w:pPr>
        <w:pStyle w:val="FootnoteText"/>
        <w:rPr>
          <w:lang w:val="en-US"/>
        </w:rPr>
      </w:pPr>
      <w:r w:rsidRPr="00DC04B9">
        <w:rPr>
          <w:rStyle w:val="FootnoteReference"/>
        </w:rPr>
        <w:footnoteRef/>
      </w:r>
      <w:r w:rsidRPr="00DC04B9">
        <w:t xml:space="preserve"> </w:t>
      </w:r>
      <w:proofErr w:type="spellStart"/>
      <w:r w:rsidRPr="00DC04B9">
        <w:rPr>
          <w:rFonts w:eastAsia="Times New Roman"/>
          <w:bCs/>
          <w:kern w:val="36"/>
        </w:rPr>
        <w:t>The</w:t>
      </w:r>
      <w:proofErr w:type="spellEnd"/>
      <w:r w:rsidRPr="00DC04B9">
        <w:rPr>
          <w:rFonts w:eastAsia="Times New Roman"/>
          <w:bCs/>
          <w:kern w:val="36"/>
        </w:rPr>
        <w:t xml:space="preserve"> </w:t>
      </w:r>
      <w:proofErr w:type="spellStart"/>
      <w:r w:rsidRPr="00DC04B9">
        <w:rPr>
          <w:rFonts w:eastAsia="Times New Roman"/>
          <w:bCs/>
          <w:kern w:val="36"/>
        </w:rPr>
        <w:t>Effect</w:t>
      </w:r>
      <w:proofErr w:type="spellEnd"/>
      <w:r w:rsidRPr="00DC04B9">
        <w:rPr>
          <w:rFonts w:eastAsia="Times New Roman"/>
          <w:bCs/>
          <w:kern w:val="36"/>
        </w:rPr>
        <w:t xml:space="preserve"> </w:t>
      </w:r>
      <w:proofErr w:type="spellStart"/>
      <w:r w:rsidRPr="00DC04B9">
        <w:rPr>
          <w:rFonts w:eastAsia="Times New Roman"/>
          <w:bCs/>
          <w:kern w:val="36"/>
        </w:rPr>
        <w:t>of</w:t>
      </w:r>
      <w:proofErr w:type="spellEnd"/>
      <w:r w:rsidRPr="00DC04B9">
        <w:rPr>
          <w:rFonts w:eastAsia="Times New Roman"/>
          <w:bCs/>
          <w:kern w:val="36"/>
        </w:rPr>
        <w:t xml:space="preserve"> </w:t>
      </w:r>
      <w:proofErr w:type="spellStart"/>
      <w:r w:rsidRPr="00DC04B9">
        <w:rPr>
          <w:rFonts w:eastAsia="Times New Roman"/>
          <w:bCs/>
          <w:kern w:val="36"/>
        </w:rPr>
        <w:t>Taxes</w:t>
      </w:r>
      <w:proofErr w:type="spellEnd"/>
      <w:r w:rsidRPr="00DC04B9">
        <w:rPr>
          <w:rFonts w:eastAsia="Times New Roman"/>
          <w:bCs/>
          <w:kern w:val="36"/>
        </w:rPr>
        <w:t xml:space="preserve"> </w:t>
      </w:r>
      <w:proofErr w:type="spellStart"/>
      <w:r w:rsidRPr="00DC04B9">
        <w:rPr>
          <w:rFonts w:eastAsia="Times New Roman"/>
          <w:bCs/>
          <w:kern w:val="36"/>
        </w:rPr>
        <w:t>and</w:t>
      </w:r>
      <w:proofErr w:type="spellEnd"/>
      <w:r w:rsidRPr="00DC04B9">
        <w:rPr>
          <w:rFonts w:eastAsia="Times New Roman"/>
          <w:bCs/>
          <w:kern w:val="36"/>
        </w:rPr>
        <w:t xml:space="preserve"> </w:t>
      </w:r>
      <w:proofErr w:type="spellStart"/>
      <w:r w:rsidRPr="00DC04B9">
        <w:rPr>
          <w:rFonts w:eastAsia="Times New Roman"/>
          <w:bCs/>
          <w:kern w:val="36"/>
        </w:rPr>
        <w:t>Benefits</w:t>
      </w:r>
      <w:proofErr w:type="spellEnd"/>
      <w:r w:rsidRPr="00DC04B9">
        <w:rPr>
          <w:rFonts w:eastAsia="Times New Roman"/>
          <w:bCs/>
          <w:kern w:val="36"/>
        </w:rPr>
        <w:t xml:space="preserve"> </w:t>
      </w:r>
      <w:proofErr w:type="spellStart"/>
      <w:r w:rsidRPr="00DC04B9">
        <w:rPr>
          <w:rFonts w:eastAsia="Times New Roman"/>
          <w:bCs/>
          <w:kern w:val="36"/>
        </w:rPr>
        <w:t>Reforms</w:t>
      </w:r>
      <w:proofErr w:type="spellEnd"/>
      <w:r w:rsidRPr="00DC04B9">
        <w:rPr>
          <w:rFonts w:eastAsia="Times New Roman"/>
          <w:bCs/>
          <w:kern w:val="36"/>
        </w:rPr>
        <w:t xml:space="preserve"> </w:t>
      </w:r>
      <w:proofErr w:type="spellStart"/>
      <w:r w:rsidRPr="00DC04B9">
        <w:rPr>
          <w:rFonts w:eastAsia="Times New Roman"/>
          <w:bCs/>
          <w:kern w:val="36"/>
        </w:rPr>
        <w:t>on</w:t>
      </w:r>
      <w:proofErr w:type="spellEnd"/>
      <w:r w:rsidRPr="00DC04B9">
        <w:rPr>
          <w:rFonts w:eastAsia="Times New Roman"/>
          <w:bCs/>
          <w:kern w:val="36"/>
        </w:rPr>
        <w:t xml:space="preserve"> </w:t>
      </w:r>
      <w:proofErr w:type="spellStart"/>
      <w:r w:rsidRPr="00DC04B9">
        <w:rPr>
          <w:rFonts w:eastAsia="Times New Roman"/>
          <w:bCs/>
          <w:kern w:val="36"/>
        </w:rPr>
        <w:t>Poverty</w:t>
      </w:r>
      <w:proofErr w:type="spellEnd"/>
      <w:r w:rsidRPr="00DC04B9">
        <w:rPr>
          <w:rFonts w:eastAsia="Times New Roman"/>
          <w:bCs/>
          <w:kern w:val="36"/>
        </w:rPr>
        <w:t xml:space="preserve"> </w:t>
      </w:r>
      <w:proofErr w:type="spellStart"/>
      <w:r w:rsidRPr="00DC04B9">
        <w:rPr>
          <w:rFonts w:eastAsia="Times New Roman"/>
          <w:bCs/>
          <w:kern w:val="36"/>
        </w:rPr>
        <w:t>and</w:t>
      </w:r>
      <w:proofErr w:type="spellEnd"/>
      <w:r w:rsidRPr="00DC04B9">
        <w:rPr>
          <w:rFonts w:eastAsia="Times New Roman"/>
          <w:bCs/>
          <w:kern w:val="36"/>
        </w:rPr>
        <w:t xml:space="preserve"> </w:t>
      </w:r>
      <w:proofErr w:type="spellStart"/>
      <w:r w:rsidRPr="00DC04B9">
        <w:rPr>
          <w:rFonts w:eastAsia="Times New Roman"/>
          <w:bCs/>
          <w:kern w:val="36"/>
        </w:rPr>
        <w:t>Inequality</w:t>
      </w:r>
      <w:proofErr w:type="spellEnd"/>
      <w:r w:rsidRPr="00DC04B9">
        <w:rPr>
          <w:rFonts w:eastAsia="Times New Roman"/>
          <w:bCs/>
          <w:kern w:val="36"/>
        </w:rPr>
        <w:t xml:space="preserve"> </w:t>
      </w:r>
      <w:proofErr w:type="spellStart"/>
      <w:r w:rsidRPr="00DC04B9">
        <w:rPr>
          <w:rFonts w:eastAsia="Times New Roman"/>
          <w:bCs/>
          <w:kern w:val="36"/>
        </w:rPr>
        <w:t>in</w:t>
      </w:r>
      <w:proofErr w:type="spellEnd"/>
      <w:r w:rsidRPr="00DC04B9">
        <w:rPr>
          <w:rFonts w:eastAsia="Times New Roman"/>
          <w:bCs/>
          <w:kern w:val="36"/>
        </w:rPr>
        <w:t xml:space="preserve"> Latvia: </w:t>
      </w:r>
      <w:hyperlink r:id="rId1" w:history="1">
        <w:r w:rsidRPr="00DC04B9">
          <w:rPr>
            <w:rStyle w:val="Hyperlink"/>
          </w:rPr>
          <w:t>https://ec.europa.eu/info/publications/economy-finance/effect-taxes-and-benefits-reforms-poverty-and-inequality-latvia_en</w:t>
        </w:r>
      </w:hyperlink>
    </w:p>
  </w:footnote>
  <w:footnote w:id="3">
    <w:p w:rsidR="00D23211" w:rsidRDefault="00D23211">
      <w:pPr>
        <w:pStyle w:val="FootnoteText"/>
      </w:pPr>
      <w:r w:rsidRPr="00DC04B9">
        <w:rPr>
          <w:rStyle w:val="FootnoteReference"/>
        </w:rPr>
        <w:footnoteRef/>
      </w:r>
      <w:r w:rsidRPr="00DC04B9">
        <w:t xml:space="preserve"> Ienākumu mediāna tiek aprēķināta, balstoties uz ienākumu un dzīves apstākļu </w:t>
      </w:r>
      <w:proofErr w:type="spellStart"/>
      <w:r w:rsidRPr="00DC04B9">
        <w:t>apsekojuma</w:t>
      </w:r>
      <w:proofErr w:type="spellEnd"/>
      <w:r w:rsidRPr="00DC04B9">
        <w:t xml:space="preserve"> datiem pēc vienotas pieejas visās ES dalībvalstīs, balstoties uz EU-SILC metodoloģiju. EU-SILC </w:t>
      </w:r>
      <w:proofErr w:type="spellStart"/>
      <w:r w:rsidRPr="00DC04B9">
        <w:t>apsekojuma</w:t>
      </w:r>
      <w:proofErr w:type="spellEnd"/>
      <w:r w:rsidRPr="00DC04B9">
        <w:t xml:space="preserve"> metodoloģija paredz iegūt ienākumu datus par fiksētu 12 mēnešu periodu no mājsaimniecībām, kuras piedalās </w:t>
      </w:r>
      <w:proofErr w:type="spellStart"/>
      <w:r w:rsidRPr="00DC04B9">
        <w:t>apsekojumā</w:t>
      </w:r>
      <w:proofErr w:type="spellEnd"/>
      <w:r w:rsidRPr="00DC04B9">
        <w:t xml:space="preserve"> un veic savu ienākumu uzskaiti. Tas nozīmē, ka, piemēram, par visu 2018.gadu tiek vākti dati, savukārt to apstrāde, korelēšana, analīze un datu validēšana notiek 2019.gadā, bet datu publikācija tiek nodrošināta sākot ar 2020.gada I ceturksni.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634506"/>
      <w:docPartObj>
        <w:docPartGallery w:val="Page Numbers (Top of Page)"/>
        <w:docPartUnique/>
      </w:docPartObj>
    </w:sdtPr>
    <w:sdtEndPr>
      <w:rPr>
        <w:noProof/>
      </w:rPr>
    </w:sdtEndPr>
    <w:sdtContent>
      <w:p w:rsidR="0082389F" w:rsidRDefault="0082389F">
        <w:pPr>
          <w:pStyle w:val="Header"/>
          <w:jc w:val="center"/>
        </w:pPr>
        <w:r>
          <w:fldChar w:fldCharType="begin"/>
        </w:r>
        <w:r>
          <w:instrText xml:space="preserve"> PAGE   \* MERGEFORMAT </w:instrText>
        </w:r>
        <w:r>
          <w:fldChar w:fldCharType="separate"/>
        </w:r>
        <w:r w:rsidR="00F21C8D">
          <w:rPr>
            <w:noProof/>
          </w:rPr>
          <w:t>44</w:t>
        </w:r>
        <w:r>
          <w:rPr>
            <w:noProof/>
          </w:rPr>
          <w:fldChar w:fldCharType="end"/>
        </w:r>
      </w:p>
    </w:sdtContent>
  </w:sdt>
  <w:p w:rsidR="00D23211" w:rsidRDefault="00D2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EF" w:rsidRDefault="009637EF">
    <w:pPr>
      <w:pStyle w:val="Header"/>
      <w:jc w:val="center"/>
    </w:pPr>
  </w:p>
  <w:p w:rsidR="009637EF" w:rsidRDefault="0096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0E"/>
    <w:multiLevelType w:val="hybridMultilevel"/>
    <w:tmpl w:val="A5A2EC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3F3D6C"/>
    <w:multiLevelType w:val="hybridMultilevel"/>
    <w:tmpl w:val="2CF2B746"/>
    <w:lvl w:ilvl="0" w:tplc="FC76E53E">
      <w:start w:val="20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E2E3034"/>
    <w:multiLevelType w:val="multilevel"/>
    <w:tmpl w:val="8FA8C596"/>
    <w:lvl w:ilvl="0">
      <w:start w:val="1"/>
      <w:numFmt w:val="bullet"/>
      <w:lvlText w:val=""/>
      <w:lvlJc w:val="left"/>
      <w:pPr>
        <w:ind w:left="720" w:hanging="363"/>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42223A2"/>
    <w:multiLevelType w:val="hybridMultilevel"/>
    <w:tmpl w:val="36D041D6"/>
    <w:lvl w:ilvl="0" w:tplc="886C30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E31C59"/>
    <w:multiLevelType w:val="hybridMultilevel"/>
    <w:tmpl w:val="90DCE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5278A"/>
    <w:multiLevelType w:val="hybridMultilevel"/>
    <w:tmpl w:val="274E6044"/>
    <w:lvl w:ilvl="0" w:tplc="0824CDF8">
      <w:start w:val="7"/>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28CF386B"/>
    <w:multiLevelType w:val="hybridMultilevel"/>
    <w:tmpl w:val="B198B0C4"/>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15:restartNumberingAfterBreak="0">
    <w:nsid w:val="3370013A"/>
    <w:multiLevelType w:val="hybridMultilevel"/>
    <w:tmpl w:val="827C3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4330D0"/>
    <w:multiLevelType w:val="hybridMultilevel"/>
    <w:tmpl w:val="0AD6FCEC"/>
    <w:lvl w:ilvl="0" w:tplc="F18C3EC2">
      <w:start w:val="6"/>
      <w:numFmt w:val="bullet"/>
      <w:lvlText w:val="-"/>
      <w:lvlJc w:val="left"/>
      <w:pPr>
        <w:ind w:left="1080"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1F51EAF"/>
    <w:multiLevelType w:val="hybridMultilevel"/>
    <w:tmpl w:val="CBCC0794"/>
    <w:lvl w:ilvl="0" w:tplc="9406325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32008D"/>
    <w:multiLevelType w:val="hybridMultilevel"/>
    <w:tmpl w:val="790C5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A52E43"/>
    <w:multiLevelType w:val="hybridMultilevel"/>
    <w:tmpl w:val="47F61A6E"/>
    <w:lvl w:ilvl="0" w:tplc="9D38F6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0629EC"/>
    <w:multiLevelType w:val="hybridMultilevel"/>
    <w:tmpl w:val="194CE75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64B11D66"/>
    <w:multiLevelType w:val="multilevel"/>
    <w:tmpl w:val="6496449E"/>
    <w:lvl w:ilvl="0">
      <w:start w:val="1"/>
      <w:numFmt w:val="decimal"/>
      <w:lvlText w:val="%1."/>
      <w:lvlJc w:val="left"/>
      <w:pPr>
        <w:ind w:left="36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C77360"/>
    <w:multiLevelType w:val="hybridMultilevel"/>
    <w:tmpl w:val="819C9C64"/>
    <w:lvl w:ilvl="0" w:tplc="87CE94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B63E53"/>
    <w:multiLevelType w:val="multilevel"/>
    <w:tmpl w:val="89B8F0F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D121B1F"/>
    <w:multiLevelType w:val="multilevel"/>
    <w:tmpl w:val="C7BE743E"/>
    <w:lvl w:ilvl="0">
      <w:start w:val="1"/>
      <w:numFmt w:val="decimal"/>
      <w:lvlText w:val="%1."/>
      <w:lvlJc w:val="left"/>
      <w:pPr>
        <w:ind w:left="1080" w:hanging="720"/>
      </w:pPr>
      <w:rPr>
        <w:rFonts w:hint="default"/>
      </w:rPr>
    </w:lvl>
    <w:lvl w:ilvl="1">
      <w:start w:val="1"/>
      <w:numFmt w:val="decimal"/>
      <w:isLgl/>
      <w:lvlText w:val="%1.6."/>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A92551"/>
    <w:multiLevelType w:val="multilevel"/>
    <w:tmpl w:val="D6A04958"/>
    <w:lvl w:ilvl="0">
      <w:start w:val="1"/>
      <w:numFmt w:val="bullet"/>
      <w:lvlText w:val=""/>
      <w:lvlJc w:val="left"/>
      <w:pPr>
        <w:ind w:left="1353" w:hanging="1353"/>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8" w15:restartNumberingAfterBreak="0">
    <w:nsid w:val="72A61E34"/>
    <w:multiLevelType w:val="hybridMultilevel"/>
    <w:tmpl w:val="E7EE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EC434B"/>
    <w:multiLevelType w:val="multilevel"/>
    <w:tmpl w:val="1E146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4E3C50"/>
    <w:multiLevelType w:val="hybridMultilevel"/>
    <w:tmpl w:val="3418D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710417"/>
    <w:multiLevelType w:val="hybridMultilevel"/>
    <w:tmpl w:val="96DAC9D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FBA4D6A"/>
    <w:multiLevelType w:val="multilevel"/>
    <w:tmpl w:val="A03A7F04"/>
    <w:lvl w:ilvl="0">
      <w:start w:val="1"/>
      <w:numFmt w:val="decimal"/>
      <w:lvlText w:val="%1)"/>
      <w:lvlJc w:val="left"/>
      <w:pPr>
        <w:ind w:left="1134" w:hanging="414"/>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6"/>
  </w:num>
  <w:num w:numId="2">
    <w:abstractNumId w:val="22"/>
  </w:num>
  <w:num w:numId="3">
    <w:abstractNumId w:val="4"/>
  </w:num>
  <w:num w:numId="4">
    <w:abstractNumId w:val="18"/>
  </w:num>
  <w:num w:numId="5">
    <w:abstractNumId w:val="7"/>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17"/>
  </w:num>
  <w:num w:numId="12">
    <w:abstractNumId w:val="10"/>
  </w:num>
  <w:num w:numId="13">
    <w:abstractNumId w:val="8"/>
  </w:num>
  <w:num w:numId="14">
    <w:abstractNumId w:val="21"/>
  </w:num>
  <w:num w:numId="15">
    <w:abstractNumId w:val="19"/>
  </w:num>
  <w:num w:numId="16">
    <w:abstractNumId w:val="2"/>
  </w:num>
  <w:num w:numId="17">
    <w:abstractNumId w:val="0"/>
  </w:num>
  <w:num w:numId="18">
    <w:abstractNumId w:val="20"/>
  </w:num>
  <w:num w:numId="19">
    <w:abstractNumId w:val="13"/>
  </w:num>
  <w:num w:numId="20">
    <w:abstractNumId w:val="15"/>
  </w:num>
  <w:num w:numId="21">
    <w:abstractNumId w:val="9"/>
  </w:num>
  <w:num w:numId="22">
    <w:abstractNumId w:val="14"/>
  </w:num>
  <w:num w:numId="23">
    <w:abstractNumId w:val="11"/>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4"/>
    <w:rsid w:val="00001439"/>
    <w:rsid w:val="0000325A"/>
    <w:rsid w:val="00003554"/>
    <w:rsid w:val="00004DCB"/>
    <w:rsid w:val="000106BD"/>
    <w:rsid w:val="00017D0C"/>
    <w:rsid w:val="00022444"/>
    <w:rsid w:val="00022E12"/>
    <w:rsid w:val="0002588A"/>
    <w:rsid w:val="000333A0"/>
    <w:rsid w:val="00033993"/>
    <w:rsid w:val="00035A21"/>
    <w:rsid w:val="000377D0"/>
    <w:rsid w:val="000423FF"/>
    <w:rsid w:val="0004268C"/>
    <w:rsid w:val="00043312"/>
    <w:rsid w:val="000446A2"/>
    <w:rsid w:val="0004570B"/>
    <w:rsid w:val="00050A20"/>
    <w:rsid w:val="0005110C"/>
    <w:rsid w:val="000519E9"/>
    <w:rsid w:val="000609E6"/>
    <w:rsid w:val="0006535D"/>
    <w:rsid w:val="00067570"/>
    <w:rsid w:val="00072835"/>
    <w:rsid w:val="000735BB"/>
    <w:rsid w:val="00077C7A"/>
    <w:rsid w:val="00080A09"/>
    <w:rsid w:val="00084804"/>
    <w:rsid w:val="00085BC8"/>
    <w:rsid w:val="00085E89"/>
    <w:rsid w:val="00086385"/>
    <w:rsid w:val="00092861"/>
    <w:rsid w:val="000939DA"/>
    <w:rsid w:val="000946C9"/>
    <w:rsid w:val="000A3703"/>
    <w:rsid w:val="000A3FE2"/>
    <w:rsid w:val="000A4A11"/>
    <w:rsid w:val="000B227B"/>
    <w:rsid w:val="000B4ECE"/>
    <w:rsid w:val="000C100E"/>
    <w:rsid w:val="000C4483"/>
    <w:rsid w:val="000C47CE"/>
    <w:rsid w:val="000D55FC"/>
    <w:rsid w:val="000E31B7"/>
    <w:rsid w:val="000E43BF"/>
    <w:rsid w:val="000E4AC2"/>
    <w:rsid w:val="000E4FCE"/>
    <w:rsid w:val="000E78EA"/>
    <w:rsid w:val="000F566C"/>
    <w:rsid w:val="000F6C16"/>
    <w:rsid w:val="00101ACA"/>
    <w:rsid w:val="00106CF5"/>
    <w:rsid w:val="00112F08"/>
    <w:rsid w:val="001139D7"/>
    <w:rsid w:val="00116547"/>
    <w:rsid w:val="00116D68"/>
    <w:rsid w:val="00123E50"/>
    <w:rsid w:val="001251E3"/>
    <w:rsid w:val="00130929"/>
    <w:rsid w:val="001311EA"/>
    <w:rsid w:val="00134B4B"/>
    <w:rsid w:val="00136F9F"/>
    <w:rsid w:val="00146C46"/>
    <w:rsid w:val="00147D3C"/>
    <w:rsid w:val="00151A46"/>
    <w:rsid w:val="001567AA"/>
    <w:rsid w:val="001574B3"/>
    <w:rsid w:val="001606E1"/>
    <w:rsid w:val="0016077B"/>
    <w:rsid w:val="00162617"/>
    <w:rsid w:val="00167C0D"/>
    <w:rsid w:val="0017255E"/>
    <w:rsid w:val="0018264F"/>
    <w:rsid w:val="00183405"/>
    <w:rsid w:val="00186AEF"/>
    <w:rsid w:val="0018701B"/>
    <w:rsid w:val="00191EE1"/>
    <w:rsid w:val="00192E7D"/>
    <w:rsid w:val="00192F8C"/>
    <w:rsid w:val="00195591"/>
    <w:rsid w:val="001A074E"/>
    <w:rsid w:val="001B1F61"/>
    <w:rsid w:val="001B6F5D"/>
    <w:rsid w:val="001B7372"/>
    <w:rsid w:val="001C115C"/>
    <w:rsid w:val="001C1225"/>
    <w:rsid w:val="001C1B15"/>
    <w:rsid w:val="001C1E73"/>
    <w:rsid w:val="001D2AAB"/>
    <w:rsid w:val="001D48F8"/>
    <w:rsid w:val="001D634C"/>
    <w:rsid w:val="001E4A6C"/>
    <w:rsid w:val="001F3E37"/>
    <w:rsid w:val="001F60CF"/>
    <w:rsid w:val="001F635E"/>
    <w:rsid w:val="00203E6F"/>
    <w:rsid w:val="00204AE7"/>
    <w:rsid w:val="002051CA"/>
    <w:rsid w:val="00207262"/>
    <w:rsid w:val="00210902"/>
    <w:rsid w:val="00211EDD"/>
    <w:rsid w:val="00213B01"/>
    <w:rsid w:val="00216680"/>
    <w:rsid w:val="0022763C"/>
    <w:rsid w:val="00227A1A"/>
    <w:rsid w:val="00227D81"/>
    <w:rsid w:val="00231AA9"/>
    <w:rsid w:val="00232851"/>
    <w:rsid w:val="00234376"/>
    <w:rsid w:val="00252404"/>
    <w:rsid w:val="00253ADC"/>
    <w:rsid w:val="002543C5"/>
    <w:rsid w:val="0026004D"/>
    <w:rsid w:val="00262312"/>
    <w:rsid w:val="002710BB"/>
    <w:rsid w:val="002746CD"/>
    <w:rsid w:val="00276943"/>
    <w:rsid w:val="00281580"/>
    <w:rsid w:val="00283B19"/>
    <w:rsid w:val="00284DEB"/>
    <w:rsid w:val="00287437"/>
    <w:rsid w:val="002915C7"/>
    <w:rsid w:val="002925F3"/>
    <w:rsid w:val="0029675D"/>
    <w:rsid w:val="00297420"/>
    <w:rsid w:val="002B14A3"/>
    <w:rsid w:val="002B1933"/>
    <w:rsid w:val="002B2ECF"/>
    <w:rsid w:val="002B59B3"/>
    <w:rsid w:val="002B59D0"/>
    <w:rsid w:val="002B5B22"/>
    <w:rsid w:val="002B679B"/>
    <w:rsid w:val="002B6AFA"/>
    <w:rsid w:val="002B7F33"/>
    <w:rsid w:val="002C05E9"/>
    <w:rsid w:val="002C4709"/>
    <w:rsid w:val="002C6045"/>
    <w:rsid w:val="002C7E3F"/>
    <w:rsid w:val="002D1AD7"/>
    <w:rsid w:val="002E247E"/>
    <w:rsid w:val="002E592D"/>
    <w:rsid w:val="002F3377"/>
    <w:rsid w:val="002F40EF"/>
    <w:rsid w:val="002F5AC8"/>
    <w:rsid w:val="002F6C90"/>
    <w:rsid w:val="002F7281"/>
    <w:rsid w:val="003047D6"/>
    <w:rsid w:val="003150E7"/>
    <w:rsid w:val="00316949"/>
    <w:rsid w:val="00324414"/>
    <w:rsid w:val="003245B7"/>
    <w:rsid w:val="00324D4A"/>
    <w:rsid w:val="00325D1C"/>
    <w:rsid w:val="00331AE8"/>
    <w:rsid w:val="0034242D"/>
    <w:rsid w:val="00342E17"/>
    <w:rsid w:val="003435E2"/>
    <w:rsid w:val="00344E6D"/>
    <w:rsid w:val="00346678"/>
    <w:rsid w:val="00350CE4"/>
    <w:rsid w:val="00355114"/>
    <w:rsid w:val="003679AC"/>
    <w:rsid w:val="003738C6"/>
    <w:rsid w:val="0037629F"/>
    <w:rsid w:val="00382B8D"/>
    <w:rsid w:val="00396295"/>
    <w:rsid w:val="0039769F"/>
    <w:rsid w:val="00397D8E"/>
    <w:rsid w:val="003A01D3"/>
    <w:rsid w:val="003A07D4"/>
    <w:rsid w:val="003A090F"/>
    <w:rsid w:val="003A1AAF"/>
    <w:rsid w:val="003A1B40"/>
    <w:rsid w:val="003A439A"/>
    <w:rsid w:val="003A4510"/>
    <w:rsid w:val="003B03F6"/>
    <w:rsid w:val="003B402E"/>
    <w:rsid w:val="003B4541"/>
    <w:rsid w:val="003B6B93"/>
    <w:rsid w:val="003B7C5D"/>
    <w:rsid w:val="003B7F55"/>
    <w:rsid w:val="003C55B3"/>
    <w:rsid w:val="003C7C2B"/>
    <w:rsid w:val="003D0DB8"/>
    <w:rsid w:val="003D44F8"/>
    <w:rsid w:val="003D79CB"/>
    <w:rsid w:val="003E1087"/>
    <w:rsid w:val="003E2569"/>
    <w:rsid w:val="003E25FF"/>
    <w:rsid w:val="003E4587"/>
    <w:rsid w:val="003F10BA"/>
    <w:rsid w:val="003F17EF"/>
    <w:rsid w:val="003F578B"/>
    <w:rsid w:val="0040341A"/>
    <w:rsid w:val="00403C1E"/>
    <w:rsid w:val="0040490D"/>
    <w:rsid w:val="0040542E"/>
    <w:rsid w:val="00416A00"/>
    <w:rsid w:val="004179EA"/>
    <w:rsid w:val="00421876"/>
    <w:rsid w:val="00422288"/>
    <w:rsid w:val="0042550F"/>
    <w:rsid w:val="00430CE1"/>
    <w:rsid w:val="004347A4"/>
    <w:rsid w:val="00436179"/>
    <w:rsid w:val="00443D7B"/>
    <w:rsid w:val="004454FB"/>
    <w:rsid w:val="00451420"/>
    <w:rsid w:val="004526F2"/>
    <w:rsid w:val="004528EE"/>
    <w:rsid w:val="004536CB"/>
    <w:rsid w:val="00461101"/>
    <w:rsid w:val="00462F46"/>
    <w:rsid w:val="004676C0"/>
    <w:rsid w:val="00472D34"/>
    <w:rsid w:val="00475A32"/>
    <w:rsid w:val="00476ECB"/>
    <w:rsid w:val="004800DB"/>
    <w:rsid w:val="00481670"/>
    <w:rsid w:val="00492768"/>
    <w:rsid w:val="00494FFF"/>
    <w:rsid w:val="00496D7D"/>
    <w:rsid w:val="004B1548"/>
    <w:rsid w:val="004B434A"/>
    <w:rsid w:val="004B480F"/>
    <w:rsid w:val="004B6B5E"/>
    <w:rsid w:val="004C2E43"/>
    <w:rsid w:val="004C4E58"/>
    <w:rsid w:val="004C521D"/>
    <w:rsid w:val="004C6510"/>
    <w:rsid w:val="004C6D46"/>
    <w:rsid w:val="004D0218"/>
    <w:rsid w:val="004D0253"/>
    <w:rsid w:val="004D38AD"/>
    <w:rsid w:val="004D61C4"/>
    <w:rsid w:val="004D6289"/>
    <w:rsid w:val="004D69B4"/>
    <w:rsid w:val="004E441E"/>
    <w:rsid w:val="004E7619"/>
    <w:rsid w:val="004F05D3"/>
    <w:rsid w:val="004F2BF5"/>
    <w:rsid w:val="00500B53"/>
    <w:rsid w:val="005020F0"/>
    <w:rsid w:val="00504B25"/>
    <w:rsid w:val="005127F6"/>
    <w:rsid w:val="00512A89"/>
    <w:rsid w:val="0051557E"/>
    <w:rsid w:val="00521719"/>
    <w:rsid w:val="00522A46"/>
    <w:rsid w:val="00526720"/>
    <w:rsid w:val="00532142"/>
    <w:rsid w:val="0054369E"/>
    <w:rsid w:val="0054493C"/>
    <w:rsid w:val="005507D7"/>
    <w:rsid w:val="00553B2E"/>
    <w:rsid w:val="00553E09"/>
    <w:rsid w:val="00560010"/>
    <w:rsid w:val="00562400"/>
    <w:rsid w:val="005626B1"/>
    <w:rsid w:val="00563742"/>
    <w:rsid w:val="005663BC"/>
    <w:rsid w:val="005667DD"/>
    <w:rsid w:val="005675EB"/>
    <w:rsid w:val="00567A40"/>
    <w:rsid w:val="005702E4"/>
    <w:rsid w:val="00572A95"/>
    <w:rsid w:val="00574AC1"/>
    <w:rsid w:val="005765A1"/>
    <w:rsid w:val="005841E9"/>
    <w:rsid w:val="005903EA"/>
    <w:rsid w:val="0059295F"/>
    <w:rsid w:val="00594BCF"/>
    <w:rsid w:val="005962BF"/>
    <w:rsid w:val="0059651E"/>
    <w:rsid w:val="00597E79"/>
    <w:rsid w:val="005A00A9"/>
    <w:rsid w:val="005A1C63"/>
    <w:rsid w:val="005A5955"/>
    <w:rsid w:val="005A754D"/>
    <w:rsid w:val="005A7F12"/>
    <w:rsid w:val="005B6E76"/>
    <w:rsid w:val="005B7C55"/>
    <w:rsid w:val="005C0665"/>
    <w:rsid w:val="005C306B"/>
    <w:rsid w:val="005C3BFE"/>
    <w:rsid w:val="005C4AA6"/>
    <w:rsid w:val="005C5922"/>
    <w:rsid w:val="005D043B"/>
    <w:rsid w:val="005D1C14"/>
    <w:rsid w:val="005E0AC3"/>
    <w:rsid w:val="005E1DE3"/>
    <w:rsid w:val="005E29B6"/>
    <w:rsid w:val="005F6ED3"/>
    <w:rsid w:val="005F6FAF"/>
    <w:rsid w:val="00603C94"/>
    <w:rsid w:val="00604E1C"/>
    <w:rsid w:val="00605A81"/>
    <w:rsid w:val="006125B2"/>
    <w:rsid w:val="00614D74"/>
    <w:rsid w:val="0061737C"/>
    <w:rsid w:val="00621CBC"/>
    <w:rsid w:val="00624608"/>
    <w:rsid w:val="006277EE"/>
    <w:rsid w:val="006339B1"/>
    <w:rsid w:val="00634012"/>
    <w:rsid w:val="00635A01"/>
    <w:rsid w:val="00640872"/>
    <w:rsid w:val="00641A7A"/>
    <w:rsid w:val="0064513B"/>
    <w:rsid w:val="00650FCC"/>
    <w:rsid w:val="00657B44"/>
    <w:rsid w:val="00664969"/>
    <w:rsid w:val="00675A0E"/>
    <w:rsid w:val="00677C78"/>
    <w:rsid w:val="00677F27"/>
    <w:rsid w:val="00680020"/>
    <w:rsid w:val="00680863"/>
    <w:rsid w:val="006812E4"/>
    <w:rsid w:val="00683091"/>
    <w:rsid w:val="0068561C"/>
    <w:rsid w:val="00690D97"/>
    <w:rsid w:val="00692539"/>
    <w:rsid w:val="00693A6A"/>
    <w:rsid w:val="00694930"/>
    <w:rsid w:val="00695246"/>
    <w:rsid w:val="006972BF"/>
    <w:rsid w:val="006A11AB"/>
    <w:rsid w:val="006A4401"/>
    <w:rsid w:val="006A5E97"/>
    <w:rsid w:val="006A70E4"/>
    <w:rsid w:val="006A7DB4"/>
    <w:rsid w:val="006B6FAD"/>
    <w:rsid w:val="006C5FAB"/>
    <w:rsid w:val="006C6594"/>
    <w:rsid w:val="006D1985"/>
    <w:rsid w:val="006D33E3"/>
    <w:rsid w:val="006D38DC"/>
    <w:rsid w:val="006D48C2"/>
    <w:rsid w:val="006E05CA"/>
    <w:rsid w:val="006E1A1B"/>
    <w:rsid w:val="006E1E23"/>
    <w:rsid w:val="006E61E6"/>
    <w:rsid w:val="006E6F2D"/>
    <w:rsid w:val="006F09D9"/>
    <w:rsid w:val="006F2A8E"/>
    <w:rsid w:val="006F3AFE"/>
    <w:rsid w:val="006F3C27"/>
    <w:rsid w:val="006F4B21"/>
    <w:rsid w:val="0070062C"/>
    <w:rsid w:val="00700BA1"/>
    <w:rsid w:val="00704774"/>
    <w:rsid w:val="00706255"/>
    <w:rsid w:val="0070695E"/>
    <w:rsid w:val="00712356"/>
    <w:rsid w:val="007148A2"/>
    <w:rsid w:val="00715729"/>
    <w:rsid w:val="00722773"/>
    <w:rsid w:val="00722FD9"/>
    <w:rsid w:val="00723D4A"/>
    <w:rsid w:val="00725A6A"/>
    <w:rsid w:val="00730327"/>
    <w:rsid w:val="00732E24"/>
    <w:rsid w:val="007343EA"/>
    <w:rsid w:val="007437A8"/>
    <w:rsid w:val="00744637"/>
    <w:rsid w:val="007464B5"/>
    <w:rsid w:val="00746D81"/>
    <w:rsid w:val="007517F5"/>
    <w:rsid w:val="007519B7"/>
    <w:rsid w:val="00752526"/>
    <w:rsid w:val="007548CF"/>
    <w:rsid w:val="0075682C"/>
    <w:rsid w:val="00756EA3"/>
    <w:rsid w:val="00763353"/>
    <w:rsid w:val="00763F47"/>
    <w:rsid w:val="00764FC6"/>
    <w:rsid w:val="0076790D"/>
    <w:rsid w:val="00773870"/>
    <w:rsid w:val="00774414"/>
    <w:rsid w:val="00780F38"/>
    <w:rsid w:val="00781B46"/>
    <w:rsid w:val="007825A2"/>
    <w:rsid w:val="00782F46"/>
    <w:rsid w:val="00783A41"/>
    <w:rsid w:val="00793674"/>
    <w:rsid w:val="007A0496"/>
    <w:rsid w:val="007A389D"/>
    <w:rsid w:val="007B03B8"/>
    <w:rsid w:val="007B209D"/>
    <w:rsid w:val="007B6052"/>
    <w:rsid w:val="007C3B2B"/>
    <w:rsid w:val="007C42A1"/>
    <w:rsid w:val="007C5699"/>
    <w:rsid w:val="007C5A1F"/>
    <w:rsid w:val="007D071A"/>
    <w:rsid w:val="007D634A"/>
    <w:rsid w:val="007D7246"/>
    <w:rsid w:val="007D7A2E"/>
    <w:rsid w:val="007E4F0D"/>
    <w:rsid w:val="007E6548"/>
    <w:rsid w:val="007E783C"/>
    <w:rsid w:val="007F3856"/>
    <w:rsid w:val="007F3A28"/>
    <w:rsid w:val="00800917"/>
    <w:rsid w:val="00800E53"/>
    <w:rsid w:val="008129B4"/>
    <w:rsid w:val="0081334E"/>
    <w:rsid w:val="00815D06"/>
    <w:rsid w:val="00816FF2"/>
    <w:rsid w:val="00823388"/>
    <w:rsid w:val="0082389F"/>
    <w:rsid w:val="00825F92"/>
    <w:rsid w:val="00826249"/>
    <w:rsid w:val="008308D5"/>
    <w:rsid w:val="008311EB"/>
    <w:rsid w:val="00836077"/>
    <w:rsid w:val="00840141"/>
    <w:rsid w:val="00841DCB"/>
    <w:rsid w:val="00841EA3"/>
    <w:rsid w:val="008432AB"/>
    <w:rsid w:val="00843362"/>
    <w:rsid w:val="0084432B"/>
    <w:rsid w:val="00850023"/>
    <w:rsid w:val="00851216"/>
    <w:rsid w:val="00852868"/>
    <w:rsid w:val="00856A14"/>
    <w:rsid w:val="0085728E"/>
    <w:rsid w:val="00861A36"/>
    <w:rsid w:val="00872CF0"/>
    <w:rsid w:val="0087412B"/>
    <w:rsid w:val="0087414C"/>
    <w:rsid w:val="00875303"/>
    <w:rsid w:val="00880F9D"/>
    <w:rsid w:val="00882466"/>
    <w:rsid w:val="00882E6F"/>
    <w:rsid w:val="00883A23"/>
    <w:rsid w:val="00896FE2"/>
    <w:rsid w:val="00897BC6"/>
    <w:rsid w:val="008A001C"/>
    <w:rsid w:val="008A4A91"/>
    <w:rsid w:val="008A6FEA"/>
    <w:rsid w:val="008B3560"/>
    <w:rsid w:val="008B49EB"/>
    <w:rsid w:val="008B4A21"/>
    <w:rsid w:val="008C2DC4"/>
    <w:rsid w:val="008C4168"/>
    <w:rsid w:val="008C476E"/>
    <w:rsid w:val="008C75EE"/>
    <w:rsid w:val="008D233C"/>
    <w:rsid w:val="008E0AD5"/>
    <w:rsid w:val="008E2B2D"/>
    <w:rsid w:val="008E3BA1"/>
    <w:rsid w:val="008F3DDF"/>
    <w:rsid w:val="008F47D9"/>
    <w:rsid w:val="008F6FF2"/>
    <w:rsid w:val="008F79E3"/>
    <w:rsid w:val="009003D3"/>
    <w:rsid w:val="00902C4D"/>
    <w:rsid w:val="00904658"/>
    <w:rsid w:val="00907C8F"/>
    <w:rsid w:val="00907E67"/>
    <w:rsid w:val="009110C4"/>
    <w:rsid w:val="009124E2"/>
    <w:rsid w:val="00912B8A"/>
    <w:rsid w:val="009143E1"/>
    <w:rsid w:val="009260CB"/>
    <w:rsid w:val="00931F3E"/>
    <w:rsid w:val="00932031"/>
    <w:rsid w:val="00932308"/>
    <w:rsid w:val="00932D69"/>
    <w:rsid w:val="00934252"/>
    <w:rsid w:val="00937F0A"/>
    <w:rsid w:val="0094305B"/>
    <w:rsid w:val="00944618"/>
    <w:rsid w:val="00951B65"/>
    <w:rsid w:val="00954937"/>
    <w:rsid w:val="009558C3"/>
    <w:rsid w:val="009579B3"/>
    <w:rsid w:val="00961BE6"/>
    <w:rsid w:val="009637EF"/>
    <w:rsid w:val="009661F6"/>
    <w:rsid w:val="00966F69"/>
    <w:rsid w:val="0096795C"/>
    <w:rsid w:val="00976C4E"/>
    <w:rsid w:val="00981479"/>
    <w:rsid w:val="00981823"/>
    <w:rsid w:val="00981C9B"/>
    <w:rsid w:val="00986140"/>
    <w:rsid w:val="00996A10"/>
    <w:rsid w:val="00997136"/>
    <w:rsid w:val="009978B8"/>
    <w:rsid w:val="009978C1"/>
    <w:rsid w:val="009B0286"/>
    <w:rsid w:val="009B0F9F"/>
    <w:rsid w:val="009B481F"/>
    <w:rsid w:val="009B5563"/>
    <w:rsid w:val="009B6C98"/>
    <w:rsid w:val="009C1029"/>
    <w:rsid w:val="009C1F82"/>
    <w:rsid w:val="009C4ECF"/>
    <w:rsid w:val="009C75FB"/>
    <w:rsid w:val="009D70DD"/>
    <w:rsid w:val="009D729B"/>
    <w:rsid w:val="009D7DCE"/>
    <w:rsid w:val="009E0B58"/>
    <w:rsid w:val="009E0C77"/>
    <w:rsid w:val="009E10C3"/>
    <w:rsid w:val="009E1FA7"/>
    <w:rsid w:val="009E2E8C"/>
    <w:rsid w:val="009E3490"/>
    <w:rsid w:val="009F1F46"/>
    <w:rsid w:val="009F433F"/>
    <w:rsid w:val="009F64C2"/>
    <w:rsid w:val="009F6536"/>
    <w:rsid w:val="009F76A4"/>
    <w:rsid w:val="00A00C2A"/>
    <w:rsid w:val="00A011EB"/>
    <w:rsid w:val="00A01338"/>
    <w:rsid w:val="00A03A04"/>
    <w:rsid w:val="00A03A18"/>
    <w:rsid w:val="00A06B18"/>
    <w:rsid w:val="00A10330"/>
    <w:rsid w:val="00A175F4"/>
    <w:rsid w:val="00A222D8"/>
    <w:rsid w:val="00A22C18"/>
    <w:rsid w:val="00A230B0"/>
    <w:rsid w:val="00A23F3F"/>
    <w:rsid w:val="00A25E84"/>
    <w:rsid w:val="00A27225"/>
    <w:rsid w:val="00A30AD2"/>
    <w:rsid w:val="00A31142"/>
    <w:rsid w:val="00A32C8A"/>
    <w:rsid w:val="00A33012"/>
    <w:rsid w:val="00A44B6C"/>
    <w:rsid w:val="00A469D5"/>
    <w:rsid w:val="00A50E82"/>
    <w:rsid w:val="00A56A58"/>
    <w:rsid w:val="00A571E6"/>
    <w:rsid w:val="00A573A5"/>
    <w:rsid w:val="00A57CA3"/>
    <w:rsid w:val="00A6031B"/>
    <w:rsid w:val="00A604A1"/>
    <w:rsid w:val="00A709C9"/>
    <w:rsid w:val="00A73606"/>
    <w:rsid w:val="00A75627"/>
    <w:rsid w:val="00A81F17"/>
    <w:rsid w:val="00A835E5"/>
    <w:rsid w:val="00A85B53"/>
    <w:rsid w:val="00A875C1"/>
    <w:rsid w:val="00A90F76"/>
    <w:rsid w:val="00A9101A"/>
    <w:rsid w:val="00A91516"/>
    <w:rsid w:val="00AA5B1F"/>
    <w:rsid w:val="00AB07E3"/>
    <w:rsid w:val="00AB389A"/>
    <w:rsid w:val="00AB5AE2"/>
    <w:rsid w:val="00AB607B"/>
    <w:rsid w:val="00AC0A04"/>
    <w:rsid w:val="00AC31C9"/>
    <w:rsid w:val="00AC3C82"/>
    <w:rsid w:val="00AD18EF"/>
    <w:rsid w:val="00AD1F82"/>
    <w:rsid w:val="00AD36DC"/>
    <w:rsid w:val="00AD4971"/>
    <w:rsid w:val="00AD6401"/>
    <w:rsid w:val="00AE3735"/>
    <w:rsid w:val="00AE6295"/>
    <w:rsid w:val="00AE671A"/>
    <w:rsid w:val="00AF12DA"/>
    <w:rsid w:val="00AF1D16"/>
    <w:rsid w:val="00AF20D0"/>
    <w:rsid w:val="00AF2C6B"/>
    <w:rsid w:val="00AF2EC7"/>
    <w:rsid w:val="00AF54E2"/>
    <w:rsid w:val="00B05DE1"/>
    <w:rsid w:val="00B07E38"/>
    <w:rsid w:val="00B118B3"/>
    <w:rsid w:val="00B14339"/>
    <w:rsid w:val="00B15602"/>
    <w:rsid w:val="00B17867"/>
    <w:rsid w:val="00B21392"/>
    <w:rsid w:val="00B21820"/>
    <w:rsid w:val="00B235AA"/>
    <w:rsid w:val="00B244A6"/>
    <w:rsid w:val="00B37B8A"/>
    <w:rsid w:val="00B4008A"/>
    <w:rsid w:val="00B422B3"/>
    <w:rsid w:val="00B47381"/>
    <w:rsid w:val="00B52041"/>
    <w:rsid w:val="00B53496"/>
    <w:rsid w:val="00B603D2"/>
    <w:rsid w:val="00B6262B"/>
    <w:rsid w:val="00B62DC3"/>
    <w:rsid w:val="00B656B1"/>
    <w:rsid w:val="00B6578E"/>
    <w:rsid w:val="00B677EA"/>
    <w:rsid w:val="00B7240C"/>
    <w:rsid w:val="00B74A37"/>
    <w:rsid w:val="00B75EBF"/>
    <w:rsid w:val="00B81011"/>
    <w:rsid w:val="00B81758"/>
    <w:rsid w:val="00B83A21"/>
    <w:rsid w:val="00B83E98"/>
    <w:rsid w:val="00B85B26"/>
    <w:rsid w:val="00B863D4"/>
    <w:rsid w:val="00B92654"/>
    <w:rsid w:val="00B964A1"/>
    <w:rsid w:val="00B96688"/>
    <w:rsid w:val="00BA051B"/>
    <w:rsid w:val="00BA1CCC"/>
    <w:rsid w:val="00BB2D4B"/>
    <w:rsid w:val="00BB7D9E"/>
    <w:rsid w:val="00BC03BF"/>
    <w:rsid w:val="00BC1E91"/>
    <w:rsid w:val="00BD0DB3"/>
    <w:rsid w:val="00BD68D0"/>
    <w:rsid w:val="00BD7D71"/>
    <w:rsid w:val="00BE052F"/>
    <w:rsid w:val="00BE22E4"/>
    <w:rsid w:val="00BF24CE"/>
    <w:rsid w:val="00BF3175"/>
    <w:rsid w:val="00BF627A"/>
    <w:rsid w:val="00BF6DED"/>
    <w:rsid w:val="00BF7BC0"/>
    <w:rsid w:val="00C0426A"/>
    <w:rsid w:val="00C10352"/>
    <w:rsid w:val="00C13E5C"/>
    <w:rsid w:val="00C157FB"/>
    <w:rsid w:val="00C15F88"/>
    <w:rsid w:val="00C16514"/>
    <w:rsid w:val="00C22B11"/>
    <w:rsid w:val="00C26B14"/>
    <w:rsid w:val="00C30EF5"/>
    <w:rsid w:val="00C341D4"/>
    <w:rsid w:val="00C35639"/>
    <w:rsid w:val="00C35ABD"/>
    <w:rsid w:val="00C36666"/>
    <w:rsid w:val="00C36921"/>
    <w:rsid w:val="00C37CFC"/>
    <w:rsid w:val="00C42827"/>
    <w:rsid w:val="00C466CC"/>
    <w:rsid w:val="00C51434"/>
    <w:rsid w:val="00C51E36"/>
    <w:rsid w:val="00C527FE"/>
    <w:rsid w:val="00C53417"/>
    <w:rsid w:val="00C6303B"/>
    <w:rsid w:val="00C63690"/>
    <w:rsid w:val="00C66787"/>
    <w:rsid w:val="00C677E1"/>
    <w:rsid w:val="00C73CC6"/>
    <w:rsid w:val="00C81560"/>
    <w:rsid w:val="00C83F4E"/>
    <w:rsid w:val="00C85271"/>
    <w:rsid w:val="00C85D23"/>
    <w:rsid w:val="00C8730E"/>
    <w:rsid w:val="00C90AF4"/>
    <w:rsid w:val="00C96ECB"/>
    <w:rsid w:val="00C9704B"/>
    <w:rsid w:val="00CA359D"/>
    <w:rsid w:val="00CA5D83"/>
    <w:rsid w:val="00CA6484"/>
    <w:rsid w:val="00CA754C"/>
    <w:rsid w:val="00CA7626"/>
    <w:rsid w:val="00CA7F98"/>
    <w:rsid w:val="00CB0E28"/>
    <w:rsid w:val="00CB7789"/>
    <w:rsid w:val="00CC101A"/>
    <w:rsid w:val="00CC28FA"/>
    <w:rsid w:val="00CC2D38"/>
    <w:rsid w:val="00CC4527"/>
    <w:rsid w:val="00CD0687"/>
    <w:rsid w:val="00CE26FC"/>
    <w:rsid w:val="00CE4FBA"/>
    <w:rsid w:val="00CE630A"/>
    <w:rsid w:val="00CE6E76"/>
    <w:rsid w:val="00CF00EE"/>
    <w:rsid w:val="00CF27C9"/>
    <w:rsid w:val="00CF3CF1"/>
    <w:rsid w:val="00CF5831"/>
    <w:rsid w:val="00D04C5B"/>
    <w:rsid w:val="00D05D9B"/>
    <w:rsid w:val="00D13B79"/>
    <w:rsid w:val="00D1774A"/>
    <w:rsid w:val="00D210C9"/>
    <w:rsid w:val="00D23211"/>
    <w:rsid w:val="00D27CDB"/>
    <w:rsid w:val="00D4270C"/>
    <w:rsid w:val="00D45960"/>
    <w:rsid w:val="00D463C4"/>
    <w:rsid w:val="00D477AE"/>
    <w:rsid w:val="00D53C44"/>
    <w:rsid w:val="00D55B15"/>
    <w:rsid w:val="00D56FB4"/>
    <w:rsid w:val="00D57F7C"/>
    <w:rsid w:val="00D64EFA"/>
    <w:rsid w:val="00D66ECB"/>
    <w:rsid w:val="00D701BF"/>
    <w:rsid w:val="00D7043B"/>
    <w:rsid w:val="00D71221"/>
    <w:rsid w:val="00D72C98"/>
    <w:rsid w:val="00D75C5D"/>
    <w:rsid w:val="00D7774B"/>
    <w:rsid w:val="00D77D5C"/>
    <w:rsid w:val="00D81156"/>
    <w:rsid w:val="00D82A74"/>
    <w:rsid w:val="00D87B6A"/>
    <w:rsid w:val="00D9463C"/>
    <w:rsid w:val="00D94E04"/>
    <w:rsid w:val="00D97FB6"/>
    <w:rsid w:val="00DA3125"/>
    <w:rsid w:val="00DA3143"/>
    <w:rsid w:val="00DB11B0"/>
    <w:rsid w:val="00DB330B"/>
    <w:rsid w:val="00DB41AC"/>
    <w:rsid w:val="00DB4908"/>
    <w:rsid w:val="00DC04B9"/>
    <w:rsid w:val="00DC4F26"/>
    <w:rsid w:val="00DC621A"/>
    <w:rsid w:val="00DD279A"/>
    <w:rsid w:val="00DD3732"/>
    <w:rsid w:val="00DD5A39"/>
    <w:rsid w:val="00DE5AF0"/>
    <w:rsid w:val="00DE672F"/>
    <w:rsid w:val="00DE7A4F"/>
    <w:rsid w:val="00DF13AD"/>
    <w:rsid w:val="00DF2AF8"/>
    <w:rsid w:val="00DF2B17"/>
    <w:rsid w:val="00DF7D4D"/>
    <w:rsid w:val="00E00C48"/>
    <w:rsid w:val="00E01B0F"/>
    <w:rsid w:val="00E039FD"/>
    <w:rsid w:val="00E04A89"/>
    <w:rsid w:val="00E0527B"/>
    <w:rsid w:val="00E05FBC"/>
    <w:rsid w:val="00E11270"/>
    <w:rsid w:val="00E12705"/>
    <w:rsid w:val="00E174CE"/>
    <w:rsid w:val="00E25E0B"/>
    <w:rsid w:val="00E26778"/>
    <w:rsid w:val="00E26DCD"/>
    <w:rsid w:val="00E342DD"/>
    <w:rsid w:val="00E3442F"/>
    <w:rsid w:val="00E35728"/>
    <w:rsid w:val="00E365F0"/>
    <w:rsid w:val="00E37140"/>
    <w:rsid w:val="00E40422"/>
    <w:rsid w:val="00E406F1"/>
    <w:rsid w:val="00E420B8"/>
    <w:rsid w:val="00E43C5C"/>
    <w:rsid w:val="00E52A86"/>
    <w:rsid w:val="00E6032C"/>
    <w:rsid w:val="00E603AA"/>
    <w:rsid w:val="00E61666"/>
    <w:rsid w:val="00E61BC3"/>
    <w:rsid w:val="00E6287D"/>
    <w:rsid w:val="00E62BEC"/>
    <w:rsid w:val="00E653B2"/>
    <w:rsid w:val="00E710DE"/>
    <w:rsid w:val="00E74F90"/>
    <w:rsid w:val="00E856D9"/>
    <w:rsid w:val="00E85B20"/>
    <w:rsid w:val="00E91112"/>
    <w:rsid w:val="00E92786"/>
    <w:rsid w:val="00E9327E"/>
    <w:rsid w:val="00E9643A"/>
    <w:rsid w:val="00E97779"/>
    <w:rsid w:val="00EA619A"/>
    <w:rsid w:val="00EB013C"/>
    <w:rsid w:val="00EB5C4E"/>
    <w:rsid w:val="00EC4EA5"/>
    <w:rsid w:val="00EC5012"/>
    <w:rsid w:val="00EC5231"/>
    <w:rsid w:val="00EC5D9F"/>
    <w:rsid w:val="00EE16EB"/>
    <w:rsid w:val="00EF00DC"/>
    <w:rsid w:val="00EF27A0"/>
    <w:rsid w:val="00EF4F26"/>
    <w:rsid w:val="00EF528E"/>
    <w:rsid w:val="00F03647"/>
    <w:rsid w:val="00F0687C"/>
    <w:rsid w:val="00F10C16"/>
    <w:rsid w:val="00F1544B"/>
    <w:rsid w:val="00F16D4C"/>
    <w:rsid w:val="00F21C8D"/>
    <w:rsid w:val="00F22300"/>
    <w:rsid w:val="00F22705"/>
    <w:rsid w:val="00F27176"/>
    <w:rsid w:val="00F273FF"/>
    <w:rsid w:val="00F32AE6"/>
    <w:rsid w:val="00F34419"/>
    <w:rsid w:val="00F35DAD"/>
    <w:rsid w:val="00F434C5"/>
    <w:rsid w:val="00F50194"/>
    <w:rsid w:val="00F518AC"/>
    <w:rsid w:val="00F51BB5"/>
    <w:rsid w:val="00F529B2"/>
    <w:rsid w:val="00F5447E"/>
    <w:rsid w:val="00F55E5B"/>
    <w:rsid w:val="00F61057"/>
    <w:rsid w:val="00F62BA7"/>
    <w:rsid w:val="00F63B5B"/>
    <w:rsid w:val="00F679A1"/>
    <w:rsid w:val="00F71D54"/>
    <w:rsid w:val="00F73528"/>
    <w:rsid w:val="00F73F70"/>
    <w:rsid w:val="00F75C92"/>
    <w:rsid w:val="00F76923"/>
    <w:rsid w:val="00F80A5B"/>
    <w:rsid w:val="00F811D2"/>
    <w:rsid w:val="00F85AF6"/>
    <w:rsid w:val="00F85C1B"/>
    <w:rsid w:val="00F879FC"/>
    <w:rsid w:val="00F90921"/>
    <w:rsid w:val="00F9237E"/>
    <w:rsid w:val="00F9692A"/>
    <w:rsid w:val="00F97F3E"/>
    <w:rsid w:val="00FA0790"/>
    <w:rsid w:val="00FA1F39"/>
    <w:rsid w:val="00FA6F86"/>
    <w:rsid w:val="00FB0C0D"/>
    <w:rsid w:val="00FB1BCB"/>
    <w:rsid w:val="00FB28DE"/>
    <w:rsid w:val="00FB6D1F"/>
    <w:rsid w:val="00FC4A2F"/>
    <w:rsid w:val="00FC6BE2"/>
    <w:rsid w:val="00FD00D9"/>
    <w:rsid w:val="00FD2B89"/>
    <w:rsid w:val="00FD2FB9"/>
    <w:rsid w:val="00FD399E"/>
    <w:rsid w:val="00FD425F"/>
    <w:rsid w:val="00FD55C1"/>
    <w:rsid w:val="00FD7898"/>
    <w:rsid w:val="00FE5726"/>
    <w:rsid w:val="00FF1B9C"/>
    <w:rsid w:val="00FF2EEB"/>
    <w:rsid w:val="00FF505B"/>
    <w:rsid w:val="00FF5798"/>
    <w:rsid w:val="00FF5C8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334E7E5"/>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48C2"/>
    <w:pPr>
      <w:keepNext/>
      <w:spacing w:after="120" w:line="240" w:lineRule="auto"/>
      <w:ind w:firstLine="720"/>
      <w:jc w:val="center"/>
      <w:outlineLvl w:val="0"/>
    </w:pPr>
    <w:rPr>
      <w:rFonts w:ascii="Times New Roman" w:eastAsia="Times New Roman" w:hAnsi="Times New Roman" w:cs="Times New Roman"/>
      <w:b/>
      <w:sz w:val="32"/>
      <w:szCs w:val="28"/>
    </w:rPr>
  </w:style>
  <w:style w:type="paragraph" w:styleId="Heading2">
    <w:name w:val="heading 2"/>
    <w:basedOn w:val="Normal"/>
    <w:next w:val="Normal"/>
    <w:link w:val="Heading2Char"/>
    <w:semiHidden/>
    <w:unhideWhenUsed/>
    <w:qFormat/>
    <w:rsid w:val="006D48C2"/>
    <w:pPr>
      <w:keepNext/>
      <w:spacing w:before="240" w:after="60" w:line="240" w:lineRule="auto"/>
      <w:ind w:firstLine="720"/>
      <w:jc w:val="both"/>
      <w:outlineLvl w:val="1"/>
    </w:pPr>
    <w:rPr>
      <w:rFonts w:ascii="Calibri Light" w:eastAsia="Times New Roman" w:hAnsi="Calibri Light" w:cs="Times New Roman"/>
      <w:b/>
      <w:bCs/>
      <w:i/>
      <w:iCs/>
      <w:sz w:val="28"/>
      <w:szCs w:val="28"/>
      <w:lang w:eastAsia="x-none"/>
    </w:rPr>
  </w:style>
  <w:style w:type="paragraph" w:styleId="Heading3">
    <w:name w:val="heading 3"/>
    <w:basedOn w:val="Normal"/>
    <w:next w:val="Normal"/>
    <w:link w:val="Heading3Char"/>
    <w:qFormat/>
    <w:rsid w:val="00033993"/>
    <w:pPr>
      <w:keepNext/>
      <w:spacing w:after="0" w:line="240" w:lineRule="auto"/>
      <w:ind w:firstLine="709"/>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951B65"/>
    <w:pPr>
      <w:ind w:left="720"/>
      <w:contextualSpacing/>
    </w:pPr>
  </w:style>
  <w:style w:type="paragraph" w:styleId="Header">
    <w:name w:val="header"/>
    <w:basedOn w:val="Normal"/>
    <w:link w:val="HeaderChar"/>
    <w:uiPriority w:val="99"/>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6E6F2D"/>
    <w:rPr>
      <w:vertAlign w:val="superscript"/>
    </w:rPr>
  </w:style>
  <w:style w:type="character" w:styleId="Hyperlink">
    <w:name w:val="Hyperlink"/>
    <w:rsid w:val="00B83A21"/>
    <w:rPr>
      <w:color w:val="0000FF"/>
      <w:u w:val="single"/>
    </w:rPr>
  </w:style>
  <w:style w:type="character" w:styleId="CommentReference">
    <w:name w:val="annotation reference"/>
    <w:basedOn w:val="DefaultParagraphFont"/>
    <w:unhideWhenUsed/>
    <w:rsid w:val="00CA7F98"/>
    <w:rPr>
      <w:sz w:val="16"/>
      <w:szCs w:val="16"/>
    </w:rPr>
  </w:style>
  <w:style w:type="paragraph" w:styleId="CommentText">
    <w:name w:val="annotation text"/>
    <w:basedOn w:val="Normal"/>
    <w:link w:val="CommentTextChar"/>
    <w:unhideWhenUsed/>
    <w:rsid w:val="00CA7F98"/>
    <w:pPr>
      <w:spacing w:line="240" w:lineRule="auto"/>
    </w:pPr>
    <w:rPr>
      <w:sz w:val="20"/>
      <w:szCs w:val="20"/>
    </w:rPr>
  </w:style>
  <w:style w:type="character" w:customStyle="1" w:styleId="CommentTextChar">
    <w:name w:val="Comment Text Char"/>
    <w:basedOn w:val="DefaultParagraphFont"/>
    <w:link w:val="CommentText"/>
    <w:rsid w:val="00CA7F98"/>
    <w:rPr>
      <w:sz w:val="20"/>
      <w:szCs w:val="20"/>
    </w:rPr>
  </w:style>
  <w:style w:type="paragraph" w:styleId="CommentSubject">
    <w:name w:val="annotation subject"/>
    <w:basedOn w:val="CommentText"/>
    <w:next w:val="CommentText"/>
    <w:link w:val="CommentSubjectChar"/>
    <w:unhideWhenUsed/>
    <w:rsid w:val="00CA7F98"/>
    <w:rPr>
      <w:b/>
      <w:bCs/>
    </w:rPr>
  </w:style>
  <w:style w:type="character" w:customStyle="1" w:styleId="CommentSubjectChar">
    <w:name w:val="Comment Subject Char"/>
    <w:basedOn w:val="CommentTextChar"/>
    <w:link w:val="CommentSubject"/>
    <w:rsid w:val="00CA7F98"/>
    <w:rPr>
      <w:b/>
      <w:bCs/>
      <w:sz w:val="20"/>
      <w:szCs w:val="20"/>
    </w:rPr>
  </w:style>
  <w:style w:type="paragraph" w:styleId="BalloonText">
    <w:name w:val="Balloon Text"/>
    <w:basedOn w:val="Normal"/>
    <w:link w:val="BalloonTextChar"/>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 w:type="character" w:styleId="FollowedHyperlink">
    <w:name w:val="FollowedHyperlink"/>
    <w:basedOn w:val="DefaultParagraphFont"/>
    <w:uiPriority w:val="99"/>
    <w:semiHidden/>
    <w:unhideWhenUsed/>
    <w:rsid w:val="007A389D"/>
    <w:rPr>
      <w:color w:val="954F72" w:themeColor="followedHyperlink"/>
      <w:u w:val="single"/>
    </w:rPr>
  </w:style>
  <w:style w:type="paragraph" w:styleId="FootnoteText">
    <w:name w:val="footnote text"/>
    <w:basedOn w:val="Normal"/>
    <w:link w:val="FootnoteTextChar"/>
    <w:uiPriority w:val="99"/>
    <w:unhideWhenUsed/>
    <w:rsid w:val="00475A3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475A32"/>
    <w:rPr>
      <w:rFonts w:ascii="Times New Roman" w:hAnsi="Times New Roman"/>
      <w:sz w:val="20"/>
      <w:szCs w:val="20"/>
    </w:rPr>
  </w:style>
  <w:style w:type="character" w:customStyle="1" w:styleId="Heading3Char">
    <w:name w:val="Heading 3 Char"/>
    <w:basedOn w:val="DefaultParagraphFont"/>
    <w:link w:val="Heading3"/>
    <w:rsid w:val="00033993"/>
    <w:rPr>
      <w:rFonts w:ascii="Times New Roman" w:eastAsia="Times New Roman" w:hAnsi="Times New Roman" w:cs="Times New Roman"/>
      <w:sz w:val="28"/>
      <w:szCs w:val="20"/>
    </w:rPr>
  </w:style>
  <w:style w:type="table" w:customStyle="1" w:styleId="TableGrid61">
    <w:name w:val="Table Grid61"/>
    <w:basedOn w:val="TableNormal"/>
    <w:next w:val="TableGrid"/>
    <w:uiPriority w:val="39"/>
    <w:rsid w:val="000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5F3"/>
    <w:pPr>
      <w:spacing w:after="0" w:line="240" w:lineRule="auto"/>
    </w:pPr>
  </w:style>
  <w:style w:type="table" w:styleId="ListTable4-Accent1">
    <w:name w:val="List Table 4 Accent 1"/>
    <w:basedOn w:val="TableNormal"/>
    <w:uiPriority w:val="49"/>
    <w:rsid w:val="00FF5C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1">
    <w:name w:val="List Table 6 Colorful Accent 1"/>
    <w:basedOn w:val="TableNormal"/>
    <w:uiPriority w:val="51"/>
    <w:rsid w:val="00FF5C8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4">
    <w:name w:val="List Table 1 Light Accent 4"/>
    <w:basedOn w:val="TableNormal"/>
    <w:uiPriority w:val="46"/>
    <w:rsid w:val="00FF5C8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5C8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4">
    <w:name w:val="List Table 6 Colorful Accent 4"/>
    <w:basedOn w:val="TableNormal"/>
    <w:uiPriority w:val="51"/>
    <w:rsid w:val="00FF5C8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FF5C8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rsid w:val="006D48C2"/>
    <w:rPr>
      <w:rFonts w:ascii="Times New Roman" w:eastAsia="Times New Roman" w:hAnsi="Times New Roman" w:cs="Times New Roman"/>
      <w:b/>
      <w:sz w:val="32"/>
      <w:szCs w:val="28"/>
    </w:rPr>
  </w:style>
  <w:style w:type="character" w:customStyle="1" w:styleId="Heading2Char">
    <w:name w:val="Heading 2 Char"/>
    <w:basedOn w:val="DefaultParagraphFont"/>
    <w:link w:val="Heading2"/>
    <w:semiHidden/>
    <w:rsid w:val="006D48C2"/>
    <w:rPr>
      <w:rFonts w:ascii="Calibri Light" w:eastAsia="Times New Roman" w:hAnsi="Calibri Light" w:cs="Times New Roman"/>
      <w:b/>
      <w:bCs/>
      <w:i/>
      <w:iCs/>
      <w:sz w:val="28"/>
      <w:szCs w:val="28"/>
      <w:lang w:eastAsia="x-none"/>
    </w:rPr>
  </w:style>
  <w:style w:type="paragraph" w:styleId="BodyTextIndent">
    <w:name w:val="Body Text Indent"/>
    <w:basedOn w:val="Normal"/>
    <w:link w:val="BodyTextIndentChar"/>
    <w:rsid w:val="006D48C2"/>
    <w:pPr>
      <w:spacing w:after="120" w:line="240" w:lineRule="auto"/>
      <w:ind w:left="5040" w:firstLine="720"/>
      <w:jc w:val="right"/>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6D48C2"/>
    <w:rPr>
      <w:rFonts w:ascii="Times New Roman" w:eastAsia="Times New Roman" w:hAnsi="Times New Roman" w:cs="Times New Roman"/>
      <w:sz w:val="28"/>
      <w:szCs w:val="28"/>
    </w:rPr>
  </w:style>
  <w:style w:type="paragraph" w:styleId="DocumentMap">
    <w:name w:val="Document Map"/>
    <w:basedOn w:val="Normal"/>
    <w:link w:val="DocumentMapChar"/>
    <w:semiHidden/>
    <w:rsid w:val="006D48C2"/>
    <w:pPr>
      <w:shd w:val="clear" w:color="auto" w:fill="000080"/>
      <w:spacing w:after="120" w:line="240" w:lineRule="auto"/>
      <w:ind w:firstLine="720"/>
      <w:jc w:val="both"/>
    </w:pPr>
    <w:rPr>
      <w:rFonts w:ascii="Tahoma" w:eastAsia="Times New Roman" w:hAnsi="Tahoma" w:cs="Tahoma"/>
      <w:sz w:val="20"/>
      <w:szCs w:val="28"/>
    </w:rPr>
  </w:style>
  <w:style w:type="character" w:customStyle="1" w:styleId="DocumentMapChar">
    <w:name w:val="Document Map Char"/>
    <w:basedOn w:val="DefaultParagraphFont"/>
    <w:link w:val="DocumentMap"/>
    <w:semiHidden/>
    <w:rsid w:val="006D48C2"/>
    <w:rPr>
      <w:rFonts w:ascii="Tahoma" w:eastAsia="Times New Roman" w:hAnsi="Tahoma" w:cs="Tahoma"/>
      <w:sz w:val="20"/>
      <w:szCs w:val="28"/>
      <w:shd w:val="clear" w:color="auto" w:fill="000080"/>
    </w:rPr>
  </w:style>
  <w:style w:type="paragraph" w:customStyle="1" w:styleId="naisf">
    <w:name w:val="naisf"/>
    <w:basedOn w:val="Normal"/>
    <w:rsid w:val="006D48C2"/>
    <w:pPr>
      <w:widowControl w:val="0"/>
      <w:adjustRightInd w:val="0"/>
      <w:spacing w:before="100" w:after="100" w:line="360" w:lineRule="atLeast"/>
      <w:ind w:firstLine="500"/>
      <w:jc w:val="both"/>
      <w:textAlignment w:val="baseline"/>
    </w:pPr>
    <w:rPr>
      <w:rFonts w:ascii="Times New Roman" w:eastAsia="Times New Roman" w:hAnsi="Times New Roman" w:cs="Times New Roman"/>
      <w:sz w:val="24"/>
      <w:szCs w:val="24"/>
      <w:lang w:eastAsia="lv-LV"/>
    </w:rPr>
  </w:style>
  <w:style w:type="paragraph" w:customStyle="1" w:styleId="RakstzCharCharRakstzCharCharRakstz2">
    <w:name w:val="Rakstz. Char Char Rakstz. Char Char Rakstz.2"/>
    <w:basedOn w:val="Normal"/>
    <w:rsid w:val="006D48C2"/>
    <w:pPr>
      <w:spacing w:line="240" w:lineRule="exact"/>
    </w:pPr>
    <w:rPr>
      <w:rFonts w:ascii="Tahoma" w:eastAsia="Times New Roman" w:hAnsi="Tahoma" w:cs="Tahoma"/>
      <w:sz w:val="20"/>
      <w:szCs w:val="20"/>
      <w:lang w:val="en-US"/>
    </w:rPr>
  </w:style>
  <w:style w:type="character" w:customStyle="1" w:styleId="StyleStrong12ptNotBold">
    <w:name w:val="Style Strong + 12 pt Not Bold"/>
    <w:rsid w:val="006D48C2"/>
    <w:rPr>
      <w:rFonts w:ascii="Times New Roman" w:hAnsi="Times New Roman" w:cs="Times New Roman"/>
      <w:b/>
      <w:bCs/>
      <w:sz w:val="24"/>
      <w:szCs w:val="24"/>
    </w:rPr>
  </w:style>
  <w:style w:type="character" w:styleId="Strong">
    <w:name w:val="Strong"/>
    <w:uiPriority w:val="22"/>
    <w:qFormat/>
    <w:rsid w:val="006D48C2"/>
    <w:rPr>
      <w:b/>
      <w:bCs/>
    </w:rPr>
  </w:style>
  <w:style w:type="character" w:customStyle="1" w:styleId="apple-converted-space">
    <w:name w:val="apple-converted-space"/>
    <w:basedOn w:val="DefaultParagraphFont"/>
    <w:rsid w:val="006D48C2"/>
  </w:style>
  <w:style w:type="paragraph" w:styleId="NormalWeb">
    <w:name w:val="Normal (Web)"/>
    <w:basedOn w:val="Normal"/>
    <w:rsid w:val="006D48C2"/>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6D48C2"/>
    <w:pPr>
      <w:spacing w:after="120" w:line="240" w:lineRule="auto"/>
      <w:ind w:firstLine="72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6D48C2"/>
    <w:rPr>
      <w:rFonts w:ascii="Times New Roman" w:eastAsia="Times New Roman" w:hAnsi="Times New Roman" w:cs="Times New Roman"/>
      <w:sz w:val="28"/>
      <w:szCs w:val="28"/>
    </w:rPr>
  </w:style>
  <w:style w:type="character" w:customStyle="1" w:styleId="UnresolvedMention">
    <w:name w:val="Unresolved Mention"/>
    <w:uiPriority w:val="99"/>
    <w:semiHidden/>
    <w:unhideWhenUsed/>
    <w:rsid w:val="006D48C2"/>
    <w:rPr>
      <w:color w:val="605E5C"/>
      <w:shd w:val="clear" w:color="auto" w:fill="E1DFDD"/>
    </w:rPr>
  </w:style>
  <w:style w:type="table" w:customStyle="1" w:styleId="TableGrid1">
    <w:name w:val="Table Grid1"/>
    <w:basedOn w:val="TableNormal"/>
    <w:next w:val="TableGrid"/>
    <w:uiPriority w:val="3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6D48C2"/>
    <w:pPr>
      <w:spacing w:line="240" w:lineRule="exact"/>
      <w:jc w:val="both"/>
    </w:pPr>
    <w:rPr>
      <w:vertAlign w:val="superscript"/>
    </w:rPr>
  </w:style>
  <w:style w:type="table" w:customStyle="1" w:styleId="TableGrid2">
    <w:name w:val="Table Grid2"/>
    <w:basedOn w:val="TableNormal"/>
    <w:next w:val="TableGrid"/>
    <w:uiPriority w:val="3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D48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0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0253"/>
    <w:rPr>
      <w:sz w:val="20"/>
      <w:szCs w:val="20"/>
    </w:rPr>
  </w:style>
  <w:style w:type="character" w:styleId="EndnoteReference">
    <w:name w:val="endnote reference"/>
    <w:basedOn w:val="DefaultParagraphFont"/>
    <w:uiPriority w:val="99"/>
    <w:semiHidden/>
    <w:unhideWhenUsed/>
    <w:rsid w:val="004D0253"/>
    <w:rPr>
      <w:vertAlign w:val="superscript"/>
    </w:rPr>
  </w:style>
  <w:style w:type="paragraph" w:customStyle="1" w:styleId="xxmsonormal">
    <w:name w:val="x_xmsonormal"/>
    <w:basedOn w:val="Normal"/>
    <w:rsid w:val="007D634A"/>
    <w:pPr>
      <w:spacing w:after="0" w:line="240" w:lineRule="auto"/>
    </w:pPr>
    <w:rPr>
      <w:rFonts w:ascii="Calibri" w:hAnsi="Calibri" w:cs="Calibri"/>
      <w:lang w:eastAsia="lv-LV"/>
    </w:rPr>
  </w:style>
  <w:style w:type="paragraph" w:customStyle="1" w:styleId="xxmsolistparagraph">
    <w:name w:val="x_xmsolistparagraph"/>
    <w:basedOn w:val="Normal"/>
    <w:rsid w:val="007D634A"/>
    <w:pPr>
      <w:spacing w:after="0" w:line="240" w:lineRule="auto"/>
      <w:ind w:left="720"/>
    </w:pPr>
    <w:rPr>
      <w:rFonts w:ascii="Times New Roman" w:hAnsi="Times New Roman" w:cs="Times New Roman"/>
      <w:lang w:eastAsia="lv-LV"/>
    </w:rPr>
  </w:style>
  <w:style w:type="character" w:customStyle="1" w:styleId="xxspelle">
    <w:name w:val="x_xspelle"/>
    <w:basedOn w:val="DefaultParagraphFont"/>
    <w:rsid w:val="007D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9943">
      <w:bodyDiv w:val="1"/>
      <w:marLeft w:val="0"/>
      <w:marRight w:val="0"/>
      <w:marTop w:val="0"/>
      <w:marBottom w:val="0"/>
      <w:divBdr>
        <w:top w:val="none" w:sz="0" w:space="0" w:color="auto"/>
        <w:left w:val="none" w:sz="0" w:space="0" w:color="auto"/>
        <w:bottom w:val="none" w:sz="0" w:space="0" w:color="auto"/>
        <w:right w:val="none" w:sz="0" w:space="0" w:color="auto"/>
      </w:divBdr>
    </w:div>
    <w:div w:id="242690573">
      <w:bodyDiv w:val="1"/>
      <w:marLeft w:val="0"/>
      <w:marRight w:val="0"/>
      <w:marTop w:val="0"/>
      <w:marBottom w:val="0"/>
      <w:divBdr>
        <w:top w:val="none" w:sz="0" w:space="0" w:color="auto"/>
        <w:left w:val="none" w:sz="0" w:space="0" w:color="auto"/>
        <w:bottom w:val="none" w:sz="0" w:space="0" w:color="auto"/>
        <w:right w:val="none" w:sz="0" w:space="0" w:color="auto"/>
      </w:divBdr>
    </w:div>
    <w:div w:id="261845304">
      <w:bodyDiv w:val="1"/>
      <w:marLeft w:val="0"/>
      <w:marRight w:val="0"/>
      <w:marTop w:val="0"/>
      <w:marBottom w:val="0"/>
      <w:divBdr>
        <w:top w:val="none" w:sz="0" w:space="0" w:color="auto"/>
        <w:left w:val="none" w:sz="0" w:space="0" w:color="auto"/>
        <w:bottom w:val="none" w:sz="0" w:space="0" w:color="auto"/>
        <w:right w:val="none" w:sz="0" w:space="0" w:color="auto"/>
      </w:divBdr>
    </w:div>
    <w:div w:id="270013213">
      <w:bodyDiv w:val="1"/>
      <w:marLeft w:val="0"/>
      <w:marRight w:val="0"/>
      <w:marTop w:val="0"/>
      <w:marBottom w:val="0"/>
      <w:divBdr>
        <w:top w:val="none" w:sz="0" w:space="0" w:color="auto"/>
        <w:left w:val="none" w:sz="0" w:space="0" w:color="auto"/>
        <w:bottom w:val="none" w:sz="0" w:space="0" w:color="auto"/>
        <w:right w:val="none" w:sz="0" w:space="0" w:color="auto"/>
      </w:divBdr>
    </w:div>
    <w:div w:id="326060940">
      <w:bodyDiv w:val="1"/>
      <w:marLeft w:val="0"/>
      <w:marRight w:val="0"/>
      <w:marTop w:val="0"/>
      <w:marBottom w:val="0"/>
      <w:divBdr>
        <w:top w:val="none" w:sz="0" w:space="0" w:color="auto"/>
        <w:left w:val="none" w:sz="0" w:space="0" w:color="auto"/>
        <w:bottom w:val="none" w:sz="0" w:space="0" w:color="auto"/>
        <w:right w:val="none" w:sz="0" w:space="0" w:color="auto"/>
      </w:divBdr>
    </w:div>
    <w:div w:id="388774477">
      <w:bodyDiv w:val="1"/>
      <w:marLeft w:val="0"/>
      <w:marRight w:val="0"/>
      <w:marTop w:val="0"/>
      <w:marBottom w:val="0"/>
      <w:divBdr>
        <w:top w:val="none" w:sz="0" w:space="0" w:color="auto"/>
        <w:left w:val="none" w:sz="0" w:space="0" w:color="auto"/>
        <w:bottom w:val="none" w:sz="0" w:space="0" w:color="auto"/>
        <w:right w:val="none" w:sz="0" w:space="0" w:color="auto"/>
      </w:divBdr>
    </w:div>
    <w:div w:id="457844999">
      <w:bodyDiv w:val="1"/>
      <w:marLeft w:val="0"/>
      <w:marRight w:val="0"/>
      <w:marTop w:val="0"/>
      <w:marBottom w:val="0"/>
      <w:divBdr>
        <w:top w:val="none" w:sz="0" w:space="0" w:color="auto"/>
        <w:left w:val="none" w:sz="0" w:space="0" w:color="auto"/>
        <w:bottom w:val="none" w:sz="0" w:space="0" w:color="auto"/>
        <w:right w:val="none" w:sz="0" w:space="0" w:color="auto"/>
      </w:divBdr>
    </w:div>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553395501">
      <w:bodyDiv w:val="1"/>
      <w:marLeft w:val="0"/>
      <w:marRight w:val="0"/>
      <w:marTop w:val="0"/>
      <w:marBottom w:val="0"/>
      <w:divBdr>
        <w:top w:val="none" w:sz="0" w:space="0" w:color="auto"/>
        <w:left w:val="none" w:sz="0" w:space="0" w:color="auto"/>
        <w:bottom w:val="none" w:sz="0" w:space="0" w:color="auto"/>
        <w:right w:val="none" w:sz="0" w:space="0" w:color="auto"/>
      </w:divBdr>
    </w:div>
    <w:div w:id="573124747">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1152605359">
      <w:bodyDiv w:val="1"/>
      <w:marLeft w:val="0"/>
      <w:marRight w:val="0"/>
      <w:marTop w:val="0"/>
      <w:marBottom w:val="0"/>
      <w:divBdr>
        <w:top w:val="none" w:sz="0" w:space="0" w:color="auto"/>
        <w:left w:val="none" w:sz="0" w:space="0" w:color="auto"/>
        <w:bottom w:val="none" w:sz="0" w:space="0" w:color="auto"/>
        <w:right w:val="none" w:sz="0" w:space="0" w:color="auto"/>
      </w:divBdr>
    </w:div>
    <w:div w:id="1238325602">
      <w:bodyDiv w:val="1"/>
      <w:marLeft w:val="0"/>
      <w:marRight w:val="0"/>
      <w:marTop w:val="0"/>
      <w:marBottom w:val="0"/>
      <w:divBdr>
        <w:top w:val="none" w:sz="0" w:space="0" w:color="auto"/>
        <w:left w:val="none" w:sz="0" w:space="0" w:color="auto"/>
        <w:bottom w:val="none" w:sz="0" w:space="0" w:color="auto"/>
        <w:right w:val="none" w:sz="0" w:space="0" w:color="auto"/>
      </w:divBdr>
    </w:div>
    <w:div w:id="1281376870">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577325213">
      <w:bodyDiv w:val="1"/>
      <w:marLeft w:val="0"/>
      <w:marRight w:val="0"/>
      <w:marTop w:val="0"/>
      <w:marBottom w:val="0"/>
      <w:divBdr>
        <w:top w:val="none" w:sz="0" w:space="0" w:color="auto"/>
        <w:left w:val="none" w:sz="0" w:space="0" w:color="auto"/>
        <w:bottom w:val="none" w:sz="0" w:space="0" w:color="auto"/>
        <w:right w:val="none" w:sz="0" w:space="0" w:color="auto"/>
      </w:divBdr>
    </w:div>
    <w:div w:id="1595935874">
      <w:bodyDiv w:val="1"/>
      <w:marLeft w:val="0"/>
      <w:marRight w:val="0"/>
      <w:marTop w:val="0"/>
      <w:marBottom w:val="0"/>
      <w:divBdr>
        <w:top w:val="none" w:sz="0" w:space="0" w:color="auto"/>
        <w:left w:val="none" w:sz="0" w:space="0" w:color="auto"/>
        <w:bottom w:val="none" w:sz="0" w:space="0" w:color="auto"/>
        <w:right w:val="none" w:sz="0" w:space="0" w:color="auto"/>
      </w:divBdr>
    </w:div>
    <w:div w:id="1601601075">
      <w:bodyDiv w:val="1"/>
      <w:marLeft w:val="0"/>
      <w:marRight w:val="0"/>
      <w:marTop w:val="0"/>
      <w:marBottom w:val="0"/>
      <w:divBdr>
        <w:top w:val="none" w:sz="0" w:space="0" w:color="auto"/>
        <w:left w:val="none" w:sz="0" w:space="0" w:color="auto"/>
        <w:bottom w:val="none" w:sz="0" w:space="0" w:color="auto"/>
        <w:right w:val="none" w:sz="0" w:space="0" w:color="auto"/>
      </w:divBdr>
    </w:div>
    <w:div w:id="1680933686">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 w:id="1886672685">
      <w:bodyDiv w:val="1"/>
      <w:marLeft w:val="0"/>
      <w:marRight w:val="0"/>
      <w:marTop w:val="0"/>
      <w:marBottom w:val="0"/>
      <w:divBdr>
        <w:top w:val="none" w:sz="0" w:space="0" w:color="auto"/>
        <w:left w:val="none" w:sz="0" w:space="0" w:color="auto"/>
        <w:bottom w:val="none" w:sz="0" w:space="0" w:color="auto"/>
        <w:right w:val="none" w:sz="0" w:space="0" w:color="auto"/>
      </w:divBdr>
    </w:div>
    <w:div w:id="1922761709">
      <w:bodyDiv w:val="1"/>
      <w:marLeft w:val="0"/>
      <w:marRight w:val="0"/>
      <w:marTop w:val="0"/>
      <w:marBottom w:val="0"/>
      <w:divBdr>
        <w:top w:val="none" w:sz="0" w:space="0" w:color="auto"/>
        <w:left w:val="none" w:sz="0" w:space="0" w:color="auto"/>
        <w:bottom w:val="none" w:sz="0" w:space="0" w:color="auto"/>
        <w:right w:val="none" w:sz="0" w:space="0" w:color="auto"/>
      </w:divBdr>
    </w:div>
    <w:div w:id="1968462920">
      <w:bodyDiv w:val="1"/>
      <w:marLeft w:val="0"/>
      <w:marRight w:val="0"/>
      <w:marTop w:val="0"/>
      <w:marBottom w:val="0"/>
      <w:divBdr>
        <w:top w:val="none" w:sz="0" w:space="0" w:color="auto"/>
        <w:left w:val="none" w:sz="0" w:space="0" w:color="auto"/>
        <w:bottom w:val="none" w:sz="0" w:space="0" w:color="auto"/>
        <w:right w:val="none" w:sz="0" w:space="0" w:color="auto"/>
      </w:divBdr>
    </w:div>
    <w:div w:id="1977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ne.adijane@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8048-par-valsts-pensij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3-valsts-socialo-pabalst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8483-valsts-socialo-pabalstu-likums" TargetMode="External"/><Relationship Id="rId4" Type="http://schemas.openxmlformats.org/officeDocument/2006/relationships/settings" Target="settings.xml"/><Relationship Id="rId9" Type="http://schemas.openxmlformats.org/officeDocument/2006/relationships/hyperlink" Target="https://likumi.lv/ta/id/68483-valsts-socialo-pabalstu-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economy-finance/effect-taxes-and-benefits-reforms-poverty-and-inequality-latv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1BE1-2EAF-4F1B-A636-6E3E2DE9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44</Pages>
  <Words>93478</Words>
  <Characters>53284</Characters>
  <Application>Microsoft Office Word</Application>
  <DocSecurity>0</DocSecurity>
  <Lines>444</Lines>
  <Paragraphs>292</Paragraphs>
  <ScaleCrop>false</ScaleCrop>
  <HeadingPairs>
    <vt:vector size="2" baseType="variant">
      <vt:variant>
        <vt:lpstr>Title</vt:lpstr>
      </vt:variant>
      <vt:variant>
        <vt:i4>1</vt:i4>
      </vt:variant>
    </vt:vector>
  </HeadingPairs>
  <TitlesOfParts>
    <vt:vector size="1" baseType="lpstr">
      <vt:lpstr>Informatīvais ziņojums “Par priekšlikumiem valsts budžeta ieņēmumiem un izdevumiem 2021.gadam un ietvaram 2021.–2023.gadam”</vt:lpstr>
    </vt:vector>
  </TitlesOfParts>
  <Company>Finanšu ministrija</Company>
  <LinksUpToDate>false</LinksUpToDate>
  <CharactersWithSpaces>146470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budžeta ieņēmumiem un izdevumiem 2021.gadam un ietvaram 2021.–2023.gadam”</dc:title>
  <dc:subject>Informatīvais ziņojums</dc:subject>
  <dc:creator>Zane Adijāne</dc:creator>
  <cp:keywords/>
  <dc:description>Zane.Adijane@fm.gov.lv_x000d_
67095437</dc:description>
  <cp:lastModifiedBy>Kristīna Pūre</cp:lastModifiedBy>
  <cp:revision>101</cp:revision>
  <cp:lastPrinted>2019-08-29T08:54:00Z</cp:lastPrinted>
  <dcterms:created xsi:type="dcterms:W3CDTF">2020-09-09T14:29:00Z</dcterms:created>
  <dcterms:modified xsi:type="dcterms:W3CDTF">2020-09-21T09:42:00Z</dcterms:modified>
</cp:coreProperties>
</file>