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AFE7B" w14:textId="77777777" w:rsidR="000D2339" w:rsidRPr="00A956E7" w:rsidRDefault="00F564B2" w:rsidP="00A773A6">
      <w:pPr>
        <w:ind w:firstLine="720"/>
        <w:jc w:val="center"/>
        <w:rPr>
          <w:rFonts w:cs="Times New Roman"/>
          <w:b/>
          <w:sz w:val="28"/>
          <w:szCs w:val="24"/>
        </w:rPr>
      </w:pPr>
      <w:r w:rsidRPr="00A956E7">
        <w:rPr>
          <w:rFonts w:cs="Times New Roman"/>
          <w:b/>
          <w:sz w:val="28"/>
          <w:szCs w:val="24"/>
        </w:rPr>
        <w:t xml:space="preserve">Informatīvais ziņojums </w:t>
      </w:r>
    </w:p>
    <w:p w14:paraId="5F019E8E" w14:textId="77777777" w:rsidR="000D2339" w:rsidRPr="00A956E7" w:rsidRDefault="00F564B2" w:rsidP="00A773A6">
      <w:pPr>
        <w:ind w:firstLine="720"/>
        <w:jc w:val="center"/>
        <w:rPr>
          <w:rFonts w:cs="Times New Roman"/>
          <w:b/>
          <w:sz w:val="28"/>
          <w:szCs w:val="24"/>
        </w:rPr>
      </w:pPr>
      <w:r w:rsidRPr="00A956E7">
        <w:rPr>
          <w:rFonts w:cs="Times New Roman"/>
          <w:b/>
          <w:sz w:val="28"/>
          <w:szCs w:val="24"/>
        </w:rPr>
        <w:t>„Par Eiropas Sta</w:t>
      </w:r>
      <w:r w:rsidR="008849D7" w:rsidRPr="00A956E7">
        <w:rPr>
          <w:rFonts w:cs="Times New Roman"/>
          <w:b/>
          <w:sz w:val="28"/>
          <w:szCs w:val="24"/>
        </w:rPr>
        <w:t>bilitātes mehānisma darbību 2019.</w:t>
      </w:r>
      <w:r w:rsidRPr="00A956E7">
        <w:rPr>
          <w:rFonts w:cs="Times New Roman"/>
          <w:b/>
          <w:sz w:val="28"/>
          <w:szCs w:val="24"/>
        </w:rPr>
        <w:t>gadā”</w:t>
      </w:r>
    </w:p>
    <w:p w14:paraId="5C2CA0AD" w14:textId="77777777" w:rsidR="004626CE" w:rsidRPr="00A773A6" w:rsidRDefault="004626CE" w:rsidP="00A773A6">
      <w:pPr>
        <w:ind w:firstLine="720"/>
        <w:jc w:val="center"/>
        <w:rPr>
          <w:rFonts w:cs="Times New Roman"/>
          <w:b/>
          <w:szCs w:val="24"/>
        </w:rPr>
      </w:pPr>
    </w:p>
    <w:p w14:paraId="371CE6B0" w14:textId="20A409EE" w:rsidR="0029137B" w:rsidRPr="00A773A6" w:rsidRDefault="0029137B" w:rsidP="00A773A6">
      <w:pPr>
        <w:ind w:firstLine="720"/>
        <w:jc w:val="both"/>
        <w:rPr>
          <w:rFonts w:cs="Times New Roman"/>
          <w:szCs w:val="24"/>
        </w:rPr>
      </w:pPr>
      <w:r w:rsidRPr="00A773A6">
        <w:rPr>
          <w:rFonts w:eastAsia="Times New Roman" w:cs="Times New Roman"/>
          <w:szCs w:val="24"/>
        </w:rPr>
        <w:t>Info</w:t>
      </w:r>
      <w:r w:rsidR="008A03CC" w:rsidRPr="00A773A6">
        <w:rPr>
          <w:rFonts w:eastAsia="Times New Roman" w:cs="Times New Roman"/>
          <w:szCs w:val="24"/>
        </w:rPr>
        <w:t>rmatīvais ziņojums ir izstrādāts</w:t>
      </w:r>
      <w:r w:rsidRPr="00A773A6">
        <w:rPr>
          <w:rFonts w:eastAsia="Times New Roman" w:cs="Times New Roman"/>
          <w:szCs w:val="24"/>
        </w:rPr>
        <w:t xml:space="preserve"> saskaņā ar likuma „Par Latvijas pārstāvību Eiropas Stabilitātes mehānisma Valdē un Direktoru padomē” 7.pantu, kas nosaka, ka Ministru kabinets katru gadu ne vēlāk kā trīs mēnešus pēc tam, kad </w:t>
      </w:r>
      <w:r w:rsidR="00D10F53" w:rsidRPr="00A773A6">
        <w:rPr>
          <w:rFonts w:eastAsia="Times New Roman" w:cs="Times New Roman"/>
          <w:szCs w:val="24"/>
        </w:rPr>
        <w:t>Eiropas Stabilitātes mehānisms (turpmāk – ESM)</w:t>
      </w:r>
      <w:r w:rsidRPr="00A773A6">
        <w:rPr>
          <w:rFonts w:eastAsia="Times New Roman" w:cs="Times New Roman"/>
          <w:szCs w:val="24"/>
        </w:rPr>
        <w:t xml:space="preserve"> publicējis gada pārskatu</w:t>
      </w:r>
      <w:r w:rsidR="00617962" w:rsidRPr="00A773A6">
        <w:rPr>
          <w:rStyle w:val="FootnoteReference"/>
          <w:rFonts w:eastAsia="Times New Roman" w:cs="Times New Roman"/>
          <w:szCs w:val="24"/>
        </w:rPr>
        <w:footnoteReference w:id="1"/>
      </w:r>
      <w:r w:rsidR="00617962" w:rsidRPr="00A773A6">
        <w:rPr>
          <w:rFonts w:eastAsia="Times New Roman" w:cs="Times New Roman"/>
          <w:szCs w:val="24"/>
        </w:rPr>
        <w:t xml:space="preserve"> </w:t>
      </w:r>
      <w:r w:rsidRPr="00A773A6">
        <w:rPr>
          <w:rFonts w:eastAsia="Times New Roman" w:cs="Times New Roman"/>
          <w:szCs w:val="24"/>
        </w:rPr>
        <w:t>saskaņā ar Līgum</w:t>
      </w:r>
      <w:r w:rsidR="009F426E" w:rsidRPr="00A773A6">
        <w:rPr>
          <w:rFonts w:eastAsia="Times New Roman" w:cs="Times New Roman"/>
          <w:szCs w:val="24"/>
        </w:rPr>
        <w:t>a</w:t>
      </w:r>
      <w:r w:rsidRPr="00A773A6">
        <w:rPr>
          <w:rFonts w:eastAsia="Times New Roman" w:cs="Times New Roman"/>
          <w:szCs w:val="24"/>
        </w:rPr>
        <w:t xml:space="preserve"> par Eiropas Stabilitātes mehānisma dibināšanu 27.panta 2.punktu, iesniedz Saeimai ziņojumu par ESM darbību iepriekšējā gadā.</w:t>
      </w:r>
      <w:r w:rsidR="005D4A62" w:rsidRPr="00A773A6">
        <w:rPr>
          <w:rFonts w:cs="Times New Roman"/>
          <w:szCs w:val="24"/>
        </w:rPr>
        <w:t xml:space="preserve"> </w:t>
      </w:r>
      <w:r w:rsidR="00ED1239" w:rsidRPr="00A773A6">
        <w:rPr>
          <w:rFonts w:cs="Times New Roman"/>
          <w:szCs w:val="24"/>
        </w:rPr>
        <w:t xml:space="preserve">Pamatojoties uz augstāk minēto, </w:t>
      </w:r>
      <w:r w:rsidR="005E0607">
        <w:rPr>
          <w:rFonts w:cs="Times New Roman"/>
          <w:szCs w:val="24"/>
        </w:rPr>
        <w:t>informatīvajā ziņojumā turpmākajās sadaļās sniegta informācija</w:t>
      </w:r>
      <w:r w:rsidR="002D351A" w:rsidRPr="00A773A6">
        <w:rPr>
          <w:rFonts w:cs="Times New Roman"/>
          <w:szCs w:val="24"/>
        </w:rPr>
        <w:t xml:space="preserve"> par ESM darbību 201</w:t>
      </w:r>
      <w:r w:rsidR="008849D7" w:rsidRPr="00A773A6">
        <w:rPr>
          <w:rFonts w:cs="Times New Roman"/>
          <w:szCs w:val="24"/>
        </w:rPr>
        <w:t>9</w:t>
      </w:r>
      <w:r w:rsidR="002D351A" w:rsidRPr="00A773A6">
        <w:rPr>
          <w:rFonts w:cs="Times New Roman"/>
          <w:szCs w:val="24"/>
        </w:rPr>
        <w:t>.gadā.</w:t>
      </w:r>
    </w:p>
    <w:p w14:paraId="6ACABF9B" w14:textId="3059A454" w:rsidR="00DF31D5" w:rsidRPr="00A773A6" w:rsidRDefault="00915E22" w:rsidP="00A773A6">
      <w:pPr>
        <w:ind w:firstLine="720"/>
        <w:jc w:val="both"/>
        <w:rPr>
          <w:rFonts w:cs="Times New Roman"/>
          <w:szCs w:val="24"/>
        </w:rPr>
      </w:pPr>
      <w:r w:rsidRPr="00A773A6">
        <w:rPr>
          <w:rFonts w:cs="Times New Roman"/>
          <w:szCs w:val="24"/>
        </w:rPr>
        <w:t>A</w:t>
      </w:r>
      <w:r w:rsidR="002D3808" w:rsidRPr="00A773A6">
        <w:rPr>
          <w:rFonts w:cs="Times New Roman"/>
          <w:szCs w:val="24"/>
        </w:rPr>
        <w:t xml:space="preserve">tbilstoši </w:t>
      </w:r>
      <w:r w:rsidR="009C438F" w:rsidRPr="00A773A6">
        <w:rPr>
          <w:rFonts w:cs="Times New Roman"/>
          <w:szCs w:val="24"/>
        </w:rPr>
        <w:t xml:space="preserve">Līguma par </w:t>
      </w:r>
      <w:r w:rsidR="00101D4E" w:rsidRPr="00A773A6">
        <w:rPr>
          <w:rFonts w:cs="Times New Roman"/>
          <w:szCs w:val="24"/>
        </w:rPr>
        <w:t xml:space="preserve">Eiropas Stabilitātes mehānisma </w:t>
      </w:r>
      <w:r w:rsidR="009C438F" w:rsidRPr="00A773A6">
        <w:rPr>
          <w:rFonts w:cs="Times New Roman"/>
          <w:szCs w:val="24"/>
        </w:rPr>
        <w:t>dibināšanu 48.</w:t>
      </w:r>
      <w:r w:rsidR="005E0607">
        <w:rPr>
          <w:rFonts w:cs="Times New Roman"/>
          <w:szCs w:val="24"/>
        </w:rPr>
        <w:t>panta trešajā daļā noteiktajam</w:t>
      </w:r>
      <w:r w:rsidR="002D3808" w:rsidRPr="00A773A6">
        <w:rPr>
          <w:rFonts w:cs="Times New Roman"/>
          <w:szCs w:val="24"/>
        </w:rPr>
        <w:t>,</w:t>
      </w:r>
      <w:r w:rsidR="000F4067" w:rsidRPr="00A773A6">
        <w:rPr>
          <w:rFonts w:cs="Times New Roman"/>
          <w:szCs w:val="24"/>
        </w:rPr>
        <w:t xml:space="preserve"> Latvija 2014.gada</w:t>
      </w:r>
      <w:r w:rsidR="00ED6AEB" w:rsidRPr="00A773A6">
        <w:rPr>
          <w:rFonts w:cs="Times New Roman"/>
          <w:szCs w:val="24"/>
        </w:rPr>
        <w:t xml:space="preserve"> </w:t>
      </w:r>
      <w:r w:rsidR="00284E15" w:rsidRPr="00A773A6">
        <w:rPr>
          <w:rFonts w:cs="Times New Roman"/>
          <w:szCs w:val="24"/>
        </w:rPr>
        <w:t>13.martā</w:t>
      </w:r>
      <w:r w:rsidR="009C438F" w:rsidRPr="00A773A6">
        <w:rPr>
          <w:rFonts w:cs="Times New Roman"/>
          <w:szCs w:val="24"/>
        </w:rPr>
        <w:t xml:space="preserve"> kļuva par </w:t>
      </w:r>
      <w:r w:rsidR="008849D7" w:rsidRPr="00A773A6">
        <w:rPr>
          <w:rFonts w:cs="Times New Roman"/>
          <w:szCs w:val="24"/>
        </w:rPr>
        <w:t xml:space="preserve">pilntiesīgu ESM dalībnieci. </w:t>
      </w:r>
      <w:r w:rsidR="0085469F">
        <w:t xml:space="preserve">Latvijas procentuālā daļa ESM kapitālā (kapitāla atslēga) </w:t>
      </w:r>
      <w:r w:rsidR="00DF31D5" w:rsidRPr="00A773A6">
        <w:rPr>
          <w:rFonts w:cs="Times New Roman"/>
          <w:szCs w:val="24"/>
        </w:rPr>
        <w:t>šobrīd ir 0,2746%.</w:t>
      </w:r>
    </w:p>
    <w:p w14:paraId="7F259D0F" w14:textId="77777777" w:rsidR="00DF31D5" w:rsidRPr="00A773A6" w:rsidRDefault="00DF31D5" w:rsidP="00A773A6">
      <w:pPr>
        <w:ind w:firstLine="720"/>
        <w:jc w:val="both"/>
        <w:rPr>
          <w:rFonts w:cs="Times New Roman"/>
          <w:szCs w:val="24"/>
        </w:rPr>
      </w:pPr>
    </w:p>
    <w:p w14:paraId="61073D1C" w14:textId="77777777" w:rsidR="00051835" w:rsidRPr="004626CE" w:rsidRDefault="00051835" w:rsidP="004626CE">
      <w:pPr>
        <w:pStyle w:val="ListParagraph"/>
        <w:numPr>
          <w:ilvl w:val="0"/>
          <w:numId w:val="22"/>
        </w:numPr>
        <w:jc w:val="center"/>
        <w:rPr>
          <w:rFonts w:cs="Times New Roman"/>
          <w:b/>
          <w:szCs w:val="24"/>
        </w:rPr>
      </w:pPr>
      <w:r w:rsidRPr="004626CE">
        <w:rPr>
          <w:rFonts w:cs="Times New Roman"/>
          <w:b/>
          <w:szCs w:val="24"/>
        </w:rPr>
        <w:t>Par Eiropas Stabilitātes mehānismu</w:t>
      </w:r>
    </w:p>
    <w:p w14:paraId="6DC05454" w14:textId="77777777" w:rsidR="004626CE" w:rsidRPr="00A773A6" w:rsidRDefault="004626CE" w:rsidP="00A773A6">
      <w:pPr>
        <w:ind w:firstLine="720"/>
        <w:jc w:val="center"/>
        <w:rPr>
          <w:rFonts w:cs="Times New Roman"/>
          <w:b/>
          <w:i/>
          <w:szCs w:val="24"/>
        </w:rPr>
      </w:pPr>
    </w:p>
    <w:p w14:paraId="06700FB5" w14:textId="145E2376" w:rsidR="004C5DF6" w:rsidRPr="00A773A6" w:rsidRDefault="00A30852" w:rsidP="00A773A6">
      <w:pPr>
        <w:ind w:firstLine="720"/>
        <w:jc w:val="both"/>
        <w:rPr>
          <w:rFonts w:cs="Times New Roman"/>
          <w:i/>
          <w:szCs w:val="24"/>
        </w:rPr>
      </w:pPr>
      <w:r w:rsidRPr="00A773A6">
        <w:rPr>
          <w:rFonts w:cs="Times New Roman"/>
          <w:szCs w:val="24"/>
        </w:rPr>
        <w:t xml:space="preserve">ESM ir </w:t>
      </w:r>
      <w:r w:rsidR="0085469F">
        <w:rPr>
          <w:rFonts w:cs="Times New Roman"/>
          <w:szCs w:val="24"/>
        </w:rPr>
        <w:t xml:space="preserve">ES </w:t>
      </w:r>
      <w:r w:rsidR="004805C3" w:rsidRPr="00A773A6">
        <w:rPr>
          <w:rFonts w:cs="Times New Roman"/>
          <w:szCs w:val="24"/>
        </w:rPr>
        <w:t>finanšu institūcija</w:t>
      </w:r>
      <w:r w:rsidRPr="00A773A6">
        <w:rPr>
          <w:rFonts w:cs="Times New Roman"/>
          <w:szCs w:val="24"/>
        </w:rPr>
        <w:t xml:space="preserve">, kas </w:t>
      </w:r>
      <w:r w:rsidR="004805C3" w:rsidRPr="00A773A6">
        <w:rPr>
          <w:rFonts w:cs="Times New Roman"/>
          <w:szCs w:val="24"/>
        </w:rPr>
        <w:t>izveidota</w:t>
      </w:r>
      <w:r w:rsidR="00953357" w:rsidRPr="00A773A6">
        <w:rPr>
          <w:rFonts w:cs="Times New Roman"/>
          <w:szCs w:val="24"/>
        </w:rPr>
        <w:t xml:space="preserve"> ar mērķi</w:t>
      </w:r>
      <w:r w:rsidR="001C32E4" w:rsidRPr="00A773A6">
        <w:rPr>
          <w:rFonts w:cs="Times New Roman"/>
          <w:szCs w:val="24"/>
        </w:rPr>
        <w:t xml:space="preserve"> </w:t>
      </w:r>
      <w:r w:rsidR="001503D4" w:rsidRPr="00A773A6">
        <w:rPr>
          <w:rFonts w:cs="Times New Roman"/>
          <w:szCs w:val="24"/>
        </w:rPr>
        <w:t xml:space="preserve">sniegt finansiālu palīdzību </w:t>
      </w:r>
      <w:r w:rsidR="007408FE" w:rsidRPr="00A773A6">
        <w:rPr>
          <w:rFonts w:cs="Times New Roman"/>
          <w:i/>
          <w:szCs w:val="24"/>
        </w:rPr>
        <w:t>eu</w:t>
      </w:r>
      <w:r w:rsidR="00C34547" w:rsidRPr="00A773A6">
        <w:rPr>
          <w:rFonts w:cs="Times New Roman"/>
          <w:i/>
          <w:szCs w:val="24"/>
        </w:rPr>
        <w:t>ro</w:t>
      </w:r>
      <w:r w:rsidR="00C34547" w:rsidRPr="00A773A6">
        <w:rPr>
          <w:rFonts w:cs="Times New Roman"/>
          <w:szCs w:val="24"/>
        </w:rPr>
        <w:t xml:space="preserve"> zonas dalībvalstīm, k</w:t>
      </w:r>
      <w:r w:rsidR="00AB3EC0" w:rsidRPr="00A773A6">
        <w:rPr>
          <w:rFonts w:cs="Times New Roman"/>
          <w:szCs w:val="24"/>
        </w:rPr>
        <w:t>urām</w:t>
      </w:r>
      <w:r w:rsidR="00C34547" w:rsidRPr="00A773A6">
        <w:rPr>
          <w:rFonts w:cs="Times New Roman"/>
          <w:szCs w:val="24"/>
        </w:rPr>
        <w:t xml:space="preserve"> radušās </w:t>
      </w:r>
      <w:r w:rsidR="0085469F">
        <w:rPr>
          <w:rFonts w:cs="Times New Roman"/>
          <w:szCs w:val="24"/>
        </w:rPr>
        <w:t xml:space="preserve">finansiālas </w:t>
      </w:r>
      <w:r w:rsidR="00C34547" w:rsidRPr="00A773A6">
        <w:rPr>
          <w:rFonts w:cs="Times New Roman"/>
          <w:szCs w:val="24"/>
        </w:rPr>
        <w:t>problēmas</w:t>
      </w:r>
      <w:r w:rsidR="003C03BE" w:rsidRPr="00A773A6">
        <w:rPr>
          <w:rFonts w:cs="Times New Roman"/>
          <w:szCs w:val="24"/>
        </w:rPr>
        <w:t>. E</w:t>
      </w:r>
      <w:r w:rsidR="008C151A" w:rsidRPr="00A773A6">
        <w:rPr>
          <w:rFonts w:cs="Times New Roman"/>
          <w:szCs w:val="24"/>
        </w:rPr>
        <w:t xml:space="preserve">SM </w:t>
      </w:r>
      <w:r w:rsidR="004805C3" w:rsidRPr="00A773A6">
        <w:rPr>
          <w:rFonts w:cs="Times New Roman"/>
          <w:szCs w:val="24"/>
        </w:rPr>
        <w:t xml:space="preserve">darbību rezultātā </w:t>
      </w:r>
      <w:r w:rsidR="003C03BE" w:rsidRPr="00A773A6">
        <w:rPr>
          <w:rFonts w:cs="Times New Roman"/>
          <w:szCs w:val="24"/>
        </w:rPr>
        <w:t xml:space="preserve">tiek mazināta atsevišķu valstu radīto fiskālo un finanšu satricinājumu ietekme uz </w:t>
      </w:r>
      <w:r w:rsidR="00AD742F" w:rsidRPr="00A773A6">
        <w:rPr>
          <w:rFonts w:cs="Times New Roman"/>
          <w:szCs w:val="24"/>
        </w:rPr>
        <w:t xml:space="preserve">kopējo </w:t>
      </w:r>
      <w:r w:rsidR="00AD742F" w:rsidRPr="00A773A6">
        <w:rPr>
          <w:rFonts w:cs="Times New Roman"/>
          <w:i/>
          <w:szCs w:val="24"/>
        </w:rPr>
        <w:t>eu</w:t>
      </w:r>
      <w:r w:rsidR="003C03BE" w:rsidRPr="00A773A6">
        <w:rPr>
          <w:rFonts w:cs="Times New Roman"/>
          <w:i/>
          <w:szCs w:val="24"/>
        </w:rPr>
        <w:t>ro</w:t>
      </w:r>
      <w:r w:rsidR="003C03BE" w:rsidRPr="00A773A6">
        <w:rPr>
          <w:rFonts w:cs="Times New Roman"/>
          <w:szCs w:val="24"/>
        </w:rPr>
        <w:t xml:space="preserve"> zonas stabilitāti. </w:t>
      </w:r>
      <w:r w:rsidR="00B51911" w:rsidRPr="00A773A6">
        <w:rPr>
          <w:rFonts w:cs="Times New Roman"/>
          <w:szCs w:val="24"/>
        </w:rPr>
        <w:t>ESM</w:t>
      </w:r>
      <w:r w:rsidR="00E01935" w:rsidRPr="00A773A6">
        <w:rPr>
          <w:rFonts w:cs="Times New Roman"/>
          <w:szCs w:val="24"/>
        </w:rPr>
        <w:t xml:space="preserve"> ir uzskatām</w:t>
      </w:r>
      <w:r w:rsidR="00B51911" w:rsidRPr="00A773A6">
        <w:rPr>
          <w:rFonts w:cs="Times New Roman"/>
          <w:szCs w:val="24"/>
        </w:rPr>
        <w:t>s</w:t>
      </w:r>
      <w:r w:rsidR="00E01935" w:rsidRPr="00A773A6">
        <w:rPr>
          <w:rFonts w:cs="Times New Roman"/>
          <w:szCs w:val="24"/>
        </w:rPr>
        <w:t xml:space="preserve"> par aizdevēj</w:t>
      </w:r>
      <w:r w:rsidR="005E6CED" w:rsidRPr="00A773A6">
        <w:rPr>
          <w:rFonts w:cs="Times New Roman"/>
          <w:szCs w:val="24"/>
        </w:rPr>
        <w:t>u</w:t>
      </w:r>
      <w:r w:rsidR="00E01935" w:rsidRPr="00A773A6">
        <w:rPr>
          <w:rFonts w:cs="Times New Roman"/>
          <w:i/>
          <w:szCs w:val="24"/>
        </w:rPr>
        <w:t xml:space="preserve"> </w:t>
      </w:r>
      <w:r w:rsidR="00AD742F" w:rsidRPr="00A773A6">
        <w:rPr>
          <w:rFonts w:cs="Times New Roman"/>
          <w:i/>
          <w:szCs w:val="24"/>
        </w:rPr>
        <w:t>eu</w:t>
      </w:r>
      <w:r w:rsidR="001F006C" w:rsidRPr="00A773A6">
        <w:rPr>
          <w:rFonts w:cs="Times New Roman"/>
          <w:i/>
          <w:szCs w:val="24"/>
        </w:rPr>
        <w:t>ro</w:t>
      </w:r>
      <w:r w:rsidR="005966DB" w:rsidRPr="00A773A6">
        <w:rPr>
          <w:rFonts w:cs="Times New Roman"/>
          <w:szCs w:val="24"/>
        </w:rPr>
        <w:t xml:space="preserve"> </w:t>
      </w:r>
      <w:r w:rsidR="001F006C" w:rsidRPr="00A773A6">
        <w:rPr>
          <w:rFonts w:cs="Times New Roman"/>
          <w:szCs w:val="24"/>
        </w:rPr>
        <w:t>z</w:t>
      </w:r>
      <w:r w:rsidR="00F33A20" w:rsidRPr="00A773A6">
        <w:rPr>
          <w:rFonts w:cs="Times New Roman"/>
          <w:szCs w:val="24"/>
        </w:rPr>
        <w:t xml:space="preserve">onas </w:t>
      </w:r>
      <w:r w:rsidR="001B5973" w:rsidRPr="00A773A6">
        <w:rPr>
          <w:rFonts w:cs="Times New Roman"/>
          <w:szCs w:val="24"/>
        </w:rPr>
        <w:t xml:space="preserve">valstīm </w:t>
      </w:r>
      <w:r w:rsidR="00E01935" w:rsidRPr="00A773A6">
        <w:rPr>
          <w:rFonts w:cs="Times New Roman"/>
          <w:szCs w:val="24"/>
        </w:rPr>
        <w:t xml:space="preserve">situācijās, kad </w:t>
      </w:r>
      <w:r w:rsidR="001B5973" w:rsidRPr="00A773A6">
        <w:rPr>
          <w:rFonts w:cs="Times New Roman"/>
          <w:szCs w:val="24"/>
        </w:rPr>
        <w:t>tās nevar piekļūt finanšu tirgiem pa</w:t>
      </w:r>
      <w:r w:rsidR="00065412" w:rsidRPr="00A773A6">
        <w:rPr>
          <w:rFonts w:cs="Times New Roman"/>
          <w:szCs w:val="24"/>
        </w:rPr>
        <w:t xml:space="preserve">r ilgtspējīgām procentu likmēm. </w:t>
      </w:r>
      <w:r w:rsidR="001B5973" w:rsidRPr="00A773A6">
        <w:rPr>
          <w:rFonts w:cs="Times New Roman"/>
          <w:szCs w:val="24"/>
        </w:rPr>
        <w:t xml:space="preserve">Tādējādi </w:t>
      </w:r>
      <w:r w:rsidR="00287D40" w:rsidRPr="00A773A6">
        <w:rPr>
          <w:rFonts w:cs="Times New Roman"/>
          <w:szCs w:val="24"/>
        </w:rPr>
        <w:t xml:space="preserve">viens no </w:t>
      </w:r>
      <w:r w:rsidR="00E05509" w:rsidRPr="00A773A6">
        <w:rPr>
          <w:rFonts w:cs="Times New Roman"/>
          <w:szCs w:val="24"/>
        </w:rPr>
        <w:t>ESM</w:t>
      </w:r>
      <w:r w:rsidR="00E01935" w:rsidRPr="00A773A6">
        <w:rPr>
          <w:rFonts w:cs="Times New Roman"/>
          <w:szCs w:val="24"/>
        </w:rPr>
        <w:t xml:space="preserve"> </w:t>
      </w:r>
      <w:r w:rsidR="00B1324D" w:rsidRPr="00A773A6">
        <w:rPr>
          <w:rFonts w:cs="Times New Roman"/>
          <w:szCs w:val="24"/>
        </w:rPr>
        <w:t>uzdevumiem</w:t>
      </w:r>
      <w:r w:rsidR="00CF08C5" w:rsidRPr="00A773A6">
        <w:rPr>
          <w:rFonts w:cs="Times New Roman"/>
          <w:szCs w:val="24"/>
        </w:rPr>
        <w:t xml:space="preserve"> ir </w:t>
      </w:r>
      <w:r w:rsidR="00E01935" w:rsidRPr="00A773A6">
        <w:rPr>
          <w:rFonts w:cs="Times New Roman"/>
          <w:szCs w:val="24"/>
        </w:rPr>
        <w:t>stiprin</w:t>
      </w:r>
      <w:r w:rsidR="001B5973" w:rsidRPr="00A773A6">
        <w:rPr>
          <w:rFonts w:cs="Times New Roman"/>
          <w:szCs w:val="24"/>
        </w:rPr>
        <w:t>āt</w:t>
      </w:r>
      <w:r w:rsidR="00E01935" w:rsidRPr="00A773A6">
        <w:rPr>
          <w:rFonts w:cs="Times New Roman"/>
          <w:szCs w:val="24"/>
        </w:rPr>
        <w:t xml:space="preserve"> investoru uzticību un palīdz</w:t>
      </w:r>
      <w:r w:rsidR="001B5973" w:rsidRPr="00A773A6">
        <w:rPr>
          <w:rFonts w:cs="Times New Roman"/>
          <w:szCs w:val="24"/>
        </w:rPr>
        <w:t>ēt dalībvalstīm</w:t>
      </w:r>
      <w:r w:rsidR="00937054" w:rsidRPr="00A773A6">
        <w:rPr>
          <w:rFonts w:cs="Times New Roman"/>
          <w:szCs w:val="24"/>
        </w:rPr>
        <w:t xml:space="preserve"> </w:t>
      </w:r>
      <w:r w:rsidR="00E01935" w:rsidRPr="00A773A6">
        <w:rPr>
          <w:rFonts w:cs="Times New Roman"/>
          <w:szCs w:val="24"/>
        </w:rPr>
        <w:t xml:space="preserve">stabilizēt </w:t>
      </w:r>
      <w:r w:rsidR="005D5B6C" w:rsidRPr="00A773A6">
        <w:rPr>
          <w:rFonts w:cs="Times New Roman"/>
          <w:szCs w:val="24"/>
        </w:rPr>
        <w:t xml:space="preserve">to </w:t>
      </w:r>
      <w:r w:rsidR="001B5973" w:rsidRPr="00A773A6">
        <w:rPr>
          <w:rFonts w:cs="Times New Roman"/>
          <w:szCs w:val="24"/>
        </w:rPr>
        <w:t xml:space="preserve">situāciju </w:t>
      </w:r>
      <w:r w:rsidR="00E01935" w:rsidRPr="00A773A6">
        <w:rPr>
          <w:rFonts w:cs="Times New Roman"/>
          <w:szCs w:val="24"/>
        </w:rPr>
        <w:t>finanšu tirgos</w:t>
      </w:r>
      <w:r w:rsidR="006A1A20" w:rsidRPr="00A773A6">
        <w:rPr>
          <w:rFonts w:cs="Times New Roman"/>
          <w:szCs w:val="24"/>
        </w:rPr>
        <w:t>.</w:t>
      </w:r>
      <w:r w:rsidR="00254817" w:rsidRPr="00A773A6">
        <w:rPr>
          <w:rFonts w:cs="Times New Roman"/>
          <w:szCs w:val="24"/>
        </w:rPr>
        <w:t xml:space="preserve"> </w:t>
      </w:r>
      <w:r w:rsidR="00CA4839" w:rsidRPr="00A773A6">
        <w:rPr>
          <w:rFonts w:cs="Times New Roman"/>
          <w:szCs w:val="24"/>
        </w:rPr>
        <w:t xml:space="preserve">ESM akcionāri ir </w:t>
      </w:r>
      <w:r w:rsidR="001F006C" w:rsidRPr="00A773A6">
        <w:rPr>
          <w:rFonts w:cs="Times New Roman"/>
          <w:szCs w:val="24"/>
        </w:rPr>
        <w:t xml:space="preserve">visas </w:t>
      </w:r>
      <w:r w:rsidR="00470EBE" w:rsidRPr="00A773A6">
        <w:rPr>
          <w:rFonts w:cs="Times New Roman"/>
          <w:szCs w:val="24"/>
        </w:rPr>
        <w:t xml:space="preserve">19 </w:t>
      </w:r>
      <w:r w:rsidR="00DF5AE2" w:rsidRPr="00A773A6">
        <w:rPr>
          <w:rFonts w:cs="Times New Roman"/>
          <w:i/>
          <w:szCs w:val="24"/>
        </w:rPr>
        <w:t>eu</w:t>
      </w:r>
      <w:r w:rsidR="001F006C" w:rsidRPr="00A773A6">
        <w:rPr>
          <w:rFonts w:cs="Times New Roman"/>
          <w:i/>
          <w:szCs w:val="24"/>
        </w:rPr>
        <w:t>ro</w:t>
      </w:r>
      <w:r w:rsidR="005966DB" w:rsidRPr="00A773A6">
        <w:rPr>
          <w:rFonts w:cs="Times New Roman"/>
          <w:szCs w:val="24"/>
        </w:rPr>
        <w:t xml:space="preserve"> </w:t>
      </w:r>
      <w:r w:rsidR="001F006C" w:rsidRPr="00A773A6">
        <w:rPr>
          <w:rFonts w:cs="Times New Roman"/>
          <w:szCs w:val="24"/>
        </w:rPr>
        <w:t xml:space="preserve">zonas </w:t>
      </w:r>
      <w:r w:rsidR="00CA4839" w:rsidRPr="00A773A6">
        <w:rPr>
          <w:rFonts w:cs="Times New Roman"/>
          <w:szCs w:val="24"/>
        </w:rPr>
        <w:t>valstis</w:t>
      </w:r>
      <w:r w:rsidR="00470EBE" w:rsidRPr="00A773A6">
        <w:rPr>
          <w:rFonts w:cs="Times New Roman"/>
          <w:szCs w:val="24"/>
        </w:rPr>
        <w:t xml:space="preserve">, </w:t>
      </w:r>
      <w:r w:rsidR="00E05509" w:rsidRPr="00A773A6">
        <w:rPr>
          <w:rFonts w:cs="Times New Roman"/>
          <w:szCs w:val="24"/>
        </w:rPr>
        <w:t xml:space="preserve">kas </w:t>
      </w:r>
      <w:r w:rsidR="00DF31D5" w:rsidRPr="00A773A6">
        <w:rPr>
          <w:rFonts w:cs="Times New Roman"/>
          <w:szCs w:val="24"/>
        </w:rPr>
        <w:t xml:space="preserve">šobrīd </w:t>
      </w:r>
      <w:r w:rsidR="00004E13" w:rsidRPr="00A773A6">
        <w:rPr>
          <w:rFonts w:cs="Times New Roman"/>
          <w:szCs w:val="24"/>
        </w:rPr>
        <w:t xml:space="preserve">kopā </w:t>
      </w:r>
      <w:r w:rsidR="000553F9" w:rsidRPr="00A773A6">
        <w:rPr>
          <w:rFonts w:cs="Times New Roman"/>
          <w:szCs w:val="24"/>
        </w:rPr>
        <w:t xml:space="preserve">ESM kapitālā </w:t>
      </w:r>
      <w:r w:rsidR="00004E13" w:rsidRPr="00A773A6">
        <w:rPr>
          <w:rFonts w:cs="Times New Roman"/>
          <w:szCs w:val="24"/>
        </w:rPr>
        <w:t>ir</w:t>
      </w:r>
      <w:r w:rsidR="0085469F">
        <w:rPr>
          <w:rFonts w:cs="Times New Roman"/>
          <w:szCs w:val="24"/>
        </w:rPr>
        <w:t xml:space="preserve"> </w:t>
      </w:r>
      <w:r w:rsidR="00E33D05">
        <w:rPr>
          <w:rFonts w:cs="Times New Roman"/>
          <w:szCs w:val="24"/>
        </w:rPr>
        <w:t>iemaksājušas</w:t>
      </w:r>
      <w:r w:rsidR="00004E13" w:rsidRPr="00A773A6">
        <w:rPr>
          <w:rFonts w:cs="Times New Roman"/>
          <w:szCs w:val="24"/>
        </w:rPr>
        <w:t xml:space="preserve"> 80,</w:t>
      </w:r>
      <w:r w:rsidR="00921961" w:rsidRPr="00A773A6">
        <w:rPr>
          <w:rFonts w:cs="Times New Roman"/>
          <w:szCs w:val="24"/>
        </w:rPr>
        <w:t>5</w:t>
      </w:r>
      <w:r w:rsidR="00004E13" w:rsidRPr="00A773A6">
        <w:rPr>
          <w:rFonts w:cs="Times New Roman"/>
          <w:szCs w:val="24"/>
        </w:rPr>
        <w:t xml:space="preserve"> </w:t>
      </w:r>
      <w:r w:rsidR="00A4581D" w:rsidRPr="00A773A6">
        <w:rPr>
          <w:rFonts w:eastAsia="Times New Roman" w:cs="Times New Roman"/>
          <w:szCs w:val="24"/>
          <w:lang w:eastAsia="lv-LV"/>
        </w:rPr>
        <w:t>mljrd.</w:t>
      </w:r>
      <w:r w:rsidR="00A4581D" w:rsidRPr="00A773A6">
        <w:rPr>
          <w:rFonts w:cs="Times New Roman"/>
          <w:szCs w:val="24"/>
        </w:rPr>
        <w:t xml:space="preserve"> </w:t>
      </w:r>
      <w:r w:rsidR="00004E13" w:rsidRPr="00A773A6">
        <w:rPr>
          <w:rFonts w:cs="Times New Roman"/>
          <w:i/>
          <w:szCs w:val="24"/>
        </w:rPr>
        <w:t>euro.</w:t>
      </w:r>
    </w:p>
    <w:p w14:paraId="14174988" w14:textId="09EDE0AB" w:rsidR="001953F5" w:rsidRPr="00A773A6" w:rsidRDefault="005C7085" w:rsidP="00A773A6">
      <w:pPr>
        <w:ind w:firstLine="709"/>
        <w:jc w:val="both"/>
        <w:rPr>
          <w:rFonts w:cs="Times New Roman"/>
          <w:i/>
          <w:szCs w:val="24"/>
        </w:rPr>
      </w:pPr>
      <w:r w:rsidRPr="00A773A6">
        <w:rPr>
          <w:rFonts w:cs="Times New Roman"/>
          <w:szCs w:val="24"/>
        </w:rPr>
        <w:t xml:space="preserve">ESM </w:t>
      </w:r>
      <w:r w:rsidR="00E33D05">
        <w:rPr>
          <w:rFonts w:cs="Times New Roman"/>
          <w:szCs w:val="24"/>
        </w:rPr>
        <w:t xml:space="preserve">finanšu </w:t>
      </w:r>
      <w:r w:rsidRPr="00A773A6">
        <w:rPr>
          <w:rFonts w:cs="Times New Roman"/>
          <w:szCs w:val="24"/>
        </w:rPr>
        <w:t>akt</w:t>
      </w:r>
      <w:r w:rsidR="007F6361" w:rsidRPr="00A773A6">
        <w:rPr>
          <w:rFonts w:cs="Times New Roman"/>
          <w:szCs w:val="24"/>
        </w:rPr>
        <w:t>ivitātes iedalās trīs funkcijās:</w:t>
      </w:r>
    </w:p>
    <w:p w14:paraId="5C6C916A" w14:textId="77777777" w:rsidR="00D639C5" w:rsidRPr="00A773A6" w:rsidRDefault="00FC70EB" w:rsidP="00A773A6">
      <w:pPr>
        <w:pStyle w:val="ListParagraph"/>
        <w:numPr>
          <w:ilvl w:val="0"/>
          <w:numId w:val="12"/>
        </w:numPr>
        <w:contextualSpacing w:val="0"/>
        <w:jc w:val="both"/>
        <w:rPr>
          <w:rFonts w:cs="Times New Roman"/>
          <w:szCs w:val="24"/>
        </w:rPr>
      </w:pPr>
      <w:r w:rsidRPr="00A773A6">
        <w:rPr>
          <w:rFonts w:cs="Times New Roman"/>
          <w:b/>
          <w:szCs w:val="24"/>
        </w:rPr>
        <w:t>a</w:t>
      </w:r>
      <w:r w:rsidR="00D639C5" w:rsidRPr="00A773A6">
        <w:rPr>
          <w:rFonts w:cs="Times New Roman"/>
          <w:b/>
          <w:szCs w:val="24"/>
        </w:rPr>
        <w:t xml:space="preserve">izdevumu </w:t>
      </w:r>
      <w:r w:rsidR="007F6361" w:rsidRPr="00A773A6">
        <w:rPr>
          <w:rFonts w:cs="Times New Roman"/>
          <w:b/>
          <w:szCs w:val="24"/>
        </w:rPr>
        <w:t>iz</w:t>
      </w:r>
      <w:r w:rsidR="00D639C5" w:rsidRPr="00A773A6">
        <w:rPr>
          <w:rFonts w:cs="Times New Roman"/>
          <w:b/>
          <w:szCs w:val="24"/>
        </w:rPr>
        <w:t>sniegšana dalībvalstīm</w:t>
      </w:r>
      <w:r w:rsidR="00D639C5" w:rsidRPr="00A773A6">
        <w:rPr>
          <w:rFonts w:cs="Times New Roman"/>
          <w:szCs w:val="24"/>
        </w:rPr>
        <w:t xml:space="preserve">. ESM sniedz </w:t>
      </w:r>
      <w:r w:rsidR="000B529B" w:rsidRPr="00A773A6">
        <w:rPr>
          <w:rFonts w:cs="Times New Roman"/>
          <w:szCs w:val="24"/>
        </w:rPr>
        <w:t>vairākus</w:t>
      </w:r>
      <w:r w:rsidR="00D639C5" w:rsidRPr="00A773A6">
        <w:rPr>
          <w:rFonts w:cs="Times New Roman"/>
          <w:szCs w:val="24"/>
        </w:rPr>
        <w:t xml:space="preserve"> palīdzības veidus: </w:t>
      </w:r>
    </w:p>
    <w:p w14:paraId="4C137363" w14:textId="77777777" w:rsidR="00B65A1D" w:rsidRPr="00A773A6" w:rsidRDefault="00FC70EB" w:rsidP="00A773A6">
      <w:pPr>
        <w:pStyle w:val="ListParagraph"/>
        <w:numPr>
          <w:ilvl w:val="0"/>
          <w:numId w:val="15"/>
        </w:numPr>
        <w:rPr>
          <w:rFonts w:cs="Times New Roman"/>
          <w:szCs w:val="24"/>
        </w:rPr>
      </w:pPr>
      <w:r w:rsidRPr="00A773A6">
        <w:rPr>
          <w:rFonts w:cs="Times New Roman"/>
          <w:szCs w:val="24"/>
        </w:rPr>
        <w:t>a</w:t>
      </w:r>
      <w:r w:rsidR="00D639C5" w:rsidRPr="00A773A6">
        <w:rPr>
          <w:rFonts w:cs="Times New Roman"/>
          <w:szCs w:val="24"/>
        </w:rPr>
        <w:t>izdevumu sniegšan</w:t>
      </w:r>
      <w:r w:rsidR="00DF31D5" w:rsidRPr="00A773A6">
        <w:rPr>
          <w:rFonts w:cs="Times New Roman"/>
          <w:szCs w:val="24"/>
        </w:rPr>
        <w:t>a, lai segtu finanšu vajadzības;</w:t>
      </w:r>
    </w:p>
    <w:p w14:paraId="213E7BAD" w14:textId="77777777" w:rsidR="00B65A1D" w:rsidRPr="00A773A6" w:rsidRDefault="00B65A1D" w:rsidP="00A773A6">
      <w:pPr>
        <w:pStyle w:val="ListParagraph"/>
        <w:numPr>
          <w:ilvl w:val="0"/>
          <w:numId w:val="15"/>
        </w:numPr>
        <w:rPr>
          <w:rFonts w:cs="Times New Roman"/>
          <w:szCs w:val="24"/>
        </w:rPr>
      </w:pPr>
      <w:r w:rsidRPr="00A773A6">
        <w:rPr>
          <w:rFonts w:cs="Times New Roman"/>
          <w:szCs w:val="24"/>
        </w:rPr>
        <w:t xml:space="preserve">aizdevumi netiešai banku </w:t>
      </w:r>
      <w:proofErr w:type="spellStart"/>
      <w:r w:rsidRPr="00A773A6">
        <w:rPr>
          <w:rFonts w:cs="Times New Roman"/>
          <w:szCs w:val="24"/>
        </w:rPr>
        <w:t>rekapitalizācijai</w:t>
      </w:r>
      <w:proofErr w:type="spellEnd"/>
      <w:r w:rsidRPr="00A773A6">
        <w:rPr>
          <w:rFonts w:cs="Times New Roman"/>
          <w:szCs w:val="24"/>
        </w:rPr>
        <w:t xml:space="preserve">; </w:t>
      </w:r>
    </w:p>
    <w:p w14:paraId="751B6619" w14:textId="77777777" w:rsidR="00D639C5" w:rsidRPr="00A773A6" w:rsidRDefault="00FC70EB" w:rsidP="00A773A6">
      <w:pPr>
        <w:pStyle w:val="ListParagraph"/>
        <w:numPr>
          <w:ilvl w:val="0"/>
          <w:numId w:val="15"/>
        </w:numPr>
        <w:contextualSpacing w:val="0"/>
        <w:jc w:val="both"/>
        <w:rPr>
          <w:rFonts w:cs="Times New Roman"/>
          <w:szCs w:val="24"/>
        </w:rPr>
      </w:pPr>
      <w:r w:rsidRPr="00A773A6">
        <w:rPr>
          <w:rFonts w:cs="Times New Roman"/>
          <w:szCs w:val="24"/>
        </w:rPr>
        <w:t>a</w:t>
      </w:r>
      <w:r w:rsidR="00D639C5" w:rsidRPr="00A773A6">
        <w:rPr>
          <w:rFonts w:cs="Times New Roman"/>
          <w:szCs w:val="24"/>
        </w:rPr>
        <w:t xml:space="preserve">izdevumu sniegšana un tiešas kapitāla injekcijas, lai </w:t>
      </w:r>
      <w:proofErr w:type="spellStart"/>
      <w:r w:rsidR="00D639C5" w:rsidRPr="00A773A6">
        <w:rPr>
          <w:rFonts w:cs="Times New Roman"/>
          <w:szCs w:val="24"/>
        </w:rPr>
        <w:t>rekapitalizētu</w:t>
      </w:r>
      <w:proofErr w:type="spellEnd"/>
      <w:r w:rsidR="00D639C5" w:rsidRPr="00A773A6">
        <w:rPr>
          <w:rFonts w:cs="Times New Roman"/>
          <w:szCs w:val="24"/>
        </w:rPr>
        <w:t xml:space="preserve"> finanšu iestādes;</w:t>
      </w:r>
      <w:r w:rsidR="00060396" w:rsidRPr="00A773A6">
        <w:rPr>
          <w:rFonts w:cs="Times New Roman"/>
          <w:szCs w:val="24"/>
        </w:rPr>
        <w:t xml:space="preserve"> </w:t>
      </w:r>
    </w:p>
    <w:p w14:paraId="3728CD83" w14:textId="77777777" w:rsidR="00D639C5" w:rsidRPr="00A773A6" w:rsidRDefault="0004606F" w:rsidP="00A773A6">
      <w:pPr>
        <w:pStyle w:val="ListParagraph"/>
        <w:numPr>
          <w:ilvl w:val="0"/>
          <w:numId w:val="15"/>
        </w:numPr>
        <w:contextualSpacing w:val="0"/>
        <w:jc w:val="both"/>
        <w:rPr>
          <w:rFonts w:cs="Times New Roman"/>
          <w:szCs w:val="24"/>
        </w:rPr>
      </w:pPr>
      <w:r w:rsidRPr="00A773A6">
        <w:rPr>
          <w:rFonts w:cs="Times New Roman"/>
          <w:szCs w:val="24"/>
        </w:rPr>
        <w:t>piesardzības kredīta līnijas</w:t>
      </w:r>
      <w:r w:rsidR="00DF31D5" w:rsidRPr="00A773A6">
        <w:rPr>
          <w:rFonts w:cs="Times New Roman"/>
          <w:szCs w:val="24"/>
        </w:rPr>
        <w:t xml:space="preserve"> (tai skaitā Pandēmiskais krīzes atbalsts)</w:t>
      </w:r>
      <w:r w:rsidR="00D639C5" w:rsidRPr="00A773A6">
        <w:rPr>
          <w:rFonts w:cs="Times New Roman"/>
          <w:szCs w:val="24"/>
        </w:rPr>
        <w:t>;</w:t>
      </w:r>
    </w:p>
    <w:p w14:paraId="3360DAF4" w14:textId="77777777" w:rsidR="00D639C5" w:rsidRPr="00A773A6" w:rsidRDefault="00FC70EB" w:rsidP="00A773A6">
      <w:pPr>
        <w:pStyle w:val="ListParagraph"/>
        <w:numPr>
          <w:ilvl w:val="0"/>
          <w:numId w:val="15"/>
        </w:numPr>
        <w:contextualSpacing w:val="0"/>
        <w:jc w:val="both"/>
        <w:rPr>
          <w:rFonts w:cs="Times New Roman"/>
          <w:szCs w:val="24"/>
        </w:rPr>
      </w:pPr>
      <w:r w:rsidRPr="00A773A6">
        <w:rPr>
          <w:rFonts w:cs="Times New Roman"/>
          <w:szCs w:val="24"/>
        </w:rPr>
        <w:t>d</w:t>
      </w:r>
      <w:r w:rsidR="00D639C5" w:rsidRPr="00A773A6">
        <w:rPr>
          <w:rFonts w:cs="Times New Roman"/>
          <w:szCs w:val="24"/>
        </w:rPr>
        <w:t>alībvalstu obligāciju iepirkšana primār</w:t>
      </w:r>
      <w:r w:rsidR="004B0EC0" w:rsidRPr="00A773A6">
        <w:rPr>
          <w:rFonts w:cs="Times New Roman"/>
          <w:szCs w:val="24"/>
        </w:rPr>
        <w:t>aj</w:t>
      </w:r>
      <w:r w:rsidR="00D639C5" w:rsidRPr="00A773A6">
        <w:rPr>
          <w:rFonts w:cs="Times New Roman"/>
          <w:szCs w:val="24"/>
        </w:rPr>
        <w:t>o</w:t>
      </w:r>
      <w:r w:rsidR="004B0EC0" w:rsidRPr="00A773A6">
        <w:rPr>
          <w:rFonts w:cs="Times New Roman"/>
          <w:szCs w:val="24"/>
        </w:rPr>
        <w:t>s</w:t>
      </w:r>
      <w:r w:rsidR="00D639C5" w:rsidRPr="00A773A6">
        <w:rPr>
          <w:rFonts w:cs="Times New Roman"/>
          <w:szCs w:val="24"/>
        </w:rPr>
        <w:t xml:space="preserve"> un sekundārajos </w:t>
      </w:r>
      <w:r w:rsidR="00BC1502" w:rsidRPr="00A773A6">
        <w:rPr>
          <w:rFonts w:cs="Times New Roman"/>
          <w:szCs w:val="24"/>
        </w:rPr>
        <w:t xml:space="preserve">vērtspapīru </w:t>
      </w:r>
      <w:r w:rsidR="00D639C5" w:rsidRPr="00A773A6">
        <w:rPr>
          <w:rFonts w:cs="Times New Roman"/>
          <w:szCs w:val="24"/>
        </w:rPr>
        <w:t>tirgos</w:t>
      </w:r>
      <w:r w:rsidRPr="00A773A6">
        <w:rPr>
          <w:rFonts w:cs="Times New Roman"/>
          <w:szCs w:val="24"/>
        </w:rPr>
        <w:t>;</w:t>
      </w:r>
      <w:r w:rsidR="00D639C5" w:rsidRPr="00A773A6">
        <w:rPr>
          <w:rFonts w:cs="Times New Roman"/>
          <w:szCs w:val="24"/>
        </w:rPr>
        <w:t xml:space="preserve"> </w:t>
      </w:r>
    </w:p>
    <w:p w14:paraId="25BC9D9B" w14:textId="77777777" w:rsidR="001953F5" w:rsidRPr="00A773A6" w:rsidRDefault="001953F5" w:rsidP="00A773A6">
      <w:pPr>
        <w:pStyle w:val="ListParagraph"/>
        <w:numPr>
          <w:ilvl w:val="0"/>
          <w:numId w:val="12"/>
        </w:numPr>
        <w:contextualSpacing w:val="0"/>
        <w:jc w:val="both"/>
        <w:rPr>
          <w:rFonts w:cs="Times New Roman"/>
          <w:szCs w:val="24"/>
        </w:rPr>
      </w:pPr>
      <w:r w:rsidRPr="00A773A6">
        <w:rPr>
          <w:rFonts w:cs="Times New Roman"/>
          <w:b/>
          <w:szCs w:val="24"/>
        </w:rPr>
        <w:t>finanšu līdzekļu piesaiste finanšu tirgos</w:t>
      </w:r>
      <w:r w:rsidR="00B95FE9" w:rsidRPr="00A773A6">
        <w:rPr>
          <w:rFonts w:cs="Times New Roman"/>
          <w:szCs w:val="24"/>
        </w:rPr>
        <w:t>,</w:t>
      </w:r>
      <w:r w:rsidR="005C7085" w:rsidRPr="00A773A6">
        <w:rPr>
          <w:rFonts w:cs="Times New Roman"/>
          <w:szCs w:val="24"/>
        </w:rPr>
        <w:t xml:space="preserve"> lai finansētu aizdevumu veikšanu</w:t>
      </w:r>
      <w:r w:rsidR="00FC70EB" w:rsidRPr="00A773A6">
        <w:rPr>
          <w:rFonts w:cs="Times New Roman"/>
          <w:szCs w:val="24"/>
        </w:rPr>
        <w:t>;</w:t>
      </w:r>
      <w:r w:rsidR="005C7085" w:rsidRPr="00A773A6">
        <w:rPr>
          <w:rFonts w:cs="Times New Roman"/>
          <w:szCs w:val="24"/>
        </w:rPr>
        <w:t xml:space="preserve"> </w:t>
      </w:r>
    </w:p>
    <w:p w14:paraId="4FF70A6A" w14:textId="60AAE872" w:rsidR="007C6A47" w:rsidRPr="00A773A6" w:rsidRDefault="00686F93" w:rsidP="00A773A6">
      <w:pPr>
        <w:pStyle w:val="ListParagraph"/>
        <w:numPr>
          <w:ilvl w:val="0"/>
          <w:numId w:val="12"/>
        </w:numPr>
        <w:contextualSpacing w:val="0"/>
        <w:jc w:val="both"/>
        <w:rPr>
          <w:rFonts w:cs="Times New Roman"/>
          <w:szCs w:val="24"/>
        </w:rPr>
      </w:pPr>
      <w:r>
        <w:rPr>
          <w:rFonts w:cs="Times New Roman"/>
          <w:b/>
          <w:szCs w:val="24"/>
        </w:rPr>
        <w:t>pašu kapitāla līdzekļu pārvaldīšana</w:t>
      </w:r>
      <w:r w:rsidR="00E33D05">
        <w:rPr>
          <w:rFonts w:cs="Times New Roman"/>
          <w:szCs w:val="24"/>
        </w:rPr>
        <w:t>.</w:t>
      </w:r>
      <w:r w:rsidR="00101DC9">
        <w:rPr>
          <w:rFonts w:cs="Times New Roman"/>
          <w:szCs w:val="24"/>
        </w:rPr>
        <w:t xml:space="preserve"> </w:t>
      </w:r>
    </w:p>
    <w:p w14:paraId="53576CCF" w14:textId="77777777" w:rsidR="00205871" w:rsidRDefault="002373FE" w:rsidP="00A773A6">
      <w:pPr>
        <w:ind w:firstLine="709"/>
        <w:jc w:val="both"/>
        <w:rPr>
          <w:rFonts w:cs="Times New Roman"/>
          <w:szCs w:val="24"/>
        </w:rPr>
      </w:pPr>
      <w:r w:rsidRPr="00A773A6">
        <w:rPr>
          <w:rFonts w:cs="Times New Roman"/>
          <w:szCs w:val="24"/>
        </w:rPr>
        <w:t xml:space="preserve">Pateicoties stabilai kapitāla struktūrai un finansēšanas un investīciju stratēģijai, </w:t>
      </w:r>
      <w:r w:rsidR="00004DF1" w:rsidRPr="00A773A6">
        <w:rPr>
          <w:rFonts w:cs="Times New Roman"/>
          <w:szCs w:val="24"/>
        </w:rPr>
        <w:t xml:space="preserve">ESM </w:t>
      </w:r>
      <w:r w:rsidRPr="00A773A6">
        <w:rPr>
          <w:rFonts w:cs="Times New Roman"/>
          <w:szCs w:val="24"/>
        </w:rPr>
        <w:t xml:space="preserve">vairākus gadus </w:t>
      </w:r>
      <w:r w:rsidR="00004DF1" w:rsidRPr="00A773A6">
        <w:rPr>
          <w:rFonts w:cs="Times New Roman"/>
          <w:szCs w:val="24"/>
        </w:rPr>
        <w:t>ir novērtēts</w:t>
      </w:r>
      <w:r w:rsidRPr="00A773A6">
        <w:rPr>
          <w:rFonts w:cs="Times New Roman"/>
          <w:szCs w:val="24"/>
        </w:rPr>
        <w:t xml:space="preserve"> ar augst</w:t>
      </w:r>
      <w:r w:rsidR="006B54DE" w:rsidRPr="00A773A6">
        <w:rPr>
          <w:rFonts w:cs="Times New Roman"/>
          <w:szCs w:val="24"/>
        </w:rPr>
        <w:t>u</w:t>
      </w:r>
      <w:r w:rsidRPr="00A773A6">
        <w:rPr>
          <w:rFonts w:cs="Times New Roman"/>
          <w:szCs w:val="24"/>
        </w:rPr>
        <w:t xml:space="preserve"> </w:t>
      </w:r>
      <w:r w:rsidR="006418BD" w:rsidRPr="00A773A6">
        <w:rPr>
          <w:rFonts w:cs="Times New Roman"/>
          <w:szCs w:val="24"/>
        </w:rPr>
        <w:t>kredīt</w:t>
      </w:r>
      <w:r w:rsidRPr="00A773A6">
        <w:rPr>
          <w:rFonts w:cs="Times New Roman"/>
          <w:szCs w:val="24"/>
        </w:rPr>
        <w:t>reitingu</w:t>
      </w:r>
      <w:r w:rsidR="00004DF1" w:rsidRPr="00A773A6">
        <w:rPr>
          <w:rFonts w:cs="Times New Roman"/>
          <w:szCs w:val="24"/>
        </w:rPr>
        <w:t xml:space="preserve"> </w:t>
      </w:r>
      <w:r w:rsidR="00F07ADA" w:rsidRPr="005435B9">
        <w:rPr>
          <w:rFonts w:cs="Times New Roman"/>
          <w:szCs w:val="24"/>
        </w:rPr>
        <w:t>(</w:t>
      </w:r>
      <w:r w:rsidR="005435B9">
        <w:rPr>
          <w:rFonts w:cs="Times New Roman"/>
          <w:szCs w:val="24"/>
        </w:rPr>
        <w:t>skat.</w:t>
      </w:r>
      <w:r w:rsidR="00F07ADA" w:rsidRPr="005435B9">
        <w:rPr>
          <w:rFonts w:cs="Times New Roman"/>
          <w:szCs w:val="24"/>
        </w:rPr>
        <w:t xml:space="preserve"> 1.tabulu)</w:t>
      </w:r>
      <w:r w:rsidR="004D4710" w:rsidRPr="005435B9">
        <w:rPr>
          <w:rFonts w:cs="Times New Roman"/>
          <w:szCs w:val="24"/>
        </w:rPr>
        <w:t>,</w:t>
      </w:r>
      <w:r w:rsidR="004D4710" w:rsidRPr="00A773A6">
        <w:rPr>
          <w:rFonts w:cs="Times New Roman"/>
          <w:szCs w:val="24"/>
        </w:rPr>
        <w:t xml:space="preserve"> tādējādi</w:t>
      </w:r>
      <w:r w:rsidR="00652E23" w:rsidRPr="00A773A6">
        <w:rPr>
          <w:rFonts w:cs="Times New Roman"/>
          <w:szCs w:val="24"/>
        </w:rPr>
        <w:t xml:space="preserve"> veiksmīgi</w:t>
      </w:r>
      <w:r w:rsidR="004D4710" w:rsidRPr="00A773A6">
        <w:rPr>
          <w:rFonts w:cs="Times New Roman"/>
          <w:szCs w:val="24"/>
        </w:rPr>
        <w:t xml:space="preserve"> piesaistot un palielinot finanšu resursus</w:t>
      </w:r>
      <w:r w:rsidR="003D3313" w:rsidRPr="00A773A6">
        <w:rPr>
          <w:rFonts w:cs="Times New Roman"/>
          <w:szCs w:val="24"/>
        </w:rPr>
        <w:t xml:space="preserve"> par ļoti izdevīgām procentu likmēm</w:t>
      </w:r>
      <w:r w:rsidR="00004DF1" w:rsidRPr="00A773A6">
        <w:rPr>
          <w:rFonts w:cs="Times New Roman"/>
          <w:szCs w:val="24"/>
        </w:rPr>
        <w:t>.</w:t>
      </w:r>
      <w:r w:rsidR="00F65E89" w:rsidRPr="00A773A6">
        <w:rPr>
          <w:rFonts w:cs="Times New Roman"/>
          <w:szCs w:val="24"/>
        </w:rPr>
        <w:t xml:space="preserve"> </w:t>
      </w:r>
    </w:p>
    <w:p w14:paraId="5BF6150B" w14:textId="77777777" w:rsidR="004626CE" w:rsidRPr="00A773A6" w:rsidRDefault="004626CE" w:rsidP="00A773A6">
      <w:pPr>
        <w:ind w:firstLine="709"/>
        <w:jc w:val="both"/>
        <w:rPr>
          <w:rFonts w:cs="Times New Roman"/>
          <w:szCs w:val="24"/>
        </w:rPr>
      </w:pPr>
    </w:p>
    <w:p w14:paraId="0A922AA8" w14:textId="04F5744C" w:rsidR="004626CE" w:rsidRPr="000F53DF" w:rsidRDefault="00004DF1" w:rsidP="004626CE">
      <w:pPr>
        <w:ind w:left="74"/>
        <w:jc w:val="right"/>
        <w:rPr>
          <w:rFonts w:eastAsia="Times New Roman" w:cs="Times New Roman"/>
          <w:b/>
          <w:i/>
          <w:sz w:val="20"/>
          <w:szCs w:val="24"/>
          <w:lang w:eastAsia="lv-LV"/>
        </w:rPr>
      </w:pPr>
      <w:r w:rsidRPr="004626CE">
        <w:rPr>
          <w:rFonts w:cs="Times New Roman"/>
          <w:b/>
          <w:i/>
          <w:sz w:val="20"/>
          <w:szCs w:val="24"/>
        </w:rPr>
        <w:t>1.tabula</w:t>
      </w:r>
      <w:r w:rsidR="00936759" w:rsidRPr="004626CE">
        <w:rPr>
          <w:rFonts w:cs="Times New Roman"/>
          <w:b/>
          <w:i/>
          <w:sz w:val="20"/>
          <w:szCs w:val="24"/>
        </w:rPr>
        <w:t>.</w:t>
      </w:r>
      <w:r w:rsidRPr="004626CE">
        <w:rPr>
          <w:rFonts w:cs="Times New Roman"/>
          <w:b/>
          <w:i/>
          <w:sz w:val="20"/>
          <w:szCs w:val="24"/>
        </w:rPr>
        <w:t xml:space="preserve"> </w:t>
      </w:r>
      <w:r w:rsidRPr="000F53DF">
        <w:rPr>
          <w:rFonts w:eastAsia="Times New Roman" w:cs="Times New Roman"/>
          <w:b/>
          <w:i/>
          <w:sz w:val="20"/>
          <w:szCs w:val="24"/>
          <w:lang w:eastAsia="lv-LV"/>
        </w:rPr>
        <w:t>Starptautisko kredītreitingu aģentūru novērtējums</w:t>
      </w:r>
    </w:p>
    <w:tbl>
      <w:tblPr>
        <w:tblStyle w:val="GridTable3-Accent1"/>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ating table"/>
      </w:tblPr>
      <w:tblGrid>
        <w:gridCol w:w="1756"/>
        <w:gridCol w:w="2133"/>
        <w:gridCol w:w="1965"/>
        <w:gridCol w:w="3185"/>
      </w:tblGrid>
      <w:tr w:rsidR="004626CE" w:rsidRPr="004626CE" w14:paraId="2A89C004" w14:textId="77777777" w:rsidTr="004626CE">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100" w:firstRow="0" w:lastRow="0" w:firstColumn="1" w:lastColumn="0" w:oddVBand="0" w:evenVBand="0" w:oddHBand="0" w:evenHBand="0" w:firstRowFirstColumn="1" w:firstRowLastColumn="0" w:lastRowFirstColumn="0" w:lastRowLastColumn="0"/>
            <w:tcW w:w="971" w:type="pct"/>
            <w:tcBorders>
              <w:top w:val="none" w:sz="0" w:space="0" w:color="auto"/>
              <w:left w:val="none" w:sz="0" w:space="0" w:color="auto"/>
              <w:bottom w:val="none" w:sz="0" w:space="0" w:color="auto"/>
              <w:right w:val="none" w:sz="0" w:space="0" w:color="auto"/>
            </w:tcBorders>
            <w:hideMark/>
          </w:tcPr>
          <w:p w14:paraId="247B1279" w14:textId="77777777" w:rsidR="00004DF1" w:rsidRPr="004626CE" w:rsidRDefault="00004DF1" w:rsidP="00A773A6">
            <w:pPr>
              <w:jc w:val="center"/>
              <w:rPr>
                <w:rFonts w:eastAsia="Times New Roman" w:cs="Times New Roman"/>
                <w:color w:val="000000" w:themeColor="text1"/>
                <w:sz w:val="20"/>
                <w:szCs w:val="24"/>
                <w:lang w:eastAsia="lv-LV"/>
              </w:rPr>
            </w:pPr>
          </w:p>
        </w:tc>
        <w:tc>
          <w:tcPr>
            <w:tcW w:w="1180" w:type="pct"/>
            <w:tcBorders>
              <w:top w:val="none" w:sz="0" w:space="0" w:color="auto"/>
              <w:left w:val="none" w:sz="0" w:space="0" w:color="auto"/>
              <w:right w:val="none" w:sz="0" w:space="0" w:color="auto"/>
            </w:tcBorders>
            <w:hideMark/>
          </w:tcPr>
          <w:p w14:paraId="20808294" w14:textId="77777777" w:rsidR="00004DF1" w:rsidRPr="004626CE" w:rsidRDefault="00004DF1" w:rsidP="00A773A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4"/>
                <w:lang w:eastAsia="lv-LV"/>
              </w:rPr>
            </w:pPr>
            <w:r w:rsidRPr="004626CE">
              <w:rPr>
                <w:rFonts w:eastAsia="Times New Roman" w:cs="Times New Roman"/>
                <w:color w:val="000000" w:themeColor="text1"/>
                <w:sz w:val="20"/>
                <w:szCs w:val="24"/>
                <w:lang w:eastAsia="lv-LV"/>
              </w:rPr>
              <w:t>Ilgtermiņa</w:t>
            </w:r>
          </w:p>
        </w:tc>
        <w:tc>
          <w:tcPr>
            <w:tcW w:w="1087" w:type="pct"/>
            <w:tcBorders>
              <w:top w:val="none" w:sz="0" w:space="0" w:color="auto"/>
              <w:left w:val="none" w:sz="0" w:space="0" w:color="auto"/>
              <w:right w:val="none" w:sz="0" w:space="0" w:color="auto"/>
            </w:tcBorders>
            <w:hideMark/>
          </w:tcPr>
          <w:p w14:paraId="7D1E1A57" w14:textId="77777777" w:rsidR="00004DF1" w:rsidRPr="004626CE" w:rsidRDefault="00004DF1" w:rsidP="00A773A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4"/>
                <w:lang w:eastAsia="lv-LV"/>
              </w:rPr>
            </w:pPr>
            <w:r w:rsidRPr="004626CE">
              <w:rPr>
                <w:rFonts w:eastAsia="Times New Roman" w:cs="Times New Roman"/>
                <w:color w:val="000000" w:themeColor="text1"/>
                <w:sz w:val="20"/>
                <w:szCs w:val="24"/>
                <w:lang w:eastAsia="lv-LV"/>
              </w:rPr>
              <w:t>Īstermiņa</w:t>
            </w:r>
          </w:p>
        </w:tc>
        <w:tc>
          <w:tcPr>
            <w:tcW w:w="1762" w:type="pct"/>
            <w:tcBorders>
              <w:top w:val="none" w:sz="0" w:space="0" w:color="auto"/>
              <w:left w:val="none" w:sz="0" w:space="0" w:color="auto"/>
              <w:right w:val="none" w:sz="0" w:space="0" w:color="auto"/>
            </w:tcBorders>
          </w:tcPr>
          <w:p w14:paraId="06E56CC0" w14:textId="77777777" w:rsidR="00004DF1" w:rsidRPr="004626CE" w:rsidRDefault="00004DF1" w:rsidP="00A773A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4"/>
                <w:lang w:eastAsia="lv-LV"/>
              </w:rPr>
            </w:pPr>
            <w:r w:rsidRPr="004626CE">
              <w:rPr>
                <w:rFonts w:eastAsia="Times New Roman" w:cs="Times New Roman"/>
                <w:color w:val="000000" w:themeColor="text1"/>
                <w:sz w:val="20"/>
                <w:szCs w:val="24"/>
                <w:lang w:eastAsia="lv-LV"/>
              </w:rPr>
              <w:t xml:space="preserve">Reitinga </w:t>
            </w:r>
            <w:r w:rsidR="00EC5D98" w:rsidRPr="004626CE">
              <w:rPr>
                <w:rFonts w:eastAsia="Times New Roman" w:cs="Times New Roman"/>
                <w:color w:val="000000" w:themeColor="text1"/>
                <w:sz w:val="20"/>
                <w:szCs w:val="24"/>
                <w:lang w:eastAsia="lv-LV"/>
              </w:rPr>
              <w:t>prognoze</w:t>
            </w:r>
          </w:p>
        </w:tc>
      </w:tr>
      <w:tr w:rsidR="004626CE" w:rsidRPr="004626CE" w14:paraId="0298C272" w14:textId="77777777" w:rsidTr="004626CE">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971" w:type="pct"/>
            <w:tcBorders>
              <w:top w:val="none" w:sz="0" w:space="0" w:color="auto"/>
              <w:left w:val="none" w:sz="0" w:space="0" w:color="auto"/>
              <w:bottom w:val="none" w:sz="0" w:space="0" w:color="auto"/>
            </w:tcBorders>
            <w:hideMark/>
          </w:tcPr>
          <w:p w14:paraId="01983120" w14:textId="77777777" w:rsidR="00004DF1" w:rsidRPr="004626CE" w:rsidRDefault="00004DF1" w:rsidP="00A773A6">
            <w:pPr>
              <w:rPr>
                <w:rFonts w:eastAsia="Times New Roman" w:cs="Times New Roman"/>
                <w:color w:val="000000" w:themeColor="text1"/>
                <w:sz w:val="20"/>
                <w:szCs w:val="24"/>
                <w:lang w:eastAsia="lv-LV"/>
              </w:rPr>
            </w:pPr>
            <w:proofErr w:type="spellStart"/>
            <w:r w:rsidRPr="004626CE">
              <w:rPr>
                <w:rFonts w:eastAsia="Times New Roman" w:cs="Times New Roman"/>
                <w:color w:val="000000" w:themeColor="text1"/>
                <w:sz w:val="20"/>
                <w:szCs w:val="24"/>
                <w:lang w:eastAsia="lv-LV"/>
              </w:rPr>
              <w:t>Moody's</w:t>
            </w:r>
            <w:proofErr w:type="spellEnd"/>
          </w:p>
        </w:tc>
        <w:tc>
          <w:tcPr>
            <w:tcW w:w="1180" w:type="pct"/>
            <w:hideMark/>
          </w:tcPr>
          <w:p w14:paraId="46A139AB" w14:textId="77777777" w:rsidR="00004DF1" w:rsidRPr="004626CE" w:rsidRDefault="00004DF1" w:rsidP="00A773A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4"/>
                <w:lang w:eastAsia="lv-LV"/>
              </w:rPr>
            </w:pPr>
            <w:r w:rsidRPr="004626CE">
              <w:rPr>
                <w:rFonts w:eastAsia="Times New Roman" w:cs="Times New Roman"/>
                <w:color w:val="000000" w:themeColor="text1"/>
                <w:sz w:val="20"/>
                <w:szCs w:val="24"/>
                <w:lang w:eastAsia="lv-LV"/>
              </w:rPr>
              <w:t>Aa1</w:t>
            </w:r>
          </w:p>
        </w:tc>
        <w:tc>
          <w:tcPr>
            <w:tcW w:w="1087" w:type="pct"/>
            <w:hideMark/>
          </w:tcPr>
          <w:p w14:paraId="322E32EF" w14:textId="77777777" w:rsidR="00004DF1" w:rsidRPr="004626CE" w:rsidRDefault="00004DF1" w:rsidP="00A773A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4"/>
                <w:lang w:eastAsia="lv-LV"/>
              </w:rPr>
            </w:pPr>
            <w:r w:rsidRPr="004626CE">
              <w:rPr>
                <w:rFonts w:eastAsia="Times New Roman" w:cs="Times New Roman"/>
                <w:color w:val="000000" w:themeColor="text1"/>
                <w:sz w:val="20"/>
                <w:szCs w:val="24"/>
                <w:lang w:eastAsia="lv-LV"/>
              </w:rPr>
              <w:t>P-1</w:t>
            </w:r>
          </w:p>
        </w:tc>
        <w:tc>
          <w:tcPr>
            <w:tcW w:w="1762" w:type="pct"/>
          </w:tcPr>
          <w:p w14:paraId="3164C9A6" w14:textId="77777777" w:rsidR="00004DF1" w:rsidRPr="004626CE" w:rsidRDefault="003B0B6D" w:rsidP="00A773A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4"/>
                <w:lang w:eastAsia="lv-LV"/>
              </w:rPr>
            </w:pPr>
            <w:r w:rsidRPr="004626CE">
              <w:rPr>
                <w:rFonts w:eastAsia="Times New Roman" w:cs="Times New Roman"/>
                <w:color w:val="000000" w:themeColor="text1"/>
                <w:sz w:val="20"/>
                <w:szCs w:val="24"/>
                <w:lang w:eastAsia="lv-LV"/>
              </w:rPr>
              <w:t>Stabila</w:t>
            </w:r>
          </w:p>
        </w:tc>
      </w:tr>
      <w:tr w:rsidR="004626CE" w:rsidRPr="004626CE" w14:paraId="71517272" w14:textId="77777777" w:rsidTr="004626CE">
        <w:trPr>
          <w:trHeight w:val="259"/>
          <w:jc w:val="center"/>
        </w:trPr>
        <w:tc>
          <w:tcPr>
            <w:cnfStyle w:val="001000000000" w:firstRow="0" w:lastRow="0" w:firstColumn="1" w:lastColumn="0" w:oddVBand="0" w:evenVBand="0" w:oddHBand="0" w:evenHBand="0" w:firstRowFirstColumn="0" w:firstRowLastColumn="0" w:lastRowFirstColumn="0" w:lastRowLastColumn="0"/>
            <w:tcW w:w="971" w:type="pct"/>
            <w:tcBorders>
              <w:top w:val="none" w:sz="0" w:space="0" w:color="auto"/>
              <w:left w:val="none" w:sz="0" w:space="0" w:color="auto"/>
              <w:bottom w:val="none" w:sz="0" w:space="0" w:color="auto"/>
            </w:tcBorders>
            <w:hideMark/>
          </w:tcPr>
          <w:p w14:paraId="39683A6C" w14:textId="77777777" w:rsidR="00004DF1" w:rsidRPr="004626CE" w:rsidRDefault="00004DF1" w:rsidP="00A773A6">
            <w:pPr>
              <w:rPr>
                <w:rFonts w:eastAsia="Times New Roman" w:cs="Times New Roman"/>
                <w:color w:val="000000" w:themeColor="text1"/>
                <w:sz w:val="20"/>
                <w:szCs w:val="24"/>
                <w:lang w:eastAsia="lv-LV"/>
              </w:rPr>
            </w:pPr>
            <w:proofErr w:type="spellStart"/>
            <w:r w:rsidRPr="004626CE">
              <w:rPr>
                <w:rFonts w:eastAsia="Times New Roman" w:cs="Times New Roman"/>
                <w:color w:val="000000" w:themeColor="text1"/>
                <w:sz w:val="20"/>
                <w:szCs w:val="24"/>
                <w:lang w:eastAsia="lv-LV"/>
              </w:rPr>
              <w:t>Fitch</w:t>
            </w:r>
            <w:proofErr w:type="spellEnd"/>
            <w:r w:rsidRPr="004626CE">
              <w:rPr>
                <w:rFonts w:eastAsia="Times New Roman" w:cs="Times New Roman"/>
                <w:color w:val="000000" w:themeColor="text1"/>
                <w:sz w:val="20"/>
                <w:szCs w:val="24"/>
                <w:lang w:eastAsia="lv-LV"/>
              </w:rPr>
              <w:t xml:space="preserve"> </w:t>
            </w:r>
            <w:proofErr w:type="spellStart"/>
            <w:r w:rsidRPr="004626CE">
              <w:rPr>
                <w:rFonts w:eastAsia="Times New Roman" w:cs="Times New Roman"/>
                <w:color w:val="000000" w:themeColor="text1"/>
                <w:sz w:val="20"/>
                <w:szCs w:val="24"/>
                <w:lang w:eastAsia="lv-LV"/>
              </w:rPr>
              <w:t>Ratings</w:t>
            </w:r>
            <w:proofErr w:type="spellEnd"/>
          </w:p>
        </w:tc>
        <w:tc>
          <w:tcPr>
            <w:tcW w:w="1180" w:type="pct"/>
            <w:hideMark/>
          </w:tcPr>
          <w:p w14:paraId="6E96251D" w14:textId="77777777" w:rsidR="00004DF1" w:rsidRPr="004626CE" w:rsidRDefault="00004DF1" w:rsidP="00A773A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4"/>
                <w:lang w:eastAsia="lv-LV"/>
              </w:rPr>
            </w:pPr>
            <w:r w:rsidRPr="004626CE">
              <w:rPr>
                <w:rFonts w:eastAsia="Times New Roman" w:cs="Times New Roman"/>
                <w:color w:val="000000" w:themeColor="text1"/>
                <w:sz w:val="20"/>
                <w:szCs w:val="24"/>
                <w:lang w:eastAsia="lv-LV"/>
              </w:rPr>
              <w:t>AAA</w:t>
            </w:r>
          </w:p>
        </w:tc>
        <w:tc>
          <w:tcPr>
            <w:tcW w:w="1087" w:type="pct"/>
            <w:hideMark/>
          </w:tcPr>
          <w:p w14:paraId="111ABF40" w14:textId="77777777" w:rsidR="00004DF1" w:rsidRPr="004626CE" w:rsidRDefault="00004DF1" w:rsidP="00A773A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4"/>
                <w:lang w:eastAsia="lv-LV"/>
              </w:rPr>
            </w:pPr>
            <w:r w:rsidRPr="004626CE">
              <w:rPr>
                <w:rFonts w:eastAsia="Times New Roman" w:cs="Times New Roman"/>
                <w:color w:val="000000" w:themeColor="text1"/>
                <w:sz w:val="20"/>
                <w:szCs w:val="24"/>
                <w:lang w:eastAsia="lv-LV"/>
              </w:rPr>
              <w:t>F1+</w:t>
            </w:r>
          </w:p>
        </w:tc>
        <w:tc>
          <w:tcPr>
            <w:tcW w:w="1762" w:type="pct"/>
          </w:tcPr>
          <w:p w14:paraId="4A27BB83" w14:textId="77777777" w:rsidR="00004DF1" w:rsidRPr="004626CE" w:rsidRDefault="00EC5D98" w:rsidP="00A773A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4"/>
                <w:lang w:eastAsia="lv-LV"/>
              </w:rPr>
            </w:pPr>
            <w:r w:rsidRPr="004626CE">
              <w:rPr>
                <w:rFonts w:eastAsia="Times New Roman" w:cs="Times New Roman"/>
                <w:color w:val="000000" w:themeColor="text1"/>
                <w:sz w:val="20"/>
                <w:szCs w:val="24"/>
                <w:lang w:eastAsia="lv-LV"/>
              </w:rPr>
              <w:t>Stabila</w:t>
            </w:r>
          </w:p>
        </w:tc>
      </w:tr>
      <w:tr w:rsidR="004626CE" w:rsidRPr="004626CE" w14:paraId="1AB28C09" w14:textId="77777777" w:rsidTr="004626CE">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971" w:type="pct"/>
            <w:tcBorders>
              <w:top w:val="none" w:sz="0" w:space="0" w:color="auto"/>
              <w:left w:val="none" w:sz="0" w:space="0" w:color="auto"/>
              <w:bottom w:val="none" w:sz="0" w:space="0" w:color="auto"/>
            </w:tcBorders>
            <w:hideMark/>
          </w:tcPr>
          <w:p w14:paraId="5CA061CB" w14:textId="77777777" w:rsidR="00004DF1" w:rsidRPr="004626CE" w:rsidRDefault="00004DF1" w:rsidP="00A773A6">
            <w:pPr>
              <w:rPr>
                <w:rFonts w:eastAsia="Times New Roman" w:cs="Times New Roman"/>
                <w:color w:val="000000" w:themeColor="text1"/>
                <w:sz w:val="20"/>
                <w:szCs w:val="24"/>
                <w:lang w:eastAsia="lv-LV"/>
              </w:rPr>
            </w:pPr>
            <w:r w:rsidRPr="004626CE">
              <w:rPr>
                <w:rFonts w:eastAsia="Times New Roman" w:cs="Times New Roman"/>
                <w:color w:val="000000" w:themeColor="text1"/>
                <w:sz w:val="20"/>
                <w:szCs w:val="24"/>
                <w:lang w:eastAsia="lv-LV"/>
              </w:rPr>
              <w:t>DBRS</w:t>
            </w:r>
          </w:p>
        </w:tc>
        <w:tc>
          <w:tcPr>
            <w:tcW w:w="1180" w:type="pct"/>
            <w:hideMark/>
          </w:tcPr>
          <w:p w14:paraId="0FD4959F" w14:textId="77777777" w:rsidR="00004DF1" w:rsidRPr="004626CE" w:rsidRDefault="00004DF1" w:rsidP="00A773A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4"/>
                <w:lang w:eastAsia="lv-LV"/>
              </w:rPr>
            </w:pPr>
            <w:r w:rsidRPr="004626CE">
              <w:rPr>
                <w:rFonts w:eastAsia="Times New Roman" w:cs="Times New Roman"/>
                <w:color w:val="000000" w:themeColor="text1"/>
                <w:sz w:val="20"/>
                <w:szCs w:val="24"/>
                <w:lang w:eastAsia="lv-LV"/>
              </w:rPr>
              <w:t>AAA</w:t>
            </w:r>
          </w:p>
        </w:tc>
        <w:tc>
          <w:tcPr>
            <w:tcW w:w="1087" w:type="pct"/>
            <w:hideMark/>
          </w:tcPr>
          <w:p w14:paraId="697CA550" w14:textId="77777777" w:rsidR="00004DF1" w:rsidRPr="004626CE" w:rsidRDefault="00004DF1" w:rsidP="00A773A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4"/>
                <w:lang w:eastAsia="lv-LV"/>
              </w:rPr>
            </w:pPr>
            <w:r w:rsidRPr="004626CE">
              <w:rPr>
                <w:rFonts w:eastAsia="Times New Roman" w:cs="Times New Roman"/>
                <w:color w:val="000000" w:themeColor="text1"/>
                <w:sz w:val="20"/>
                <w:szCs w:val="24"/>
                <w:lang w:eastAsia="lv-LV"/>
              </w:rPr>
              <w:t>R-1 (augsts)</w:t>
            </w:r>
          </w:p>
        </w:tc>
        <w:tc>
          <w:tcPr>
            <w:tcW w:w="1762" w:type="pct"/>
          </w:tcPr>
          <w:p w14:paraId="6DDEE2E0" w14:textId="77777777" w:rsidR="00004DF1" w:rsidRPr="004626CE" w:rsidRDefault="00EC5D98" w:rsidP="00A773A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4"/>
                <w:lang w:eastAsia="lv-LV"/>
              </w:rPr>
            </w:pPr>
            <w:r w:rsidRPr="004626CE">
              <w:rPr>
                <w:rFonts w:eastAsia="Times New Roman" w:cs="Times New Roman"/>
                <w:color w:val="000000" w:themeColor="text1"/>
                <w:sz w:val="20"/>
                <w:szCs w:val="24"/>
                <w:lang w:eastAsia="lv-LV"/>
              </w:rPr>
              <w:t>Stabila</w:t>
            </w:r>
          </w:p>
        </w:tc>
      </w:tr>
    </w:tbl>
    <w:p w14:paraId="7CDD74B0" w14:textId="77777777" w:rsidR="00686F93" w:rsidRDefault="00686F93" w:rsidP="00686F93">
      <w:pPr>
        <w:rPr>
          <w:rFonts w:eastAsia="Times New Roman" w:cs="Times New Roman"/>
          <w:b/>
          <w:i/>
          <w:sz w:val="20"/>
          <w:szCs w:val="20"/>
          <w:lang w:eastAsia="lv-LV"/>
        </w:rPr>
      </w:pPr>
    </w:p>
    <w:p w14:paraId="4EB2F508" w14:textId="103FDBBC" w:rsidR="004626CE" w:rsidRPr="00686F93" w:rsidRDefault="00686F93" w:rsidP="00686F93">
      <w:pPr>
        <w:rPr>
          <w:rFonts w:eastAsia="Times New Roman" w:cs="Times New Roman"/>
          <w:b/>
          <w:i/>
          <w:sz w:val="20"/>
          <w:szCs w:val="20"/>
          <w:lang w:eastAsia="lv-LV"/>
        </w:rPr>
      </w:pPr>
      <w:r w:rsidRPr="00686F93">
        <w:rPr>
          <w:rFonts w:eastAsia="Times New Roman" w:cs="Times New Roman"/>
          <w:b/>
          <w:i/>
          <w:sz w:val="20"/>
          <w:szCs w:val="20"/>
          <w:lang w:eastAsia="lv-LV"/>
        </w:rPr>
        <w:t>Avots: ESM gada pārskats</w:t>
      </w:r>
    </w:p>
    <w:p w14:paraId="2E5CF75B" w14:textId="713CAEC6" w:rsidR="00686F93" w:rsidRDefault="00686F93" w:rsidP="00686F93">
      <w:pPr>
        <w:rPr>
          <w:rFonts w:eastAsia="Times New Roman" w:cs="Times New Roman"/>
          <w:b/>
          <w:i/>
          <w:sz w:val="22"/>
          <w:szCs w:val="24"/>
          <w:lang w:eastAsia="lv-LV"/>
        </w:rPr>
      </w:pPr>
    </w:p>
    <w:p w14:paraId="4009D266" w14:textId="53D95F42" w:rsidR="008F24BC" w:rsidRDefault="008F24BC" w:rsidP="00686F93">
      <w:pPr>
        <w:rPr>
          <w:rFonts w:eastAsia="Times New Roman" w:cs="Times New Roman"/>
          <w:b/>
          <w:i/>
          <w:sz w:val="22"/>
          <w:szCs w:val="24"/>
          <w:lang w:eastAsia="lv-LV"/>
        </w:rPr>
      </w:pPr>
    </w:p>
    <w:p w14:paraId="55283666" w14:textId="02BBD594" w:rsidR="008F24BC" w:rsidRDefault="008F24BC" w:rsidP="00686F93">
      <w:pPr>
        <w:rPr>
          <w:rFonts w:eastAsia="Times New Roman" w:cs="Times New Roman"/>
          <w:b/>
          <w:i/>
          <w:sz w:val="22"/>
          <w:szCs w:val="24"/>
          <w:lang w:eastAsia="lv-LV"/>
        </w:rPr>
      </w:pPr>
    </w:p>
    <w:p w14:paraId="7AFD3F2B" w14:textId="163396CC" w:rsidR="008F24BC" w:rsidRDefault="008F24BC" w:rsidP="00686F93">
      <w:pPr>
        <w:rPr>
          <w:rFonts w:eastAsia="Times New Roman" w:cs="Times New Roman"/>
          <w:b/>
          <w:i/>
          <w:sz w:val="22"/>
          <w:szCs w:val="24"/>
          <w:lang w:eastAsia="lv-LV"/>
        </w:rPr>
      </w:pPr>
    </w:p>
    <w:p w14:paraId="542CD39E" w14:textId="77777777" w:rsidR="008F24BC" w:rsidRPr="00686F93" w:rsidRDefault="008F24BC" w:rsidP="00686F93">
      <w:pPr>
        <w:rPr>
          <w:rFonts w:eastAsia="Times New Roman" w:cs="Times New Roman"/>
          <w:b/>
          <w:i/>
          <w:sz w:val="22"/>
          <w:szCs w:val="24"/>
          <w:lang w:eastAsia="lv-LV"/>
        </w:rPr>
      </w:pPr>
    </w:p>
    <w:p w14:paraId="426F23D9" w14:textId="77777777" w:rsidR="00BD7A7E" w:rsidRDefault="00280255" w:rsidP="004626CE">
      <w:pPr>
        <w:pStyle w:val="ListParagraph"/>
        <w:numPr>
          <w:ilvl w:val="0"/>
          <w:numId w:val="22"/>
        </w:numPr>
        <w:jc w:val="center"/>
        <w:rPr>
          <w:rFonts w:eastAsia="Times New Roman" w:cs="Times New Roman"/>
          <w:b/>
          <w:szCs w:val="24"/>
          <w:lang w:eastAsia="lv-LV"/>
        </w:rPr>
      </w:pPr>
      <w:r w:rsidRPr="004626CE">
        <w:rPr>
          <w:rFonts w:eastAsia="Times New Roman" w:cs="Times New Roman"/>
          <w:b/>
          <w:szCs w:val="24"/>
          <w:lang w:eastAsia="lv-LV"/>
        </w:rPr>
        <w:lastRenderedPageBreak/>
        <w:t xml:space="preserve">ESM </w:t>
      </w:r>
      <w:r w:rsidR="001F5245" w:rsidRPr="004626CE">
        <w:rPr>
          <w:rFonts w:eastAsia="Times New Roman" w:cs="Times New Roman"/>
          <w:b/>
          <w:szCs w:val="24"/>
          <w:lang w:eastAsia="lv-LV"/>
        </w:rPr>
        <w:t>īstenot</w:t>
      </w:r>
      <w:r w:rsidR="00A0553D" w:rsidRPr="004626CE">
        <w:rPr>
          <w:rFonts w:eastAsia="Times New Roman" w:cs="Times New Roman"/>
          <w:b/>
          <w:szCs w:val="24"/>
          <w:lang w:eastAsia="lv-LV"/>
        </w:rPr>
        <w:t>o</w:t>
      </w:r>
      <w:r w:rsidR="00A83D94" w:rsidRPr="004626CE">
        <w:rPr>
          <w:rFonts w:eastAsia="Times New Roman" w:cs="Times New Roman"/>
          <w:b/>
          <w:szCs w:val="24"/>
          <w:lang w:eastAsia="lv-LV"/>
        </w:rPr>
        <w:t xml:space="preserve"> finansiāl</w:t>
      </w:r>
      <w:r w:rsidR="00A0553D" w:rsidRPr="004626CE">
        <w:rPr>
          <w:rFonts w:eastAsia="Times New Roman" w:cs="Times New Roman"/>
          <w:b/>
          <w:szCs w:val="24"/>
          <w:lang w:eastAsia="lv-LV"/>
        </w:rPr>
        <w:t>o</w:t>
      </w:r>
      <w:r w:rsidR="00A83D94" w:rsidRPr="004626CE">
        <w:rPr>
          <w:rFonts w:eastAsia="Times New Roman" w:cs="Times New Roman"/>
          <w:b/>
          <w:szCs w:val="24"/>
          <w:lang w:eastAsia="lv-LV"/>
        </w:rPr>
        <w:t xml:space="preserve"> palīdzīb</w:t>
      </w:r>
      <w:r w:rsidR="00A0553D" w:rsidRPr="004626CE">
        <w:rPr>
          <w:rFonts w:eastAsia="Times New Roman" w:cs="Times New Roman"/>
          <w:b/>
          <w:szCs w:val="24"/>
          <w:lang w:eastAsia="lv-LV"/>
        </w:rPr>
        <w:t>u</w:t>
      </w:r>
      <w:r w:rsidR="00A83D94" w:rsidRPr="004626CE">
        <w:rPr>
          <w:rFonts w:eastAsia="Times New Roman" w:cs="Times New Roman"/>
          <w:b/>
          <w:szCs w:val="24"/>
          <w:lang w:eastAsia="lv-LV"/>
        </w:rPr>
        <w:t xml:space="preserve"> programm</w:t>
      </w:r>
      <w:r w:rsidR="000B1FC7" w:rsidRPr="004626CE">
        <w:rPr>
          <w:rFonts w:eastAsia="Times New Roman" w:cs="Times New Roman"/>
          <w:b/>
          <w:szCs w:val="24"/>
          <w:lang w:eastAsia="lv-LV"/>
        </w:rPr>
        <w:t>u pieredze</w:t>
      </w:r>
    </w:p>
    <w:p w14:paraId="3CBF23E8" w14:textId="77777777" w:rsidR="004626CE" w:rsidRPr="004626CE" w:rsidRDefault="004626CE" w:rsidP="004626CE">
      <w:pPr>
        <w:pStyle w:val="ListParagraph"/>
        <w:ind w:left="1440"/>
        <w:rPr>
          <w:rFonts w:eastAsia="Times New Roman" w:cs="Times New Roman"/>
          <w:b/>
          <w:szCs w:val="24"/>
          <w:lang w:eastAsia="lv-LV"/>
        </w:rPr>
      </w:pPr>
    </w:p>
    <w:p w14:paraId="0BD16096" w14:textId="77777777" w:rsidR="00936759" w:rsidRDefault="00AF1364" w:rsidP="00A773A6">
      <w:pPr>
        <w:ind w:firstLine="720"/>
        <w:jc w:val="both"/>
        <w:rPr>
          <w:rFonts w:cs="Times New Roman"/>
          <w:szCs w:val="24"/>
        </w:rPr>
      </w:pPr>
      <w:r w:rsidRPr="00A773A6">
        <w:rPr>
          <w:rFonts w:eastAsia="Times New Roman" w:cs="Times New Roman"/>
          <w:szCs w:val="24"/>
          <w:lang w:eastAsia="lv-LV"/>
        </w:rPr>
        <w:t xml:space="preserve">Kopš dibināšanas brīža ESM ir </w:t>
      </w:r>
      <w:r w:rsidR="00985AE8" w:rsidRPr="00A773A6">
        <w:rPr>
          <w:rFonts w:eastAsia="Times New Roman" w:cs="Times New Roman"/>
          <w:szCs w:val="24"/>
          <w:lang w:eastAsia="lv-LV"/>
        </w:rPr>
        <w:t xml:space="preserve">sniedzis palīdzību trīs valstīm. </w:t>
      </w:r>
      <w:r w:rsidR="00517270">
        <w:rPr>
          <w:rFonts w:eastAsia="Times New Roman" w:cs="Times New Roman"/>
          <w:szCs w:val="24"/>
          <w:lang w:eastAsia="lv-LV"/>
        </w:rPr>
        <w:t>Spānija</w:t>
      </w:r>
      <w:r w:rsidR="00BE41B3" w:rsidRPr="00A773A6">
        <w:rPr>
          <w:rFonts w:eastAsia="Times New Roman" w:cs="Times New Roman"/>
          <w:szCs w:val="24"/>
          <w:lang w:eastAsia="lv-LV"/>
        </w:rPr>
        <w:t xml:space="preserve"> </w:t>
      </w:r>
      <w:r w:rsidRPr="00A773A6">
        <w:rPr>
          <w:rFonts w:cs="Times New Roman"/>
          <w:szCs w:val="24"/>
        </w:rPr>
        <w:t xml:space="preserve">makroekonomikas korekcijas </w:t>
      </w:r>
      <w:r w:rsidR="0004606F" w:rsidRPr="00A773A6">
        <w:rPr>
          <w:rFonts w:eastAsia="Times New Roman" w:cs="Times New Roman"/>
          <w:szCs w:val="24"/>
          <w:lang w:eastAsia="lv-LV"/>
        </w:rPr>
        <w:t>programmu</w:t>
      </w:r>
      <w:r w:rsidR="00B0682A" w:rsidRPr="00A773A6">
        <w:rPr>
          <w:rFonts w:eastAsia="Times New Roman" w:cs="Times New Roman"/>
          <w:szCs w:val="24"/>
          <w:lang w:eastAsia="lv-LV"/>
        </w:rPr>
        <w:t xml:space="preserve"> (turpmāk –</w:t>
      </w:r>
      <w:r w:rsidR="00B64211" w:rsidRPr="00A773A6">
        <w:rPr>
          <w:rFonts w:eastAsia="Times New Roman" w:cs="Times New Roman"/>
          <w:szCs w:val="24"/>
          <w:lang w:eastAsia="lv-LV"/>
        </w:rPr>
        <w:t xml:space="preserve"> </w:t>
      </w:r>
      <w:r w:rsidRPr="00A773A6">
        <w:rPr>
          <w:rFonts w:eastAsia="Times New Roman" w:cs="Times New Roman"/>
          <w:szCs w:val="24"/>
          <w:lang w:eastAsia="lv-LV"/>
        </w:rPr>
        <w:t>programma)</w:t>
      </w:r>
      <w:r w:rsidR="008E56A0" w:rsidRPr="00A773A6">
        <w:rPr>
          <w:rFonts w:eastAsia="Times New Roman" w:cs="Times New Roman"/>
          <w:szCs w:val="24"/>
          <w:lang w:eastAsia="lv-LV"/>
        </w:rPr>
        <w:t xml:space="preserve"> ir </w:t>
      </w:r>
      <w:r w:rsidR="0004606F" w:rsidRPr="00A773A6">
        <w:rPr>
          <w:rFonts w:eastAsia="Times New Roman" w:cs="Times New Roman"/>
          <w:szCs w:val="24"/>
          <w:lang w:eastAsia="lv-LV"/>
        </w:rPr>
        <w:t xml:space="preserve">noslēgusi </w:t>
      </w:r>
      <w:r w:rsidR="0004606F" w:rsidRPr="00A773A6">
        <w:rPr>
          <w:rFonts w:cs="Times New Roman"/>
          <w:szCs w:val="24"/>
        </w:rPr>
        <w:t xml:space="preserve">2013.gadā, </w:t>
      </w:r>
      <w:r w:rsidR="00517270">
        <w:rPr>
          <w:rFonts w:cs="Times New Roman"/>
          <w:szCs w:val="24"/>
        </w:rPr>
        <w:t>Kipra</w:t>
      </w:r>
      <w:r w:rsidR="0004606F" w:rsidRPr="00A773A6">
        <w:rPr>
          <w:rFonts w:cs="Times New Roman"/>
          <w:szCs w:val="24"/>
        </w:rPr>
        <w:t xml:space="preserve"> </w:t>
      </w:r>
      <w:r w:rsidR="000F53DF">
        <w:rPr>
          <w:rFonts w:cs="Times New Roman"/>
          <w:szCs w:val="24"/>
        </w:rPr>
        <w:t>–</w:t>
      </w:r>
      <w:r w:rsidR="00A4581D" w:rsidRPr="00A773A6">
        <w:rPr>
          <w:rFonts w:cs="Times New Roman"/>
          <w:szCs w:val="24"/>
        </w:rPr>
        <w:t xml:space="preserve"> 2016.gadā</w:t>
      </w:r>
      <w:r w:rsidR="00BE41B3" w:rsidRPr="00A773A6">
        <w:rPr>
          <w:rFonts w:eastAsia="Times New Roman" w:cs="Times New Roman"/>
          <w:szCs w:val="24"/>
          <w:lang w:eastAsia="lv-LV"/>
        </w:rPr>
        <w:t>, s</w:t>
      </w:r>
      <w:r w:rsidR="004C5DF6" w:rsidRPr="00A773A6">
        <w:rPr>
          <w:rFonts w:eastAsia="Times New Roman" w:cs="Times New Roman"/>
          <w:szCs w:val="24"/>
          <w:lang w:eastAsia="lv-LV"/>
        </w:rPr>
        <w:t>avuk</w:t>
      </w:r>
      <w:r w:rsidR="00517270">
        <w:rPr>
          <w:rFonts w:eastAsia="Times New Roman" w:cs="Times New Roman"/>
          <w:szCs w:val="24"/>
          <w:lang w:eastAsia="lv-LV"/>
        </w:rPr>
        <w:t>ārt Grieķija</w:t>
      </w:r>
      <w:r w:rsidR="0004606F" w:rsidRPr="00A773A6">
        <w:rPr>
          <w:rFonts w:eastAsia="Times New Roman" w:cs="Times New Roman"/>
          <w:szCs w:val="24"/>
          <w:lang w:eastAsia="lv-LV"/>
        </w:rPr>
        <w:t xml:space="preserve"> – 2018.gadā</w:t>
      </w:r>
      <w:r w:rsidR="00B0682A" w:rsidRPr="00A773A6">
        <w:rPr>
          <w:rFonts w:eastAsia="Times New Roman" w:cs="Times New Roman"/>
          <w:szCs w:val="24"/>
          <w:lang w:eastAsia="lv-LV"/>
        </w:rPr>
        <w:t>.</w:t>
      </w:r>
      <w:r w:rsidR="00D840EE" w:rsidRPr="00A773A6">
        <w:rPr>
          <w:rFonts w:cs="Times New Roman"/>
          <w:szCs w:val="24"/>
        </w:rPr>
        <w:t xml:space="preserve"> </w:t>
      </w:r>
    </w:p>
    <w:p w14:paraId="7A732425" w14:textId="6F598119" w:rsidR="00517270" w:rsidRPr="00A773A6" w:rsidRDefault="000D7675" w:rsidP="00A773A6">
      <w:pPr>
        <w:ind w:firstLine="720"/>
        <w:jc w:val="both"/>
        <w:rPr>
          <w:rFonts w:cs="Times New Roman"/>
          <w:szCs w:val="24"/>
        </w:rPr>
      </w:pPr>
      <w:r>
        <w:rPr>
          <w:rFonts w:cs="Times New Roman"/>
          <w:szCs w:val="24"/>
        </w:rPr>
        <w:t xml:space="preserve">Spānijas programma bija ESM pirmā finanšu palīdzības programma. Kopā ESM piešķīra Spānijai 41,3 mljrd. </w:t>
      </w:r>
      <w:r w:rsidRPr="000D7675">
        <w:rPr>
          <w:rFonts w:cs="Times New Roman"/>
          <w:i/>
          <w:szCs w:val="24"/>
        </w:rPr>
        <w:t>euro</w:t>
      </w:r>
      <w:r>
        <w:rPr>
          <w:rFonts w:cs="Times New Roman"/>
          <w:szCs w:val="24"/>
        </w:rPr>
        <w:t xml:space="preserve"> lielu aizdevumu, lai Spāni</w:t>
      </w:r>
      <w:r w:rsidR="005E0607">
        <w:rPr>
          <w:rFonts w:cs="Times New Roman"/>
          <w:szCs w:val="24"/>
        </w:rPr>
        <w:t xml:space="preserve">ja varētu veikt banku sektora </w:t>
      </w:r>
      <w:proofErr w:type="spellStart"/>
      <w:r w:rsidR="005E0607">
        <w:rPr>
          <w:rFonts w:cs="Times New Roman"/>
          <w:szCs w:val="24"/>
        </w:rPr>
        <w:t>re</w:t>
      </w:r>
      <w:r>
        <w:rPr>
          <w:rFonts w:cs="Times New Roman"/>
          <w:szCs w:val="24"/>
        </w:rPr>
        <w:t>kapitalizāciju</w:t>
      </w:r>
      <w:proofErr w:type="spellEnd"/>
      <w:r>
        <w:rPr>
          <w:rFonts w:cs="Times New Roman"/>
          <w:szCs w:val="24"/>
        </w:rPr>
        <w:t>. P</w:t>
      </w:r>
      <w:r w:rsidRPr="00A773A6">
        <w:rPr>
          <w:rFonts w:cs="Times New Roman"/>
          <w:szCs w:val="24"/>
        </w:rPr>
        <w:t>rogramma ilga līdz 2013.gada decembrim</w:t>
      </w:r>
      <w:r>
        <w:rPr>
          <w:rFonts w:cs="Times New Roman"/>
          <w:szCs w:val="24"/>
        </w:rPr>
        <w:t xml:space="preserve">. 2019. gada nogalē Spānija bija atmaksājusi ESM 17,6 mljrd. </w:t>
      </w:r>
      <w:r w:rsidRPr="000D7675">
        <w:rPr>
          <w:rFonts w:cs="Times New Roman"/>
          <w:i/>
          <w:szCs w:val="24"/>
        </w:rPr>
        <w:t>euro</w:t>
      </w:r>
      <w:r w:rsidR="00DD6F72">
        <w:rPr>
          <w:rFonts w:cs="Times New Roman"/>
          <w:i/>
          <w:szCs w:val="24"/>
        </w:rPr>
        <w:t xml:space="preserve">. </w:t>
      </w:r>
      <w:r w:rsidR="00DD6F72">
        <w:rPr>
          <w:rFonts w:cs="Times New Roman"/>
          <w:szCs w:val="24"/>
        </w:rPr>
        <w:t>K</w:t>
      </w:r>
      <w:r w:rsidR="00DD6F72" w:rsidRPr="00A773A6">
        <w:rPr>
          <w:rFonts w:cs="Times New Roman"/>
          <w:szCs w:val="24"/>
        </w:rPr>
        <w:t>opš 2014.gada</w:t>
      </w:r>
      <w:r w:rsidR="00DD6F72">
        <w:rPr>
          <w:rFonts w:cs="Times New Roman"/>
          <w:szCs w:val="24"/>
        </w:rPr>
        <w:t xml:space="preserve"> Spānija</w:t>
      </w:r>
      <w:r w:rsidR="00DD6F72" w:rsidRPr="00A773A6">
        <w:rPr>
          <w:rFonts w:cs="Times New Roman"/>
          <w:szCs w:val="24"/>
        </w:rPr>
        <w:t xml:space="preserve"> kopumā ir veikusi deviņus brīvprātīgus priekšlaicīgus maksājumus. ESM izsniegtā aizdevuma neatmaksātā summa uz </w:t>
      </w:r>
      <w:r w:rsidR="00DD6F72">
        <w:rPr>
          <w:rFonts w:cs="Times New Roman"/>
          <w:szCs w:val="24"/>
        </w:rPr>
        <w:t>2019</w:t>
      </w:r>
      <w:r w:rsidR="00DD6F72" w:rsidRPr="00A773A6">
        <w:rPr>
          <w:rFonts w:cs="Times New Roman"/>
          <w:szCs w:val="24"/>
        </w:rPr>
        <w:t xml:space="preserve">.gada 31.decembri veido 23,7 mljrd. </w:t>
      </w:r>
      <w:r w:rsidR="00DD6F72" w:rsidRPr="00A773A6">
        <w:rPr>
          <w:rFonts w:cs="Times New Roman"/>
          <w:i/>
          <w:szCs w:val="24"/>
        </w:rPr>
        <w:t>euro</w:t>
      </w:r>
      <w:r w:rsidR="00DD6F72" w:rsidRPr="00A773A6">
        <w:rPr>
          <w:rFonts w:cs="Times New Roman"/>
          <w:szCs w:val="24"/>
        </w:rPr>
        <w:t>.</w:t>
      </w:r>
    </w:p>
    <w:p w14:paraId="2E3E8E7D" w14:textId="2DA3C358" w:rsidR="00650DD5" w:rsidRPr="00A773A6" w:rsidRDefault="00DD6F72" w:rsidP="00DD6F72">
      <w:pPr>
        <w:ind w:firstLine="709"/>
        <w:jc w:val="both"/>
        <w:rPr>
          <w:rFonts w:eastAsia="Times New Roman" w:cs="Times New Roman"/>
          <w:szCs w:val="24"/>
          <w:lang w:eastAsia="lv-LV"/>
        </w:rPr>
      </w:pPr>
      <w:r>
        <w:rPr>
          <w:rFonts w:eastAsia="Times New Roman" w:cs="Times New Roman"/>
          <w:szCs w:val="24"/>
          <w:lang w:eastAsia="lv-LV"/>
        </w:rPr>
        <w:t>Kipras programma noslēdzās 2016.gadā</w:t>
      </w:r>
      <w:r w:rsidR="000F53DF">
        <w:rPr>
          <w:rFonts w:eastAsia="Times New Roman" w:cs="Times New Roman"/>
          <w:szCs w:val="24"/>
          <w:lang w:eastAsia="lv-LV"/>
        </w:rPr>
        <w:t>,</w:t>
      </w:r>
      <w:r>
        <w:rPr>
          <w:rFonts w:eastAsia="Times New Roman" w:cs="Times New Roman"/>
          <w:szCs w:val="24"/>
          <w:lang w:eastAsia="lv-LV"/>
        </w:rPr>
        <w:t xml:space="preserve"> un programmas darbības laikā ESM Kiprai piešķīra 6,3 mljrd. </w:t>
      </w:r>
      <w:r w:rsidRPr="00DD6F72">
        <w:rPr>
          <w:rFonts w:eastAsia="Times New Roman" w:cs="Times New Roman"/>
          <w:i/>
          <w:szCs w:val="24"/>
          <w:lang w:eastAsia="lv-LV"/>
        </w:rPr>
        <w:t>euro</w:t>
      </w:r>
      <w:r>
        <w:rPr>
          <w:rFonts w:eastAsia="Times New Roman" w:cs="Times New Roman"/>
          <w:szCs w:val="24"/>
          <w:lang w:eastAsia="lv-LV"/>
        </w:rPr>
        <w:t xml:space="preserve">. Papildus aptuveni 1 mljrd. </w:t>
      </w:r>
      <w:r w:rsidRPr="00DD6F72">
        <w:rPr>
          <w:rFonts w:eastAsia="Times New Roman" w:cs="Times New Roman"/>
          <w:i/>
          <w:szCs w:val="24"/>
          <w:lang w:eastAsia="lv-LV"/>
        </w:rPr>
        <w:t>euro</w:t>
      </w:r>
      <w:r>
        <w:rPr>
          <w:rFonts w:eastAsia="Times New Roman" w:cs="Times New Roman"/>
          <w:szCs w:val="24"/>
          <w:lang w:eastAsia="lv-LV"/>
        </w:rPr>
        <w:t xml:space="preserve"> piešķīra Starptautiskais Valūtas fonds. </w:t>
      </w:r>
      <w:r w:rsidR="00865FC9" w:rsidRPr="00A773A6">
        <w:rPr>
          <w:rFonts w:eastAsia="Times New Roman" w:cs="Times New Roman"/>
          <w:szCs w:val="24"/>
          <w:lang w:eastAsia="lv-LV"/>
        </w:rPr>
        <w:t>Kiprai piešķirtā aizdevuma</w:t>
      </w:r>
      <w:r w:rsidR="008F24BC">
        <w:rPr>
          <w:rFonts w:eastAsia="Times New Roman" w:cs="Times New Roman"/>
          <w:szCs w:val="24"/>
          <w:lang w:eastAsia="lv-LV"/>
        </w:rPr>
        <w:t xml:space="preserve"> atlikusī nominālvērtība 2019</w:t>
      </w:r>
      <w:r w:rsidR="00AA565A" w:rsidRPr="00A773A6">
        <w:rPr>
          <w:rFonts w:eastAsia="Times New Roman" w:cs="Times New Roman"/>
          <w:szCs w:val="24"/>
          <w:lang w:eastAsia="lv-LV"/>
        </w:rPr>
        <w:t>.g</w:t>
      </w:r>
      <w:r w:rsidR="00382674" w:rsidRPr="00A773A6">
        <w:rPr>
          <w:rFonts w:eastAsia="Times New Roman" w:cs="Times New Roman"/>
          <w:szCs w:val="24"/>
          <w:lang w:eastAsia="lv-LV"/>
        </w:rPr>
        <w:t>ada 3</w:t>
      </w:r>
      <w:r w:rsidR="00AA565A" w:rsidRPr="00A773A6">
        <w:rPr>
          <w:rFonts w:eastAsia="Times New Roman" w:cs="Times New Roman"/>
          <w:szCs w:val="24"/>
          <w:lang w:eastAsia="lv-LV"/>
        </w:rPr>
        <w:t>1.</w:t>
      </w:r>
      <w:r w:rsidR="00382674" w:rsidRPr="00A773A6">
        <w:rPr>
          <w:rFonts w:eastAsia="Times New Roman" w:cs="Times New Roman"/>
          <w:szCs w:val="24"/>
          <w:lang w:eastAsia="lv-LV"/>
        </w:rPr>
        <w:t xml:space="preserve">decembrī ir 6,3 mljrd. </w:t>
      </w:r>
      <w:r w:rsidR="00382674" w:rsidRPr="00A773A6">
        <w:rPr>
          <w:rFonts w:eastAsia="Times New Roman" w:cs="Times New Roman"/>
          <w:i/>
          <w:szCs w:val="24"/>
          <w:lang w:eastAsia="lv-LV"/>
        </w:rPr>
        <w:t>euro</w:t>
      </w:r>
      <w:r w:rsidR="0085469F">
        <w:rPr>
          <w:rFonts w:eastAsia="Times New Roman" w:cs="Times New Roman"/>
          <w:szCs w:val="24"/>
          <w:lang w:eastAsia="lv-LV"/>
        </w:rPr>
        <w:t>.</w:t>
      </w:r>
    </w:p>
    <w:p w14:paraId="30ED0C61" w14:textId="36466ABA" w:rsidR="006D7475" w:rsidRPr="00881081" w:rsidRDefault="00DD6F72" w:rsidP="00881081">
      <w:pPr>
        <w:ind w:firstLine="720"/>
        <w:jc w:val="both"/>
        <w:rPr>
          <w:rFonts w:cs="Times New Roman"/>
          <w:szCs w:val="24"/>
        </w:rPr>
      </w:pPr>
      <w:r>
        <w:rPr>
          <w:rFonts w:cs="Times New Roman"/>
          <w:szCs w:val="24"/>
        </w:rPr>
        <w:t>Grieķijas programma noslēdzās 2018.gadā. Tās laikā ESM izsniedza Grieķijai aizdevumu</w:t>
      </w:r>
      <w:r w:rsidR="00881081">
        <w:rPr>
          <w:rFonts w:cs="Times New Roman"/>
          <w:szCs w:val="24"/>
        </w:rPr>
        <w:t xml:space="preserve"> </w:t>
      </w:r>
      <w:r w:rsidR="00640508" w:rsidRPr="00A773A6">
        <w:rPr>
          <w:rFonts w:eastAsia="Calibri" w:cs="Times New Roman"/>
          <w:kern w:val="24"/>
          <w:szCs w:val="24"/>
        </w:rPr>
        <w:t xml:space="preserve">61,9 mljrd. </w:t>
      </w:r>
      <w:r w:rsidR="00640508" w:rsidRPr="00A773A6">
        <w:rPr>
          <w:rFonts w:eastAsia="Calibri" w:cs="Times New Roman"/>
          <w:i/>
          <w:kern w:val="24"/>
          <w:szCs w:val="24"/>
        </w:rPr>
        <w:t>euro</w:t>
      </w:r>
      <w:r w:rsidR="006B3A51" w:rsidRPr="00A773A6">
        <w:rPr>
          <w:rFonts w:eastAsia="Calibri" w:cs="Times New Roman"/>
          <w:kern w:val="24"/>
          <w:szCs w:val="24"/>
        </w:rPr>
        <w:t xml:space="preserve"> apmērā.</w:t>
      </w:r>
      <w:r w:rsidR="00AD6689" w:rsidRPr="00A773A6">
        <w:rPr>
          <w:rFonts w:eastAsia="Calibri" w:cs="Times New Roman"/>
          <w:kern w:val="24"/>
          <w:szCs w:val="24"/>
        </w:rPr>
        <w:t xml:space="preserve"> </w:t>
      </w:r>
      <w:r w:rsidR="00B04CBB" w:rsidRPr="00A773A6">
        <w:rPr>
          <w:rFonts w:eastAsia="Times New Roman" w:cs="Times New Roman"/>
          <w:kern w:val="24"/>
          <w:szCs w:val="24"/>
        </w:rPr>
        <w:t>Finanšu palīdzības izmaksa Grieķijai tika nodrošināta atsevišķās daļās</w:t>
      </w:r>
      <w:r w:rsidR="00057128" w:rsidRPr="00A773A6">
        <w:rPr>
          <w:rFonts w:eastAsia="Times New Roman" w:cs="Times New Roman"/>
          <w:kern w:val="24"/>
          <w:szCs w:val="24"/>
        </w:rPr>
        <w:t>,</w:t>
      </w:r>
      <w:r w:rsidR="00B04CBB" w:rsidRPr="00A773A6">
        <w:rPr>
          <w:rFonts w:eastAsia="Times New Roman" w:cs="Times New Roman"/>
          <w:kern w:val="24"/>
          <w:szCs w:val="24"/>
        </w:rPr>
        <w:t xml:space="preserve"> un katra maksājuma izmaksa bija atkarīga no apstiprināto nosacījumu izpildes. 2018.gadā ESM Grieķijai </w:t>
      </w:r>
      <w:r w:rsidR="00057128" w:rsidRPr="00A773A6">
        <w:rPr>
          <w:rFonts w:eastAsia="Times New Roman" w:cs="Times New Roman"/>
          <w:kern w:val="24"/>
          <w:szCs w:val="24"/>
        </w:rPr>
        <w:t>izsniedza</w:t>
      </w:r>
      <w:r w:rsidR="00B04CBB" w:rsidRPr="00A773A6">
        <w:rPr>
          <w:rFonts w:eastAsia="Times New Roman" w:cs="Times New Roman"/>
          <w:kern w:val="24"/>
          <w:szCs w:val="24"/>
        </w:rPr>
        <w:t xml:space="preserve"> pēdējos trīs aizdevuma maksājumus 21,7 mljrd. </w:t>
      </w:r>
      <w:r w:rsidR="00B04CBB" w:rsidRPr="00A773A6">
        <w:rPr>
          <w:rFonts w:eastAsia="Times New Roman" w:cs="Times New Roman"/>
          <w:i/>
          <w:kern w:val="24"/>
          <w:szCs w:val="24"/>
        </w:rPr>
        <w:t>euro</w:t>
      </w:r>
      <w:r w:rsidR="007A1D60" w:rsidRPr="00A773A6">
        <w:rPr>
          <w:rFonts w:eastAsia="Times New Roman" w:cs="Times New Roman"/>
          <w:i/>
          <w:kern w:val="24"/>
          <w:szCs w:val="24"/>
        </w:rPr>
        <w:t xml:space="preserve"> </w:t>
      </w:r>
      <w:r w:rsidR="007A1D60" w:rsidRPr="00A773A6">
        <w:rPr>
          <w:rFonts w:eastAsia="Times New Roman" w:cs="Times New Roman"/>
          <w:kern w:val="24"/>
          <w:szCs w:val="24"/>
        </w:rPr>
        <w:t>apmērā</w:t>
      </w:r>
      <w:r w:rsidR="00B04CBB" w:rsidRPr="00A773A6">
        <w:rPr>
          <w:rFonts w:eastAsia="Times New Roman" w:cs="Times New Roman"/>
          <w:kern w:val="24"/>
          <w:szCs w:val="24"/>
        </w:rPr>
        <w:t>.</w:t>
      </w:r>
      <w:r>
        <w:rPr>
          <w:rFonts w:eastAsia="Calibri" w:cs="Times New Roman"/>
          <w:kern w:val="24"/>
          <w:szCs w:val="24"/>
        </w:rPr>
        <w:t xml:space="preserve"> </w:t>
      </w:r>
      <w:r w:rsidR="006D7475" w:rsidRPr="00A773A6">
        <w:rPr>
          <w:rFonts w:eastAsia="Times New Roman" w:cs="Times New Roman"/>
          <w:kern w:val="24"/>
          <w:szCs w:val="24"/>
        </w:rPr>
        <w:t>Grieķijai piešķirtā</w:t>
      </w:r>
      <w:r w:rsidR="002E6FC2" w:rsidRPr="00A773A6">
        <w:rPr>
          <w:rFonts w:eastAsia="Times New Roman" w:cs="Times New Roman"/>
          <w:kern w:val="24"/>
          <w:szCs w:val="24"/>
        </w:rPr>
        <w:t xml:space="preserve"> ESM</w:t>
      </w:r>
      <w:r w:rsidR="006D7475" w:rsidRPr="00A773A6">
        <w:rPr>
          <w:rFonts w:eastAsia="Times New Roman" w:cs="Times New Roman"/>
          <w:kern w:val="24"/>
          <w:szCs w:val="24"/>
        </w:rPr>
        <w:t xml:space="preserve"> aizdevuma</w:t>
      </w:r>
      <w:r w:rsidR="008F24BC">
        <w:rPr>
          <w:rFonts w:eastAsia="Times New Roman" w:cs="Times New Roman"/>
          <w:kern w:val="24"/>
          <w:szCs w:val="24"/>
        </w:rPr>
        <w:t xml:space="preserve"> atlikusī nominālvērtība 2019</w:t>
      </w:r>
      <w:r w:rsidR="00AA565A" w:rsidRPr="00A773A6">
        <w:rPr>
          <w:rFonts w:eastAsia="Times New Roman" w:cs="Times New Roman"/>
          <w:kern w:val="24"/>
          <w:szCs w:val="24"/>
        </w:rPr>
        <w:t>.gada 31.</w:t>
      </w:r>
      <w:r w:rsidR="006D7475" w:rsidRPr="00A773A6">
        <w:rPr>
          <w:rFonts w:eastAsia="Times New Roman" w:cs="Times New Roman"/>
          <w:kern w:val="24"/>
          <w:szCs w:val="24"/>
        </w:rPr>
        <w:t xml:space="preserve">decembrī ir 59,9 mljrd. </w:t>
      </w:r>
      <w:r w:rsidR="006D7475" w:rsidRPr="00A773A6">
        <w:rPr>
          <w:rFonts w:eastAsia="Times New Roman" w:cs="Times New Roman"/>
          <w:i/>
          <w:kern w:val="24"/>
          <w:szCs w:val="24"/>
        </w:rPr>
        <w:t>euro</w:t>
      </w:r>
      <w:r w:rsidR="006D7475" w:rsidRPr="00A773A6">
        <w:rPr>
          <w:rFonts w:eastAsia="Times New Roman" w:cs="Times New Roman"/>
          <w:kern w:val="24"/>
          <w:szCs w:val="24"/>
        </w:rPr>
        <w:t>.</w:t>
      </w:r>
    </w:p>
    <w:p w14:paraId="1100BD35" w14:textId="77777777" w:rsidR="00AD32B8" w:rsidRDefault="00AD32B8" w:rsidP="00DD6F72">
      <w:pPr>
        <w:jc w:val="both"/>
        <w:rPr>
          <w:rFonts w:eastAsia="Times New Roman" w:cs="Times New Roman"/>
          <w:kern w:val="24"/>
          <w:szCs w:val="24"/>
        </w:rPr>
      </w:pPr>
    </w:p>
    <w:p w14:paraId="6467572B" w14:textId="6FED9643" w:rsidR="00AD32B8" w:rsidRDefault="00AD32B8" w:rsidP="00A956E7">
      <w:pPr>
        <w:pStyle w:val="ListParagraph"/>
        <w:numPr>
          <w:ilvl w:val="0"/>
          <w:numId w:val="22"/>
        </w:numPr>
        <w:spacing w:before="240"/>
        <w:jc w:val="center"/>
        <w:rPr>
          <w:rFonts w:eastAsia="Times New Roman" w:cs="Times New Roman"/>
          <w:b/>
          <w:kern w:val="24"/>
          <w:szCs w:val="24"/>
        </w:rPr>
      </w:pPr>
      <w:r w:rsidRPr="00AD32B8">
        <w:rPr>
          <w:rFonts w:eastAsia="Times New Roman" w:cs="Times New Roman"/>
          <w:b/>
          <w:kern w:val="24"/>
          <w:szCs w:val="24"/>
        </w:rPr>
        <w:t>ESM reforma</w:t>
      </w:r>
    </w:p>
    <w:p w14:paraId="08AA76DD" w14:textId="77777777" w:rsidR="00497588" w:rsidRPr="00AD32B8" w:rsidRDefault="00497588" w:rsidP="00497588">
      <w:pPr>
        <w:pStyle w:val="ListParagraph"/>
        <w:spacing w:before="240"/>
        <w:ind w:left="1440"/>
        <w:rPr>
          <w:rFonts w:eastAsia="Times New Roman" w:cs="Times New Roman"/>
          <w:b/>
          <w:kern w:val="24"/>
          <w:szCs w:val="24"/>
        </w:rPr>
      </w:pPr>
      <w:bookmarkStart w:id="0" w:name="_GoBack"/>
      <w:bookmarkEnd w:id="0"/>
    </w:p>
    <w:p w14:paraId="6B88004F" w14:textId="697637D6" w:rsidR="00AD32B8" w:rsidRDefault="00AD32B8" w:rsidP="00A956E7">
      <w:pPr>
        <w:spacing w:before="120"/>
        <w:ind w:firstLine="720"/>
        <w:jc w:val="both"/>
        <w:rPr>
          <w:rFonts w:eastAsia="Times New Roman" w:cs="Times New Roman"/>
          <w:szCs w:val="24"/>
          <w:lang w:eastAsia="lv-LV"/>
        </w:rPr>
      </w:pPr>
      <w:r>
        <w:rPr>
          <w:rFonts w:eastAsia="Times New Roman" w:cs="Times New Roman"/>
          <w:szCs w:val="24"/>
          <w:lang w:eastAsia="lv-LV"/>
        </w:rPr>
        <w:t>2019.gads ir bijis nozīmīgs gads ESM reformas ietvaros</w:t>
      </w:r>
      <w:r w:rsidR="001D29D7">
        <w:rPr>
          <w:rFonts w:eastAsia="Times New Roman" w:cs="Times New Roman"/>
          <w:szCs w:val="24"/>
          <w:lang w:eastAsia="lv-LV"/>
        </w:rPr>
        <w:t xml:space="preserve">. 2019.gada decembrī </w:t>
      </w:r>
      <w:r w:rsidR="001D29D7" w:rsidRPr="00881081">
        <w:rPr>
          <w:rFonts w:eastAsia="Times New Roman" w:cs="Times New Roman"/>
          <w:i/>
          <w:szCs w:val="24"/>
          <w:lang w:eastAsia="lv-LV"/>
        </w:rPr>
        <w:t>Euro</w:t>
      </w:r>
      <w:r w:rsidR="001D29D7">
        <w:rPr>
          <w:rFonts w:eastAsia="Times New Roman" w:cs="Times New Roman"/>
          <w:szCs w:val="24"/>
          <w:lang w:eastAsia="lv-LV"/>
        </w:rPr>
        <w:t xml:space="preserve"> grupa konceptuāli vienojās par dokumentu kopumu attiecībā uz ESM reformu, tai skaitā nepieciešamajiem grozījumiem starpvalstu līgumā. ESM reforma sastāv no četrām vienlīdzīgām sadaļām: </w:t>
      </w:r>
    </w:p>
    <w:p w14:paraId="5B80C1EC" w14:textId="77777777" w:rsidR="00AD32B8" w:rsidRPr="001D29D7" w:rsidRDefault="00AD32B8" w:rsidP="00A956E7">
      <w:pPr>
        <w:pStyle w:val="ListParagraph"/>
        <w:numPr>
          <w:ilvl w:val="0"/>
          <w:numId w:val="23"/>
        </w:numPr>
        <w:spacing w:before="120"/>
        <w:jc w:val="both"/>
        <w:rPr>
          <w:rFonts w:eastAsia="Times New Roman" w:cs="Times New Roman"/>
          <w:szCs w:val="24"/>
          <w:lang w:eastAsia="lv-LV"/>
        </w:rPr>
      </w:pPr>
      <w:r w:rsidRPr="001D29D7">
        <w:rPr>
          <w:rFonts w:eastAsia="Times New Roman" w:cs="Times New Roman"/>
          <w:szCs w:val="24"/>
          <w:lang w:eastAsia="lv-LV"/>
        </w:rPr>
        <w:t>Publiskā atbalsta instrumenta (</w:t>
      </w:r>
      <w:proofErr w:type="spellStart"/>
      <w:r w:rsidR="009F080F">
        <w:rPr>
          <w:rFonts w:eastAsia="Times New Roman" w:cs="Times New Roman"/>
          <w:szCs w:val="24"/>
          <w:lang w:eastAsia="lv-LV"/>
        </w:rPr>
        <w:t>angl</w:t>
      </w:r>
      <w:proofErr w:type="spellEnd"/>
      <w:r w:rsidR="009F080F">
        <w:rPr>
          <w:rFonts w:eastAsia="Times New Roman" w:cs="Times New Roman"/>
          <w:szCs w:val="24"/>
          <w:lang w:eastAsia="lv-LV"/>
        </w:rPr>
        <w:t xml:space="preserve">. </w:t>
      </w:r>
      <w:proofErr w:type="spellStart"/>
      <w:r w:rsidRPr="001D29D7">
        <w:rPr>
          <w:rFonts w:eastAsia="Times New Roman" w:cs="Times New Roman"/>
          <w:i/>
          <w:szCs w:val="24"/>
          <w:lang w:eastAsia="lv-LV"/>
        </w:rPr>
        <w:t>common</w:t>
      </w:r>
      <w:proofErr w:type="spellEnd"/>
      <w:r w:rsidRPr="001D29D7">
        <w:rPr>
          <w:rFonts w:eastAsia="Times New Roman" w:cs="Times New Roman"/>
          <w:i/>
          <w:szCs w:val="24"/>
          <w:lang w:eastAsia="lv-LV"/>
        </w:rPr>
        <w:t xml:space="preserve"> </w:t>
      </w:r>
      <w:proofErr w:type="spellStart"/>
      <w:r w:rsidRPr="001D29D7">
        <w:rPr>
          <w:rFonts w:eastAsia="Times New Roman" w:cs="Times New Roman"/>
          <w:i/>
          <w:szCs w:val="24"/>
          <w:lang w:eastAsia="lv-LV"/>
        </w:rPr>
        <w:t>backstop</w:t>
      </w:r>
      <w:proofErr w:type="spellEnd"/>
      <w:r w:rsidRPr="001D29D7">
        <w:rPr>
          <w:rFonts w:eastAsia="Times New Roman" w:cs="Times New Roman"/>
          <w:szCs w:val="24"/>
          <w:lang w:eastAsia="lv-LV"/>
        </w:rPr>
        <w:t>) darbības galveno nosacījumu izstrāde Vienotajam noregulējuma fondam;</w:t>
      </w:r>
    </w:p>
    <w:p w14:paraId="759C51DF" w14:textId="77777777" w:rsidR="00AD32B8" w:rsidRPr="001D29D7" w:rsidRDefault="00AD32B8" w:rsidP="00A956E7">
      <w:pPr>
        <w:pStyle w:val="ListParagraph"/>
        <w:numPr>
          <w:ilvl w:val="0"/>
          <w:numId w:val="23"/>
        </w:numPr>
        <w:spacing w:before="120"/>
        <w:jc w:val="both"/>
        <w:rPr>
          <w:rFonts w:eastAsia="Times New Roman" w:cs="Times New Roman"/>
          <w:szCs w:val="24"/>
          <w:lang w:eastAsia="lv-LV"/>
        </w:rPr>
      </w:pPr>
      <w:r w:rsidRPr="001D29D7">
        <w:rPr>
          <w:rFonts w:eastAsia="Times New Roman" w:cs="Times New Roman"/>
          <w:szCs w:val="24"/>
          <w:lang w:eastAsia="lv-LV"/>
        </w:rPr>
        <w:t>Esošo ESM piesardzības instrumentu – Piesardzības nosacījumu kredītlīnijas ar nosacījumiem (PCCL) un Uzlaboto nosacījumu kredītlīnijas (ECCL) – pilnveidošana;</w:t>
      </w:r>
    </w:p>
    <w:p w14:paraId="08FDE1BC" w14:textId="35224DDF" w:rsidR="00AD32B8" w:rsidRDefault="00AD32B8" w:rsidP="00A956E7">
      <w:pPr>
        <w:pStyle w:val="ListParagraph"/>
        <w:numPr>
          <w:ilvl w:val="0"/>
          <w:numId w:val="23"/>
        </w:numPr>
        <w:spacing w:before="120"/>
        <w:jc w:val="both"/>
        <w:rPr>
          <w:rFonts w:eastAsia="Times New Roman" w:cs="Times New Roman"/>
          <w:szCs w:val="24"/>
          <w:lang w:eastAsia="lv-LV"/>
        </w:rPr>
      </w:pPr>
      <w:r w:rsidRPr="001D29D7">
        <w:rPr>
          <w:rFonts w:eastAsia="Times New Roman" w:cs="Times New Roman"/>
          <w:szCs w:val="24"/>
          <w:lang w:eastAsia="lv-LV"/>
        </w:rPr>
        <w:t xml:space="preserve">ESM </w:t>
      </w:r>
      <w:r w:rsidR="00BA768A">
        <w:rPr>
          <w:rFonts w:eastAsia="Times New Roman" w:cs="Times New Roman"/>
          <w:szCs w:val="24"/>
          <w:lang w:eastAsia="lv-LV"/>
        </w:rPr>
        <w:t xml:space="preserve">lomas stiprināšana finanšu palīdzības sniegšanas jomā, tai pat laikā stiprinot sadarbību ar </w:t>
      </w:r>
      <w:r w:rsidRPr="001D29D7">
        <w:rPr>
          <w:rFonts w:eastAsia="Times New Roman" w:cs="Times New Roman"/>
          <w:szCs w:val="24"/>
          <w:lang w:eastAsia="lv-LV"/>
        </w:rPr>
        <w:t xml:space="preserve"> Eiropas </w:t>
      </w:r>
      <w:r w:rsidR="00BA768A">
        <w:rPr>
          <w:rFonts w:eastAsia="Times New Roman" w:cs="Times New Roman"/>
          <w:szCs w:val="24"/>
          <w:lang w:eastAsia="lv-LV"/>
        </w:rPr>
        <w:t>Komisiju un Eiropas Centrālo banku;</w:t>
      </w:r>
    </w:p>
    <w:p w14:paraId="0EC99762" w14:textId="03DA2D45" w:rsidR="001D29D7" w:rsidRDefault="001D29D7" w:rsidP="00A956E7">
      <w:pPr>
        <w:pStyle w:val="ListParagraph"/>
        <w:numPr>
          <w:ilvl w:val="0"/>
          <w:numId w:val="23"/>
        </w:numPr>
        <w:spacing w:before="120"/>
        <w:jc w:val="both"/>
        <w:rPr>
          <w:rFonts w:eastAsia="Times New Roman" w:cs="Times New Roman"/>
          <w:szCs w:val="24"/>
          <w:lang w:eastAsia="lv-LV"/>
        </w:rPr>
      </w:pPr>
      <w:r w:rsidRPr="001D29D7">
        <w:rPr>
          <w:rFonts w:eastAsia="Times New Roman" w:cs="Times New Roman"/>
          <w:szCs w:val="24"/>
          <w:lang w:eastAsia="lv-LV"/>
        </w:rPr>
        <w:t xml:space="preserve">Parāda </w:t>
      </w:r>
      <w:r w:rsidR="00BA768A">
        <w:rPr>
          <w:rFonts w:eastAsia="Times New Roman" w:cs="Times New Roman"/>
          <w:szCs w:val="24"/>
          <w:lang w:eastAsia="lv-LV"/>
        </w:rPr>
        <w:t>ilgtspējas analīzes pilnveide.</w:t>
      </w:r>
    </w:p>
    <w:p w14:paraId="66C132E9" w14:textId="70C92889" w:rsidR="001D29D7" w:rsidRPr="001D29D7" w:rsidRDefault="001D29D7" w:rsidP="00A956E7">
      <w:pPr>
        <w:pStyle w:val="ListParagraph"/>
        <w:spacing w:before="120"/>
        <w:ind w:left="0" w:firstLine="709"/>
        <w:jc w:val="both"/>
        <w:rPr>
          <w:rFonts w:eastAsia="Times New Roman" w:cs="Times New Roman"/>
          <w:szCs w:val="24"/>
          <w:lang w:eastAsia="lv-LV"/>
        </w:rPr>
      </w:pPr>
      <w:r>
        <w:rPr>
          <w:rFonts w:eastAsia="Times New Roman" w:cs="Times New Roman"/>
          <w:szCs w:val="24"/>
          <w:lang w:eastAsia="lv-LV"/>
        </w:rPr>
        <w:t xml:space="preserve">Balstoties uz </w:t>
      </w:r>
      <w:r w:rsidRPr="001D29D7">
        <w:rPr>
          <w:rFonts w:eastAsia="Times New Roman" w:cs="Times New Roman"/>
          <w:i/>
          <w:szCs w:val="24"/>
          <w:lang w:eastAsia="lv-LV"/>
        </w:rPr>
        <w:t>Euro</w:t>
      </w:r>
      <w:r w:rsidR="008F24BC">
        <w:rPr>
          <w:rFonts w:eastAsia="Times New Roman" w:cs="Times New Roman"/>
          <w:szCs w:val="24"/>
          <w:lang w:eastAsia="lv-LV"/>
        </w:rPr>
        <w:t xml:space="preserve"> sa</w:t>
      </w:r>
      <w:r>
        <w:rPr>
          <w:rFonts w:eastAsia="Times New Roman" w:cs="Times New Roman"/>
          <w:szCs w:val="24"/>
          <w:lang w:eastAsia="lv-LV"/>
        </w:rPr>
        <w:t>mita uzdoto uzdevumu,</w:t>
      </w:r>
      <w:r w:rsidRPr="001D29D7">
        <w:rPr>
          <w:rFonts w:eastAsia="Times New Roman" w:cs="Times New Roman"/>
          <w:i/>
          <w:szCs w:val="24"/>
          <w:lang w:eastAsia="lv-LV"/>
        </w:rPr>
        <w:t xml:space="preserve"> Euro</w:t>
      </w:r>
      <w:r>
        <w:rPr>
          <w:rFonts w:eastAsia="Times New Roman" w:cs="Times New Roman"/>
          <w:szCs w:val="24"/>
          <w:lang w:eastAsia="lv-LV"/>
        </w:rPr>
        <w:t xml:space="preserve"> grupa turpinās darbu pie ESM reformu </w:t>
      </w:r>
      <w:r w:rsidR="00A956E7">
        <w:rPr>
          <w:rFonts w:eastAsia="Times New Roman" w:cs="Times New Roman"/>
          <w:szCs w:val="24"/>
          <w:lang w:eastAsia="lv-LV"/>
        </w:rPr>
        <w:t>pakas, strādājot pie reformu saskaņošanas ar dalībvalstu nacionālo likumdošanu un turpmāku Banku savienības stiprināšanu.</w:t>
      </w:r>
    </w:p>
    <w:p w14:paraId="1CCB0A36" w14:textId="77777777" w:rsidR="00AD32B8" w:rsidRDefault="00AD32B8" w:rsidP="00A956E7">
      <w:pPr>
        <w:jc w:val="center"/>
        <w:rPr>
          <w:rFonts w:eastAsia="Times New Roman" w:cs="Times New Roman"/>
          <w:kern w:val="24"/>
          <w:szCs w:val="24"/>
        </w:rPr>
      </w:pPr>
    </w:p>
    <w:p w14:paraId="34536CDF" w14:textId="77777777" w:rsidR="00DD6F72" w:rsidRPr="00DD6F72" w:rsidRDefault="00DD6F72" w:rsidP="00A956E7">
      <w:pPr>
        <w:jc w:val="both"/>
        <w:rPr>
          <w:rFonts w:eastAsia="Calibri" w:cs="Times New Roman"/>
          <w:kern w:val="24"/>
          <w:szCs w:val="24"/>
        </w:rPr>
      </w:pPr>
    </w:p>
    <w:p w14:paraId="7F8463C6" w14:textId="77777777" w:rsidR="005266B8" w:rsidRDefault="00C80BB1" w:rsidP="00A956E7">
      <w:pPr>
        <w:pStyle w:val="ListParagraph"/>
        <w:numPr>
          <w:ilvl w:val="0"/>
          <w:numId w:val="22"/>
        </w:numPr>
        <w:contextualSpacing w:val="0"/>
        <w:jc w:val="center"/>
        <w:rPr>
          <w:rFonts w:cs="Times New Roman"/>
          <w:b/>
          <w:szCs w:val="24"/>
        </w:rPr>
      </w:pPr>
      <w:r w:rsidRPr="00A773A6">
        <w:rPr>
          <w:rFonts w:cs="Times New Roman"/>
          <w:b/>
          <w:szCs w:val="24"/>
        </w:rPr>
        <w:t>G</w:t>
      </w:r>
      <w:r w:rsidR="00FF6896" w:rsidRPr="00A773A6">
        <w:rPr>
          <w:rFonts w:cs="Times New Roman"/>
          <w:b/>
          <w:szCs w:val="24"/>
        </w:rPr>
        <w:t xml:space="preserve">alvenie </w:t>
      </w:r>
      <w:r w:rsidRPr="00A773A6">
        <w:rPr>
          <w:rFonts w:cs="Times New Roman"/>
          <w:b/>
          <w:szCs w:val="24"/>
        </w:rPr>
        <w:t xml:space="preserve">ESM </w:t>
      </w:r>
      <w:r w:rsidR="00102197" w:rsidRPr="00A773A6">
        <w:rPr>
          <w:rFonts w:cs="Times New Roman"/>
          <w:b/>
          <w:szCs w:val="24"/>
        </w:rPr>
        <w:t>finanšu darbības rezultāti</w:t>
      </w:r>
      <w:r w:rsidR="0085469F">
        <w:rPr>
          <w:rFonts w:cs="Times New Roman"/>
          <w:b/>
          <w:szCs w:val="24"/>
        </w:rPr>
        <w:t xml:space="preserve"> 2019</w:t>
      </w:r>
      <w:r w:rsidRPr="00A773A6">
        <w:rPr>
          <w:rFonts w:cs="Times New Roman"/>
          <w:b/>
          <w:szCs w:val="24"/>
        </w:rPr>
        <w:t>.gadā</w:t>
      </w:r>
    </w:p>
    <w:p w14:paraId="14F4AF0C" w14:textId="77777777" w:rsidR="00DD6F72" w:rsidRPr="00A773A6" w:rsidRDefault="00DD6F72" w:rsidP="00DD6F72">
      <w:pPr>
        <w:pStyle w:val="ListParagraph"/>
        <w:ind w:left="1440"/>
        <w:contextualSpacing w:val="0"/>
        <w:rPr>
          <w:rFonts w:cs="Times New Roman"/>
          <w:b/>
          <w:szCs w:val="24"/>
        </w:rPr>
      </w:pPr>
    </w:p>
    <w:p w14:paraId="447840ED" w14:textId="251B6058" w:rsidR="0008199E" w:rsidRDefault="008F24BC" w:rsidP="00101DC9">
      <w:pPr>
        <w:ind w:firstLine="694"/>
        <w:jc w:val="both"/>
        <w:rPr>
          <w:rFonts w:cs="Times New Roman"/>
          <w:szCs w:val="24"/>
        </w:rPr>
      </w:pPr>
      <w:r>
        <w:rPr>
          <w:rFonts w:cs="Times New Roman"/>
          <w:szCs w:val="24"/>
        </w:rPr>
        <w:t>2019.</w:t>
      </w:r>
      <w:r w:rsidR="00B65A1D" w:rsidRPr="00A773A6">
        <w:rPr>
          <w:rFonts w:cs="Times New Roman"/>
          <w:szCs w:val="24"/>
        </w:rPr>
        <w:t>gada noslēgumā ESM</w:t>
      </w:r>
      <w:r w:rsidR="00852208" w:rsidRPr="00A773A6">
        <w:rPr>
          <w:rFonts w:cs="Times New Roman"/>
          <w:szCs w:val="24"/>
        </w:rPr>
        <w:t xml:space="preserve"> bilance veidoja 819,9 mljrd. </w:t>
      </w:r>
      <w:r w:rsidR="00852208" w:rsidRPr="00A773A6">
        <w:rPr>
          <w:rFonts w:cs="Times New Roman"/>
          <w:i/>
          <w:szCs w:val="24"/>
        </w:rPr>
        <w:t>euro</w:t>
      </w:r>
      <w:r w:rsidR="00101DC9">
        <w:rPr>
          <w:rFonts w:cs="Times New Roman"/>
          <w:szCs w:val="24"/>
        </w:rPr>
        <w:t>, savukārt</w:t>
      </w:r>
      <w:r w:rsidR="00A773A6" w:rsidRPr="00A773A6">
        <w:rPr>
          <w:rFonts w:cs="Times New Roman"/>
          <w:szCs w:val="24"/>
        </w:rPr>
        <w:t xml:space="preserve"> ESM peļņa sastādīja 289,7 </w:t>
      </w:r>
      <w:r w:rsidR="00B65A1D" w:rsidRPr="00A773A6">
        <w:rPr>
          <w:rFonts w:cs="Times New Roman"/>
          <w:szCs w:val="24"/>
        </w:rPr>
        <w:t xml:space="preserve">milj. </w:t>
      </w:r>
      <w:r w:rsidR="00B65A1D" w:rsidRPr="00A773A6">
        <w:rPr>
          <w:rFonts w:cs="Times New Roman"/>
          <w:i/>
          <w:szCs w:val="24"/>
        </w:rPr>
        <w:t>euro</w:t>
      </w:r>
      <w:r w:rsidR="00B65A1D" w:rsidRPr="00A773A6">
        <w:rPr>
          <w:rFonts w:cs="Times New Roman"/>
          <w:szCs w:val="24"/>
        </w:rPr>
        <w:t>, kas, salīdzinot a</w:t>
      </w:r>
      <w:r w:rsidR="005435B9">
        <w:rPr>
          <w:rFonts w:cs="Times New Roman"/>
          <w:szCs w:val="24"/>
        </w:rPr>
        <w:t>r iepriekšējo gadu, ir par 4,9</w:t>
      </w:r>
      <w:r w:rsidR="00B65A1D" w:rsidRPr="00A773A6">
        <w:rPr>
          <w:rFonts w:cs="Times New Roman"/>
          <w:szCs w:val="24"/>
        </w:rPr>
        <w:t xml:space="preserve"> milj. </w:t>
      </w:r>
      <w:r w:rsidR="00B65A1D" w:rsidRPr="00A773A6">
        <w:rPr>
          <w:rFonts w:cs="Times New Roman"/>
          <w:i/>
          <w:szCs w:val="24"/>
        </w:rPr>
        <w:t>euro</w:t>
      </w:r>
      <w:r w:rsidR="005435B9">
        <w:rPr>
          <w:rFonts w:cs="Times New Roman"/>
          <w:szCs w:val="24"/>
        </w:rPr>
        <w:t xml:space="preserve"> vairāk (skat. 2.tabulu).</w:t>
      </w:r>
      <w:r w:rsidR="00852208" w:rsidRPr="00A773A6">
        <w:rPr>
          <w:rFonts w:cs="Times New Roman"/>
          <w:szCs w:val="24"/>
        </w:rPr>
        <w:t xml:space="preserve"> Lielāko daļu peļņas 2019. gadā sastādīja Vācijas un Francijas maksājumi</w:t>
      </w:r>
      <w:r w:rsidR="002C3BC5" w:rsidRPr="00A773A6">
        <w:rPr>
          <w:rFonts w:cs="Times New Roman"/>
          <w:szCs w:val="24"/>
        </w:rPr>
        <w:t xml:space="preserve">, attiecīgi </w:t>
      </w:r>
      <w:r w:rsidR="00852208" w:rsidRPr="00A773A6">
        <w:rPr>
          <w:rFonts w:cs="Times New Roman"/>
          <w:szCs w:val="24"/>
        </w:rPr>
        <w:t>135,4</w:t>
      </w:r>
      <w:r w:rsidR="002C3BC5" w:rsidRPr="00A773A6">
        <w:rPr>
          <w:rFonts w:cs="Times New Roman"/>
          <w:szCs w:val="24"/>
        </w:rPr>
        <w:t xml:space="preserve"> milj.</w:t>
      </w:r>
      <w:r w:rsidR="002C3BC5" w:rsidRPr="00A773A6">
        <w:rPr>
          <w:rFonts w:cs="Times New Roman"/>
          <w:i/>
          <w:szCs w:val="24"/>
        </w:rPr>
        <w:t xml:space="preserve"> euro</w:t>
      </w:r>
      <w:r w:rsidR="002C3BC5" w:rsidRPr="00A773A6">
        <w:rPr>
          <w:rFonts w:cs="Times New Roman"/>
          <w:szCs w:val="24"/>
        </w:rPr>
        <w:t xml:space="preserve"> un </w:t>
      </w:r>
      <w:r w:rsidR="00852208" w:rsidRPr="00A773A6">
        <w:rPr>
          <w:rFonts w:cs="Times New Roman"/>
          <w:szCs w:val="24"/>
        </w:rPr>
        <w:t>102,5</w:t>
      </w:r>
      <w:r w:rsidR="002C3BC5" w:rsidRPr="00A773A6">
        <w:rPr>
          <w:rFonts w:cs="Times New Roman"/>
          <w:szCs w:val="24"/>
        </w:rPr>
        <w:t xml:space="preserve"> milj. </w:t>
      </w:r>
      <w:r w:rsidR="002C3BC5" w:rsidRPr="00A773A6">
        <w:rPr>
          <w:rFonts w:cs="Times New Roman"/>
          <w:i/>
          <w:szCs w:val="24"/>
        </w:rPr>
        <w:t>euro</w:t>
      </w:r>
      <w:r w:rsidR="00852208" w:rsidRPr="00A773A6">
        <w:rPr>
          <w:rFonts w:cs="Times New Roman"/>
          <w:szCs w:val="24"/>
        </w:rPr>
        <w:t xml:space="preserve">, kas </w:t>
      </w:r>
      <w:r w:rsidR="002C3BC5" w:rsidRPr="00A773A6">
        <w:rPr>
          <w:rFonts w:cs="Times New Roman"/>
          <w:szCs w:val="24"/>
        </w:rPr>
        <w:t xml:space="preserve">veikti, ņemot vērā </w:t>
      </w:r>
      <w:r w:rsidR="00852208" w:rsidRPr="00A773A6">
        <w:rPr>
          <w:rFonts w:cs="Times New Roman"/>
          <w:szCs w:val="24"/>
        </w:rPr>
        <w:t>abu</w:t>
      </w:r>
      <w:r w:rsidR="002C3BC5" w:rsidRPr="00A773A6">
        <w:rPr>
          <w:rFonts w:cs="Times New Roman"/>
          <w:szCs w:val="24"/>
        </w:rPr>
        <w:t xml:space="preserve"> valstu politisko apņemšanos atgriezt ESM negatīvo procentu summu, kas tika iekasēta par</w:t>
      </w:r>
      <w:r w:rsidR="00377E10" w:rsidRPr="00A773A6">
        <w:rPr>
          <w:rFonts w:cs="Times New Roman"/>
          <w:szCs w:val="24"/>
        </w:rPr>
        <w:t xml:space="preserve"> ESM</w:t>
      </w:r>
      <w:r w:rsidR="002C3BC5" w:rsidRPr="00A773A6">
        <w:rPr>
          <w:rFonts w:cs="Times New Roman"/>
          <w:szCs w:val="24"/>
        </w:rPr>
        <w:t xml:space="preserve"> naudas līdzekļu uzturēšanu attiecīgo valstu centrālajās bankās 2017.gadā. </w:t>
      </w:r>
      <w:r w:rsidR="00852208" w:rsidRPr="00A773A6">
        <w:rPr>
          <w:rFonts w:cs="Times New Roman"/>
          <w:szCs w:val="24"/>
        </w:rPr>
        <w:t>ESM peļ</w:t>
      </w:r>
      <w:r w:rsidR="00A773A6" w:rsidRPr="00A773A6">
        <w:rPr>
          <w:rFonts w:cs="Times New Roman"/>
          <w:szCs w:val="24"/>
        </w:rPr>
        <w:t xml:space="preserve">ņa, kas balstās uz ESM veiktajiem darījumiem 2019. gadā pieauga līdz 51,7 milj. </w:t>
      </w:r>
      <w:r w:rsidR="00A773A6" w:rsidRPr="00A773A6">
        <w:rPr>
          <w:rFonts w:cs="Times New Roman"/>
          <w:i/>
          <w:szCs w:val="24"/>
        </w:rPr>
        <w:t>euro</w:t>
      </w:r>
      <w:r w:rsidR="00A773A6" w:rsidRPr="00A773A6">
        <w:rPr>
          <w:rFonts w:cs="Times New Roman"/>
          <w:szCs w:val="24"/>
        </w:rPr>
        <w:t xml:space="preserve">, kas ir par 9,4 milj. </w:t>
      </w:r>
      <w:r w:rsidR="00A773A6" w:rsidRPr="00A773A6">
        <w:rPr>
          <w:rFonts w:cs="Times New Roman"/>
          <w:i/>
          <w:szCs w:val="24"/>
        </w:rPr>
        <w:t>euro</w:t>
      </w:r>
      <w:r w:rsidR="00A773A6" w:rsidRPr="00A773A6">
        <w:rPr>
          <w:rFonts w:cs="Times New Roman"/>
          <w:szCs w:val="24"/>
        </w:rPr>
        <w:t xml:space="preserve"> vairāk kā 2018. gadā.</w:t>
      </w:r>
    </w:p>
    <w:p w14:paraId="545F9F49" w14:textId="77777777" w:rsidR="005435B9" w:rsidRDefault="005435B9" w:rsidP="00A773A6">
      <w:pPr>
        <w:ind w:firstLine="694"/>
        <w:jc w:val="both"/>
        <w:rPr>
          <w:rFonts w:cs="Times New Roman"/>
          <w:szCs w:val="24"/>
        </w:rPr>
      </w:pPr>
    </w:p>
    <w:p w14:paraId="736E8F87" w14:textId="77777777" w:rsidR="005435B9" w:rsidRPr="004626CE" w:rsidRDefault="005435B9" w:rsidP="005435B9">
      <w:pPr>
        <w:jc w:val="right"/>
        <w:rPr>
          <w:rFonts w:cs="Times New Roman"/>
          <w:b/>
          <w:i/>
          <w:color w:val="000000"/>
          <w:sz w:val="20"/>
          <w:szCs w:val="24"/>
        </w:rPr>
      </w:pPr>
      <w:r w:rsidRPr="004626CE">
        <w:rPr>
          <w:rFonts w:cs="Times New Roman"/>
          <w:b/>
          <w:i/>
          <w:color w:val="000000"/>
          <w:sz w:val="20"/>
          <w:szCs w:val="24"/>
        </w:rPr>
        <w:t xml:space="preserve">2.tabula. </w:t>
      </w:r>
      <w:r>
        <w:rPr>
          <w:rFonts w:cs="Times New Roman"/>
          <w:b/>
          <w:i/>
          <w:color w:val="000000"/>
          <w:sz w:val="20"/>
          <w:szCs w:val="24"/>
        </w:rPr>
        <w:t>ESM peļņa/ zaudējumi</w:t>
      </w:r>
      <w:r w:rsidRPr="004626CE">
        <w:rPr>
          <w:rFonts w:cs="Times New Roman"/>
          <w:b/>
          <w:i/>
          <w:color w:val="000000"/>
          <w:sz w:val="20"/>
          <w:szCs w:val="24"/>
        </w:rPr>
        <w:t xml:space="preserve"> attiecīgajā gadā kopš ESM dibināšanas (milj. euro)</w:t>
      </w:r>
    </w:p>
    <w:tbl>
      <w:tblPr>
        <w:tblStyle w:val="GridTable1Light"/>
        <w:tblW w:w="0" w:type="auto"/>
        <w:jc w:val="center"/>
        <w:tblLook w:val="04A0" w:firstRow="1" w:lastRow="0" w:firstColumn="1" w:lastColumn="0" w:noHBand="0" w:noVBand="1"/>
      </w:tblPr>
      <w:tblGrid>
        <w:gridCol w:w="2417"/>
        <w:gridCol w:w="827"/>
        <w:gridCol w:w="832"/>
        <w:gridCol w:w="826"/>
        <w:gridCol w:w="838"/>
        <w:gridCol w:w="833"/>
        <w:gridCol w:w="826"/>
        <w:gridCol w:w="833"/>
        <w:gridCol w:w="829"/>
      </w:tblGrid>
      <w:tr w:rsidR="005435B9" w:rsidRPr="004626CE" w14:paraId="39FCD0A8" w14:textId="77777777" w:rsidTr="00C72C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shd w:val="clear" w:color="auto" w:fill="DEEAF6" w:themeFill="accent1" w:themeFillTint="33"/>
          </w:tcPr>
          <w:p w14:paraId="73853057" w14:textId="77777777" w:rsidR="005435B9" w:rsidRPr="004626CE" w:rsidRDefault="005435B9" w:rsidP="00C72C09">
            <w:pPr>
              <w:jc w:val="both"/>
              <w:rPr>
                <w:rFonts w:cs="Times New Roman"/>
                <w:sz w:val="20"/>
                <w:szCs w:val="24"/>
              </w:rPr>
            </w:pPr>
          </w:p>
        </w:tc>
        <w:tc>
          <w:tcPr>
            <w:tcW w:w="849" w:type="dxa"/>
            <w:shd w:val="clear" w:color="auto" w:fill="DEEAF6" w:themeFill="accent1" w:themeFillTint="33"/>
          </w:tcPr>
          <w:p w14:paraId="579C7503" w14:textId="77777777" w:rsidR="005435B9" w:rsidRPr="004626CE" w:rsidRDefault="005435B9" w:rsidP="00C72C0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4"/>
              </w:rPr>
            </w:pPr>
            <w:r w:rsidRPr="004626CE">
              <w:rPr>
                <w:rFonts w:cs="Times New Roman"/>
                <w:sz w:val="20"/>
                <w:szCs w:val="24"/>
              </w:rPr>
              <w:t>2012</w:t>
            </w:r>
          </w:p>
        </w:tc>
        <w:tc>
          <w:tcPr>
            <w:tcW w:w="849" w:type="dxa"/>
            <w:shd w:val="clear" w:color="auto" w:fill="DEEAF6" w:themeFill="accent1" w:themeFillTint="33"/>
          </w:tcPr>
          <w:p w14:paraId="2841D43A" w14:textId="77777777" w:rsidR="005435B9" w:rsidRPr="004626CE" w:rsidRDefault="005435B9" w:rsidP="00C72C0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4"/>
              </w:rPr>
            </w:pPr>
            <w:r w:rsidRPr="004626CE">
              <w:rPr>
                <w:rFonts w:cs="Times New Roman"/>
                <w:sz w:val="20"/>
                <w:szCs w:val="24"/>
              </w:rPr>
              <w:t>2013</w:t>
            </w:r>
          </w:p>
        </w:tc>
        <w:tc>
          <w:tcPr>
            <w:tcW w:w="843" w:type="dxa"/>
            <w:shd w:val="clear" w:color="auto" w:fill="DEEAF6" w:themeFill="accent1" w:themeFillTint="33"/>
          </w:tcPr>
          <w:p w14:paraId="00776A46" w14:textId="77777777" w:rsidR="005435B9" w:rsidRPr="004626CE" w:rsidRDefault="005435B9" w:rsidP="00C72C0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4"/>
              </w:rPr>
            </w:pPr>
            <w:r w:rsidRPr="004626CE">
              <w:rPr>
                <w:rFonts w:cs="Times New Roman"/>
                <w:sz w:val="20"/>
                <w:szCs w:val="24"/>
              </w:rPr>
              <w:t>2014</w:t>
            </w:r>
          </w:p>
        </w:tc>
        <w:tc>
          <w:tcPr>
            <w:tcW w:w="856" w:type="dxa"/>
            <w:shd w:val="clear" w:color="auto" w:fill="DEEAF6" w:themeFill="accent1" w:themeFillTint="33"/>
          </w:tcPr>
          <w:p w14:paraId="0034B190" w14:textId="77777777" w:rsidR="005435B9" w:rsidRPr="004626CE" w:rsidRDefault="005435B9" w:rsidP="00C72C0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4"/>
              </w:rPr>
            </w:pPr>
            <w:r w:rsidRPr="004626CE">
              <w:rPr>
                <w:rFonts w:cs="Times New Roman"/>
                <w:sz w:val="20"/>
                <w:szCs w:val="24"/>
              </w:rPr>
              <w:t>2015</w:t>
            </w:r>
          </w:p>
        </w:tc>
        <w:tc>
          <w:tcPr>
            <w:tcW w:w="850" w:type="dxa"/>
            <w:shd w:val="clear" w:color="auto" w:fill="DEEAF6" w:themeFill="accent1" w:themeFillTint="33"/>
          </w:tcPr>
          <w:p w14:paraId="008C8249" w14:textId="77777777" w:rsidR="005435B9" w:rsidRPr="004626CE" w:rsidRDefault="005435B9" w:rsidP="00C72C0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4"/>
              </w:rPr>
            </w:pPr>
            <w:r w:rsidRPr="004626CE">
              <w:rPr>
                <w:rFonts w:cs="Times New Roman"/>
                <w:sz w:val="20"/>
                <w:szCs w:val="24"/>
              </w:rPr>
              <w:t>2016</w:t>
            </w:r>
          </w:p>
        </w:tc>
        <w:tc>
          <w:tcPr>
            <w:tcW w:w="848" w:type="dxa"/>
            <w:shd w:val="clear" w:color="auto" w:fill="DEEAF6" w:themeFill="accent1" w:themeFillTint="33"/>
          </w:tcPr>
          <w:p w14:paraId="296EE680" w14:textId="77777777" w:rsidR="005435B9" w:rsidRPr="004626CE" w:rsidRDefault="005435B9" w:rsidP="00C72C0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4"/>
              </w:rPr>
            </w:pPr>
            <w:r w:rsidRPr="004626CE">
              <w:rPr>
                <w:rFonts w:cs="Times New Roman"/>
                <w:sz w:val="20"/>
                <w:szCs w:val="24"/>
              </w:rPr>
              <w:t>2017</w:t>
            </w:r>
          </w:p>
        </w:tc>
        <w:tc>
          <w:tcPr>
            <w:tcW w:w="850" w:type="dxa"/>
            <w:shd w:val="clear" w:color="auto" w:fill="DEEAF6" w:themeFill="accent1" w:themeFillTint="33"/>
          </w:tcPr>
          <w:p w14:paraId="1E8D7E83" w14:textId="77777777" w:rsidR="005435B9" w:rsidRPr="004626CE" w:rsidRDefault="005435B9" w:rsidP="00C72C0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4"/>
              </w:rPr>
            </w:pPr>
            <w:r w:rsidRPr="004626CE">
              <w:rPr>
                <w:rFonts w:cs="Times New Roman"/>
                <w:sz w:val="20"/>
                <w:szCs w:val="24"/>
              </w:rPr>
              <w:t>2018</w:t>
            </w:r>
          </w:p>
        </w:tc>
        <w:tc>
          <w:tcPr>
            <w:tcW w:w="846" w:type="dxa"/>
            <w:shd w:val="clear" w:color="auto" w:fill="DEEAF6" w:themeFill="accent1" w:themeFillTint="33"/>
          </w:tcPr>
          <w:p w14:paraId="353B2B67" w14:textId="77777777" w:rsidR="005435B9" w:rsidRPr="004626CE" w:rsidRDefault="005435B9" w:rsidP="00C72C0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4"/>
              </w:rPr>
            </w:pPr>
            <w:r w:rsidRPr="004626CE">
              <w:rPr>
                <w:rFonts w:cs="Times New Roman"/>
                <w:sz w:val="20"/>
                <w:szCs w:val="24"/>
              </w:rPr>
              <w:t>2019</w:t>
            </w:r>
          </w:p>
        </w:tc>
      </w:tr>
      <w:tr w:rsidR="005435B9" w:rsidRPr="004626CE" w14:paraId="09EB7AA2" w14:textId="77777777" w:rsidTr="00C72C09">
        <w:trPr>
          <w:jc w:val="center"/>
        </w:trPr>
        <w:tc>
          <w:tcPr>
            <w:cnfStyle w:val="001000000000" w:firstRow="0" w:lastRow="0" w:firstColumn="1" w:lastColumn="0" w:oddVBand="0" w:evenVBand="0" w:oddHBand="0" w:evenHBand="0" w:firstRowFirstColumn="0" w:firstRowLastColumn="0" w:lastRowFirstColumn="0" w:lastRowLastColumn="0"/>
            <w:tcW w:w="2555" w:type="dxa"/>
          </w:tcPr>
          <w:p w14:paraId="32DD8663" w14:textId="77777777" w:rsidR="005435B9" w:rsidRPr="004626CE" w:rsidRDefault="005435B9" w:rsidP="00C72C09">
            <w:pPr>
              <w:jc w:val="both"/>
              <w:rPr>
                <w:rFonts w:cs="Times New Roman"/>
                <w:sz w:val="20"/>
                <w:szCs w:val="24"/>
              </w:rPr>
            </w:pPr>
            <w:r w:rsidRPr="004626CE">
              <w:rPr>
                <w:rFonts w:cs="Times New Roman"/>
                <w:sz w:val="20"/>
                <w:szCs w:val="24"/>
              </w:rPr>
              <w:t>ESM peļņa/ zaudējumi</w:t>
            </w:r>
          </w:p>
        </w:tc>
        <w:tc>
          <w:tcPr>
            <w:tcW w:w="849" w:type="dxa"/>
          </w:tcPr>
          <w:p w14:paraId="77795722" w14:textId="77777777" w:rsidR="005435B9" w:rsidRPr="004626CE" w:rsidRDefault="005435B9" w:rsidP="00C72C0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4626CE">
              <w:rPr>
                <w:rFonts w:cs="Times New Roman"/>
                <w:sz w:val="20"/>
                <w:szCs w:val="24"/>
              </w:rPr>
              <w:t>-0,5</w:t>
            </w:r>
          </w:p>
        </w:tc>
        <w:tc>
          <w:tcPr>
            <w:tcW w:w="849" w:type="dxa"/>
          </w:tcPr>
          <w:p w14:paraId="0510A506" w14:textId="77777777" w:rsidR="005435B9" w:rsidRPr="004626CE" w:rsidRDefault="005435B9" w:rsidP="00C72C0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4626CE">
              <w:rPr>
                <w:rFonts w:cs="Times New Roman"/>
                <w:sz w:val="20"/>
                <w:szCs w:val="24"/>
              </w:rPr>
              <w:t>253,9</w:t>
            </w:r>
          </w:p>
        </w:tc>
        <w:tc>
          <w:tcPr>
            <w:tcW w:w="843" w:type="dxa"/>
          </w:tcPr>
          <w:p w14:paraId="6A97796B" w14:textId="77777777" w:rsidR="005435B9" w:rsidRPr="004626CE" w:rsidRDefault="005435B9" w:rsidP="00C72C0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4626CE">
              <w:rPr>
                <w:rFonts w:cs="Times New Roman"/>
                <w:sz w:val="20"/>
                <w:szCs w:val="24"/>
              </w:rPr>
              <w:t>443,9</w:t>
            </w:r>
          </w:p>
        </w:tc>
        <w:tc>
          <w:tcPr>
            <w:tcW w:w="856" w:type="dxa"/>
          </w:tcPr>
          <w:p w14:paraId="5019FE73" w14:textId="77777777" w:rsidR="005435B9" w:rsidRPr="004626CE" w:rsidRDefault="005435B9" w:rsidP="00C72C0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4626CE">
              <w:rPr>
                <w:rFonts w:cs="Times New Roman"/>
                <w:sz w:val="20"/>
                <w:szCs w:val="24"/>
              </w:rPr>
              <w:t>729,4</w:t>
            </w:r>
          </w:p>
        </w:tc>
        <w:tc>
          <w:tcPr>
            <w:tcW w:w="850" w:type="dxa"/>
          </w:tcPr>
          <w:p w14:paraId="10434FEE" w14:textId="77777777" w:rsidR="005435B9" w:rsidRPr="004626CE" w:rsidRDefault="005435B9" w:rsidP="00C72C0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4626CE">
              <w:rPr>
                <w:rFonts w:cs="Times New Roman"/>
                <w:sz w:val="20"/>
                <w:szCs w:val="24"/>
              </w:rPr>
              <w:t>568,8</w:t>
            </w:r>
          </w:p>
        </w:tc>
        <w:tc>
          <w:tcPr>
            <w:tcW w:w="848" w:type="dxa"/>
          </w:tcPr>
          <w:p w14:paraId="015E2240" w14:textId="77777777" w:rsidR="005435B9" w:rsidRPr="004626CE" w:rsidRDefault="005435B9" w:rsidP="00C72C0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4626CE">
              <w:rPr>
                <w:rFonts w:cs="Times New Roman"/>
                <w:sz w:val="20"/>
                <w:szCs w:val="24"/>
              </w:rPr>
              <w:t>68,6</w:t>
            </w:r>
          </w:p>
        </w:tc>
        <w:tc>
          <w:tcPr>
            <w:tcW w:w="850" w:type="dxa"/>
          </w:tcPr>
          <w:p w14:paraId="13549AFD" w14:textId="77777777" w:rsidR="005435B9" w:rsidRPr="004626CE" w:rsidRDefault="005435B9" w:rsidP="00C72C0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4626CE">
              <w:rPr>
                <w:rFonts w:cs="Times New Roman"/>
                <w:sz w:val="20"/>
                <w:szCs w:val="24"/>
              </w:rPr>
              <w:t>284,7</w:t>
            </w:r>
          </w:p>
        </w:tc>
        <w:tc>
          <w:tcPr>
            <w:tcW w:w="846" w:type="dxa"/>
          </w:tcPr>
          <w:p w14:paraId="2FCA960F" w14:textId="77777777" w:rsidR="005435B9" w:rsidRPr="004626CE" w:rsidRDefault="005435B9" w:rsidP="00C72C0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4626CE">
              <w:rPr>
                <w:rFonts w:cs="Times New Roman"/>
                <w:sz w:val="20"/>
                <w:szCs w:val="24"/>
              </w:rPr>
              <w:t>289,6</w:t>
            </w:r>
          </w:p>
        </w:tc>
      </w:tr>
    </w:tbl>
    <w:p w14:paraId="29CC4506" w14:textId="77777777" w:rsidR="005435B9" w:rsidRPr="00A773A6" w:rsidRDefault="005435B9" w:rsidP="005435B9">
      <w:pPr>
        <w:jc w:val="both"/>
        <w:rPr>
          <w:rFonts w:cs="Times New Roman"/>
          <w:szCs w:val="24"/>
        </w:rPr>
      </w:pPr>
    </w:p>
    <w:p w14:paraId="1C80C0CD" w14:textId="4165F752" w:rsidR="00A773A6" w:rsidRDefault="00A773A6" w:rsidP="00A773A6">
      <w:pPr>
        <w:widowControl w:val="0"/>
        <w:autoSpaceDE w:val="0"/>
        <w:autoSpaceDN w:val="0"/>
        <w:adjustRightInd w:val="0"/>
        <w:ind w:firstLine="694"/>
        <w:jc w:val="both"/>
        <w:rPr>
          <w:rFonts w:eastAsia="Times New Roman" w:cs="Times New Roman"/>
          <w:szCs w:val="24"/>
          <w:lang w:eastAsia="lv-LV"/>
        </w:rPr>
      </w:pPr>
      <w:r w:rsidRPr="00A773A6">
        <w:rPr>
          <w:rFonts w:cs="Times New Roman"/>
          <w:szCs w:val="24"/>
        </w:rPr>
        <w:t>2019.gada peļņa 289</w:t>
      </w:r>
      <w:r w:rsidR="002C3BC5" w:rsidRPr="00A773A6">
        <w:rPr>
          <w:rFonts w:cs="Times New Roman"/>
          <w:szCs w:val="24"/>
        </w:rPr>
        <w:t xml:space="preserve">,7 milj. </w:t>
      </w:r>
      <w:r w:rsidR="002C3BC5" w:rsidRPr="00A773A6">
        <w:rPr>
          <w:rFonts w:cs="Times New Roman"/>
          <w:i/>
          <w:szCs w:val="24"/>
        </w:rPr>
        <w:t>euro</w:t>
      </w:r>
      <w:r w:rsidR="00D87B51" w:rsidRPr="00A773A6">
        <w:rPr>
          <w:rFonts w:cs="Times New Roman"/>
          <w:szCs w:val="24"/>
        </w:rPr>
        <w:t xml:space="preserve"> </w:t>
      </w:r>
      <w:r w:rsidR="005E0607">
        <w:rPr>
          <w:rFonts w:cs="Times New Roman"/>
          <w:szCs w:val="24"/>
        </w:rPr>
        <w:t>apmērā tikusi</w:t>
      </w:r>
      <w:r w:rsidRPr="00A773A6">
        <w:rPr>
          <w:rFonts w:cs="Times New Roman"/>
          <w:szCs w:val="24"/>
        </w:rPr>
        <w:t xml:space="preserve"> novirzīta ESM</w:t>
      </w:r>
      <w:r w:rsidR="002C3BC5" w:rsidRPr="00A773A6">
        <w:rPr>
          <w:rFonts w:cs="Times New Roman"/>
          <w:szCs w:val="24"/>
        </w:rPr>
        <w:t xml:space="preserve"> rezerves fondā. </w:t>
      </w:r>
      <w:r w:rsidRPr="00A773A6">
        <w:rPr>
          <w:rFonts w:eastAsia="Times New Roman" w:cs="Times New Roman"/>
          <w:szCs w:val="24"/>
          <w:lang w:eastAsia="lv-LV"/>
        </w:rPr>
        <w:t xml:space="preserve">Līdz šim katru gadu ESM peļņa pilnā apjomā tiek ieskaitīta rezerves fondā, nevis izmaksāta dividendēs ESM dalībvalstīm. Šāda lēmuma mērķis ir uzkrāt līdzekļus rezerves fondā, lai nodrošinātos pret iespējamiem zaudējumiem nākotnē un mazinātu risku, ka būtu jāizmanto kapitāla iesaukšana pēc pieprasījuma, kam būtu negatīva ietekme uz dalībvalsts vispārējās valdības budžeta bilanci. Rezerves fondā izvietotie finanšu līdzekļi tiek investēti saskaņā ar ESM ieguldīšanas vadlīnijām, un tas ir drošības uzkrājums, no kura var tikt segti zaudējumi, kas nākotnē var rasties ESM finanšu darbības rezultātā. </w:t>
      </w:r>
    </w:p>
    <w:p w14:paraId="12712A7E" w14:textId="1697578E" w:rsidR="004626CE" w:rsidRPr="00A773A6" w:rsidRDefault="00686F93" w:rsidP="00101DC9">
      <w:pPr>
        <w:widowControl w:val="0"/>
        <w:autoSpaceDE w:val="0"/>
        <w:autoSpaceDN w:val="0"/>
        <w:adjustRightInd w:val="0"/>
        <w:ind w:firstLine="694"/>
        <w:jc w:val="both"/>
        <w:rPr>
          <w:rFonts w:eastAsia="Times New Roman" w:cs="Times New Roman"/>
          <w:szCs w:val="24"/>
          <w:lang w:eastAsia="lv-LV"/>
        </w:rPr>
      </w:pPr>
      <w:r>
        <w:rPr>
          <w:rFonts w:eastAsia="Times New Roman" w:cs="Times New Roman"/>
          <w:szCs w:val="24"/>
          <w:lang w:eastAsia="lv-LV"/>
        </w:rPr>
        <w:t xml:space="preserve">2019. gada ESM gada pārskatā ir iekļautas arī prognozes 2020. gadam. </w:t>
      </w:r>
      <w:r w:rsidR="00101DC9">
        <w:rPr>
          <w:rFonts w:eastAsia="Times New Roman" w:cs="Times New Roman"/>
          <w:szCs w:val="24"/>
          <w:lang w:eastAsia="lv-LV"/>
        </w:rPr>
        <w:t xml:space="preserve">2020. gada pavasarī </w:t>
      </w:r>
      <w:r>
        <w:rPr>
          <w:rFonts w:eastAsia="Times New Roman" w:cs="Times New Roman"/>
          <w:szCs w:val="24"/>
          <w:lang w:eastAsia="lv-LV"/>
        </w:rPr>
        <w:t>ESM ieviesa</w:t>
      </w:r>
      <w:r w:rsidR="00101DC9">
        <w:rPr>
          <w:rFonts w:eastAsia="Times New Roman" w:cs="Times New Roman"/>
          <w:szCs w:val="24"/>
          <w:lang w:eastAsia="lv-LV"/>
        </w:rPr>
        <w:t xml:space="preserve"> Pandēmiskās krīzes atbalsta instrumentu, kas </w:t>
      </w:r>
      <w:r w:rsidR="00101DC9" w:rsidRPr="00517270">
        <w:rPr>
          <w:rFonts w:eastAsia="Times New Roman" w:cs="Times New Roman"/>
          <w:szCs w:val="24"/>
          <w:lang w:eastAsia="lv-LV"/>
        </w:rPr>
        <w:t>ir pieejams visām ESM dalībvalstīm un balstās uz jau eksistējošo paaugstinātu nosacījumu kredīta līniju</w:t>
      </w:r>
      <w:r>
        <w:rPr>
          <w:rFonts w:eastAsia="Times New Roman" w:cs="Times New Roman"/>
          <w:szCs w:val="24"/>
          <w:lang w:eastAsia="lv-LV"/>
        </w:rPr>
        <w:t>, lai gan pagaidām nav zināms, vai kāda ESM dalībvalsts izmantos šo instrumentu.</w:t>
      </w:r>
      <w:r w:rsidR="00101DC9">
        <w:rPr>
          <w:rFonts w:eastAsia="Times New Roman" w:cs="Times New Roman"/>
          <w:szCs w:val="24"/>
          <w:lang w:eastAsia="lv-LV"/>
        </w:rPr>
        <w:t xml:space="preserve"> </w:t>
      </w:r>
      <w:r w:rsidR="00517270">
        <w:rPr>
          <w:rFonts w:eastAsia="Times New Roman" w:cs="Times New Roman"/>
          <w:szCs w:val="24"/>
          <w:lang w:eastAsia="lv-LV"/>
        </w:rPr>
        <w:t xml:space="preserve">Attiecībā uz </w:t>
      </w:r>
      <w:r w:rsidR="004626CE">
        <w:rPr>
          <w:rFonts w:eastAsia="Times New Roman" w:cs="Times New Roman"/>
          <w:szCs w:val="24"/>
          <w:lang w:eastAsia="lv-LV"/>
        </w:rPr>
        <w:t>2020.gad</w:t>
      </w:r>
      <w:r w:rsidR="00517270">
        <w:rPr>
          <w:rFonts w:eastAsia="Times New Roman" w:cs="Times New Roman"/>
          <w:szCs w:val="24"/>
          <w:lang w:eastAsia="lv-LV"/>
        </w:rPr>
        <w:t>u</w:t>
      </w:r>
      <w:r w:rsidR="004626CE">
        <w:rPr>
          <w:rFonts w:eastAsia="Times New Roman" w:cs="Times New Roman"/>
          <w:szCs w:val="24"/>
          <w:lang w:eastAsia="lv-LV"/>
        </w:rPr>
        <w:t xml:space="preserve"> tiek prognozēts, ka COVID-19 krīzes izraisītās ekonomiskās sekas, kas </w:t>
      </w:r>
      <w:r w:rsidR="00517270">
        <w:rPr>
          <w:rFonts w:eastAsia="Times New Roman" w:cs="Times New Roman"/>
          <w:szCs w:val="24"/>
          <w:lang w:eastAsia="lv-LV"/>
        </w:rPr>
        <w:t>spēcīgi ietekmēja</w:t>
      </w:r>
      <w:r w:rsidR="004626CE" w:rsidRPr="00517270">
        <w:rPr>
          <w:rFonts w:eastAsia="Times New Roman" w:cs="Times New Roman"/>
          <w:i/>
          <w:szCs w:val="24"/>
          <w:lang w:eastAsia="lv-LV"/>
        </w:rPr>
        <w:t xml:space="preserve"> euro</w:t>
      </w:r>
      <w:r w:rsidR="004626CE">
        <w:rPr>
          <w:rFonts w:eastAsia="Times New Roman" w:cs="Times New Roman"/>
          <w:szCs w:val="24"/>
          <w:lang w:eastAsia="lv-LV"/>
        </w:rPr>
        <w:t xml:space="preserve"> zonas ekonomisko izaugsmi, negatīvi ietekmēs arī ESM finanšu rādīt</w:t>
      </w:r>
      <w:r w:rsidR="00101DC9">
        <w:rPr>
          <w:rFonts w:eastAsia="Times New Roman" w:cs="Times New Roman"/>
          <w:szCs w:val="24"/>
          <w:lang w:eastAsia="lv-LV"/>
        </w:rPr>
        <w:t>ājus, tomēr ņemot vērā šīs krīzes nenoteiktību, precīzi prognozēt ietekmi nav iespējams.</w:t>
      </w:r>
      <w:r w:rsidR="00517270">
        <w:rPr>
          <w:rFonts w:eastAsia="Times New Roman" w:cs="Times New Roman"/>
          <w:szCs w:val="24"/>
          <w:lang w:eastAsia="lv-LV"/>
        </w:rPr>
        <w:t xml:space="preserve"> </w:t>
      </w:r>
    </w:p>
    <w:p w14:paraId="1A77CD79" w14:textId="77777777" w:rsidR="00B65A1D" w:rsidRPr="00A773A6" w:rsidRDefault="00B65A1D" w:rsidP="004626CE">
      <w:pPr>
        <w:ind w:firstLine="694"/>
        <w:jc w:val="both"/>
        <w:rPr>
          <w:rFonts w:cs="Times New Roman"/>
          <w:szCs w:val="24"/>
        </w:rPr>
      </w:pPr>
      <w:r w:rsidRPr="00A773A6">
        <w:rPr>
          <w:rFonts w:cs="Times New Roman"/>
          <w:szCs w:val="24"/>
        </w:rPr>
        <w:t>Auditoru kompānijas “</w:t>
      </w:r>
      <w:proofErr w:type="spellStart"/>
      <w:r w:rsidRPr="0085469F">
        <w:rPr>
          <w:rFonts w:cs="Times New Roman"/>
          <w:i/>
          <w:szCs w:val="24"/>
        </w:rPr>
        <w:t>Ernst&amp;Young</w:t>
      </w:r>
      <w:proofErr w:type="spellEnd"/>
      <w:r w:rsidRPr="00A773A6">
        <w:rPr>
          <w:rFonts w:cs="Times New Roman"/>
          <w:szCs w:val="24"/>
        </w:rPr>
        <w:t>” atzinumā par gada pārskatu nav iebildumu vai priekšlikumu turpmākiem pilnveidojumiem. Atzinumā teikts,</w:t>
      </w:r>
      <w:r w:rsidR="004626CE">
        <w:rPr>
          <w:rFonts w:cs="Times New Roman"/>
          <w:szCs w:val="24"/>
        </w:rPr>
        <w:t xml:space="preserve"> ka ESM 2019.</w:t>
      </w:r>
      <w:r w:rsidRPr="00A773A6">
        <w:rPr>
          <w:rFonts w:cs="Times New Roman"/>
          <w:szCs w:val="24"/>
        </w:rPr>
        <w:t>gada pārskats sniedz patiesu un godīgu priekšstatu par finansiālo situāciju, naudas plūsmām un darījumu rezultātiem saskaņā ar Direktīvas 86/635/EEC galvenajiem principiem. Arī ESM Auditoru padomei nav būtisku rekomendāciju, tā atbalsta ESM 2</w:t>
      </w:r>
      <w:r w:rsidR="004626CE">
        <w:rPr>
          <w:rFonts w:cs="Times New Roman"/>
          <w:szCs w:val="24"/>
        </w:rPr>
        <w:t>019.</w:t>
      </w:r>
      <w:r w:rsidRPr="00A773A6">
        <w:rPr>
          <w:rFonts w:cs="Times New Roman"/>
          <w:szCs w:val="24"/>
        </w:rPr>
        <w:t>gada pārskatu.</w:t>
      </w:r>
    </w:p>
    <w:p w14:paraId="011264CE" w14:textId="77777777" w:rsidR="00392FC8" w:rsidRPr="00A773A6" w:rsidRDefault="00392FC8" w:rsidP="00A773A6">
      <w:pPr>
        <w:jc w:val="both"/>
        <w:rPr>
          <w:rFonts w:cs="Times New Roman"/>
          <w:szCs w:val="24"/>
        </w:rPr>
      </w:pPr>
    </w:p>
    <w:p w14:paraId="39B1D365" w14:textId="77777777" w:rsidR="00A956E7" w:rsidRDefault="00A956E7" w:rsidP="00A773A6">
      <w:pPr>
        <w:pStyle w:val="Heading1"/>
        <w:tabs>
          <w:tab w:val="left" w:pos="6840"/>
        </w:tabs>
        <w:spacing w:before="0"/>
        <w:rPr>
          <w:rFonts w:ascii="Times New Roman" w:hAnsi="Times New Roman" w:cs="Times New Roman"/>
          <w:noProof/>
          <w:color w:val="000000" w:themeColor="text1"/>
          <w:sz w:val="24"/>
          <w:szCs w:val="24"/>
        </w:rPr>
      </w:pPr>
    </w:p>
    <w:p w14:paraId="76078D63" w14:textId="77777777" w:rsidR="00A956E7" w:rsidRDefault="00A956E7" w:rsidP="00A773A6">
      <w:pPr>
        <w:pStyle w:val="Heading1"/>
        <w:tabs>
          <w:tab w:val="left" w:pos="6840"/>
        </w:tabs>
        <w:spacing w:before="0"/>
        <w:rPr>
          <w:rFonts w:ascii="Times New Roman" w:hAnsi="Times New Roman" w:cs="Times New Roman"/>
          <w:noProof/>
          <w:color w:val="000000" w:themeColor="text1"/>
          <w:sz w:val="24"/>
          <w:szCs w:val="24"/>
        </w:rPr>
      </w:pPr>
    </w:p>
    <w:p w14:paraId="1AC80BCC" w14:textId="77777777" w:rsidR="00A956E7" w:rsidRDefault="00A956E7" w:rsidP="00A773A6">
      <w:pPr>
        <w:pStyle w:val="Heading1"/>
        <w:tabs>
          <w:tab w:val="left" w:pos="6840"/>
        </w:tabs>
        <w:spacing w:before="0"/>
        <w:rPr>
          <w:rFonts w:ascii="Times New Roman" w:hAnsi="Times New Roman" w:cs="Times New Roman"/>
          <w:noProof/>
          <w:color w:val="000000" w:themeColor="text1"/>
          <w:sz w:val="24"/>
          <w:szCs w:val="24"/>
        </w:rPr>
      </w:pPr>
    </w:p>
    <w:p w14:paraId="07795C44" w14:textId="5E9239E1" w:rsidR="00A956E7" w:rsidRPr="00A773A6" w:rsidRDefault="00091292" w:rsidP="00A956E7">
      <w:pPr>
        <w:pStyle w:val="Heading1"/>
        <w:tabs>
          <w:tab w:val="left" w:pos="6840"/>
        </w:tabs>
        <w:spacing w:before="0"/>
        <w:rPr>
          <w:rFonts w:ascii="Times New Roman" w:hAnsi="Times New Roman" w:cs="Times New Roman"/>
          <w:color w:val="000000" w:themeColor="text1"/>
          <w:sz w:val="24"/>
          <w:szCs w:val="24"/>
          <w:lang w:eastAsia="lv-LV"/>
        </w:rPr>
      </w:pPr>
      <w:r w:rsidRPr="00A773A6">
        <w:rPr>
          <w:rFonts w:ascii="Times New Roman" w:hAnsi="Times New Roman" w:cs="Times New Roman"/>
          <w:noProof/>
          <w:color w:val="000000" w:themeColor="text1"/>
          <w:sz w:val="24"/>
          <w:szCs w:val="24"/>
        </w:rPr>
        <w:t>Finanšu ministrs</w:t>
      </w:r>
      <w:r w:rsidR="00A956E7">
        <w:rPr>
          <w:rFonts w:ascii="Times New Roman" w:hAnsi="Times New Roman" w:cs="Times New Roman"/>
          <w:noProof/>
          <w:color w:val="000000" w:themeColor="text1"/>
          <w:sz w:val="24"/>
          <w:szCs w:val="24"/>
        </w:rPr>
        <w:t xml:space="preserve"> </w:t>
      </w:r>
      <w:r w:rsidR="00B11113" w:rsidRPr="00A773A6">
        <w:rPr>
          <w:rFonts w:ascii="Times New Roman" w:hAnsi="Times New Roman" w:cs="Times New Roman"/>
          <w:noProof/>
          <w:color w:val="000000" w:themeColor="text1"/>
          <w:sz w:val="24"/>
          <w:szCs w:val="24"/>
        </w:rPr>
        <w:tab/>
      </w:r>
      <w:r w:rsidR="008F24BC">
        <w:rPr>
          <w:rFonts w:ascii="Times New Roman" w:hAnsi="Times New Roman" w:cs="Times New Roman"/>
          <w:noProof/>
          <w:color w:val="000000" w:themeColor="text1"/>
          <w:sz w:val="24"/>
          <w:szCs w:val="24"/>
        </w:rPr>
        <w:t xml:space="preserve">                 </w:t>
      </w:r>
      <w:r w:rsidR="00AE3856" w:rsidRPr="00A773A6">
        <w:rPr>
          <w:rFonts w:ascii="Times New Roman" w:hAnsi="Times New Roman" w:cs="Times New Roman"/>
          <w:noProof/>
          <w:color w:val="000000" w:themeColor="text1"/>
          <w:sz w:val="24"/>
          <w:szCs w:val="24"/>
        </w:rPr>
        <w:t xml:space="preserve"> </w:t>
      </w:r>
      <w:r w:rsidR="009A21B6" w:rsidRPr="00A773A6">
        <w:rPr>
          <w:rFonts w:ascii="Times New Roman" w:hAnsi="Times New Roman" w:cs="Times New Roman"/>
          <w:noProof/>
          <w:color w:val="000000" w:themeColor="text1"/>
          <w:sz w:val="24"/>
          <w:szCs w:val="24"/>
        </w:rPr>
        <w:t xml:space="preserve">      </w:t>
      </w:r>
      <w:r w:rsidR="00A956E7" w:rsidRPr="00A773A6">
        <w:rPr>
          <w:rFonts w:ascii="Times New Roman" w:hAnsi="Times New Roman" w:cs="Times New Roman"/>
          <w:noProof/>
          <w:color w:val="000000" w:themeColor="text1"/>
          <w:sz w:val="24"/>
          <w:szCs w:val="24"/>
        </w:rPr>
        <w:t>J.Reirs</w:t>
      </w:r>
    </w:p>
    <w:p w14:paraId="55D5574C" w14:textId="77777777" w:rsidR="00B11113" w:rsidRPr="00A773A6" w:rsidRDefault="009A21B6" w:rsidP="00A773A6">
      <w:pPr>
        <w:pStyle w:val="Heading1"/>
        <w:tabs>
          <w:tab w:val="left" w:pos="6840"/>
        </w:tabs>
        <w:spacing w:before="0"/>
        <w:rPr>
          <w:rFonts w:ascii="Times New Roman" w:hAnsi="Times New Roman" w:cs="Times New Roman"/>
          <w:color w:val="000000" w:themeColor="text1"/>
          <w:sz w:val="24"/>
          <w:szCs w:val="24"/>
          <w:lang w:eastAsia="lv-LV"/>
        </w:rPr>
      </w:pPr>
      <w:r w:rsidRPr="00A773A6">
        <w:rPr>
          <w:rFonts w:ascii="Times New Roman" w:hAnsi="Times New Roman" w:cs="Times New Roman"/>
          <w:noProof/>
          <w:color w:val="000000" w:themeColor="text1"/>
          <w:sz w:val="24"/>
          <w:szCs w:val="24"/>
        </w:rPr>
        <w:t xml:space="preserve"> </w:t>
      </w:r>
      <w:r w:rsidR="00C81D2D" w:rsidRPr="00A773A6">
        <w:rPr>
          <w:rFonts w:ascii="Times New Roman" w:hAnsi="Times New Roman" w:cs="Times New Roman"/>
          <w:noProof/>
          <w:color w:val="000000" w:themeColor="text1"/>
          <w:sz w:val="24"/>
          <w:szCs w:val="24"/>
        </w:rPr>
        <w:t xml:space="preserve">           </w:t>
      </w:r>
      <w:r w:rsidR="00B221BD" w:rsidRPr="00A773A6">
        <w:rPr>
          <w:rFonts w:ascii="Times New Roman" w:hAnsi="Times New Roman" w:cs="Times New Roman"/>
          <w:noProof/>
          <w:color w:val="000000" w:themeColor="text1"/>
          <w:sz w:val="24"/>
          <w:szCs w:val="24"/>
        </w:rPr>
        <w:t xml:space="preserve">  </w:t>
      </w:r>
      <w:r w:rsidR="00A956E7">
        <w:rPr>
          <w:rFonts w:ascii="Times New Roman" w:hAnsi="Times New Roman" w:cs="Times New Roman"/>
          <w:noProof/>
          <w:color w:val="000000" w:themeColor="text1"/>
          <w:sz w:val="24"/>
          <w:szCs w:val="24"/>
        </w:rPr>
        <w:t xml:space="preserve">       </w:t>
      </w:r>
    </w:p>
    <w:p w14:paraId="7482DA18" w14:textId="77777777" w:rsidR="00CF216A" w:rsidRDefault="00CF216A" w:rsidP="00A773A6">
      <w:pPr>
        <w:tabs>
          <w:tab w:val="left" w:pos="4216"/>
        </w:tabs>
        <w:jc w:val="both"/>
        <w:rPr>
          <w:rFonts w:cs="Times New Roman"/>
          <w:szCs w:val="24"/>
        </w:rPr>
      </w:pPr>
    </w:p>
    <w:p w14:paraId="5AF5C29A" w14:textId="77777777" w:rsidR="00A956E7" w:rsidRDefault="00A956E7" w:rsidP="00A773A6">
      <w:pPr>
        <w:tabs>
          <w:tab w:val="left" w:pos="4216"/>
        </w:tabs>
        <w:jc w:val="both"/>
        <w:rPr>
          <w:rFonts w:cs="Times New Roman"/>
          <w:szCs w:val="24"/>
        </w:rPr>
      </w:pPr>
    </w:p>
    <w:p w14:paraId="21377FC3" w14:textId="77777777" w:rsidR="00A956E7" w:rsidRDefault="00A956E7" w:rsidP="00A773A6">
      <w:pPr>
        <w:tabs>
          <w:tab w:val="left" w:pos="4216"/>
        </w:tabs>
        <w:jc w:val="both"/>
        <w:rPr>
          <w:rFonts w:cs="Times New Roman"/>
          <w:szCs w:val="24"/>
        </w:rPr>
      </w:pPr>
    </w:p>
    <w:p w14:paraId="692D324E" w14:textId="77777777" w:rsidR="00A956E7" w:rsidRPr="00A956E7" w:rsidRDefault="00A956E7" w:rsidP="00A773A6">
      <w:pPr>
        <w:tabs>
          <w:tab w:val="left" w:pos="4216"/>
        </w:tabs>
        <w:jc w:val="both"/>
        <w:rPr>
          <w:rFonts w:cs="Times New Roman"/>
          <w:sz w:val="20"/>
          <w:szCs w:val="24"/>
        </w:rPr>
      </w:pPr>
    </w:p>
    <w:p w14:paraId="05EFCBB5" w14:textId="77777777" w:rsidR="00A956E7" w:rsidRPr="00A956E7" w:rsidRDefault="00A956E7" w:rsidP="00A956E7">
      <w:pPr>
        <w:tabs>
          <w:tab w:val="left" w:pos="4216"/>
        </w:tabs>
        <w:jc w:val="both"/>
        <w:rPr>
          <w:rFonts w:cs="Times New Roman"/>
          <w:sz w:val="20"/>
          <w:szCs w:val="24"/>
        </w:rPr>
      </w:pPr>
      <w:r w:rsidRPr="00A956E7">
        <w:rPr>
          <w:rFonts w:cs="Times New Roman"/>
          <w:sz w:val="20"/>
          <w:szCs w:val="24"/>
        </w:rPr>
        <w:t>Deksne, 67083823</w:t>
      </w:r>
    </w:p>
    <w:p w14:paraId="5B668B69" w14:textId="77777777" w:rsidR="00A956E7" w:rsidRPr="00A956E7" w:rsidRDefault="00A956E7" w:rsidP="00A956E7">
      <w:pPr>
        <w:tabs>
          <w:tab w:val="left" w:pos="4216"/>
        </w:tabs>
        <w:jc w:val="both"/>
        <w:rPr>
          <w:rFonts w:cs="Times New Roman"/>
          <w:sz w:val="20"/>
          <w:szCs w:val="24"/>
        </w:rPr>
      </w:pPr>
      <w:r w:rsidRPr="00A956E7">
        <w:rPr>
          <w:rFonts w:cs="Times New Roman"/>
          <w:sz w:val="20"/>
          <w:szCs w:val="24"/>
        </w:rPr>
        <w:t>anna.deksne@fm.gov.lv</w:t>
      </w:r>
    </w:p>
    <w:sectPr w:rsidR="00A956E7" w:rsidRPr="00A956E7" w:rsidSect="00A956E7">
      <w:headerReference w:type="default" r:id="rId8"/>
      <w:footerReference w:type="default" r:id="rId9"/>
      <w:footerReference w:type="first" r:id="rId10"/>
      <w:pgSz w:w="11906" w:h="16838"/>
      <w:pgMar w:top="1418" w:right="1134" w:bottom="1134" w:left="170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6162D" w14:textId="77777777" w:rsidR="002C37D7" w:rsidRDefault="002C37D7" w:rsidP="001907A7">
      <w:r>
        <w:separator/>
      </w:r>
    </w:p>
  </w:endnote>
  <w:endnote w:type="continuationSeparator" w:id="0">
    <w:p w14:paraId="6F47B705" w14:textId="77777777" w:rsidR="002C37D7" w:rsidRDefault="002C37D7" w:rsidP="0019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C8F43" w14:textId="493FE77C" w:rsidR="00A956E7" w:rsidRDefault="00A956E7" w:rsidP="00A956E7">
    <w:pPr>
      <w:jc w:val="both"/>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497588">
      <w:rPr>
        <w:noProof/>
        <w:sz w:val="18"/>
        <w:szCs w:val="18"/>
      </w:rPr>
      <w:t>FMzin_31</w:t>
    </w:r>
    <w:r>
      <w:rPr>
        <w:noProof/>
        <w:sz w:val="18"/>
        <w:szCs w:val="18"/>
      </w:rPr>
      <w:t>0820_ESM_2019.docx</w:t>
    </w:r>
    <w:r>
      <w:rPr>
        <w:sz w:val="18"/>
        <w:szCs w:val="18"/>
      </w:rPr>
      <w:fldChar w:fldCharType="end"/>
    </w:r>
  </w:p>
  <w:p w14:paraId="76F0B695" w14:textId="77777777" w:rsidR="00A956E7" w:rsidRPr="00A956E7" w:rsidRDefault="00A956E7" w:rsidP="00A956E7">
    <w:pPr>
      <w:jc w:val="both"/>
      <w:rPr>
        <w:noProo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687A1" w14:textId="3416DDCA" w:rsidR="00804885" w:rsidRPr="00FF1FB0" w:rsidRDefault="00FF1FB0" w:rsidP="00804885">
    <w:pPr>
      <w:jc w:val="both"/>
      <w:rPr>
        <w:noProof/>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497588">
      <w:rPr>
        <w:noProof/>
        <w:sz w:val="18"/>
        <w:szCs w:val="18"/>
      </w:rPr>
      <w:t>FMzin_31</w:t>
    </w:r>
    <w:r w:rsidR="00A956E7">
      <w:rPr>
        <w:noProof/>
        <w:sz w:val="18"/>
        <w:szCs w:val="18"/>
      </w:rPr>
      <w:t>0820_ESM_2019</w:t>
    </w:r>
    <w:r w:rsidR="003D3313">
      <w:rPr>
        <w:noProof/>
        <w:sz w:val="18"/>
        <w:szCs w:val="18"/>
      </w:rPr>
      <w:t>.docx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39907" w14:textId="77777777" w:rsidR="002C37D7" w:rsidRDefault="002C37D7" w:rsidP="001907A7">
      <w:r>
        <w:separator/>
      </w:r>
    </w:p>
  </w:footnote>
  <w:footnote w:type="continuationSeparator" w:id="0">
    <w:p w14:paraId="38A7148C" w14:textId="77777777" w:rsidR="002C37D7" w:rsidRDefault="002C37D7" w:rsidP="001907A7">
      <w:r>
        <w:continuationSeparator/>
      </w:r>
    </w:p>
  </w:footnote>
  <w:footnote w:id="1">
    <w:p w14:paraId="4525927E" w14:textId="77777777" w:rsidR="00617962" w:rsidRPr="00D47BAE" w:rsidRDefault="00617962" w:rsidP="00617962">
      <w:pPr>
        <w:pStyle w:val="FootnoteText"/>
        <w:rPr>
          <w:sz w:val="18"/>
          <w:szCs w:val="18"/>
        </w:rPr>
      </w:pPr>
      <w:r w:rsidRPr="00D47BAE">
        <w:rPr>
          <w:rStyle w:val="FootnoteReference"/>
          <w:sz w:val="18"/>
          <w:szCs w:val="18"/>
        </w:rPr>
        <w:footnoteRef/>
      </w:r>
      <w:r w:rsidR="008849D7">
        <w:rPr>
          <w:sz w:val="18"/>
          <w:szCs w:val="18"/>
        </w:rPr>
        <w:t xml:space="preserve"> ESM 2019</w:t>
      </w:r>
      <w:r w:rsidRPr="00D47BAE">
        <w:rPr>
          <w:sz w:val="18"/>
          <w:szCs w:val="18"/>
        </w:rPr>
        <w:t>.</w:t>
      </w:r>
      <w:r w:rsidR="008849D7">
        <w:rPr>
          <w:sz w:val="18"/>
          <w:szCs w:val="18"/>
        </w:rPr>
        <w:t>gada pārskats publicēts 2020</w:t>
      </w:r>
      <w:r w:rsidRPr="00D47BAE">
        <w:rPr>
          <w:sz w:val="18"/>
          <w:szCs w:val="18"/>
        </w:rPr>
        <w:t>.</w:t>
      </w:r>
      <w:r w:rsidR="008849D7">
        <w:rPr>
          <w:sz w:val="18"/>
          <w:szCs w:val="18"/>
        </w:rPr>
        <w:t>gada 11</w:t>
      </w:r>
      <w:r w:rsidRPr="00F82711">
        <w:rPr>
          <w:sz w:val="18"/>
          <w:szCs w:val="18"/>
        </w:rPr>
        <w:t>.jūnijā.</w:t>
      </w:r>
      <w:r w:rsidRPr="00D47BAE">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52100"/>
      <w:docPartObj>
        <w:docPartGallery w:val="Page Numbers (Top of Page)"/>
        <w:docPartUnique/>
      </w:docPartObj>
    </w:sdtPr>
    <w:sdtEndPr>
      <w:rPr>
        <w:noProof/>
        <w:sz w:val="22"/>
      </w:rPr>
    </w:sdtEndPr>
    <w:sdtContent>
      <w:p w14:paraId="51B71A6D" w14:textId="059CA0CE" w:rsidR="005B1B7A" w:rsidRPr="00A31105" w:rsidRDefault="005B1B7A" w:rsidP="00896C7F">
        <w:pPr>
          <w:pStyle w:val="Header"/>
          <w:jc w:val="center"/>
          <w:rPr>
            <w:sz w:val="22"/>
          </w:rPr>
        </w:pPr>
        <w:r w:rsidRPr="00A31105">
          <w:rPr>
            <w:sz w:val="22"/>
          </w:rPr>
          <w:fldChar w:fldCharType="begin"/>
        </w:r>
        <w:r w:rsidRPr="00A31105">
          <w:rPr>
            <w:sz w:val="22"/>
          </w:rPr>
          <w:instrText xml:space="preserve"> PAGE   \* MERGEFORMAT </w:instrText>
        </w:r>
        <w:r w:rsidRPr="00A31105">
          <w:rPr>
            <w:sz w:val="22"/>
          </w:rPr>
          <w:fldChar w:fldCharType="separate"/>
        </w:r>
        <w:r w:rsidR="00497588">
          <w:rPr>
            <w:noProof/>
            <w:sz w:val="22"/>
          </w:rPr>
          <w:t>2</w:t>
        </w:r>
        <w:r w:rsidRPr="00A31105">
          <w:rPr>
            <w:noProof/>
            <w:sz w:val="22"/>
          </w:rPr>
          <w:fldChar w:fldCharType="end"/>
        </w:r>
      </w:p>
    </w:sdtContent>
  </w:sdt>
  <w:p w14:paraId="787DBA89" w14:textId="77777777" w:rsidR="00497D97" w:rsidRDefault="00497D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901"/>
    <w:multiLevelType w:val="hybridMultilevel"/>
    <w:tmpl w:val="F8E27BF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A120161"/>
    <w:multiLevelType w:val="hybridMultilevel"/>
    <w:tmpl w:val="32C8867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56B9E"/>
    <w:multiLevelType w:val="multilevel"/>
    <w:tmpl w:val="014C1A1C"/>
    <w:lvl w:ilvl="0">
      <w:start w:val="1"/>
      <w:numFmt w:val="decimal"/>
      <w:lvlText w:val="%1."/>
      <w:lvlJc w:val="left"/>
      <w:pPr>
        <w:ind w:left="1069" w:hanging="360"/>
      </w:pPr>
      <w:rPr>
        <w:rFonts w:hint="default"/>
        <w:i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BD46648"/>
    <w:multiLevelType w:val="hybridMultilevel"/>
    <w:tmpl w:val="74C2939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217A7BC2"/>
    <w:multiLevelType w:val="hybridMultilevel"/>
    <w:tmpl w:val="433E01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7E7742A"/>
    <w:multiLevelType w:val="hybridMultilevel"/>
    <w:tmpl w:val="93A47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FA2C11"/>
    <w:multiLevelType w:val="hybridMultilevel"/>
    <w:tmpl w:val="7F509B04"/>
    <w:lvl w:ilvl="0" w:tplc="EEF02E40">
      <w:start w:val="2012"/>
      <w:numFmt w:val="bullet"/>
      <w:lvlText w:val="-"/>
      <w:lvlJc w:val="left"/>
      <w:pPr>
        <w:ind w:left="720" w:hanging="360"/>
      </w:pPr>
      <w:rPr>
        <w:rFonts w:ascii="Times New Roman" w:eastAsia="Times New Roman" w:hAnsi="Times New Roman" w:cs="Times New Roman" w:hint="default"/>
      </w:rPr>
    </w:lvl>
    <w:lvl w:ilvl="1" w:tplc="08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AA12410"/>
    <w:multiLevelType w:val="hybridMultilevel"/>
    <w:tmpl w:val="6B46CB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D322336"/>
    <w:multiLevelType w:val="hybridMultilevel"/>
    <w:tmpl w:val="F208E3D8"/>
    <w:lvl w:ilvl="0" w:tplc="EEF02E40">
      <w:start w:val="20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D83356A"/>
    <w:multiLevelType w:val="hybridMultilevel"/>
    <w:tmpl w:val="B25C0E0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0AF63AF"/>
    <w:multiLevelType w:val="multilevel"/>
    <w:tmpl w:val="D56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716853"/>
    <w:multiLevelType w:val="hybridMultilevel"/>
    <w:tmpl w:val="F442085E"/>
    <w:lvl w:ilvl="0" w:tplc="EEF02E40">
      <w:start w:val="2012"/>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2" w15:restartNumberingAfterBreak="0">
    <w:nsid w:val="423C3C52"/>
    <w:multiLevelType w:val="hybridMultilevel"/>
    <w:tmpl w:val="5EF65FF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EAC5A46"/>
    <w:multiLevelType w:val="hybridMultilevel"/>
    <w:tmpl w:val="958EFB0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531D4125"/>
    <w:multiLevelType w:val="hybridMultilevel"/>
    <w:tmpl w:val="CBC60B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54E67EA"/>
    <w:multiLevelType w:val="hybridMultilevel"/>
    <w:tmpl w:val="996E9DD6"/>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6" w15:restartNumberingAfterBreak="0">
    <w:nsid w:val="635744F5"/>
    <w:multiLevelType w:val="hybridMultilevel"/>
    <w:tmpl w:val="4052F8A4"/>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65AE1497"/>
    <w:multiLevelType w:val="multilevel"/>
    <w:tmpl w:val="014C1A1C"/>
    <w:lvl w:ilvl="0">
      <w:start w:val="1"/>
      <w:numFmt w:val="decimal"/>
      <w:lvlText w:val="%1."/>
      <w:lvlJc w:val="left"/>
      <w:pPr>
        <w:ind w:left="1069" w:hanging="360"/>
      </w:pPr>
      <w:rPr>
        <w:rFonts w:hint="default"/>
        <w:i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6C4D0A2A"/>
    <w:multiLevelType w:val="multilevel"/>
    <w:tmpl w:val="014C1A1C"/>
    <w:lvl w:ilvl="0">
      <w:start w:val="1"/>
      <w:numFmt w:val="decimal"/>
      <w:lvlText w:val="%1."/>
      <w:lvlJc w:val="left"/>
      <w:pPr>
        <w:ind w:left="1069" w:hanging="360"/>
      </w:pPr>
      <w:rPr>
        <w:rFonts w:hint="default"/>
        <w:i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70997F96"/>
    <w:multiLevelType w:val="hybridMultilevel"/>
    <w:tmpl w:val="E744B964"/>
    <w:lvl w:ilvl="0" w:tplc="EEF02E40">
      <w:start w:val="2012"/>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0" w15:restartNumberingAfterBreak="0">
    <w:nsid w:val="7B041730"/>
    <w:multiLevelType w:val="hybridMultilevel"/>
    <w:tmpl w:val="9FA401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CD432F9"/>
    <w:multiLevelType w:val="hybridMultilevel"/>
    <w:tmpl w:val="813AF68C"/>
    <w:lvl w:ilvl="0" w:tplc="04260005">
      <w:start w:val="1"/>
      <w:numFmt w:val="bullet"/>
      <w:lvlText w:val=""/>
      <w:lvlJc w:val="left"/>
      <w:pPr>
        <w:ind w:left="757" w:hanging="360"/>
      </w:pPr>
      <w:rPr>
        <w:rFonts w:ascii="Wingdings" w:hAnsi="Wingdings"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22" w15:restartNumberingAfterBreak="0">
    <w:nsid w:val="7E6C3CFC"/>
    <w:multiLevelType w:val="hybridMultilevel"/>
    <w:tmpl w:val="C2C6B8C6"/>
    <w:lvl w:ilvl="0" w:tplc="EEF02E40">
      <w:start w:val="201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6"/>
  </w:num>
  <w:num w:numId="4">
    <w:abstractNumId w:val="0"/>
  </w:num>
  <w:num w:numId="5">
    <w:abstractNumId w:val="21"/>
  </w:num>
  <w:num w:numId="6">
    <w:abstractNumId w:val="3"/>
  </w:num>
  <w:num w:numId="7">
    <w:abstractNumId w:val="4"/>
  </w:num>
  <w:num w:numId="8">
    <w:abstractNumId w:val="20"/>
  </w:num>
  <w:num w:numId="9">
    <w:abstractNumId w:val="14"/>
  </w:num>
  <w:num w:numId="10">
    <w:abstractNumId w:val="12"/>
  </w:num>
  <w:num w:numId="11">
    <w:abstractNumId w:val="1"/>
  </w:num>
  <w:num w:numId="12">
    <w:abstractNumId w:val="9"/>
  </w:num>
  <w:num w:numId="13">
    <w:abstractNumId w:val="15"/>
  </w:num>
  <w:num w:numId="14">
    <w:abstractNumId w:val="18"/>
  </w:num>
  <w:num w:numId="15">
    <w:abstractNumId w:val="19"/>
  </w:num>
  <w:num w:numId="16">
    <w:abstractNumId w:val="11"/>
  </w:num>
  <w:num w:numId="17">
    <w:abstractNumId w:val="22"/>
  </w:num>
  <w:num w:numId="18">
    <w:abstractNumId w:val="6"/>
  </w:num>
  <w:num w:numId="19">
    <w:abstractNumId w:val="8"/>
  </w:num>
  <w:num w:numId="20">
    <w:abstractNumId w:val="2"/>
  </w:num>
  <w:num w:numId="21">
    <w:abstractNumId w:val="17"/>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9F"/>
    <w:rsid w:val="0000092A"/>
    <w:rsid w:val="00000971"/>
    <w:rsid w:val="00000D0D"/>
    <w:rsid w:val="00004B78"/>
    <w:rsid w:val="00004DF1"/>
    <w:rsid w:val="00004E13"/>
    <w:rsid w:val="0000616B"/>
    <w:rsid w:val="00014BC7"/>
    <w:rsid w:val="0002018B"/>
    <w:rsid w:val="00032C70"/>
    <w:rsid w:val="0003320B"/>
    <w:rsid w:val="00033372"/>
    <w:rsid w:val="00033A36"/>
    <w:rsid w:val="000357AB"/>
    <w:rsid w:val="00036CBF"/>
    <w:rsid w:val="00041182"/>
    <w:rsid w:val="000415DE"/>
    <w:rsid w:val="00041D64"/>
    <w:rsid w:val="00042155"/>
    <w:rsid w:val="00042954"/>
    <w:rsid w:val="000430F2"/>
    <w:rsid w:val="000443F9"/>
    <w:rsid w:val="0004606F"/>
    <w:rsid w:val="00051835"/>
    <w:rsid w:val="00052415"/>
    <w:rsid w:val="000546FE"/>
    <w:rsid w:val="000553F9"/>
    <w:rsid w:val="00057128"/>
    <w:rsid w:val="00060396"/>
    <w:rsid w:val="00061979"/>
    <w:rsid w:val="00065412"/>
    <w:rsid w:val="000702C9"/>
    <w:rsid w:val="000753CB"/>
    <w:rsid w:val="0008170F"/>
    <w:rsid w:val="0008199E"/>
    <w:rsid w:val="00084DC8"/>
    <w:rsid w:val="00085635"/>
    <w:rsid w:val="00090C27"/>
    <w:rsid w:val="00091292"/>
    <w:rsid w:val="000A0264"/>
    <w:rsid w:val="000A07C1"/>
    <w:rsid w:val="000B13AC"/>
    <w:rsid w:val="000B18F7"/>
    <w:rsid w:val="000B1FC7"/>
    <w:rsid w:val="000B4FF2"/>
    <w:rsid w:val="000B529B"/>
    <w:rsid w:val="000B540C"/>
    <w:rsid w:val="000B5B8A"/>
    <w:rsid w:val="000C076D"/>
    <w:rsid w:val="000C45E9"/>
    <w:rsid w:val="000C5365"/>
    <w:rsid w:val="000C5D0C"/>
    <w:rsid w:val="000C7419"/>
    <w:rsid w:val="000D2339"/>
    <w:rsid w:val="000D4194"/>
    <w:rsid w:val="000D5783"/>
    <w:rsid w:val="000D7675"/>
    <w:rsid w:val="000E3AB8"/>
    <w:rsid w:val="000E698F"/>
    <w:rsid w:val="000E7D90"/>
    <w:rsid w:val="000F00DF"/>
    <w:rsid w:val="000F237C"/>
    <w:rsid w:val="000F4067"/>
    <w:rsid w:val="000F48EA"/>
    <w:rsid w:val="000F53DF"/>
    <w:rsid w:val="00100216"/>
    <w:rsid w:val="00101D4E"/>
    <w:rsid w:val="00101DC9"/>
    <w:rsid w:val="00102197"/>
    <w:rsid w:val="00105EEE"/>
    <w:rsid w:val="001113BF"/>
    <w:rsid w:val="001145D4"/>
    <w:rsid w:val="00122D35"/>
    <w:rsid w:val="0012434F"/>
    <w:rsid w:val="00124DEE"/>
    <w:rsid w:val="00125B6D"/>
    <w:rsid w:val="00126779"/>
    <w:rsid w:val="00127E5D"/>
    <w:rsid w:val="0013137B"/>
    <w:rsid w:val="00131D60"/>
    <w:rsid w:val="00141D76"/>
    <w:rsid w:val="001420FB"/>
    <w:rsid w:val="001424FF"/>
    <w:rsid w:val="00143EEE"/>
    <w:rsid w:val="0014588E"/>
    <w:rsid w:val="00146655"/>
    <w:rsid w:val="001503D4"/>
    <w:rsid w:val="00151A50"/>
    <w:rsid w:val="00157DB9"/>
    <w:rsid w:val="0016203E"/>
    <w:rsid w:val="001643D0"/>
    <w:rsid w:val="001672A6"/>
    <w:rsid w:val="00171469"/>
    <w:rsid w:val="00171BE2"/>
    <w:rsid w:val="00173195"/>
    <w:rsid w:val="0017633C"/>
    <w:rsid w:val="0018674C"/>
    <w:rsid w:val="001907A7"/>
    <w:rsid w:val="00192C59"/>
    <w:rsid w:val="001953F5"/>
    <w:rsid w:val="001960C9"/>
    <w:rsid w:val="00196E53"/>
    <w:rsid w:val="001A2456"/>
    <w:rsid w:val="001A4106"/>
    <w:rsid w:val="001A7C49"/>
    <w:rsid w:val="001A7F8F"/>
    <w:rsid w:val="001B1337"/>
    <w:rsid w:val="001B19A6"/>
    <w:rsid w:val="001B5973"/>
    <w:rsid w:val="001B7BA9"/>
    <w:rsid w:val="001C1B34"/>
    <w:rsid w:val="001C1D85"/>
    <w:rsid w:val="001C2094"/>
    <w:rsid w:val="001C32E4"/>
    <w:rsid w:val="001C4618"/>
    <w:rsid w:val="001C55AA"/>
    <w:rsid w:val="001C7FED"/>
    <w:rsid w:val="001D0841"/>
    <w:rsid w:val="001D29D7"/>
    <w:rsid w:val="001D63F2"/>
    <w:rsid w:val="001E3573"/>
    <w:rsid w:val="001E3DD6"/>
    <w:rsid w:val="001E7658"/>
    <w:rsid w:val="001E79A9"/>
    <w:rsid w:val="001F006C"/>
    <w:rsid w:val="001F3658"/>
    <w:rsid w:val="001F5245"/>
    <w:rsid w:val="001F57B3"/>
    <w:rsid w:val="001F7A49"/>
    <w:rsid w:val="0020097B"/>
    <w:rsid w:val="002018E8"/>
    <w:rsid w:val="00202D1F"/>
    <w:rsid w:val="00204419"/>
    <w:rsid w:val="00205871"/>
    <w:rsid w:val="002102E3"/>
    <w:rsid w:val="00210F31"/>
    <w:rsid w:val="00210F59"/>
    <w:rsid w:val="00221D74"/>
    <w:rsid w:val="00222243"/>
    <w:rsid w:val="0022352E"/>
    <w:rsid w:val="002239E0"/>
    <w:rsid w:val="002245D4"/>
    <w:rsid w:val="00225BE6"/>
    <w:rsid w:val="002307F3"/>
    <w:rsid w:val="0023328D"/>
    <w:rsid w:val="00233BEA"/>
    <w:rsid w:val="00233E6D"/>
    <w:rsid w:val="002373FE"/>
    <w:rsid w:val="00240A47"/>
    <w:rsid w:val="0024294E"/>
    <w:rsid w:val="0024666A"/>
    <w:rsid w:val="00246D5D"/>
    <w:rsid w:val="00246F94"/>
    <w:rsid w:val="00254817"/>
    <w:rsid w:val="00257A47"/>
    <w:rsid w:val="002601B4"/>
    <w:rsid w:val="00260B26"/>
    <w:rsid w:val="00263737"/>
    <w:rsid w:val="00265EF8"/>
    <w:rsid w:val="002713EE"/>
    <w:rsid w:val="002715CA"/>
    <w:rsid w:val="00273663"/>
    <w:rsid w:val="002764F1"/>
    <w:rsid w:val="002774B1"/>
    <w:rsid w:val="00277AC8"/>
    <w:rsid w:val="00277D1B"/>
    <w:rsid w:val="00277D76"/>
    <w:rsid w:val="00280255"/>
    <w:rsid w:val="002848A6"/>
    <w:rsid w:val="00284E15"/>
    <w:rsid w:val="00287D40"/>
    <w:rsid w:val="0029137B"/>
    <w:rsid w:val="002920DF"/>
    <w:rsid w:val="002924A1"/>
    <w:rsid w:val="00293A15"/>
    <w:rsid w:val="00296AC1"/>
    <w:rsid w:val="002A2D30"/>
    <w:rsid w:val="002A5780"/>
    <w:rsid w:val="002A6276"/>
    <w:rsid w:val="002A7ADA"/>
    <w:rsid w:val="002B22DD"/>
    <w:rsid w:val="002B4459"/>
    <w:rsid w:val="002B46EA"/>
    <w:rsid w:val="002B54BC"/>
    <w:rsid w:val="002B6B90"/>
    <w:rsid w:val="002C0546"/>
    <w:rsid w:val="002C13FC"/>
    <w:rsid w:val="002C37D7"/>
    <w:rsid w:val="002C3BC5"/>
    <w:rsid w:val="002D12F8"/>
    <w:rsid w:val="002D1435"/>
    <w:rsid w:val="002D2D0B"/>
    <w:rsid w:val="002D351A"/>
    <w:rsid w:val="002D3808"/>
    <w:rsid w:val="002D3D40"/>
    <w:rsid w:val="002D3E68"/>
    <w:rsid w:val="002D70ED"/>
    <w:rsid w:val="002E12CB"/>
    <w:rsid w:val="002E2149"/>
    <w:rsid w:val="002E416D"/>
    <w:rsid w:val="002E422A"/>
    <w:rsid w:val="002E6FC2"/>
    <w:rsid w:val="002F4990"/>
    <w:rsid w:val="002F7DC9"/>
    <w:rsid w:val="002F7FB5"/>
    <w:rsid w:val="00302D46"/>
    <w:rsid w:val="00303D5F"/>
    <w:rsid w:val="0030497D"/>
    <w:rsid w:val="00305DC0"/>
    <w:rsid w:val="0030661F"/>
    <w:rsid w:val="003200F7"/>
    <w:rsid w:val="00321309"/>
    <w:rsid w:val="00325000"/>
    <w:rsid w:val="00325E12"/>
    <w:rsid w:val="00327473"/>
    <w:rsid w:val="00327D5C"/>
    <w:rsid w:val="00331EFA"/>
    <w:rsid w:val="00336790"/>
    <w:rsid w:val="00337E78"/>
    <w:rsid w:val="00346138"/>
    <w:rsid w:val="003537F5"/>
    <w:rsid w:val="003540A8"/>
    <w:rsid w:val="00357760"/>
    <w:rsid w:val="0036034E"/>
    <w:rsid w:val="003604A0"/>
    <w:rsid w:val="00361095"/>
    <w:rsid w:val="00365447"/>
    <w:rsid w:val="00365FAB"/>
    <w:rsid w:val="0036609C"/>
    <w:rsid w:val="00371C18"/>
    <w:rsid w:val="00372DDE"/>
    <w:rsid w:val="003738C6"/>
    <w:rsid w:val="0037448F"/>
    <w:rsid w:val="00376402"/>
    <w:rsid w:val="00377E10"/>
    <w:rsid w:val="00380BC8"/>
    <w:rsid w:val="00381906"/>
    <w:rsid w:val="0038266A"/>
    <w:rsid w:val="00382674"/>
    <w:rsid w:val="0038519E"/>
    <w:rsid w:val="00385E18"/>
    <w:rsid w:val="003869A2"/>
    <w:rsid w:val="00392FC8"/>
    <w:rsid w:val="00393AFB"/>
    <w:rsid w:val="003A0482"/>
    <w:rsid w:val="003A0EC6"/>
    <w:rsid w:val="003A1421"/>
    <w:rsid w:val="003A2703"/>
    <w:rsid w:val="003A2FFA"/>
    <w:rsid w:val="003A3BCE"/>
    <w:rsid w:val="003A7D77"/>
    <w:rsid w:val="003B0B6D"/>
    <w:rsid w:val="003C03BE"/>
    <w:rsid w:val="003C40F7"/>
    <w:rsid w:val="003C472D"/>
    <w:rsid w:val="003C62E5"/>
    <w:rsid w:val="003D2C89"/>
    <w:rsid w:val="003D3313"/>
    <w:rsid w:val="003D3B72"/>
    <w:rsid w:val="003D486A"/>
    <w:rsid w:val="003D79C9"/>
    <w:rsid w:val="003E67F9"/>
    <w:rsid w:val="003F0316"/>
    <w:rsid w:val="003F0F01"/>
    <w:rsid w:val="003F4BE0"/>
    <w:rsid w:val="00400110"/>
    <w:rsid w:val="00403BE4"/>
    <w:rsid w:val="0040727A"/>
    <w:rsid w:val="0041354F"/>
    <w:rsid w:val="00413851"/>
    <w:rsid w:val="004201EB"/>
    <w:rsid w:val="00422C1A"/>
    <w:rsid w:val="004248FE"/>
    <w:rsid w:val="004257A2"/>
    <w:rsid w:val="00426DDA"/>
    <w:rsid w:val="004333B1"/>
    <w:rsid w:val="00434122"/>
    <w:rsid w:val="0043593D"/>
    <w:rsid w:val="004370EC"/>
    <w:rsid w:val="0044061A"/>
    <w:rsid w:val="00440F0E"/>
    <w:rsid w:val="004410F8"/>
    <w:rsid w:val="00441B6B"/>
    <w:rsid w:val="00447552"/>
    <w:rsid w:val="004502A9"/>
    <w:rsid w:val="00452349"/>
    <w:rsid w:val="004530C9"/>
    <w:rsid w:val="00461FE6"/>
    <w:rsid w:val="00462240"/>
    <w:rsid w:val="004626CE"/>
    <w:rsid w:val="00463107"/>
    <w:rsid w:val="00463C73"/>
    <w:rsid w:val="0046422B"/>
    <w:rsid w:val="00467C93"/>
    <w:rsid w:val="00470EBE"/>
    <w:rsid w:val="00472AC6"/>
    <w:rsid w:val="0047337B"/>
    <w:rsid w:val="00475EBE"/>
    <w:rsid w:val="004805C3"/>
    <w:rsid w:val="00480D71"/>
    <w:rsid w:val="00480DB4"/>
    <w:rsid w:val="00481EC5"/>
    <w:rsid w:val="00483B38"/>
    <w:rsid w:val="00485A69"/>
    <w:rsid w:val="00486227"/>
    <w:rsid w:val="004901FB"/>
    <w:rsid w:val="00494ECF"/>
    <w:rsid w:val="004960EF"/>
    <w:rsid w:val="00497588"/>
    <w:rsid w:val="00497D97"/>
    <w:rsid w:val="00497EB7"/>
    <w:rsid w:val="004A12D9"/>
    <w:rsid w:val="004A5280"/>
    <w:rsid w:val="004A59BA"/>
    <w:rsid w:val="004A7DAD"/>
    <w:rsid w:val="004B0EC0"/>
    <w:rsid w:val="004B115F"/>
    <w:rsid w:val="004B33A0"/>
    <w:rsid w:val="004B3996"/>
    <w:rsid w:val="004B6A15"/>
    <w:rsid w:val="004C1197"/>
    <w:rsid w:val="004C2792"/>
    <w:rsid w:val="004C2FFF"/>
    <w:rsid w:val="004C31FD"/>
    <w:rsid w:val="004C4B2C"/>
    <w:rsid w:val="004C5DF6"/>
    <w:rsid w:val="004C5FA0"/>
    <w:rsid w:val="004D1073"/>
    <w:rsid w:val="004D18B9"/>
    <w:rsid w:val="004D2877"/>
    <w:rsid w:val="004D4710"/>
    <w:rsid w:val="004D5485"/>
    <w:rsid w:val="004E2EE9"/>
    <w:rsid w:val="004E5B2C"/>
    <w:rsid w:val="004F02AD"/>
    <w:rsid w:val="004F31B4"/>
    <w:rsid w:val="004F3AD4"/>
    <w:rsid w:val="004F74A5"/>
    <w:rsid w:val="00502D31"/>
    <w:rsid w:val="005040EB"/>
    <w:rsid w:val="00505E01"/>
    <w:rsid w:val="00512201"/>
    <w:rsid w:val="00513965"/>
    <w:rsid w:val="00513E8F"/>
    <w:rsid w:val="00516182"/>
    <w:rsid w:val="00517270"/>
    <w:rsid w:val="00520B86"/>
    <w:rsid w:val="005220CE"/>
    <w:rsid w:val="00522FBC"/>
    <w:rsid w:val="00523B26"/>
    <w:rsid w:val="005266B8"/>
    <w:rsid w:val="00527C4A"/>
    <w:rsid w:val="005331AC"/>
    <w:rsid w:val="005338F1"/>
    <w:rsid w:val="00534A3A"/>
    <w:rsid w:val="00542E18"/>
    <w:rsid w:val="005435B9"/>
    <w:rsid w:val="005438CE"/>
    <w:rsid w:val="00546390"/>
    <w:rsid w:val="0054738D"/>
    <w:rsid w:val="00557EFA"/>
    <w:rsid w:val="00560607"/>
    <w:rsid w:val="00560C13"/>
    <w:rsid w:val="00560F9A"/>
    <w:rsid w:val="00564783"/>
    <w:rsid w:val="0056686E"/>
    <w:rsid w:val="005676C1"/>
    <w:rsid w:val="00567D43"/>
    <w:rsid w:val="00570769"/>
    <w:rsid w:val="00573E7C"/>
    <w:rsid w:val="005764A0"/>
    <w:rsid w:val="00581E46"/>
    <w:rsid w:val="005835CE"/>
    <w:rsid w:val="00583715"/>
    <w:rsid w:val="005871E8"/>
    <w:rsid w:val="005900EA"/>
    <w:rsid w:val="00591A7B"/>
    <w:rsid w:val="00593D13"/>
    <w:rsid w:val="00593F53"/>
    <w:rsid w:val="00595DDF"/>
    <w:rsid w:val="005966DB"/>
    <w:rsid w:val="005A0FBC"/>
    <w:rsid w:val="005A10A1"/>
    <w:rsid w:val="005A2D2E"/>
    <w:rsid w:val="005A4A5D"/>
    <w:rsid w:val="005A4F0B"/>
    <w:rsid w:val="005A52BF"/>
    <w:rsid w:val="005A77B8"/>
    <w:rsid w:val="005B0C8D"/>
    <w:rsid w:val="005B1B7A"/>
    <w:rsid w:val="005C2CDE"/>
    <w:rsid w:val="005C4DF2"/>
    <w:rsid w:val="005C6909"/>
    <w:rsid w:val="005C7085"/>
    <w:rsid w:val="005D083C"/>
    <w:rsid w:val="005D3D36"/>
    <w:rsid w:val="005D4A62"/>
    <w:rsid w:val="005D5B6C"/>
    <w:rsid w:val="005E0607"/>
    <w:rsid w:val="005E160B"/>
    <w:rsid w:val="005E4C19"/>
    <w:rsid w:val="005E6CED"/>
    <w:rsid w:val="005F4C6F"/>
    <w:rsid w:val="005F765C"/>
    <w:rsid w:val="005F79AE"/>
    <w:rsid w:val="00601021"/>
    <w:rsid w:val="006035AB"/>
    <w:rsid w:val="00603D6D"/>
    <w:rsid w:val="00604B52"/>
    <w:rsid w:val="00607189"/>
    <w:rsid w:val="006071D5"/>
    <w:rsid w:val="00610586"/>
    <w:rsid w:val="0061244D"/>
    <w:rsid w:val="00617962"/>
    <w:rsid w:val="00620DBB"/>
    <w:rsid w:val="00621139"/>
    <w:rsid w:val="00627447"/>
    <w:rsid w:val="00630BE5"/>
    <w:rsid w:val="00630D84"/>
    <w:rsid w:val="00630DCC"/>
    <w:rsid w:val="006342BD"/>
    <w:rsid w:val="00634329"/>
    <w:rsid w:val="00640203"/>
    <w:rsid w:val="00640508"/>
    <w:rsid w:val="00640764"/>
    <w:rsid w:val="006418BD"/>
    <w:rsid w:val="00644FFB"/>
    <w:rsid w:val="00647316"/>
    <w:rsid w:val="00647669"/>
    <w:rsid w:val="00650DD5"/>
    <w:rsid w:val="00651B86"/>
    <w:rsid w:val="00652E23"/>
    <w:rsid w:val="00656194"/>
    <w:rsid w:val="006562FA"/>
    <w:rsid w:val="00656E6B"/>
    <w:rsid w:val="00662DC9"/>
    <w:rsid w:val="00667242"/>
    <w:rsid w:val="0066772C"/>
    <w:rsid w:val="00670A46"/>
    <w:rsid w:val="006710BE"/>
    <w:rsid w:val="0067361D"/>
    <w:rsid w:val="00674437"/>
    <w:rsid w:val="00676760"/>
    <w:rsid w:val="00677C64"/>
    <w:rsid w:val="0068172B"/>
    <w:rsid w:val="006826E5"/>
    <w:rsid w:val="00684983"/>
    <w:rsid w:val="00684E57"/>
    <w:rsid w:val="00686C29"/>
    <w:rsid w:val="00686F93"/>
    <w:rsid w:val="0069097F"/>
    <w:rsid w:val="00690AB3"/>
    <w:rsid w:val="00692AE1"/>
    <w:rsid w:val="0069433F"/>
    <w:rsid w:val="006A13FF"/>
    <w:rsid w:val="006A16B0"/>
    <w:rsid w:val="006A1A20"/>
    <w:rsid w:val="006A391B"/>
    <w:rsid w:val="006A623C"/>
    <w:rsid w:val="006A7D2C"/>
    <w:rsid w:val="006B33BE"/>
    <w:rsid w:val="006B3A51"/>
    <w:rsid w:val="006B54DE"/>
    <w:rsid w:val="006B556B"/>
    <w:rsid w:val="006C06D7"/>
    <w:rsid w:val="006C145B"/>
    <w:rsid w:val="006C4CDE"/>
    <w:rsid w:val="006C6A48"/>
    <w:rsid w:val="006C7829"/>
    <w:rsid w:val="006D6BDF"/>
    <w:rsid w:val="006D7378"/>
    <w:rsid w:val="006D7475"/>
    <w:rsid w:val="006E6EA4"/>
    <w:rsid w:val="006E7176"/>
    <w:rsid w:val="006F3C7E"/>
    <w:rsid w:val="006F6122"/>
    <w:rsid w:val="006F6E9E"/>
    <w:rsid w:val="006F7EE6"/>
    <w:rsid w:val="007009DC"/>
    <w:rsid w:val="0070151F"/>
    <w:rsid w:val="007057BE"/>
    <w:rsid w:val="007065B4"/>
    <w:rsid w:val="007072BC"/>
    <w:rsid w:val="007103D1"/>
    <w:rsid w:val="00711962"/>
    <w:rsid w:val="007145BE"/>
    <w:rsid w:val="00715C24"/>
    <w:rsid w:val="00715D4D"/>
    <w:rsid w:val="00721B0C"/>
    <w:rsid w:val="00723595"/>
    <w:rsid w:val="007300DA"/>
    <w:rsid w:val="00731D50"/>
    <w:rsid w:val="007327DE"/>
    <w:rsid w:val="00732B07"/>
    <w:rsid w:val="0073395D"/>
    <w:rsid w:val="007344E6"/>
    <w:rsid w:val="00735274"/>
    <w:rsid w:val="00735876"/>
    <w:rsid w:val="00735C9F"/>
    <w:rsid w:val="00736271"/>
    <w:rsid w:val="00736A7E"/>
    <w:rsid w:val="0073785B"/>
    <w:rsid w:val="007408FE"/>
    <w:rsid w:val="007444C1"/>
    <w:rsid w:val="007448F4"/>
    <w:rsid w:val="00747176"/>
    <w:rsid w:val="00752648"/>
    <w:rsid w:val="007622BA"/>
    <w:rsid w:val="0076311D"/>
    <w:rsid w:val="0076340D"/>
    <w:rsid w:val="007717BD"/>
    <w:rsid w:val="00772672"/>
    <w:rsid w:val="007739F3"/>
    <w:rsid w:val="00780130"/>
    <w:rsid w:val="007805C2"/>
    <w:rsid w:val="00783405"/>
    <w:rsid w:val="00783688"/>
    <w:rsid w:val="00783B9C"/>
    <w:rsid w:val="0078797C"/>
    <w:rsid w:val="00791142"/>
    <w:rsid w:val="00792523"/>
    <w:rsid w:val="00794726"/>
    <w:rsid w:val="00794FDC"/>
    <w:rsid w:val="007A0768"/>
    <w:rsid w:val="007A1031"/>
    <w:rsid w:val="007A10AA"/>
    <w:rsid w:val="007A1D60"/>
    <w:rsid w:val="007A1DE9"/>
    <w:rsid w:val="007A2797"/>
    <w:rsid w:val="007A2B19"/>
    <w:rsid w:val="007A2B6B"/>
    <w:rsid w:val="007A356C"/>
    <w:rsid w:val="007B04A8"/>
    <w:rsid w:val="007B103C"/>
    <w:rsid w:val="007B50D2"/>
    <w:rsid w:val="007B55FB"/>
    <w:rsid w:val="007C2C19"/>
    <w:rsid w:val="007C6A47"/>
    <w:rsid w:val="007C6AF9"/>
    <w:rsid w:val="007C7942"/>
    <w:rsid w:val="007D1C2E"/>
    <w:rsid w:val="007D48E9"/>
    <w:rsid w:val="007E110C"/>
    <w:rsid w:val="007E2ADD"/>
    <w:rsid w:val="007F061A"/>
    <w:rsid w:val="007F0CE5"/>
    <w:rsid w:val="007F1153"/>
    <w:rsid w:val="007F3A21"/>
    <w:rsid w:val="007F5EDD"/>
    <w:rsid w:val="007F6361"/>
    <w:rsid w:val="008014FA"/>
    <w:rsid w:val="008015BB"/>
    <w:rsid w:val="00804885"/>
    <w:rsid w:val="00805C4A"/>
    <w:rsid w:val="0080654E"/>
    <w:rsid w:val="008114CC"/>
    <w:rsid w:val="00813AE6"/>
    <w:rsid w:val="008150E1"/>
    <w:rsid w:val="00817609"/>
    <w:rsid w:val="00821ABE"/>
    <w:rsid w:val="00823887"/>
    <w:rsid w:val="00827A65"/>
    <w:rsid w:val="008333C4"/>
    <w:rsid w:val="008364B0"/>
    <w:rsid w:val="00842BEA"/>
    <w:rsid w:val="0084577F"/>
    <w:rsid w:val="00851B89"/>
    <w:rsid w:val="00851E44"/>
    <w:rsid w:val="00852208"/>
    <w:rsid w:val="00852268"/>
    <w:rsid w:val="0085469F"/>
    <w:rsid w:val="00856BC7"/>
    <w:rsid w:val="00862E26"/>
    <w:rsid w:val="0086357A"/>
    <w:rsid w:val="008648C4"/>
    <w:rsid w:val="00865FC9"/>
    <w:rsid w:val="008670DD"/>
    <w:rsid w:val="00872153"/>
    <w:rsid w:val="00874B6B"/>
    <w:rsid w:val="00881081"/>
    <w:rsid w:val="0088149C"/>
    <w:rsid w:val="00881652"/>
    <w:rsid w:val="00884942"/>
    <w:rsid w:val="008849D7"/>
    <w:rsid w:val="00886683"/>
    <w:rsid w:val="00890704"/>
    <w:rsid w:val="00892E29"/>
    <w:rsid w:val="00894248"/>
    <w:rsid w:val="0089427A"/>
    <w:rsid w:val="00896C7F"/>
    <w:rsid w:val="008A03CC"/>
    <w:rsid w:val="008A246F"/>
    <w:rsid w:val="008A4EC4"/>
    <w:rsid w:val="008B1CA2"/>
    <w:rsid w:val="008C151A"/>
    <w:rsid w:val="008C3E65"/>
    <w:rsid w:val="008C53E4"/>
    <w:rsid w:val="008C5F43"/>
    <w:rsid w:val="008C7216"/>
    <w:rsid w:val="008D010E"/>
    <w:rsid w:val="008D5DCC"/>
    <w:rsid w:val="008D6E8D"/>
    <w:rsid w:val="008D7A04"/>
    <w:rsid w:val="008D7D5F"/>
    <w:rsid w:val="008E17B8"/>
    <w:rsid w:val="008E1F8B"/>
    <w:rsid w:val="008E3C46"/>
    <w:rsid w:val="008E56A0"/>
    <w:rsid w:val="008F0BF6"/>
    <w:rsid w:val="008F0E26"/>
    <w:rsid w:val="008F24BC"/>
    <w:rsid w:val="008F4DE7"/>
    <w:rsid w:val="008F75BB"/>
    <w:rsid w:val="008F7805"/>
    <w:rsid w:val="00907846"/>
    <w:rsid w:val="00911591"/>
    <w:rsid w:val="00914E9C"/>
    <w:rsid w:val="00915E22"/>
    <w:rsid w:val="009214E7"/>
    <w:rsid w:val="00921961"/>
    <w:rsid w:val="0092271A"/>
    <w:rsid w:val="00923E49"/>
    <w:rsid w:val="00925F4F"/>
    <w:rsid w:val="00931661"/>
    <w:rsid w:val="00931C0B"/>
    <w:rsid w:val="00936759"/>
    <w:rsid w:val="00937054"/>
    <w:rsid w:val="00940BE5"/>
    <w:rsid w:val="009524FE"/>
    <w:rsid w:val="00953357"/>
    <w:rsid w:val="009539D4"/>
    <w:rsid w:val="00955B5B"/>
    <w:rsid w:val="009561B3"/>
    <w:rsid w:val="0095622F"/>
    <w:rsid w:val="00956CB7"/>
    <w:rsid w:val="009574EF"/>
    <w:rsid w:val="0095756F"/>
    <w:rsid w:val="00960E12"/>
    <w:rsid w:val="00962587"/>
    <w:rsid w:val="009650E5"/>
    <w:rsid w:val="00977742"/>
    <w:rsid w:val="00977AE0"/>
    <w:rsid w:val="00981C09"/>
    <w:rsid w:val="00985AE8"/>
    <w:rsid w:val="009915AA"/>
    <w:rsid w:val="00992342"/>
    <w:rsid w:val="00992B5B"/>
    <w:rsid w:val="009930A8"/>
    <w:rsid w:val="0099344B"/>
    <w:rsid w:val="009935FA"/>
    <w:rsid w:val="00994794"/>
    <w:rsid w:val="00994ECF"/>
    <w:rsid w:val="00996800"/>
    <w:rsid w:val="00996C40"/>
    <w:rsid w:val="009A0F7A"/>
    <w:rsid w:val="009A13DB"/>
    <w:rsid w:val="009A21B6"/>
    <w:rsid w:val="009A2C69"/>
    <w:rsid w:val="009A545C"/>
    <w:rsid w:val="009A6EAD"/>
    <w:rsid w:val="009B313B"/>
    <w:rsid w:val="009B403B"/>
    <w:rsid w:val="009B4CCB"/>
    <w:rsid w:val="009B519E"/>
    <w:rsid w:val="009B6F55"/>
    <w:rsid w:val="009B706A"/>
    <w:rsid w:val="009B7ED1"/>
    <w:rsid w:val="009C044F"/>
    <w:rsid w:val="009C0944"/>
    <w:rsid w:val="009C2E03"/>
    <w:rsid w:val="009C2FBF"/>
    <w:rsid w:val="009C438F"/>
    <w:rsid w:val="009C6995"/>
    <w:rsid w:val="009D28A5"/>
    <w:rsid w:val="009D422E"/>
    <w:rsid w:val="009D5A2C"/>
    <w:rsid w:val="009D759F"/>
    <w:rsid w:val="009E5800"/>
    <w:rsid w:val="009F080F"/>
    <w:rsid w:val="009F0F00"/>
    <w:rsid w:val="009F0FDA"/>
    <w:rsid w:val="009F143A"/>
    <w:rsid w:val="009F3285"/>
    <w:rsid w:val="009F3B4C"/>
    <w:rsid w:val="009F426E"/>
    <w:rsid w:val="00A0281A"/>
    <w:rsid w:val="00A03784"/>
    <w:rsid w:val="00A051DF"/>
    <w:rsid w:val="00A0553D"/>
    <w:rsid w:val="00A11D90"/>
    <w:rsid w:val="00A12D0B"/>
    <w:rsid w:val="00A13238"/>
    <w:rsid w:val="00A20F4D"/>
    <w:rsid w:val="00A233B6"/>
    <w:rsid w:val="00A239D6"/>
    <w:rsid w:val="00A264BB"/>
    <w:rsid w:val="00A30852"/>
    <w:rsid w:val="00A31105"/>
    <w:rsid w:val="00A314C5"/>
    <w:rsid w:val="00A31A40"/>
    <w:rsid w:val="00A31C6A"/>
    <w:rsid w:val="00A34C84"/>
    <w:rsid w:val="00A35C89"/>
    <w:rsid w:val="00A436BC"/>
    <w:rsid w:val="00A4502C"/>
    <w:rsid w:val="00A4581D"/>
    <w:rsid w:val="00A6252B"/>
    <w:rsid w:val="00A65B21"/>
    <w:rsid w:val="00A67256"/>
    <w:rsid w:val="00A678F3"/>
    <w:rsid w:val="00A72D4B"/>
    <w:rsid w:val="00A736A2"/>
    <w:rsid w:val="00A76219"/>
    <w:rsid w:val="00A773A6"/>
    <w:rsid w:val="00A807D2"/>
    <w:rsid w:val="00A807EA"/>
    <w:rsid w:val="00A81023"/>
    <w:rsid w:val="00A83D94"/>
    <w:rsid w:val="00A90717"/>
    <w:rsid w:val="00A956E7"/>
    <w:rsid w:val="00A9603D"/>
    <w:rsid w:val="00AA2C2C"/>
    <w:rsid w:val="00AA2CE8"/>
    <w:rsid w:val="00AA3215"/>
    <w:rsid w:val="00AA3373"/>
    <w:rsid w:val="00AA47E4"/>
    <w:rsid w:val="00AA565A"/>
    <w:rsid w:val="00AB015A"/>
    <w:rsid w:val="00AB128C"/>
    <w:rsid w:val="00AB3EC0"/>
    <w:rsid w:val="00AB58FE"/>
    <w:rsid w:val="00AB5F60"/>
    <w:rsid w:val="00AC3BDB"/>
    <w:rsid w:val="00AC5ECE"/>
    <w:rsid w:val="00AC6244"/>
    <w:rsid w:val="00AD123E"/>
    <w:rsid w:val="00AD32B8"/>
    <w:rsid w:val="00AD55C4"/>
    <w:rsid w:val="00AD5681"/>
    <w:rsid w:val="00AD6689"/>
    <w:rsid w:val="00AD742F"/>
    <w:rsid w:val="00AD7B07"/>
    <w:rsid w:val="00AE01C0"/>
    <w:rsid w:val="00AE3856"/>
    <w:rsid w:val="00AE4CD6"/>
    <w:rsid w:val="00AE7FC3"/>
    <w:rsid w:val="00AF1364"/>
    <w:rsid w:val="00AF4636"/>
    <w:rsid w:val="00AF6E01"/>
    <w:rsid w:val="00AF74FF"/>
    <w:rsid w:val="00AF7631"/>
    <w:rsid w:val="00B01AA4"/>
    <w:rsid w:val="00B04672"/>
    <w:rsid w:val="00B04CBB"/>
    <w:rsid w:val="00B05175"/>
    <w:rsid w:val="00B06664"/>
    <w:rsid w:val="00B0682A"/>
    <w:rsid w:val="00B10B2B"/>
    <w:rsid w:val="00B11113"/>
    <w:rsid w:val="00B11AFB"/>
    <w:rsid w:val="00B1324D"/>
    <w:rsid w:val="00B132BC"/>
    <w:rsid w:val="00B13570"/>
    <w:rsid w:val="00B16427"/>
    <w:rsid w:val="00B1766B"/>
    <w:rsid w:val="00B2050F"/>
    <w:rsid w:val="00B216DB"/>
    <w:rsid w:val="00B221BD"/>
    <w:rsid w:val="00B23452"/>
    <w:rsid w:val="00B24C59"/>
    <w:rsid w:val="00B24C92"/>
    <w:rsid w:val="00B24D3D"/>
    <w:rsid w:val="00B260D4"/>
    <w:rsid w:val="00B2777F"/>
    <w:rsid w:val="00B421FA"/>
    <w:rsid w:val="00B4342D"/>
    <w:rsid w:val="00B43996"/>
    <w:rsid w:val="00B46A65"/>
    <w:rsid w:val="00B477C9"/>
    <w:rsid w:val="00B51911"/>
    <w:rsid w:val="00B55502"/>
    <w:rsid w:val="00B55702"/>
    <w:rsid w:val="00B60B00"/>
    <w:rsid w:val="00B64211"/>
    <w:rsid w:val="00B6424F"/>
    <w:rsid w:val="00B65A1D"/>
    <w:rsid w:val="00B67230"/>
    <w:rsid w:val="00B77CB8"/>
    <w:rsid w:val="00B839E7"/>
    <w:rsid w:val="00B84A91"/>
    <w:rsid w:val="00B86EB3"/>
    <w:rsid w:val="00B904E4"/>
    <w:rsid w:val="00B92CCD"/>
    <w:rsid w:val="00B95FE9"/>
    <w:rsid w:val="00BA38A9"/>
    <w:rsid w:val="00BA49B7"/>
    <w:rsid w:val="00BA768A"/>
    <w:rsid w:val="00BB00E1"/>
    <w:rsid w:val="00BB2B53"/>
    <w:rsid w:val="00BB3287"/>
    <w:rsid w:val="00BC0754"/>
    <w:rsid w:val="00BC1502"/>
    <w:rsid w:val="00BC1BC2"/>
    <w:rsid w:val="00BC5CBC"/>
    <w:rsid w:val="00BC5D26"/>
    <w:rsid w:val="00BC6438"/>
    <w:rsid w:val="00BC67E8"/>
    <w:rsid w:val="00BD06C7"/>
    <w:rsid w:val="00BD0B5F"/>
    <w:rsid w:val="00BD147B"/>
    <w:rsid w:val="00BD39F9"/>
    <w:rsid w:val="00BD667F"/>
    <w:rsid w:val="00BD7A7E"/>
    <w:rsid w:val="00BD7B8E"/>
    <w:rsid w:val="00BE21F8"/>
    <w:rsid w:val="00BE2EA2"/>
    <w:rsid w:val="00BE3FDD"/>
    <w:rsid w:val="00BE41B3"/>
    <w:rsid w:val="00BF078B"/>
    <w:rsid w:val="00BF0ECA"/>
    <w:rsid w:val="00BF641D"/>
    <w:rsid w:val="00C000B0"/>
    <w:rsid w:val="00C06AA1"/>
    <w:rsid w:val="00C06BAF"/>
    <w:rsid w:val="00C151F9"/>
    <w:rsid w:val="00C159A6"/>
    <w:rsid w:val="00C16DE9"/>
    <w:rsid w:val="00C20446"/>
    <w:rsid w:val="00C221DF"/>
    <w:rsid w:val="00C22648"/>
    <w:rsid w:val="00C302E9"/>
    <w:rsid w:val="00C305B1"/>
    <w:rsid w:val="00C31C33"/>
    <w:rsid w:val="00C32A57"/>
    <w:rsid w:val="00C34547"/>
    <w:rsid w:val="00C41A08"/>
    <w:rsid w:val="00C43DCC"/>
    <w:rsid w:val="00C47D94"/>
    <w:rsid w:val="00C53635"/>
    <w:rsid w:val="00C560D7"/>
    <w:rsid w:val="00C57112"/>
    <w:rsid w:val="00C572DE"/>
    <w:rsid w:val="00C61B49"/>
    <w:rsid w:val="00C65754"/>
    <w:rsid w:val="00C660D3"/>
    <w:rsid w:val="00C665F9"/>
    <w:rsid w:val="00C72A08"/>
    <w:rsid w:val="00C73C2B"/>
    <w:rsid w:val="00C752F0"/>
    <w:rsid w:val="00C762D6"/>
    <w:rsid w:val="00C805A3"/>
    <w:rsid w:val="00C80BB1"/>
    <w:rsid w:val="00C80E64"/>
    <w:rsid w:val="00C8161F"/>
    <w:rsid w:val="00C81D2D"/>
    <w:rsid w:val="00C8269D"/>
    <w:rsid w:val="00C844E2"/>
    <w:rsid w:val="00C92EE1"/>
    <w:rsid w:val="00CA032C"/>
    <w:rsid w:val="00CA124C"/>
    <w:rsid w:val="00CA1E4B"/>
    <w:rsid w:val="00CA22D2"/>
    <w:rsid w:val="00CA3EAC"/>
    <w:rsid w:val="00CA4839"/>
    <w:rsid w:val="00CA4F15"/>
    <w:rsid w:val="00CA7FE3"/>
    <w:rsid w:val="00CB3578"/>
    <w:rsid w:val="00CB5414"/>
    <w:rsid w:val="00CB6C4C"/>
    <w:rsid w:val="00CC0D87"/>
    <w:rsid w:val="00CC1A63"/>
    <w:rsid w:val="00CC3D86"/>
    <w:rsid w:val="00CC517C"/>
    <w:rsid w:val="00CD0752"/>
    <w:rsid w:val="00CD16CE"/>
    <w:rsid w:val="00CD1B4E"/>
    <w:rsid w:val="00CD209A"/>
    <w:rsid w:val="00CD4C48"/>
    <w:rsid w:val="00CD5AA8"/>
    <w:rsid w:val="00CD5C83"/>
    <w:rsid w:val="00CE02FE"/>
    <w:rsid w:val="00CE3404"/>
    <w:rsid w:val="00CE4B08"/>
    <w:rsid w:val="00CE5A7E"/>
    <w:rsid w:val="00CE643D"/>
    <w:rsid w:val="00CF08C5"/>
    <w:rsid w:val="00CF090C"/>
    <w:rsid w:val="00CF216A"/>
    <w:rsid w:val="00CF2571"/>
    <w:rsid w:val="00CF588A"/>
    <w:rsid w:val="00CF5ED7"/>
    <w:rsid w:val="00D00DFE"/>
    <w:rsid w:val="00D03982"/>
    <w:rsid w:val="00D068A5"/>
    <w:rsid w:val="00D10F53"/>
    <w:rsid w:val="00D11F24"/>
    <w:rsid w:val="00D12948"/>
    <w:rsid w:val="00D13CF5"/>
    <w:rsid w:val="00D151D6"/>
    <w:rsid w:val="00D15E1F"/>
    <w:rsid w:val="00D15E70"/>
    <w:rsid w:val="00D16FA8"/>
    <w:rsid w:val="00D2014C"/>
    <w:rsid w:val="00D2071E"/>
    <w:rsid w:val="00D21452"/>
    <w:rsid w:val="00D219A4"/>
    <w:rsid w:val="00D226CF"/>
    <w:rsid w:val="00D2291A"/>
    <w:rsid w:val="00D2454B"/>
    <w:rsid w:val="00D24949"/>
    <w:rsid w:val="00D27689"/>
    <w:rsid w:val="00D278A2"/>
    <w:rsid w:val="00D321D9"/>
    <w:rsid w:val="00D32429"/>
    <w:rsid w:val="00D34404"/>
    <w:rsid w:val="00D3626F"/>
    <w:rsid w:val="00D407BC"/>
    <w:rsid w:val="00D40EE7"/>
    <w:rsid w:val="00D4141B"/>
    <w:rsid w:val="00D4302D"/>
    <w:rsid w:val="00D43DE7"/>
    <w:rsid w:val="00D441AD"/>
    <w:rsid w:val="00D45F25"/>
    <w:rsid w:val="00D46569"/>
    <w:rsid w:val="00D47BAE"/>
    <w:rsid w:val="00D525B8"/>
    <w:rsid w:val="00D542D4"/>
    <w:rsid w:val="00D5502A"/>
    <w:rsid w:val="00D56514"/>
    <w:rsid w:val="00D56E5D"/>
    <w:rsid w:val="00D57A57"/>
    <w:rsid w:val="00D57E19"/>
    <w:rsid w:val="00D60254"/>
    <w:rsid w:val="00D617B6"/>
    <w:rsid w:val="00D61857"/>
    <w:rsid w:val="00D63025"/>
    <w:rsid w:val="00D63141"/>
    <w:rsid w:val="00D639C5"/>
    <w:rsid w:val="00D64B72"/>
    <w:rsid w:val="00D650E8"/>
    <w:rsid w:val="00D75DBE"/>
    <w:rsid w:val="00D7649A"/>
    <w:rsid w:val="00D7725F"/>
    <w:rsid w:val="00D818A4"/>
    <w:rsid w:val="00D81DD9"/>
    <w:rsid w:val="00D826B4"/>
    <w:rsid w:val="00D83F4E"/>
    <w:rsid w:val="00D840EE"/>
    <w:rsid w:val="00D85E74"/>
    <w:rsid w:val="00D87B51"/>
    <w:rsid w:val="00D91CBE"/>
    <w:rsid w:val="00D92A93"/>
    <w:rsid w:val="00D931E1"/>
    <w:rsid w:val="00DA00DB"/>
    <w:rsid w:val="00DA3820"/>
    <w:rsid w:val="00DA7DBA"/>
    <w:rsid w:val="00DB2CBD"/>
    <w:rsid w:val="00DB33FB"/>
    <w:rsid w:val="00DB6D5D"/>
    <w:rsid w:val="00DB7199"/>
    <w:rsid w:val="00DC64BE"/>
    <w:rsid w:val="00DD10B9"/>
    <w:rsid w:val="00DD57ED"/>
    <w:rsid w:val="00DD6F72"/>
    <w:rsid w:val="00DD738E"/>
    <w:rsid w:val="00DE0BAE"/>
    <w:rsid w:val="00DE15A6"/>
    <w:rsid w:val="00DE2039"/>
    <w:rsid w:val="00DE3F13"/>
    <w:rsid w:val="00DE54D9"/>
    <w:rsid w:val="00DF31D5"/>
    <w:rsid w:val="00DF33AD"/>
    <w:rsid w:val="00DF49CF"/>
    <w:rsid w:val="00DF5A52"/>
    <w:rsid w:val="00DF5AE2"/>
    <w:rsid w:val="00DF69BE"/>
    <w:rsid w:val="00DF7359"/>
    <w:rsid w:val="00DF74E9"/>
    <w:rsid w:val="00E01018"/>
    <w:rsid w:val="00E01935"/>
    <w:rsid w:val="00E02C06"/>
    <w:rsid w:val="00E05509"/>
    <w:rsid w:val="00E057D9"/>
    <w:rsid w:val="00E07C1A"/>
    <w:rsid w:val="00E1433D"/>
    <w:rsid w:val="00E15544"/>
    <w:rsid w:val="00E1703E"/>
    <w:rsid w:val="00E205D1"/>
    <w:rsid w:val="00E21CB3"/>
    <w:rsid w:val="00E23A92"/>
    <w:rsid w:val="00E23C1A"/>
    <w:rsid w:val="00E266C3"/>
    <w:rsid w:val="00E3048A"/>
    <w:rsid w:val="00E31F93"/>
    <w:rsid w:val="00E33D05"/>
    <w:rsid w:val="00E35D7B"/>
    <w:rsid w:val="00E40513"/>
    <w:rsid w:val="00E4317A"/>
    <w:rsid w:val="00E51831"/>
    <w:rsid w:val="00E531DC"/>
    <w:rsid w:val="00E55F56"/>
    <w:rsid w:val="00E56244"/>
    <w:rsid w:val="00E571CC"/>
    <w:rsid w:val="00E57B97"/>
    <w:rsid w:val="00E631B3"/>
    <w:rsid w:val="00E64F3D"/>
    <w:rsid w:val="00E70345"/>
    <w:rsid w:val="00E730BC"/>
    <w:rsid w:val="00E7588C"/>
    <w:rsid w:val="00E771C3"/>
    <w:rsid w:val="00E7759C"/>
    <w:rsid w:val="00E82640"/>
    <w:rsid w:val="00E874A7"/>
    <w:rsid w:val="00E87F35"/>
    <w:rsid w:val="00E87F67"/>
    <w:rsid w:val="00E953D0"/>
    <w:rsid w:val="00E97DF3"/>
    <w:rsid w:val="00EA30D3"/>
    <w:rsid w:val="00EA3708"/>
    <w:rsid w:val="00EA624F"/>
    <w:rsid w:val="00EB646B"/>
    <w:rsid w:val="00EC0F52"/>
    <w:rsid w:val="00EC44B3"/>
    <w:rsid w:val="00EC4736"/>
    <w:rsid w:val="00EC5D98"/>
    <w:rsid w:val="00EC6B37"/>
    <w:rsid w:val="00ED1239"/>
    <w:rsid w:val="00ED2D93"/>
    <w:rsid w:val="00ED2E60"/>
    <w:rsid w:val="00ED3F25"/>
    <w:rsid w:val="00ED6ACB"/>
    <w:rsid w:val="00ED6AEB"/>
    <w:rsid w:val="00ED6C4A"/>
    <w:rsid w:val="00ED6E04"/>
    <w:rsid w:val="00ED7668"/>
    <w:rsid w:val="00EE43FE"/>
    <w:rsid w:val="00EE491D"/>
    <w:rsid w:val="00EE6452"/>
    <w:rsid w:val="00EF1DBD"/>
    <w:rsid w:val="00EF21C9"/>
    <w:rsid w:val="00EF2493"/>
    <w:rsid w:val="00EF53C7"/>
    <w:rsid w:val="00F01ED4"/>
    <w:rsid w:val="00F03812"/>
    <w:rsid w:val="00F03A47"/>
    <w:rsid w:val="00F0479B"/>
    <w:rsid w:val="00F07ADA"/>
    <w:rsid w:val="00F104F1"/>
    <w:rsid w:val="00F13618"/>
    <w:rsid w:val="00F13A6C"/>
    <w:rsid w:val="00F13FCC"/>
    <w:rsid w:val="00F179D2"/>
    <w:rsid w:val="00F201D3"/>
    <w:rsid w:val="00F21FCB"/>
    <w:rsid w:val="00F22AEA"/>
    <w:rsid w:val="00F27403"/>
    <w:rsid w:val="00F27BE4"/>
    <w:rsid w:val="00F31466"/>
    <w:rsid w:val="00F33108"/>
    <w:rsid w:val="00F334C2"/>
    <w:rsid w:val="00F33A20"/>
    <w:rsid w:val="00F33DD7"/>
    <w:rsid w:val="00F34263"/>
    <w:rsid w:val="00F35B7F"/>
    <w:rsid w:val="00F37E08"/>
    <w:rsid w:val="00F43821"/>
    <w:rsid w:val="00F474F5"/>
    <w:rsid w:val="00F53272"/>
    <w:rsid w:val="00F564B2"/>
    <w:rsid w:val="00F63F83"/>
    <w:rsid w:val="00F65E89"/>
    <w:rsid w:val="00F6633C"/>
    <w:rsid w:val="00F721A3"/>
    <w:rsid w:val="00F74F0B"/>
    <w:rsid w:val="00F77284"/>
    <w:rsid w:val="00F82711"/>
    <w:rsid w:val="00F84EEA"/>
    <w:rsid w:val="00F85581"/>
    <w:rsid w:val="00F8599D"/>
    <w:rsid w:val="00F859CE"/>
    <w:rsid w:val="00F85B36"/>
    <w:rsid w:val="00F90C75"/>
    <w:rsid w:val="00F91648"/>
    <w:rsid w:val="00F965D1"/>
    <w:rsid w:val="00FA0E28"/>
    <w:rsid w:val="00FA3DDE"/>
    <w:rsid w:val="00FA45F9"/>
    <w:rsid w:val="00FA6FA1"/>
    <w:rsid w:val="00FA76C8"/>
    <w:rsid w:val="00FC6088"/>
    <w:rsid w:val="00FC6526"/>
    <w:rsid w:val="00FC70EB"/>
    <w:rsid w:val="00FC785E"/>
    <w:rsid w:val="00FD4846"/>
    <w:rsid w:val="00FE01D9"/>
    <w:rsid w:val="00FE1CA2"/>
    <w:rsid w:val="00FE21CC"/>
    <w:rsid w:val="00FE30BC"/>
    <w:rsid w:val="00FE3B4D"/>
    <w:rsid w:val="00FE3BCE"/>
    <w:rsid w:val="00FE5D3B"/>
    <w:rsid w:val="00FE76E2"/>
    <w:rsid w:val="00FF0F56"/>
    <w:rsid w:val="00FF1FB0"/>
    <w:rsid w:val="00FF68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707BCE"/>
  <w15:docId w15:val="{DB9164B9-3A20-4358-9960-8F7BA366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11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9C438F"/>
    <w:pPr>
      <w:spacing w:before="100" w:beforeAutospacing="1" w:after="100" w:afterAutospacing="1"/>
      <w:outlineLvl w:val="2"/>
    </w:pPr>
    <w:rPr>
      <w:rFonts w:eastAsia="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E01"/>
    <w:rPr>
      <w:color w:val="0563C1" w:themeColor="hyperlink"/>
      <w:u w:val="single"/>
    </w:rPr>
  </w:style>
  <w:style w:type="paragraph" w:styleId="ListParagraph">
    <w:name w:val="List Paragraph"/>
    <w:basedOn w:val="Normal"/>
    <w:uiPriority w:val="34"/>
    <w:qFormat/>
    <w:rsid w:val="00102197"/>
    <w:pPr>
      <w:ind w:left="720"/>
      <w:contextualSpacing/>
    </w:pPr>
  </w:style>
  <w:style w:type="character" w:customStyle="1" w:styleId="hps">
    <w:name w:val="hps"/>
    <w:basedOn w:val="DefaultParagraphFont"/>
    <w:rsid w:val="00D40EE7"/>
  </w:style>
  <w:style w:type="character" w:customStyle="1" w:styleId="atn">
    <w:name w:val="atn"/>
    <w:basedOn w:val="DefaultParagraphFont"/>
    <w:rsid w:val="00D40EE7"/>
  </w:style>
  <w:style w:type="paragraph" w:styleId="Header">
    <w:name w:val="header"/>
    <w:basedOn w:val="Normal"/>
    <w:link w:val="HeaderChar"/>
    <w:uiPriority w:val="99"/>
    <w:unhideWhenUsed/>
    <w:rsid w:val="001907A7"/>
    <w:pPr>
      <w:tabs>
        <w:tab w:val="center" w:pos="4153"/>
        <w:tab w:val="right" w:pos="8306"/>
      </w:tabs>
    </w:pPr>
  </w:style>
  <w:style w:type="character" w:customStyle="1" w:styleId="HeaderChar">
    <w:name w:val="Header Char"/>
    <w:basedOn w:val="DefaultParagraphFont"/>
    <w:link w:val="Header"/>
    <w:uiPriority w:val="99"/>
    <w:rsid w:val="001907A7"/>
  </w:style>
  <w:style w:type="paragraph" w:styleId="Footer">
    <w:name w:val="footer"/>
    <w:basedOn w:val="Normal"/>
    <w:link w:val="FooterChar"/>
    <w:uiPriority w:val="99"/>
    <w:unhideWhenUsed/>
    <w:rsid w:val="001907A7"/>
    <w:pPr>
      <w:tabs>
        <w:tab w:val="center" w:pos="4153"/>
        <w:tab w:val="right" w:pos="8306"/>
      </w:tabs>
    </w:pPr>
  </w:style>
  <w:style w:type="character" w:customStyle="1" w:styleId="FooterChar">
    <w:name w:val="Footer Char"/>
    <w:basedOn w:val="DefaultParagraphFont"/>
    <w:link w:val="Footer"/>
    <w:uiPriority w:val="99"/>
    <w:rsid w:val="001907A7"/>
  </w:style>
  <w:style w:type="table" w:styleId="TableGrid">
    <w:name w:val="Table Grid"/>
    <w:basedOn w:val="TableNormal"/>
    <w:uiPriority w:val="39"/>
    <w:rsid w:val="001C4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2 Char,Footnote Text Char1 Char Char,Footnote Text Char2 Char Char Char,Footnote Text Char1 Char Char Char Char,Footnote Text Char2 Char Char Char Char Char,Footnote Text Char1 Char,Footnote,Fußnote,ft,Footnote Text Char1"/>
    <w:basedOn w:val="Normal"/>
    <w:link w:val="FootnoteTextChar"/>
    <w:uiPriority w:val="99"/>
    <w:unhideWhenUsed/>
    <w:qFormat/>
    <w:rsid w:val="00B77CB8"/>
    <w:rPr>
      <w:sz w:val="20"/>
      <w:szCs w:val="20"/>
    </w:rPr>
  </w:style>
  <w:style w:type="character" w:customStyle="1" w:styleId="FootnoteTextChar">
    <w:name w:val="Footnote Text Char"/>
    <w:aliases w:val="Footnote Text Char2 Char Char,Footnote Text Char1 Char Char Char,Footnote Text Char2 Char Char Char Char,Footnote Text Char1 Char Char Char Char Char,Footnote Text Char2 Char Char Char Char Char Char,Footnote Text Char1 Char Char1"/>
    <w:basedOn w:val="DefaultParagraphFont"/>
    <w:link w:val="FootnoteText"/>
    <w:uiPriority w:val="99"/>
    <w:rsid w:val="00B77CB8"/>
    <w:rPr>
      <w:sz w:val="20"/>
      <w:szCs w:val="20"/>
    </w:rPr>
  </w:style>
  <w:style w:type="character" w:styleId="FootnoteReference">
    <w:name w:val="footnote reference"/>
    <w:aliases w:val="stylish,number,SUPERS,Footnote Reference Number,Footnote symbol,Footnotes refss,Footnote Reference Superscript,BVI fnr,Footnote symboFußnotenzeichen,Footnote sign,E FNZ,-E Fußnotenzeichen,Footnote#,Times 10 Point,Exposant 3 Point,Ref"/>
    <w:basedOn w:val="DefaultParagraphFont"/>
    <w:uiPriority w:val="99"/>
    <w:unhideWhenUsed/>
    <w:qFormat/>
    <w:rsid w:val="00B77CB8"/>
    <w:rPr>
      <w:vertAlign w:val="superscript"/>
    </w:rPr>
  </w:style>
  <w:style w:type="character" w:customStyle="1" w:styleId="Heading3Char">
    <w:name w:val="Heading 3 Char"/>
    <w:basedOn w:val="DefaultParagraphFont"/>
    <w:link w:val="Heading3"/>
    <w:uiPriority w:val="9"/>
    <w:rsid w:val="009C438F"/>
    <w:rPr>
      <w:rFonts w:eastAsia="Times New Roman" w:cs="Times New Roman"/>
      <w:b/>
      <w:bCs/>
      <w:sz w:val="27"/>
      <w:szCs w:val="27"/>
      <w:lang w:val="en-US"/>
    </w:rPr>
  </w:style>
  <w:style w:type="paragraph" w:styleId="BalloonText">
    <w:name w:val="Balloon Text"/>
    <w:basedOn w:val="Normal"/>
    <w:link w:val="BalloonTextChar"/>
    <w:uiPriority w:val="99"/>
    <w:semiHidden/>
    <w:unhideWhenUsed/>
    <w:rsid w:val="006A1A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20"/>
    <w:rPr>
      <w:rFonts w:ascii="Segoe UI" w:hAnsi="Segoe UI" w:cs="Segoe UI"/>
      <w:sz w:val="18"/>
      <w:szCs w:val="18"/>
    </w:rPr>
  </w:style>
  <w:style w:type="character" w:customStyle="1" w:styleId="xdtextbox1">
    <w:name w:val="xdtextbox1"/>
    <w:basedOn w:val="DefaultParagraphFont"/>
    <w:rsid w:val="00FA0E28"/>
    <w:rPr>
      <w:color w:val="auto"/>
      <w:bdr w:val="single" w:sz="8" w:space="1" w:color="DCDCDC" w:frame="1"/>
      <w:shd w:val="clear" w:color="auto" w:fill="FFFFFF"/>
    </w:rPr>
  </w:style>
  <w:style w:type="character" w:customStyle="1" w:styleId="Heading1Char">
    <w:name w:val="Heading 1 Char"/>
    <w:basedOn w:val="DefaultParagraphFont"/>
    <w:link w:val="Heading1"/>
    <w:uiPriority w:val="9"/>
    <w:rsid w:val="00B11113"/>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D57A57"/>
    <w:rPr>
      <w:b/>
      <w:bCs/>
    </w:rPr>
  </w:style>
  <w:style w:type="paragraph" w:styleId="NormalWeb">
    <w:name w:val="Normal (Web)"/>
    <w:basedOn w:val="Normal"/>
    <w:uiPriority w:val="99"/>
    <w:semiHidden/>
    <w:unhideWhenUsed/>
    <w:rsid w:val="00D57A57"/>
    <w:pPr>
      <w:spacing w:after="135" w:line="270" w:lineRule="atLeast"/>
    </w:pPr>
    <w:rPr>
      <w:rFonts w:ascii="Helvetica" w:eastAsia="Times New Roman" w:hAnsi="Helvetica" w:cs="Helvetica"/>
      <w:sz w:val="20"/>
      <w:szCs w:val="20"/>
      <w:lang w:eastAsia="lv-LV"/>
    </w:rPr>
  </w:style>
  <w:style w:type="table" w:styleId="ListTable1Light-Accent1">
    <w:name w:val="List Table 1 Light Accent 1"/>
    <w:basedOn w:val="TableNormal"/>
    <w:uiPriority w:val="46"/>
    <w:rsid w:val="00D57A5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D57A57"/>
    <w:rPr>
      <w:color w:val="954F72" w:themeColor="followedHyperlink"/>
      <w:u w:val="single"/>
    </w:rPr>
  </w:style>
  <w:style w:type="character" w:styleId="Emphasis">
    <w:name w:val="Emphasis"/>
    <w:basedOn w:val="DefaultParagraphFont"/>
    <w:uiPriority w:val="20"/>
    <w:qFormat/>
    <w:rsid w:val="00FA45F9"/>
    <w:rPr>
      <w:i/>
      <w:iCs/>
    </w:rPr>
  </w:style>
  <w:style w:type="paragraph" w:customStyle="1" w:styleId="teksts">
    <w:name w:val="teksts"/>
    <w:rsid w:val="002239E0"/>
    <w:pPr>
      <w:spacing w:after="40"/>
      <w:jc w:val="both"/>
    </w:pPr>
    <w:rPr>
      <w:rFonts w:ascii="Garamond" w:eastAsia="Times New Roman" w:hAnsi="Garamond" w:cs="Times New Roman"/>
      <w:kern w:val="24"/>
      <w:szCs w:val="20"/>
    </w:rPr>
  </w:style>
  <w:style w:type="character" w:customStyle="1" w:styleId="longtext">
    <w:name w:val="long_text"/>
    <w:basedOn w:val="DefaultParagraphFont"/>
    <w:rsid w:val="002239E0"/>
  </w:style>
  <w:style w:type="table" w:styleId="GridTable3-Accent1">
    <w:name w:val="Grid Table 3 Accent 1"/>
    <w:basedOn w:val="TableNormal"/>
    <w:uiPriority w:val="48"/>
    <w:rsid w:val="00210F5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styleId="CommentReference">
    <w:name w:val="annotation reference"/>
    <w:basedOn w:val="DefaultParagraphFont"/>
    <w:uiPriority w:val="99"/>
    <w:semiHidden/>
    <w:unhideWhenUsed/>
    <w:rsid w:val="00101D4E"/>
    <w:rPr>
      <w:sz w:val="16"/>
      <w:szCs w:val="16"/>
    </w:rPr>
  </w:style>
  <w:style w:type="paragraph" w:styleId="CommentText">
    <w:name w:val="annotation text"/>
    <w:basedOn w:val="Normal"/>
    <w:link w:val="CommentTextChar"/>
    <w:uiPriority w:val="99"/>
    <w:semiHidden/>
    <w:unhideWhenUsed/>
    <w:rsid w:val="00101D4E"/>
    <w:rPr>
      <w:sz w:val="20"/>
      <w:szCs w:val="20"/>
    </w:rPr>
  </w:style>
  <w:style w:type="character" w:customStyle="1" w:styleId="CommentTextChar">
    <w:name w:val="Comment Text Char"/>
    <w:basedOn w:val="DefaultParagraphFont"/>
    <w:link w:val="CommentText"/>
    <w:uiPriority w:val="99"/>
    <w:semiHidden/>
    <w:rsid w:val="00101D4E"/>
    <w:rPr>
      <w:sz w:val="20"/>
      <w:szCs w:val="20"/>
    </w:rPr>
  </w:style>
  <w:style w:type="paragraph" w:styleId="CommentSubject">
    <w:name w:val="annotation subject"/>
    <w:basedOn w:val="CommentText"/>
    <w:next w:val="CommentText"/>
    <w:link w:val="CommentSubjectChar"/>
    <w:uiPriority w:val="99"/>
    <w:semiHidden/>
    <w:unhideWhenUsed/>
    <w:rsid w:val="00101D4E"/>
    <w:rPr>
      <w:b/>
      <w:bCs/>
    </w:rPr>
  </w:style>
  <w:style w:type="character" w:customStyle="1" w:styleId="CommentSubjectChar">
    <w:name w:val="Comment Subject Char"/>
    <w:basedOn w:val="CommentTextChar"/>
    <w:link w:val="CommentSubject"/>
    <w:uiPriority w:val="99"/>
    <w:semiHidden/>
    <w:rsid w:val="00101D4E"/>
    <w:rPr>
      <w:b/>
      <w:bCs/>
      <w:sz w:val="20"/>
      <w:szCs w:val="20"/>
    </w:rPr>
  </w:style>
  <w:style w:type="table" w:styleId="GridTable7Colorful-Accent5">
    <w:name w:val="Grid Table 7 Colorful Accent 5"/>
    <w:basedOn w:val="TableNormal"/>
    <w:uiPriority w:val="52"/>
    <w:rsid w:val="00931C0B"/>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2-Accent1">
    <w:name w:val="List Table 2 Accent 1"/>
    <w:basedOn w:val="TableNormal"/>
    <w:uiPriority w:val="47"/>
    <w:rsid w:val="00931C0B"/>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7Colorful-Accent51">
    <w:name w:val="List Table 7 Colorful - Accent 51"/>
    <w:basedOn w:val="TableNormal"/>
    <w:uiPriority w:val="52"/>
    <w:rsid w:val="00DC64BE"/>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64BE"/>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B234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7Colorful-Accent1">
    <w:name w:val="List Table 7 Colorful Accent 1"/>
    <w:basedOn w:val="TableNormal"/>
    <w:uiPriority w:val="52"/>
    <w:rsid w:val="00630DCC"/>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692AE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5737">
      <w:bodyDiv w:val="1"/>
      <w:marLeft w:val="0"/>
      <w:marRight w:val="0"/>
      <w:marTop w:val="0"/>
      <w:marBottom w:val="0"/>
      <w:divBdr>
        <w:top w:val="none" w:sz="0" w:space="0" w:color="auto"/>
        <w:left w:val="none" w:sz="0" w:space="0" w:color="auto"/>
        <w:bottom w:val="none" w:sz="0" w:space="0" w:color="auto"/>
        <w:right w:val="none" w:sz="0" w:space="0" w:color="auto"/>
      </w:divBdr>
      <w:divsChild>
        <w:div w:id="1500734471">
          <w:marLeft w:val="0"/>
          <w:marRight w:val="0"/>
          <w:marTop w:val="0"/>
          <w:marBottom w:val="0"/>
          <w:divBdr>
            <w:top w:val="none" w:sz="0" w:space="0" w:color="auto"/>
            <w:left w:val="none" w:sz="0" w:space="0" w:color="auto"/>
            <w:bottom w:val="none" w:sz="0" w:space="0" w:color="auto"/>
            <w:right w:val="none" w:sz="0" w:space="0" w:color="auto"/>
          </w:divBdr>
          <w:divsChild>
            <w:div w:id="9591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7049">
      <w:bodyDiv w:val="1"/>
      <w:marLeft w:val="0"/>
      <w:marRight w:val="0"/>
      <w:marTop w:val="0"/>
      <w:marBottom w:val="0"/>
      <w:divBdr>
        <w:top w:val="none" w:sz="0" w:space="0" w:color="auto"/>
        <w:left w:val="none" w:sz="0" w:space="0" w:color="auto"/>
        <w:bottom w:val="none" w:sz="0" w:space="0" w:color="auto"/>
        <w:right w:val="none" w:sz="0" w:space="0" w:color="auto"/>
      </w:divBdr>
    </w:div>
    <w:div w:id="776487224">
      <w:bodyDiv w:val="1"/>
      <w:marLeft w:val="0"/>
      <w:marRight w:val="0"/>
      <w:marTop w:val="0"/>
      <w:marBottom w:val="0"/>
      <w:divBdr>
        <w:top w:val="none" w:sz="0" w:space="0" w:color="auto"/>
        <w:left w:val="none" w:sz="0" w:space="0" w:color="auto"/>
        <w:bottom w:val="none" w:sz="0" w:space="0" w:color="auto"/>
        <w:right w:val="none" w:sz="0" w:space="0" w:color="auto"/>
      </w:divBdr>
    </w:div>
    <w:div w:id="798718363">
      <w:bodyDiv w:val="1"/>
      <w:marLeft w:val="0"/>
      <w:marRight w:val="0"/>
      <w:marTop w:val="0"/>
      <w:marBottom w:val="0"/>
      <w:divBdr>
        <w:top w:val="none" w:sz="0" w:space="0" w:color="auto"/>
        <w:left w:val="none" w:sz="0" w:space="0" w:color="auto"/>
        <w:bottom w:val="none" w:sz="0" w:space="0" w:color="auto"/>
        <w:right w:val="none" w:sz="0" w:space="0" w:color="auto"/>
      </w:divBdr>
      <w:divsChild>
        <w:div w:id="752897254">
          <w:marLeft w:val="0"/>
          <w:marRight w:val="0"/>
          <w:marTop w:val="0"/>
          <w:marBottom w:val="0"/>
          <w:divBdr>
            <w:top w:val="none" w:sz="0" w:space="0" w:color="auto"/>
            <w:left w:val="none" w:sz="0" w:space="0" w:color="auto"/>
            <w:bottom w:val="none" w:sz="0" w:space="0" w:color="auto"/>
            <w:right w:val="none" w:sz="0" w:space="0" w:color="auto"/>
          </w:divBdr>
          <w:divsChild>
            <w:div w:id="1214388654">
              <w:marLeft w:val="-300"/>
              <w:marRight w:val="0"/>
              <w:marTop w:val="0"/>
              <w:marBottom w:val="270"/>
              <w:divBdr>
                <w:top w:val="none" w:sz="0" w:space="0" w:color="auto"/>
                <w:left w:val="none" w:sz="0" w:space="0" w:color="auto"/>
                <w:bottom w:val="none" w:sz="0" w:space="0" w:color="auto"/>
                <w:right w:val="none" w:sz="0" w:space="0" w:color="auto"/>
              </w:divBdr>
              <w:divsChild>
                <w:div w:id="1214197949">
                  <w:marLeft w:val="0"/>
                  <w:marRight w:val="0"/>
                  <w:marTop w:val="0"/>
                  <w:marBottom w:val="0"/>
                  <w:divBdr>
                    <w:top w:val="none" w:sz="0" w:space="0" w:color="auto"/>
                    <w:left w:val="none" w:sz="0" w:space="0" w:color="auto"/>
                    <w:bottom w:val="none" w:sz="0" w:space="0" w:color="auto"/>
                    <w:right w:val="none" w:sz="0" w:space="0" w:color="auto"/>
                  </w:divBdr>
                  <w:divsChild>
                    <w:div w:id="9641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652776">
      <w:bodyDiv w:val="1"/>
      <w:marLeft w:val="0"/>
      <w:marRight w:val="0"/>
      <w:marTop w:val="0"/>
      <w:marBottom w:val="0"/>
      <w:divBdr>
        <w:top w:val="none" w:sz="0" w:space="0" w:color="auto"/>
        <w:left w:val="none" w:sz="0" w:space="0" w:color="auto"/>
        <w:bottom w:val="none" w:sz="0" w:space="0" w:color="auto"/>
        <w:right w:val="none" w:sz="0" w:space="0" w:color="auto"/>
      </w:divBdr>
    </w:div>
    <w:div w:id="932132913">
      <w:bodyDiv w:val="1"/>
      <w:marLeft w:val="0"/>
      <w:marRight w:val="0"/>
      <w:marTop w:val="0"/>
      <w:marBottom w:val="0"/>
      <w:divBdr>
        <w:top w:val="none" w:sz="0" w:space="0" w:color="auto"/>
        <w:left w:val="none" w:sz="0" w:space="0" w:color="auto"/>
        <w:bottom w:val="none" w:sz="0" w:space="0" w:color="auto"/>
        <w:right w:val="none" w:sz="0" w:space="0" w:color="auto"/>
      </w:divBdr>
      <w:divsChild>
        <w:div w:id="2135362622">
          <w:marLeft w:val="0"/>
          <w:marRight w:val="0"/>
          <w:marTop w:val="0"/>
          <w:marBottom w:val="0"/>
          <w:divBdr>
            <w:top w:val="none" w:sz="0" w:space="0" w:color="auto"/>
            <w:left w:val="none" w:sz="0" w:space="0" w:color="auto"/>
            <w:bottom w:val="none" w:sz="0" w:space="0" w:color="auto"/>
            <w:right w:val="none" w:sz="0" w:space="0" w:color="auto"/>
          </w:divBdr>
          <w:divsChild>
            <w:div w:id="435293218">
              <w:marLeft w:val="-300"/>
              <w:marRight w:val="0"/>
              <w:marTop w:val="0"/>
              <w:marBottom w:val="270"/>
              <w:divBdr>
                <w:top w:val="none" w:sz="0" w:space="0" w:color="auto"/>
                <w:left w:val="none" w:sz="0" w:space="0" w:color="auto"/>
                <w:bottom w:val="none" w:sz="0" w:space="0" w:color="auto"/>
                <w:right w:val="none" w:sz="0" w:space="0" w:color="auto"/>
              </w:divBdr>
              <w:divsChild>
                <w:div w:id="1649673704">
                  <w:marLeft w:val="0"/>
                  <w:marRight w:val="0"/>
                  <w:marTop w:val="0"/>
                  <w:marBottom w:val="0"/>
                  <w:divBdr>
                    <w:top w:val="none" w:sz="0" w:space="0" w:color="auto"/>
                    <w:left w:val="none" w:sz="0" w:space="0" w:color="auto"/>
                    <w:bottom w:val="none" w:sz="0" w:space="0" w:color="auto"/>
                    <w:right w:val="none" w:sz="0" w:space="0" w:color="auto"/>
                  </w:divBdr>
                  <w:divsChild>
                    <w:div w:id="9283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2123">
      <w:bodyDiv w:val="1"/>
      <w:marLeft w:val="0"/>
      <w:marRight w:val="0"/>
      <w:marTop w:val="0"/>
      <w:marBottom w:val="0"/>
      <w:divBdr>
        <w:top w:val="none" w:sz="0" w:space="0" w:color="auto"/>
        <w:left w:val="none" w:sz="0" w:space="0" w:color="auto"/>
        <w:bottom w:val="none" w:sz="0" w:space="0" w:color="auto"/>
        <w:right w:val="none" w:sz="0" w:space="0" w:color="auto"/>
      </w:divBdr>
    </w:div>
    <w:div w:id="1191607450">
      <w:bodyDiv w:val="1"/>
      <w:marLeft w:val="0"/>
      <w:marRight w:val="0"/>
      <w:marTop w:val="0"/>
      <w:marBottom w:val="0"/>
      <w:divBdr>
        <w:top w:val="none" w:sz="0" w:space="0" w:color="auto"/>
        <w:left w:val="none" w:sz="0" w:space="0" w:color="auto"/>
        <w:bottom w:val="none" w:sz="0" w:space="0" w:color="auto"/>
        <w:right w:val="none" w:sz="0" w:space="0" w:color="auto"/>
      </w:divBdr>
      <w:divsChild>
        <w:div w:id="1128160481">
          <w:marLeft w:val="0"/>
          <w:marRight w:val="0"/>
          <w:marTop w:val="0"/>
          <w:marBottom w:val="0"/>
          <w:divBdr>
            <w:top w:val="none" w:sz="0" w:space="0" w:color="auto"/>
            <w:left w:val="none" w:sz="0" w:space="0" w:color="auto"/>
            <w:bottom w:val="none" w:sz="0" w:space="0" w:color="auto"/>
            <w:right w:val="none" w:sz="0" w:space="0" w:color="auto"/>
          </w:divBdr>
          <w:divsChild>
            <w:div w:id="866679064">
              <w:marLeft w:val="-300"/>
              <w:marRight w:val="0"/>
              <w:marTop w:val="0"/>
              <w:marBottom w:val="270"/>
              <w:divBdr>
                <w:top w:val="none" w:sz="0" w:space="0" w:color="auto"/>
                <w:left w:val="none" w:sz="0" w:space="0" w:color="auto"/>
                <w:bottom w:val="none" w:sz="0" w:space="0" w:color="auto"/>
                <w:right w:val="none" w:sz="0" w:space="0" w:color="auto"/>
              </w:divBdr>
              <w:divsChild>
                <w:div w:id="943460615">
                  <w:marLeft w:val="0"/>
                  <w:marRight w:val="0"/>
                  <w:marTop w:val="0"/>
                  <w:marBottom w:val="0"/>
                  <w:divBdr>
                    <w:top w:val="none" w:sz="0" w:space="0" w:color="auto"/>
                    <w:left w:val="none" w:sz="0" w:space="0" w:color="auto"/>
                    <w:bottom w:val="none" w:sz="0" w:space="0" w:color="auto"/>
                    <w:right w:val="none" w:sz="0" w:space="0" w:color="auto"/>
                  </w:divBdr>
                  <w:divsChild>
                    <w:div w:id="5726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20132">
      <w:bodyDiv w:val="1"/>
      <w:marLeft w:val="0"/>
      <w:marRight w:val="0"/>
      <w:marTop w:val="0"/>
      <w:marBottom w:val="0"/>
      <w:divBdr>
        <w:top w:val="none" w:sz="0" w:space="0" w:color="auto"/>
        <w:left w:val="none" w:sz="0" w:space="0" w:color="auto"/>
        <w:bottom w:val="none" w:sz="0" w:space="0" w:color="auto"/>
        <w:right w:val="none" w:sz="0" w:space="0" w:color="auto"/>
      </w:divBdr>
    </w:div>
    <w:div w:id="1281255928">
      <w:bodyDiv w:val="1"/>
      <w:marLeft w:val="0"/>
      <w:marRight w:val="0"/>
      <w:marTop w:val="0"/>
      <w:marBottom w:val="0"/>
      <w:divBdr>
        <w:top w:val="none" w:sz="0" w:space="0" w:color="auto"/>
        <w:left w:val="none" w:sz="0" w:space="0" w:color="auto"/>
        <w:bottom w:val="none" w:sz="0" w:space="0" w:color="auto"/>
        <w:right w:val="none" w:sz="0" w:space="0" w:color="auto"/>
      </w:divBdr>
      <w:divsChild>
        <w:div w:id="85422333">
          <w:marLeft w:val="0"/>
          <w:marRight w:val="0"/>
          <w:marTop w:val="0"/>
          <w:marBottom w:val="0"/>
          <w:divBdr>
            <w:top w:val="none" w:sz="0" w:space="0" w:color="auto"/>
            <w:left w:val="none" w:sz="0" w:space="0" w:color="auto"/>
            <w:bottom w:val="none" w:sz="0" w:space="0" w:color="auto"/>
            <w:right w:val="none" w:sz="0" w:space="0" w:color="auto"/>
          </w:divBdr>
          <w:divsChild>
            <w:div w:id="1528907988">
              <w:marLeft w:val="-300"/>
              <w:marRight w:val="0"/>
              <w:marTop w:val="0"/>
              <w:marBottom w:val="270"/>
              <w:divBdr>
                <w:top w:val="none" w:sz="0" w:space="0" w:color="auto"/>
                <w:left w:val="none" w:sz="0" w:space="0" w:color="auto"/>
                <w:bottom w:val="none" w:sz="0" w:space="0" w:color="auto"/>
                <w:right w:val="none" w:sz="0" w:space="0" w:color="auto"/>
              </w:divBdr>
              <w:divsChild>
                <w:div w:id="897479530">
                  <w:marLeft w:val="0"/>
                  <w:marRight w:val="0"/>
                  <w:marTop w:val="0"/>
                  <w:marBottom w:val="0"/>
                  <w:divBdr>
                    <w:top w:val="none" w:sz="0" w:space="0" w:color="auto"/>
                    <w:left w:val="none" w:sz="0" w:space="0" w:color="auto"/>
                    <w:bottom w:val="none" w:sz="0" w:space="0" w:color="auto"/>
                    <w:right w:val="none" w:sz="0" w:space="0" w:color="auto"/>
                  </w:divBdr>
                  <w:divsChild>
                    <w:div w:id="9918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200663">
      <w:bodyDiv w:val="1"/>
      <w:marLeft w:val="0"/>
      <w:marRight w:val="0"/>
      <w:marTop w:val="0"/>
      <w:marBottom w:val="0"/>
      <w:divBdr>
        <w:top w:val="none" w:sz="0" w:space="0" w:color="auto"/>
        <w:left w:val="none" w:sz="0" w:space="0" w:color="auto"/>
        <w:bottom w:val="none" w:sz="0" w:space="0" w:color="auto"/>
        <w:right w:val="none" w:sz="0" w:space="0" w:color="auto"/>
      </w:divBdr>
    </w:div>
    <w:div w:id="1579942346">
      <w:bodyDiv w:val="1"/>
      <w:marLeft w:val="0"/>
      <w:marRight w:val="0"/>
      <w:marTop w:val="0"/>
      <w:marBottom w:val="0"/>
      <w:divBdr>
        <w:top w:val="none" w:sz="0" w:space="0" w:color="auto"/>
        <w:left w:val="none" w:sz="0" w:space="0" w:color="auto"/>
        <w:bottom w:val="none" w:sz="0" w:space="0" w:color="auto"/>
        <w:right w:val="none" w:sz="0" w:space="0" w:color="auto"/>
      </w:divBdr>
      <w:divsChild>
        <w:div w:id="621616219">
          <w:marLeft w:val="0"/>
          <w:marRight w:val="0"/>
          <w:marTop w:val="0"/>
          <w:marBottom w:val="0"/>
          <w:divBdr>
            <w:top w:val="none" w:sz="0" w:space="0" w:color="auto"/>
            <w:left w:val="none" w:sz="0" w:space="0" w:color="auto"/>
            <w:bottom w:val="none" w:sz="0" w:space="0" w:color="auto"/>
            <w:right w:val="none" w:sz="0" w:space="0" w:color="auto"/>
          </w:divBdr>
          <w:divsChild>
            <w:div w:id="1673676819">
              <w:marLeft w:val="-300"/>
              <w:marRight w:val="0"/>
              <w:marTop w:val="0"/>
              <w:marBottom w:val="270"/>
              <w:divBdr>
                <w:top w:val="none" w:sz="0" w:space="0" w:color="auto"/>
                <w:left w:val="none" w:sz="0" w:space="0" w:color="auto"/>
                <w:bottom w:val="none" w:sz="0" w:space="0" w:color="auto"/>
                <w:right w:val="none" w:sz="0" w:space="0" w:color="auto"/>
              </w:divBdr>
              <w:divsChild>
                <w:div w:id="711736387">
                  <w:marLeft w:val="0"/>
                  <w:marRight w:val="0"/>
                  <w:marTop w:val="0"/>
                  <w:marBottom w:val="0"/>
                  <w:divBdr>
                    <w:top w:val="none" w:sz="0" w:space="0" w:color="auto"/>
                    <w:left w:val="none" w:sz="0" w:space="0" w:color="auto"/>
                    <w:bottom w:val="none" w:sz="0" w:space="0" w:color="auto"/>
                    <w:right w:val="none" w:sz="0" w:space="0" w:color="auto"/>
                  </w:divBdr>
                  <w:divsChild>
                    <w:div w:id="3448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05969">
      <w:bodyDiv w:val="1"/>
      <w:marLeft w:val="0"/>
      <w:marRight w:val="0"/>
      <w:marTop w:val="0"/>
      <w:marBottom w:val="0"/>
      <w:divBdr>
        <w:top w:val="none" w:sz="0" w:space="0" w:color="auto"/>
        <w:left w:val="none" w:sz="0" w:space="0" w:color="auto"/>
        <w:bottom w:val="none" w:sz="0" w:space="0" w:color="auto"/>
        <w:right w:val="none" w:sz="0" w:space="0" w:color="auto"/>
      </w:divBdr>
    </w:div>
    <w:div w:id="1743524777">
      <w:bodyDiv w:val="1"/>
      <w:marLeft w:val="0"/>
      <w:marRight w:val="0"/>
      <w:marTop w:val="0"/>
      <w:marBottom w:val="0"/>
      <w:divBdr>
        <w:top w:val="none" w:sz="0" w:space="0" w:color="auto"/>
        <w:left w:val="none" w:sz="0" w:space="0" w:color="auto"/>
        <w:bottom w:val="none" w:sz="0" w:space="0" w:color="auto"/>
        <w:right w:val="none" w:sz="0" w:space="0" w:color="auto"/>
      </w:divBdr>
    </w:div>
    <w:div w:id="1983853061">
      <w:bodyDiv w:val="1"/>
      <w:marLeft w:val="0"/>
      <w:marRight w:val="0"/>
      <w:marTop w:val="0"/>
      <w:marBottom w:val="0"/>
      <w:divBdr>
        <w:top w:val="none" w:sz="0" w:space="0" w:color="auto"/>
        <w:left w:val="none" w:sz="0" w:space="0" w:color="auto"/>
        <w:bottom w:val="none" w:sz="0" w:space="0" w:color="auto"/>
        <w:right w:val="none" w:sz="0" w:space="0" w:color="auto"/>
      </w:divBdr>
    </w:div>
    <w:div w:id="206001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364ECB7A-A7B9-4660-8BDD-0683C5F4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4925</Words>
  <Characters>2808</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Informatīvais ziņojums „Par Eiropas Stabilitātes mehānisma darbību 2017.gadā”</vt:lpstr>
    </vt:vector>
  </TitlesOfParts>
  <Company>Finanšu ministrija</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Eiropas Stabilitātes mehānisma darbību 2017.gadā”</dc:title>
  <dc:subject>Informatīvais ziņojums</dc:subject>
  <dc:creator>anna.deksne@fm.gov.lv</dc:creator>
  <cp:keywords/>
  <dc:description>Deksne, 67083823
anna.deksne@fm.gov.lv</dc:description>
  <cp:lastModifiedBy>Anna Deksne</cp:lastModifiedBy>
  <cp:revision>8</cp:revision>
  <cp:lastPrinted>2019-08-08T07:49:00Z</cp:lastPrinted>
  <dcterms:created xsi:type="dcterms:W3CDTF">2020-08-24T14:03:00Z</dcterms:created>
  <dcterms:modified xsi:type="dcterms:W3CDTF">2020-08-31T08:26:00Z</dcterms:modified>
</cp:coreProperties>
</file>