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343C" w14:textId="7C4A859B" w:rsidR="009B0844" w:rsidRPr="00D5279C" w:rsidRDefault="009B0844" w:rsidP="009B0844">
      <w:pPr>
        <w:jc w:val="center"/>
        <w:rPr>
          <w:rFonts w:eastAsia="Times New Roman" w:cs="Times New Roman"/>
          <w:b/>
          <w:sz w:val="28"/>
          <w:szCs w:val="28"/>
          <w:lang w:eastAsia="lv-LV"/>
        </w:rPr>
      </w:pPr>
      <w:bookmarkStart w:id="0" w:name="_Hlk38609492"/>
      <w:r w:rsidRPr="00D5279C">
        <w:rPr>
          <w:rFonts w:eastAsia="Times New Roman" w:cs="Times New Roman"/>
          <w:b/>
          <w:sz w:val="28"/>
          <w:szCs w:val="28"/>
          <w:lang w:eastAsia="lv-LV"/>
        </w:rPr>
        <w:t>Ministru kabineta noteikumu projekt</w:t>
      </w:r>
      <w:r w:rsidR="00CA07DE" w:rsidRPr="00D5279C">
        <w:rPr>
          <w:rFonts w:eastAsia="Times New Roman" w:cs="Times New Roman"/>
          <w:b/>
          <w:sz w:val="28"/>
          <w:szCs w:val="28"/>
          <w:lang w:eastAsia="lv-LV"/>
        </w:rPr>
        <w:t>a</w:t>
      </w:r>
      <w:r w:rsidR="002A563D" w:rsidRPr="00D5279C">
        <w:rPr>
          <w:rFonts w:eastAsia="Times New Roman" w:cs="Times New Roman"/>
          <w:b/>
          <w:sz w:val="28"/>
          <w:szCs w:val="28"/>
          <w:lang w:eastAsia="lv-LV"/>
        </w:rPr>
        <w:t xml:space="preserve"> </w:t>
      </w:r>
    </w:p>
    <w:p w14:paraId="32C9C6CD" w14:textId="08A8F681" w:rsidR="009B0844" w:rsidRPr="00D5279C" w:rsidRDefault="00CA07DE" w:rsidP="00DA609F">
      <w:pPr>
        <w:pStyle w:val="NoSpacing"/>
        <w:jc w:val="center"/>
        <w:rPr>
          <w:rFonts w:ascii="Times New Roman" w:hAnsi="Times New Roman"/>
          <w:b/>
          <w:sz w:val="28"/>
          <w:szCs w:val="28"/>
          <w:lang w:val="lv-LV"/>
        </w:rPr>
      </w:pPr>
      <w:r w:rsidRPr="00D5279C">
        <w:rPr>
          <w:rFonts w:ascii="Times New Roman" w:hAnsi="Times New Roman"/>
          <w:b/>
          <w:sz w:val="28"/>
          <w:szCs w:val="28"/>
          <w:lang w:val="lv-LV"/>
        </w:rPr>
        <w:t>“Grozījumi Ministru kabineta 2018. gada 27. novembra noteikumos Nr. 747 “Noteikumi par valsts pamatizglītības standartu un pamatizglītības programmu paraugiem”</w:t>
      </w:r>
      <w:r w:rsidR="00DA609F" w:rsidRPr="00D5279C">
        <w:rPr>
          <w:rFonts w:ascii="Times New Roman" w:hAnsi="Times New Roman"/>
          <w:b/>
          <w:sz w:val="28"/>
          <w:szCs w:val="28"/>
          <w:lang w:val="lv-LV"/>
        </w:rPr>
        <w:t xml:space="preserve"> </w:t>
      </w:r>
      <w:r w:rsidR="009B0844" w:rsidRPr="00D5279C">
        <w:rPr>
          <w:rFonts w:ascii="Times New Roman" w:eastAsia="Times New Roman" w:hAnsi="Times New Roman"/>
          <w:b/>
          <w:sz w:val="28"/>
          <w:szCs w:val="24"/>
          <w:lang w:val="lv-LV" w:eastAsia="lv-LV"/>
        </w:rPr>
        <w:t>sākotnējās ietekmes novērtējuma ziņojums (anotācija)</w:t>
      </w:r>
    </w:p>
    <w:bookmarkEnd w:id="0"/>
    <w:p w14:paraId="01DC7A9F" w14:textId="77777777" w:rsidR="00874215" w:rsidRPr="00D5279C" w:rsidRDefault="00874215" w:rsidP="00D1637E">
      <w:pPr>
        <w:jc w:val="center"/>
        <w:outlineLvl w:val="0"/>
        <w:rPr>
          <w:rFonts w:eastAsia="Times New Roman" w:cs="Times New Roman"/>
          <w:b/>
          <w:sz w:val="28"/>
          <w:szCs w:val="24"/>
          <w:lang w:eastAsia="lv-LV"/>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184CD7" w:rsidRPr="00D5279C" w14:paraId="2578EC00" w14:textId="77777777" w:rsidTr="00C67A84">
        <w:trPr>
          <w:cantSplit/>
        </w:trPr>
        <w:tc>
          <w:tcPr>
            <w:tcW w:w="8806" w:type="dxa"/>
            <w:gridSpan w:val="2"/>
            <w:tcBorders>
              <w:top w:val="single" w:sz="4" w:space="0" w:color="000000" w:themeColor="text1"/>
            </w:tcBorders>
            <w:shd w:val="clear" w:color="auto" w:fill="FFFFFF"/>
            <w:vAlign w:val="center"/>
            <w:hideMark/>
          </w:tcPr>
          <w:p w14:paraId="0258D891" w14:textId="77777777" w:rsidR="00874215" w:rsidRPr="00D5279C" w:rsidRDefault="00874215" w:rsidP="00874215">
            <w:pPr>
              <w:jc w:val="center"/>
              <w:rPr>
                <w:rFonts w:eastAsia="Times New Roman" w:cs="Times New Roman"/>
                <w:b/>
                <w:iCs/>
                <w:szCs w:val="24"/>
              </w:rPr>
            </w:pPr>
            <w:r w:rsidRPr="00D5279C">
              <w:rPr>
                <w:rFonts w:eastAsia="Times New Roman" w:cs="Times New Roman"/>
                <w:b/>
                <w:iCs/>
                <w:szCs w:val="24"/>
              </w:rPr>
              <w:t>Tiesību akta projekta anotācijas kopsavilkums</w:t>
            </w:r>
          </w:p>
        </w:tc>
      </w:tr>
      <w:tr w:rsidR="00184CD7" w:rsidRPr="00D5279C" w14:paraId="4449AE04" w14:textId="77777777" w:rsidTr="00F85295">
        <w:trPr>
          <w:cantSplit/>
        </w:trPr>
        <w:tc>
          <w:tcPr>
            <w:tcW w:w="3119" w:type="dxa"/>
            <w:shd w:val="clear" w:color="auto" w:fill="FFFFFF"/>
            <w:hideMark/>
          </w:tcPr>
          <w:p w14:paraId="2B0284C1" w14:textId="77777777" w:rsidR="00874215" w:rsidRPr="00D5279C" w:rsidRDefault="00874215" w:rsidP="00874215">
            <w:pPr>
              <w:rPr>
                <w:rFonts w:eastAsia="Times New Roman" w:cs="Times New Roman"/>
                <w:iCs/>
                <w:szCs w:val="24"/>
              </w:rPr>
            </w:pPr>
            <w:r w:rsidRPr="00D5279C">
              <w:rPr>
                <w:rFonts w:eastAsia="Times New Roman" w:cs="Times New Roman"/>
                <w:iCs/>
                <w:szCs w:val="24"/>
              </w:rPr>
              <w:t>Mērķis, risinājums un projekta spēkā stāšanās laiks</w:t>
            </w:r>
          </w:p>
        </w:tc>
        <w:tc>
          <w:tcPr>
            <w:tcW w:w="5687" w:type="dxa"/>
            <w:shd w:val="clear" w:color="auto" w:fill="FFFFFF"/>
            <w:hideMark/>
          </w:tcPr>
          <w:p w14:paraId="1AAB9A43" w14:textId="77777777" w:rsidR="00874215" w:rsidRPr="00D5279C" w:rsidRDefault="00D1637E" w:rsidP="00D1637E">
            <w:pPr>
              <w:jc w:val="both"/>
              <w:rPr>
                <w:rFonts w:cs="Times New Roman"/>
                <w:szCs w:val="24"/>
              </w:rPr>
            </w:pPr>
            <w:r w:rsidRPr="00D5279C">
              <w:rPr>
                <w:rFonts w:eastAsia="Times New Roman" w:cs="Times New Roman"/>
                <w:iCs/>
                <w:szCs w:val="24"/>
              </w:rPr>
              <w:t xml:space="preserve">Atbilstoši </w:t>
            </w:r>
            <w:r w:rsidRPr="00D5279C">
              <w:rPr>
                <w:rFonts w:cs="Times New Roman"/>
                <w:szCs w:val="24"/>
              </w:rPr>
              <w:t>Ministru kabineta 2009.</w:t>
            </w:r>
            <w:r w:rsidR="004D0C3B" w:rsidRPr="00D5279C">
              <w:rPr>
                <w:rFonts w:cs="Times New Roman"/>
                <w:szCs w:val="24"/>
              </w:rPr>
              <w:t> </w:t>
            </w:r>
            <w:r w:rsidRPr="00D5279C">
              <w:rPr>
                <w:rFonts w:cs="Times New Roman"/>
                <w:szCs w:val="24"/>
              </w:rPr>
              <w:t>gada 15.</w:t>
            </w:r>
            <w:r w:rsidR="004D0C3B" w:rsidRPr="00D5279C">
              <w:rPr>
                <w:rFonts w:cs="Times New Roman"/>
                <w:szCs w:val="24"/>
              </w:rPr>
              <w:t> </w:t>
            </w:r>
            <w:r w:rsidRPr="00D5279C">
              <w:rPr>
                <w:rFonts w:cs="Times New Roman"/>
                <w:szCs w:val="24"/>
              </w:rPr>
              <w:t>dec</w:t>
            </w:r>
            <w:bookmarkStart w:id="1" w:name="_GoBack"/>
            <w:bookmarkEnd w:id="1"/>
            <w:r w:rsidRPr="00D5279C">
              <w:rPr>
                <w:rFonts w:cs="Times New Roman"/>
                <w:szCs w:val="24"/>
              </w:rPr>
              <w:t>embra instrukcijas Nr.19 “Tiesību akta projekta sākotnējās ietekmes izvērtēšanas kārtība” 5.</w:t>
            </w:r>
            <w:r w:rsidRPr="00D5279C">
              <w:rPr>
                <w:rFonts w:cs="Times New Roman"/>
                <w:szCs w:val="24"/>
                <w:vertAlign w:val="superscript"/>
              </w:rPr>
              <w:t>1</w:t>
            </w:r>
            <w:r w:rsidR="004D0C3B" w:rsidRPr="00D5279C">
              <w:rPr>
                <w:rFonts w:cs="Times New Roman"/>
                <w:szCs w:val="24"/>
                <w:vertAlign w:val="superscript"/>
              </w:rPr>
              <w:t> </w:t>
            </w:r>
            <w:r w:rsidRPr="00D5279C">
              <w:rPr>
                <w:rFonts w:cs="Times New Roman"/>
                <w:szCs w:val="24"/>
              </w:rPr>
              <w:t>punktā noteiktajam</w:t>
            </w:r>
            <w:r w:rsidR="005C3B24" w:rsidRPr="00D5279C">
              <w:rPr>
                <w:rFonts w:cs="Times New Roman"/>
                <w:szCs w:val="24"/>
              </w:rPr>
              <w:t xml:space="preserve"> anotācijas kopsavilkumu </w:t>
            </w:r>
            <w:r w:rsidRPr="00D5279C">
              <w:rPr>
                <w:rFonts w:cs="Times New Roman"/>
                <w:szCs w:val="24"/>
              </w:rPr>
              <w:t>nav nepieciešams aizpildīt.</w:t>
            </w:r>
          </w:p>
        </w:tc>
      </w:tr>
    </w:tbl>
    <w:p w14:paraId="59A5B9B3" w14:textId="77777777" w:rsidR="00C67A84" w:rsidRPr="00D5279C" w:rsidRDefault="00C67A84">
      <w:pPr>
        <w:rPr>
          <w:rFonts w:cs="Times New Roman"/>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184CD7" w:rsidRPr="00D5279C" w14:paraId="23146DD1" w14:textId="77777777" w:rsidTr="00B85A55">
        <w:tc>
          <w:tcPr>
            <w:tcW w:w="8806" w:type="dxa"/>
            <w:gridSpan w:val="3"/>
            <w:shd w:val="clear" w:color="auto" w:fill="FFFFFF"/>
          </w:tcPr>
          <w:p w14:paraId="45D1F798" w14:textId="77777777" w:rsidR="00C67A84" w:rsidRPr="00D5279C" w:rsidRDefault="00265E37" w:rsidP="00265E37">
            <w:pPr>
              <w:jc w:val="center"/>
              <w:rPr>
                <w:rFonts w:eastAsia="Times New Roman" w:cs="Times New Roman"/>
                <w:b/>
                <w:bCs/>
                <w:szCs w:val="24"/>
                <w:lang w:eastAsia="lv-LV"/>
              </w:rPr>
            </w:pPr>
            <w:r w:rsidRPr="00D5279C">
              <w:rPr>
                <w:rFonts w:eastAsia="Times New Roman" w:cs="Times New Roman"/>
                <w:b/>
                <w:bCs/>
                <w:szCs w:val="24"/>
                <w:lang w:eastAsia="lv-LV"/>
              </w:rPr>
              <w:t>I Tiesību akta projekta izstrādes nepieciešamība</w:t>
            </w:r>
          </w:p>
        </w:tc>
      </w:tr>
      <w:tr w:rsidR="00184CD7" w:rsidRPr="00D5279C" w14:paraId="4BE38435" w14:textId="77777777" w:rsidTr="00F85295">
        <w:tc>
          <w:tcPr>
            <w:tcW w:w="426" w:type="dxa"/>
            <w:shd w:val="clear" w:color="auto" w:fill="FFFFFF"/>
          </w:tcPr>
          <w:p w14:paraId="61C5BE78" w14:textId="77777777" w:rsidR="00265E37" w:rsidRPr="00D5279C" w:rsidRDefault="00265E37" w:rsidP="00265E37">
            <w:pPr>
              <w:ind w:left="180" w:hanging="180"/>
              <w:jc w:val="center"/>
              <w:rPr>
                <w:rFonts w:eastAsia="Times New Roman" w:cs="Times New Roman"/>
                <w:szCs w:val="24"/>
                <w:lang w:eastAsia="lv-LV"/>
              </w:rPr>
            </w:pPr>
            <w:r w:rsidRPr="00D5279C">
              <w:rPr>
                <w:rFonts w:eastAsia="Times New Roman" w:cs="Times New Roman"/>
                <w:szCs w:val="24"/>
                <w:lang w:eastAsia="lv-LV"/>
              </w:rPr>
              <w:t>1.</w:t>
            </w:r>
          </w:p>
        </w:tc>
        <w:tc>
          <w:tcPr>
            <w:tcW w:w="2693" w:type="dxa"/>
            <w:shd w:val="clear" w:color="auto" w:fill="FFFFFF"/>
          </w:tcPr>
          <w:p w14:paraId="7A28EFBC" w14:textId="77777777" w:rsidR="00265E37" w:rsidRPr="00D5279C" w:rsidRDefault="00265E37" w:rsidP="00265E37">
            <w:pPr>
              <w:ind w:firstLine="17"/>
              <w:rPr>
                <w:rFonts w:eastAsia="Times New Roman" w:cs="Times New Roman"/>
                <w:szCs w:val="24"/>
                <w:lang w:eastAsia="lv-LV"/>
              </w:rPr>
            </w:pPr>
            <w:r w:rsidRPr="00D5279C">
              <w:rPr>
                <w:rFonts w:eastAsia="Times New Roman" w:cs="Times New Roman"/>
                <w:szCs w:val="24"/>
                <w:lang w:eastAsia="lv-LV"/>
              </w:rPr>
              <w:t>Pamatojums</w:t>
            </w:r>
          </w:p>
        </w:tc>
        <w:tc>
          <w:tcPr>
            <w:tcW w:w="5687" w:type="dxa"/>
            <w:shd w:val="clear" w:color="auto" w:fill="FFFFFF"/>
          </w:tcPr>
          <w:p w14:paraId="32B10397" w14:textId="4CDA7644" w:rsidR="00265E37" w:rsidRPr="00D5279C" w:rsidRDefault="005C3B24" w:rsidP="00CA07DE">
            <w:pPr>
              <w:pStyle w:val="Heading3"/>
              <w:shd w:val="clear" w:color="auto" w:fill="FFFFFF"/>
              <w:jc w:val="both"/>
              <w:rPr>
                <w:b w:val="0"/>
                <w:bCs w:val="0"/>
                <w:sz w:val="24"/>
                <w:szCs w:val="24"/>
              </w:rPr>
            </w:pPr>
            <w:r w:rsidRPr="00D5279C">
              <w:rPr>
                <w:b w:val="0"/>
                <w:bCs w:val="0"/>
                <w:sz w:val="24"/>
                <w:szCs w:val="24"/>
              </w:rPr>
              <w:t xml:space="preserve">Ministru kabineta noteikumu projekts </w:t>
            </w:r>
            <w:r w:rsidR="00CA07DE" w:rsidRPr="00D5279C">
              <w:rPr>
                <w:b w:val="0"/>
                <w:bCs w:val="0"/>
                <w:sz w:val="24"/>
                <w:szCs w:val="24"/>
              </w:rPr>
              <w:t xml:space="preserve">“Grozījumi Ministru kabineta 2018. gada 27. novembra noteikumos Nr. 747 “Noteikumi par valsts pamatizglītības standartu un pamatizglītības programmu paraugiem” </w:t>
            </w:r>
            <w:r w:rsidR="00DA6E76" w:rsidRPr="00D5279C">
              <w:rPr>
                <w:b w:val="0"/>
                <w:bCs w:val="0"/>
                <w:sz w:val="24"/>
                <w:szCs w:val="24"/>
              </w:rPr>
              <w:t>(turpmāk</w:t>
            </w:r>
            <w:r w:rsidR="00CA07DE" w:rsidRPr="00D5279C">
              <w:rPr>
                <w:b w:val="0"/>
                <w:bCs w:val="0"/>
                <w:sz w:val="24"/>
                <w:szCs w:val="24"/>
              </w:rPr>
              <w:t xml:space="preserve"> </w:t>
            </w:r>
            <w:r w:rsidR="00DA6E76" w:rsidRPr="00D5279C">
              <w:rPr>
                <w:b w:val="0"/>
                <w:bCs w:val="0"/>
                <w:sz w:val="24"/>
                <w:szCs w:val="24"/>
              </w:rPr>
              <w:t>– projekt</w:t>
            </w:r>
            <w:r w:rsidR="00CA07DE" w:rsidRPr="00D5279C">
              <w:rPr>
                <w:b w:val="0"/>
                <w:bCs w:val="0"/>
                <w:sz w:val="24"/>
                <w:szCs w:val="24"/>
              </w:rPr>
              <w:t>s</w:t>
            </w:r>
            <w:r w:rsidR="00DA6E76" w:rsidRPr="00D5279C">
              <w:rPr>
                <w:b w:val="0"/>
                <w:bCs w:val="0"/>
                <w:sz w:val="24"/>
                <w:szCs w:val="24"/>
              </w:rPr>
              <w:t xml:space="preserve">) </w:t>
            </w:r>
            <w:r w:rsidR="00265E37" w:rsidRPr="00D5279C">
              <w:rPr>
                <w:b w:val="0"/>
                <w:bCs w:val="0"/>
                <w:sz w:val="24"/>
                <w:szCs w:val="24"/>
              </w:rPr>
              <w:t>izstrādāt</w:t>
            </w:r>
            <w:r w:rsidR="0021509E" w:rsidRPr="00D5279C">
              <w:rPr>
                <w:b w:val="0"/>
                <w:bCs w:val="0"/>
                <w:sz w:val="24"/>
                <w:szCs w:val="24"/>
              </w:rPr>
              <w:t>s</w:t>
            </w:r>
            <w:r w:rsidR="00265E37" w:rsidRPr="00D5279C">
              <w:rPr>
                <w:b w:val="0"/>
                <w:bCs w:val="0"/>
                <w:sz w:val="24"/>
                <w:szCs w:val="24"/>
              </w:rPr>
              <w:t>, pamatojoties uz</w:t>
            </w:r>
            <w:r w:rsidR="00CA07DE" w:rsidRPr="00D5279C">
              <w:rPr>
                <w:b w:val="0"/>
                <w:bCs w:val="0"/>
                <w:sz w:val="24"/>
                <w:szCs w:val="24"/>
              </w:rPr>
              <w:t xml:space="preserve"> Izglītības likuma 14.</w:t>
            </w:r>
            <w:r w:rsidR="007B29FC" w:rsidRPr="00D5279C">
              <w:rPr>
                <w:b w:val="0"/>
                <w:bCs w:val="0"/>
                <w:sz w:val="24"/>
                <w:szCs w:val="24"/>
              </w:rPr>
              <w:t> </w:t>
            </w:r>
            <w:r w:rsidR="00CA07DE" w:rsidRPr="00D5279C">
              <w:rPr>
                <w:b w:val="0"/>
                <w:bCs w:val="0"/>
                <w:sz w:val="24"/>
                <w:szCs w:val="24"/>
              </w:rPr>
              <w:t>panta 19.</w:t>
            </w:r>
            <w:r w:rsidR="007B29FC" w:rsidRPr="00D5279C">
              <w:rPr>
                <w:b w:val="0"/>
                <w:bCs w:val="0"/>
                <w:sz w:val="24"/>
                <w:szCs w:val="24"/>
              </w:rPr>
              <w:t> </w:t>
            </w:r>
            <w:r w:rsidR="00CA07DE" w:rsidRPr="00D5279C">
              <w:rPr>
                <w:b w:val="0"/>
                <w:bCs w:val="0"/>
                <w:sz w:val="24"/>
                <w:szCs w:val="24"/>
              </w:rPr>
              <w:t>punktu un Vispārējās izglītības likuma 4. panta 11. un 11.</w:t>
            </w:r>
            <w:r w:rsidR="00CA07DE" w:rsidRPr="00D5279C">
              <w:rPr>
                <w:b w:val="0"/>
                <w:bCs w:val="0"/>
                <w:sz w:val="24"/>
                <w:szCs w:val="24"/>
                <w:vertAlign w:val="superscript"/>
              </w:rPr>
              <w:t>1</w:t>
            </w:r>
            <w:r w:rsidR="007B29FC" w:rsidRPr="00D5279C">
              <w:rPr>
                <w:b w:val="0"/>
                <w:bCs w:val="0"/>
                <w:sz w:val="24"/>
                <w:szCs w:val="24"/>
              </w:rPr>
              <w:t> </w:t>
            </w:r>
            <w:r w:rsidR="00CA07DE" w:rsidRPr="00D5279C">
              <w:rPr>
                <w:b w:val="0"/>
                <w:bCs w:val="0"/>
                <w:sz w:val="24"/>
                <w:szCs w:val="24"/>
              </w:rPr>
              <w:t>punktu un 30.</w:t>
            </w:r>
            <w:r w:rsidR="007B29FC" w:rsidRPr="00D5279C">
              <w:rPr>
                <w:b w:val="0"/>
                <w:bCs w:val="0"/>
                <w:sz w:val="24"/>
                <w:szCs w:val="24"/>
              </w:rPr>
              <w:t> </w:t>
            </w:r>
            <w:r w:rsidR="00CA07DE" w:rsidRPr="00D5279C">
              <w:rPr>
                <w:b w:val="0"/>
                <w:bCs w:val="0"/>
                <w:sz w:val="24"/>
                <w:szCs w:val="24"/>
              </w:rPr>
              <w:t>panta septīto daļu.</w:t>
            </w:r>
          </w:p>
        </w:tc>
      </w:tr>
      <w:tr w:rsidR="00184CD7" w:rsidRPr="00D5279C" w14:paraId="35BFC78C" w14:textId="77777777" w:rsidTr="00F85295">
        <w:tc>
          <w:tcPr>
            <w:tcW w:w="426" w:type="dxa"/>
            <w:shd w:val="clear" w:color="auto" w:fill="FFFFFF"/>
          </w:tcPr>
          <w:p w14:paraId="7253C29D" w14:textId="77777777" w:rsidR="00265E37" w:rsidRPr="00D5279C" w:rsidRDefault="00265E37" w:rsidP="00265E37">
            <w:pPr>
              <w:jc w:val="center"/>
              <w:rPr>
                <w:rFonts w:eastAsia="Times New Roman" w:cs="Times New Roman"/>
                <w:szCs w:val="24"/>
                <w:lang w:eastAsia="lv-LV"/>
              </w:rPr>
            </w:pPr>
            <w:r w:rsidRPr="00D5279C">
              <w:rPr>
                <w:rFonts w:eastAsia="Times New Roman" w:cs="Times New Roman"/>
                <w:szCs w:val="24"/>
                <w:lang w:eastAsia="lv-LV"/>
              </w:rPr>
              <w:t>2.</w:t>
            </w:r>
          </w:p>
        </w:tc>
        <w:tc>
          <w:tcPr>
            <w:tcW w:w="2693" w:type="dxa"/>
            <w:shd w:val="clear" w:color="auto" w:fill="FFFFFF"/>
          </w:tcPr>
          <w:p w14:paraId="125DE751" w14:textId="77777777" w:rsidR="00265E37" w:rsidRPr="00D5279C" w:rsidRDefault="00265E37" w:rsidP="00265E37">
            <w:pPr>
              <w:tabs>
                <w:tab w:val="left" w:pos="170"/>
              </w:tabs>
              <w:ind w:firstLine="17"/>
              <w:rPr>
                <w:rFonts w:eastAsia="Times New Roman" w:cs="Times New Roman"/>
                <w:szCs w:val="24"/>
                <w:lang w:eastAsia="lv-LV"/>
              </w:rPr>
            </w:pPr>
            <w:r w:rsidRPr="00D5279C">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14:paraId="35E81AE0" w14:textId="245BDB92" w:rsidR="00033221" w:rsidRPr="00D5279C" w:rsidRDefault="00033221" w:rsidP="001C69B6">
            <w:pPr>
              <w:spacing w:before="100" w:beforeAutospacing="1" w:after="100" w:afterAutospacing="1"/>
              <w:jc w:val="both"/>
              <w:rPr>
                <w:rFonts w:eastAsia="Times New Roman" w:cs="Times New Roman"/>
                <w:szCs w:val="24"/>
                <w:lang w:eastAsia="lv-LV"/>
              </w:rPr>
            </w:pPr>
            <w:r w:rsidRPr="00D5279C">
              <w:rPr>
                <w:rFonts w:eastAsia="Times New Roman" w:cs="Times New Roman"/>
                <w:szCs w:val="24"/>
                <w:lang w:eastAsia="lv-LV"/>
              </w:rPr>
              <w:t>Šobrīd saskaņā ar Ministru kabineta 2018. gada 27. novembra noteikumiem Nr.</w:t>
            </w:r>
            <w:r w:rsidRPr="00D5279C">
              <w:rPr>
                <w:rFonts w:cs="Times New Roman"/>
                <w:szCs w:val="24"/>
                <w:lang w:eastAsia="lv-LV"/>
              </w:rPr>
              <w:t> </w:t>
            </w:r>
            <w:r w:rsidRPr="00D5279C">
              <w:rPr>
                <w:rFonts w:eastAsia="Times New Roman" w:cs="Times New Roman"/>
                <w:szCs w:val="24"/>
                <w:lang w:eastAsia="lv-LV"/>
              </w:rPr>
              <w:t xml:space="preserve">747 „Noteikumi par valsts pamatizglītības standartu un pamatizglītības programmu paraugiem” </w:t>
            </w:r>
            <w:r w:rsidRPr="00D5279C">
              <w:rPr>
                <w:rFonts w:eastAsia="Times New Roman" w:cs="Times New Roman"/>
                <w:iCs/>
                <w:szCs w:val="24"/>
                <w:lang w:eastAsia="lv-LV"/>
              </w:rPr>
              <w:t>(turpmāk – Noteikumi) ir noteikti ierobežojumi speciālās pamatizglītības programmas skolēniem ar garīgās attīstības traucējumiem un speciālās pamatizglītības programmas skolēniem ar smagiem garīgās attīstības traucējumiem vai vairākiem smagiem attīstības traucējumiem īstenošanai attiecībā uz skolēnu apvienošanu mācību priekšmetu apguvei – izglītības iestādes var apvienot ne vairāk kā divu viena izglītības posma klašu skolēnus.</w:t>
            </w:r>
          </w:p>
          <w:p w14:paraId="0645F13E" w14:textId="0223E3D5" w:rsidR="001C69B6" w:rsidRPr="00D5279C" w:rsidRDefault="00C42371" w:rsidP="001C69B6">
            <w:pPr>
              <w:spacing w:before="100" w:beforeAutospacing="1" w:after="100" w:afterAutospacing="1"/>
              <w:jc w:val="both"/>
              <w:rPr>
                <w:rFonts w:eastAsia="Times New Roman" w:cs="Times New Roman"/>
                <w:iCs/>
                <w:szCs w:val="24"/>
                <w:lang w:eastAsia="lv-LV"/>
              </w:rPr>
            </w:pPr>
            <w:r w:rsidRPr="00D5279C">
              <w:rPr>
                <w:rFonts w:eastAsia="Times New Roman" w:cs="Times New Roman"/>
                <w:iCs/>
                <w:szCs w:val="24"/>
                <w:lang w:eastAsia="lv-LV"/>
              </w:rPr>
              <w:t xml:space="preserve">Skolēni </w:t>
            </w:r>
            <w:r w:rsidR="003F26E7" w:rsidRPr="00D5279C">
              <w:rPr>
                <w:rFonts w:eastAsia="Times New Roman" w:cs="Times New Roman"/>
                <w:iCs/>
                <w:szCs w:val="24"/>
                <w:lang w:eastAsia="lv-LV"/>
              </w:rPr>
              <w:t>atšķirīga satura pamatizglītības ieguvei tiek apvienoti klasēs</w:t>
            </w:r>
            <w:r w:rsidR="00AA28B2" w:rsidRPr="00D5279C">
              <w:rPr>
                <w:rFonts w:eastAsia="Times New Roman" w:cs="Times New Roman"/>
                <w:iCs/>
                <w:szCs w:val="24"/>
                <w:lang w:eastAsia="lv-LV"/>
              </w:rPr>
              <w:t>,</w:t>
            </w:r>
            <w:r w:rsidR="003F26E7" w:rsidRPr="00D5279C">
              <w:rPr>
                <w:rFonts w:eastAsia="Times New Roman" w:cs="Times New Roman"/>
                <w:iCs/>
                <w:szCs w:val="24"/>
                <w:lang w:eastAsia="lv-LV"/>
              </w:rPr>
              <w:t xml:space="preserve"> primāri ievērojot viņu veselības stāvokli, spējas un attīstības līmeni, kā arī citus būtiskus aspekt</w:t>
            </w:r>
            <w:r w:rsidR="00A272BA" w:rsidRPr="00D5279C">
              <w:rPr>
                <w:rFonts w:eastAsia="Times New Roman" w:cs="Times New Roman"/>
                <w:iCs/>
                <w:szCs w:val="24"/>
                <w:lang w:eastAsia="lv-LV"/>
              </w:rPr>
              <w:t>us.</w:t>
            </w:r>
            <w:r w:rsidR="003F26E7" w:rsidRPr="00D5279C">
              <w:rPr>
                <w:rFonts w:eastAsia="Times New Roman" w:cs="Times New Roman"/>
                <w:iCs/>
                <w:szCs w:val="24"/>
                <w:lang w:eastAsia="lv-LV"/>
              </w:rPr>
              <w:t xml:space="preserve"> </w:t>
            </w:r>
            <w:r w:rsidR="00A272BA" w:rsidRPr="00D5279C">
              <w:rPr>
                <w:rFonts w:eastAsia="Times New Roman" w:cs="Times New Roman"/>
                <w:iCs/>
                <w:szCs w:val="24"/>
                <w:lang w:eastAsia="lv-LV"/>
              </w:rPr>
              <w:t>T</w:t>
            </w:r>
            <w:r w:rsidRPr="00D5279C">
              <w:rPr>
                <w:rFonts w:eastAsia="Times New Roman" w:cs="Times New Roman"/>
                <w:iCs/>
                <w:szCs w:val="24"/>
                <w:lang w:eastAsia="lv-LV"/>
              </w:rPr>
              <w:t xml:space="preserve">ādēļ </w:t>
            </w:r>
            <w:r w:rsidR="003F26E7" w:rsidRPr="00D5279C">
              <w:rPr>
                <w:rFonts w:eastAsia="Times New Roman" w:cs="Times New Roman"/>
                <w:iCs/>
                <w:szCs w:val="24"/>
                <w:lang w:eastAsia="lv-LV"/>
              </w:rPr>
              <w:t xml:space="preserve">praksē veidosies situācijas, kad izglītības iestādēm, nevis, lai pēc būtības nodrošinātu </w:t>
            </w:r>
            <w:r w:rsidRPr="00D5279C">
              <w:rPr>
                <w:rFonts w:eastAsia="Times New Roman" w:cs="Times New Roman"/>
                <w:iCs/>
                <w:szCs w:val="24"/>
                <w:lang w:eastAsia="lv-LV"/>
              </w:rPr>
              <w:t>skolēniem</w:t>
            </w:r>
            <w:r w:rsidR="003F26E7" w:rsidRPr="00D5279C">
              <w:rPr>
                <w:rFonts w:eastAsia="Times New Roman" w:cs="Times New Roman"/>
                <w:iCs/>
                <w:szCs w:val="24"/>
                <w:lang w:eastAsia="lv-LV"/>
              </w:rPr>
              <w:t xml:space="preserve"> viņu veselības stāvoklim, spējām un attīstības līmenim atbilstošu pamatizglītības ieguvi, bet gan, lai ievērotu </w:t>
            </w:r>
            <w:r w:rsidR="00D70B6B" w:rsidRPr="00D5279C">
              <w:rPr>
                <w:rFonts w:eastAsia="Times New Roman" w:cs="Times New Roman"/>
                <w:iCs/>
                <w:szCs w:val="24"/>
                <w:lang w:eastAsia="lv-LV"/>
              </w:rPr>
              <w:t>N</w:t>
            </w:r>
            <w:r w:rsidR="003F26E7" w:rsidRPr="00D5279C">
              <w:rPr>
                <w:rFonts w:eastAsia="Times New Roman" w:cs="Times New Roman"/>
                <w:iCs/>
                <w:szCs w:val="24"/>
                <w:lang w:eastAsia="lv-LV"/>
              </w:rPr>
              <w:t>oteikumos noteiktos ierobežojumus, būs jāpārskata līdz šim jau izveidotā</w:t>
            </w:r>
            <w:r w:rsidRPr="00D5279C">
              <w:rPr>
                <w:rFonts w:eastAsia="Times New Roman" w:cs="Times New Roman"/>
                <w:iCs/>
                <w:szCs w:val="24"/>
                <w:lang w:eastAsia="lv-LV"/>
              </w:rPr>
              <w:t>s apvienotās klases. T</w:t>
            </w:r>
            <w:r w:rsidR="003F26E7" w:rsidRPr="00D5279C">
              <w:rPr>
                <w:rFonts w:eastAsia="Times New Roman" w:cs="Times New Roman"/>
                <w:iCs/>
                <w:szCs w:val="24"/>
                <w:lang w:eastAsia="lv-LV"/>
              </w:rPr>
              <w:t xml:space="preserve">ā rezultātā ne vien </w:t>
            </w:r>
            <w:r w:rsidRPr="00D5279C">
              <w:rPr>
                <w:rFonts w:eastAsia="Times New Roman" w:cs="Times New Roman"/>
                <w:iCs/>
                <w:szCs w:val="24"/>
                <w:lang w:eastAsia="lv-LV"/>
              </w:rPr>
              <w:t>skolēn</w:t>
            </w:r>
            <w:r w:rsidR="003F26E7" w:rsidRPr="00D5279C">
              <w:rPr>
                <w:rFonts w:eastAsia="Times New Roman" w:cs="Times New Roman"/>
                <w:iCs/>
                <w:szCs w:val="24"/>
                <w:lang w:eastAsia="lv-LV"/>
              </w:rPr>
              <w:t>iem, bet arī viņu izglītošanā iesaistītajiem pedagogiem tiks mainīta ierastā mācību un darba vide, kas radīs lieku satraukumu un kopumā neveicinās sekmīgu pamatizglītības ieguvi.</w:t>
            </w:r>
            <w:r w:rsidR="00CD04E8" w:rsidRPr="00D5279C">
              <w:rPr>
                <w:rFonts w:eastAsia="Times New Roman" w:cs="Times New Roman"/>
                <w:iCs/>
                <w:szCs w:val="24"/>
                <w:lang w:eastAsia="lv-LV"/>
              </w:rPr>
              <w:t xml:space="preserve"> </w:t>
            </w:r>
            <w:r w:rsidR="003F26E7" w:rsidRPr="00D5279C">
              <w:rPr>
                <w:rFonts w:eastAsia="Times New Roman" w:cs="Times New Roman"/>
                <w:iCs/>
                <w:szCs w:val="24"/>
                <w:lang w:eastAsia="lv-LV"/>
              </w:rPr>
              <w:t xml:space="preserve">Lai novērstu izveidojušos situāciju un prioritāri nodrošinātu bērnu vislabāko interešu ievērošanu, ir nepieciešams veikt grozījumus </w:t>
            </w:r>
            <w:r w:rsidR="00D70B6B" w:rsidRPr="00D5279C">
              <w:rPr>
                <w:rFonts w:eastAsia="Times New Roman" w:cs="Times New Roman"/>
                <w:iCs/>
                <w:szCs w:val="24"/>
                <w:lang w:eastAsia="lv-LV"/>
              </w:rPr>
              <w:t>N</w:t>
            </w:r>
            <w:r w:rsidR="003F26E7" w:rsidRPr="00D5279C">
              <w:rPr>
                <w:rFonts w:eastAsia="Times New Roman" w:cs="Times New Roman"/>
                <w:iCs/>
                <w:szCs w:val="24"/>
                <w:lang w:eastAsia="lv-LV"/>
              </w:rPr>
              <w:t xml:space="preserve">oteikumu </w:t>
            </w:r>
            <w:r w:rsidR="003F26E7" w:rsidRPr="00D5279C">
              <w:rPr>
                <w:rFonts w:eastAsia="Times New Roman" w:cs="Times New Roman"/>
                <w:iCs/>
                <w:szCs w:val="24"/>
                <w:lang w:eastAsia="lv-LV"/>
              </w:rPr>
              <w:lastRenderedPageBreak/>
              <w:t>15. un 16. pielikumā, kas ļaus izglītības</w:t>
            </w:r>
            <w:r w:rsidR="00507FA1" w:rsidRPr="00D5279C">
              <w:rPr>
                <w:rFonts w:eastAsia="Times New Roman" w:cs="Times New Roman"/>
                <w:iCs/>
                <w:szCs w:val="24"/>
                <w:lang w:eastAsia="lv-LV"/>
              </w:rPr>
              <w:t xml:space="preserve"> iestādēm</w:t>
            </w:r>
            <w:r w:rsidR="003F26E7" w:rsidRPr="00D5279C">
              <w:rPr>
                <w:rFonts w:eastAsia="Times New Roman" w:cs="Times New Roman"/>
                <w:iCs/>
                <w:szCs w:val="24"/>
                <w:lang w:eastAsia="lv-LV"/>
              </w:rPr>
              <w:t xml:space="preserve"> nepieciešamības gadījumā veidot dažādu klašu apvienotās grupas un veidot apvienotās klases, lai primāri nodrošinātu </w:t>
            </w:r>
            <w:r w:rsidR="008A5657" w:rsidRPr="00D5279C">
              <w:rPr>
                <w:rFonts w:eastAsia="Times New Roman" w:cs="Times New Roman"/>
                <w:iCs/>
                <w:szCs w:val="24"/>
                <w:lang w:eastAsia="lv-LV"/>
              </w:rPr>
              <w:t>skolēnu</w:t>
            </w:r>
            <w:r w:rsidR="003F26E7" w:rsidRPr="00D5279C">
              <w:rPr>
                <w:rFonts w:eastAsia="Times New Roman" w:cs="Times New Roman"/>
                <w:iCs/>
                <w:szCs w:val="24"/>
                <w:lang w:eastAsia="lv-LV"/>
              </w:rPr>
              <w:t xml:space="preserve"> fiziskajām un garīgajām spējām, attīstības līmenim un veselības stāvoklim atbilstošāko pamatizglītības ieguvi</w:t>
            </w:r>
            <w:r w:rsidR="008A5657" w:rsidRPr="00D5279C">
              <w:rPr>
                <w:rFonts w:eastAsia="Times New Roman" w:cs="Times New Roman"/>
                <w:iCs/>
                <w:szCs w:val="24"/>
                <w:lang w:eastAsia="lv-LV"/>
              </w:rPr>
              <w:t>,  tāpat kā tas bija pirms Noteikumi stājās spēkā</w:t>
            </w:r>
            <w:r w:rsidR="003F26E7" w:rsidRPr="00D5279C">
              <w:rPr>
                <w:rFonts w:eastAsia="Times New Roman" w:cs="Times New Roman"/>
                <w:iCs/>
                <w:szCs w:val="24"/>
                <w:lang w:eastAsia="lv-LV"/>
              </w:rPr>
              <w:t xml:space="preserve">. </w:t>
            </w:r>
          </w:p>
          <w:p w14:paraId="38402205" w14:textId="037B922F" w:rsidR="00A272BA" w:rsidRPr="00D5279C" w:rsidRDefault="00A272BA" w:rsidP="00A272BA">
            <w:pPr>
              <w:spacing w:before="100" w:beforeAutospacing="1" w:after="100" w:afterAutospacing="1"/>
              <w:jc w:val="both"/>
              <w:rPr>
                <w:rFonts w:eastAsia="Times New Roman" w:cs="Times New Roman"/>
                <w:iCs/>
                <w:szCs w:val="24"/>
                <w:lang w:eastAsia="lv-LV"/>
              </w:rPr>
            </w:pPr>
            <w:r w:rsidRPr="00D5279C">
              <w:rPr>
                <w:rFonts w:eastAsia="Times New Roman" w:cs="Times New Roman"/>
                <w:iCs/>
                <w:szCs w:val="24"/>
                <w:lang w:eastAsia="lv-LV"/>
              </w:rPr>
              <w:t xml:space="preserve">Minētie grozījumi ir nepieciešami tikai </w:t>
            </w:r>
            <w:r w:rsidR="007A5286" w:rsidRPr="00D5279C">
              <w:rPr>
                <w:rFonts w:eastAsia="Times New Roman" w:cs="Times New Roman"/>
                <w:iCs/>
                <w:szCs w:val="24"/>
                <w:lang w:eastAsia="lv-LV"/>
              </w:rPr>
              <w:t>Noteikumu 15. un 16.</w:t>
            </w:r>
            <w:r w:rsidRPr="00D5279C">
              <w:rPr>
                <w:rFonts w:eastAsia="Times New Roman" w:cs="Times New Roman"/>
                <w:iCs/>
                <w:szCs w:val="24"/>
                <w:lang w:eastAsia="lv-LV"/>
              </w:rPr>
              <w:t> </w:t>
            </w:r>
            <w:r w:rsidR="007A5286" w:rsidRPr="00D5279C">
              <w:rPr>
                <w:rFonts w:eastAsia="Times New Roman" w:cs="Times New Roman"/>
                <w:iCs/>
                <w:szCs w:val="24"/>
                <w:lang w:eastAsia="lv-LV"/>
              </w:rPr>
              <w:t>pielikumā</w:t>
            </w:r>
            <w:r w:rsidRPr="00D5279C">
              <w:rPr>
                <w:rFonts w:eastAsia="Times New Roman" w:cs="Times New Roman"/>
                <w:iCs/>
                <w:szCs w:val="24"/>
                <w:lang w:eastAsia="lv-LV"/>
              </w:rPr>
              <w:t>, jo šīs izglītības programmas paredz individualizētu mācību saturu un atbalstu atbilstoši skolēnu spējām, attīstības līmenim un veselības stāvoklim, un apgūstamais mācību saturs, prasmes un mācīšanās dinamika nav tik atšķirīga dažādās skolēnu grupās un vecumposmos. Piemēram, speciālās pamatizglītības programmas skolēniem ar garīgās attīstības traucējumiem paraugs (Noteikumu 15.pielikums) paredz atsevišķu tematu atvieglotu saturu un tā integrēšanu citos mācību priekšmetos Dabaszinātņu un Tehnoloģiju mācību jomās, savukārt speciālās pamatizglītības programmas skolēniem ar smagiem garīgās attīstības traucējumiem vai vairākiem smagiem attīstības traucējumiem paraugs (Noteikumu 16.pielikums) paredz katram skolēnam individuālā izglītības programmas apguves plāna izstrādi un īstenošanu. Individuālo izglītības programmas apguves plānu izstrādes nepieciešamību šiem skolēniem paredz arī Vispārējās izglītības likuma 50. panta otrā daļa. Papildus norādāms, ka arī šādā gadījumā izglītības iestādēm būs saistošs normatīvajos aktos par kārtību, kādā izglītojamie tiek uzņemti vispārējās izglītības programmās, speciālajās izglītības iestādēs un speciālajās pirmsskolas izglītības grupās un atskaitīti no tām, kā arī pārcelti uz nākamo klasi noteiktais maksimāli vienā klasē pieļaujamais izglītojamo skaits.</w:t>
            </w:r>
          </w:p>
          <w:p w14:paraId="1012A139" w14:textId="0F65F05D" w:rsidR="007A5286" w:rsidRPr="00D5279C" w:rsidRDefault="00A272BA" w:rsidP="00A272BA">
            <w:pPr>
              <w:spacing w:before="100" w:beforeAutospacing="1" w:after="100" w:afterAutospacing="1"/>
              <w:jc w:val="both"/>
              <w:rPr>
                <w:rFonts w:eastAsia="Times New Roman" w:cs="Times New Roman"/>
                <w:iCs/>
                <w:szCs w:val="24"/>
                <w:lang w:eastAsia="lv-LV"/>
              </w:rPr>
            </w:pPr>
            <w:r w:rsidRPr="00D5279C">
              <w:rPr>
                <w:rFonts w:eastAsia="Times New Roman" w:cs="Times New Roman"/>
                <w:iCs/>
                <w:szCs w:val="24"/>
                <w:lang w:eastAsia="lv-LV"/>
              </w:rPr>
              <w:t>Vienlaikus citās pamatizglītības programmās izglītības kvalitātes nodrošināšanai, skolēnu un pedagogu interešu ievērošanai būtu saglabājams Noteikumos noteiktais ierobežojums apvienot  ne vairāk kā divu viena izglītības posma klašu skolēnus. Minētais ierobežojums ir nepieciešams, lai nepieļautu līdz šim praksē konstatētās situācijas, kad izglītības iestādes nepamatoti, tostarp finanšu resursu ekonomikas nolūkā, nenodrošinot izglītojamo intereses, ir apvienojušas vairāku klašu izglītojamos dažādos izglītības posmos, kas kopumā apgrūtinājis gan izglītības satura īstenošanu, gan tā apguvi.</w:t>
            </w:r>
          </w:p>
        </w:tc>
      </w:tr>
      <w:tr w:rsidR="00184CD7" w:rsidRPr="00D5279C" w14:paraId="5136D8F4" w14:textId="77777777" w:rsidTr="00F85295">
        <w:tc>
          <w:tcPr>
            <w:tcW w:w="426" w:type="dxa"/>
            <w:shd w:val="clear" w:color="auto" w:fill="FFFFFF"/>
          </w:tcPr>
          <w:p w14:paraId="19571669"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lastRenderedPageBreak/>
              <w:t>3.</w:t>
            </w:r>
          </w:p>
        </w:tc>
        <w:tc>
          <w:tcPr>
            <w:tcW w:w="2693" w:type="dxa"/>
            <w:shd w:val="clear" w:color="auto" w:fill="FFFFFF"/>
          </w:tcPr>
          <w:p w14:paraId="3D0377BC"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14:paraId="49154CF9" w14:textId="0AE7AD28" w:rsidR="00080E9F" w:rsidRPr="00D5279C" w:rsidRDefault="00E7346F" w:rsidP="00080E9F">
            <w:pPr>
              <w:jc w:val="both"/>
              <w:rPr>
                <w:rFonts w:eastAsia="Times New Roman" w:cs="Times New Roman"/>
                <w:szCs w:val="24"/>
                <w:lang w:eastAsia="lv-LV"/>
              </w:rPr>
            </w:pPr>
            <w:r w:rsidRPr="00D5279C">
              <w:rPr>
                <w:rFonts w:cs="Times New Roman"/>
                <w:szCs w:val="24"/>
              </w:rPr>
              <w:t>Valsts izglītības satura centrs</w:t>
            </w:r>
            <w:r w:rsidR="00046A4E" w:rsidRPr="00D5279C">
              <w:rPr>
                <w:rFonts w:cs="Times New Roman"/>
                <w:szCs w:val="24"/>
              </w:rPr>
              <w:t xml:space="preserve"> (turpmāk </w:t>
            </w:r>
            <w:r w:rsidR="00046A4E" w:rsidRPr="00D5279C">
              <w:rPr>
                <w:rFonts w:eastAsia="Times New Roman" w:cs="Times New Roman"/>
                <w:iCs/>
                <w:szCs w:val="24"/>
                <w:lang w:eastAsia="lv-LV"/>
              </w:rPr>
              <w:t>–</w:t>
            </w:r>
            <w:r w:rsidR="00046A4E" w:rsidRPr="00D5279C">
              <w:rPr>
                <w:rFonts w:cs="Times New Roman"/>
                <w:szCs w:val="24"/>
              </w:rPr>
              <w:t xml:space="preserve"> Centrs)</w:t>
            </w:r>
            <w:r w:rsidR="00CA07DE" w:rsidRPr="00D5279C">
              <w:rPr>
                <w:rFonts w:cs="Times New Roman"/>
                <w:szCs w:val="24"/>
              </w:rPr>
              <w:t>, Izglītības kvalitātes valsts dienest</w:t>
            </w:r>
            <w:r w:rsidR="00800320" w:rsidRPr="00D5279C">
              <w:rPr>
                <w:rFonts w:cs="Times New Roman"/>
                <w:szCs w:val="24"/>
              </w:rPr>
              <w:t>s</w:t>
            </w:r>
            <w:r w:rsidR="00B3497C" w:rsidRPr="00D5279C">
              <w:rPr>
                <w:rFonts w:cs="Times New Roman"/>
                <w:szCs w:val="24"/>
              </w:rPr>
              <w:t xml:space="preserve"> un Izglītības un zinātnes ministrija</w:t>
            </w:r>
            <w:r w:rsidR="00080E9F" w:rsidRPr="00D5279C">
              <w:rPr>
                <w:rFonts w:eastAsia="Times New Roman" w:cs="Times New Roman"/>
                <w:iCs/>
                <w:szCs w:val="24"/>
                <w:lang w:eastAsia="lv-LV"/>
              </w:rPr>
              <w:t>.</w:t>
            </w:r>
          </w:p>
        </w:tc>
      </w:tr>
      <w:tr w:rsidR="00184CD7" w:rsidRPr="00D5279C" w14:paraId="79C6419F" w14:textId="77777777" w:rsidTr="00F85295">
        <w:tc>
          <w:tcPr>
            <w:tcW w:w="426" w:type="dxa"/>
            <w:shd w:val="clear" w:color="auto" w:fill="FFFFFF"/>
          </w:tcPr>
          <w:p w14:paraId="402DE314" w14:textId="77777777" w:rsidR="00080E9F" w:rsidRPr="00D5279C" w:rsidRDefault="00AF4FD5" w:rsidP="00080E9F">
            <w:pPr>
              <w:jc w:val="center"/>
              <w:rPr>
                <w:rFonts w:eastAsia="Times New Roman" w:cs="Times New Roman"/>
                <w:szCs w:val="24"/>
                <w:lang w:eastAsia="lv-LV"/>
              </w:rPr>
            </w:pPr>
            <w:r w:rsidRPr="00D5279C">
              <w:rPr>
                <w:rFonts w:eastAsia="Times New Roman" w:cs="Times New Roman"/>
                <w:szCs w:val="24"/>
                <w:lang w:eastAsia="lv-LV"/>
              </w:rPr>
              <w:t>4</w:t>
            </w:r>
            <w:r w:rsidR="00080E9F" w:rsidRPr="00D5279C">
              <w:rPr>
                <w:rFonts w:eastAsia="Times New Roman" w:cs="Times New Roman"/>
                <w:szCs w:val="24"/>
                <w:lang w:eastAsia="lv-LV"/>
              </w:rPr>
              <w:t>.</w:t>
            </w:r>
          </w:p>
        </w:tc>
        <w:tc>
          <w:tcPr>
            <w:tcW w:w="2693" w:type="dxa"/>
            <w:shd w:val="clear" w:color="auto" w:fill="FFFFFF"/>
          </w:tcPr>
          <w:p w14:paraId="3B6D5952"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Cita informācija</w:t>
            </w:r>
          </w:p>
        </w:tc>
        <w:tc>
          <w:tcPr>
            <w:tcW w:w="5687" w:type="dxa"/>
            <w:shd w:val="clear" w:color="auto" w:fill="FFFFFF"/>
          </w:tcPr>
          <w:p w14:paraId="6D087D92" w14:textId="77777777" w:rsidR="00080E9F" w:rsidRPr="00D5279C" w:rsidRDefault="00080E9F" w:rsidP="00080E9F">
            <w:pPr>
              <w:jc w:val="both"/>
              <w:rPr>
                <w:rFonts w:eastAsia="Times New Roman" w:cs="Times New Roman"/>
                <w:szCs w:val="24"/>
                <w:lang w:eastAsia="lv-LV"/>
              </w:rPr>
            </w:pPr>
            <w:r w:rsidRPr="00D5279C">
              <w:rPr>
                <w:rFonts w:eastAsia="Times New Roman" w:cs="Times New Roman"/>
                <w:iCs/>
                <w:szCs w:val="24"/>
                <w:lang w:eastAsia="lv-LV"/>
              </w:rPr>
              <w:t>Nav</w:t>
            </w:r>
            <w:r w:rsidR="00B3497C" w:rsidRPr="00D5279C">
              <w:rPr>
                <w:rFonts w:eastAsia="Times New Roman" w:cs="Times New Roman"/>
                <w:iCs/>
                <w:szCs w:val="24"/>
                <w:lang w:eastAsia="lv-LV"/>
              </w:rPr>
              <w:t>.</w:t>
            </w:r>
          </w:p>
        </w:tc>
      </w:tr>
    </w:tbl>
    <w:p w14:paraId="45D06D11" w14:textId="77777777" w:rsidR="00080E9F" w:rsidRPr="00D5279C" w:rsidRDefault="00080E9F">
      <w:pPr>
        <w:rPr>
          <w:rFonts w:cs="Times New Roman"/>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184CD7" w:rsidRPr="00D5279C" w14:paraId="3EE1F75D" w14:textId="77777777" w:rsidTr="00E93215">
        <w:tc>
          <w:tcPr>
            <w:tcW w:w="8806" w:type="dxa"/>
            <w:gridSpan w:val="3"/>
            <w:shd w:val="clear" w:color="auto" w:fill="FFFFFF"/>
          </w:tcPr>
          <w:p w14:paraId="67F50C33" w14:textId="77777777" w:rsidR="00080E9F" w:rsidRPr="00D5279C" w:rsidRDefault="00080E9F" w:rsidP="00080E9F">
            <w:pPr>
              <w:jc w:val="center"/>
              <w:rPr>
                <w:rFonts w:eastAsia="Times New Roman" w:cs="Times New Roman"/>
                <w:iCs/>
                <w:szCs w:val="24"/>
                <w:lang w:eastAsia="lv-LV"/>
              </w:rPr>
            </w:pPr>
            <w:r w:rsidRPr="00D5279C">
              <w:rPr>
                <w:rFonts w:eastAsia="Times New Roman" w:cs="Times New Roman"/>
                <w:b/>
                <w:bCs/>
                <w:szCs w:val="24"/>
                <w:lang w:eastAsia="lv-LV"/>
              </w:rPr>
              <w:t>II Tiesību akta projekta ietekme uz sabiedrību, tautsaimniecības attīstību un administratīvo slogu</w:t>
            </w:r>
          </w:p>
        </w:tc>
      </w:tr>
      <w:tr w:rsidR="00184CD7" w:rsidRPr="00D5279C" w14:paraId="2D4B4AD2" w14:textId="77777777" w:rsidTr="00F85295">
        <w:tc>
          <w:tcPr>
            <w:tcW w:w="426" w:type="dxa"/>
            <w:shd w:val="clear" w:color="auto" w:fill="FFFFFF"/>
          </w:tcPr>
          <w:p w14:paraId="7DDB87C5" w14:textId="77777777" w:rsidR="00080E9F" w:rsidRPr="00D5279C" w:rsidRDefault="00080E9F" w:rsidP="00080E9F">
            <w:pPr>
              <w:ind w:left="181" w:hanging="181"/>
              <w:jc w:val="center"/>
              <w:rPr>
                <w:rFonts w:eastAsia="Times New Roman" w:cs="Times New Roman"/>
                <w:szCs w:val="24"/>
                <w:lang w:eastAsia="lv-LV"/>
              </w:rPr>
            </w:pPr>
            <w:r w:rsidRPr="00D5279C">
              <w:rPr>
                <w:rFonts w:eastAsia="Times New Roman" w:cs="Times New Roman"/>
                <w:szCs w:val="24"/>
                <w:lang w:eastAsia="lv-LV"/>
              </w:rPr>
              <w:t>1.</w:t>
            </w:r>
          </w:p>
        </w:tc>
        <w:tc>
          <w:tcPr>
            <w:tcW w:w="2693" w:type="dxa"/>
            <w:shd w:val="clear" w:color="auto" w:fill="FFFFFF"/>
          </w:tcPr>
          <w:p w14:paraId="69F47A5D" w14:textId="77777777" w:rsidR="00080E9F" w:rsidRPr="00D5279C" w:rsidRDefault="00080E9F" w:rsidP="00080E9F">
            <w:pPr>
              <w:ind w:left="17"/>
              <w:rPr>
                <w:rFonts w:eastAsia="Times New Roman" w:cs="Times New Roman"/>
                <w:szCs w:val="24"/>
                <w:lang w:eastAsia="lv-LV"/>
              </w:rPr>
            </w:pPr>
            <w:r w:rsidRPr="00D5279C">
              <w:rPr>
                <w:rFonts w:eastAsia="Times New Roman" w:cs="Times New Roman"/>
                <w:szCs w:val="24"/>
                <w:lang w:eastAsia="lv-LV"/>
              </w:rPr>
              <w:t>Sabiedrības mērķgrupas, kuras tiesiskais regulējums ietekmē vai varētu ietekmēt</w:t>
            </w:r>
          </w:p>
        </w:tc>
        <w:tc>
          <w:tcPr>
            <w:tcW w:w="5687" w:type="dxa"/>
            <w:shd w:val="clear" w:color="auto" w:fill="FFFFFF"/>
          </w:tcPr>
          <w:p w14:paraId="2578FB3E" w14:textId="3A779535" w:rsidR="00080E9F" w:rsidRPr="00D5279C" w:rsidRDefault="00800320" w:rsidP="00F72753">
            <w:pPr>
              <w:jc w:val="both"/>
              <w:rPr>
                <w:rFonts w:eastAsia="Times New Roman" w:cs="Times New Roman"/>
                <w:iCs/>
                <w:szCs w:val="24"/>
                <w:lang w:eastAsia="lv-LV"/>
              </w:rPr>
            </w:pPr>
            <w:r w:rsidRPr="00D5279C">
              <w:rPr>
                <w:rFonts w:eastAsia="Times New Roman" w:cs="Times New Roman"/>
                <w:iCs/>
                <w:szCs w:val="24"/>
                <w:lang w:eastAsia="lv-LV"/>
              </w:rPr>
              <w:t>S</w:t>
            </w:r>
            <w:r w:rsidR="00507FA1" w:rsidRPr="00D5279C">
              <w:rPr>
                <w:rFonts w:eastAsia="Times New Roman" w:cs="Times New Roman"/>
                <w:iCs/>
                <w:szCs w:val="24"/>
                <w:lang w:eastAsia="lv-LV"/>
              </w:rPr>
              <w:t xml:space="preserve">kolēni </w:t>
            </w:r>
            <w:r w:rsidRPr="00D5279C">
              <w:rPr>
                <w:rFonts w:eastAsia="Times New Roman" w:cs="Times New Roman"/>
                <w:iCs/>
                <w:szCs w:val="24"/>
                <w:lang w:eastAsia="lv-LV"/>
              </w:rPr>
              <w:t xml:space="preserve">speciālajās pamatizglītības programmās </w:t>
            </w:r>
            <w:r w:rsidR="00507FA1" w:rsidRPr="00D5279C">
              <w:rPr>
                <w:rFonts w:eastAsia="Times New Roman" w:cs="Times New Roman"/>
                <w:iCs/>
                <w:szCs w:val="24"/>
                <w:lang w:eastAsia="lv-LV"/>
              </w:rPr>
              <w:t xml:space="preserve">ar </w:t>
            </w:r>
            <w:r w:rsidRPr="00D5279C">
              <w:rPr>
                <w:rFonts w:eastAsia="Times New Roman" w:cs="Times New Roman"/>
                <w:iCs/>
                <w:szCs w:val="24"/>
                <w:lang w:eastAsia="lv-LV"/>
              </w:rPr>
              <w:t>garīgās attīstības traucējumiem  un</w:t>
            </w:r>
            <w:r w:rsidR="00507FA1" w:rsidRPr="00D5279C">
              <w:rPr>
                <w:rFonts w:eastAsia="Times New Roman" w:cs="Times New Roman"/>
                <w:iCs/>
                <w:szCs w:val="24"/>
                <w:lang w:eastAsia="lv-LV"/>
              </w:rPr>
              <w:t xml:space="preserve"> ar smagiem garīgās attīstības traucējumiem vai vairākiem smagiem attīstības traucējumiem, viņu</w:t>
            </w:r>
            <w:r w:rsidR="00CD04E8" w:rsidRPr="00D5279C">
              <w:rPr>
                <w:rFonts w:eastAsia="Times New Roman" w:cs="Times New Roman"/>
                <w:iCs/>
                <w:szCs w:val="24"/>
                <w:lang w:eastAsia="lv-LV"/>
              </w:rPr>
              <w:t xml:space="preserve"> vecāki,</w:t>
            </w:r>
            <w:r w:rsidR="00507FA1" w:rsidRPr="00D5279C">
              <w:rPr>
                <w:rFonts w:eastAsia="Times New Roman" w:cs="Times New Roman"/>
                <w:iCs/>
                <w:szCs w:val="24"/>
                <w:lang w:eastAsia="lv-LV"/>
              </w:rPr>
              <w:t xml:space="preserve"> pedagogi, izglītības iestāžu darbinieki un izglītības iestāžu dibinātāji</w:t>
            </w:r>
            <w:r w:rsidR="00CD04E8" w:rsidRPr="00D5279C">
              <w:rPr>
                <w:rFonts w:eastAsia="Times New Roman" w:cs="Times New Roman"/>
                <w:iCs/>
                <w:szCs w:val="24"/>
                <w:lang w:eastAsia="lv-LV"/>
              </w:rPr>
              <w:t>.</w:t>
            </w:r>
          </w:p>
        </w:tc>
      </w:tr>
      <w:tr w:rsidR="00184CD7" w:rsidRPr="00D5279C" w14:paraId="47DDE08F" w14:textId="77777777" w:rsidTr="00F85295">
        <w:tc>
          <w:tcPr>
            <w:tcW w:w="426" w:type="dxa"/>
            <w:shd w:val="clear" w:color="auto" w:fill="FFFFFF"/>
          </w:tcPr>
          <w:p w14:paraId="3C823733"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t>2.</w:t>
            </w:r>
          </w:p>
        </w:tc>
        <w:tc>
          <w:tcPr>
            <w:tcW w:w="2693" w:type="dxa"/>
            <w:shd w:val="clear" w:color="auto" w:fill="FFFFFF"/>
          </w:tcPr>
          <w:p w14:paraId="6A8C825B" w14:textId="77777777" w:rsidR="00080E9F" w:rsidRPr="00D5279C" w:rsidRDefault="00080E9F" w:rsidP="00080E9F">
            <w:pPr>
              <w:ind w:left="17"/>
              <w:rPr>
                <w:rFonts w:eastAsia="Times New Roman" w:cs="Times New Roman"/>
                <w:szCs w:val="24"/>
                <w:lang w:eastAsia="lv-LV"/>
              </w:rPr>
            </w:pPr>
            <w:r w:rsidRPr="00D5279C">
              <w:rPr>
                <w:rFonts w:eastAsia="Times New Roman" w:cs="Times New Roman"/>
                <w:szCs w:val="24"/>
                <w:lang w:eastAsia="lv-LV"/>
              </w:rPr>
              <w:t>Tiesiskā regulējuma ietekme uz tautsaimniecību un administratīvo slogu</w:t>
            </w:r>
          </w:p>
        </w:tc>
        <w:tc>
          <w:tcPr>
            <w:tcW w:w="5687" w:type="dxa"/>
            <w:shd w:val="clear" w:color="auto" w:fill="FFFFFF"/>
          </w:tcPr>
          <w:p w14:paraId="2B71CD4E" w14:textId="43C15C8A" w:rsidR="00080E9F" w:rsidRPr="00D5279C" w:rsidRDefault="0075480E" w:rsidP="00DA6E76">
            <w:pPr>
              <w:jc w:val="both"/>
              <w:rPr>
                <w:rFonts w:eastAsia="Times New Roman" w:cs="Times New Roman"/>
                <w:szCs w:val="24"/>
                <w:lang w:eastAsia="lv-LV"/>
              </w:rPr>
            </w:pPr>
            <w:r w:rsidRPr="00D5279C">
              <w:rPr>
                <w:rFonts w:eastAsia="Times New Roman" w:cs="Times New Roman"/>
                <w:szCs w:val="24"/>
                <w:lang w:eastAsia="lv-LV"/>
              </w:rPr>
              <w:t>Izglītības iestādēm ne</w:t>
            </w:r>
            <w:r w:rsidRPr="00D5279C">
              <w:rPr>
                <w:rFonts w:eastAsia="Times New Roman" w:cs="Times New Roman"/>
                <w:iCs/>
                <w:szCs w:val="24"/>
                <w:lang w:eastAsia="lv-LV"/>
              </w:rPr>
              <w:t xml:space="preserve">būs jāpārskata </w:t>
            </w:r>
            <w:bookmarkStart w:id="2" w:name="_Hlk50249979"/>
            <w:r w:rsidRPr="00D5279C">
              <w:rPr>
                <w:rFonts w:eastAsia="Times New Roman" w:cs="Times New Roman"/>
                <w:iCs/>
                <w:szCs w:val="24"/>
                <w:lang w:eastAsia="lv-LV"/>
              </w:rPr>
              <w:t xml:space="preserve">līdz šim jau izveidotās apvienotās klases speciālās pamatizglītības programmas skolēniem </w:t>
            </w:r>
            <w:bookmarkEnd w:id="2"/>
            <w:r w:rsidRPr="00D5279C">
              <w:rPr>
                <w:rFonts w:eastAsia="Times New Roman" w:cs="Times New Roman"/>
                <w:iCs/>
                <w:szCs w:val="24"/>
                <w:lang w:eastAsia="lv-LV"/>
              </w:rPr>
              <w:t>ar garīgās attīstības traucējumiem un speciālās pamatizglītības programmas skolēniem ar smagiem garīgās attīstības traucējumiem vai vairākiem smagiem attīstības traucējumiem</w:t>
            </w:r>
            <w:r w:rsidR="00033221" w:rsidRPr="00D5279C">
              <w:rPr>
                <w:rFonts w:eastAsia="Times New Roman" w:cs="Times New Roman"/>
                <w:iCs/>
                <w:szCs w:val="24"/>
                <w:lang w:eastAsia="lv-LV"/>
              </w:rPr>
              <w:t xml:space="preserve">, tādējādi </w:t>
            </w:r>
            <w:r w:rsidR="00033221" w:rsidRPr="00D5279C">
              <w:rPr>
                <w:rFonts w:cs="Times New Roman"/>
                <w:bCs/>
                <w:szCs w:val="24"/>
              </w:rPr>
              <w:t xml:space="preserve">primāri </w:t>
            </w:r>
            <w:r w:rsidR="00033221" w:rsidRPr="00D5279C">
              <w:rPr>
                <w:rFonts w:eastAsia="Times New Roman" w:cs="Times New Roman"/>
                <w:iCs/>
                <w:szCs w:val="24"/>
                <w:lang w:eastAsia="lv-LV"/>
              </w:rPr>
              <w:t xml:space="preserve">tiks </w:t>
            </w:r>
            <w:r w:rsidR="00033221" w:rsidRPr="00D5279C">
              <w:rPr>
                <w:rFonts w:cs="Times New Roman"/>
                <w:bCs/>
                <w:szCs w:val="24"/>
              </w:rPr>
              <w:t>nodrošinātas minēto izglītojamo fiziskajām un garīgajām spējām, attīstības līmenim un veselības stāvoklim atbilstošākā pamatizglītības ieguve.</w:t>
            </w:r>
          </w:p>
        </w:tc>
      </w:tr>
      <w:tr w:rsidR="00184CD7" w:rsidRPr="00D5279C" w14:paraId="5DB754F5" w14:textId="77777777" w:rsidTr="00F85295">
        <w:tc>
          <w:tcPr>
            <w:tcW w:w="426" w:type="dxa"/>
            <w:shd w:val="clear" w:color="auto" w:fill="FFFFFF"/>
          </w:tcPr>
          <w:p w14:paraId="25FCA2C5"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t>3.</w:t>
            </w:r>
          </w:p>
        </w:tc>
        <w:tc>
          <w:tcPr>
            <w:tcW w:w="2693" w:type="dxa"/>
            <w:shd w:val="clear" w:color="auto" w:fill="FFFFFF"/>
          </w:tcPr>
          <w:p w14:paraId="67FD2AB8" w14:textId="77777777" w:rsidR="00080E9F" w:rsidRPr="00D5279C" w:rsidRDefault="00080E9F" w:rsidP="00080E9F">
            <w:pPr>
              <w:ind w:left="17"/>
              <w:rPr>
                <w:rFonts w:eastAsia="Times New Roman" w:cs="Times New Roman"/>
                <w:szCs w:val="24"/>
                <w:lang w:eastAsia="lv-LV"/>
              </w:rPr>
            </w:pPr>
            <w:r w:rsidRPr="00D5279C">
              <w:rPr>
                <w:rFonts w:eastAsia="Times New Roman" w:cs="Times New Roman"/>
                <w:szCs w:val="24"/>
                <w:lang w:eastAsia="lv-LV"/>
              </w:rPr>
              <w:t xml:space="preserve">Administratīvo izmaksu monetārs novērtējums </w:t>
            </w:r>
          </w:p>
        </w:tc>
        <w:tc>
          <w:tcPr>
            <w:tcW w:w="5687" w:type="dxa"/>
            <w:shd w:val="clear" w:color="auto" w:fill="FFFFFF"/>
          </w:tcPr>
          <w:p w14:paraId="765CB5CC" w14:textId="76CE54F0" w:rsidR="00080E9F" w:rsidRPr="00D5279C" w:rsidRDefault="0029304E" w:rsidP="00800320">
            <w:pPr>
              <w:rPr>
                <w:rFonts w:eastAsia="Times New Roman" w:cs="Times New Roman"/>
                <w:i/>
                <w:szCs w:val="24"/>
                <w:lang w:eastAsia="lv-LV"/>
              </w:rPr>
            </w:pPr>
            <w:r w:rsidRPr="00D5279C">
              <w:rPr>
                <w:rFonts w:eastAsia="Times New Roman" w:cs="Times New Roman"/>
                <w:szCs w:val="24"/>
                <w:lang w:eastAsia="lv-LV"/>
              </w:rPr>
              <w:t>Projekt</w:t>
            </w:r>
            <w:r w:rsidR="00800320" w:rsidRPr="00D5279C">
              <w:rPr>
                <w:rFonts w:eastAsia="Times New Roman" w:cs="Times New Roman"/>
                <w:szCs w:val="24"/>
                <w:lang w:eastAsia="lv-LV"/>
              </w:rPr>
              <w:t xml:space="preserve">s </w:t>
            </w:r>
            <w:r w:rsidRPr="00D5279C">
              <w:rPr>
                <w:rFonts w:eastAsia="Times New Roman" w:cs="Times New Roman"/>
                <w:szCs w:val="24"/>
                <w:lang w:eastAsia="lv-LV"/>
              </w:rPr>
              <w:t>šo jomu neskar</w:t>
            </w:r>
            <w:r w:rsidR="00080E9F" w:rsidRPr="00D5279C">
              <w:rPr>
                <w:rFonts w:eastAsia="Times New Roman" w:cs="Times New Roman"/>
                <w:szCs w:val="24"/>
                <w:lang w:eastAsia="lv-LV"/>
              </w:rPr>
              <w:t>.</w:t>
            </w:r>
          </w:p>
        </w:tc>
      </w:tr>
      <w:tr w:rsidR="00184CD7" w:rsidRPr="00D5279C" w14:paraId="0CA35569" w14:textId="77777777" w:rsidTr="00F85295">
        <w:tc>
          <w:tcPr>
            <w:tcW w:w="426" w:type="dxa"/>
            <w:shd w:val="clear" w:color="auto" w:fill="FFFFFF"/>
          </w:tcPr>
          <w:p w14:paraId="5D4332F6"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t>4.</w:t>
            </w:r>
          </w:p>
        </w:tc>
        <w:tc>
          <w:tcPr>
            <w:tcW w:w="2693" w:type="dxa"/>
            <w:shd w:val="clear" w:color="auto" w:fill="FFFFFF"/>
          </w:tcPr>
          <w:p w14:paraId="76070026" w14:textId="77777777" w:rsidR="00080E9F" w:rsidRPr="00D5279C" w:rsidRDefault="00080E9F" w:rsidP="00080E9F">
            <w:pPr>
              <w:ind w:left="17"/>
              <w:rPr>
                <w:rFonts w:eastAsia="Times New Roman" w:cs="Times New Roman"/>
                <w:szCs w:val="24"/>
                <w:lang w:eastAsia="lv-LV"/>
              </w:rPr>
            </w:pPr>
            <w:r w:rsidRPr="00D5279C">
              <w:rPr>
                <w:rFonts w:eastAsia="Times New Roman" w:cs="Times New Roman"/>
                <w:szCs w:val="24"/>
                <w:lang w:eastAsia="lv-LV"/>
              </w:rPr>
              <w:t>Atbilstības izmaksu monetārs novērtējums</w:t>
            </w:r>
          </w:p>
        </w:tc>
        <w:tc>
          <w:tcPr>
            <w:tcW w:w="5687" w:type="dxa"/>
            <w:shd w:val="clear" w:color="auto" w:fill="FFFFFF"/>
          </w:tcPr>
          <w:p w14:paraId="059DAA85" w14:textId="0956F449" w:rsidR="00080E9F" w:rsidRPr="00D5279C" w:rsidRDefault="00080E9F" w:rsidP="00800320">
            <w:pPr>
              <w:rPr>
                <w:rFonts w:eastAsia="Times New Roman" w:cs="Times New Roman"/>
                <w:szCs w:val="24"/>
                <w:lang w:eastAsia="lv-LV"/>
              </w:rPr>
            </w:pPr>
            <w:r w:rsidRPr="00D5279C">
              <w:rPr>
                <w:rFonts w:eastAsia="Times New Roman" w:cs="Times New Roman"/>
                <w:bCs/>
                <w:szCs w:val="24"/>
              </w:rPr>
              <w:t>Projekt</w:t>
            </w:r>
            <w:r w:rsidR="00800320" w:rsidRPr="00D5279C">
              <w:rPr>
                <w:rFonts w:eastAsia="Times New Roman" w:cs="Times New Roman"/>
                <w:bCs/>
                <w:szCs w:val="24"/>
              </w:rPr>
              <w:t>s</w:t>
            </w:r>
            <w:r w:rsidRPr="00D5279C">
              <w:rPr>
                <w:rFonts w:eastAsia="Times New Roman" w:cs="Times New Roman"/>
                <w:bCs/>
                <w:szCs w:val="24"/>
              </w:rPr>
              <w:t xml:space="preserve"> šo jomu neskar.</w:t>
            </w:r>
          </w:p>
        </w:tc>
      </w:tr>
      <w:tr w:rsidR="00184CD7" w:rsidRPr="00D5279C" w14:paraId="1D20CD74" w14:textId="77777777" w:rsidTr="00F85295">
        <w:tc>
          <w:tcPr>
            <w:tcW w:w="426" w:type="dxa"/>
            <w:shd w:val="clear" w:color="auto" w:fill="FFFFFF"/>
          </w:tcPr>
          <w:p w14:paraId="71104D3F"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t>5.</w:t>
            </w:r>
          </w:p>
        </w:tc>
        <w:tc>
          <w:tcPr>
            <w:tcW w:w="2693" w:type="dxa"/>
            <w:shd w:val="clear" w:color="auto" w:fill="FFFFFF"/>
          </w:tcPr>
          <w:p w14:paraId="19705B42" w14:textId="77777777" w:rsidR="00080E9F" w:rsidRPr="00D5279C" w:rsidRDefault="00080E9F" w:rsidP="00080E9F">
            <w:pPr>
              <w:ind w:left="17"/>
              <w:rPr>
                <w:rFonts w:eastAsia="Times New Roman" w:cs="Times New Roman"/>
                <w:szCs w:val="24"/>
                <w:lang w:eastAsia="lv-LV"/>
              </w:rPr>
            </w:pPr>
            <w:r w:rsidRPr="00D5279C">
              <w:rPr>
                <w:rFonts w:eastAsia="Times New Roman" w:cs="Times New Roman"/>
                <w:szCs w:val="24"/>
                <w:lang w:eastAsia="lv-LV"/>
              </w:rPr>
              <w:t>Cita informācija.</w:t>
            </w:r>
          </w:p>
        </w:tc>
        <w:tc>
          <w:tcPr>
            <w:tcW w:w="5687" w:type="dxa"/>
            <w:shd w:val="clear" w:color="auto" w:fill="FFFFFF"/>
          </w:tcPr>
          <w:p w14:paraId="06699FB6" w14:textId="77777777" w:rsidR="00080E9F" w:rsidRPr="00D5279C" w:rsidRDefault="00080E9F" w:rsidP="00080E9F">
            <w:pPr>
              <w:rPr>
                <w:rFonts w:eastAsia="Times New Roman" w:cs="Times New Roman"/>
                <w:i/>
                <w:szCs w:val="24"/>
                <w:lang w:eastAsia="lv-LV"/>
              </w:rPr>
            </w:pPr>
            <w:r w:rsidRPr="00D5279C">
              <w:rPr>
                <w:rFonts w:eastAsia="Times New Roman" w:cs="Times New Roman"/>
                <w:iCs/>
                <w:szCs w:val="24"/>
                <w:lang w:eastAsia="lv-LV"/>
              </w:rPr>
              <w:t>Nav</w:t>
            </w:r>
            <w:r w:rsidR="00B3497C" w:rsidRPr="00D5279C">
              <w:rPr>
                <w:rFonts w:eastAsia="Times New Roman" w:cs="Times New Roman"/>
                <w:iCs/>
                <w:szCs w:val="24"/>
                <w:lang w:eastAsia="lv-LV"/>
              </w:rPr>
              <w:t>.</w:t>
            </w:r>
          </w:p>
        </w:tc>
      </w:tr>
    </w:tbl>
    <w:p w14:paraId="0E76A7CC" w14:textId="77777777" w:rsidR="00080E9F" w:rsidRPr="00D5279C" w:rsidRDefault="00080E9F">
      <w:pPr>
        <w:rPr>
          <w:rFonts w:cs="Times New Roman"/>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184CD7" w:rsidRPr="00D5279C" w14:paraId="72822830" w14:textId="77777777" w:rsidTr="000373F9">
        <w:tc>
          <w:tcPr>
            <w:tcW w:w="8839" w:type="dxa"/>
            <w:shd w:val="clear" w:color="auto" w:fill="FFFFFF"/>
          </w:tcPr>
          <w:p w14:paraId="790FE99D" w14:textId="77777777" w:rsidR="00080E9F" w:rsidRPr="00D5279C" w:rsidRDefault="00080E9F" w:rsidP="00080E9F">
            <w:pPr>
              <w:jc w:val="center"/>
              <w:rPr>
                <w:rFonts w:eastAsia="Times New Roman" w:cs="Times New Roman"/>
                <w:iCs/>
                <w:szCs w:val="24"/>
                <w:lang w:eastAsia="lv-LV"/>
              </w:rPr>
            </w:pPr>
            <w:r w:rsidRPr="00D5279C">
              <w:rPr>
                <w:rFonts w:cs="Times New Roman"/>
                <w:b/>
                <w:bCs/>
              </w:rPr>
              <w:t>III. Tiesību akta projekta ietekme uz valsts budžetu un pašvaldību budžetiem</w:t>
            </w:r>
          </w:p>
        </w:tc>
      </w:tr>
      <w:tr w:rsidR="00184CD7" w:rsidRPr="00D5279C" w14:paraId="485DDB9E" w14:textId="77777777" w:rsidTr="000373F9">
        <w:tc>
          <w:tcPr>
            <w:tcW w:w="8839" w:type="dxa"/>
            <w:shd w:val="clear" w:color="auto" w:fill="FFFFFF"/>
          </w:tcPr>
          <w:p w14:paraId="064CB8E5" w14:textId="614981E4" w:rsidR="00080E9F" w:rsidRPr="00D5279C" w:rsidRDefault="00080E9F" w:rsidP="00DA6E76">
            <w:pPr>
              <w:jc w:val="center"/>
              <w:rPr>
                <w:rFonts w:eastAsia="Times New Roman" w:cs="Times New Roman"/>
                <w:iCs/>
                <w:szCs w:val="24"/>
                <w:lang w:eastAsia="lv-LV"/>
              </w:rPr>
            </w:pPr>
            <w:r w:rsidRPr="00D5279C">
              <w:rPr>
                <w:rFonts w:cs="Times New Roman"/>
                <w:bCs/>
              </w:rPr>
              <w:t>Projekt</w:t>
            </w:r>
            <w:r w:rsidR="00AA28B2" w:rsidRPr="00D5279C">
              <w:rPr>
                <w:rFonts w:cs="Times New Roman"/>
                <w:bCs/>
              </w:rPr>
              <w:t>s</w:t>
            </w:r>
            <w:r w:rsidRPr="00D5279C">
              <w:rPr>
                <w:rFonts w:cs="Times New Roman"/>
                <w:bCs/>
              </w:rPr>
              <w:t xml:space="preserve"> šo jomu neskar.</w:t>
            </w:r>
          </w:p>
        </w:tc>
      </w:tr>
    </w:tbl>
    <w:p w14:paraId="53BF1F9A" w14:textId="77777777" w:rsidR="00DA609F" w:rsidRPr="00D5279C" w:rsidRDefault="00DA609F">
      <w:pPr>
        <w:rPr>
          <w:rFonts w:cs="Times New Roman"/>
        </w:rPr>
      </w:pPr>
    </w:p>
    <w:tbl>
      <w:tblPr>
        <w:tblStyle w:val="TableGrid"/>
        <w:tblW w:w="8834" w:type="dxa"/>
        <w:tblInd w:w="-289" w:type="dxa"/>
        <w:tblLook w:val="04A0" w:firstRow="1" w:lastRow="0" w:firstColumn="1" w:lastColumn="0" w:noHBand="0" w:noVBand="1"/>
      </w:tblPr>
      <w:tblGrid>
        <w:gridCol w:w="8834"/>
      </w:tblGrid>
      <w:tr w:rsidR="00184CD7" w:rsidRPr="00D5279C" w14:paraId="4B2CC01A" w14:textId="77777777" w:rsidTr="000373F9">
        <w:tc>
          <w:tcPr>
            <w:tcW w:w="8834" w:type="dxa"/>
          </w:tcPr>
          <w:p w14:paraId="662C43AA" w14:textId="77777777" w:rsidR="0047162F" w:rsidRPr="00D5279C" w:rsidRDefault="0047162F" w:rsidP="0047162F">
            <w:pPr>
              <w:jc w:val="center"/>
              <w:rPr>
                <w:rFonts w:cs="Times New Roman"/>
                <w:i/>
                <w:szCs w:val="24"/>
              </w:rPr>
            </w:pPr>
            <w:r w:rsidRPr="00D5279C">
              <w:rPr>
                <w:rFonts w:cs="Times New Roman"/>
                <w:b/>
                <w:bCs/>
                <w:szCs w:val="24"/>
              </w:rPr>
              <w:t>IV. Tiesību akta projekta ietekme uz spēkā esošo tiesību normu sistēmu</w:t>
            </w:r>
          </w:p>
        </w:tc>
      </w:tr>
      <w:tr w:rsidR="00507FA1" w:rsidRPr="00D5279C" w14:paraId="141F7A23" w14:textId="77777777" w:rsidTr="000373F9">
        <w:tc>
          <w:tcPr>
            <w:tcW w:w="8834" w:type="dxa"/>
          </w:tcPr>
          <w:p w14:paraId="623B32FA" w14:textId="5CE5A1DC" w:rsidR="00507FA1" w:rsidRPr="00D5279C" w:rsidRDefault="00507FA1" w:rsidP="00AA28B2">
            <w:pPr>
              <w:jc w:val="center"/>
              <w:rPr>
                <w:rFonts w:cs="Times New Roman"/>
                <w:b/>
                <w:bCs/>
                <w:szCs w:val="24"/>
              </w:rPr>
            </w:pPr>
            <w:r w:rsidRPr="00D5279C">
              <w:rPr>
                <w:rFonts w:cs="Times New Roman"/>
                <w:bCs/>
              </w:rPr>
              <w:t>Projekt</w:t>
            </w:r>
            <w:r w:rsidR="00AA28B2" w:rsidRPr="00D5279C">
              <w:rPr>
                <w:rFonts w:cs="Times New Roman"/>
                <w:bCs/>
              </w:rPr>
              <w:t>s</w:t>
            </w:r>
            <w:r w:rsidRPr="00D5279C">
              <w:rPr>
                <w:rFonts w:cs="Times New Roman"/>
                <w:bCs/>
              </w:rPr>
              <w:t xml:space="preserve"> šo jomu neskar.</w:t>
            </w:r>
          </w:p>
        </w:tc>
      </w:tr>
    </w:tbl>
    <w:p w14:paraId="27A40DB8" w14:textId="77777777" w:rsidR="00DA609F" w:rsidRPr="00D5279C" w:rsidRDefault="00DA609F">
      <w:pPr>
        <w:rPr>
          <w:rFonts w:cs="Times New Roman"/>
        </w:rPr>
      </w:pPr>
    </w:p>
    <w:tbl>
      <w:tblPr>
        <w:tblStyle w:val="TableGrid"/>
        <w:tblW w:w="8789" w:type="dxa"/>
        <w:tblInd w:w="-289" w:type="dxa"/>
        <w:tblLook w:val="04A0" w:firstRow="1" w:lastRow="0" w:firstColumn="1" w:lastColumn="0" w:noHBand="0" w:noVBand="1"/>
      </w:tblPr>
      <w:tblGrid>
        <w:gridCol w:w="8789"/>
      </w:tblGrid>
      <w:tr w:rsidR="00184CD7" w:rsidRPr="00D5279C" w14:paraId="691D3E0E" w14:textId="77777777" w:rsidTr="00DA6E76">
        <w:tc>
          <w:tcPr>
            <w:tcW w:w="8789" w:type="dxa"/>
          </w:tcPr>
          <w:p w14:paraId="5BAF24A2" w14:textId="77777777" w:rsidR="00DA6E76" w:rsidRPr="00D5279C" w:rsidRDefault="00DA6E76" w:rsidP="00DA6E76">
            <w:pPr>
              <w:jc w:val="center"/>
              <w:rPr>
                <w:rFonts w:cs="Times New Roman"/>
                <w:b/>
              </w:rPr>
            </w:pPr>
            <w:r w:rsidRPr="00D5279C">
              <w:rPr>
                <w:rFonts w:cs="Times New Roman"/>
                <w:b/>
              </w:rPr>
              <w:t>V. Tiesību akta projekta atbilstība Latvijas Republikas starptautiskajām saistībām</w:t>
            </w:r>
          </w:p>
        </w:tc>
      </w:tr>
      <w:tr w:rsidR="00184CD7" w:rsidRPr="00D5279C" w14:paraId="0B1A4D2F" w14:textId="77777777" w:rsidTr="00DA6E76">
        <w:tc>
          <w:tcPr>
            <w:tcW w:w="8789" w:type="dxa"/>
          </w:tcPr>
          <w:p w14:paraId="21E28BCF" w14:textId="60679037" w:rsidR="00DA6E76" w:rsidRPr="00D5279C" w:rsidRDefault="00DA6E76" w:rsidP="00AA28B2">
            <w:pPr>
              <w:jc w:val="center"/>
              <w:rPr>
                <w:rFonts w:cs="Times New Roman"/>
              </w:rPr>
            </w:pPr>
            <w:r w:rsidRPr="00D5279C">
              <w:rPr>
                <w:rFonts w:cs="Times New Roman"/>
              </w:rPr>
              <w:t>Projekt</w:t>
            </w:r>
            <w:r w:rsidR="00AA28B2" w:rsidRPr="00D5279C">
              <w:rPr>
                <w:rFonts w:cs="Times New Roman"/>
              </w:rPr>
              <w:t>s</w:t>
            </w:r>
            <w:r w:rsidRPr="00D5279C">
              <w:rPr>
                <w:rFonts w:cs="Times New Roman"/>
              </w:rPr>
              <w:t xml:space="preserve"> šo jomu neskar</w:t>
            </w:r>
          </w:p>
        </w:tc>
      </w:tr>
    </w:tbl>
    <w:p w14:paraId="0B0FB468" w14:textId="77777777" w:rsidR="00DA6E76" w:rsidRPr="00D5279C" w:rsidRDefault="00DA6E76">
      <w:pPr>
        <w:rPr>
          <w:rFonts w:cs="Times New Roman"/>
        </w:rPr>
      </w:pPr>
    </w:p>
    <w:tbl>
      <w:tblPr>
        <w:tblW w:w="5297"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89"/>
        <w:gridCol w:w="2820"/>
        <w:gridCol w:w="5180"/>
      </w:tblGrid>
      <w:tr w:rsidR="00076663" w:rsidRPr="00D5279C" w14:paraId="1C4B52F8" w14:textId="77777777" w:rsidTr="00902E3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9F365" w14:textId="77777777" w:rsidR="00902E3C" w:rsidRPr="00D5279C" w:rsidRDefault="00902E3C">
            <w:pPr>
              <w:pStyle w:val="tvhtml"/>
              <w:spacing w:line="315" w:lineRule="atLeast"/>
              <w:jc w:val="center"/>
              <w:rPr>
                <w:b/>
                <w:bCs/>
                <w:color w:val="0D0D0D" w:themeColor="text1" w:themeTint="F2"/>
                <w:lang w:val="lv-LV"/>
              </w:rPr>
            </w:pPr>
            <w:r w:rsidRPr="00D5279C">
              <w:rPr>
                <w:b/>
                <w:bCs/>
                <w:color w:val="0D0D0D" w:themeColor="text1" w:themeTint="F2"/>
                <w:lang w:val="lv-LV"/>
              </w:rPr>
              <w:t>VI. Sabiedrības līdzdalība un komunikācijas aktivitātes</w:t>
            </w:r>
          </w:p>
        </w:tc>
      </w:tr>
      <w:tr w:rsidR="00076663" w:rsidRPr="00D5279C" w14:paraId="4C5F76BE" w14:textId="77777777" w:rsidTr="00902E3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0BAAF71" w14:textId="77777777" w:rsidR="00902E3C" w:rsidRPr="00D5279C" w:rsidRDefault="00902E3C">
            <w:pPr>
              <w:pStyle w:val="tvhtml"/>
              <w:spacing w:line="315" w:lineRule="atLeast"/>
              <w:jc w:val="center"/>
              <w:rPr>
                <w:color w:val="0D0D0D" w:themeColor="text1" w:themeTint="F2"/>
                <w:lang w:val="lv-LV"/>
              </w:rPr>
            </w:pPr>
            <w:r w:rsidRPr="00D5279C">
              <w:rPr>
                <w:color w:val="0D0D0D" w:themeColor="text1" w:themeTint="F2"/>
                <w:lang w:val="lv-LV"/>
              </w:rPr>
              <w:t>1.</w:t>
            </w:r>
          </w:p>
        </w:tc>
        <w:tc>
          <w:tcPr>
            <w:tcW w:w="1604" w:type="pct"/>
            <w:tcBorders>
              <w:top w:val="outset" w:sz="6" w:space="0" w:color="414142"/>
              <w:left w:val="outset" w:sz="6" w:space="0" w:color="414142"/>
              <w:bottom w:val="outset" w:sz="6" w:space="0" w:color="414142"/>
              <w:right w:val="outset" w:sz="6" w:space="0" w:color="414142"/>
            </w:tcBorders>
            <w:shd w:val="clear" w:color="auto" w:fill="FFFFFF"/>
            <w:hideMark/>
          </w:tcPr>
          <w:p w14:paraId="64E93021" w14:textId="77777777" w:rsidR="00902E3C" w:rsidRPr="00D5279C" w:rsidRDefault="00902E3C">
            <w:pPr>
              <w:rPr>
                <w:rFonts w:cs="Times New Roman"/>
                <w:color w:val="0D0D0D" w:themeColor="text1" w:themeTint="F2"/>
                <w:szCs w:val="24"/>
              </w:rPr>
            </w:pPr>
            <w:r w:rsidRPr="00D5279C">
              <w:rPr>
                <w:rFonts w:cs="Times New Roman"/>
                <w:color w:val="0D0D0D" w:themeColor="text1" w:themeTint="F2"/>
                <w:szCs w:val="24"/>
              </w:rPr>
              <w:t>Plānotās sabiedrības līdzdalības un komunikācijas aktivitātes saistībā ar projektu</w:t>
            </w:r>
          </w:p>
        </w:tc>
        <w:tc>
          <w:tcPr>
            <w:tcW w:w="2947" w:type="pct"/>
            <w:tcBorders>
              <w:top w:val="outset" w:sz="6" w:space="0" w:color="414142"/>
              <w:left w:val="outset" w:sz="6" w:space="0" w:color="414142"/>
              <w:bottom w:val="outset" w:sz="6" w:space="0" w:color="414142"/>
              <w:right w:val="outset" w:sz="6" w:space="0" w:color="414142"/>
            </w:tcBorders>
            <w:shd w:val="clear" w:color="auto" w:fill="FFFFFF"/>
            <w:hideMark/>
          </w:tcPr>
          <w:p w14:paraId="60E85706" w14:textId="04A0F572" w:rsidR="00902E3C" w:rsidRPr="00D5279C" w:rsidRDefault="00574C77" w:rsidP="00574C77">
            <w:pPr>
              <w:jc w:val="both"/>
              <w:rPr>
                <w:rFonts w:cs="Times New Roman"/>
                <w:color w:val="0D0D0D" w:themeColor="text1" w:themeTint="F2"/>
                <w:szCs w:val="24"/>
              </w:rPr>
            </w:pPr>
            <w:r w:rsidRPr="00D5279C">
              <w:rPr>
                <w:rFonts w:cs="Times New Roman"/>
                <w:color w:val="0D0D0D" w:themeColor="text1" w:themeTint="F2"/>
                <w:szCs w:val="24"/>
              </w:rPr>
              <w:t xml:space="preserve">Jautājums par izveidojušos situāciju, ka izglītības iestādes, kas īsteno speciālās pamatizglītības programmas skolēniem ar garīgās attīstības traucējumiem un speciālās pamatizglītības programmas skolēniem ar smagiem garīgās attīstības traucējumiem vai vairākiem smagiem attīstības traucējumiem, var apvienot ne vairāk kā divu viena izglītības posma klašu skolēnus, tika aktualizēts pēc Spāres pamatskolas un bērnu vecāku grupas lūguma. Izglītības un zinātnes ministrija sadarbībā ar Izglītības kvalitātes valsts dienestu un Valsts izglītības satura centru sagatavoja informatīvu vēstuli ar skaidrojumu par šo situāciju un izsūtīja pašvaldību Izglītības pārvaldēm. </w:t>
            </w:r>
          </w:p>
        </w:tc>
      </w:tr>
      <w:tr w:rsidR="00076663" w:rsidRPr="00D5279C" w14:paraId="4763E74F" w14:textId="77777777" w:rsidTr="00902E3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55B30A4" w14:textId="77777777" w:rsidR="00902E3C" w:rsidRPr="00D5279C" w:rsidRDefault="00902E3C">
            <w:pPr>
              <w:pStyle w:val="tvhtml"/>
              <w:spacing w:line="315" w:lineRule="atLeast"/>
              <w:jc w:val="center"/>
              <w:rPr>
                <w:color w:val="0D0D0D" w:themeColor="text1" w:themeTint="F2"/>
                <w:lang w:val="lv-LV"/>
              </w:rPr>
            </w:pPr>
            <w:r w:rsidRPr="00D5279C">
              <w:rPr>
                <w:color w:val="0D0D0D" w:themeColor="text1" w:themeTint="F2"/>
                <w:lang w:val="lv-LV"/>
              </w:rPr>
              <w:lastRenderedPageBreak/>
              <w:t>2.</w:t>
            </w:r>
          </w:p>
        </w:tc>
        <w:tc>
          <w:tcPr>
            <w:tcW w:w="1604" w:type="pct"/>
            <w:tcBorders>
              <w:top w:val="outset" w:sz="6" w:space="0" w:color="414142"/>
              <w:left w:val="outset" w:sz="6" w:space="0" w:color="414142"/>
              <w:bottom w:val="outset" w:sz="6" w:space="0" w:color="414142"/>
              <w:right w:val="outset" w:sz="6" w:space="0" w:color="414142"/>
            </w:tcBorders>
            <w:shd w:val="clear" w:color="auto" w:fill="FFFFFF"/>
            <w:hideMark/>
          </w:tcPr>
          <w:p w14:paraId="1665C059" w14:textId="77777777" w:rsidR="00902E3C" w:rsidRPr="00D5279C" w:rsidRDefault="00902E3C">
            <w:pPr>
              <w:rPr>
                <w:rFonts w:cs="Times New Roman"/>
                <w:color w:val="0D0D0D" w:themeColor="text1" w:themeTint="F2"/>
                <w:szCs w:val="24"/>
              </w:rPr>
            </w:pPr>
            <w:r w:rsidRPr="00D5279C">
              <w:rPr>
                <w:rFonts w:cs="Times New Roman"/>
                <w:color w:val="0D0D0D" w:themeColor="text1" w:themeTint="F2"/>
                <w:szCs w:val="24"/>
              </w:rPr>
              <w:t>Sabiedrības līdzdalība projekta izstrādē</w:t>
            </w:r>
          </w:p>
        </w:tc>
        <w:tc>
          <w:tcPr>
            <w:tcW w:w="2947" w:type="pct"/>
            <w:tcBorders>
              <w:top w:val="outset" w:sz="6" w:space="0" w:color="414142"/>
              <w:left w:val="outset" w:sz="6" w:space="0" w:color="414142"/>
              <w:bottom w:val="outset" w:sz="6" w:space="0" w:color="414142"/>
              <w:right w:val="outset" w:sz="6" w:space="0" w:color="414142"/>
            </w:tcBorders>
            <w:shd w:val="clear" w:color="auto" w:fill="FFFFFF"/>
            <w:hideMark/>
          </w:tcPr>
          <w:p w14:paraId="5890D5B8" w14:textId="11163085" w:rsidR="00902E3C" w:rsidRPr="00D5279C" w:rsidRDefault="00574C77" w:rsidP="003812F4">
            <w:pPr>
              <w:jc w:val="both"/>
              <w:rPr>
                <w:rFonts w:cs="Times New Roman"/>
                <w:color w:val="0D0D0D" w:themeColor="text1" w:themeTint="F2"/>
                <w:szCs w:val="24"/>
              </w:rPr>
            </w:pPr>
            <w:r w:rsidRPr="00D5279C">
              <w:rPr>
                <w:rFonts w:cs="Times New Roman"/>
                <w:color w:val="0D0D0D" w:themeColor="text1" w:themeTint="F2"/>
                <w:szCs w:val="24"/>
              </w:rPr>
              <w:t>Lai novērstu izveidojušos problēmsituāciju attiecībā uz izglītības iestādēm nepamatoti noteiktajiem ierobežojumiem apvienot ne vairāk kā divu viena izglītības posma klašu skolēnus ar garīgās attīstības traucējumiem un smagiem garīgās attīstības traucējumiem vai vairākiem smagiem attīstības traucējumiem un primāri nodrošinātu minēto izglītojamo fiziskajām un garīgajām spējām, attīstības līmenim un veselības stāvoklim atbilstošāko pamatizglītības ieguvi, tika izstrādāts projekts, kas tiek virzīts steidzamības kārtībā, tādēļ papildus</w:t>
            </w:r>
            <w:r w:rsidR="003812F4" w:rsidRPr="00D5279C">
              <w:rPr>
                <w:rFonts w:cs="Times New Roman"/>
                <w:color w:val="0D0D0D" w:themeColor="text1" w:themeTint="F2"/>
                <w:szCs w:val="24"/>
              </w:rPr>
              <w:t xml:space="preserve"> sabiedrības līdzdalība projekta izstrādē nenotika.</w:t>
            </w:r>
          </w:p>
        </w:tc>
      </w:tr>
      <w:tr w:rsidR="00076663" w:rsidRPr="00D5279C" w14:paraId="60D05BC4" w14:textId="77777777" w:rsidTr="00902E3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EAD9804" w14:textId="77777777" w:rsidR="00902E3C" w:rsidRPr="00D5279C" w:rsidRDefault="00902E3C">
            <w:pPr>
              <w:pStyle w:val="tvhtml"/>
              <w:spacing w:line="315" w:lineRule="atLeast"/>
              <w:jc w:val="center"/>
              <w:rPr>
                <w:color w:val="0D0D0D" w:themeColor="text1" w:themeTint="F2"/>
                <w:lang w:val="lv-LV"/>
              </w:rPr>
            </w:pPr>
            <w:r w:rsidRPr="00D5279C">
              <w:rPr>
                <w:color w:val="0D0D0D" w:themeColor="text1" w:themeTint="F2"/>
                <w:lang w:val="lv-LV"/>
              </w:rPr>
              <w:t>3.</w:t>
            </w:r>
          </w:p>
        </w:tc>
        <w:tc>
          <w:tcPr>
            <w:tcW w:w="1604" w:type="pct"/>
            <w:tcBorders>
              <w:top w:val="outset" w:sz="6" w:space="0" w:color="414142"/>
              <w:left w:val="outset" w:sz="6" w:space="0" w:color="414142"/>
              <w:bottom w:val="outset" w:sz="6" w:space="0" w:color="414142"/>
              <w:right w:val="outset" w:sz="6" w:space="0" w:color="414142"/>
            </w:tcBorders>
            <w:shd w:val="clear" w:color="auto" w:fill="FFFFFF"/>
            <w:hideMark/>
          </w:tcPr>
          <w:p w14:paraId="44ADB4E2" w14:textId="77777777" w:rsidR="00902E3C" w:rsidRPr="00D5279C" w:rsidRDefault="00902E3C">
            <w:pPr>
              <w:rPr>
                <w:rFonts w:cs="Times New Roman"/>
                <w:color w:val="0D0D0D" w:themeColor="text1" w:themeTint="F2"/>
                <w:szCs w:val="24"/>
              </w:rPr>
            </w:pPr>
            <w:r w:rsidRPr="00D5279C">
              <w:rPr>
                <w:rFonts w:cs="Times New Roman"/>
                <w:color w:val="0D0D0D" w:themeColor="text1" w:themeTint="F2"/>
                <w:szCs w:val="24"/>
              </w:rPr>
              <w:t>Sabiedrības līdzdalības rezultāti</w:t>
            </w:r>
          </w:p>
        </w:tc>
        <w:tc>
          <w:tcPr>
            <w:tcW w:w="2947" w:type="pct"/>
            <w:tcBorders>
              <w:top w:val="outset" w:sz="6" w:space="0" w:color="414142"/>
              <w:left w:val="outset" w:sz="6" w:space="0" w:color="414142"/>
              <w:bottom w:val="outset" w:sz="6" w:space="0" w:color="414142"/>
              <w:right w:val="outset" w:sz="6" w:space="0" w:color="414142"/>
            </w:tcBorders>
            <w:shd w:val="clear" w:color="auto" w:fill="FFFFFF"/>
            <w:hideMark/>
          </w:tcPr>
          <w:p w14:paraId="57011D5D" w14:textId="3EB14E7B" w:rsidR="003812F4" w:rsidRPr="00D5279C" w:rsidRDefault="00574C77" w:rsidP="00076663">
            <w:pPr>
              <w:jc w:val="both"/>
              <w:rPr>
                <w:rFonts w:eastAsia="Times New Roman" w:cs="Times New Roman"/>
                <w:color w:val="0D0D0D" w:themeColor="text1" w:themeTint="F2"/>
                <w:szCs w:val="24"/>
                <w:lang w:eastAsia="lv-LV"/>
              </w:rPr>
            </w:pPr>
            <w:r w:rsidRPr="00D5279C">
              <w:rPr>
                <w:rFonts w:cs="Times New Roman"/>
                <w:color w:val="0D0D0D" w:themeColor="text1" w:themeTint="F2"/>
                <w:szCs w:val="24"/>
              </w:rPr>
              <w:t xml:space="preserve">Projekts </w:t>
            </w:r>
            <w:r w:rsidR="003812F4" w:rsidRPr="00D5279C">
              <w:rPr>
                <w:rFonts w:cs="Times New Roman"/>
                <w:color w:val="0D0D0D" w:themeColor="text1" w:themeTint="F2"/>
                <w:szCs w:val="24"/>
              </w:rPr>
              <w:t xml:space="preserve">atrisna Spāres pamatskolas un bērnu vecāku grupas aktualizēto jautājumu par ierobežojuma atcelšanu </w:t>
            </w:r>
            <w:r w:rsidR="00076663" w:rsidRPr="00D5279C">
              <w:rPr>
                <w:rFonts w:eastAsia="Times New Roman" w:cs="Times New Roman"/>
                <w:iCs/>
                <w:color w:val="0D0D0D" w:themeColor="text1" w:themeTint="F2"/>
                <w:szCs w:val="24"/>
                <w:lang w:eastAsia="lv-LV"/>
              </w:rPr>
              <w:t xml:space="preserve">apvienot ne vairāk kā divu viena izglītības posma klašu </w:t>
            </w:r>
            <w:r w:rsidR="003812F4" w:rsidRPr="00D5279C">
              <w:rPr>
                <w:rFonts w:eastAsia="Times New Roman" w:cs="Times New Roman"/>
                <w:iCs/>
                <w:color w:val="0D0D0D" w:themeColor="text1" w:themeTint="F2"/>
                <w:szCs w:val="24"/>
                <w:lang w:eastAsia="lv-LV"/>
              </w:rPr>
              <w:t>speciālās pamatizglītības programmas skolēn</w:t>
            </w:r>
            <w:r w:rsidR="00076663" w:rsidRPr="00D5279C">
              <w:rPr>
                <w:rFonts w:eastAsia="Times New Roman" w:cs="Times New Roman"/>
                <w:iCs/>
                <w:color w:val="0D0D0D" w:themeColor="text1" w:themeTint="F2"/>
                <w:szCs w:val="24"/>
                <w:lang w:eastAsia="lv-LV"/>
              </w:rPr>
              <w:t>us</w:t>
            </w:r>
            <w:r w:rsidR="003812F4" w:rsidRPr="00D5279C">
              <w:rPr>
                <w:rFonts w:eastAsia="Times New Roman" w:cs="Times New Roman"/>
                <w:iCs/>
                <w:color w:val="0D0D0D" w:themeColor="text1" w:themeTint="F2"/>
                <w:szCs w:val="24"/>
                <w:lang w:eastAsia="lv-LV"/>
              </w:rPr>
              <w:t xml:space="preserve"> ar garīgās attīstības traucējumiem un speciālās pamatizglītības programmas skolēniem ar smagiem garīgās attīstības traucējumiem vai vairākiem smagiem attīstības traucējumiem.</w:t>
            </w:r>
          </w:p>
        </w:tc>
      </w:tr>
      <w:tr w:rsidR="00076663" w:rsidRPr="00D5279C" w14:paraId="484CC67D" w14:textId="77777777" w:rsidTr="00902E3C">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45D4605" w14:textId="77777777" w:rsidR="00902E3C" w:rsidRPr="00D5279C" w:rsidRDefault="00902E3C">
            <w:pPr>
              <w:pStyle w:val="tvhtml"/>
              <w:spacing w:line="315" w:lineRule="atLeast"/>
              <w:jc w:val="center"/>
              <w:rPr>
                <w:color w:val="0D0D0D" w:themeColor="text1" w:themeTint="F2"/>
                <w:lang w:val="lv-LV"/>
              </w:rPr>
            </w:pPr>
            <w:r w:rsidRPr="00D5279C">
              <w:rPr>
                <w:color w:val="0D0D0D" w:themeColor="text1" w:themeTint="F2"/>
                <w:lang w:val="lv-LV"/>
              </w:rPr>
              <w:t>4.</w:t>
            </w:r>
          </w:p>
        </w:tc>
        <w:tc>
          <w:tcPr>
            <w:tcW w:w="1604" w:type="pct"/>
            <w:tcBorders>
              <w:top w:val="outset" w:sz="6" w:space="0" w:color="414142"/>
              <w:left w:val="outset" w:sz="6" w:space="0" w:color="414142"/>
              <w:bottom w:val="outset" w:sz="6" w:space="0" w:color="414142"/>
              <w:right w:val="outset" w:sz="6" w:space="0" w:color="414142"/>
            </w:tcBorders>
            <w:shd w:val="clear" w:color="auto" w:fill="FFFFFF"/>
            <w:hideMark/>
          </w:tcPr>
          <w:p w14:paraId="79540328" w14:textId="77777777" w:rsidR="00902E3C" w:rsidRPr="00D5279C" w:rsidRDefault="00902E3C">
            <w:pPr>
              <w:rPr>
                <w:rFonts w:cs="Times New Roman"/>
                <w:color w:val="0D0D0D" w:themeColor="text1" w:themeTint="F2"/>
                <w:szCs w:val="24"/>
              </w:rPr>
            </w:pPr>
            <w:r w:rsidRPr="00D5279C">
              <w:rPr>
                <w:rFonts w:cs="Times New Roman"/>
                <w:color w:val="0D0D0D" w:themeColor="text1" w:themeTint="F2"/>
                <w:szCs w:val="24"/>
              </w:rPr>
              <w:t>Cita informācija</w:t>
            </w:r>
          </w:p>
        </w:tc>
        <w:tc>
          <w:tcPr>
            <w:tcW w:w="2947" w:type="pct"/>
            <w:tcBorders>
              <w:top w:val="outset" w:sz="6" w:space="0" w:color="414142"/>
              <w:left w:val="outset" w:sz="6" w:space="0" w:color="414142"/>
              <w:bottom w:val="outset" w:sz="6" w:space="0" w:color="414142"/>
              <w:right w:val="outset" w:sz="6" w:space="0" w:color="414142"/>
            </w:tcBorders>
            <w:shd w:val="clear" w:color="auto" w:fill="FFFFFF"/>
            <w:hideMark/>
          </w:tcPr>
          <w:p w14:paraId="270A1177" w14:textId="6FEAC91D" w:rsidR="00902E3C" w:rsidRPr="00D5279C" w:rsidRDefault="00574C77">
            <w:pPr>
              <w:rPr>
                <w:rFonts w:cs="Times New Roman"/>
                <w:color w:val="0D0D0D" w:themeColor="text1" w:themeTint="F2"/>
                <w:szCs w:val="24"/>
              </w:rPr>
            </w:pPr>
            <w:r w:rsidRPr="00D5279C">
              <w:rPr>
                <w:rFonts w:cs="Times New Roman"/>
                <w:color w:val="0D0D0D" w:themeColor="text1" w:themeTint="F2"/>
                <w:szCs w:val="24"/>
              </w:rPr>
              <w:t>Nav.</w:t>
            </w:r>
          </w:p>
        </w:tc>
      </w:tr>
    </w:tbl>
    <w:p w14:paraId="629C2D80" w14:textId="77777777" w:rsidR="00902E3C" w:rsidRPr="00D5279C" w:rsidRDefault="00902E3C">
      <w:pPr>
        <w:rPr>
          <w:rFonts w:cs="Times New Roman"/>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184CD7" w:rsidRPr="00D5279C" w14:paraId="2D6D3793" w14:textId="77777777" w:rsidTr="00301F83">
        <w:tc>
          <w:tcPr>
            <w:tcW w:w="8806" w:type="dxa"/>
            <w:gridSpan w:val="3"/>
            <w:shd w:val="clear" w:color="auto" w:fill="FFFFFF"/>
          </w:tcPr>
          <w:p w14:paraId="0FA44EBC" w14:textId="77777777" w:rsidR="00080E9F" w:rsidRPr="00D5279C" w:rsidRDefault="00080E9F" w:rsidP="00080E9F">
            <w:pPr>
              <w:jc w:val="center"/>
              <w:rPr>
                <w:rFonts w:eastAsia="Times New Roman" w:cs="Times New Roman"/>
                <w:iCs/>
                <w:szCs w:val="24"/>
                <w:lang w:eastAsia="lv-LV"/>
              </w:rPr>
            </w:pPr>
            <w:r w:rsidRPr="00D5279C">
              <w:rPr>
                <w:rFonts w:eastAsia="Times New Roman" w:cs="Times New Roman"/>
                <w:b/>
                <w:bCs/>
                <w:szCs w:val="24"/>
                <w:lang w:eastAsia="lv-LV"/>
              </w:rPr>
              <w:t>VII Tiesību akta projekta izpildes nodrošināšana un tās ietekme uz institūcijām</w:t>
            </w:r>
          </w:p>
        </w:tc>
      </w:tr>
      <w:tr w:rsidR="00184CD7" w:rsidRPr="00D5279C" w14:paraId="71F41033" w14:textId="77777777" w:rsidTr="00F85295">
        <w:tc>
          <w:tcPr>
            <w:tcW w:w="426" w:type="dxa"/>
            <w:shd w:val="clear" w:color="auto" w:fill="FFFFFF"/>
          </w:tcPr>
          <w:p w14:paraId="51F9BB7F" w14:textId="77777777" w:rsidR="00080E9F" w:rsidRPr="00D5279C" w:rsidRDefault="00080E9F" w:rsidP="00080E9F">
            <w:pPr>
              <w:ind w:left="181" w:hanging="181"/>
              <w:jc w:val="center"/>
              <w:rPr>
                <w:rFonts w:eastAsia="Times New Roman" w:cs="Times New Roman"/>
                <w:bCs/>
                <w:szCs w:val="24"/>
                <w:lang w:eastAsia="lv-LV"/>
              </w:rPr>
            </w:pPr>
            <w:r w:rsidRPr="00D5279C">
              <w:rPr>
                <w:rFonts w:eastAsia="Times New Roman" w:cs="Times New Roman"/>
                <w:bCs/>
                <w:szCs w:val="24"/>
                <w:lang w:eastAsia="lv-LV"/>
              </w:rPr>
              <w:t>1.</w:t>
            </w:r>
          </w:p>
        </w:tc>
        <w:tc>
          <w:tcPr>
            <w:tcW w:w="2693" w:type="dxa"/>
            <w:shd w:val="clear" w:color="auto" w:fill="FFFFFF"/>
          </w:tcPr>
          <w:p w14:paraId="749AE0B5"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 xml:space="preserve">Projekta izpildē iesaistītās institūcijas </w:t>
            </w:r>
          </w:p>
        </w:tc>
        <w:tc>
          <w:tcPr>
            <w:tcW w:w="5687" w:type="dxa"/>
            <w:shd w:val="clear" w:color="auto" w:fill="FFFFFF"/>
          </w:tcPr>
          <w:p w14:paraId="74AB7D55" w14:textId="7DD0E55C" w:rsidR="00080E9F" w:rsidRPr="00D5279C" w:rsidRDefault="00EE330D" w:rsidP="001F3C0A">
            <w:pPr>
              <w:jc w:val="both"/>
              <w:rPr>
                <w:rFonts w:eastAsia="Times New Roman" w:cs="Times New Roman"/>
                <w:bCs/>
                <w:szCs w:val="24"/>
                <w:lang w:eastAsia="lv-LV"/>
              </w:rPr>
            </w:pPr>
            <w:r w:rsidRPr="00D5279C">
              <w:rPr>
                <w:rFonts w:eastAsia="Times New Roman" w:cs="Times New Roman"/>
                <w:bCs/>
                <w:iCs/>
                <w:szCs w:val="24"/>
                <w:lang w:eastAsia="lv-LV"/>
              </w:rPr>
              <w:t>Centrs, i</w:t>
            </w:r>
            <w:r w:rsidR="00080E9F" w:rsidRPr="00D5279C">
              <w:rPr>
                <w:rFonts w:eastAsia="Times New Roman" w:cs="Times New Roman"/>
                <w:bCs/>
                <w:iCs/>
                <w:szCs w:val="24"/>
                <w:lang w:eastAsia="lv-LV"/>
              </w:rPr>
              <w:t>zglītības iestādes</w:t>
            </w:r>
            <w:r w:rsidR="00AA28B2" w:rsidRPr="00D5279C">
              <w:rPr>
                <w:rFonts w:eastAsia="Times New Roman" w:cs="Times New Roman"/>
                <w:bCs/>
                <w:iCs/>
                <w:szCs w:val="24"/>
                <w:lang w:eastAsia="lv-LV"/>
              </w:rPr>
              <w:t>,</w:t>
            </w:r>
            <w:r w:rsidR="00080E9F" w:rsidRPr="00D5279C">
              <w:rPr>
                <w:rFonts w:eastAsia="Times New Roman" w:cs="Times New Roman"/>
                <w:bCs/>
                <w:iCs/>
                <w:szCs w:val="24"/>
                <w:lang w:eastAsia="lv-LV"/>
              </w:rPr>
              <w:t xml:space="preserve"> </w:t>
            </w:r>
            <w:r w:rsidR="00507FA1" w:rsidRPr="00D5279C">
              <w:rPr>
                <w:rFonts w:eastAsia="Times New Roman" w:cs="Times New Roman"/>
                <w:bCs/>
                <w:iCs/>
                <w:szCs w:val="24"/>
                <w:lang w:eastAsia="lv-LV"/>
              </w:rPr>
              <w:t xml:space="preserve">kuras nodrošina speciālās pamatizglītības programmas skolēniem ar </w:t>
            </w:r>
            <w:r w:rsidR="00AA28B2" w:rsidRPr="00D5279C">
              <w:rPr>
                <w:rFonts w:eastAsia="Times New Roman" w:cs="Times New Roman"/>
                <w:bCs/>
                <w:iCs/>
                <w:szCs w:val="24"/>
                <w:lang w:eastAsia="lv-LV"/>
              </w:rPr>
              <w:t>garīgās attīstības traucējumiem un</w:t>
            </w:r>
            <w:r w:rsidR="00507FA1" w:rsidRPr="00D5279C">
              <w:rPr>
                <w:rFonts w:eastAsia="Times New Roman" w:cs="Times New Roman"/>
                <w:bCs/>
                <w:iCs/>
                <w:szCs w:val="24"/>
                <w:lang w:eastAsia="lv-LV"/>
              </w:rPr>
              <w:t xml:space="preserve"> skolēniem ar smagiem garīgās attīstības traucējumiem vai vairākiem smagiem attīstības traucējumiem.</w:t>
            </w:r>
          </w:p>
        </w:tc>
      </w:tr>
      <w:tr w:rsidR="00184CD7" w:rsidRPr="00D5279C" w14:paraId="1BE0BD79" w14:textId="77777777" w:rsidTr="00F85295">
        <w:tc>
          <w:tcPr>
            <w:tcW w:w="426" w:type="dxa"/>
            <w:shd w:val="clear" w:color="auto" w:fill="FFFFFF"/>
          </w:tcPr>
          <w:p w14:paraId="3B1E6B24" w14:textId="77777777" w:rsidR="00080E9F" w:rsidRPr="00D5279C" w:rsidRDefault="00080E9F" w:rsidP="00080E9F">
            <w:pPr>
              <w:jc w:val="center"/>
              <w:rPr>
                <w:rFonts w:eastAsia="Times New Roman" w:cs="Times New Roman"/>
                <w:bCs/>
                <w:szCs w:val="24"/>
                <w:lang w:eastAsia="lv-LV"/>
              </w:rPr>
            </w:pPr>
            <w:r w:rsidRPr="00D5279C">
              <w:rPr>
                <w:rFonts w:eastAsia="Times New Roman" w:cs="Times New Roman"/>
                <w:bCs/>
                <w:szCs w:val="24"/>
                <w:lang w:eastAsia="lv-LV"/>
              </w:rPr>
              <w:t>2.</w:t>
            </w:r>
          </w:p>
        </w:tc>
        <w:tc>
          <w:tcPr>
            <w:tcW w:w="2693" w:type="dxa"/>
            <w:shd w:val="clear" w:color="auto" w:fill="FFFFFF"/>
          </w:tcPr>
          <w:p w14:paraId="19010C3D"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Projekta izpildes ietekme uz pārvaldes funkcijām un institucionālo struktūru.</w:t>
            </w:r>
          </w:p>
          <w:p w14:paraId="583F3090"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14:paraId="0B36EB31" w14:textId="77777777" w:rsidR="00080E9F" w:rsidRPr="00D5279C" w:rsidRDefault="00080E9F" w:rsidP="00080E9F">
            <w:pPr>
              <w:jc w:val="both"/>
              <w:rPr>
                <w:rFonts w:eastAsia="Times New Roman" w:cs="Times New Roman"/>
                <w:bCs/>
                <w:szCs w:val="24"/>
                <w:lang w:eastAsia="lv-LV"/>
              </w:rPr>
            </w:pPr>
            <w:r w:rsidRPr="00D5279C">
              <w:rPr>
                <w:rFonts w:eastAsia="Times New Roman" w:cs="Times New Roman"/>
                <w:bCs/>
                <w:iCs/>
                <w:szCs w:val="24"/>
                <w:lang w:eastAsia="lv-LV"/>
              </w:rPr>
              <w:t>Projekta izpilde nepaplašina un nesašaurina iesaistīto institūciju funkcijas.</w:t>
            </w:r>
          </w:p>
          <w:p w14:paraId="54E97956" w14:textId="77777777" w:rsidR="00080E9F" w:rsidRPr="00D5279C" w:rsidRDefault="00080E9F" w:rsidP="00080E9F">
            <w:pPr>
              <w:jc w:val="both"/>
              <w:rPr>
                <w:rFonts w:eastAsia="Times New Roman" w:cs="Times New Roman"/>
                <w:bCs/>
                <w:szCs w:val="24"/>
                <w:lang w:eastAsia="lv-LV"/>
              </w:rPr>
            </w:pPr>
            <w:r w:rsidRPr="00D5279C">
              <w:rPr>
                <w:rFonts w:eastAsia="Times New Roman" w:cs="Times New Roman"/>
                <w:szCs w:val="24"/>
                <w:lang w:eastAsia="lv-LV"/>
              </w:rPr>
              <w:t>Projekta izpilde tiks nodrošināta esošo institūciju ietvaros.</w:t>
            </w:r>
          </w:p>
        </w:tc>
      </w:tr>
      <w:tr w:rsidR="00184CD7" w:rsidRPr="00D5279C" w14:paraId="7F0C04ED" w14:textId="77777777" w:rsidTr="00F85295">
        <w:tc>
          <w:tcPr>
            <w:tcW w:w="426" w:type="dxa"/>
            <w:tcBorders>
              <w:bottom w:val="single" w:sz="4" w:space="0" w:color="000000" w:themeColor="text1"/>
            </w:tcBorders>
            <w:shd w:val="clear" w:color="auto" w:fill="FFFFFF"/>
          </w:tcPr>
          <w:p w14:paraId="17D18DA5" w14:textId="77777777" w:rsidR="00080E9F" w:rsidRPr="00D5279C" w:rsidRDefault="00080E9F" w:rsidP="00080E9F">
            <w:pPr>
              <w:jc w:val="center"/>
              <w:rPr>
                <w:rFonts w:eastAsia="Times New Roman" w:cs="Times New Roman"/>
                <w:szCs w:val="24"/>
                <w:lang w:eastAsia="lv-LV"/>
              </w:rPr>
            </w:pPr>
            <w:r w:rsidRPr="00D5279C">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5D33BFBE" w14:textId="77777777" w:rsidR="00080E9F" w:rsidRPr="00D5279C" w:rsidRDefault="00080E9F" w:rsidP="00080E9F">
            <w:pPr>
              <w:rPr>
                <w:rFonts w:eastAsia="Times New Roman" w:cs="Times New Roman"/>
                <w:szCs w:val="24"/>
                <w:lang w:eastAsia="lv-LV"/>
              </w:rPr>
            </w:pPr>
            <w:r w:rsidRPr="00D5279C">
              <w:rPr>
                <w:rFonts w:eastAsia="Times New Roman" w:cs="Times New Roman"/>
                <w:szCs w:val="24"/>
                <w:lang w:eastAsia="lv-LV"/>
              </w:rPr>
              <w:t>Cita informācija.</w:t>
            </w:r>
          </w:p>
        </w:tc>
        <w:tc>
          <w:tcPr>
            <w:tcW w:w="5687" w:type="dxa"/>
            <w:shd w:val="clear" w:color="auto" w:fill="FFFFFF"/>
          </w:tcPr>
          <w:p w14:paraId="254FBCD5" w14:textId="77777777" w:rsidR="00080E9F" w:rsidRPr="00D5279C" w:rsidRDefault="00080E9F" w:rsidP="00080E9F">
            <w:pPr>
              <w:jc w:val="both"/>
              <w:rPr>
                <w:rFonts w:eastAsia="Times New Roman" w:cs="Times New Roman"/>
                <w:szCs w:val="24"/>
                <w:lang w:eastAsia="lv-LV"/>
              </w:rPr>
            </w:pPr>
            <w:r w:rsidRPr="00D5279C">
              <w:rPr>
                <w:rFonts w:eastAsia="Times New Roman" w:cs="Times New Roman"/>
                <w:szCs w:val="24"/>
                <w:lang w:eastAsia="lv-LV"/>
              </w:rPr>
              <w:t>Nav</w:t>
            </w:r>
            <w:r w:rsidR="00B3497C" w:rsidRPr="00D5279C">
              <w:rPr>
                <w:rFonts w:eastAsia="Times New Roman" w:cs="Times New Roman"/>
                <w:szCs w:val="24"/>
                <w:lang w:eastAsia="lv-LV"/>
              </w:rPr>
              <w:t>.</w:t>
            </w:r>
          </w:p>
        </w:tc>
      </w:tr>
    </w:tbl>
    <w:p w14:paraId="0B25F83B" w14:textId="77777777" w:rsidR="001B4291" w:rsidRPr="00D5279C" w:rsidRDefault="001B4291" w:rsidP="001B4291">
      <w:pPr>
        <w:keepNext/>
        <w:tabs>
          <w:tab w:val="right" w:pos="8789"/>
        </w:tabs>
        <w:outlineLvl w:val="4"/>
        <w:rPr>
          <w:rFonts w:eastAsia="Times New Roman" w:cs="Times New Roman"/>
          <w:szCs w:val="24"/>
        </w:rPr>
      </w:pPr>
    </w:p>
    <w:p w14:paraId="4AB093EC" w14:textId="77777777" w:rsidR="001B2801" w:rsidRPr="00D5279C" w:rsidRDefault="001B2801" w:rsidP="00DA4456">
      <w:pPr>
        <w:keepNext/>
        <w:tabs>
          <w:tab w:val="right" w:pos="8364"/>
        </w:tabs>
        <w:ind w:firstLine="426"/>
        <w:jc w:val="both"/>
        <w:outlineLvl w:val="4"/>
        <w:rPr>
          <w:rFonts w:eastAsia="Times New Roman" w:cs="Times New Roman"/>
          <w:sz w:val="28"/>
          <w:szCs w:val="28"/>
        </w:rPr>
      </w:pPr>
    </w:p>
    <w:p w14:paraId="7327B02E" w14:textId="77777777" w:rsidR="00874215" w:rsidRPr="00D5279C" w:rsidRDefault="00874215" w:rsidP="00DA4456">
      <w:pPr>
        <w:keepNext/>
        <w:tabs>
          <w:tab w:val="right" w:pos="8364"/>
        </w:tabs>
        <w:ind w:firstLine="426"/>
        <w:jc w:val="both"/>
        <w:outlineLvl w:val="4"/>
        <w:rPr>
          <w:rFonts w:eastAsia="Times New Roman" w:cs="Times New Roman"/>
          <w:sz w:val="28"/>
          <w:szCs w:val="28"/>
        </w:rPr>
      </w:pPr>
      <w:r w:rsidRPr="00D5279C">
        <w:rPr>
          <w:rFonts w:eastAsia="Times New Roman" w:cs="Times New Roman"/>
          <w:sz w:val="28"/>
          <w:szCs w:val="28"/>
        </w:rPr>
        <w:t xml:space="preserve">Izglītības </w:t>
      </w:r>
      <w:r w:rsidR="0089112C" w:rsidRPr="00D5279C">
        <w:rPr>
          <w:rFonts w:eastAsia="Times New Roman" w:cs="Times New Roman"/>
          <w:sz w:val="28"/>
          <w:szCs w:val="28"/>
        </w:rPr>
        <w:t>un zinātnes ministre</w:t>
      </w:r>
      <w:r w:rsidR="00347F23" w:rsidRPr="00D5279C">
        <w:rPr>
          <w:rFonts w:eastAsia="Times New Roman" w:cs="Times New Roman"/>
          <w:sz w:val="28"/>
          <w:szCs w:val="28"/>
        </w:rPr>
        <w:tab/>
        <w:t>I.Šuplinska</w:t>
      </w:r>
    </w:p>
    <w:p w14:paraId="280FABFE" w14:textId="77777777" w:rsidR="001B2801" w:rsidRPr="00D5279C" w:rsidRDefault="001B2801" w:rsidP="00DA4456">
      <w:pPr>
        <w:tabs>
          <w:tab w:val="right" w:pos="8364"/>
        </w:tabs>
        <w:ind w:firstLine="426"/>
        <w:jc w:val="both"/>
        <w:rPr>
          <w:rFonts w:eastAsia="Times New Roman" w:cs="Times New Roman"/>
          <w:sz w:val="28"/>
          <w:szCs w:val="28"/>
          <w:lang w:eastAsia="lv-LV"/>
        </w:rPr>
      </w:pPr>
    </w:p>
    <w:p w14:paraId="1C46277E" w14:textId="28B3B05A" w:rsidR="007B29FC" w:rsidRPr="00D5279C" w:rsidRDefault="00874215" w:rsidP="00211C8F">
      <w:pPr>
        <w:tabs>
          <w:tab w:val="right" w:pos="8364"/>
        </w:tabs>
        <w:ind w:firstLine="426"/>
        <w:jc w:val="both"/>
        <w:rPr>
          <w:rFonts w:eastAsia="Calibri" w:cs="Times New Roman"/>
          <w:sz w:val="28"/>
          <w:szCs w:val="28"/>
        </w:rPr>
      </w:pPr>
      <w:r w:rsidRPr="00D5279C">
        <w:rPr>
          <w:rFonts w:eastAsia="Times New Roman" w:cs="Times New Roman"/>
          <w:sz w:val="28"/>
          <w:szCs w:val="28"/>
          <w:lang w:eastAsia="lv-LV"/>
        </w:rPr>
        <w:t xml:space="preserve">Vizē: </w:t>
      </w:r>
      <w:r w:rsidRPr="00D5279C">
        <w:rPr>
          <w:rFonts w:eastAsia="Calibri" w:cs="Times New Roman"/>
          <w:sz w:val="28"/>
          <w:szCs w:val="28"/>
        </w:rPr>
        <w:t>Valsts sekretāre</w:t>
      </w:r>
      <w:r w:rsidRPr="00D5279C">
        <w:rPr>
          <w:rFonts w:eastAsia="Calibri" w:cs="Times New Roman"/>
          <w:sz w:val="28"/>
          <w:szCs w:val="28"/>
        </w:rPr>
        <w:tab/>
      </w:r>
      <w:r w:rsidRPr="00D5279C">
        <w:rPr>
          <w:rFonts w:eastAsia="Times New Roman" w:cs="Times New Roman"/>
          <w:bCs/>
          <w:sz w:val="28"/>
          <w:szCs w:val="28"/>
        </w:rPr>
        <w:t>L.Lejiņa</w:t>
      </w:r>
    </w:p>
    <w:p w14:paraId="40C5F84C" w14:textId="77777777" w:rsidR="007B29FC" w:rsidRPr="00D5279C" w:rsidRDefault="007B29FC" w:rsidP="00DA4456">
      <w:pPr>
        <w:jc w:val="both"/>
        <w:rPr>
          <w:rFonts w:eastAsia="Times New Roman" w:cs="Times New Roman"/>
          <w:sz w:val="28"/>
          <w:szCs w:val="28"/>
          <w:lang w:eastAsia="lv-LV"/>
        </w:rPr>
      </w:pPr>
    </w:p>
    <w:p w14:paraId="1531C918" w14:textId="31FC55B1" w:rsidR="007B29FC" w:rsidRPr="00D5279C" w:rsidRDefault="007B29FC" w:rsidP="00DA4456">
      <w:pPr>
        <w:jc w:val="both"/>
        <w:rPr>
          <w:rFonts w:eastAsia="Times New Roman" w:cs="Times New Roman"/>
          <w:szCs w:val="24"/>
          <w:lang w:eastAsia="lv-LV"/>
        </w:rPr>
      </w:pPr>
      <w:r w:rsidRPr="00D5279C">
        <w:rPr>
          <w:rFonts w:eastAsia="Times New Roman" w:cs="Times New Roman"/>
          <w:szCs w:val="24"/>
          <w:lang w:eastAsia="lv-LV"/>
        </w:rPr>
        <w:t>Falka, 67212240</w:t>
      </w:r>
    </w:p>
    <w:p w14:paraId="07FD6456" w14:textId="1EFEED45" w:rsidR="007B29FC" w:rsidRPr="00D5279C" w:rsidRDefault="00507FA1" w:rsidP="00DA4456">
      <w:pPr>
        <w:jc w:val="both"/>
        <w:rPr>
          <w:rFonts w:eastAsia="Times New Roman" w:cs="Times New Roman"/>
          <w:szCs w:val="24"/>
          <w:lang w:eastAsia="lv-LV"/>
        </w:rPr>
      </w:pPr>
      <w:r w:rsidRPr="00D5279C">
        <w:rPr>
          <w:rFonts w:eastAsia="Times New Roman" w:cs="Times New Roman"/>
          <w:szCs w:val="24"/>
          <w:lang w:eastAsia="lv-LV"/>
        </w:rPr>
        <w:t>anita.falka@visc.gov.lv</w:t>
      </w:r>
    </w:p>
    <w:p w14:paraId="48C3641D" w14:textId="77777777" w:rsidR="00507FA1" w:rsidRPr="00D5279C" w:rsidRDefault="00507FA1" w:rsidP="00DA4456">
      <w:pPr>
        <w:jc w:val="both"/>
        <w:rPr>
          <w:rFonts w:eastAsia="Times New Roman" w:cs="Times New Roman"/>
          <w:szCs w:val="24"/>
          <w:lang w:eastAsia="lv-LV"/>
        </w:rPr>
      </w:pPr>
    </w:p>
    <w:p w14:paraId="13918D9D" w14:textId="1CAF9C5D" w:rsidR="00507FA1" w:rsidRPr="00D5279C" w:rsidRDefault="00507FA1" w:rsidP="00DA4456">
      <w:pPr>
        <w:jc w:val="both"/>
        <w:rPr>
          <w:rFonts w:eastAsia="Times New Roman" w:cs="Times New Roman"/>
          <w:szCs w:val="24"/>
          <w:lang w:eastAsia="lv-LV"/>
        </w:rPr>
      </w:pPr>
      <w:r w:rsidRPr="00D5279C">
        <w:rPr>
          <w:rFonts w:eastAsia="Times New Roman" w:cs="Times New Roman"/>
          <w:szCs w:val="24"/>
          <w:lang w:eastAsia="lv-LV"/>
        </w:rPr>
        <w:t>Upeniece, 67814244</w:t>
      </w:r>
    </w:p>
    <w:p w14:paraId="0A6F4C0C" w14:textId="10A14779" w:rsidR="00874215" w:rsidRPr="00D5279C" w:rsidRDefault="00D5279C" w:rsidP="00DA4456">
      <w:pPr>
        <w:jc w:val="both"/>
        <w:rPr>
          <w:rFonts w:eastAsia="Times New Roman" w:cs="Times New Roman"/>
          <w:szCs w:val="24"/>
          <w:lang w:eastAsia="lv-LV"/>
        </w:rPr>
      </w:pPr>
      <w:hyperlink r:id="rId7" w:history="1">
        <w:r w:rsidR="00507FA1" w:rsidRPr="00D5279C">
          <w:rPr>
            <w:rStyle w:val="Hyperlink"/>
            <w:rFonts w:eastAsia="Times New Roman" w:cs="Times New Roman"/>
            <w:color w:val="auto"/>
            <w:szCs w:val="24"/>
            <w:u w:val="none"/>
            <w:lang w:eastAsia="lv-LV"/>
          </w:rPr>
          <w:t>ineta.upeniece@visc.gov.lv</w:t>
        </w:r>
      </w:hyperlink>
    </w:p>
    <w:sectPr w:rsidR="00874215" w:rsidRPr="00D5279C" w:rsidSect="00C0623E">
      <w:headerReference w:type="even" r:id="rId8"/>
      <w:headerReference w:type="default" r:id="rId9"/>
      <w:footerReference w:type="even" r:id="rId10"/>
      <w:footerReference w:type="default" r:id="rId11"/>
      <w:headerReference w:type="first" r:id="rId12"/>
      <w:footerReference w:type="first" r:id="rId13"/>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1545" w14:textId="77777777" w:rsidR="00FE657E" w:rsidRDefault="00FE657E" w:rsidP="00874215">
      <w:r>
        <w:separator/>
      </w:r>
    </w:p>
  </w:endnote>
  <w:endnote w:type="continuationSeparator" w:id="0">
    <w:p w14:paraId="7A59FA0B" w14:textId="77777777" w:rsidR="00FE657E" w:rsidRDefault="00FE657E"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27BC" w14:textId="77777777" w:rsidR="007F1310" w:rsidRDefault="007F1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DC24" w14:textId="722F784C" w:rsidR="00874215" w:rsidRPr="00CA07DE" w:rsidRDefault="00211C8F" w:rsidP="00CA07DE">
    <w:pPr>
      <w:pStyle w:val="Footer"/>
    </w:pPr>
    <w:r>
      <w:rPr>
        <w:rFonts w:eastAsia="Times New Roman" w:cs="Times New Roman"/>
        <w:szCs w:val="24"/>
        <w:lang w:eastAsia="lv-LV"/>
      </w:rPr>
      <w:t>IZMAnot_0</w:t>
    </w:r>
    <w:r w:rsidR="00076663">
      <w:rPr>
        <w:rFonts w:eastAsia="Times New Roman" w:cs="Times New Roman"/>
        <w:szCs w:val="24"/>
        <w:lang w:eastAsia="lv-LV"/>
      </w:rPr>
      <w:t>9</w:t>
    </w:r>
    <w:r w:rsidR="00CA07DE" w:rsidRPr="00CA07DE">
      <w:rPr>
        <w:rFonts w:eastAsia="Times New Roman" w:cs="Times New Roman"/>
        <w:szCs w:val="24"/>
        <w:lang w:eastAsia="lv-LV"/>
      </w:rPr>
      <w:t>0920_Groz747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F1C42" w14:textId="498C2F48" w:rsidR="00874215" w:rsidRPr="009B0844" w:rsidRDefault="007F1310" w:rsidP="009B0844">
    <w:pPr>
      <w:tabs>
        <w:tab w:val="center" w:pos="4153"/>
        <w:tab w:val="right" w:pos="8306"/>
      </w:tabs>
      <w:jc w:val="both"/>
      <w:rPr>
        <w:rFonts w:eastAsia="Times New Roman" w:cs="Times New Roman"/>
        <w:szCs w:val="24"/>
        <w:lang w:eastAsia="lv-LV"/>
      </w:rPr>
    </w:pPr>
    <w:r>
      <w:rPr>
        <w:rFonts w:eastAsia="Times New Roman" w:cs="Times New Roman"/>
        <w:szCs w:val="24"/>
        <w:lang w:eastAsia="lv-LV"/>
      </w:rPr>
      <w:t>IZMAnot_0</w:t>
    </w:r>
    <w:r w:rsidR="00076663">
      <w:rPr>
        <w:rFonts w:eastAsia="Times New Roman" w:cs="Times New Roman"/>
        <w:szCs w:val="24"/>
        <w:lang w:eastAsia="lv-LV"/>
      </w:rPr>
      <w:t>9</w:t>
    </w:r>
    <w:r w:rsidR="00CA07DE" w:rsidRPr="00CA07DE">
      <w:rPr>
        <w:rFonts w:eastAsia="Times New Roman" w:cs="Times New Roman"/>
        <w:szCs w:val="24"/>
        <w:lang w:eastAsia="lv-LV"/>
      </w:rPr>
      <w:t>0920_Groz747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243A" w14:textId="77777777" w:rsidR="00FE657E" w:rsidRDefault="00FE657E" w:rsidP="00874215">
      <w:r>
        <w:separator/>
      </w:r>
    </w:p>
  </w:footnote>
  <w:footnote w:type="continuationSeparator" w:id="0">
    <w:p w14:paraId="09F4D394" w14:textId="77777777" w:rsidR="00FE657E" w:rsidRDefault="00FE657E"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C4C5" w14:textId="77777777" w:rsidR="007F1310" w:rsidRDefault="007F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047DB163" w14:textId="77777777" w:rsidR="00DA6E76" w:rsidRDefault="00E578B8">
        <w:pPr>
          <w:pStyle w:val="Header"/>
          <w:jc w:val="center"/>
        </w:pPr>
        <w:r>
          <w:fldChar w:fldCharType="begin"/>
        </w:r>
        <w:r w:rsidR="00DA6E76">
          <w:instrText xml:space="preserve"> PAGE   \* MERGEFORMAT </w:instrText>
        </w:r>
        <w:r>
          <w:fldChar w:fldCharType="separate"/>
        </w:r>
        <w:r w:rsidR="00D5279C">
          <w:rPr>
            <w:noProof/>
          </w:rPr>
          <w:t>4</w:t>
        </w:r>
        <w:r>
          <w:rPr>
            <w:noProof/>
          </w:rPr>
          <w:fldChar w:fldCharType="end"/>
        </w:r>
      </w:p>
    </w:sdtContent>
  </w:sdt>
  <w:p w14:paraId="650AC7AE" w14:textId="77777777" w:rsidR="00874215" w:rsidRDefault="00874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4D1BA" w14:textId="77777777" w:rsidR="007F1310" w:rsidRDefault="007F1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3221"/>
    <w:rsid w:val="000343FB"/>
    <w:rsid w:val="000373F9"/>
    <w:rsid w:val="00041EB1"/>
    <w:rsid w:val="00046A4E"/>
    <w:rsid w:val="00047BE8"/>
    <w:rsid w:val="00076663"/>
    <w:rsid w:val="00080E9F"/>
    <w:rsid w:val="00086D83"/>
    <w:rsid w:val="000905B2"/>
    <w:rsid w:val="000905E7"/>
    <w:rsid w:val="000C6B0C"/>
    <w:rsid w:val="00125852"/>
    <w:rsid w:val="00140E48"/>
    <w:rsid w:val="001450E3"/>
    <w:rsid w:val="00164FD9"/>
    <w:rsid w:val="0018259F"/>
    <w:rsid w:val="00184CD7"/>
    <w:rsid w:val="00186024"/>
    <w:rsid w:val="00196C1D"/>
    <w:rsid w:val="001A70F9"/>
    <w:rsid w:val="001B2801"/>
    <w:rsid w:val="001B3A15"/>
    <w:rsid w:val="001B4291"/>
    <w:rsid w:val="001C0C0E"/>
    <w:rsid w:val="001C69B6"/>
    <w:rsid w:val="001E7A3D"/>
    <w:rsid w:val="001F0384"/>
    <w:rsid w:val="001F3C0A"/>
    <w:rsid w:val="0020289C"/>
    <w:rsid w:val="00211C8F"/>
    <w:rsid w:val="0021509E"/>
    <w:rsid w:val="00243F6E"/>
    <w:rsid w:val="002565E6"/>
    <w:rsid w:val="002657B8"/>
    <w:rsid w:val="00265E37"/>
    <w:rsid w:val="00274EBB"/>
    <w:rsid w:val="0028622A"/>
    <w:rsid w:val="00292128"/>
    <w:rsid w:val="0029304E"/>
    <w:rsid w:val="002A563D"/>
    <w:rsid w:val="002B2889"/>
    <w:rsid w:val="002B2BDD"/>
    <w:rsid w:val="002B5825"/>
    <w:rsid w:val="002C061F"/>
    <w:rsid w:val="002D22B7"/>
    <w:rsid w:val="002E4A26"/>
    <w:rsid w:val="00315D67"/>
    <w:rsid w:val="0031724F"/>
    <w:rsid w:val="00341133"/>
    <w:rsid w:val="003421D9"/>
    <w:rsid w:val="00347F23"/>
    <w:rsid w:val="00353061"/>
    <w:rsid w:val="003812F4"/>
    <w:rsid w:val="00393005"/>
    <w:rsid w:val="003A2143"/>
    <w:rsid w:val="003B57AD"/>
    <w:rsid w:val="003B77E2"/>
    <w:rsid w:val="003D2B82"/>
    <w:rsid w:val="003D6157"/>
    <w:rsid w:val="003F07CD"/>
    <w:rsid w:val="003F26E7"/>
    <w:rsid w:val="003F7896"/>
    <w:rsid w:val="00446434"/>
    <w:rsid w:val="00467B45"/>
    <w:rsid w:val="0047162F"/>
    <w:rsid w:val="00474F1D"/>
    <w:rsid w:val="004900B4"/>
    <w:rsid w:val="004912A5"/>
    <w:rsid w:val="004B398B"/>
    <w:rsid w:val="004C4D2E"/>
    <w:rsid w:val="004D0C3B"/>
    <w:rsid w:val="004D1D9D"/>
    <w:rsid w:val="004D380E"/>
    <w:rsid w:val="004F6BAE"/>
    <w:rsid w:val="00507FA1"/>
    <w:rsid w:val="005230C8"/>
    <w:rsid w:val="00525729"/>
    <w:rsid w:val="0054268B"/>
    <w:rsid w:val="00562B6E"/>
    <w:rsid w:val="00571B3E"/>
    <w:rsid w:val="00572164"/>
    <w:rsid w:val="00574C77"/>
    <w:rsid w:val="00576B32"/>
    <w:rsid w:val="00577E50"/>
    <w:rsid w:val="00581C2A"/>
    <w:rsid w:val="0059238B"/>
    <w:rsid w:val="00593718"/>
    <w:rsid w:val="005A0168"/>
    <w:rsid w:val="005A68C1"/>
    <w:rsid w:val="005C3B24"/>
    <w:rsid w:val="005D1491"/>
    <w:rsid w:val="005F1A70"/>
    <w:rsid w:val="00603294"/>
    <w:rsid w:val="00606072"/>
    <w:rsid w:val="006066DF"/>
    <w:rsid w:val="00606925"/>
    <w:rsid w:val="006073BA"/>
    <w:rsid w:val="006250DD"/>
    <w:rsid w:val="00626083"/>
    <w:rsid w:val="00655828"/>
    <w:rsid w:val="00657228"/>
    <w:rsid w:val="00657892"/>
    <w:rsid w:val="006844C5"/>
    <w:rsid w:val="00690FD4"/>
    <w:rsid w:val="0069579D"/>
    <w:rsid w:val="006B3803"/>
    <w:rsid w:val="006D0C42"/>
    <w:rsid w:val="006D47BE"/>
    <w:rsid w:val="006D56BA"/>
    <w:rsid w:val="006E42B6"/>
    <w:rsid w:val="006F22A7"/>
    <w:rsid w:val="006F594D"/>
    <w:rsid w:val="00702C42"/>
    <w:rsid w:val="00727CBD"/>
    <w:rsid w:val="0075480E"/>
    <w:rsid w:val="0076077F"/>
    <w:rsid w:val="0077437E"/>
    <w:rsid w:val="00781B70"/>
    <w:rsid w:val="007A1D2A"/>
    <w:rsid w:val="007A5286"/>
    <w:rsid w:val="007B08AD"/>
    <w:rsid w:val="007B29FC"/>
    <w:rsid w:val="007B5C37"/>
    <w:rsid w:val="007D494A"/>
    <w:rsid w:val="007E69FE"/>
    <w:rsid w:val="007F1310"/>
    <w:rsid w:val="00800320"/>
    <w:rsid w:val="0081527B"/>
    <w:rsid w:val="00824E8E"/>
    <w:rsid w:val="0083728C"/>
    <w:rsid w:val="0084621D"/>
    <w:rsid w:val="00874215"/>
    <w:rsid w:val="008744F0"/>
    <w:rsid w:val="0089112C"/>
    <w:rsid w:val="008972C3"/>
    <w:rsid w:val="008A5657"/>
    <w:rsid w:val="008B1388"/>
    <w:rsid w:val="008D1E70"/>
    <w:rsid w:val="008D3EDE"/>
    <w:rsid w:val="008E392E"/>
    <w:rsid w:val="008E4C9B"/>
    <w:rsid w:val="008E6512"/>
    <w:rsid w:val="008F739C"/>
    <w:rsid w:val="00900C1C"/>
    <w:rsid w:val="00902E3C"/>
    <w:rsid w:val="00911A5F"/>
    <w:rsid w:val="00944AEB"/>
    <w:rsid w:val="00946AA3"/>
    <w:rsid w:val="00946DCD"/>
    <w:rsid w:val="00967EC9"/>
    <w:rsid w:val="00976869"/>
    <w:rsid w:val="009A3FE8"/>
    <w:rsid w:val="009A496C"/>
    <w:rsid w:val="009A5C02"/>
    <w:rsid w:val="009B0844"/>
    <w:rsid w:val="009B0DFB"/>
    <w:rsid w:val="009B73BA"/>
    <w:rsid w:val="009D2120"/>
    <w:rsid w:val="009E2CED"/>
    <w:rsid w:val="00A06E55"/>
    <w:rsid w:val="00A07244"/>
    <w:rsid w:val="00A108FC"/>
    <w:rsid w:val="00A15D87"/>
    <w:rsid w:val="00A272BA"/>
    <w:rsid w:val="00A30D2D"/>
    <w:rsid w:val="00A41D91"/>
    <w:rsid w:val="00A47CAC"/>
    <w:rsid w:val="00A8517D"/>
    <w:rsid w:val="00A942BB"/>
    <w:rsid w:val="00AA28B2"/>
    <w:rsid w:val="00AC6133"/>
    <w:rsid w:val="00AD55B3"/>
    <w:rsid w:val="00AD658B"/>
    <w:rsid w:val="00AF0C6D"/>
    <w:rsid w:val="00AF4FD5"/>
    <w:rsid w:val="00AF6B47"/>
    <w:rsid w:val="00B2392B"/>
    <w:rsid w:val="00B3497C"/>
    <w:rsid w:val="00B35A3F"/>
    <w:rsid w:val="00B45A3A"/>
    <w:rsid w:val="00B63903"/>
    <w:rsid w:val="00B85A55"/>
    <w:rsid w:val="00B85E8C"/>
    <w:rsid w:val="00B90930"/>
    <w:rsid w:val="00B94BDD"/>
    <w:rsid w:val="00BA2486"/>
    <w:rsid w:val="00BA4228"/>
    <w:rsid w:val="00BF5C70"/>
    <w:rsid w:val="00C0623E"/>
    <w:rsid w:val="00C20ABF"/>
    <w:rsid w:val="00C2109C"/>
    <w:rsid w:val="00C24CC6"/>
    <w:rsid w:val="00C256A5"/>
    <w:rsid w:val="00C278D8"/>
    <w:rsid w:val="00C42002"/>
    <w:rsid w:val="00C42371"/>
    <w:rsid w:val="00C453AC"/>
    <w:rsid w:val="00C67A84"/>
    <w:rsid w:val="00C871F7"/>
    <w:rsid w:val="00CA07DE"/>
    <w:rsid w:val="00CA2389"/>
    <w:rsid w:val="00CA5F78"/>
    <w:rsid w:val="00CA66CB"/>
    <w:rsid w:val="00CA6CD0"/>
    <w:rsid w:val="00CB2F22"/>
    <w:rsid w:val="00CC0A3B"/>
    <w:rsid w:val="00CD04E8"/>
    <w:rsid w:val="00CF71CD"/>
    <w:rsid w:val="00D04CF3"/>
    <w:rsid w:val="00D061D3"/>
    <w:rsid w:val="00D1637E"/>
    <w:rsid w:val="00D42016"/>
    <w:rsid w:val="00D5279C"/>
    <w:rsid w:val="00D70B6B"/>
    <w:rsid w:val="00D755EA"/>
    <w:rsid w:val="00D83EF0"/>
    <w:rsid w:val="00DA21BD"/>
    <w:rsid w:val="00DA4456"/>
    <w:rsid w:val="00DA609F"/>
    <w:rsid w:val="00DA6E76"/>
    <w:rsid w:val="00DA7FD4"/>
    <w:rsid w:val="00DD0157"/>
    <w:rsid w:val="00DD7F0E"/>
    <w:rsid w:val="00E057CF"/>
    <w:rsid w:val="00E05AB1"/>
    <w:rsid w:val="00E06E60"/>
    <w:rsid w:val="00E1694E"/>
    <w:rsid w:val="00E207B1"/>
    <w:rsid w:val="00E372AD"/>
    <w:rsid w:val="00E52D97"/>
    <w:rsid w:val="00E54B3D"/>
    <w:rsid w:val="00E578B8"/>
    <w:rsid w:val="00E7313B"/>
    <w:rsid w:val="00E7346F"/>
    <w:rsid w:val="00E85882"/>
    <w:rsid w:val="00E87411"/>
    <w:rsid w:val="00EA645A"/>
    <w:rsid w:val="00ED4C43"/>
    <w:rsid w:val="00ED7DBC"/>
    <w:rsid w:val="00EE330D"/>
    <w:rsid w:val="00EF6BAD"/>
    <w:rsid w:val="00EF6F41"/>
    <w:rsid w:val="00F030F7"/>
    <w:rsid w:val="00F03400"/>
    <w:rsid w:val="00F1252C"/>
    <w:rsid w:val="00F13EEE"/>
    <w:rsid w:val="00F25610"/>
    <w:rsid w:val="00F25A08"/>
    <w:rsid w:val="00F558C4"/>
    <w:rsid w:val="00F575F3"/>
    <w:rsid w:val="00F70C3A"/>
    <w:rsid w:val="00F72753"/>
    <w:rsid w:val="00F84D30"/>
    <w:rsid w:val="00F85295"/>
    <w:rsid w:val="00F877F7"/>
    <w:rsid w:val="00F87C1D"/>
    <w:rsid w:val="00FA6EE7"/>
    <w:rsid w:val="00FC2754"/>
    <w:rsid w:val="00FD2A4E"/>
    <w:rsid w:val="00FE0E4E"/>
    <w:rsid w:val="00FE657E"/>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B5192"/>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F4"/>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9B0844"/>
    <w:pPr>
      <w:widowControl w:val="0"/>
    </w:pPr>
    <w:rPr>
      <w:rFonts w:ascii="Calibri" w:eastAsia="Calibri" w:hAnsi="Calibri" w:cs="Times New Roman"/>
      <w:sz w:val="22"/>
      <w:lang w:val="en-US"/>
    </w:rPr>
  </w:style>
  <w:style w:type="paragraph" w:customStyle="1" w:styleId="tvhtml">
    <w:name w:val="tv_html"/>
    <w:basedOn w:val="Normal"/>
    <w:rsid w:val="000373F9"/>
    <w:pPr>
      <w:spacing w:before="100" w:beforeAutospacing="1" w:after="100" w:afterAutospacing="1"/>
    </w:pPr>
    <w:rPr>
      <w:rFonts w:eastAsia="Times New Roman" w:cs="Times New Roman"/>
      <w:szCs w:val="24"/>
      <w:lang w:val="en-US"/>
    </w:rPr>
  </w:style>
  <w:style w:type="paragraph" w:customStyle="1" w:styleId="tv213">
    <w:name w:val="tv213"/>
    <w:basedOn w:val="Normal"/>
    <w:rsid w:val="000373F9"/>
    <w:pPr>
      <w:spacing w:before="100" w:beforeAutospacing="1" w:after="100" w:afterAutospacing="1"/>
    </w:pPr>
    <w:rPr>
      <w:rFonts w:eastAsia="Times New Roman" w:cs="Times New Roman"/>
      <w:szCs w:val="24"/>
      <w:lang w:val="en-US"/>
    </w:rPr>
  </w:style>
  <w:style w:type="paragraph" w:customStyle="1" w:styleId="labojumupamats">
    <w:name w:val="labojumu_pamats"/>
    <w:basedOn w:val="Normal"/>
    <w:rsid w:val="000373F9"/>
    <w:pPr>
      <w:spacing w:before="100" w:beforeAutospacing="1" w:after="100" w:afterAutospacing="1"/>
    </w:pPr>
    <w:rPr>
      <w:rFonts w:eastAsia="Times New Roman" w:cs="Times New Roman"/>
      <w:szCs w:val="24"/>
      <w:lang w:val="en-US"/>
    </w:rPr>
  </w:style>
  <w:style w:type="character" w:customStyle="1" w:styleId="Neatrisintapieminana1">
    <w:name w:val="Neatrisināta pieminēšana1"/>
    <w:basedOn w:val="DefaultParagraphFont"/>
    <w:uiPriority w:val="99"/>
    <w:semiHidden/>
    <w:unhideWhenUsed/>
    <w:rsid w:val="00507FA1"/>
    <w:rPr>
      <w:color w:val="605E5C"/>
      <w:shd w:val="clear" w:color="auto" w:fill="E1DFDD"/>
    </w:rPr>
  </w:style>
  <w:style w:type="character" w:styleId="CommentReference">
    <w:name w:val="annotation reference"/>
    <w:basedOn w:val="DefaultParagraphFont"/>
    <w:uiPriority w:val="99"/>
    <w:semiHidden/>
    <w:unhideWhenUsed/>
    <w:rsid w:val="0021509E"/>
    <w:rPr>
      <w:sz w:val="16"/>
      <w:szCs w:val="16"/>
    </w:rPr>
  </w:style>
  <w:style w:type="paragraph" w:styleId="CommentText">
    <w:name w:val="annotation text"/>
    <w:basedOn w:val="Normal"/>
    <w:link w:val="CommentTextChar"/>
    <w:uiPriority w:val="99"/>
    <w:semiHidden/>
    <w:unhideWhenUsed/>
    <w:rsid w:val="0021509E"/>
    <w:rPr>
      <w:sz w:val="20"/>
      <w:szCs w:val="20"/>
    </w:rPr>
  </w:style>
  <w:style w:type="character" w:customStyle="1" w:styleId="CommentTextChar">
    <w:name w:val="Comment Text Char"/>
    <w:basedOn w:val="DefaultParagraphFont"/>
    <w:link w:val="CommentText"/>
    <w:uiPriority w:val="99"/>
    <w:semiHidden/>
    <w:rsid w:val="0021509E"/>
    <w:rPr>
      <w:sz w:val="20"/>
      <w:szCs w:val="20"/>
    </w:rPr>
  </w:style>
  <w:style w:type="paragraph" w:styleId="CommentSubject">
    <w:name w:val="annotation subject"/>
    <w:basedOn w:val="CommentText"/>
    <w:next w:val="CommentText"/>
    <w:link w:val="CommentSubjectChar"/>
    <w:uiPriority w:val="99"/>
    <w:semiHidden/>
    <w:unhideWhenUsed/>
    <w:rsid w:val="0021509E"/>
    <w:rPr>
      <w:b/>
      <w:bCs/>
    </w:rPr>
  </w:style>
  <w:style w:type="character" w:customStyle="1" w:styleId="CommentSubjectChar">
    <w:name w:val="Comment Subject Char"/>
    <w:basedOn w:val="CommentTextChar"/>
    <w:link w:val="CommentSubject"/>
    <w:uiPriority w:val="99"/>
    <w:semiHidden/>
    <w:rsid w:val="0021509E"/>
    <w:rPr>
      <w:b/>
      <w:bCs/>
      <w:sz w:val="20"/>
      <w:szCs w:val="20"/>
    </w:rPr>
  </w:style>
  <w:style w:type="paragraph" w:styleId="Revision">
    <w:name w:val="Revision"/>
    <w:hidden/>
    <w:uiPriority w:val="99"/>
    <w:semiHidden/>
    <w:rsid w:val="0021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9831">
      <w:bodyDiv w:val="1"/>
      <w:marLeft w:val="0"/>
      <w:marRight w:val="0"/>
      <w:marTop w:val="0"/>
      <w:marBottom w:val="0"/>
      <w:divBdr>
        <w:top w:val="none" w:sz="0" w:space="0" w:color="auto"/>
        <w:left w:val="none" w:sz="0" w:space="0" w:color="auto"/>
        <w:bottom w:val="none" w:sz="0" w:space="0" w:color="auto"/>
        <w:right w:val="none" w:sz="0" w:space="0" w:color="auto"/>
      </w:divBdr>
      <w:divsChild>
        <w:div w:id="338654118">
          <w:marLeft w:val="0"/>
          <w:marRight w:val="0"/>
          <w:marTop w:val="0"/>
          <w:marBottom w:val="0"/>
          <w:divBdr>
            <w:top w:val="none" w:sz="0" w:space="0" w:color="auto"/>
            <w:left w:val="none" w:sz="0" w:space="0" w:color="auto"/>
            <w:bottom w:val="none" w:sz="0" w:space="0" w:color="auto"/>
            <w:right w:val="none" w:sz="0" w:space="0" w:color="auto"/>
          </w:divBdr>
        </w:div>
        <w:div w:id="1599632059">
          <w:marLeft w:val="0"/>
          <w:marRight w:val="0"/>
          <w:marTop w:val="0"/>
          <w:marBottom w:val="0"/>
          <w:divBdr>
            <w:top w:val="none" w:sz="0" w:space="0" w:color="auto"/>
            <w:left w:val="none" w:sz="0" w:space="0" w:color="auto"/>
            <w:bottom w:val="none" w:sz="0" w:space="0" w:color="auto"/>
            <w:right w:val="none" w:sz="0" w:space="0" w:color="auto"/>
          </w:divBdr>
        </w:div>
      </w:divsChild>
    </w:div>
    <w:div w:id="602110919">
      <w:bodyDiv w:val="1"/>
      <w:marLeft w:val="0"/>
      <w:marRight w:val="0"/>
      <w:marTop w:val="0"/>
      <w:marBottom w:val="0"/>
      <w:divBdr>
        <w:top w:val="none" w:sz="0" w:space="0" w:color="auto"/>
        <w:left w:val="none" w:sz="0" w:space="0" w:color="auto"/>
        <w:bottom w:val="none" w:sz="0" w:space="0" w:color="auto"/>
        <w:right w:val="none" w:sz="0" w:space="0" w:color="auto"/>
      </w:divBdr>
    </w:div>
    <w:div w:id="874268251">
      <w:bodyDiv w:val="1"/>
      <w:marLeft w:val="0"/>
      <w:marRight w:val="0"/>
      <w:marTop w:val="0"/>
      <w:marBottom w:val="0"/>
      <w:divBdr>
        <w:top w:val="none" w:sz="0" w:space="0" w:color="auto"/>
        <w:left w:val="none" w:sz="0" w:space="0" w:color="auto"/>
        <w:bottom w:val="none" w:sz="0" w:space="0" w:color="auto"/>
        <w:right w:val="none" w:sz="0" w:space="0" w:color="auto"/>
      </w:divBdr>
    </w:div>
    <w:div w:id="944264170">
      <w:bodyDiv w:val="1"/>
      <w:marLeft w:val="0"/>
      <w:marRight w:val="0"/>
      <w:marTop w:val="0"/>
      <w:marBottom w:val="0"/>
      <w:divBdr>
        <w:top w:val="none" w:sz="0" w:space="0" w:color="auto"/>
        <w:left w:val="none" w:sz="0" w:space="0" w:color="auto"/>
        <w:bottom w:val="none" w:sz="0" w:space="0" w:color="auto"/>
        <w:right w:val="none" w:sz="0" w:space="0" w:color="auto"/>
      </w:divBdr>
    </w:div>
    <w:div w:id="1053845097">
      <w:bodyDiv w:val="1"/>
      <w:marLeft w:val="0"/>
      <w:marRight w:val="0"/>
      <w:marTop w:val="0"/>
      <w:marBottom w:val="0"/>
      <w:divBdr>
        <w:top w:val="none" w:sz="0" w:space="0" w:color="auto"/>
        <w:left w:val="none" w:sz="0" w:space="0" w:color="auto"/>
        <w:bottom w:val="none" w:sz="0" w:space="0" w:color="auto"/>
        <w:right w:val="none" w:sz="0" w:space="0" w:color="auto"/>
      </w:divBdr>
    </w:div>
    <w:div w:id="1256744888">
      <w:bodyDiv w:val="1"/>
      <w:marLeft w:val="0"/>
      <w:marRight w:val="0"/>
      <w:marTop w:val="0"/>
      <w:marBottom w:val="0"/>
      <w:divBdr>
        <w:top w:val="none" w:sz="0" w:space="0" w:color="auto"/>
        <w:left w:val="none" w:sz="0" w:space="0" w:color="auto"/>
        <w:bottom w:val="none" w:sz="0" w:space="0" w:color="auto"/>
        <w:right w:val="none" w:sz="0" w:space="0" w:color="auto"/>
      </w:divBdr>
    </w:div>
    <w:div w:id="1654487355">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ta.upeniece@visc.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F4A6-DCEE-4F7F-B627-74612182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6002</Words>
  <Characters>3422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27. novembra noteikumos Nr. 747 “Noteikumi par valsts pamatizglītības standartu un pamatizglītības programmu paraugiem”gadā sākotnējās ietekmes novērtējuma ziņojums (anotācija)</vt:lpstr>
      <vt:lpstr>Ministru kabineta noteikumu projekta “Grozījumi Ministru kabineta 2018. gada 27. novembra noteikumos Nr. 747 “Noteikumi par valsts pamatizglītības standartu un pamatizglītības programmu paraugiem”gadā sākotnējās ietekmes novērtējuma ziņojums (anotācija)</vt:lpstr>
    </vt:vector>
  </TitlesOfParts>
  <Manager>Valsts izglītības satura centrs</Manager>
  <Company>Izglītības un zinātnes ministrija</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27. novembra noteikumos Nr. 747 “Noteikumi par valsts pamatizglītības standartu un pamatizglītības programmu paraugiem”gadā sākotnējās ietekmes novērtējuma ziņojums (anotācija)</dc:title>
  <dc:subject>anotācija</dc:subject>
  <dc:creator>Ivars Zemļanskis</dc:creator>
  <cp:lastModifiedBy>Ivars Zemļanskis</cp:lastModifiedBy>
  <cp:revision>11</cp:revision>
  <cp:lastPrinted>2020-09-08T09:19:00Z</cp:lastPrinted>
  <dcterms:created xsi:type="dcterms:W3CDTF">2020-09-07T14:26:00Z</dcterms:created>
  <dcterms:modified xsi:type="dcterms:W3CDTF">2020-09-09T09:19:00Z</dcterms:modified>
</cp:coreProperties>
</file>